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FE5D64" w:rsidRPr="007279AB" w:rsidRDefault="00FE5D64">
      <w:pPr>
        <w:pStyle w:val="abbreviation"/>
        <w:rPr>
          <w:lang w:val="bg-BG"/>
        </w:rPr>
      </w:pPr>
    </w:p>
    <w:p w14:paraId="7FE1B2AF" w14:textId="77777777" w:rsidR="00FE5D64" w:rsidRDefault="00E40776">
      <w:pPr>
        <w:pStyle w:val="P68B1DB1-ListParagraph1"/>
        <w:jc w:val="center"/>
        <w:rPr>
          <w:bCs/>
        </w:rPr>
      </w:pPr>
      <w:r>
        <w:t>Приложение II: Указания</w:t>
      </w:r>
    </w:p>
    <w:p w14:paraId="7FE1B2B0" w14:textId="77777777" w:rsidR="00FE5D64" w:rsidRDefault="00FE5D64">
      <w:pPr>
        <w:rPr>
          <w:rFonts w:ascii="Times New Roman" w:hAnsi="Times New Roman" w:cs="Times New Roman"/>
          <w:b/>
          <w:color w:val="000000" w:themeColor="text1"/>
          <w:sz w:val="20"/>
          <w:szCs w:val="20"/>
        </w:rPr>
      </w:pPr>
    </w:p>
    <w:p w14:paraId="7FE1B2E5" w14:textId="50E4278D" w:rsidR="00FE5D64" w:rsidRPr="001A79CE" w:rsidRDefault="00FE5D64" w:rsidP="001A79CE">
      <w:pPr>
        <w:pStyle w:val="P68B1DB1-Normal3"/>
        <w:spacing w:after="200" w:line="276" w:lineRule="auto"/>
        <w:rPr>
          <w:kern w:val="28"/>
        </w:rPr>
      </w:pPr>
      <w:bookmarkStart w:id="0" w:name="_Toc492542318"/>
    </w:p>
    <w:p w14:paraId="090E6213" w14:textId="4B7125D5" w:rsidR="00E40776" w:rsidRDefault="00E40776" w:rsidP="00EE7F1F">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443" w:history="1">
        <w:r w:rsidRPr="00634116">
          <w:rPr>
            <w:rStyle w:val="Hyperlink"/>
            <w:noProof/>
          </w:rPr>
          <w:t>I.</w:t>
        </w:r>
        <w:r>
          <w:rPr>
            <w:noProof/>
            <w:kern w:val="2"/>
            <w:sz w:val="24"/>
            <w:szCs w:val="24"/>
            <w:lang w:val="en-GB"/>
            <w14:ligatures w14:val="standardContextual"/>
          </w:rPr>
          <w:tab/>
        </w:r>
        <w:r w:rsidR="002A2B72" w:rsidRPr="00093CF8">
          <w:rPr>
            <w:rStyle w:val="Hyperlink"/>
          </w:rPr>
          <w:t>Общи</w:t>
        </w:r>
        <w:r w:rsidRPr="00634116">
          <w:rPr>
            <w:rStyle w:val="Hyperlink"/>
            <w:noProof/>
          </w:rPr>
          <w:t xml:space="preserve"> </w:t>
        </w:r>
        <w:r w:rsidR="001A79CE">
          <w:rPr>
            <w:rStyle w:val="Hyperlink"/>
            <w:noProof/>
            <w:lang w:val="bg-BG"/>
          </w:rPr>
          <w:t>указания</w:t>
        </w:r>
        <w:r>
          <w:rPr>
            <w:noProof/>
            <w:webHidden/>
          </w:rPr>
          <w:tab/>
        </w:r>
        <w:r>
          <w:rPr>
            <w:noProof/>
            <w:webHidden/>
          </w:rPr>
          <w:fldChar w:fldCharType="begin"/>
        </w:r>
        <w:r>
          <w:rPr>
            <w:noProof/>
            <w:webHidden/>
          </w:rPr>
          <w:instrText xml:space="preserve"> PAGEREF _Toc208244443 \h </w:instrText>
        </w:r>
        <w:r>
          <w:rPr>
            <w:noProof/>
            <w:webHidden/>
          </w:rPr>
        </w:r>
        <w:r>
          <w:rPr>
            <w:noProof/>
            <w:webHidden/>
          </w:rPr>
          <w:fldChar w:fldCharType="separate"/>
        </w:r>
        <w:r w:rsidR="00645AF6">
          <w:rPr>
            <w:noProof/>
            <w:webHidden/>
          </w:rPr>
          <w:t>3</w:t>
        </w:r>
        <w:r>
          <w:rPr>
            <w:noProof/>
            <w:webHidden/>
          </w:rPr>
          <w:fldChar w:fldCharType="end"/>
        </w:r>
      </w:hyperlink>
    </w:p>
    <w:p w14:paraId="07D53A76" w14:textId="496597AC" w:rsidR="00E40776" w:rsidRDefault="00E40776" w:rsidP="00EE7F1F">
      <w:pPr>
        <w:pStyle w:val="TOC2"/>
        <w:rPr>
          <w:noProof/>
          <w:kern w:val="2"/>
          <w:sz w:val="24"/>
          <w:szCs w:val="24"/>
          <w:lang w:val="en-GB"/>
          <w14:ligatures w14:val="standardContextual"/>
        </w:rPr>
      </w:pPr>
      <w:hyperlink w:anchor="_Toc208244444" w:history="1">
        <w:r w:rsidRPr="00634116">
          <w:rPr>
            <w:rStyle w:val="Hyperlink"/>
            <w:noProof/>
          </w:rPr>
          <w:t>I.1</w:t>
        </w:r>
        <w:r>
          <w:rPr>
            <w:noProof/>
            <w:kern w:val="2"/>
            <w:sz w:val="24"/>
            <w:szCs w:val="24"/>
            <w:lang w:val="en-GB"/>
            <w14:ligatures w14:val="standardContextual"/>
          </w:rPr>
          <w:tab/>
        </w:r>
        <w:r w:rsidR="002A2B72" w:rsidRPr="00093CF8">
          <w:rPr>
            <w:rStyle w:val="Hyperlink"/>
          </w:rPr>
          <w:t>Структура</w:t>
        </w:r>
        <w:r>
          <w:rPr>
            <w:noProof/>
            <w:webHidden/>
          </w:rPr>
          <w:tab/>
        </w:r>
        <w:r>
          <w:rPr>
            <w:noProof/>
            <w:webHidden/>
          </w:rPr>
          <w:fldChar w:fldCharType="begin"/>
        </w:r>
        <w:r>
          <w:rPr>
            <w:noProof/>
            <w:webHidden/>
          </w:rPr>
          <w:instrText xml:space="preserve"> PAGEREF _Toc208244444 \h </w:instrText>
        </w:r>
        <w:r>
          <w:rPr>
            <w:noProof/>
            <w:webHidden/>
          </w:rPr>
        </w:r>
        <w:r>
          <w:rPr>
            <w:noProof/>
            <w:webHidden/>
          </w:rPr>
          <w:fldChar w:fldCharType="separate"/>
        </w:r>
        <w:r w:rsidR="00645AF6">
          <w:rPr>
            <w:noProof/>
            <w:webHidden/>
          </w:rPr>
          <w:t>3</w:t>
        </w:r>
        <w:r>
          <w:rPr>
            <w:noProof/>
            <w:webHidden/>
          </w:rPr>
          <w:fldChar w:fldCharType="end"/>
        </w:r>
      </w:hyperlink>
    </w:p>
    <w:p w14:paraId="1A308641" w14:textId="77777777" w:rsidR="00E40776" w:rsidRDefault="00E40776" w:rsidP="00EE7F1F">
      <w:pPr>
        <w:pStyle w:val="TOC2"/>
        <w:rPr>
          <w:noProof/>
          <w:kern w:val="2"/>
          <w:sz w:val="24"/>
          <w:szCs w:val="24"/>
          <w:lang w:val="en-GB"/>
          <w14:ligatures w14:val="standardContextual"/>
        </w:rPr>
      </w:pPr>
      <w:hyperlink w:anchor="_Toc208244445" w:history="1">
        <w:r w:rsidRPr="00634116">
          <w:rPr>
            <w:rStyle w:val="Hyperlink"/>
            <w:noProof/>
          </w:rPr>
          <w:t>I.2</w:t>
        </w:r>
        <w:r>
          <w:rPr>
            <w:noProof/>
            <w:kern w:val="2"/>
            <w:sz w:val="24"/>
            <w:szCs w:val="24"/>
            <w:lang w:val="en-GB"/>
            <w14:ligatures w14:val="standardContextual"/>
          </w:rPr>
          <w:tab/>
        </w:r>
        <w:r w:rsidR="002A2B72" w:rsidRPr="00093CF8">
          <w:rPr>
            <w:rStyle w:val="Hyperlink"/>
          </w:rPr>
          <w:t>Референции</w:t>
        </w:r>
        <w:r>
          <w:rPr>
            <w:noProof/>
            <w:webHidden/>
          </w:rPr>
          <w:tab/>
        </w:r>
        <w:r>
          <w:rPr>
            <w:noProof/>
            <w:webHidden/>
          </w:rPr>
          <w:fldChar w:fldCharType="begin"/>
        </w:r>
        <w:r>
          <w:rPr>
            <w:noProof/>
            <w:webHidden/>
          </w:rPr>
          <w:instrText xml:space="preserve"> PAGEREF _Toc208244445 \h </w:instrText>
        </w:r>
        <w:r>
          <w:rPr>
            <w:noProof/>
            <w:webHidden/>
          </w:rPr>
        </w:r>
        <w:r>
          <w:rPr>
            <w:noProof/>
            <w:webHidden/>
          </w:rPr>
          <w:fldChar w:fldCharType="separate"/>
        </w:r>
        <w:r w:rsidR="00645AF6">
          <w:rPr>
            <w:noProof/>
            <w:webHidden/>
          </w:rPr>
          <w:t>4</w:t>
        </w:r>
        <w:r>
          <w:rPr>
            <w:noProof/>
            <w:webHidden/>
          </w:rPr>
          <w:fldChar w:fldCharType="end"/>
        </w:r>
      </w:hyperlink>
    </w:p>
    <w:p w14:paraId="529B26BB" w14:textId="77777777" w:rsidR="00E40776" w:rsidRDefault="00E40776" w:rsidP="00EE7F1F">
      <w:pPr>
        <w:pStyle w:val="TOC2"/>
        <w:rPr>
          <w:noProof/>
          <w:kern w:val="2"/>
          <w:sz w:val="24"/>
          <w:szCs w:val="24"/>
          <w:lang w:val="en-GB"/>
          <w14:ligatures w14:val="standardContextual"/>
        </w:rPr>
      </w:pPr>
      <w:hyperlink w:anchor="_Toc208244446" w:history="1">
        <w:r w:rsidRPr="00634116">
          <w:rPr>
            <w:rStyle w:val="Hyperlink"/>
            <w:noProof/>
          </w:rPr>
          <w:t>I.3</w:t>
        </w:r>
        <w:r>
          <w:rPr>
            <w:noProof/>
            <w:kern w:val="2"/>
            <w:sz w:val="24"/>
            <w:szCs w:val="24"/>
            <w:lang w:val="en-GB"/>
            <w14:ligatures w14:val="standardContextual"/>
          </w:rPr>
          <w:tab/>
        </w:r>
        <w:r w:rsidRPr="00634116">
          <w:rPr>
            <w:rStyle w:val="Hyperlink"/>
            <w:noProof/>
          </w:rPr>
          <w:t>Счетоводни стандарти</w:t>
        </w:r>
        <w:r>
          <w:rPr>
            <w:noProof/>
            <w:webHidden/>
          </w:rPr>
          <w:tab/>
        </w:r>
        <w:r>
          <w:rPr>
            <w:noProof/>
            <w:webHidden/>
          </w:rPr>
          <w:fldChar w:fldCharType="begin"/>
        </w:r>
        <w:r>
          <w:rPr>
            <w:noProof/>
            <w:webHidden/>
          </w:rPr>
          <w:instrText xml:space="preserve"> PAGEREF _Toc208244446 \h </w:instrText>
        </w:r>
        <w:r>
          <w:rPr>
            <w:noProof/>
            <w:webHidden/>
          </w:rPr>
        </w:r>
        <w:r>
          <w:rPr>
            <w:noProof/>
            <w:webHidden/>
          </w:rPr>
          <w:fldChar w:fldCharType="separate"/>
        </w:r>
        <w:r w:rsidR="00645AF6">
          <w:rPr>
            <w:noProof/>
            <w:webHidden/>
          </w:rPr>
          <w:t>5</w:t>
        </w:r>
        <w:r>
          <w:rPr>
            <w:noProof/>
            <w:webHidden/>
          </w:rPr>
          <w:fldChar w:fldCharType="end"/>
        </w:r>
      </w:hyperlink>
    </w:p>
    <w:p w14:paraId="2529B9D7" w14:textId="77777777" w:rsidR="00E40776" w:rsidRDefault="00E40776" w:rsidP="00EE7F1F">
      <w:pPr>
        <w:pStyle w:val="TOC2"/>
        <w:rPr>
          <w:noProof/>
          <w:kern w:val="2"/>
          <w:sz w:val="24"/>
          <w:szCs w:val="24"/>
          <w:lang w:val="en-GB"/>
          <w14:ligatures w14:val="standardContextual"/>
        </w:rPr>
      </w:pPr>
      <w:hyperlink w:anchor="_Toc208244447" w:history="1">
        <w:r w:rsidRPr="00634116">
          <w:rPr>
            <w:rStyle w:val="Hyperlink"/>
            <w:noProof/>
          </w:rPr>
          <w:t>I.4</w:t>
        </w:r>
        <w:r>
          <w:rPr>
            <w:noProof/>
            <w:kern w:val="2"/>
            <w:sz w:val="24"/>
            <w:szCs w:val="24"/>
            <w:lang w:val="en-GB"/>
            <w14:ligatures w14:val="standardContextual"/>
          </w:rPr>
          <w:tab/>
        </w:r>
        <w:r w:rsidRPr="00634116">
          <w:rPr>
            <w:rStyle w:val="Hyperlink"/>
            <w:noProof/>
          </w:rPr>
          <w:t>Докладване на надзорни данни</w:t>
        </w:r>
        <w:r>
          <w:rPr>
            <w:noProof/>
            <w:webHidden/>
          </w:rPr>
          <w:tab/>
        </w:r>
        <w:r>
          <w:rPr>
            <w:noProof/>
            <w:webHidden/>
          </w:rPr>
          <w:fldChar w:fldCharType="begin"/>
        </w:r>
        <w:r>
          <w:rPr>
            <w:noProof/>
            <w:webHidden/>
          </w:rPr>
          <w:instrText xml:space="preserve"> PAGEREF _Toc208244447 \h </w:instrText>
        </w:r>
        <w:r>
          <w:rPr>
            <w:noProof/>
            <w:webHidden/>
          </w:rPr>
        </w:r>
        <w:r>
          <w:rPr>
            <w:noProof/>
            <w:webHidden/>
          </w:rPr>
          <w:fldChar w:fldCharType="separate"/>
        </w:r>
        <w:r w:rsidR="00645AF6">
          <w:rPr>
            <w:noProof/>
            <w:webHidden/>
          </w:rPr>
          <w:t>6</w:t>
        </w:r>
        <w:r>
          <w:rPr>
            <w:noProof/>
            <w:webHidden/>
          </w:rPr>
          <w:fldChar w:fldCharType="end"/>
        </w:r>
      </w:hyperlink>
    </w:p>
    <w:p w14:paraId="4CCB21C8" w14:textId="77777777" w:rsidR="00E40776" w:rsidRDefault="00E40776" w:rsidP="00EE7F1F">
      <w:pPr>
        <w:pStyle w:val="TOC2"/>
        <w:rPr>
          <w:noProof/>
          <w:kern w:val="2"/>
          <w:sz w:val="24"/>
          <w:szCs w:val="24"/>
          <w:lang w:val="en-GB"/>
          <w14:ligatures w14:val="standardContextual"/>
        </w:rPr>
      </w:pPr>
      <w:hyperlink w:anchor="_Toc208244448" w:history="1">
        <w:r w:rsidRPr="00634116">
          <w:rPr>
            <w:rStyle w:val="Hyperlink"/>
            <w:noProof/>
          </w:rPr>
          <w:t>I.5</w:t>
        </w:r>
        <w:r>
          <w:rPr>
            <w:noProof/>
            <w:kern w:val="2"/>
            <w:sz w:val="24"/>
            <w:szCs w:val="24"/>
            <w:lang w:val="en-GB"/>
            <w14:ligatures w14:val="standardContextual"/>
          </w:rPr>
          <w:tab/>
        </w:r>
        <w:r w:rsidRPr="00634116">
          <w:rPr>
            <w:rStyle w:val="Hyperlink"/>
            <w:noProof/>
          </w:rPr>
          <w:t>Обхват на консолидацията</w:t>
        </w:r>
        <w:r>
          <w:rPr>
            <w:noProof/>
            <w:webHidden/>
          </w:rPr>
          <w:tab/>
        </w:r>
        <w:r>
          <w:rPr>
            <w:noProof/>
            <w:webHidden/>
          </w:rPr>
          <w:fldChar w:fldCharType="begin"/>
        </w:r>
        <w:r>
          <w:rPr>
            <w:noProof/>
            <w:webHidden/>
          </w:rPr>
          <w:instrText xml:space="preserve"> PAGEREF _Toc208244448 \h </w:instrText>
        </w:r>
        <w:r>
          <w:rPr>
            <w:noProof/>
            <w:webHidden/>
          </w:rPr>
        </w:r>
        <w:r>
          <w:rPr>
            <w:noProof/>
            <w:webHidden/>
          </w:rPr>
          <w:fldChar w:fldCharType="separate"/>
        </w:r>
        <w:r w:rsidR="00645AF6">
          <w:rPr>
            <w:noProof/>
            <w:webHidden/>
          </w:rPr>
          <w:t>6</w:t>
        </w:r>
        <w:r>
          <w:rPr>
            <w:noProof/>
            <w:webHidden/>
          </w:rPr>
          <w:fldChar w:fldCharType="end"/>
        </w:r>
      </w:hyperlink>
    </w:p>
    <w:p w14:paraId="27DBC3BC" w14:textId="77777777" w:rsidR="00E40776" w:rsidRDefault="00E40776" w:rsidP="00EE7F1F">
      <w:pPr>
        <w:pStyle w:val="TOC2"/>
        <w:rPr>
          <w:noProof/>
          <w:kern w:val="2"/>
          <w:sz w:val="24"/>
          <w:szCs w:val="24"/>
          <w:lang w:val="en-GB"/>
          <w14:ligatures w14:val="standardContextual"/>
        </w:rPr>
      </w:pPr>
      <w:hyperlink w:anchor="_Toc208244449" w:history="1">
        <w:r w:rsidRPr="00634116">
          <w:rPr>
            <w:rStyle w:val="Hyperlink"/>
            <w:noProof/>
          </w:rPr>
          <w:t>I.6</w:t>
        </w:r>
        <w:r>
          <w:rPr>
            <w:noProof/>
            <w:kern w:val="2"/>
            <w:sz w:val="24"/>
            <w:szCs w:val="24"/>
            <w:lang w:val="en-GB"/>
            <w14:ligatures w14:val="standardContextual"/>
          </w:rPr>
          <w:tab/>
        </w:r>
        <w:r w:rsidRPr="00634116">
          <w:rPr>
            <w:rStyle w:val="Hyperlink"/>
            <w:noProof/>
          </w:rPr>
          <w:t>Номериране и други установени практики</w:t>
        </w:r>
        <w:r>
          <w:rPr>
            <w:noProof/>
            <w:webHidden/>
          </w:rPr>
          <w:tab/>
        </w:r>
        <w:r>
          <w:rPr>
            <w:noProof/>
            <w:webHidden/>
          </w:rPr>
          <w:fldChar w:fldCharType="begin"/>
        </w:r>
        <w:r>
          <w:rPr>
            <w:noProof/>
            <w:webHidden/>
          </w:rPr>
          <w:instrText xml:space="preserve"> PAGEREF _Toc208244449 \h </w:instrText>
        </w:r>
        <w:r>
          <w:rPr>
            <w:noProof/>
            <w:webHidden/>
          </w:rPr>
        </w:r>
        <w:r>
          <w:rPr>
            <w:noProof/>
            <w:webHidden/>
          </w:rPr>
          <w:fldChar w:fldCharType="separate"/>
        </w:r>
        <w:r w:rsidR="00645AF6">
          <w:rPr>
            <w:noProof/>
            <w:webHidden/>
          </w:rPr>
          <w:t>6</w:t>
        </w:r>
        <w:r>
          <w:rPr>
            <w:noProof/>
            <w:webHidden/>
          </w:rPr>
          <w:fldChar w:fldCharType="end"/>
        </w:r>
      </w:hyperlink>
    </w:p>
    <w:p w14:paraId="34F0C11D" w14:textId="77777777" w:rsidR="00E40776" w:rsidRDefault="00E40776" w:rsidP="00EE7F1F">
      <w:pPr>
        <w:pStyle w:val="TOC2"/>
        <w:rPr>
          <w:noProof/>
          <w:kern w:val="2"/>
          <w:sz w:val="24"/>
          <w:szCs w:val="24"/>
          <w:lang w:val="en-GB"/>
          <w14:ligatures w14:val="standardContextual"/>
        </w:rPr>
      </w:pPr>
      <w:hyperlink w:anchor="_Toc208244450" w:history="1">
        <w:r w:rsidRPr="00634116">
          <w:rPr>
            <w:rStyle w:val="Hyperlink"/>
            <w:noProof/>
          </w:rPr>
          <w:t>II.</w:t>
        </w:r>
        <w:r>
          <w:rPr>
            <w:noProof/>
            <w:kern w:val="2"/>
            <w:sz w:val="24"/>
            <w:szCs w:val="24"/>
            <w:lang w:val="en-GB"/>
            <w14:ligatures w14:val="standardContextual"/>
          </w:rPr>
          <w:tab/>
        </w:r>
        <w:r w:rsidRPr="00634116">
          <w:rPr>
            <w:rStyle w:val="Hyperlink"/>
            <w:noProof/>
          </w:rPr>
          <w:t>Указания за образците</w:t>
        </w:r>
        <w:r>
          <w:rPr>
            <w:noProof/>
            <w:webHidden/>
          </w:rPr>
          <w:tab/>
        </w:r>
        <w:r>
          <w:rPr>
            <w:noProof/>
            <w:webHidden/>
          </w:rPr>
          <w:fldChar w:fldCharType="begin"/>
        </w:r>
        <w:r>
          <w:rPr>
            <w:noProof/>
            <w:webHidden/>
          </w:rPr>
          <w:instrText xml:space="preserve"> PAGEREF _Toc208244450 \h </w:instrText>
        </w:r>
        <w:r>
          <w:rPr>
            <w:noProof/>
            <w:webHidden/>
          </w:rPr>
        </w:r>
        <w:r>
          <w:rPr>
            <w:noProof/>
            <w:webHidden/>
          </w:rPr>
          <w:fldChar w:fldCharType="separate"/>
        </w:r>
        <w:r w:rsidR="00645AF6">
          <w:rPr>
            <w:noProof/>
            <w:webHidden/>
          </w:rPr>
          <w:t>7</w:t>
        </w:r>
        <w:r>
          <w:rPr>
            <w:noProof/>
            <w:webHidden/>
          </w:rPr>
          <w:fldChar w:fldCharType="end"/>
        </w:r>
      </w:hyperlink>
    </w:p>
    <w:p w14:paraId="132D49C2" w14:textId="4CE4822F" w:rsidR="00E40776" w:rsidRDefault="002A2B72" w:rsidP="00EE7F1F">
      <w:pPr>
        <w:pStyle w:val="TOC2"/>
        <w:rPr>
          <w:noProof/>
          <w:kern w:val="2"/>
          <w:sz w:val="24"/>
          <w:szCs w:val="24"/>
          <w:lang w:val="en-GB"/>
          <w14:ligatures w14:val="standardContextual"/>
        </w:rPr>
      </w:pPr>
      <w:hyperlink w:anchor="_Toc208244451" w:history="1">
        <w:r w:rsidR="00E40776" w:rsidRPr="00634116">
          <w:rPr>
            <w:rStyle w:val="Hyperlink"/>
            <w:noProof/>
          </w:rPr>
          <w:t>II.1</w:t>
        </w:r>
        <w:r w:rsidR="00E40776">
          <w:rPr>
            <w:noProof/>
            <w:kern w:val="2"/>
            <w:sz w:val="24"/>
            <w:szCs w:val="24"/>
            <w:lang w:val="en-GB"/>
            <w14:ligatures w14:val="standardContextual"/>
          </w:rPr>
          <w:tab/>
        </w:r>
        <w:r w:rsidR="00E40776" w:rsidRPr="00634116">
          <w:rPr>
            <w:rStyle w:val="Hyperlink"/>
            <w:noProof/>
          </w:rPr>
          <w:t xml:space="preserve">Z 01.01 — </w:t>
        </w:r>
        <w:r w:rsidR="001A79CE">
          <w:rPr>
            <w:rStyle w:val="Hyperlink"/>
            <w:noProof/>
            <w:lang w:val="bg-BG"/>
          </w:rPr>
          <w:t>Правни субекти</w:t>
        </w:r>
        <w:r w:rsidR="00E40776" w:rsidRPr="00634116">
          <w:rPr>
            <w:rStyle w:val="Hyperlink"/>
            <w:noProof/>
          </w:rPr>
          <w:t xml:space="preserve"> (ORG 1)</w:t>
        </w:r>
        <w:r w:rsidR="00E40776">
          <w:rPr>
            <w:noProof/>
            <w:webHidden/>
          </w:rPr>
          <w:tab/>
        </w:r>
        <w:r w:rsidR="00E40776">
          <w:rPr>
            <w:noProof/>
            <w:webHidden/>
          </w:rPr>
          <w:fldChar w:fldCharType="begin"/>
        </w:r>
        <w:r w:rsidR="00E40776">
          <w:rPr>
            <w:noProof/>
            <w:webHidden/>
          </w:rPr>
          <w:instrText xml:space="preserve"> PAGEREF _Toc208244451 \h </w:instrText>
        </w:r>
        <w:r w:rsidR="00E40776">
          <w:rPr>
            <w:noProof/>
            <w:webHidden/>
          </w:rPr>
        </w:r>
        <w:r w:rsidR="00E40776">
          <w:rPr>
            <w:noProof/>
            <w:webHidden/>
          </w:rPr>
          <w:fldChar w:fldCharType="separate"/>
        </w:r>
        <w:r w:rsidR="00645AF6">
          <w:rPr>
            <w:noProof/>
            <w:webHidden/>
          </w:rPr>
          <w:t>7</w:t>
        </w:r>
        <w:r w:rsidR="00E40776">
          <w:rPr>
            <w:noProof/>
            <w:webHidden/>
          </w:rPr>
          <w:fldChar w:fldCharType="end"/>
        </w:r>
      </w:hyperlink>
    </w:p>
    <w:p w14:paraId="4B73513F" w14:textId="77777777" w:rsidR="00E40776" w:rsidRDefault="00E40776" w:rsidP="00EE7F1F">
      <w:pPr>
        <w:pStyle w:val="TOC2"/>
        <w:rPr>
          <w:noProof/>
          <w:kern w:val="2"/>
          <w:sz w:val="24"/>
          <w:szCs w:val="24"/>
          <w:lang w:val="en-GB"/>
          <w14:ligatures w14:val="standardContextual"/>
        </w:rPr>
      </w:pPr>
      <w:hyperlink w:anchor="_Toc208244452" w:history="1">
        <w:r w:rsidRPr="00634116">
          <w:rPr>
            <w:rStyle w:val="Hyperlink"/>
            <w:noProof/>
          </w:rPr>
          <w:t>II.2</w:t>
        </w:r>
        <w:r>
          <w:rPr>
            <w:noProof/>
            <w:kern w:val="2"/>
            <w:sz w:val="24"/>
            <w:szCs w:val="24"/>
            <w:lang w:val="en-GB"/>
            <w14:ligatures w14:val="standardContextual"/>
          </w:rPr>
          <w:tab/>
        </w:r>
        <w:r w:rsidRPr="00634116">
          <w:rPr>
            <w:rStyle w:val="Hyperlink"/>
            <w:noProof/>
          </w:rPr>
          <w:t>Z 01.02 — Структура на собствеността (ORG 2)</w:t>
        </w:r>
        <w:r>
          <w:rPr>
            <w:noProof/>
            <w:webHidden/>
          </w:rPr>
          <w:tab/>
        </w:r>
        <w:r>
          <w:rPr>
            <w:noProof/>
            <w:webHidden/>
          </w:rPr>
          <w:fldChar w:fldCharType="begin"/>
        </w:r>
        <w:r>
          <w:rPr>
            <w:noProof/>
            <w:webHidden/>
          </w:rPr>
          <w:instrText xml:space="preserve"> PAGEREF _Toc208244452 \h </w:instrText>
        </w:r>
        <w:r>
          <w:rPr>
            <w:noProof/>
            <w:webHidden/>
          </w:rPr>
        </w:r>
        <w:r>
          <w:rPr>
            <w:noProof/>
            <w:webHidden/>
          </w:rPr>
          <w:fldChar w:fldCharType="separate"/>
        </w:r>
        <w:r w:rsidR="00645AF6">
          <w:rPr>
            <w:noProof/>
            <w:webHidden/>
          </w:rPr>
          <w:t>10</w:t>
        </w:r>
        <w:r>
          <w:rPr>
            <w:noProof/>
            <w:webHidden/>
          </w:rPr>
          <w:fldChar w:fldCharType="end"/>
        </w:r>
      </w:hyperlink>
    </w:p>
    <w:p w14:paraId="2200B974" w14:textId="77777777" w:rsidR="00E40776" w:rsidRDefault="00E40776" w:rsidP="00EE7F1F">
      <w:pPr>
        <w:pStyle w:val="TOC2"/>
        <w:rPr>
          <w:noProof/>
          <w:kern w:val="2"/>
          <w:sz w:val="24"/>
          <w:szCs w:val="24"/>
          <w:lang w:val="en-GB"/>
          <w14:ligatures w14:val="standardContextual"/>
        </w:rPr>
      </w:pPr>
      <w:hyperlink w:anchor="_Toc208244453" w:history="1">
        <w:r w:rsidRPr="00634116">
          <w:rPr>
            <w:rStyle w:val="Hyperlink"/>
            <w:noProof/>
          </w:rPr>
          <w:t>II.3</w:t>
        </w:r>
        <w:r>
          <w:rPr>
            <w:noProof/>
            <w:kern w:val="2"/>
            <w:sz w:val="24"/>
            <w:szCs w:val="24"/>
            <w:lang w:val="en-GB"/>
            <w14:ligatures w14:val="standardContextual"/>
          </w:rPr>
          <w:tab/>
        </w:r>
        <w:r w:rsidRPr="00634116">
          <w:rPr>
            <w:rStyle w:val="Hyperlink"/>
            <w:noProof/>
          </w:rPr>
          <w:t>Z 02.00 — Структура на задълженията (LIAB 1)</w:t>
        </w:r>
        <w:r>
          <w:rPr>
            <w:noProof/>
            <w:webHidden/>
          </w:rPr>
          <w:tab/>
        </w:r>
        <w:r>
          <w:rPr>
            <w:noProof/>
            <w:webHidden/>
          </w:rPr>
          <w:fldChar w:fldCharType="begin"/>
        </w:r>
        <w:r>
          <w:rPr>
            <w:noProof/>
            <w:webHidden/>
          </w:rPr>
          <w:instrText xml:space="preserve"> PAGEREF _Toc208244453 \h </w:instrText>
        </w:r>
        <w:r>
          <w:rPr>
            <w:noProof/>
            <w:webHidden/>
          </w:rPr>
        </w:r>
        <w:r>
          <w:rPr>
            <w:noProof/>
            <w:webHidden/>
          </w:rPr>
          <w:fldChar w:fldCharType="separate"/>
        </w:r>
        <w:r w:rsidR="00645AF6">
          <w:rPr>
            <w:noProof/>
            <w:webHidden/>
          </w:rPr>
          <w:t>12</w:t>
        </w:r>
        <w:r>
          <w:rPr>
            <w:noProof/>
            <w:webHidden/>
          </w:rPr>
          <w:fldChar w:fldCharType="end"/>
        </w:r>
      </w:hyperlink>
    </w:p>
    <w:p w14:paraId="10D74945" w14:textId="77777777" w:rsidR="00E40776" w:rsidRDefault="00E40776" w:rsidP="00EE7F1F">
      <w:pPr>
        <w:pStyle w:val="TOC2"/>
        <w:rPr>
          <w:noProof/>
          <w:kern w:val="2"/>
          <w:sz w:val="24"/>
          <w:szCs w:val="24"/>
          <w:lang w:val="en-GB"/>
          <w14:ligatures w14:val="standardContextual"/>
        </w:rPr>
      </w:pPr>
      <w:hyperlink w:anchor="_Toc208244454" w:history="1">
        <w:r w:rsidRPr="00634116">
          <w:rPr>
            <w:rStyle w:val="Hyperlink"/>
            <w:noProof/>
          </w:rPr>
          <w:t>II.4</w:t>
        </w:r>
        <w:r>
          <w:rPr>
            <w:noProof/>
            <w:kern w:val="2"/>
            <w:sz w:val="24"/>
            <w:szCs w:val="24"/>
            <w:lang w:val="en-GB"/>
            <w14:ligatures w14:val="standardContextual"/>
          </w:rPr>
          <w:tab/>
        </w:r>
        <w:r w:rsidRPr="00634116">
          <w:rPr>
            <w:rStyle w:val="Hyperlink"/>
            <w:noProof/>
          </w:rPr>
          <w:t>Z 03.01 — Капиталови изисквания — Кредитни институции (LIAB 2)</w:t>
        </w:r>
        <w:r>
          <w:rPr>
            <w:noProof/>
            <w:webHidden/>
          </w:rPr>
          <w:tab/>
        </w:r>
        <w:r>
          <w:rPr>
            <w:noProof/>
            <w:webHidden/>
          </w:rPr>
          <w:fldChar w:fldCharType="begin"/>
        </w:r>
        <w:r>
          <w:rPr>
            <w:noProof/>
            <w:webHidden/>
          </w:rPr>
          <w:instrText xml:space="preserve"> PAGEREF _Toc208244454 \h </w:instrText>
        </w:r>
        <w:r>
          <w:rPr>
            <w:noProof/>
            <w:webHidden/>
          </w:rPr>
        </w:r>
        <w:r>
          <w:rPr>
            <w:noProof/>
            <w:webHidden/>
          </w:rPr>
          <w:fldChar w:fldCharType="separate"/>
        </w:r>
        <w:r w:rsidR="00645AF6">
          <w:rPr>
            <w:noProof/>
            <w:webHidden/>
          </w:rPr>
          <w:t>20</w:t>
        </w:r>
        <w:r>
          <w:rPr>
            <w:noProof/>
            <w:webHidden/>
          </w:rPr>
          <w:fldChar w:fldCharType="end"/>
        </w:r>
      </w:hyperlink>
    </w:p>
    <w:p w14:paraId="2E22A366" w14:textId="77777777" w:rsidR="00E40776" w:rsidRDefault="00E40776" w:rsidP="00EE7F1F">
      <w:pPr>
        <w:pStyle w:val="TOC2"/>
        <w:rPr>
          <w:noProof/>
          <w:kern w:val="2"/>
          <w:sz w:val="24"/>
          <w:szCs w:val="24"/>
          <w:lang w:val="en-GB"/>
          <w14:ligatures w14:val="standardContextual"/>
        </w:rPr>
      </w:pPr>
      <w:hyperlink w:anchor="_Toc208244455" w:history="1">
        <w:r w:rsidRPr="00634116">
          <w:rPr>
            <w:rStyle w:val="Hyperlink"/>
            <w:noProof/>
          </w:rPr>
          <w:t>II.5</w:t>
        </w:r>
        <w:r>
          <w:rPr>
            <w:noProof/>
            <w:kern w:val="2"/>
            <w:sz w:val="24"/>
            <w:szCs w:val="24"/>
            <w:lang w:val="en-GB"/>
            <w14:ligatures w14:val="standardContextual"/>
          </w:rPr>
          <w:tab/>
        </w:r>
        <w:r w:rsidRPr="00634116">
          <w:rPr>
            <w:rStyle w:val="Hyperlink"/>
            <w:noProof/>
          </w:rPr>
          <w:t>Z 03.02 — Капиталови изисквания — Инвестиционни посредници (LIAB 3)</w:t>
        </w:r>
        <w:r>
          <w:rPr>
            <w:noProof/>
            <w:webHidden/>
          </w:rPr>
          <w:tab/>
        </w:r>
        <w:r>
          <w:rPr>
            <w:noProof/>
            <w:webHidden/>
          </w:rPr>
          <w:fldChar w:fldCharType="begin"/>
        </w:r>
        <w:r>
          <w:rPr>
            <w:noProof/>
            <w:webHidden/>
          </w:rPr>
          <w:instrText xml:space="preserve"> PAGEREF _Toc208244455 \h </w:instrText>
        </w:r>
        <w:r>
          <w:rPr>
            <w:noProof/>
            <w:webHidden/>
          </w:rPr>
        </w:r>
        <w:r>
          <w:rPr>
            <w:noProof/>
            <w:webHidden/>
          </w:rPr>
          <w:fldChar w:fldCharType="separate"/>
        </w:r>
        <w:r w:rsidR="00645AF6">
          <w:rPr>
            <w:noProof/>
            <w:webHidden/>
          </w:rPr>
          <w:t>23</w:t>
        </w:r>
        <w:r>
          <w:rPr>
            <w:noProof/>
            <w:webHidden/>
          </w:rPr>
          <w:fldChar w:fldCharType="end"/>
        </w:r>
      </w:hyperlink>
    </w:p>
    <w:p w14:paraId="01E356E7" w14:textId="7899F22C" w:rsidR="00E40776" w:rsidRDefault="002A2B72" w:rsidP="00EE7F1F">
      <w:pPr>
        <w:pStyle w:val="TOC2"/>
        <w:rPr>
          <w:noProof/>
          <w:kern w:val="2"/>
          <w:sz w:val="24"/>
          <w:szCs w:val="24"/>
          <w:lang w:val="en-GB"/>
          <w14:ligatures w14:val="standardContextual"/>
        </w:rPr>
      </w:pPr>
      <w:hyperlink w:anchor="_Toc208244456" w:history="1">
        <w:r w:rsidR="00E40776" w:rsidRPr="00634116">
          <w:rPr>
            <w:rStyle w:val="Hyperlink"/>
            <w:noProof/>
          </w:rPr>
          <w:t>II.6</w:t>
        </w:r>
        <w:r w:rsidR="00E40776">
          <w:rPr>
            <w:noProof/>
            <w:kern w:val="2"/>
            <w:sz w:val="24"/>
            <w:szCs w:val="24"/>
            <w:lang w:val="en-GB"/>
            <w14:ligatures w14:val="standardContextual"/>
          </w:rPr>
          <w:tab/>
        </w:r>
        <w:r w:rsidR="00E40776" w:rsidRPr="00634116">
          <w:rPr>
            <w:rStyle w:val="Hyperlink"/>
            <w:noProof/>
          </w:rPr>
          <w:t xml:space="preserve">Z 04.00 — </w:t>
        </w:r>
        <w:r w:rsidR="001A79CE">
          <w:rPr>
            <w:rStyle w:val="Hyperlink"/>
            <w:noProof/>
            <w:lang w:val="bg-BG"/>
          </w:rPr>
          <w:t xml:space="preserve">Вътрешногрупови </w:t>
        </w:r>
        <w:r>
          <w:rPr>
            <w:rStyle w:val="Hyperlink"/>
            <w:noProof/>
            <w:lang w:val="bg-BG"/>
          </w:rPr>
          <w:t>ф</w:t>
        </w:r>
        <w:r w:rsidR="00E40776" w:rsidRPr="00634116">
          <w:rPr>
            <w:rStyle w:val="Hyperlink"/>
            <w:noProof/>
          </w:rPr>
          <w:t>инансови взаимовръзки (IFC)</w:t>
        </w:r>
        <w:r w:rsidR="00E40776">
          <w:rPr>
            <w:noProof/>
            <w:webHidden/>
          </w:rPr>
          <w:tab/>
        </w:r>
        <w:r w:rsidR="00E40776">
          <w:rPr>
            <w:noProof/>
            <w:webHidden/>
          </w:rPr>
          <w:fldChar w:fldCharType="begin"/>
        </w:r>
        <w:r w:rsidR="00E40776">
          <w:rPr>
            <w:noProof/>
            <w:webHidden/>
          </w:rPr>
          <w:instrText xml:space="preserve"> PAGEREF _Toc208244456 \h </w:instrText>
        </w:r>
        <w:r w:rsidR="00E40776">
          <w:rPr>
            <w:noProof/>
            <w:webHidden/>
          </w:rPr>
        </w:r>
        <w:r w:rsidR="00E40776">
          <w:rPr>
            <w:noProof/>
            <w:webHidden/>
          </w:rPr>
          <w:fldChar w:fldCharType="separate"/>
        </w:r>
        <w:r w:rsidR="00645AF6">
          <w:rPr>
            <w:noProof/>
            <w:webHidden/>
          </w:rPr>
          <w:t>24</w:t>
        </w:r>
        <w:r w:rsidR="00E40776">
          <w:rPr>
            <w:noProof/>
            <w:webHidden/>
          </w:rPr>
          <w:fldChar w:fldCharType="end"/>
        </w:r>
      </w:hyperlink>
    </w:p>
    <w:p w14:paraId="09897D0A" w14:textId="77777777" w:rsidR="00E40776" w:rsidRDefault="00E40776" w:rsidP="00EE7F1F">
      <w:pPr>
        <w:pStyle w:val="TOC2"/>
        <w:rPr>
          <w:noProof/>
          <w:kern w:val="2"/>
          <w:sz w:val="24"/>
          <w:szCs w:val="24"/>
          <w:lang w:val="en-GB"/>
          <w14:ligatures w14:val="standardContextual"/>
        </w:rPr>
      </w:pPr>
      <w:hyperlink w:anchor="_Toc208244457" w:history="1">
        <w:r w:rsidRPr="00634116">
          <w:rPr>
            <w:rStyle w:val="Hyperlink"/>
            <w:noProof/>
          </w:rPr>
          <w:t>II.7</w:t>
        </w:r>
        <w:r>
          <w:rPr>
            <w:noProof/>
            <w:kern w:val="2"/>
            <w:sz w:val="24"/>
            <w:szCs w:val="24"/>
            <w:lang w:val="en-GB"/>
            <w14:ligatures w14:val="standardContextual"/>
          </w:rPr>
          <w:tab/>
        </w:r>
        <w:r w:rsidRPr="00634116">
          <w:rPr>
            <w:rStyle w:val="Hyperlink"/>
            <w:noProof/>
          </w:rPr>
          <w:t>Основни контрагенти (LIAB 5—6)</w:t>
        </w:r>
        <w:r>
          <w:rPr>
            <w:noProof/>
            <w:webHidden/>
          </w:rPr>
          <w:tab/>
        </w:r>
        <w:r>
          <w:rPr>
            <w:noProof/>
            <w:webHidden/>
          </w:rPr>
          <w:fldChar w:fldCharType="begin"/>
        </w:r>
        <w:r>
          <w:rPr>
            <w:noProof/>
            <w:webHidden/>
          </w:rPr>
          <w:instrText xml:space="preserve"> PAGEREF _Toc208244457 \h </w:instrText>
        </w:r>
        <w:r>
          <w:rPr>
            <w:noProof/>
            <w:webHidden/>
          </w:rPr>
        </w:r>
        <w:r>
          <w:rPr>
            <w:noProof/>
            <w:webHidden/>
          </w:rPr>
          <w:fldChar w:fldCharType="separate"/>
        </w:r>
        <w:r w:rsidR="00645AF6">
          <w:rPr>
            <w:noProof/>
            <w:webHidden/>
          </w:rPr>
          <w:t>27</w:t>
        </w:r>
        <w:r>
          <w:rPr>
            <w:noProof/>
            <w:webHidden/>
          </w:rPr>
          <w:fldChar w:fldCharType="end"/>
        </w:r>
      </w:hyperlink>
    </w:p>
    <w:p w14:paraId="7A8EA70C" w14:textId="77777777" w:rsidR="00E40776" w:rsidRDefault="00E40776" w:rsidP="00EE7F1F">
      <w:pPr>
        <w:pStyle w:val="TOC2"/>
        <w:rPr>
          <w:noProof/>
          <w:kern w:val="2"/>
          <w:sz w:val="24"/>
          <w:szCs w:val="24"/>
          <w:lang w:val="en-GB"/>
          <w14:ligatures w14:val="standardContextual"/>
        </w:rPr>
      </w:pPr>
      <w:hyperlink w:anchor="_Toc208244458" w:history="1">
        <w:r w:rsidRPr="00634116">
          <w:rPr>
            <w:rStyle w:val="Hyperlink"/>
            <w:noProof/>
          </w:rPr>
          <w:t>II.8</w:t>
        </w:r>
        <w:r>
          <w:rPr>
            <w:noProof/>
            <w:kern w:val="2"/>
            <w:sz w:val="24"/>
            <w:szCs w:val="24"/>
            <w:lang w:val="en-GB"/>
            <w14:ligatures w14:val="standardContextual"/>
          </w:rPr>
          <w:tab/>
        </w:r>
        <w:r w:rsidRPr="00634116">
          <w:rPr>
            <w:rStyle w:val="Hyperlink"/>
            <w:noProof/>
          </w:rPr>
          <w:t>Z 05.01 — Задължения към основни контрагенти (LIAB 5)</w:t>
        </w:r>
        <w:r>
          <w:rPr>
            <w:noProof/>
            <w:webHidden/>
          </w:rPr>
          <w:tab/>
        </w:r>
        <w:r>
          <w:rPr>
            <w:noProof/>
            <w:webHidden/>
          </w:rPr>
          <w:fldChar w:fldCharType="begin"/>
        </w:r>
        <w:r>
          <w:rPr>
            <w:noProof/>
            <w:webHidden/>
          </w:rPr>
          <w:instrText xml:space="preserve"> PAGEREF _Toc208244458 \h </w:instrText>
        </w:r>
        <w:r>
          <w:rPr>
            <w:noProof/>
            <w:webHidden/>
          </w:rPr>
        </w:r>
        <w:r>
          <w:rPr>
            <w:noProof/>
            <w:webHidden/>
          </w:rPr>
          <w:fldChar w:fldCharType="separate"/>
        </w:r>
        <w:r w:rsidR="00645AF6">
          <w:rPr>
            <w:noProof/>
            <w:webHidden/>
          </w:rPr>
          <w:t>27</w:t>
        </w:r>
        <w:r>
          <w:rPr>
            <w:noProof/>
            <w:webHidden/>
          </w:rPr>
          <w:fldChar w:fldCharType="end"/>
        </w:r>
      </w:hyperlink>
    </w:p>
    <w:p w14:paraId="4DAB73F5" w14:textId="44EC8D93" w:rsidR="00E40776" w:rsidRDefault="002A2B72" w:rsidP="00EE7F1F">
      <w:pPr>
        <w:pStyle w:val="TOC2"/>
        <w:rPr>
          <w:noProof/>
          <w:kern w:val="2"/>
          <w:sz w:val="24"/>
          <w:szCs w:val="24"/>
          <w:lang w:val="en-GB"/>
          <w14:ligatures w14:val="standardContextual"/>
        </w:rPr>
      </w:pPr>
      <w:hyperlink w:anchor="_Toc208244459" w:history="1">
        <w:r w:rsidR="00E40776" w:rsidRPr="00634116">
          <w:rPr>
            <w:rStyle w:val="Hyperlink"/>
            <w:noProof/>
          </w:rPr>
          <w:t>II.9</w:t>
        </w:r>
        <w:r w:rsidR="00E40776">
          <w:rPr>
            <w:noProof/>
            <w:kern w:val="2"/>
            <w:sz w:val="24"/>
            <w:szCs w:val="24"/>
            <w:lang w:val="en-GB"/>
            <w14:ligatures w14:val="standardContextual"/>
          </w:rPr>
          <w:tab/>
        </w:r>
        <w:r w:rsidR="00E40776" w:rsidRPr="00634116">
          <w:rPr>
            <w:rStyle w:val="Hyperlink"/>
            <w:noProof/>
          </w:rPr>
          <w:t xml:space="preserve">Z 05.02 — </w:t>
        </w:r>
        <w:r w:rsidR="001A79CE">
          <w:rPr>
            <w:rStyle w:val="Hyperlink"/>
            <w:noProof/>
            <w:lang w:val="bg-BG"/>
          </w:rPr>
          <w:t>Зад</w:t>
        </w:r>
        <w:r w:rsidR="00E40776" w:rsidRPr="00634116">
          <w:rPr>
            <w:rStyle w:val="Hyperlink"/>
            <w:noProof/>
          </w:rPr>
          <w:t>балансови позиции от основни контрагенти (LIAB 6)</w:t>
        </w:r>
        <w:r w:rsidR="00E40776">
          <w:rPr>
            <w:noProof/>
            <w:webHidden/>
          </w:rPr>
          <w:tab/>
        </w:r>
        <w:r w:rsidR="00E40776">
          <w:rPr>
            <w:noProof/>
            <w:webHidden/>
          </w:rPr>
          <w:fldChar w:fldCharType="begin"/>
        </w:r>
        <w:r w:rsidR="00E40776">
          <w:rPr>
            <w:noProof/>
            <w:webHidden/>
          </w:rPr>
          <w:instrText xml:space="preserve"> PAGEREF _Toc208244459 \h </w:instrText>
        </w:r>
        <w:r w:rsidR="00E40776">
          <w:rPr>
            <w:noProof/>
            <w:webHidden/>
          </w:rPr>
        </w:r>
        <w:r w:rsidR="00E40776">
          <w:rPr>
            <w:noProof/>
            <w:webHidden/>
          </w:rPr>
          <w:fldChar w:fldCharType="separate"/>
        </w:r>
        <w:r w:rsidR="00645AF6">
          <w:rPr>
            <w:noProof/>
            <w:webHidden/>
          </w:rPr>
          <w:t>29</w:t>
        </w:r>
        <w:r w:rsidR="00E40776">
          <w:rPr>
            <w:noProof/>
            <w:webHidden/>
          </w:rPr>
          <w:fldChar w:fldCharType="end"/>
        </w:r>
      </w:hyperlink>
    </w:p>
    <w:p w14:paraId="458C4B41" w14:textId="77777777" w:rsidR="00E40776" w:rsidRDefault="00E40776" w:rsidP="00EE7F1F">
      <w:pPr>
        <w:pStyle w:val="TOC2"/>
        <w:rPr>
          <w:noProof/>
          <w:kern w:val="2"/>
          <w:sz w:val="24"/>
          <w:szCs w:val="24"/>
          <w:lang w:val="en-GB"/>
          <w14:ligatures w14:val="standardContextual"/>
        </w:rPr>
      </w:pPr>
      <w:hyperlink w:anchor="_Toc208244460" w:history="1">
        <w:r w:rsidRPr="00634116">
          <w:rPr>
            <w:rStyle w:val="Hyperlink"/>
            <w:noProof/>
          </w:rPr>
          <w:t>II.10</w:t>
        </w:r>
        <w:r>
          <w:rPr>
            <w:noProof/>
            <w:kern w:val="2"/>
            <w:sz w:val="24"/>
            <w:szCs w:val="24"/>
            <w:lang w:val="en-GB"/>
            <w14:ligatures w14:val="standardContextual"/>
          </w:rPr>
          <w:tab/>
        </w:r>
        <w:r w:rsidRPr="00634116">
          <w:rPr>
            <w:rStyle w:val="Hyperlink"/>
            <w:noProof/>
          </w:rPr>
          <w:t>Z 06.00 — Застраховане на депозитите (LIAB 7)</w:t>
        </w:r>
        <w:r>
          <w:rPr>
            <w:noProof/>
            <w:webHidden/>
          </w:rPr>
          <w:tab/>
        </w:r>
        <w:r>
          <w:rPr>
            <w:noProof/>
            <w:webHidden/>
          </w:rPr>
          <w:fldChar w:fldCharType="begin"/>
        </w:r>
        <w:r>
          <w:rPr>
            <w:noProof/>
            <w:webHidden/>
          </w:rPr>
          <w:instrText xml:space="preserve"> PAGEREF _Toc208244460 \h </w:instrText>
        </w:r>
        <w:r>
          <w:rPr>
            <w:noProof/>
            <w:webHidden/>
          </w:rPr>
        </w:r>
        <w:r>
          <w:rPr>
            <w:noProof/>
            <w:webHidden/>
          </w:rPr>
          <w:fldChar w:fldCharType="separate"/>
        </w:r>
        <w:r w:rsidR="00645AF6">
          <w:rPr>
            <w:noProof/>
            <w:webHidden/>
          </w:rPr>
          <w:t>31</w:t>
        </w:r>
        <w:r>
          <w:rPr>
            <w:noProof/>
            <w:webHidden/>
          </w:rPr>
          <w:fldChar w:fldCharType="end"/>
        </w:r>
      </w:hyperlink>
    </w:p>
    <w:p w14:paraId="322FE0DE" w14:textId="42002987" w:rsidR="00E40776" w:rsidRDefault="002A2B72" w:rsidP="00EE7F1F">
      <w:pPr>
        <w:pStyle w:val="TOC2"/>
        <w:rPr>
          <w:noProof/>
          <w:kern w:val="2"/>
          <w:sz w:val="24"/>
          <w:szCs w:val="24"/>
          <w:lang w:val="en-GB"/>
          <w14:ligatures w14:val="standardContextual"/>
        </w:rPr>
      </w:pPr>
      <w:hyperlink w:anchor="_Toc208244461" w:history="1">
        <w:r w:rsidR="00E40776" w:rsidRPr="00634116">
          <w:rPr>
            <w:rStyle w:val="Hyperlink"/>
            <w:noProof/>
          </w:rPr>
          <w:t>II.11</w:t>
        </w:r>
        <w:r w:rsidR="00E40776">
          <w:rPr>
            <w:noProof/>
            <w:kern w:val="2"/>
            <w:sz w:val="24"/>
            <w:szCs w:val="24"/>
            <w:lang w:val="en-GB"/>
            <w14:ligatures w14:val="standardContextual"/>
          </w:rPr>
          <w:tab/>
        </w:r>
        <w:r w:rsidR="00E40776" w:rsidRPr="00634116">
          <w:rPr>
            <w:rStyle w:val="Hyperlink"/>
            <w:noProof/>
          </w:rPr>
          <w:t xml:space="preserve">Критични функции и основни </w:t>
        </w:r>
        <w:r w:rsidR="001A79CE">
          <w:rPr>
            <w:rStyle w:val="Hyperlink"/>
            <w:noProof/>
            <w:lang w:val="bg-BG"/>
          </w:rPr>
          <w:t>стопански дейности</w:t>
        </w:r>
        <w:r w:rsidR="00E40776">
          <w:rPr>
            <w:noProof/>
            <w:webHidden/>
          </w:rPr>
          <w:tab/>
        </w:r>
        <w:r w:rsidR="00E40776">
          <w:rPr>
            <w:noProof/>
            <w:webHidden/>
          </w:rPr>
          <w:fldChar w:fldCharType="begin"/>
        </w:r>
        <w:r w:rsidR="00E40776">
          <w:rPr>
            <w:noProof/>
            <w:webHidden/>
          </w:rPr>
          <w:instrText xml:space="preserve"> PAGEREF _Toc208244461 \h </w:instrText>
        </w:r>
        <w:r w:rsidR="00E40776">
          <w:rPr>
            <w:noProof/>
            <w:webHidden/>
          </w:rPr>
        </w:r>
        <w:r w:rsidR="00E40776">
          <w:rPr>
            <w:noProof/>
            <w:webHidden/>
          </w:rPr>
          <w:fldChar w:fldCharType="separate"/>
        </w:r>
        <w:r w:rsidR="00645AF6">
          <w:rPr>
            <w:noProof/>
            <w:webHidden/>
          </w:rPr>
          <w:t>34</w:t>
        </w:r>
        <w:r w:rsidR="00E40776">
          <w:rPr>
            <w:noProof/>
            <w:webHidden/>
          </w:rPr>
          <w:fldChar w:fldCharType="end"/>
        </w:r>
      </w:hyperlink>
    </w:p>
    <w:p w14:paraId="71D27FD5" w14:textId="77777777" w:rsidR="00E40776" w:rsidRDefault="00E40776" w:rsidP="00EE7F1F">
      <w:pPr>
        <w:pStyle w:val="TOC2"/>
        <w:rPr>
          <w:noProof/>
          <w:kern w:val="2"/>
          <w:sz w:val="24"/>
          <w:szCs w:val="24"/>
          <w:lang w:val="en-GB"/>
          <w14:ligatures w14:val="standardContextual"/>
        </w:rPr>
      </w:pPr>
      <w:hyperlink w:anchor="_Toc208244462" w:history="1">
        <w:r w:rsidRPr="00634116">
          <w:rPr>
            <w:rStyle w:val="Hyperlink"/>
            <w:noProof/>
          </w:rPr>
          <w:t>II.12</w:t>
        </w:r>
        <w:r>
          <w:rPr>
            <w:noProof/>
            <w:kern w:val="2"/>
            <w:sz w:val="24"/>
            <w:szCs w:val="24"/>
            <w:lang w:val="en-GB"/>
            <w14:ligatures w14:val="standardContextual"/>
          </w:rPr>
          <w:tab/>
        </w:r>
        <w:r w:rsidRPr="00634116">
          <w:rPr>
            <w:rStyle w:val="Hyperlink"/>
            <w:noProof/>
          </w:rPr>
          <w:t>Z 07.01 — Оценка на критичността на икономическите функции (FUNC 1)</w:t>
        </w:r>
        <w:r>
          <w:rPr>
            <w:noProof/>
            <w:webHidden/>
          </w:rPr>
          <w:tab/>
        </w:r>
        <w:r>
          <w:rPr>
            <w:noProof/>
            <w:webHidden/>
          </w:rPr>
          <w:fldChar w:fldCharType="begin"/>
        </w:r>
        <w:r>
          <w:rPr>
            <w:noProof/>
            <w:webHidden/>
          </w:rPr>
          <w:instrText xml:space="preserve"> PAGEREF _Toc208244462 \h </w:instrText>
        </w:r>
        <w:r>
          <w:rPr>
            <w:noProof/>
            <w:webHidden/>
          </w:rPr>
        </w:r>
        <w:r>
          <w:rPr>
            <w:noProof/>
            <w:webHidden/>
          </w:rPr>
          <w:fldChar w:fldCharType="separate"/>
        </w:r>
        <w:r w:rsidR="00645AF6">
          <w:rPr>
            <w:noProof/>
            <w:webHidden/>
          </w:rPr>
          <w:t>36</w:t>
        </w:r>
        <w:r>
          <w:rPr>
            <w:noProof/>
            <w:webHidden/>
          </w:rPr>
          <w:fldChar w:fldCharType="end"/>
        </w:r>
      </w:hyperlink>
    </w:p>
    <w:p w14:paraId="337F10C1" w14:textId="77777777" w:rsidR="00E40776" w:rsidRDefault="00E40776" w:rsidP="00EE7F1F">
      <w:pPr>
        <w:pStyle w:val="TOC2"/>
        <w:rPr>
          <w:noProof/>
          <w:kern w:val="2"/>
          <w:sz w:val="24"/>
          <w:szCs w:val="24"/>
          <w:lang w:val="en-GB"/>
          <w14:ligatures w14:val="standardContextual"/>
        </w:rPr>
      </w:pPr>
      <w:hyperlink w:anchor="_Toc208244463" w:history="1">
        <w:r w:rsidRPr="00634116">
          <w:rPr>
            <w:rStyle w:val="Hyperlink"/>
            <w:noProof/>
          </w:rPr>
          <w:t>II.13</w:t>
        </w:r>
        <w:r>
          <w:rPr>
            <w:noProof/>
            <w:kern w:val="2"/>
            <w:sz w:val="24"/>
            <w:szCs w:val="24"/>
            <w:lang w:val="en-GB"/>
            <w14:ligatures w14:val="standardContextual"/>
          </w:rPr>
          <w:tab/>
        </w:r>
        <w:r w:rsidRPr="00634116">
          <w:rPr>
            <w:rStyle w:val="Hyperlink"/>
            <w:noProof/>
          </w:rPr>
          <w:t>Z 07.01.1 FUNC 1 DEP</w:t>
        </w:r>
        <w:r>
          <w:rPr>
            <w:noProof/>
            <w:webHidden/>
          </w:rPr>
          <w:tab/>
        </w:r>
        <w:r>
          <w:rPr>
            <w:noProof/>
            <w:webHidden/>
          </w:rPr>
          <w:fldChar w:fldCharType="begin"/>
        </w:r>
        <w:r>
          <w:rPr>
            <w:noProof/>
            <w:webHidden/>
          </w:rPr>
          <w:instrText xml:space="preserve"> PAGEREF _Toc208244463 \h </w:instrText>
        </w:r>
        <w:r>
          <w:rPr>
            <w:noProof/>
            <w:webHidden/>
          </w:rPr>
        </w:r>
        <w:r>
          <w:rPr>
            <w:noProof/>
            <w:webHidden/>
          </w:rPr>
          <w:fldChar w:fldCharType="separate"/>
        </w:r>
        <w:r w:rsidR="00645AF6">
          <w:rPr>
            <w:noProof/>
            <w:webHidden/>
          </w:rPr>
          <w:t>40</w:t>
        </w:r>
        <w:r>
          <w:rPr>
            <w:noProof/>
            <w:webHidden/>
          </w:rPr>
          <w:fldChar w:fldCharType="end"/>
        </w:r>
      </w:hyperlink>
    </w:p>
    <w:p w14:paraId="2CB2980D" w14:textId="77777777" w:rsidR="00E40776" w:rsidRDefault="00E40776" w:rsidP="00EE7F1F">
      <w:pPr>
        <w:pStyle w:val="TOC2"/>
        <w:rPr>
          <w:noProof/>
          <w:kern w:val="2"/>
          <w:sz w:val="24"/>
          <w:szCs w:val="24"/>
          <w:lang w:val="en-GB"/>
          <w14:ligatures w14:val="standardContextual"/>
        </w:rPr>
      </w:pPr>
      <w:hyperlink w:anchor="_Toc208244464" w:history="1">
        <w:r w:rsidRPr="00634116">
          <w:rPr>
            <w:rStyle w:val="Hyperlink"/>
            <w:noProof/>
          </w:rPr>
          <w:t>II.14</w:t>
        </w:r>
        <w:r>
          <w:rPr>
            <w:noProof/>
            <w:kern w:val="2"/>
            <w:sz w:val="24"/>
            <w:szCs w:val="24"/>
            <w:lang w:val="en-GB"/>
            <w14:ligatures w14:val="standardContextual"/>
          </w:rPr>
          <w:tab/>
        </w:r>
        <w:r w:rsidRPr="00634116">
          <w:rPr>
            <w:rStyle w:val="Hyperlink"/>
            <w:noProof/>
          </w:rPr>
          <w:t>Z 07.01.2 FUNC 1 LEN</w:t>
        </w:r>
        <w:r>
          <w:rPr>
            <w:noProof/>
            <w:webHidden/>
          </w:rPr>
          <w:tab/>
        </w:r>
        <w:r>
          <w:rPr>
            <w:noProof/>
            <w:webHidden/>
          </w:rPr>
          <w:fldChar w:fldCharType="begin"/>
        </w:r>
        <w:r>
          <w:rPr>
            <w:noProof/>
            <w:webHidden/>
          </w:rPr>
          <w:instrText xml:space="preserve"> PAGEREF _Toc208244464 \h </w:instrText>
        </w:r>
        <w:r>
          <w:rPr>
            <w:noProof/>
            <w:webHidden/>
          </w:rPr>
        </w:r>
        <w:r>
          <w:rPr>
            <w:noProof/>
            <w:webHidden/>
          </w:rPr>
          <w:fldChar w:fldCharType="separate"/>
        </w:r>
        <w:r w:rsidR="00645AF6">
          <w:rPr>
            <w:noProof/>
            <w:webHidden/>
          </w:rPr>
          <w:t>45</w:t>
        </w:r>
        <w:r>
          <w:rPr>
            <w:noProof/>
            <w:webHidden/>
          </w:rPr>
          <w:fldChar w:fldCharType="end"/>
        </w:r>
      </w:hyperlink>
    </w:p>
    <w:p w14:paraId="5A7FFFB1" w14:textId="77777777" w:rsidR="00E40776" w:rsidRDefault="00E40776" w:rsidP="00EE7F1F">
      <w:pPr>
        <w:pStyle w:val="TOC2"/>
        <w:rPr>
          <w:noProof/>
          <w:kern w:val="2"/>
          <w:sz w:val="24"/>
          <w:szCs w:val="24"/>
          <w:lang w:val="en-GB"/>
          <w14:ligatures w14:val="standardContextual"/>
        </w:rPr>
      </w:pPr>
      <w:hyperlink w:anchor="_Toc208244465" w:history="1">
        <w:r w:rsidRPr="00634116">
          <w:rPr>
            <w:rStyle w:val="Hyperlink"/>
            <w:noProof/>
          </w:rPr>
          <w:t>II.15</w:t>
        </w:r>
        <w:r>
          <w:rPr>
            <w:noProof/>
            <w:kern w:val="2"/>
            <w:sz w:val="24"/>
            <w:szCs w:val="24"/>
            <w:lang w:val="en-GB"/>
            <w14:ligatures w14:val="standardContextual"/>
          </w:rPr>
          <w:tab/>
        </w:r>
        <w:r w:rsidRPr="00634116">
          <w:rPr>
            <w:rStyle w:val="Hyperlink"/>
            <w:noProof/>
          </w:rPr>
          <w:t xml:space="preserve">Z 07.01.3 FUNC 1 </w:t>
        </w:r>
        <w:r w:rsidR="002A2B72">
          <w:rPr>
            <w:rStyle w:val="Hyperlink"/>
            <w:noProof/>
            <w:lang w:val="en-US"/>
          </w:rPr>
          <w:t>PAY</w:t>
        </w:r>
        <w:r>
          <w:rPr>
            <w:noProof/>
            <w:webHidden/>
          </w:rPr>
          <w:tab/>
        </w:r>
        <w:r>
          <w:rPr>
            <w:noProof/>
            <w:webHidden/>
          </w:rPr>
          <w:fldChar w:fldCharType="begin"/>
        </w:r>
        <w:r>
          <w:rPr>
            <w:noProof/>
            <w:webHidden/>
          </w:rPr>
          <w:instrText xml:space="preserve"> PAGEREF _Toc208244465 \h </w:instrText>
        </w:r>
        <w:r>
          <w:rPr>
            <w:noProof/>
            <w:webHidden/>
          </w:rPr>
        </w:r>
        <w:r>
          <w:rPr>
            <w:noProof/>
            <w:webHidden/>
          </w:rPr>
          <w:fldChar w:fldCharType="separate"/>
        </w:r>
        <w:r w:rsidR="00645AF6">
          <w:rPr>
            <w:noProof/>
            <w:webHidden/>
          </w:rPr>
          <w:t>50</w:t>
        </w:r>
        <w:r>
          <w:rPr>
            <w:noProof/>
            <w:webHidden/>
          </w:rPr>
          <w:fldChar w:fldCharType="end"/>
        </w:r>
      </w:hyperlink>
    </w:p>
    <w:p w14:paraId="7B810263" w14:textId="77777777" w:rsidR="00E40776" w:rsidRDefault="00E40776" w:rsidP="00EE7F1F">
      <w:pPr>
        <w:pStyle w:val="TOC2"/>
        <w:rPr>
          <w:noProof/>
          <w:kern w:val="2"/>
          <w:sz w:val="24"/>
          <w:szCs w:val="24"/>
          <w:lang w:val="en-GB"/>
          <w14:ligatures w14:val="standardContextual"/>
        </w:rPr>
      </w:pPr>
      <w:hyperlink w:anchor="_Toc208244466" w:history="1">
        <w:r w:rsidRPr="00634116">
          <w:rPr>
            <w:rStyle w:val="Hyperlink"/>
            <w:noProof/>
          </w:rPr>
          <w:t>II.13</w:t>
        </w:r>
        <w:r>
          <w:rPr>
            <w:noProof/>
            <w:kern w:val="2"/>
            <w:sz w:val="24"/>
            <w:szCs w:val="24"/>
            <w:lang w:val="en-GB"/>
            <w14:ligatures w14:val="standardContextual"/>
          </w:rPr>
          <w:tab/>
        </w:r>
        <w:r w:rsidRPr="00634116">
          <w:rPr>
            <w:rStyle w:val="Hyperlink"/>
            <w:noProof/>
          </w:rPr>
          <w:t>Z 07.01.4 FUNC 1 CM</w:t>
        </w:r>
        <w:r>
          <w:rPr>
            <w:noProof/>
            <w:webHidden/>
          </w:rPr>
          <w:tab/>
        </w:r>
        <w:r>
          <w:rPr>
            <w:noProof/>
            <w:webHidden/>
          </w:rPr>
          <w:fldChar w:fldCharType="begin"/>
        </w:r>
        <w:r>
          <w:rPr>
            <w:noProof/>
            <w:webHidden/>
          </w:rPr>
          <w:instrText xml:space="preserve"> PAGEREF _Toc208244466 \h </w:instrText>
        </w:r>
        <w:r>
          <w:rPr>
            <w:noProof/>
            <w:webHidden/>
          </w:rPr>
        </w:r>
        <w:r>
          <w:rPr>
            <w:noProof/>
            <w:webHidden/>
          </w:rPr>
          <w:fldChar w:fldCharType="separate"/>
        </w:r>
        <w:r w:rsidR="00645AF6">
          <w:rPr>
            <w:noProof/>
            <w:webHidden/>
          </w:rPr>
          <w:t>57</w:t>
        </w:r>
        <w:r>
          <w:rPr>
            <w:noProof/>
            <w:webHidden/>
          </w:rPr>
          <w:fldChar w:fldCharType="end"/>
        </w:r>
      </w:hyperlink>
    </w:p>
    <w:p w14:paraId="1F458F0C" w14:textId="77777777" w:rsidR="00E40776" w:rsidRDefault="00E40776" w:rsidP="00EE7F1F">
      <w:pPr>
        <w:pStyle w:val="TOC2"/>
        <w:rPr>
          <w:noProof/>
          <w:kern w:val="2"/>
          <w:sz w:val="24"/>
          <w:szCs w:val="24"/>
          <w:lang w:val="en-GB"/>
          <w14:ligatures w14:val="standardContextual"/>
        </w:rPr>
      </w:pPr>
      <w:hyperlink w:anchor="_Toc208244467" w:history="1">
        <w:r w:rsidRPr="00634116">
          <w:rPr>
            <w:rStyle w:val="Hyperlink"/>
            <w:noProof/>
          </w:rPr>
          <w:t>II.13</w:t>
        </w:r>
        <w:r>
          <w:rPr>
            <w:noProof/>
            <w:kern w:val="2"/>
            <w:sz w:val="24"/>
            <w:szCs w:val="24"/>
            <w:lang w:val="en-GB"/>
            <w14:ligatures w14:val="standardContextual"/>
          </w:rPr>
          <w:tab/>
        </w:r>
        <w:r w:rsidRPr="00634116">
          <w:rPr>
            <w:rStyle w:val="Hyperlink"/>
            <w:noProof/>
          </w:rPr>
          <w:t>Z 07.01.5 FUNC 1 WF</w:t>
        </w:r>
        <w:r>
          <w:rPr>
            <w:noProof/>
            <w:webHidden/>
          </w:rPr>
          <w:tab/>
        </w:r>
        <w:r>
          <w:rPr>
            <w:noProof/>
            <w:webHidden/>
          </w:rPr>
          <w:fldChar w:fldCharType="begin"/>
        </w:r>
        <w:r>
          <w:rPr>
            <w:noProof/>
            <w:webHidden/>
          </w:rPr>
          <w:instrText xml:space="preserve"> PAGEREF _Toc208244467 \h </w:instrText>
        </w:r>
        <w:r>
          <w:rPr>
            <w:noProof/>
            <w:webHidden/>
          </w:rPr>
        </w:r>
        <w:r>
          <w:rPr>
            <w:noProof/>
            <w:webHidden/>
          </w:rPr>
          <w:fldChar w:fldCharType="separate"/>
        </w:r>
        <w:r w:rsidR="00645AF6">
          <w:rPr>
            <w:noProof/>
            <w:webHidden/>
          </w:rPr>
          <w:t>62</w:t>
        </w:r>
        <w:r>
          <w:rPr>
            <w:noProof/>
            <w:webHidden/>
          </w:rPr>
          <w:fldChar w:fldCharType="end"/>
        </w:r>
      </w:hyperlink>
    </w:p>
    <w:p w14:paraId="4A8D753C" w14:textId="12AD86D6" w:rsidR="00E40776" w:rsidRDefault="00E40776" w:rsidP="00EE7F1F">
      <w:pPr>
        <w:pStyle w:val="TOC2"/>
        <w:rPr>
          <w:noProof/>
          <w:kern w:val="2"/>
          <w:sz w:val="24"/>
          <w:szCs w:val="24"/>
          <w:lang w:val="en-GB"/>
          <w14:ligatures w14:val="standardContextual"/>
        </w:rPr>
      </w:pPr>
      <w:hyperlink w:anchor="_Toc208244468" w:history="1">
        <w:r w:rsidRPr="00634116">
          <w:rPr>
            <w:rStyle w:val="Hyperlink"/>
            <w:noProof/>
          </w:rPr>
          <w:t>II.16</w:t>
        </w:r>
        <w:r>
          <w:rPr>
            <w:noProof/>
            <w:kern w:val="2"/>
            <w:sz w:val="24"/>
            <w:szCs w:val="24"/>
            <w:lang w:val="en-GB"/>
            <w14:ligatures w14:val="standardContextual"/>
          </w:rPr>
          <w:tab/>
        </w:r>
        <w:r w:rsidRPr="00634116">
          <w:rPr>
            <w:rStyle w:val="Hyperlink"/>
            <w:noProof/>
          </w:rPr>
          <w:t xml:space="preserve">Z 07.02 — </w:t>
        </w:r>
        <w:r w:rsidR="001A79CE">
          <w:rPr>
            <w:rStyle w:val="Hyperlink"/>
            <w:noProof/>
            <w:lang w:val="bg-BG"/>
          </w:rPr>
          <w:t xml:space="preserve">Онагледяване </w:t>
        </w:r>
        <w:r w:rsidRPr="00634116">
          <w:rPr>
            <w:rStyle w:val="Hyperlink"/>
            <w:noProof/>
          </w:rPr>
          <w:t>на икономическите функции по правни субекти (FUNC 2)</w:t>
        </w:r>
        <w:r>
          <w:rPr>
            <w:noProof/>
            <w:webHidden/>
          </w:rPr>
          <w:tab/>
        </w:r>
        <w:r>
          <w:rPr>
            <w:noProof/>
            <w:webHidden/>
          </w:rPr>
          <w:fldChar w:fldCharType="begin"/>
        </w:r>
        <w:r>
          <w:rPr>
            <w:noProof/>
            <w:webHidden/>
          </w:rPr>
          <w:instrText xml:space="preserve"> PAGEREF _Toc208244468 \h </w:instrText>
        </w:r>
        <w:r>
          <w:rPr>
            <w:noProof/>
            <w:webHidden/>
          </w:rPr>
        </w:r>
        <w:r>
          <w:rPr>
            <w:noProof/>
            <w:webHidden/>
          </w:rPr>
          <w:fldChar w:fldCharType="separate"/>
        </w:r>
        <w:r w:rsidR="00645AF6">
          <w:rPr>
            <w:noProof/>
            <w:webHidden/>
          </w:rPr>
          <w:t>67</w:t>
        </w:r>
        <w:r>
          <w:rPr>
            <w:noProof/>
            <w:webHidden/>
          </w:rPr>
          <w:fldChar w:fldCharType="end"/>
        </w:r>
      </w:hyperlink>
    </w:p>
    <w:p w14:paraId="2FD74947" w14:textId="3B4CAB45" w:rsidR="00E40776" w:rsidRDefault="00E40776" w:rsidP="00EE7F1F">
      <w:pPr>
        <w:pStyle w:val="TOC2"/>
        <w:rPr>
          <w:noProof/>
          <w:kern w:val="2"/>
          <w:sz w:val="24"/>
          <w:szCs w:val="24"/>
          <w:lang w:val="en-GB"/>
          <w14:ligatures w14:val="standardContextual"/>
        </w:rPr>
      </w:pPr>
      <w:hyperlink w:anchor="_Toc208244469" w:history="1">
        <w:r w:rsidRPr="00634116">
          <w:rPr>
            <w:rStyle w:val="Hyperlink"/>
            <w:noProof/>
          </w:rPr>
          <w:t>II.17</w:t>
        </w:r>
        <w:r>
          <w:rPr>
            <w:noProof/>
            <w:kern w:val="2"/>
            <w:sz w:val="24"/>
            <w:szCs w:val="24"/>
            <w:lang w:val="en-GB"/>
            <w14:ligatures w14:val="standardContextual"/>
          </w:rPr>
          <w:tab/>
        </w:r>
        <w:r w:rsidRPr="00634116">
          <w:rPr>
            <w:rStyle w:val="Hyperlink"/>
            <w:noProof/>
          </w:rPr>
          <w:t xml:space="preserve">Z 07.03 — </w:t>
        </w:r>
        <w:r w:rsidR="001A79CE">
          <w:rPr>
            <w:rStyle w:val="Hyperlink"/>
            <w:noProof/>
            <w:lang w:val="bg-BG"/>
          </w:rPr>
          <w:t>Онагледяване</w:t>
        </w:r>
        <w:r w:rsidRPr="00634116">
          <w:rPr>
            <w:rStyle w:val="Hyperlink"/>
            <w:noProof/>
          </w:rPr>
          <w:t xml:space="preserve">на основните </w:t>
        </w:r>
        <w:r w:rsidR="001A79CE">
          <w:rPr>
            <w:rStyle w:val="Hyperlink"/>
            <w:noProof/>
            <w:lang w:val="bg-BG"/>
          </w:rPr>
          <w:t>стопански дейности</w:t>
        </w:r>
        <w:r w:rsidRPr="00634116">
          <w:rPr>
            <w:rStyle w:val="Hyperlink"/>
            <w:noProof/>
          </w:rPr>
          <w:t xml:space="preserve"> по правни субекти (FUNC 3)</w:t>
        </w:r>
        <w:r>
          <w:rPr>
            <w:noProof/>
            <w:webHidden/>
          </w:rPr>
          <w:tab/>
        </w:r>
        <w:r>
          <w:rPr>
            <w:noProof/>
            <w:webHidden/>
          </w:rPr>
          <w:fldChar w:fldCharType="begin"/>
        </w:r>
        <w:r>
          <w:rPr>
            <w:noProof/>
            <w:webHidden/>
          </w:rPr>
          <w:instrText xml:space="preserve"> PAGEREF _Toc208244469 \h </w:instrText>
        </w:r>
        <w:r>
          <w:rPr>
            <w:noProof/>
            <w:webHidden/>
          </w:rPr>
        </w:r>
        <w:r>
          <w:rPr>
            <w:noProof/>
            <w:webHidden/>
          </w:rPr>
          <w:fldChar w:fldCharType="separate"/>
        </w:r>
        <w:r w:rsidR="00645AF6">
          <w:rPr>
            <w:noProof/>
            <w:webHidden/>
          </w:rPr>
          <w:t>68</w:t>
        </w:r>
        <w:r>
          <w:rPr>
            <w:noProof/>
            <w:webHidden/>
          </w:rPr>
          <w:fldChar w:fldCharType="end"/>
        </w:r>
      </w:hyperlink>
    </w:p>
    <w:p w14:paraId="7122F165" w14:textId="5E98182D" w:rsidR="00E40776" w:rsidRDefault="002A2B72" w:rsidP="00EE7F1F">
      <w:pPr>
        <w:pStyle w:val="TOC2"/>
        <w:rPr>
          <w:noProof/>
          <w:kern w:val="2"/>
          <w:sz w:val="24"/>
          <w:szCs w:val="24"/>
          <w:lang w:val="en-GB"/>
          <w14:ligatures w14:val="standardContextual"/>
        </w:rPr>
      </w:pPr>
      <w:hyperlink w:anchor="_Toc208244470" w:history="1">
        <w:r w:rsidR="00E40776" w:rsidRPr="00634116">
          <w:rPr>
            <w:rStyle w:val="Hyperlink"/>
            <w:noProof/>
          </w:rPr>
          <w:t>II.18</w:t>
        </w:r>
        <w:r w:rsidR="00E40776">
          <w:rPr>
            <w:noProof/>
            <w:kern w:val="2"/>
            <w:sz w:val="24"/>
            <w:szCs w:val="24"/>
            <w:lang w:val="en-GB"/>
            <w14:ligatures w14:val="standardContextual"/>
          </w:rPr>
          <w:tab/>
        </w:r>
        <w:r w:rsidR="00E40776" w:rsidRPr="00634116">
          <w:rPr>
            <w:rStyle w:val="Hyperlink"/>
            <w:noProof/>
          </w:rPr>
          <w:t xml:space="preserve">Z 07.04 — </w:t>
        </w:r>
        <w:r w:rsidR="00EE7F1F">
          <w:rPr>
            <w:rStyle w:val="Hyperlink"/>
            <w:noProof/>
            <w:lang w:val="bg-BG"/>
          </w:rPr>
          <w:t>Онагледяване</w:t>
        </w:r>
        <w:r w:rsidR="00E40776" w:rsidRPr="00634116">
          <w:rPr>
            <w:rStyle w:val="Hyperlink"/>
            <w:noProof/>
          </w:rPr>
          <w:t xml:space="preserve"> на </w:t>
        </w:r>
        <w:r w:rsidR="007769BA">
          <w:rPr>
            <w:rStyle w:val="Hyperlink"/>
            <w:noProof/>
            <w:lang w:val="bg-BG"/>
          </w:rPr>
          <w:t>икономическите</w:t>
        </w:r>
        <w:r w:rsidR="007769BA" w:rsidRPr="00634116">
          <w:rPr>
            <w:rStyle w:val="Hyperlink"/>
            <w:noProof/>
          </w:rPr>
          <w:t xml:space="preserve"> </w:t>
        </w:r>
        <w:r w:rsidR="00E40776" w:rsidRPr="00634116">
          <w:rPr>
            <w:rStyle w:val="Hyperlink"/>
            <w:noProof/>
          </w:rPr>
          <w:t xml:space="preserve">функции </w:t>
        </w:r>
        <w:r w:rsidR="007769BA">
          <w:rPr>
            <w:rStyle w:val="Hyperlink"/>
            <w:noProof/>
            <w:lang w:val="bg-BG"/>
          </w:rPr>
          <w:t>по</w:t>
        </w:r>
        <w:r w:rsidR="007769BA" w:rsidRPr="00634116">
          <w:rPr>
            <w:rStyle w:val="Hyperlink"/>
            <w:noProof/>
          </w:rPr>
          <w:t xml:space="preserve"> </w:t>
        </w:r>
        <w:r w:rsidR="00E40776" w:rsidRPr="00634116">
          <w:rPr>
            <w:rStyle w:val="Hyperlink"/>
            <w:noProof/>
          </w:rPr>
          <w:t>основни</w:t>
        </w:r>
        <w:r w:rsidR="00EE7F1F">
          <w:rPr>
            <w:rStyle w:val="Hyperlink"/>
            <w:noProof/>
            <w:lang w:val="bg-BG"/>
          </w:rPr>
          <w:t xml:space="preserve"> стопански дейности</w:t>
        </w:r>
        <w:r w:rsidR="00E40776" w:rsidRPr="00634116">
          <w:rPr>
            <w:rStyle w:val="Hyperlink"/>
            <w:noProof/>
          </w:rPr>
          <w:t xml:space="preserve"> (FUNC 4)</w:t>
        </w:r>
        <w:r w:rsidR="00E40776">
          <w:rPr>
            <w:noProof/>
            <w:webHidden/>
          </w:rPr>
          <w:tab/>
        </w:r>
        <w:r w:rsidR="00E40776">
          <w:rPr>
            <w:noProof/>
            <w:webHidden/>
          </w:rPr>
          <w:fldChar w:fldCharType="begin"/>
        </w:r>
        <w:r w:rsidR="00E40776">
          <w:rPr>
            <w:noProof/>
            <w:webHidden/>
          </w:rPr>
          <w:instrText xml:space="preserve"> PAGEREF _Toc208244470 \h </w:instrText>
        </w:r>
        <w:r w:rsidR="00E40776">
          <w:rPr>
            <w:noProof/>
            <w:webHidden/>
          </w:rPr>
        </w:r>
        <w:r w:rsidR="00E40776">
          <w:rPr>
            <w:noProof/>
            <w:webHidden/>
          </w:rPr>
          <w:fldChar w:fldCharType="separate"/>
        </w:r>
        <w:r w:rsidR="00645AF6">
          <w:rPr>
            <w:noProof/>
            <w:webHidden/>
          </w:rPr>
          <w:t>70</w:t>
        </w:r>
        <w:r w:rsidR="00E40776">
          <w:rPr>
            <w:noProof/>
            <w:webHidden/>
          </w:rPr>
          <w:fldChar w:fldCharType="end"/>
        </w:r>
      </w:hyperlink>
    </w:p>
    <w:p w14:paraId="6493B044" w14:textId="505B1951" w:rsidR="00E40776" w:rsidRDefault="002A2B72" w:rsidP="00EE7F1F">
      <w:pPr>
        <w:pStyle w:val="TOC2"/>
        <w:rPr>
          <w:noProof/>
          <w:kern w:val="2"/>
          <w:sz w:val="24"/>
          <w:szCs w:val="24"/>
          <w:lang w:val="en-GB"/>
          <w14:ligatures w14:val="standardContextual"/>
        </w:rPr>
      </w:pPr>
      <w:hyperlink w:anchor="_Toc208244471" w:history="1">
        <w:r w:rsidR="00E40776" w:rsidRPr="00634116">
          <w:rPr>
            <w:rStyle w:val="Hyperlink"/>
            <w:noProof/>
          </w:rPr>
          <w:t>II.19</w:t>
        </w:r>
        <w:r w:rsidR="00E40776">
          <w:rPr>
            <w:noProof/>
            <w:kern w:val="2"/>
            <w:sz w:val="24"/>
            <w:szCs w:val="24"/>
            <w:lang w:val="en-GB"/>
            <w14:ligatures w14:val="standardContextual"/>
          </w:rPr>
          <w:tab/>
        </w:r>
        <w:r w:rsidR="001C1EEE">
          <w:rPr>
            <w:rStyle w:val="Hyperlink"/>
            <w:lang w:val="bg-BG"/>
          </w:rPr>
          <w:t xml:space="preserve">Значими </w:t>
        </w:r>
        <w:r w:rsidR="002A089A">
          <w:rPr>
            <w:rStyle w:val="Hyperlink"/>
            <w:lang w:val="bg-BG"/>
          </w:rPr>
          <w:t>У</w:t>
        </w:r>
        <w:r w:rsidR="00E40776" w:rsidRPr="00634116">
          <w:rPr>
            <w:rStyle w:val="Hyperlink"/>
            <w:noProof/>
          </w:rPr>
          <w:t>слуги</w:t>
        </w:r>
        <w:r w:rsidR="00E40776">
          <w:rPr>
            <w:noProof/>
            <w:webHidden/>
          </w:rPr>
          <w:tab/>
        </w:r>
        <w:r w:rsidR="00E40776">
          <w:rPr>
            <w:noProof/>
            <w:webHidden/>
          </w:rPr>
          <w:fldChar w:fldCharType="begin"/>
        </w:r>
        <w:r w:rsidR="00E40776">
          <w:rPr>
            <w:noProof/>
            <w:webHidden/>
          </w:rPr>
          <w:instrText xml:space="preserve"> PAGEREF _Toc208244471 \h </w:instrText>
        </w:r>
        <w:r w:rsidR="00E40776">
          <w:rPr>
            <w:noProof/>
            <w:webHidden/>
          </w:rPr>
        </w:r>
        <w:r w:rsidR="00E40776">
          <w:rPr>
            <w:noProof/>
            <w:webHidden/>
          </w:rPr>
          <w:fldChar w:fldCharType="separate"/>
        </w:r>
        <w:r w:rsidR="00645AF6">
          <w:rPr>
            <w:noProof/>
            <w:webHidden/>
          </w:rPr>
          <w:t>70</w:t>
        </w:r>
        <w:r w:rsidR="00E40776">
          <w:rPr>
            <w:noProof/>
            <w:webHidden/>
          </w:rPr>
          <w:fldChar w:fldCharType="end"/>
        </w:r>
      </w:hyperlink>
    </w:p>
    <w:p w14:paraId="10DE1538" w14:textId="298942CE" w:rsidR="00E40776" w:rsidRDefault="002A2B72" w:rsidP="00EE7F1F">
      <w:pPr>
        <w:pStyle w:val="TOC2"/>
        <w:rPr>
          <w:noProof/>
          <w:kern w:val="2"/>
          <w:sz w:val="24"/>
          <w:szCs w:val="24"/>
          <w:lang w:val="en-GB"/>
          <w14:ligatures w14:val="standardContextual"/>
        </w:rPr>
      </w:pPr>
      <w:hyperlink w:anchor="_Toc208244472" w:history="1">
        <w:r w:rsidR="00E40776" w:rsidRPr="00634116">
          <w:rPr>
            <w:rStyle w:val="Hyperlink"/>
            <w:rFonts w:eastAsia="Calibri"/>
            <w:noProof/>
          </w:rPr>
          <w:t>II.20</w:t>
        </w:r>
        <w:r w:rsidR="00E40776">
          <w:rPr>
            <w:noProof/>
            <w:kern w:val="2"/>
            <w:sz w:val="24"/>
            <w:szCs w:val="24"/>
            <w:lang w:val="en-GB"/>
            <w14:ligatures w14:val="standardContextual"/>
          </w:rPr>
          <w:tab/>
        </w:r>
        <w:r w:rsidR="00E40776" w:rsidRPr="00634116">
          <w:rPr>
            <w:rStyle w:val="Hyperlink"/>
            <w:noProof/>
          </w:rPr>
          <w:t xml:space="preserve">Z 08.01— </w:t>
        </w:r>
        <w:r w:rsidR="001C1EEE">
          <w:rPr>
            <w:rStyle w:val="Hyperlink"/>
            <w:noProof/>
            <w:lang w:val="bg-BG"/>
          </w:rPr>
          <w:t>Значими</w:t>
        </w:r>
        <w:r w:rsidR="001C1EEE" w:rsidRPr="00634116">
          <w:rPr>
            <w:rStyle w:val="Hyperlink"/>
            <w:noProof/>
          </w:rPr>
          <w:t xml:space="preserve"> </w:t>
        </w:r>
        <w:r w:rsidR="00E40776" w:rsidRPr="00634116">
          <w:rPr>
            <w:rStyle w:val="Hyperlink"/>
            <w:noProof/>
          </w:rPr>
          <w:t>услуги (SERV 1)</w:t>
        </w:r>
        <w:r w:rsidR="00E40776">
          <w:rPr>
            <w:noProof/>
            <w:webHidden/>
          </w:rPr>
          <w:tab/>
        </w:r>
        <w:r w:rsidR="00E40776">
          <w:rPr>
            <w:noProof/>
            <w:webHidden/>
          </w:rPr>
          <w:fldChar w:fldCharType="begin"/>
        </w:r>
        <w:r w:rsidR="00E40776">
          <w:rPr>
            <w:noProof/>
            <w:webHidden/>
          </w:rPr>
          <w:instrText xml:space="preserve"> PAGEREF _Toc208244472 \h </w:instrText>
        </w:r>
        <w:r w:rsidR="00E40776">
          <w:rPr>
            <w:noProof/>
            <w:webHidden/>
          </w:rPr>
        </w:r>
        <w:r w:rsidR="00E40776">
          <w:rPr>
            <w:noProof/>
            <w:webHidden/>
          </w:rPr>
          <w:fldChar w:fldCharType="separate"/>
        </w:r>
        <w:r w:rsidR="00645AF6">
          <w:rPr>
            <w:noProof/>
            <w:webHidden/>
          </w:rPr>
          <w:t>70</w:t>
        </w:r>
        <w:r w:rsidR="00E40776">
          <w:rPr>
            <w:noProof/>
            <w:webHidden/>
          </w:rPr>
          <w:fldChar w:fldCharType="end"/>
        </w:r>
      </w:hyperlink>
    </w:p>
    <w:p w14:paraId="32E0CA21" w14:textId="7D792508" w:rsidR="00E40776" w:rsidRDefault="002A2B72" w:rsidP="00EE7F1F">
      <w:pPr>
        <w:pStyle w:val="TOC2"/>
        <w:rPr>
          <w:noProof/>
          <w:kern w:val="2"/>
          <w:sz w:val="24"/>
          <w:szCs w:val="24"/>
          <w:lang w:val="en-GB"/>
          <w14:ligatures w14:val="standardContextual"/>
        </w:rPr>
      </w:pPr>
      <w:hyperlink w:anchor="_Toc208244473" w:history="1">
        <w:r w:rsidR="00E40776" w:rsidRPr="00634116">
          <w:rPr>
            <w:rStyle w:val="Hyperlink"/>
            <w:noProof/>
          </w:rPr>
          <w:t>II.21</w:t>
        </w:r>
        <w:r w:rsidR="00E40776">
          <w:rPr>
            <w:noProof/>
            <w:kern w:val="2"/>
            <w:sz w:val="24"/>
            <w:szCs w:val="24"/>
            <w:lang w:val="en-GB"/>
            <w14:ligatures w14:val="standardContextual"/>
          </w:rPr>
          <w:tab/>
        </w:r>
        <w:r w:rsidR="00E40776" w:rsidRPr="00634116">
          <w:rPr>
            <w:rStyle w:val="Hyperlink"/>
            <w:noProof/>
          </w:rPr>
          <w:t xml:space="preserve">Z 08.02 — </w:t>
        </w:r>
        <w:r w:rsidR="001C1EEE">
          <w:rPr>
            <w:rStyle w:val="Hyperlink"/>
            <w:noProof/>
            <w:lang w:val="bg-BG"/>
          </w:rPr>
          <w:t>Значими</w:t>
        </w:r>
        <w:r w:rsidR="001C1EEE" w:rsidRPr="00634116">
          <w:rPr>
            <w:rStyle w:val="Hyperlink"/>
            <w:noProof/>
          </w:rPr>
          <w:t xml:space="preserve"> </w:t>
        </w:r>
        <w:r w:rsidR="00E40776" w:rsidRPr="00634116">
          <w:rPr>
            <w:rStyle w:val="Hyperlink"/>
            <w:noProof/>
          </w:rPr>
          <w:t xml:space="preserve">услуги — </w:t>
        </w:r>
        <w:r w:rsidR="007769BA">
          <w:rPr>
            <w:rStyle w:val="Hyperlink"/>
            <w:noProof/>
            <w:lang w:val="bg-BG"/>
          </w:rPr>
          <w:t xml:space="preserve">онагледяване по </w:t>
        </w:r>
        <w:r w:rsidR="00E40776" w:rsidRPr="00634116">
          <w:rPr>
            <w:rStyle w:val="Hyperlink"/>
            <w:noProof/>
          </w:rPr>
          <w:t>оперативни активи (SERV 2)</w:t>
        </w:r>
        <w:r w:rsidR="00E40776">
          <w:rPr>
            <w:noProof/>
            <w:webHidden/>
          </w:rPr>
          <w:tab/>
        </w:r>
        <w:r w:rsidR="00E40776">
          <w:rPr>
            <w:noProof/>
            <w:webHidden/>
          </w:rPr>
          <w:fldChar w:fldCharType="begin"/>
        </w:r>
        <w:r w:rsidR="00E40776">
          <w:rPr>
            <w:noProof/>
            <w:webHidden/>
          </w:rPr>
          <w:instrText xml:space="preserve"> PAGEREF _Toc208244473 \h </w:instrText>
        </w:r>
        <w:r w:rsidR="00E40776">
          <w:rPr>
            <w:noProof/>
            <w:webHidden/>
          </w:rPr>
        </w:r>
        <w:r w:rsidR="00E40776">
          <w:rPr>
            <w:noProof/>
            <w:webHidden/>
          </w:rPr>
          <w:fldChar w:fldCharType="separate"/>
        </w:r>
        <w:r w:rsidR="00645AF6">
          <w:rPr>
            <w:noProof/>
            <w:webHidden/>
          </w:rPr>
          <w:t>77</w:t>
        </w:r>
        <w:r w:rsidR="00E40776">
          <w:rPr>
            <w:noProof/>
            <w:webHidden/>
          </w:rPr>
          <w:fldChar w:fldCharType="end"/>
        </w:r>
      </w:hyperlink>
    </w:p>
    <w:p w14:paraId="74B72415" w14:textId="17445F63" w:rsidR="00E40776" w:rsidRDefault="002A2B72" w:rsidP="00EE7F1F">
      <w:pPr>
        <w:pStyle w:val="TOC2"/>
        <w:rPr>
          <w:noProof/>
          <w:kern w:val="2"/>
          <w:sz w:val="24"/>
          <w:szCs w:val="24"/>
          <w:lang w:val="en-GB"/>
          <w14:ligatures w14:val="standardContextual"/>
        </w:rPr>
      </w:pPr>
      <w:hyperlink w:anchor="_Toc208244474" w:history="1">
        <w:r w:rsidR="00E40776" w:rsidRPr="00634116">
          <w:rPr>
            <w:rStyle w:val="Hyperlink"/>
            <w:rFonts w:eastAsia="Calibri"/>
            <w:noProof/>
          </w:rPr>
          <w:t>II.22</w:t>
        </w:r>
        <w:r w:rsidR="00E40776">
          <w:rPr>
            <w:noProof/>
            <w:kern w:val="2"/>
            <w:sz w:val="24"/>
            <w:szCs w:val="24"/>
            <w:lang w:val="en-GB"/>
            <w14:ligatures w14:val="standardContextual"/>
          </w:rPr>
          <w:tab/>
        </w:r>
        <w:r w:rsidR="00E40776" w:rsidRPr="00634116">
          <w:rPr>
            <w:rStyle w:val="Hyperlink"/>
            <w:noProof/>
          </w:rPr>
          <w:t xml:space="preserve">Z 08.03 — </w:t>
        </w:r>
        <w:r w:rsidR="001C1EEE">
          <w:rPr>
            <w:rStyle w:val="Hyperlink"/>
            <w:noProof/>
            <w:lang w:val="bg-BG"/>
          </w:rPr>
          <w:t>Значими</w:t>
        </w:r>
        <w:r w:rsidR="001C1EEE" w:rsidRPr="00634116">
          <w:rPr>
            <w:rStyle w:val="Hyperlink"/>
            <w:noProof/>
          </w:rPr>
          <w:t xml:space="preserve"> </w:t>
        </w:r>
        <w:r w:rsidR="00E40776" w:rsidRPr="00634116">
          <w:rPr>
            <w:rStyle w:val="Hyperlink"/>
            <w:noProof/>
          </w:rPr>
          <w:t xml:space="preserve">услуги — </w:t>
        </w:r>
        <w:r w:rsidR="007769BA">
          <w:rPr>
            <w:rStyle w:val="Hyperlink"/>
            <w:noProof/>
            <w:lang w:val="bg-BG"/>
          </w:rPr>
          <w:t>онагледяване по</w:t>
        </w:r>
        <w:r w:rsidR="00E40776" w:rsidRPr="00634116">
          <w:rPr>
            <w:rStyle w:val="Hyperlink"/>
            <w:noProof/>
          </w:rPr>
          <w:t xml:space="preserve"> роли (SERV 3)</w:t>
        </w:r>
        <w:r w:rsidR="00E40776">
          <w:rPr>
            <w:noProof/>
            <w:webHidden/>
          </w:rPr>
          <w:tab/>
        </w:r>
        <w:r w:rsidR="00E40776">
          <w:rPr>
            <w:noProof/>
            <w:webHidden/>
          </w:rPr>
          <w:fldChar w:fldCharType="begin"/>
        </w:r>
        <w:r w:rsidR="00E40776">
          <w:rPr>
            <w:noProof/>
            <w:webHidden/>
          </w:rPr>
          <w:instrText xml:space="preserve"> PAGEREF _Toc208244474 \h </w:instrText>
        </w:r>
        <w:r w:rsidR="00E40776">
          <w:rPr>
            <w:noProof/>
            <w:webHidden/>
          </w:rPr>
        </w:r>
        <w:r w:rsidR="00E40776">
          <w:rPr>
            <w:noProof/>
            <w:webHidden/>
          </w:rPr>
          <w:fldChar w:fldCharType="separate"/>
        </w:r>
        <w:r w:rsidR="00645AF6">
          <w:rPr>
            <w:noProof/>
            <w:webHidden/>
          </w:rPr>
          <w:t>80</w:t>
        </w:r>
        <w:r w:rsidR="00E40776">
          <w:rPr>
            <w:noProof/>
            <w:webHidden/>
          </w:rPr>
          <w:fldChar w:fldCharType="end"/>
        </w:r>
      </w:hyperlink>
    </w:p>
    <w:p w14:paraId="30F04080" w14:textId="77FEC7DA" w:rsidR="00E40776" w:rsidRDefault="002A2B72" w:rsidP="00EE7F1F">
      <w:pPr>
        <w:pStyle w:val="TOC2"/>
        <w:rPr>
          <w:noProof/>
          <w:kern w:val="2"/>
          <w:sz w:val="24"/>
          <w:szCs w:val="24"/>
          <w:lang w:val="en-GB"/>
          <w14:ligatures w14:val="standardContextual"/>
        </w:rPr>
      </w:pPr>
      <w:hyperlink w:anchor="_Toc208244475" w:history="1">
        <w:r w:rsidR="00E40776" w:rsidRPr="00634116">
          <w:rPr>
            <w:rStyle w:val="Hyperlink"/>
            <w:rFonts w:eastAsia="Calibri"/>
            <w:noProof/>
          </w:rPr>
          <w:t>II.23</w:t>
        </w:r>
        <w:r w:rsidR="00E40776">
          <w:rPr>
            <w:noProof/>
            <w:kern w:val="2"/>
            <w:sz w:val="24"/>
            <w:szCs w:val="24"/>
            <w:lang w:val="en-GB"/>
            <w14:ligatures w14:val="standardContextual"/>
          </w:rPr>
          <w:tab/>
        </w:r>
        <w:r w:rsidR="00E40776" w:rsidRPr="00634116">
          <w:rPr>
            <w:rStyle w:val="Hyperlink"/>
            <w:noProof/>
          </w:rPr>
          <w:t>Z 08.04 — Критични услуги —</w:t>
        </w:r>
        <w:r w:rsidR="00AD2DBB">
          <w:rPr>
            <w:rStyle w:val="Hyperlink"/>
            <w:noProof/>
            <w:lang w:val="bg-BG"/>
          </w:rPr>
          <w:t xml:space="preserve"> онагледяване по</w:t>
        </w:r>
        <w:r w:rsidR="00E40776" w:rsidRPr="00634116">
          <w:rPr>
            <w:rStyle w:val="Hyperlink"/>
            <w:noProof/>
          </w:rPr>
          <w:t xml:space="preserve"> критични функции (SERV 4)</w:t>
        </w:r>
        <w:r w:rsidR="00E40776">
          <w:rPr>
            <w:noProof/>
            <w:webHidden/>
          </w:rPr>
          <w:tab/>
        </w:r>
        <w:r w:rsidR="00E40776">
          <w:rPr>
            <w:noProof/>
            <w:webHidden/>
          </w:rPr>
          <w:fldChar w:fldCharType="begin"/>
        </w:r>
        <w:r w:rsidR="00E40776">
          <w:rPr>
            <w:noProof/>
            <w:webHidden/>
          </w:rPr>
          <w:instrText xml:space="preserve"> PAGEREF _Toc208244475 \h </w:instrText>
        </w:r>
        <w:r w:rsidR="00E40776">
          <w:rPr>
            <w:noProof/>
            <w:webHidden/>
          </w:rPr>
        </w:r>
        <w:r w:rsidR="00E40776">
          <w:rPr>
            <w:noProof/>
            <w:webHidden/>
          </w:rPr>
          <w:fldChar w:fldCharType="separate"/>
        </w:r>
        <w:r w:rsidR="00645AF6">
          <w:rPr>
            <w:noProof/>
            <w:webHidden/>
          </w:rPr>
          <w:t>81</w:t>
        </w:r>
        <w:r w:rsidR="00E40776">
          <w:rPr>
            <w:noProof/>
            <w:webHidden/>
          </w:rPr>
          <w:fldChar w:fldCharType="end"/>
        </w:r>
      </w:hyperlink>
    </w:p>
    <w:p w14:paraId="0BE7468B" w14:textId="0445EBFD" w:rsidR="00E40776" w:rsidRDefault="00753CA4" w:rsidP="00EE7F1F">
      <w:pPr>
        <w:pStyle w:val="TOC2"/>
        <w:rPr>
          <w:noProof/>
          <w:kern w:val="2"/>
          <w:sz w:val="24"/>
          <w:szCs w:val="24"/>
          <w:lang w:val="en-GB"/>
          <w14:ligatures w14:val="standardContextual"/>
        </w:rPr>
      </w:pPr>
      <w:r>
        <w:rPr>
          <w:lang w:val="bg-BG"/>
        </w:rPr>
        <w:t>Общи</w:t>
      </w:r>
      <w:hyperlink w:anchor="_Toc208244476" w:history="1">
        <w:r w:rsidR="00E40776" w:rsidRPr="00634116">
          <w:rPr>
            <w:rStyle w:val="Hyperlink"/>
            <w:noProof/>
          </w:rPr>
          <w:t xml:space="preserve"> </w:t>
        </w:r>
        <w:r w:rsidR="007769BA">
          <w:rPr>
            <w:rStyle w:val="Hyperlink"/>
            <w:noProof/>
            <w:lang w:val="bg-BG"/>
          </w:rPr>
          <w:t>указания</w:t>
        </w:r>
        <w:r w:rsidR="00E40776">
          <w:rPr>
            <w:noProof/>
            <w:webHidden/>
          </w:rPr>
          <w:tab/>
        </w:r>
        <w:r w:rsidR="00E40776">
          <w:rPr>
            <w:noProof/>
            <w:webHidden/>
          </w:rPr>
          <w:fldChar w:fldCharType="begin"/>
        </w:r>
        <w:r w:rsidR="00E40776">
          <w:rPr>
            <w:noProof/>
            <w:webHidden/>
          </w:rPr>
          <w:instrText xml:space="preserve"> PAGEREF _Toc208244476 \h </w:instrText>
        </w:r>
        <w:r w:rsidR="00E40776">
          <w:rPr>
            <w:noProof/>
            <w:webHidden/>
          </w:rPr>
        </w:r>
        <w:r w:rsidR="00E40776">
          <w:rPr>
            <w:noProof/>
            <w:webHidden/>
          </w:rPr>
          <w:fldChar w:fldCharType="separate"/>
        </w:r>
        <w:r w:rsidR="00645AF6">
          <w:rPr>
            <w:noProof/>
            <w:webHidden/>
          </w:rPr>
          <w:t>81</w:t>
        </w:r>
        <w:r w:rsidR="00E40776">
          <w:rPr>
            <w:noProof/>
            <w:webHidden/>
          </w:rPr>
          <w:fldChar w:fldCharType="end"/>
        </w:r>
      </w:hyperlink>
    </w:p>
    <w:p w14:paraId="428A0662" w14:textId="27AD2F69" w:rsidR="00E40776" w:rsidRDefault="002A2B72" w:rsidP="00EE7F1F">
      <w:pPr>
        <w:pStyle w:val="TOC2"/>
        <w:rPr>
          <w:noProof/>
          <w:kern w:val="2"/>
          <w:sz w:val="24"/>
          <w:szCs w:val="24"/>
          <w:lang w:val="en-GB"/>
          <w14:ligatures w14:val="standardContextual"/>
        </w:rPr>
      </w:pPr>
      <w:hyperlink w:anchor="_Toc208244477" w:history="1">
        <w:r w:rsidR="00E40776" w:rsidRPr="00634116">
          <w:rPr>
            <w:rStyle w:val="Hyperlink"/>
            <w:rFonts w:eastAsia="Calibri"/>
            <w:noProof/>
          </w:rPr>
          <w:t>II.24</w:t>
        </w:r>
        <w:r w:rsidR="00E40776">
          <w:rPr>
            <w:noProof/>
            <w:kern w:val="2"/>
            <w:sz w:val="24"/>
            <w:szCs w:val="24"/>
            <w:lang w:val="en-GB"/>
            <w14:ligatures w14:val="standardContextual"/>
          </w:rPr>
          <w:tab/>
        </w:r>
        <w:r w:rsidR="00E40776" w:rsidRPr="00634116">
          <w:rPr>
            <w:rStyle w:val="Hyperlink"/>
            <w:noProof/>
          </w:rPr>
          <w:t xml:space="preserve">Z 08.05 — </w:t>
        </w:r>
        <w:r w:rsidR="001C1EEE">
          <w:rPr>
            <w:rStyle w:val="Hyperlink"/>
            <w:noProof/>
            <w:lang w:val="bg-BG"/>
          </w:rPr>
          <w:t>Важни</w:t>
        </w:r>
        <w:r w:rsidR="001C1EEE" w:rsidRPr="00634116">
          <w:rPr>
            <w:rStyle w:val="Hyperlink"/>
            <w:noProof/>
          </w:rPr>
          <w:t xml:space="preserve"> </w:t>
        </w:r>
        <w:r w:rsidR="00E40776" w:rsidRPr="00634116">
          <w:rPr>
            <w:rStyle w:val="Hyperlink"/>
            <w:noProof/>
          </w:rPr>
          <w:t xml:space="preserve">услуги — </w:t>
        </w:r>
        <w:r w:rsidR="00AD2DBB">
          <w:rPr>
            <w:rStyle w:val="Hyperlink"/>
            <w:noProof/>
            <w:lang w:val="bg-BG"/>
          </w:rPr>
          <w:t xml:space="preserve">онагледяване </w:t>
        </w:r>
        <w:r w:rsidR="00E40776" w:rsidRPr="00634116">
          <w:rPr>
            <w:rStyle w:val="Hyperlink"/>
            <w:noProof/>
          </w:rPr>
          <w:t>по основни</w:t>
        </w:r>
        <w:r w:rsidR="00AD2DBB">
          <w:rPr>
            <w:rStyle w:val="Hyperlink"/>
            <w:noProof/>
            <w:lang w:val="bg-BG"/>
          </w:rPr>
          <w:t xml:space="preserve"> стопански дейности</w:t>
        </w:r>
        <w:r w:rsidR="00E40776" w:rsidRPr="00634116">
          <w:rPr>
            <w:rStyle w:val="Hyperlink"/>
            <w:noProof/>
          </w:rPr>
          <w:t xml:space="preserve"> (SERV 5)</w:t>
        </w:r>
        <w:r w:rsidR="00E40776">
          <w:rPr>
            <w:noProof/>
            <w:webHidden/>
          </w:rPr>
          <w:tab/>
        </w:r>
        <w:r w:rsidR="00E40776">
          <w:rPr>
            <w:noProof/>
            <w:webHidden/>
          </w:rPr>
          <w:fldChar w:fldCharType="begin"/>
        </w:r>
        <w:r w:rsidR="00E40776">
          <w:rPr>
            <w:noProof/>
            <w:webHidden/>
          </w:rPr>
          <w:instrText xml:space="preserve"> PAGEREF _Toc208244477 \h </w:instrText>
        </w:r>
        <w:r w:rsidR="00E40776">
          <w:rPr>
            <w:noProof/>
            <w:webHidden/>
          </w:rPr>
        </w:r>
        <w:r w:rsidR="00E40776">
          <w:rPr>
            <w:noProof/>
            <w:webHidden/>
          </w:rPr>
          <w:fldChar w:fldCharType="separate"/>
        </w:r>
        <w:r w:rsidR="00645AF6">
          <w:rPr>
            <w:noProof/>
            <w:webHidden/>
          </w:rPr>
          <w:t>82</w:t>
        </w:r>
        <w:r w:rsidR="00E40776">
          <w:rPr>
            <w:noProof/>
            <w:webHidden/>
          </w:rPr>
          <w:fldChar w:fldCharType="end"/>
        </w:r>
      </w:hyperlink>
    </w:p>
    <w:p w14:paraId="4423A6CE" w14:textId="3A0091AE" w:rsidR="00E40776" w:rsidRDefault="00EE7F1F" w:rsidP="00EE7F1F">
      <w:pPr>
        <w:pStyle w:val="TOC2"/>
        <w:rPr>
          <w:noProof/>
          <w:kern w:val="2"/>
          <w:sz w:val="24"/>
          <w:szCs w:val="24"/>
          <w:lang w:val="en-GB"/>
          <w14:ligatures w14:val="standardContextual"/>
        </w:rPr>
      </w:pPr>
      <w:hyperlink w:anchor="_Toc208244478" w:history="1">
        <w:r w:rsidR="00E40776" w:rsidRPr="00634116">
          <w:rPr>
            <w:rStyle w:val="Hyperlink"/>
            <w:noProof/>
          </w:rPr>
          <w:t>II.25</w:t>
        </w:r>
        <w:r w:rsidR="00E40776">
          <w:rPr>
            <w:noProof/>
            <w:kern w:val="2"/>
            <w:sz w:val="24"/>
            <w:szCs w:val="24"/>
            <w:lang w:val="en-GB"/>
            <w14:ligatures w14:val="standardContextual"/>
          </w:rPr>
          <w:tab/>
        </w:r>
        <w:r w:rsidR="00E40776" w:rsidRPr="00634116">
          <w:rPr>
            <w:rStyle w:val="Hyperlink"/>
            <w:noProof/>
          </w:rPr>
          <w:t xml:space="preserve">Услуги </w:t>
        </w:r>
        <w:r w:rsidR="00AD2DBB">
          <w:rPr>
            <w:rStyle w:val="Hyperlink"/>
            <w:noProof/>
            <w:lang w:val="bg-BG"/>
          </w:rPr>
          <w:t>във връзка с инфраструктурата на финансовите пазари</w:t>
        </w:r>
        <w:r w:rsidR="00064141">
          <w:rPr>
            <w:rStyle w:val="Hyperlink"/>
            <w:noProof/>
            <w:lang w:val="bg-BG"/>
          </w:rPr>
          <w:t xml:space="preserve"> (ИФП)</w:t>
        </w:r>
        <w:r w:rsidR="00E40776">
          <w:rPr>
            <w:noProof/>
            <w:webHidden/>
          </w:rPr>
          <w:tab/>
        </w:r>
        <w:r w:rsidR="00E40776">
          <w:rPr>
            <w:noProof/>
            <w:webHidden/>
          </w:rPr>
          <w:fldChar w:fldCharType="begin"/>
        </w:r>
        <w:r w:rsidR="00E40776">
          <w:rPr>
            <w:noProof/>
            <w:webHidden/>
          </w:rPr>
          <w:instrText xml:space="preserve"> PAGEREF _Toc208244478 \h </w:instrText>
        </w:r>
        <w:r w:rsidR="00E40776">
          <w:rPr>
            <w:noProof/>
            <w:webHidden/>
          </w:rPr>
        </w:r>
        <w:r w:rsidR="00E40776">
          <w:rPr>
            <w:noProof/>
            <w:webHidden/>
          </w:rPr>
          <w:fldChar w:fldCharType="separate"/>
        </w:r>
        <w:r w:rsidR="00645AF6">
          <w:rPr>
            <w:noProof/>
            <w:webHidden/>
          </w:rPr>
          <w:t>83</w:t>
        </w:r>
        <w:r w:rsidR="00E40776">
          <w:rPr>
            <w:noProof/>
            <w:webHidden/>
          </w:rPr>
          <w:fldChar w:fldCharType="end"/>
        </w:r>
      </w:hyperlink>
    </w:p>
    <w:p w14:paraId="26C3186F" w14:textId="42E1A570" w:rsidR="00E40776" w:rsidRDefault="002A2B72" w:rsidP="00EE7F1F">
      <w:pPr>
        <w:pStyle w:val="TOC2"/>
        <w:rPr>
          <w:noProof/>
          <w:kern w:val="2"/>
          <w:sz w:val="24"/>
          <w:szCs w:val="24"/>
          <w:lang w:val="en-GB"/>
          <w14:ligatures w14:val="standardContextual"/>
        </w:rPr>
      </w:pPr>
      <w:hyperlink w:anchor="_Toc208244479" w:history="1">
        <w:r w:rsidR="00E40776" w:rsidRPr="00634116">
          <w:rPr>
            <w:rStyle w:val="Hyperlink"/>
            <w:noProof/>
          </w:rPr>
          <w:t>II.26</w:t>
        </w:r>
        <w:r w:rsidR="00E40776">
          <w:rPr>
            <w:noProof/>
            <w:kern w:val="2"/>
            <w:sz w:val="24"/>
            <w:szCs w:val="24"/>
            <w:lang w:val="en-GB"/>
            <w14:ligatures w14:val="standardContextual"/>
          </w:rPr>
          <w:tab/>
        </w:r>
        <w:r w:rsidR="00E40776" w:rsidRPr="00634116">
          <w:rPr>
            <w:rStyle w:val="Hyperlink"/>
            <w:noProof/>
          </w:rPr>
          <w:t xml:space="preserve">Z 09.01 — Услуги, свързани с ИФП — Доставчици и </w:t>
        </w:r>
        <w:r w:rsidR="009C1096">
          <w:rPr>
            <w:rStyle w:val="Hyperlink"/>
            <w:noProof/>
            <w:lang w:val="bg-BG"/>
          </w:rPr>
          <w:t>ползватели</w:t>
        </w:r>
        <w:r w:rsidR="009C1096" w:rsidRPr="00634116">
          <w:rPr>
            <w:rStyle w:val="Hyperlink"/>
            <w:noProof/>
          </w:rPr>
          <w:t xml:space="preserve"> </w:t>
        </w:r>
        <w:r w:rsidR="00E40776" w:rsidRPr="00634116">
          <w:rPr>
            <w:rStyle w:val="Hyperlink"/>
            <w:noProof/>
          </w:rPr>
          <w:t>(</w:t>
        </w:r>
        <w:r w:rsidR="00753CA4">
          <w:rPr>
            <w:rStyle w:val="Hyperlink"/>
            <w:noProof/>
            <w:lang w:val="en-US"/>
          </w:rPr>
          <w:t>FMI</w:t>
        </w:r>
        <w:r w:rsidR="00E40776" w:rsidRPr="00634116">
          <w:rPr>
            <w:rStyle w:val="Hyperlink"/>
            <w:noProof/>
          </w:rPr>
          <w:t xml:space="preserve"> 1)</w:t>
        </w:r>
        <w:r w:rsidR="00E40776">
          <w:rPr>
            <w:noProof/>
            <w:webHidden/>
          </w:rPr>
          <w:tab/>
        </w:r>
        <w:r w:rsidR="00E40776">
          <w:rPr>
            <w:noProof/>
            <w:webHidden/>
          </w:rPr>
          <w:fldChar w:fldCharType="begin"/>
        </w:r>
        <w:r w:rsidR="00E40776">
          <w:rPr>
            <w:noProof/>
            <w:webHidden/>
          </w:rPr>
          <w:instrText xml:space="preserve"> PAGEREF _Toc208244479 \h </w:instrText>
        </w:r>
        <w:r w:rsidR="00E40776">
          <w:rPr>
            <w:noProof/>
            <w:webHidden/>
          </w:rPr>
        </w:r>
        <w:r w:rsidR="00E40776">
          <w:rPr>
            <w:noProof/>
            <w:webHidden/>
          </w:rPr>
          <w:fldChar w:fldCharType="separate"/>
        </w:r>
        <w:r w:rsidR="00645AF6">
          <w:rPr>
            <w:noProof/>
            <w:webHidden/>
          </w:rPr>
          <w:t>83</w:t>
        </w:r>
        <w:r w:rsidR="00E40776">
          <w:rPr>
            <w:noProof/>
            <w:webHidden/>
          </w:rPr>
          <w:fldChar w:fldCharType="end"/>
        </w:r>
      </w:hyperlink>
    </w:p>
    <w:p w14:paraId="258D2DDF" w14:textId="6F1E2E65" w:rsidR="00E40776" w:rsidRDefault="002A2B72" w:rsidP="00EE7F1F">
      <w:pPr>
        <w:pStyle w:val="TOC2"/>
        <w:rPr>
          <w:noProof/>
          <w:kern w:val="2"/>
          <w:sz w:val="24"/>
          <w:szCs w:val="24"/>
          <w:lang w:val="en-GB"/>
          <w14:ligatures w14:val="standardContextual"/>
        </w:rPr>
      </w:pPr>
      <w:hyperlink w:anchor="_Toc208244480" w:history="1">
        <w:r w:rsidR="00E40776" w:rsidRPr="00634116">
          <w:rPr>
            <w:rStyle w:val="Hyperlink"/>
            <w:rFonts w:eastAsia="Calibri"/>
            <w:noProof/>
          </w:rPr>
          <w:t>II.27</w:t>
        </w:r>
        <w:r w:rsidR="00E40776">
          <w:rPr>
            <w:noProof/>
            <w:kern w:val="2"/>
            <w:sz w:val="24"/>
            <w:szCs w:val="24"/>
            <w:lang w:val="en-GB"/>
            <w14:ligatures w14:val="standardContextual"/>
          </w:rPr>
          <w:tab/>
        </w:r>
        <w:r w:rsidR="00E40776" w:rsidRPr="00634116">
          <w:rPr>
            <w:rStyle w:val="Hyperlink"/>
            <w:noProof/>
          </w:rPr>
          <w:t xml:space="preserve">Z 09.02 — </w:t>
        </w:r>
        <w:r w:rsidR="00324FDF">
          <w:rPr>
            <w:rStyle w:val="Hyperlink"/>
            <w:noProof/>
            <w:lang w:val="bg-BG"/>
          </w:rPr>
          <w:t xml:space="preserve">Услуги, свързани с ИФП </w:t>
        </w:r>
        <w:r w:rsidR="00324FDF" w:rsidRPr="00324FDF">
          <w:rPr>
            <w:rStyle w:val="Hyperlink"/>
            <w:noProof/>
            <w:lang w:val="bg-BG"/>
          </w:rPr>
          <w:t>—</w:t>
        </w:r>
        <w:r w:rsidR="00324FDF">
          <w:rPr>
            <w:rStyle w:val="Hyperlink"/>
            <w:noProof/>
            <w:lang w:val="bg-BG"/>
          </w:rPr>
          <w:t xml:space="preserve"> </w:t>
        </w:r>
        <w:r w:rsidR="009C1096">
          <w:rPr>
            <w:rStyle w:val="Hyperlink"/>
            <w:noProof/>
            <w:lang w:val="bg-BG"/>
          </w:rPr>
          <w:t xml:space="preserve">Онагледявене по </w:t>
        </w:r>
        <w:r w:rsidR="00E40776" w:rsidRPr="00634116">
          <w:rPr>
            <w:rStyle w:val="Hyperlink"/>
            <w:noProof/>
          </w:rPr>
          <w:t xml:space="preserve">критични и </w:t>
        </w:r>
        <w:r w:rsidR="006B21E5">
          <w:rPr>
            <w:rStyle w:val="Hyperlink"/>
            <w:noProof/>
            <w:lang w:val="bg-BG"/>
          </w:rPr>
          <w:t>важни</w:t>
        </w:r>
        <w:r w:rsidR="006B21E5" w:rsidRPr="00634116">
          <w:rPr>
            <w:rStyle w:val="Hyperlink"/>
            <w:noProof/>
          </w:rPr>
          <w:t xml:space="preserve"> </w:t>
        </w:r>
        <w:r w:rsidR="00E40776" w:rsidRPr="00634116">
          <w:rPr>
            <w:rStyle w:val="Hyperlink"/>
            <w:noProof/>
          </w:rPr>
          <w:t>ИФП (</w:t>
        </w:r>
        <w:r w:rsidR="00753CA4">
          <w:rPr>
            <w:rStyle w:val="Hyperlink"/>
            <w:noProof/>
            <w:lang w:val="en-US"/>
          </w:rPr>
          <w:t>FMI</w:t>
        </w:r>
        <w:r w:rsidR="00E40776" w:rsidRPr="00634116">
          <w:rPr>
            <w:rStyle w:val="Hyperlink"/>
            <w:noProof/>
          </w:rPr>
          <w:t xml:space="preserve"> 2)</w:t>
        </w:r>
        <w:r w:rsidR="00E40776">
          <w:rPr>
            <w:noProof/>
            <w:webHidden/>
          </w:rPr>
          <w:tab/>
        </w:r>
        <w:r w:rsidR="00E40776">
          <w:rPr>
            <w:noProof/>
            <w:webHidden/>
          </w:rPr>
          <w:fldChar w:fldCharType="begin"/>
        </w:r>
        <w:r w:rsidR="00E40776">
          <w:rPr>
            <w:noProof/>
            <w:webHidden/>
          </w:rPr>
          <w:instrText xml:space="preserve"> PAGEREF _Toc208244480 \h </w:instrText>
        </w:r>
        <w:r w:rsidR="00E40776">
          <w:rPr>
            <w:noProof/>
            <w:webHidden/>
          </w:rPr>
        </w:r>
        <w:r w:rsidR="00E40776">
          <w:rPr>
            <w:noProof/>
            <w:webHidden/>
          </w:rPr>
          <w:fldChar w:fldCharType="separate"/>
        </w:r>
        <w:r w:rsidR="00645AF6">
          <w:rPr>
            <w:noProof/>
            <w:webHidden/>
          </w:rPr>
          <w:t>87</w:t>
        </w:r>
        <w:r w:rsidR="00E40776">
          <w:rPr>
            <w:noProof/>
            <w:webHidden/>
          </w:rPr>
          <w:fldChar w:fldCharType="end"/>
        </w:r>
      </w:hyperlink>
    </w:p>
    <w:p w14:paraId="34258BCB" w14:textId="73E6D8E4" w:rsidR="00E40776" w:rsidRDefault="002A2B72" w:rsidP="00EE7F1F">
      <w:pPr>
        <w:pStyle w:val="TOC2"/>
        <w:rPr>
          <w:noProof/>
          <w:kern w:val="2"/>
          <w:sz w:val="24"/>
          <w:szCs w:val="24"/>
          <w:lang w:val="en-GB"/>
          <w14:ligatures w14:val="standardContextual"/>
        </w:rPr>
      </w:pPr>
      <w:hyperlink w:anchor="_Toc208244481" w:history="1">
        <w:r w:rsidR="00E40776" w:rsidRPr="00634116">
          <w:rPr>
            <w:rStyle w:val="Hyperlink"/>
            <w:noProof/>
          </w:rPr>
          <w:t>II.28</w:t>
        </w:r>
        <w:r w:rsidR="00E40776">
          <w:rPr>
            <w:noProof/>
            <w:kern w:val="2"/>
            <w:sz w:val="24"/>
            <w:szCs w:val="24"/>
            <w:lang w:val="en-GB"/>
            <w14:ligatures w14:val="standardContextual"/>
          </w:rPr>
          <w:tab/>
        </w:r>
        <w:r w:rsidR="00E40776" w:rsidRPr="00634116">
          <w:rPr>
            <w:rStyle w:val="Hyperlink"/>
            <w:noProof/>
          </w:rPr>
          <w:t>Z 09.03 — Услуги</w:t>
        </w:r>
        <w:r w:rsidR="009C1096">
          <w:rPr>
            <w:rStyle w:val="Hyperlink"/>
            <w:noProof/>
            <w:lang w:val="bg-BG"/>
          </w:rPr>
          <w:t>, свързани с</w:t>
        </w:r>
        <w:r w:rsidR="00E40776" w:rsidRPr="00634116">
          <w:rPr>
            <w:rStyle w:val="Hyperlink"/>
            <w:noProof/>
          </w:rPr>
          <w:t xml:space="preserve"> </w:t>
        </w:r>
        <w:r w:rsidR="00753CA4">
          <w:rPr>
            <w:rStyle w:val="Hyperlink"/>
            <w:noProof/>
            <w:lang w:val="bg-BG"/>
          </w:rPr>
          <w:t>ИФП</w:t>
        </w:r>
        <w:r w:rsidR="00E40776" w:rsidRPr="00634116">
          <w:rPr>
            <w:rStyle w:val="Hyperlink"/>
            <w:noProof/>
          </w:rPr>
          <w:t xml:space="preserve"> — ключови показатели (FMI 3)</w:t>
        </w:r>
        <w:r w:rsidR="00E40776">
          <w:rPr>
            <w:noProof/>
            <w:webHidden/>
          </w:rPr>
          <w:tab/>
        </w:r>
        <w:r w:rsidR="00E40776">
          <w:rPr>
            <w:noProof/>
            <w:webHidden/>
          </w:rPr>
          <w:fldChar w:fldCharType="begin"/>
        </w:r>
        <w:r w:rsidR="00E40776">
          <w:rPr>
            <w:noProof/>
            <w:webHidden/>
          </w:rPr>
          <w:instrText xml:space="preserve"> PAGEREF _Toc208244481 \h </w:instrText>
        </w:r>
        <w:r w:rsidR="00E40776">
          <w:rPr>
            <w:noProof/>
            <w:webHidden/>
          </w:rPr>
        </w:r>
        <w:r w:rsidR="00E40776">
          <w:rPr>
            <w:noProof/>
            <w:webHidden/>
          </w:rPr>
          <w:fldChar w:fldCharType="separate"/>
        </w:r>
        <w:r w:rsidR="00645AF6">
          <w:rPr>
            <w:noProof/>
            <w:webHidden/>
          </w:rPr>
          <w:t>89</w:t>
        </w:r>
        <w:r w:rsidR="00E40776">
          <w:rPr>
            <w:noProof/>
            <w:webHidden/>
          </w:rPr>
          <w:fldChar w:fldCharType="end"/>
        </w:r>
      </w:hyperlink>
    </w:p>
    <w:p w14:paraId="1F70C509" w14:textId="77777777" w:rsidR="00E40776" w:rsidRDefault="00E40776" w:rsidP="00EE7F1F">
      <w:pPr>
        <w:pStyle w:val="TOC2"/>
        <w:rPr>
          <w:noProof/>
          <w:kern w:val="2"/>
          <w:sz w:val="24"/>
          <w:szCs w:val="24"/>
          <w:lang w:val="en-GB"/>
          <w14:ligatures w14:val="standardContextual"/>
        </w:rPr>
      </w:pPr>
      <w:hyperlink w:anchor="_Toc208244482" w:history="1">
        <w:r w:rsidRPr="00634116">
          <w:rPr>
            <w:rStyle w:val="Hyperlink"/>
            <w:noProof/>
          </w:rPr>
          <w:t>II.29</w:t>
        </w:r>
        <w:r>
          <w:rPr>
            <w:noProof/>
            <w:kern w:val="2"/>
            <w:sz w:val="24"/>
            <w:szCs w:val="24"/>
            <w:lang w:val="en-GB"/>
            <w14:ligatures w14:val="standardContextual"/>
          </w:rPr>
          <w:tab/>
        </w:r>
        <w:r w:rsidRPr="00634116">
          <w:rPr>
            <w:rStyle w:val="Hyperlink"/>
            <w:noProof/>
          </w:rPr>
          <w:t>Z 09.04 — Услуги, свързани с ИФП — Ц</w:t>
        </w:r>
        <w:r w:rsidR="00753CA4">
          <w:rPr>
            <w:rStyle w:val="Hyperlink"/>
            <w:noProof/>
            <w:lang w:val="bg-BG"/>
          </w:rPr>
          <w:t>ентрални контрагенти</w:t>
        </w:r>
        <w:r w:rsidRPr="00634116">
          <w:rPr>
            <w:rStyle w:val="Hyperlink"/>
            <w:noProof/>
          </w:rPr>
          <w:t xml:space="preserve"> — алтернативни доставчици (</w:t>
        </w:r>
        <w:r w:rsidR="00753CA4">
          <w:rPr>
            <w:rStyle w:val="Hyperlink"/>
            <w:noProof/>
            <w:lang w:val="en-US"/>
          </w:rPr>
          <w:t>FMI</w:t>
        </w:r>
        <w:r w:rsidRPr="00634116">
          <w:rPr>
            <w:rStyle w:val="Hyperlink"/>
            <w:noProof/>
          </w:rPr>
          <w:t xml:space="preserve"> 4)</w:t>
        </w:r>
        <w:r>
          <w:rPr>
            <w:noProof/>
            <w:webHidden/>
          </w:rPr>
          <w:tab/>
        </w:r>
        <w:r>
          <w:rPr>
            <w:noProof/>
            <w:webHidden/>
          </w:rPr>
          <w:fldChar w:fldCharType="begin"/>
        </w:r>
        <w:r>
          <w:rPr>
            <w:noProof/>
            <w:webHidden/>
          </w:rPr>
          <w:instrText xml:space="preserve"> PAGEREF _Toc208244482 \h </w:instrText>
        </w:r>
        <w:r>
          <w:rPr>
            <w:noProof/>
            <w:webHidden/>
          </w:rPr>
        </w:r>
        <w:r>
          <w:rPr>
            <w:noProof/>
            <w:webHidden/>
          </w:rPr>
          <w:fldChar w:fldCharType="separate"/>
        </w:r>
        <w:r w:rsidR="00645AF6">
          <w:rPr>
            <w:noProof/>
            <w:webHidden/>
          </w:rPr>
          <w:t>91</w:t>
        </w:r>
        <w:r>
          <w:rPr>
            <w:noProof/>
            <w:webHidden/>
          </w:rPr>
          <w:fldChar w:fldCharType="end"/>
        </w:r>
      </w:hyperlink>
    </w:p>
    <w:p w14:paraId="4443BF63" w14:textId="77777777" w:rsidR="00E40776" w:rsidRDefault="00E40776" w:rsidP="00EE7F1F">
      <w:pPr>
        <w:pStyle w:val="TOC2"/>
        <w:rPr>
          <w:noProof/>
          <w:kern w:val="2"/>
          <w:sz w:val="24"/>
          <w:szCs w:val="24"/>
          <w:lang w:val="en-GB"/>
          <w14:ligatures w14:val="standardContextual"/>
        </w:rPr>
      </w:pPr>
      <w:hyperlink w:anchor="_Toc208244483" w:history="1">
        <w:r w:rsidRPr="00634116">
          <w:rPr>
            <w:rStyle w:val="Hyperlink"/>
            <w:noProof/>
          </w:rPr>
          <w:t>II.30</w:t>
        </w:r>
        <w:r>
          <w:rPr>
            <w:noProof/>
            <w:kern w:val="2"/>
            <w:sz w:val="24"/>
            <w:szCs w:val="24"/>
            <w:lang w:val="en-GB"/>
            <w14:ligatures w14:val="standardContextual"/>
          </w:rPr>
          <w:tab/>
        </w:r>
        <w:r w:rsidRPr="00634116">
          <w:rPr>
            <w:rStyle w:val="Hyperlink"/>
            <w:noProof/>
          </w:rPr>
          <w:t xml:space="preserve">Анализ на </w:t>
        </w:r>
        <w:r w:rsidR="00753CA4">
          <w:rPr>
            <w:rStyle w:val="Hyperlink"/>
            <w:noProof/>
            <w:lang w:val="bg-BG"/>
          </w:rPr>
          <w:t>задълженията</w:t>
        </w:r>
        <w:r>
          <w:rPr>
            <w:noProof/>
            <w:webHidden/>
          </w:rPr>
          <w:tab/>
        </w:r>
        <w:r>
          <w:rPr>
            <w:noProof/>
            <w:webHidden/>
          </w:rPr>
          <w:fldChar w:fldCharType="begin"/>
        </w:r>
        <w:r>
          <w:rPr>
            <w:noProof/>
            <w:webHidden/>
          </w:rPr>
          <w:instrText xml:space="preserve"> PAGEREF _Toc208244483 \h </w:instrText>
        </w:r>
        <w:r>
          <w:rPr>
            <w:noProof/>
            <w:webHidden/>
          </w:rPr>
        </w:r>
        <w:r>
          <w:rPr>
            <w:noProof/>
            <w:webHidden/>
          </w:rPr>
          <w:fldChar w:fldCharType="separate"/>
        </w:r>
        <w:r w:rsidR="00645AF6">
          <w:rPr>
            <w:noProof/>
            <w:webHidden/>
          </w:rPr>
          <w:t>92</w:t>
        </w:r>
        <w:r>
          <w:rPr>
            <w:noProof/>
            <w:webHidden/>
          </w:rPr>
          <w:fldChar w:fldCharType="end"/>
        </w:r>
      </w:hyperlink>
    </w:p>
    <w:p w14:paraId="76121FFD" w14:textId="1013C9A0" w:rsidR="00E40776" w:rsidRDefault="002A2B72" w:rsidP="00EE7F1F">
      <w:pPr>
        <w:pStyle w:val="TOC2"/>
        <w:rPr>
          <w:noProof/>
          <w:kern w:val="2"/>
          <w:sz w:val="24"/>
          <w:szCs w:val="24"/>
          <w:lang w:val="en-GB"/>
          <w14:ligatures w14:val="standardContextual"/>
        </w:rPr>
      </w:pPr>
      <w:hyperlink w:anchor="_Toc208244484" w:history="1">
        <w:r w:rsidR="00E40776" w:rsidRPr="00634116">
          <w:rPr>
            <w:rStyle w:val="Hyperlink"/>
            <w:rFonts w:ascii="Times New Roman" w:hAnsi="Times New Roman" w:cs="Times New Roman"/>
            <w:noProof/>
          </w:rPr>
          <w:t>II.31</w:t>
        </w:r>
        <w:r w:rsidR="00E40776">
          <w:rPr>
            <w:noProof/>
            <w:kern w:val="2"/>
            <w:sz w:val="24"/>
            <w:szCs w:val="24"/>
            <w:lang w:val="en-GB"/>
            <w14:ligatures w14:val="standardContextual"/>
          </w:rPr>
          <w:tab/>
        </w:r>
        <w:r w:rsidR="00E40776" w:rsidRPr="00634116">
          <w:rPr>
            <w:rStyle w:val="Hyperlink"/>
            <w:rFonts w:ascii="Times New Roman" w:hAnsi="Times New Roman" w:cs="Times New Roman"/>
            <w:noProof/>
          </w:rPr>
          <w:t>Z 11.00</w:t>
        </w:r>
        <w:r w:rsidR="00A1729F">
          <w:rPr>
            <w:rStyle w:val="Hyperlink"/>
            <w:rFonts w:ascii="Times New Roman" w:hAnsi="Times New Roman" w:cs="Times New Roman"/>
            <w:noProof/>
            <w:lang w:val="bg-BG"/>
          </w:rPr>
          <w:t xml:space="preserve"> </w:t>
        </w:r>
        <w:r w:rsidR="00A1729F" w:rsidRPr="00A1729F">
          <w:rPr>
            <w:rStyle w:val="Hyperlink"/>
            <w:rFonts w:ascii="Times New Roman" w:hAnsi="Times New Roman" w:cs="Times New Roman"/>
            <w:noProof/>
            <w:lang w:val="bg-BG"/>
          </w:rPr>
          <w:t>—</w:t>
        </w:r>
        <w:r w:rsidR="00E40776" w:rsidRPr="00634116">
          <w:rPr>
            <w:rStyle w:val="Hyperlink"/>
            <w:rFonts w:ascii="Times New Roman" w:hAnsi="Times New Roman" w:cs="Times New Roman"/>
            <w:noProof/>
          </w:rPr>
          <w:t xml:space="preserve"> </w:t>
        </w:r>
        <w:r w:rsidR="00067680">
          <w:rPr>
            <w:rStyle w:val="Hyperlink"/>
            <w:rFonts w:ascii="Times New Roman" w:hAnsi="Times New Roman" w:cs="Times New Roman"/>
            <w:noProof/>
            <w:lang w:val="bg-BG"/>
          </w:rPr>
          <w:t>Вътрешногрупови з</w:t>
        </w:r>
        <w:r w:rsidR="00753CA4">
          <w:rPr>
            <w:rStyle w:val="Hyperlink"/>
            <w:rFonts w:ascii="Times New Roman" w:hAnsi="Times New Roman" w:cs="Times New Roman"/>
            <w:noProof/>
            <w:lang w:val="bg-BG"/>
          </w:rPr>
          <w:t>адължения</w:t>
        </w:r>
        <w:r w:rsidR="00E40776" w:rsidRPr="00634116">
          <w:rPr>
            <w:rStyle w:val="Hyperlink"/>
            <w:rFonts w:ascii="Times New Roman" w:eastAsia="Calibri" w:hAnsi="Times New Roman" w:cs="Times New Roman"/>
            <w:noProof/>
          </w:rPr>
          <w:t xml:space="preserve"> (LIAB-G-1)</w:t>
        </w:r>
        <w:r w:rsidR="00E40776">
          <w:rPr>
            <w:noProof/>
            <w:webHidden/>
          </w:rPr>
          <w:tab/>
        </w:r>
        <w:r w:rsidR="00E40776">
          <w:rPr>
            <w:noProof/>
            <w:webHidden/>
          </w:rPr>
          <w:fldChar w:fldCharType="begin"/>
        </w:r>
        <w:r w:rsidR="00E40776">
          <w:rPr>
            <w:noProof/>
            <w:webHidden/>
          </w:rPr>
          <w:instrText xml:space="preserve"> PAGEREF _Toc208244484 \h </w:instrText>
        </w:r>
        <w:r w:rsidR="00E40776">
          <w:rPr>
            <w:noProof/>
            <w:webHidden/>
          </w:rPr>
        </w:r>
        <w:r w:rsidR="00E40776">
          <w:rPr>
            <w:noProof/>
            <w:webHidden/>
          </w:rPr>
          <w:fldChar w:fldCharType="separate"/>
        </w:r>
        <w:r w:rsidR="00645AF6">
          <w:rPr>
            <w:noProof/>
            <w:webHidden/>
          </w:rPr>
          <w:t>92</w:t>
        </w:r>
        <w:r w:rsidR="00E40776">
          <w:rPr>
            <w:noProof/>
            <w:webHidden/>
          </w:rPr>
          <w:fldChar w:fldCharType="end"/>
        </w:r>
      </w:hyperlink>
    </w:p>
    <w:p w14:paraId="306223BF" w14:textId="622AA9E8" w:rsidR="00E40776" w:rsidRDefault="0012152C" w:rsidP="00EE7F1F">
      <w:pPr>
        <w:pStyle w:val="TOC2"/>
        <w:rPr>
          <w:noProof/>
          <w:kern w:val="2"/>
          <w:sz w:val="24"/>
          <w:szCs w:val="24"/>
          <w:lang w:val="en-GB"/>
          <w14:ligatures w14:val="standardContextual"/>
        </w:rPr>
      </w:pPr>
      <w:hyperlink w:anchor="_Toc208244485" w:history="1">
        <w:r w:rsidR="00E40776" w:rsidRPr="00634116">
          <w:rPr>
            <w:rStyle w:val="Hyperlink"/>
            <w:rFonts w:ascii="Times New Roman" w:hAnsi="Times New Roman" w:cs="Times New Roman"/>
            <w:noProof/>
          </w:rPr>
          <w:t>II.32</w:t>
        </w:r>
        <w:r w:rsidR="00E40776">
          <w:rPr>
            <w:noProof/>
            <w:kern w:val="2"/>
            <w:sz w:val="24"/>
            <w:szCs w:val="24"/>
            <w:lang w:val="en-GB"/>
            <w14:ligatures w14:val="standardContextual"/>
          </w:rPr>
          <w:tab/>
        </w:r>
        <w:r w:rsidR="00E40776" w:rsidRPr="00634116">
          <w:rPr>
            <w:rStyle w:val="Hyperlink"/>
            <w:rFonts w:ascii="Times New Roman" w:hAnsi="Times New Roman" w:cs="Times New Roman"/>
            <w:noProof/>
          </w:rPr>
          <w:t xml:space="preserve">Z 12.00 — Ценни </w:t>
        </w:r>
        <w:r w:rsidR="00E40776" w:rsidRPr="00634116">
          <w:rPr>
            <w:rStyle w:val="Hyperlink"/>
            <w:rFonts w:ascii="Times New Roman" w:eastAsia="Cambria" w:hAnsi="Times New Roman" w:cs="Times New Roman"/>
            <w:noProof/>
          </w:rPr>
          <w:t xml:space="preserve">книжа (включително </w:t>
        </w:r>
        <w:r>
          <w:rPr>
            <w:rStyle w:val="Hyperlink"/>
            <w:rFonts w:ascii="Times New Roman" w:eastAsia="Cambria" w:hAnsi="Times New Roman" w:cs="Times New Roman"/>
            <w:noProof/>
            <w:lang w:val="bg-BG"/>
          </w:rPr>
          <w:t xml:space="preserve">инструменти на базовия собствен капитал от първи ред (СЕТ1), допълнителния капитал от първи ред (АТ1) и </w:t>
        </w:r>
        <w:r w:rsidR="00E40776" w:rsidRPr="00634116">
          <w:rPr>
            <w:rStyle w:val="Hyperlink"/>
            <w:rFonts w:ascii="Times New Roman" w:eastAsia="Cambria" w:hAnsi="Times New Roman" w:cs="Times New Roman"/>
            <w:noProof/>
          </w:rPr>
          <w:t xml:space="preserve">капитала от </w:t>
        </w:r>
        <w:r w:rsidR="00753CA4">
          <w:rPr>
            <w:rStyle w:val="Hyperlink"/>
            <w:rFonts w:ascii="Times New Roman" w:eastAsia="Cambria" w:hAnsi="Times New Roman" w:cs="Times New Roman"/>
            <w:noProof/>
            <w:lang w:val="bg-BG"/>
          </w:rPr>
          <w:t xml:space="preserve">втори </w:t>
        </w:r>
        <w:r w:rsidR="00E40776" w:rsidRPr="00634116">
          <w:rPr>
            <w:rStyle w:val="Hyperlink"/>
            <w:rFonts w:ascii="Times New Roman" w:eastAsia="Cambria" w:hAnsi="Times New Roman" w:cs="Times New Roman"/>
            <w:noProof/>
          </w:rPr>
          <w:t>ред</w:t>
        </w:r>
        <w:r w:rsidR="00753CA4">
          <w:rPr>
            <w:rStyle w:val="Hyperlink"/>
            <w:rFonts w:ascii="Times New Roman" w:eastAsia="Cambria" w:hAnsi="Times New Roman" w:cs="Times New Roman"/>
            <w:noProof/>
            <w:lang w:val="bg-BG"/>
          </w:rPr>
          <w:t xml:space="preserve"> </w:t>
        </w:r>
        <w:r>
          <w:rPr>
            <w:rStyle w:val="Hyperlink"/>
            <w:rFonts w:ascii="Times New Roman" w:eastAsia="Cambria" w:hAnsi="Times New Roman" w:cs="Times New Roman"/>
            <w:noProof/>
            <w:lang w:val="bg-BG"/>
          </w:rPr>
          <w:t>(Т</w:t>
        </w:r>
        <w:r w:rsidR="00E40776" w:rsidRPr="00634116">
          <w:rPr>
            <w:rStyle w:val="Hyperlink"/>
            <w:rFonts w:ascii="Times New Roman" w:eastAsia="Cambria" w:hAnsi="Times New Roman" w:cs="Times New Roman"/>
            <w:noProof/>
          </w:rPr>
          <w:t>2</w:t>
        </w:r>
        <w:r>
          <w:rPr>
            <w:rStyle w:val="Hyperlink"/>
            <w:rFonts w:ascii="Times New Roman" w:eastAsia="Cambria" w:hAnsi="Times New Roman" w:cs="Times New Roman"/>
            <w:noProof/>
            <w:lang w:val="bg-BG"/>
          </w:rPr>
          <w:t>)</w:t>
        </w:r>
        <w:r w:rsidR="00E40776" w:rsidRPr="00634116">
          <w:rPr>
            <w:rStyle w:val="Hyperlink"/>
            <w:rFonts w:ascii="Times New Roman" w:eastAsia="Cambria" w:hAnsi="Times New Roman" w:cs="Times New Roman"/>
            <w:noProof/>
          </w:rPr>
          <w:t xml:space="preserve">; с изключение на вътрешногрупови) </w:t>
        </w:r>
        <w:r w:rsidR="00E40776" w:rsidRPr="00634116">
          <w:rPr>
            <w:rStyle w:val="Hyperlink"/>
            <w:rFonts w:ascii="Times New Roman" w:eastAsia="Calibri" w:hAnsi="Times New Roman" w:cs="Times New Roman"/>
            <w:noProof/>
          </w:rPr>
          <w:t>(LIAB-G-2)</w:t>
        </w:r>
        <w:r w:rsidR="00E40776">
          <w:rPr>
            <w:noProof/>
            <w:webHidden/>
          </w:rPr>
          <w:tab/>
        </w:r>
        <w:r w:rsidR="00E40776">
          <w:rPr>
            <w:noProof/>
            <w:webHidden/>
          </w:rPr>
          <w:fldChar w:fldCharType="begin"/>
        </w:r>
        <w:r w:rsidR="00E40776">
          <w:rPr>
            <w:noProof/>
            <w:webHidden/>
          </w:rPr>
          <w:instrText xml:space="preserve"> PAGEREF _Toc208244485 \h </w:instrText>
        </w:r>
        <w:r w:rsidR="00E40776">
          <w:rPr>
            <w:noProof/>
            <w:webHidden/>
          </w:rPr>
        </w:r>
        <w:r w:rsidR="00E40776">
          <w:rPr>
            <w:noProof/>
            <w:webHidden/>
          </w:rPr>
          <w:fldChar w:fldCharType="separate"/>
        </w:r>
        <w:r w:rsidR="00645AF6">
          <w:rPr>
            <w:noProof/>
            <w:webHidden/>
          </w:rPr>
          <w:t>95</w:t>
        </w:r>
        <w:r w:rsidR="00E40776">
          <w:rPr>
            <w:noProof/>
            <w:webHidden/>
          </w:rPr>
          <w:fldChar w:fldCharType="end"/>
        </w:r>
      </w:hyperlink>
    </w:p>
    <w:p w14:paraId="40023386" w14:textId="77777777" w:rsidR="00E40776" w:rsidRDefault="00E40776" w:rsidP="00EE7F1F">
      <w:pPr>
        <w:pStyle w:val="TOC2"/>
        <w:rPr>
          <w:noProof/>
          <w:kern w:val="2"/>
          <w:sz w:val="24"/>
          <w:szCs w:val="24"/>
          <w:lang w:val="en-GB"/>
          <w14:ligatures w14:val="standardContextual"/>
        </w:rPr>
      </w:pPr>
      <w:hyperlink w:anchor="_Toc208244486" w:history="1">
        <w:r w:rsidRPr="00634116">
          <w:rPr>
            <w:rStyle w:val="Hyperlink"/>
            <w:rFonts w:ascii="Times New Roman" w:hAnsi="Times New Roman" w:cs="Times New Roman"/>
            <w:noProof/>
          </w:rPr>
          <w:t>II.33</w:t>
        </w:r>
        <w:r>
          <w:rPr>
            <w:noProof/>
            <w:kern w:val="2"/>
            <w:sz w:val="24"/>
            <w:szCs w:val="24"/>
            <w:lang w:val="en-GB"/>
            <w14:ligatures w14:val="standardContextual"/>
          </w:rPr>
          <w:tab/>
        </w:r>
        <w:r w:rsidRPr="00634116">
          <w:rPr>
            <w:rStyle w:val="Hyperlink"/>
            <w:rFonts w:ascii="Times New Roman" w:hAnsi="Times New Roman" w:cs="Times New Roman"/>
            <w:noProof/>
          </w:rPr>
          <w:t xml:space="preserve">Z 13.00 — Всички депозити (с изключение на вътрешногруповите) </w:t>
        </w:r>
        <w:r w:rsidRPr="00634116">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_Toc208244486 \h </w:instrText>
        </w:r>
        <w:r>
          <w:rPr>
            <w:noProof/>
            <w:webHidden/>
          </w:rPr>
        </w:r>
        <w:r>
          <w:rPr>
            <w:noProof/>
            <w:webHidden/>
          </w:rPr>
          <w:fldChar w:fldCharType="separate"/>
        </w:r>
        <w:r w:rsidR="00645AF6">
          <w:rPr>
            <w:noProof/>
            <w:webHidden/>
          </w:rPr>
          <w:t>99</w:t>
        </w:r>
        <w:r>
          <w:rPr>
            <w:noProof/>
            <w:webHidden/>
          </w:rPr>
          <w:fldChar w:fldCharType="end"/>
        </w:r>
      </w:hyperlink>
    </w:p>
    <w:p w14:paraId="2F7F6D0E" w14:textId="77777777" w:rsidR="00E40776" w:rsidRDefault="00E40776" w:rsidP="00EE7F1F">
      <w:pPr>
        <w:pStyle w:val="TOC2"/>
        <w:rPr>
          <w:noProof/>
          <w:kern w:val="2"/>
          <w:sz w:val="24"/>
          <w:szCs w:val="24"/>
          <w:lang w:val="en-GB"/>
          <w14:ligatures w14:val="standardContextual"/>
        </w:rPr>
      </w:pPr>
      <w:hyperlink w:anchor="_Toc208244487" w:history="1">
        <w:r w:rsidRPr="00634116">
          <w:rPr>
            <w:rStyle w:val="Hyperlink"/>
            <w:rFonts w:ascii="Times New Roman" w:hAnsi="Times New Roman" w:cs="Times New Roman"/>
            <w:noProof/>
          </w:rPr>
          <w:t>II.34</w:t>
        </w:r>
        <w:r>
          <w:rPr>
            <w:noProof/>
            <w:kern w:val="2"/>
            <w:sz w:val="24"/>
            <w:szCs w:val="24"/>
            <w:lang w:val="en-GB"/>
            <w14:ligatures w14:val="standardContextual"/>
          </w:rPr>
          <w:tab/>
        </w:r>
        <w:r w:rsidRPr="00634116">
          <w:rPr>
            <w:rStyle w:val="Hyperlink"/>
            <w:rFonts w:ascii="Times New Roman" w:hAnsi="Times New Roman" w:cs="Times New Roman"/>
            <w:noProof/>
          </w:rPr>
          <w:t xml:space="preserve">Z 14.00 — Други финансови </w:t>
        </w:r>
        <w:r w:rsidR="00753CA4">
          <w:rPr>
            <w:rStyle w:val="Hyperlink"/>
            <w:rFonts w:ascii="Times New Roman" w:hAnsi="Times New Roman" w:cs="Times New Roman"/>
            <w:noProof/>
            <w:lang w:val="bg-BG"/>
          </w:rPr>
          <w:t>задължения</w:t>
        </w:r>
        <w:r w:rsidRPr="00634116">
          <w:rPr>
            <w:rStyle w:val="Hyperlink"/>
            <w:rFonts w:ascii="Times New Roman" w:hAnsi="Times New Roman" w:cs="Times New Roman"/>
            <w:noProof/>
          </w:rPr>
          <w:t xml:space="preserve"> (невключени в други раздели, с изключение на вътрешногруповите) </w:t>
        </w:r>
        <w:r w:rsidRPr="00634116">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_Toc208244487 \h </w:instrText>
        </w:r>
        <w:r>
          <w:rPr>
            <w:noProof/>
            <w:webHidden/>
          </w:rPr>
        </w:r>
        <w:r>
          <w:rPr>
            <w:noProof/>
            <w:webHidden/>
          </w:rPr>
          <w:fldChar w:fldCharType="separate"/>
        </w:r>
        <w:r w:rsidR="00645AF6">
          <w:rPr>
            <w:noProof/>
            <w:webHidden/>
          </w:rPr>
          <w:t>102</w:t>
        </w:r>
        <w:r>
          <w:rPr>
            <w:noProof/>
            <w:webHidden/>
          </w:rPr>
          <w:fldChar w:fldCharType="end"/>
        </w:r>
      </w:hyperlink>
    </w:p>
    <w:p w14:paraId="46876F9A" w14:textId="1DF78058" w:rsidR="00E40776" w:rsidRDefault="00E40776" w:rsidP="00EE7F1F">
      <w:pPr>
        <w:pStyle w:val="TOC2"/>
        <w:rPr>
          <w:noProof/>
          <w:kern w:val="2"/>
          <w:sz w:val="24"/>
          <w:szCs w:val="24"/>
          <w:lang w:val="en-GB"/>
          <w14:ligatures w14:val="standardContextual"/>
        </w:rPr>
      </w:pPr>
      <w:hyperlink w:anchor="_Toc208244488" w:history="1">
        <w:r w:rsidRPr="00634116">
          <w:rPr>
            <w:rStyle w:val="Hyperlink"/>
            <w:rFonts w:ascii="Times New Roman" w:hAnsi="Times New Roman" w:cs="Times New Roman"/>
            <w:noProof/>
          </w:rPr>
          <w:t>II.35</w:t>
        </w:r>
        <w:r>
          <w:rPr>
            <w:noProof/>
            <w:kern w:val="2"/>
            <w:sz w:val="24"/>
            <w:szCs w:val="24"/>
            <w:lang w:val="en-GB"/>
            <w14:ligatures w14:val="standardContextual"/>
          </w:rPr>
          <w:tab/>
        </w:r>
        <w:r w:rsidRPr="00634116">
          <w:rPr>
            <w:rStyle w:val="Hyperlink"/>
            <w:rFonts w:ascii="Times New Roman" w:hAnsi="Times New Roman" w:cs="Times New Roman"/>
            <w:noProof/>
          </w:rPr>
          <w:t xml:space="preserve">Z 15.00 — Деривати </w:t>
        </w:r>
        <w:r w:rsidRPr="00634116">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_Toc208244488 \h </w:instrText>
        </w:r>
        <w:r>
          <w:rPr>
            <w:noProof/>
            <w:webHidden/>
          </w:rPr>
        </w:r>
        <w:r>
          <w:rPr>
            <w:noProof/>
            <w:webHidden/>
          </w:rPr>
          <w:fldChar w:fldCharType="separate"/>
        </w:r>
        <w:r w:rsidR="00645AF6">
          <w:rPr>
            <w:noProof/>
            <w:webHidden/>
          </w:rPr>
          <w:t>104</w:t>
        </w:r>
        <w:r>
          <w:rPr>
            <w:noProof/>
            <w:webHidden/>
          </w:rPr>
          <w:fldChar w:fldCharType="end"/>
        </w:r>
      </w:hyperlink>
    </w:p>
    <w:p w14:paraId="54D145A7" w14:textId="0AE4B117" w:rsidR="00E40776" w:rsidRDefault="002A2B72" w:rsidP="00EE7F1F">
      <w:pPr>
        <w:pStyle w:val="TOC2"/>
        <w:rPr>
          <w:noProof/>
          <w:kern w:val="2"/>
          <w:sz w:val="24"/>
          <w:szCs w:val="24"/>
          <w:lang w:val="en-GB"/>
          <w14:ligatures w14:val="standardContextual"/>
        </w:rPr>
      </w:pPr>
      <w:hyperlink w:anchor="_Toc208244489" w:history="1">
        <w:r w:rsidR="00E40776" w:rsidRPr="00634116">
          <w:rPr>
            <w:rStyle w:val="Hyperlink"/>
            <w:rFonts w:ascii="Times New Roman" w:hAnsi="Times New Roman" w:cs="Times New Roman"/>
            <w:noProof/>
          </w:rPr>
          <w:t>II.36</w:t>
        </w:r>
        <w:r w:rsidR="00E40776">
          <w:rPr>
            <w:noProof/>
            <w:kern w:val="2"/>
            <w:sz w:val="24"/>
            <w:szCs w:val="24"/>
            <w:lang w:val="en-GB"/>
            <w14:ligatures w14:val="standardContextual"/>
          </w:rPr>
          <w:tab/>
        </w:r>
        <w:r w:rsidR="00E40776" w:rsidRPr="00634116">
          <w:rPr>
            <w:rStyle w:val="Hyperlink"/>
            <w:rFonts w:ascii="Times New Roman" w:hAnsi="Times New Roman" w:cs="Times New Roman"/>
            <w:noProof/>
          </w:rPr>
          <w:t xml:space="preserve">Z 16.00 — </w:t>
        </w:r>
        <w:r w:rsidR="00067680">
          <w:rPr>
            <w:rStyle w:val="Hyperlink"/>
            <w:rFonts w:ascii="Times New Roman" w:hAnsi="Times New Roman" w:cs="Times New Roman"/>
            <w:noProof/>
            <w:lang w:val="bg-BG"/>
          </w:rPr>
          <w:t>О</w:t>
        </w:r>
        <w:r w:rsidR="00753CA4">
          <w:rPr>
            <w:rStyle w:val="Hyperlink"/>
            <w:rFonts w:ascii="Times New Roman" w:hAnsi="Times New Roman" w:cs="Times New Roman"/>
            <w:noProof/>
            <w:lang w:val="bg-BG"/>
          </w:rPr>
          <w:t>безпечено</w:t>
        </w:r>
        <w:r w:rsidR="00E40776" w:rsidRPr="00634116">
          <w:rPr>
            <w:rStyle w:val="Hyperlink"/>
            <w:rFonts w:ascii="Times New Roman" w:hAnsi="Times New Roman" w:cs="Times New Roman"/>
            <w:noProof/>
          </w:rPr>
          <w:t xml:space="preserve"> финансиране, с изключение на вътрешногрупов</w:t>
        </w:r>
        <w:r w:rsidR="00067680">
          <w:rPr>
            <w:rStyle w:val="Hyperlink"/>
            <w:rFonts w:ascii="Times New Roman" w:hAnsi="Times New Roman" w:cs="Times New Roman"/>
            <w:noProof/>
            <w:lang w:val="bg-BG"/>
          </w:rPr>
          <w:t>ото</w:t>
        </w:r>
        <w:r w:rsidR="006B21E5">
          <w:rPr>
            <w:rStyle w:val="Hyperlink"/>
            <w:rFonts w:ascii="Times New Roman" w:hAnsi="Times New Roman" w:cs="Times New Roman"/>
            <w:noProof/>
            <w:lang w:val="bg-BG"/>
          </w:rPr>
          <w:t xml:space="preserve"> финансиране</w:t>
        </w:r>
        <w:r w:rsidR="00E40776" w:rsidRPr="00634116">
          <w:rPr>
            <w:rStyle w:val="Hyperlink"/>
            <w:rFonts w:ascii="Times New Roman" w:hAnsi="Times New Roman" w:cs="Times New Roman"/>
            <w:noProof/>
          </w:rPr>
          <w:t xml:space="preserve"> </w:t>
        </w:r>
        <w:r w:rsidR="00E40776" w:rsidRPr="00634116">
          <w:rPr>
            <w:rStyle w:val="Hyperlink"/>
            <w:rFonts w:ascii="Times New Roman" w:eastAsia="Calibri" w:hAnsi="Times New Roman" w:cs="Times New Roman"/>
            <w:noProof/>
          </w:rPr>
          <w:t>(LIAB-G-6)</w:t>
        </w:r>
        <w:r w:rsidR="00E40776">
          <w:rPr>
            <w:noProof/>
            <w:webHidden/>
          </w:rPr>
          <w:tab/>
        </w:r>
        <w:r w:rsidR="00E40776">
          <w:rPr>
            <w:noProof/>
            <w:webHidden/>
          </w:rPr>
          <w:fldChar w:fldCharType="begin"/>
        </w:r>
        <w:r w:rsidR="00E40776">
          <w:rPr>
            <w:noProof/>
            <w:webHidden/>
          </w:rPr>
          <w:instrText xml:space="preserve"> PAGEREF _Toc208244489 \h </w:instrText>
        </w:r>
        <w:r w:rsidR="00E40776">
          <w:rPr>
            <w:noProof/>
            <w:webHidden/>
          </w:rPr>
        </w:r>
        <w:r w:rsidR="00E40776">
          <w:rPr>
            <w:noProof/>
            <w:webHidden/>
          </w:rPr>
          <w:fldChar w:fldCharType="separate"/>
        </w:r>
        <w:r w:rsidR="00645AF6">
          <w:rPr>
            <w:noProof/>
            <w:webHidden/>
          </w:rPr>
          <w:t>106</w:t>
        </w:r>
        <w:r w:rsidR="00E40776">
          <w:rPr>
            <w:noProof/>
            <w:webHidden/>
          </w:rPr>
          <w:fldChar w:fldCharType="end"/>
        </w:r>
      </w:hyperlink>
    </w:p>
    <w:p w14:paraId="7B6A0848" w14:textId="77777777" w:rsidR="00E40776" w:rsidRDefault="00E40776" w:rsidP="00EE7F1F">
      <w:pPr>
        <w:pStyle w:val="TOC2"/>
        <w:rPr>
          <w:noProof/>
          <w:kern w:val="2"/>
          <w:sz w:val="24"/>
          <w:szCs w:val="24"/>
          <w:lang w:val="en-GB"/>
          <w14:ligatures w14:val="standardContextual"/>
        </w:rPr>
      </w:pPr>
      <w:hyperlink w:anchor="_Toc208244490" w:history="1">
        <w:r w:rsidRPr="00634116">
          <w:rPr>
            <w:rStyle w:val="Hyperlink"/>
            <w:rFonts w:ascii="Times New Roman" w:hAnsi="Times New Roman" w:cs="Times New Roman"/>
            <w:noProof/>
          </w:rPr>
          <w:t>II.37</w:t>
        </w:r>
        <w:r>
          <w:rPr>
            <w:noProof/>
            <w:kern w:val="2"/>
            <w:sz w:val="24"/>
            <w:szCs w:val="24"/>
            <w:lang w:val="en-GB"/>
            <w14:ligatures w14:val="standardContextual"/>
          </w:rPr>
          <w:tab/>
        </w:r>
        <w:r w:rsidRPr="00634116">
          <w:rPr>
            <w:rStyle w:val="Hyperlink"/>
            <w:rFonts w:ascii="Times New Roman" w:hAnsi="Times New Roman" w:cs="Times New Roman"/>
            <w:noProof/>
          </w:rPr>
          <w:t xml:space="preserve">Z 17.00 — Други нефинансови </w:t>
        </w:r>
        <w:r w:rsidR="00753CA4">
          <w:rPr>
            <w:rStyle w:val="Hyperlink"/>
            <w:rFonts w:ascii="Times New Roman" w:hAnsi="Times New Roman" w:cs="Times New Roman"/>
            <w:noProof/>
            <w:lang w:val="bg-BG"/>
          </w:rPr>
          <w:t>задължения</w:t>
        </w:r>
        <w:r w:rsidRPr="00634116">
          <w:rPr>
            <w:rStyle w:val="Hyperlink"/>
            <w:rFonts w:ascii="Times New Roman" w:hAnsi="Times New Roman" w:cs="Times New Roman"/>
            <w:noProof/>
          </w:rPr>
          <w:t xml:space="preserve"> (невключени в други раздели, с изключение на вътрешногруповите) </w:t>
        </w:r>
        <w:r w:rsidRPr="00634116">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_Toc208244490 \h </w:instrText>
        </w:r>
        <w:r>
          <w:rPr>
            <w:noProof/>
            <w:webHidden/>
          </w:rPr>
        </w:r>
        <w:r>
          <w:rPr>
            <w:noProof/>
            <w:webHidden/>
          </w:rPr>
          <w:fldChar w:fldCharType="separate"/>
        </w:r>
        <w:r w:rsidR="00645AF6">
          <w:rPr>
            <w:noProof/>
            <w:webHidden/>
          </w:rPr>
          <w:t>108</w:t>
        </w:r>
        <w:r>
          <w:rPr>
            <w:noProof/>
            <w:webHidden/>
          </w:rPr>
          <w:fldChar w:fldCharType="end"/>
        </w:r>
      </w:hyperlink>
    </w:p>
    <w:p w14:paraId="2DCCB296" w14:textId="4A62146D" w:rsidR="00E40776" w:rsidRDefault="002A2B72" w:rsidP="00EE7F1F">
      <w:pPr>
        <w:pStyle w:val="TOC2"/>
        <w:rPr>
          <w:noProof/>
          <w:kern w:val="2"/>
          <w:sz w:val="24"/>
          <w:szCs w:val="24"/>
          <w:lang w:val="en-GB"/>
          <w14:ligatures w14:val="standardContextual"/>
        </w:rPr>
      </w:pPr>
      <w:hyperlink w:anchor="_Toc208244491" w:history="1">
        <w:r w:rsidR="00E40776" w:rsidRPr="00634116">
          <w:rPr>
            <w:rStyle w:val="Hyperlink"/>
            <w:noProof/>
          </w:rPr>
          <w:t>II.38</w:t>
        </w:r>
        <w:r w:rsidR="00E40776">
          <w:rPr>
            <w:noProof/>
            <w:kern w:val="2"/>
            <w:sz w:val="24"/>
            <w:szCs w:val="24"/>
            <w:lang w:val="en-GB"/>
            <w14:ligatures w14:val="standardContextual"/>
          </w:rPr>
          <w:tab/>
        </w:r>
        <w:r w:rsidR="00E40776" w:rsidRPr="00634116">
          <w:rPr>
            <w:rStyle w:val="Hyperlink"/>
            <w:noProof/>
          </w:rPr>
          <w:t>Приложение I — Списък на ИФП, които да се използва за Z 09.01 — c00</w:t>
        </w:r>
        <w:r w:rsidR="006B21E5">
          <w:rPr>
            <w:rStyle w:val="Hyperlink"/>
            <w:noProof/>
            <w:lang w:val="bg-BG"/>
          </w:rPr>
          <w:t>5</w:t>
        </w:r>
        <w:r w:rsidR="00E40776" w:rsidRPr="00634116">
          <w:rPr>
            <w:rStyle w:val="Hyperlink"/>
            <w:noProof/>
          </w:rPr>
          <w:t>0</w:t>
        </w:r>
        <w:r w:rsidR="00E40776">
          <w:rPr>
            <w:noProof/>
            <w:webHidden/>
          </w:rPr>
          <w:tab/>
        </w:r>
        <w:r w:rsidR="00E40776">
          <w:rPr>
            <w:noProof/>
            <w:webHidden/>
          </w:rPr>
          <w:fldChar w:fldCharType="begin"/>
        </w:r>
        <w:r w:rsidR="00E40776">
          <w:rPr>
            <w:noProof/>
            <w:webHidden/>
          </w:rPr>
          <w:instrText xml:space="preserve"> PAGEREF _Toc208244491 \h </w:instrText>
        </w:r>
        <w:r w:rsidR="00E40776">
          <w:rPr>
            <w:noProof/>
            <w:webHidden/>
          </w:rPr>
        </w:r>
        <w:r w:rsidR="00E40776">
          <w:rPr>
            <w:noProof/>
            <w:webHidden/>
          </w:rPr>
          <w:fldChar w:fldCharType="separate"/>
        </w:r>
        <w:r w:rsidR="00645AF6">
          <w:rPr>
            <w:noProof/>
            <w:webHidden/>
          </w:rPr>
          <w:t>111</w:t>
        </w:r>
        <w:r w:rsidR="00E40776">
          <w:rPr>
            <w:noProof/>
            <w:webHidden/>
          </w:rPr>
          <w:fldChar w:fldCharType="end"/>
        </w:r>
      </w:hyperlink>
    </w:p>
    <w:p w14:paraId="20EBE4DC" w14:textId="74E95880" w:rsidR="00FE5D64" w:rsidRDefault="00E40776">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14B78086" w14:textId="77777777" w:rsidR="00FE5D64" w:rsidRDefault="00FE5D64">
      <w:pPr>
        <w:rPr>
          <w:rFonts w:ascii="Times New Roman" w:hAnsi="Times New Roman" w:cs="Times New Roman"/>
          <w:b/>
          <w:color w:val="000000" w:themeColor="text1"/>
          <w:sz w:val="20"/>
          <w:szCs w:val="20"/>
        </w:rPr>
      </w:pPr>
    </w:p>
    <w:p w14:paraId="5ECA5BC9" w14:textId="77777777" w:rsidR="00FE5D64" w:rsidRDefault="00FE5D64">
      <w:pPr>
        <w:pStyle w:val="ListParagraph"/>
        <w:rPr>
          <w:rFonts w:ascii="Times New Roman" w:hAnsi="Times New Roman"/>
          <w:b/>
          <w:color w:val="000000" w:themeColor="text1"/>
          <w:sz w:val="20"/>
          <w:szCs w:val="20"/>
        </w:rPr>
      </w:pPr>
    </w:p>
    <w:p w14:paraId="14301653" w14:textId="77777777" w:rsidR="00FE5D64" w:rsidRDefault="00E40776">
      <w:pPr>
        <w:pStyle w:val="P68B1DB1-Normal3"/>
        <w:spacing w:after="200" w:line="276" w:lineRule="auto"/>
        <w:rPr>
          <w:rFonts w:eastAsiaTheme="majorEastAsia"/>
          <w:kern w:val="28"/>
        </w:rPr>
      </w:pPr>
      <w:r>
        <w:br w:type="page"/>
      </w:r>
    </w:p>
    <w:p w14:paraId="7FE1B2E6" w14:textId="01D133A0" w:rsidR="00FE5D64" w:rsidRDefault="007374F5">
      <w:pPr>
        <w:pStyle w:val="P68B1DB1-Instructionsberschrift24"/>
        <w:numPr>
          <w:ilvl w:val="0"/>
          <w:numId w:val="49"/>
        </w:numPr>
        <w:ind w:left="357" w:hanging="357"/>
      </w:pPr>
      <w:bookmarkStart w:id="1" w:name="_Toc81454170"/>
      <w:bookmarkStart w:id="2" w:name="_Toc208244443"/>
      <w:r>
        <w:rPr>
          <w:lang w:val="bg-BG"/>
        </w:rPr>
        <w:lastRenderedPageBreak/>
        <w:t>Общи</w:t>
      </w:r>
      <w:r w:rsidRPr="006B21E5">
        <w:rPr>
          <w:lang w:val="bg-BG"/>
        </w:rPr>
        <w:t xml:space="preserve"> </w:t>
      </w:r>
      <w:r w:rsidR="001A79CE">
        <w:rPr>
          <w:lang w:val="bg-BG"/>
        </w:rPr>
        <w:t>указания</w:t>
      </w:r>
      <w:bookmarkEnd w:id="0"/>
      <w:bookmarkEnd w:id="1"/>
      <w:bookmarkEnd w:id="2"/>
    </w:p>
    <w:p w14:paraId="7FE1B2E7" w14:textId="10EA0AB8" w:rsidR="00FE5D64" w:rsidRDefault="007374F5">
      <w:pPr>
        <w:pStyle w:val="P68B1DB1-Instructionsberschrift25"/>
        <w:numPr>
          <w:ilvl w:val="1"/>
          <w:numId w:val="49"/>
        </w:numPr>
        <w:ind w:left="357" w:hanging="357"/>
      </w:pPr>
      <w:bookmarkStart w:id="3" w:name="_Toc81454171"/>
      <w:bookmarkStart w:id="4" w:name="_Toc208244444"/>
      <w:r>
        <w:rPr>
          <w:lang w:val="bg-BG"/>
        </w:rPr>
        <w:t>Структура</w:t>
      </w:r>
      <w:bookmarkEnd w:id="3"/>
      <w:bookmarkEnd w:id="4"/>
    </w:p>
    <w:p w14:paraId="7FE1B2E8" w14:textId="261F32BB" w:rsidR="00FE5D64" w:rsidRDefault="00E40776">
      <w:pPr>
        <w:pStyle w:val="P68B1DB1-InstructionsText26"/>
        <w:numPr>
          <w:ilvl w:val="0"/>
          <w:numId w:val="71"/>
        </w:numPr>
        <w:spacing w:before="0"/>
        <w:ind w:left="714" w:hanging="357"/>
      </w:pPr>
      <w:r>
        <w:t>Рамката се състои от 29 образци, организирани в 6 тематични блока:</w:t>
      </w:r>
    </w:p>
    <w:p w14:paraId="7FE1B2EA" w14:textId="45B1FB28" w:rsidR="00FE5D64" w:rsidRDefault="00E40776">
      <w:pPr>
        <w:pStyle w:val="P68B1DB1-body7"/>
        <w:numPr>
          <w:ilvl w:val="0"/>
          <w:numId w:val="61"/>
        </w:numPr>
      </w:pPr>
      <w:r>
        <w:t>„Обща информация“, в който се прави преглед на организационната структура на дадена група и нейните субекти, разпределението на активите и рисковата експозиция. Този блок се състои от образци:</w:t>
      </w:r>
    </w:p>
    <w:p w14:paraId="7FE1B2EB" w14:textId="75468367" w:rsidR="00FE5D64" w:rsidRDefault="00E40776">
      <w:pPr>
        <w:pStyle w:val="P68B1DB1-body7"/>
        <w:numPr>
          <w:ilvl w:val="1"/>
          <w:numId w:val="207"/>
        </w:numPr>
      </w:pPr>
      <w:r>
        <w:t>Z 01.01 — Правни субекти (ORG 1)“</w:t>
      </w:r>
    </w:p>
    <w:p w14:paraId="7FE1B2EC" w14:textId="77777777" w:rsidR="00FE5D64" w:rsidRDefault="00E40776">
      <w:pPr>
        <w:pStyle w:val="P68B1DB1-body7"/>
        <w:numPr>
          <w:ilvl w:val="1"/>
          <w:numId w:val="207"/>
        </w:numPr>
      </w:pPr>
      <w:r>
        <w:t>Z 01.02 — Структура на собствеността (ORG 2)</w:t>
      </w:r>
    </w:p>
    <w:p w14:paraId="7FE1B2ED" w14:textId="3EE8AD08" w:rsidR="00FE5D64" w:rsidRDefault="00E40776">
      <w:pPr>
        <w:pStyle w:val="P68B1DB1-body7"/>
        <w:numPr>
          <w:ilvl w:val="0"/>
          <w:numId w:val="61"/>
        </w:numPr>
      </w:pPr>
      <w:r>
        <w:t xml:space="preserve">„Агрегирана информация за балансовите и задбалансовите позиции“, който </w:t>
      </w:r>
      <w:r w:rsidR="009B00E9">
        <w:rPr>
          <w:lang w:val="bg-BG"/>
        </w:rPr>
        <w:t>предоставя</w:t>
      </w:r>
      <w:r w:rsidR="009B00E9">
        <w:t xml:space="preserve"> </w:t>
      </w:r>
      <w:r>
        <w:t>финансов</w:t>
      </w:r>
      <w:r w:rsidR="009B00E9">
        <w:rPr>
          <w:lang w:val="bg-BG"/>
        </w:rPr>
        <w:t>а</w:t>
      </w:r>
      <w:r>
        <w:t xml:space="preserve"> </w:t>
      </w:r>
      <w:r w:rsidR="009B00E9">
        <w:rPr>
          <w:lang w:val="bg-BG"/>
        </w:rPr>
        <w:t>информация</w:t>
      </w:r>
      <w:r>
        <w:t xml:space="preserve"> относно задълженията, </w:t>
      </w:r>
      <w:r w:rsidR="009F1C03" w:rsidRPr="006B21E5">
        <w:rPr>
          <w:lang w:val="bg-BG"/>
        </w:rPr>
        <w:t>собствени</w:t>
      </w:r>
      <w:r w:rsidR="009F1C03">
        <w:rPr>
          <w:lang w:val="bg-BG"/>
        </w:rPr>
        <w:t>я</w:t>
      </w:r>
      <w:r w:rsidR="009F1C03" w:rsidRPr="006B21E5">
        <w:rPr>
          <w:lang w:val="bg-BG"/>
        </w:rPr>
        <w:t xml:space="preserve"> </w:t>
      </w:r>
      <w:r w:rsidR="009F1C03">
        <w:rPr>
          <w:lang w:val="bg-BG"/>
        </w:rPr>
        <w:t>капитал</w:t>
      </w:r>
      <w:r>
        <w:t>, финансовите връзки между субектите в групата, задълженията към основни контрагенти и задбалансовите позиции, получени от основни контрагенти, и застраховане на депозитите. Този блок се състои от 7 образци:</w:t>
      </w:r>
    </w:p>
    <w:p w14:paraId="7FE1B2EE" w14:textId="77777777" w:rsidR="00FE5D64" w:rsidRDefault="00E40776">
      <w:pPr>
        <w:pStyle w:val="P68B1DB1-body7"/>
        <w:numPr>
          <w:ilvl w:val="0"/>
          <w:numId w:val="208"/>
        </w:numPr>
      </w:pPr>
      <w:r>
        <w:t>„Z 02.00 — Структура на задълженията (LIAB 1)“;</w:t>
      </w:r>
    </w:p>
    <w:p w14:paraId="7FE1B2EF" w14:textId="2F893AF1" w:rsidR="00FE5D64" w:rsidRDefault="00E40776">
      <w:pPr>
        <w:pStyle w:val="P68B1DB1-body7"/>
        <w:numPr>
          <w:ilvl w:val="0"/>
          <w:numId w:val="208"/>
        </w:numPr>
      </w:pPr>
      <w:r>
        <w:t xml:space="preserve">„Z 03.01 — Капиталови изисквания </w:t>
      </w:r>
      <w:r w:rsidR="005D380E">
        <w:rPr>
          <w:lang w:val="bg-BG"/>
        </w:rPr>
        <w:t>-</w:t>
      </w:r>
      <w:r>
        <w:t xml:space="preserve"> </w:t>
      </w:r>
      <w:r w:rsidR="005D380E">
        <w:rPr>
          <w:lang w:val="bg-BG"/>
        </w:rPr>
        <w:t>К</w:t>
      </w:r>
      <w:r>
        <w:t>редитни институции (LIAB 2)“;</w:t>
      </w:r>
    </w:p>
    <w:p w14:paraId="7FE1B2F0" w14:textId="6E887BCC" w:rsidR="00FE5D64" w:rsidRDefault="00E40776">
      <w:pPr>
        <w:pStyle w:val="P68B1DB1-body7"/>
        <w:numPr>
          <w:ilvl w:val="0"/>
          <w:numId w:val="208"/>
        </w:numPr>
      </w:pPr>
      <w:r>
        <w:t xml:space="preserve">„Z 03.02 — Капиталови изисквания </w:t>
      </w:r>
      <w:r w:rsidR="005D380E">
        <w:rPr>
          <w:lang w:val="bg-BG"/>
        </w:rPr>
        <w:t>-</w:t>
      </w:r>
      <w:r w:rsidR="005D380E">
        <w:t xml:space="preserve"> </w:t>
      </w:r>
      <w:r w:rsidR="005D380E">
        <w:rPr>
          <w:lang w:val="bg-BG"/>
        </w:rPr>
        <w:t>И</w:t>
      </w:r>
      <w:r>
        <w:t xml:space="preserve">нвестиционни </w:t>
      </w:r>
      <w:r w:rsidR="0094521E">
        <w:rPr>
          <w:lang w:val="bg-BG"/>
        </w:rPr>
        <w:t>посредници</w:t>
      </w:r>
      <w:r>
        <w:t xml:space="preserve"> (LIAB 3)“;</w:t>
      </w:r>
    </w:p>
    <w:p w14:paraId="7FE1B2F2" w14:textId="05024403" w:rsidR="00FE5D64" w:rsidRDefault="00E40776">
      <w:pPr>
        <w:pStyle w:val="P68B1DB1-body7"/>
        <w:numPr>
          <w:ilvl w:val="0"/>
          <w:numId w:val="208"/>
        </w:numPr>
      </w:pPr>
      <w:r>
        <w:t xml:space="preserve">„Z 04.00 — </w:t>
      </w:r>
      <w:r w:rsidR="005D380E">
        <w:rPr>
          <w:lang w:val="bg-BG"/>
        </w:rPr>
        <w:t>Вътрешно</w:t>
      </w:r>
      <w:r w:rsidR="0094521E">
        <w:rPr>
          <w:lang w:val="bg-BG"/>
        </w:rPr>
        <w:t>групови ф</w:t>
      </w:r>
      <w:r>
        <w:t>инансови взаимовръзки (LIAB 4)“;</w:t>
      </w:r>
    </w:p>
    <w:p w14:paraId="491DD46E" w14:textId="42F7E727" w:rsidR="00FE5D64" w:rsidRDefault="00E40776">
      <w:pPr>
        <w:pStyle w:val="P68B1DB1-body7"/>
        <w:numPr>
          <w:ilvl w:val="0"/>
          <w:numId w:val="208"/>
        </w:numPr>
      </w:pPr>
      <w:r>
        <w:t xml:space="preserve">„Z 05.01 — </w:t>
      </w:r>
      <w:r w:rsidR="005D380E">
        <w:rPr>
          <w:lang w:val="bg-BG"/>
        </w:rPr>
        <w:t>Задължения към основни контрагенти</w:t>
      </w:r>
      <w:r>
        <w:t xml:space="preserve"> (LIAB 5)“;</w:t>
      </w:r>
    </w:p>
    <w:p w14:paraId="7FE1B2F3" w14:textId="6E65010B" w:rsidR="00FE5D64" w:rsidRDefault="00E40776">
      <w:pPr>
        <w:pStyle w:val="P68B1DB1-body7"/>
        <w:numPr>
          <w:ilvl w:val="0"/>
          <w:numId w:val="208"/>
        </w:numPr>
      </w:pPr>
      <w:r>
        <w:t xml:space="preserve">„Z 05.02 — </w:t>
      </w:r>
      <w:r w:rsidR="0094521E">
        <w:rPr>
          <w:lang w:val="bg-BG"/>
        </w:rPr>
        <w:t>Зад</w:t>
      </w:r>
      <w:r>
        <w:t>балансови позиции от</w:t>
      </w:r>
      <w:r w:rsidR="009B00E9" w:rsidRPr="006B21E5">
        <w:rPr>
          <w:lang w:val="bg-BG"/>
        </w:rPr>
        <w:t xml:space="preserve"> основни контрагенти</w:t>
      </w:r>
      <w:r>
        <w:t xml:space="preserve"> (LIAB 6)“;</w:t>
      </w:r>
    </w:p>
    <w:p w14:paraId="7FE1B2F5" w14:textId="762695F7" w:rsidR="00FE5D64" w:rsidRDefault="00E40776">
      <w:pPr>
        <w:pStyle w:val="P68B1DB1-body7"/>
        <w:numPr>
          <w:ilvl w:val="0"/>
          <w:numId w:val="208"/>
        </w:numPr>
      </w:pPr>
      <w:r>
        <w:t>„Z 06.00 — Застраховане на депозитите (LIAB 7)“.</w:t>
      </w:r>
    </w:p>
    <w:p w14:paraId="7FE1B2F6" w14:textId="2C30B35B" w:rsidR="00FE5D64" w:rsidRDefault="00E40776">
      <w:pPr>
        <w:pStyle w:val="P68B1DB1-body7"/>
        <w:numPr>
          <w:ilvl w:val="0"/>
          <w:numId w:val="61"/>
        </w:numPr>
      </w:pPr>
      <w:r>
        <w:t xml:space="preserve">„Критични функции“, в който се прави преглед на критичните функции и се </w:t>
      </w:r>
      <w:r w:rsidR="002A089A">
        <w:rPr>
          <w:lang w:val="bg-BG"/>
        </w:rPr>
        <w:t>онагледяват</w:t>
      </w:r>
      <w:r w:rsidR="002A089A">
        <w:t xml:space="preserve"> </w:t>
      </w:r>
      <w:r>
        <w:t>по правни субекти, основни стопански дейности. Този блок се състои от 4 образци:</w:t>
      </w:r>
    </w:p>
    <w:p w14:paraId="7FE1B2F7" w14:textId="433A5E71" w:rsidR="00FE5D64" w:rsidRDefault="00E40776">
      <w:pPr>
        <w:pStyle w:val="P68B1DB1-body7"/>
        <w:numPr>
          <w:ilvl w:val="1"/>
          <w:numId w:val="209"/>
        </w:numPr>
      </w:pPr>
      <w:r>
        <w:t xml:space="preserve">Z 07.01 — Оценка на критичността на икономическите функции (FUNC 1), </w:t>
      </w:r>
    </w:p>
    <w:p w14:paraId="7FE1B2F8" w14:textId="11CB6C12" w:rsidR="00FE5D64" w:rsidRDefault="00E40776">
      <w:pPr>
        <w:pStyle w:val="P68B1DB1-body7"/>
        <w:numPr>
          <w:ilvl w:val="1"/>
          <w:numId w:val="209"/>
        </w:numPr>
      </w:pPr>
      <w:r>
        <w:t xml:space="preserve">Z 07.02 — Онагледяване на критичните функции </w:t>
      </w:r>
      <w:r w:rsidR="002A089A">
        <w:rPr>
          <w:lang w:val="bg-BG"/>
        </w:rPr>
        <w:t>по</w:t>
      </w:r>
      <w:r w:rsidR="002A089A">
        <w:t xml:space="preserve"> </w:t>
      </w:r>
      <w:r>
        <w:t xml:space="preserve">правен субект (FUNC 2) </w:t>
      </w:r>
    </w:p>
    <w:p w14:paraId="7FE1B2F9" w14:textId="37FE6243" w:rsidR="00FE5D64" w:rsidRDefault="00E40776">
      <w:pPr>
        <w:pStyle w:val="P68B1DB1-body7"/>
        <w:numPr>
          <w:ilvl w:val="1"/>
          <w:numId w:val="209"/>
        </w:numPr>
      </w:pPr>
      <w:r>
        <w:t xml:space="preserve">Z 07.03 — Онагледяване на основните стопански дейности по правни субекти (FUNC 3) </w:t>
      </w:r>
      <w:r w:rsidR="002A089A">
        <w:rPr>
          <w:lang w:val="bg-BG"/>
        </w:rPr>
        <w:t>и</w:t>
      </w:r>
    </w:p>
    <w:p w14:paraId="7FE1B2FB" w14:textId="43FDB186" w:rsidR="00FE5D64" w:rsidRDefault="00E40776">
      <w:pPr>
        <w:pStyle w:val="P68B1DB1-body7"/>
        <w:ind w:left="1794"/>
      </w:pPr>
      <w:r>
        <w:t xml:space="preserve">Z 07.04 — Онагледяване на критичните функции </w:t>
      </w:r>
      <w:r w:rsidR="002A089A">
        <w:rPr>
          <w:lang w:val="bg-BG"/>
        </w:rPr>
        <w:t>по</w:t>
      </w:r>
      <w:r>
        <w:t xml:space="preserve"> основните стопански дейности (FUNC 4)</w:t>
      </w:r>
    </w:p>
    <w:p w14:paraId="7FE1B2FC" w14:textId="0A6A86D2" w:rsidR="00FE5D64" w:rsidRDefault="00E40776">
      <w:pPr>
        <w:pStyle w:val="P68B1DB1-body7"/>
        <w:numPr>
          <w:ilvl w:val="0"/>
          <w:numId w:val="61"/>
        </w:numPr>
      </w:pPr>
      <w:bookmarkStart w:id="5" w:name="_Hlk160696385"/>
      <w:r>
        <w:t xml:space="preserve">Услуги и </w:t>
      </w:r>
      <w:r w:rsidR="00E779C3">
        <w:rPr>
          <w:lang w:val="bg-BG"/>
        </w:rPr>
        <w:t>субекти</w:t>
      </w:r>
      <w:r>
        <w:t xml:space="preserve">, които предоставят разбивка на ползвателите и доставчиците на услуги и ги </w:t>
      </w:r>
      <w:r w:rsidR="002A089A">
        <w:rPr>
          <w:lang w:val="bg-BG"/>
        </w:rPr>
        <w:t>онагледяват по</w:t>
      </w:r>
      <w:r>
        <w:t xml:space="preserve"> икономически функции и стопански дейности</w:t>
      </w:r>
      <w:bookmarkEnd w:id="5"/>
      <w:r>
        <w:t>:</w:t>
      </w:r>
    </w:p>
    <w:p w14:paraId="7FE1B2FD" w14:textId="5C92722D" w:rsidR="00FE5D64" w:rsidRDefault="00E40776">
      <w:pPr>
        <w:pStyle w:val="P68B1DB1-body7"/>
        <w:numPr>
          <w:ilvl w:val="1"/>
          <w:numId w:val="210"/>
        </w:numPr>
      </w:pPr>
      <w:r>
        <w:t xml:space="preserve">Z 08.01 — </w:t>
      </w:r>
      <w:r w:rsidR="00E779C3" w:rsidRPr="002A089A">
        <w:rPr>
          <w:lang w:val="bg-BG"/>
        </w:rPr>
        <w:t xml:space="preserve"> </w:t>
      </w:r>
      <w:r w:rsidR="001C1EEE">
        <w:rPr>
          <w:lang w:val="bg-BG"/>
        </w:rPr>
        <w:t>Значими услуги</w:t>
      </w:r>
      <w:r>
        <w:t xml:space="preserve"> (SERV 1)</w:t>
      </w:r>
    </w:p>
    <w:p w14:paraId="7FE1B2FE" w14:textId="329AE637" w:rsidR="00FE5D64" w:rsidRDefault="00E40776">
      <w:pPr>
        <w:pStyle w:val="P68B1DB1-body7"/>
        <w:numPr>
          <w:ilvl w:val="1"/>
          <w:numId w:val="210"/>
        </w:numPr>
      </w:pPr>
      <w:r>
        <w:t xml:space="preserve">Z 08.02 — </w:t>
      </w:r>
      <w:r w:rsidR="001C1EEE">
        <w:rPr>
          <w:lang w:val="bg-BG"/>
        </w:rPr>
        <w:t>Значими услуги</w:t>
      </w:r>
      <w:r>
        <w:t xml:space="preserve"> — </w:t>
      </w:r>
      <w:r w:rsidR="00324FDF">
        <w:rPr>
          <w:lang w:val="bg-BG"/>
        </w:rPr>
        <w:t>О</w:t>
      </w:r>
      <w:r w:rsidR="00E779C3">
        <w:rPr>
          <w:lang w:val="bg-BG"/>
        </w:rPr>
        <w:t>нагледяване</w:t>
      </w:r>
      <w:r w:rsidR="00E779C3">
        <w:t xml:space="preserve"> </w:t>
      </w:r>
      <w:r w:rsidR="00324FDF">
        <w:rPr>
          <w:lang w:val="bg-BG"/>
        </w:rPr>
        <w:t>по</w:t>
      </w:r>
      <w:r>
        <w:t xml:space="preserve"> активи (SERV 2)</w:t>
      </w:r>
    </w:p>
    <w:p w14:paraId="7FE1B2FF" w14:textId="28948406" w:rsidR="00FE5D64" w:rsidRDefault="00E40776">
      <w:pPr>
        <w:pStyle w:val="P68B1DB1-body7"/>
        <w:numPr>
          <w:ilvl w:val="1"/>
          <w:numId w:val="210"/>
        </w:numPr>
      </w:pPr>
      <w:r>
        <w:lastRenderedPageBreak/>
        <w:t xml:space="preserve">Z 08.03 — </w:t>
      </w:r>
      <w:r w:rsidR="001C1EEE">
        <w:rPr>
          <w:lang w:val="bg-BG"/>
        </w:rPr>
        <w:t>Значими услуги</w:t>
      </w:r>
      <w:r>
        <w:t xml:space="preserve"> — </w:t>
      </w:r>
      <w:r w:rsidR="00324FDF">
        <w:rPr>
          <w:lang w:val="bg-BG"/>
        </w:rPr>
        <w:t>О</w:t>
      </w:r>
      <w:r w:rsidR="00E779C3">
        <w:rPr>
          <w:lang w:val="bg-BG"/>
        </w:rPr>
        <w:t xml:space="preserve">нагледяване </w:t>
      </w:r>
      <w:r w:rsidR="00324FDF">
        <w:rPr>
          <w:lang w:val="bg-BG"/>
        </w:rPr>
        <w:t xml:space="preserve">по </w:t>
      </w:r>
      <w:r>
        <w:t>роли (SERV 3)</w:t>
      </w:r>
    </w:p>
    <w:p w14:paraId="7FE1B300" w14:textId="071F7AEB" w:rsidR="00FE5D64" w:rsidRDefault="00E40776">
      <w:pPr>
        <w:pStyle w:val="P68B1DB1-body7"/>
        <w:numPr>
          <w:ilvl w:val="1"/>
          <w:numId w:val="210"/>
        </w:numPr>
      </w:pPr>
      <w:r>
        <w:t xml:space="preserve">Z 08.04 — </w:t>
      </w:r>
      <w:r w:rsidR="001C1EEE">
        <w:rPr>
          <w:lang w:val="bg-BG"/>
        </w:rPr>
        <w:t>Критични услуги</w:t>
      </w:r>
      <w:r>
        <w:t xml:space="preserve"> — </w:t>
      </w:r>
      <w:r w:rsidR="00324FDF">
        <w:rPr>
          <w:lang w:val="bg-BG"/>
        </w:rPr>
        <w:t>О</w:t>
      </w:r>
      <w:r w:rsidR="00E779C3">
        <w:rPr>
          <w:lang w:val="bg-BG"/>
        </w:rPr>
        <w:t>нагледяване</w:t>
      </w:r>
      <w:r w:rsidR="00E779C3" w:rsidRPr="002F4BCE">
        <w:rPr>
          <w:lang w:val="bg-BG"/>
        </w:rPr>
        <w:t xml:space="preserve"> </w:t>
      </w:r>
      <w:r w:rsidR="00324FDF">
        <w:rPr>
          <w:lang w:val="bg-BG"/>
        </w:rPr>
        <w:t xml:space="preserve">по </w:t>
      </w:r>
      <w:r>
        <w:t>критични функции (SERV 4)</w:t>
      </w:r>
    </w:p>
    <w:p w14:paraId="7FE1B301" w14:textId="319B4B5C" w:rsidR="00FE5D64" w:rsidRDefault="00E40776">
      <w:pPr>
        <w:pStyle w:val="P68B1DB1-body7"/>
        <w:numPr>
          <w:ilvl w:val="1"/>
          <w:numId w:val="210"/>
        </w:numPr>
      </w:pPr>
      <w:r>
        <w:t xml:space="preserve">Z 08.05 — </w:t>
      </w:r>
      <w:r w:rsidR="001C1EEE">
        <w:rPr>
          <w:lang w:val="bg-BG"/>
        </w:rPr>
        <w:t>Важни услуги</w:t>
      </w:r>
      <w:r>
        <w:t xml:space="preserve"> — </w:t>
      </w:r>
      <w:r w:rsidR="00E779C3">
        <w:rPr>
          <w:lang w:val="bg-BG"/>
        </w:rPr>
        <w:t>Онагледяване</w:t>
      </w:r>
      <w:r w:rsidR="00E779C3">
        <w:t xml:space="preserve"> </w:t>
      </w:r>
      <w:r>
        <w:t>по основни стопански дейности (SERV 5)</w:t>
      </w:r>
    </w:p>
    <w:p w14:paraId="7FE1B303" w14:textId="2DA6E8EE" w:rsidR="00FE5D64" w:rsidRDefault="00E40776">
      <w:pPr>
        <w:pStyle w:val="P68B1DB1-body7"/>
        <w:numPr>
          <w:ilvl w:val="0"/>
          <w:numId w:val="61"/>
        </w:numPr>
      </w:pPr>
      <w:r>
        <w:t xml:space="preserve">Докладване относно услугите </w:t>
      </w:r>
      <w:r w:rsidR="00E779C3">
        <w:rPr>
          <w:lang w:val="bg-BG"/>
        </w:rPr>
        <w:t>във връзка с</w:t>
      </w:r>
      <w:r w:rsidR="00E779C3" w:rsidRPr="002F4BCE">
        <w:rPr>
          <w:lang w:val="bg-BG"/>
        </w:rPr>
        <w:t xml:space="preserve"> </w:t>
      </w:r>
      <w:r>
        <w:t>ИФП</w:t>
      </w:r>
    </w:p>
    <w:p w14:paraId="7FE1B304" w14:textId="7742CA80" w:rsidR="00FE5D64" w:rsidRDefault="00E40776">
      <w:pPr>
        <w:pStyle w:val="P68B1DB1-body7"/>
        <w:numPr>
          <w:ilvl w:val="1"/>
          <w:numId w:val="211"/>
        </w:numPr>
      </w:pPr>
      <w:r>
        <w:t xml:space="preserve">Z 09.01 — Услуги, свързани с ИФП — Доставчици и </w:t>
      </w:r>
      <w:r w:rsidR="005D380E">
        <w:rPr>
          <w:lang w:val="bg-BG"/>
        </w:rPr>
        <w:t>ползватели</w:t>
      </w:r>
      <w:r>
        <w:t xml:space="preserve"> (</w:t>
      </w:r>
      <w:r w:rsidR="0094521E">
        <w:rPr>
          <w:lang w:val="en-US"/>
        </w:rPr>
        <w:t>FMI</w:t>
      </w:r>
      <w:r>
        <w:t xml:space="preserve"> 1)</w:t>
      </w:r>
    </w:p>
    <w:p w14:paraId="7FE1B305" w14:textId="0A6C9BFC" w:rsidR="00FE5D64" w:rsidRDefault="00E40776">
      <w:pPr>
        <w:pStyle w:val="P68B1DB1-body7"/>
        <w:numPr>
          <w:ilvl w:val="1"/>
          <w:numId w:val="211"/>
        </w:numPr>
      </w:pPr>
      <w:r>
        <w:t xml:space="preserve">Z 09.02 — Услуги, свързани с ИФП — </w:t>
      </w:r>
      <w:r w:rsidR="00E779C3">
        <w:rPr>
          <w:lang w:val="bg-BG"/>
        </w:rPr>
        <w:t>Онагледяване</w:t>
      </w:r>
      <w:r w:rsidR="00E779C3" w:rsidRPr="002F4BCE">
        <w:rPr>
          <w:lang w:val="bg-BG"/>
        </w:rPr>
        <w:t xml:space="preserve"> </w:t>
      </w:r>
      <w:r w:rsidR="00324FDF">
        <w:rPr>
          <w:lang w:val="bg-BG"/>
        </w:rPr>
        <w:t>по</w:t>
      </w:r>
      <w:r>
        <w:t xml:space="preserve"> критични и </w:t>
      </w:r>
      <w:r w:rsidR="005D380E">
        <w:rPr>
          <w:lang w:val="bg-BG"/>
        </w:rPr>
        <w:t>важни</w:t>
      </w:r>
      <w:r>
        <w:t xml:space="preserve"> ИФП (</w:t>
      </w:r>
      <w:r w:rsidR="0094521E">
        <w:rPr>
          <w:lang w:val="en-US"/>
        </w:rPr>
        <w:t>FMI</w:t>
      </w:r>
      <w:r>
        <w:t xml:space="preserve"> 2)</w:t>
      </w:r>
    </w:p>
    <w:p w14:paraId="7FE1B306" w14:textId="7A93FEF0" w:rsidR="00FE5D64" w:rsidRDefault="00E40776">
      <w:pPr>
        <w:pStyle w:val="P68B1DB1-body7"/>
        <w:numPr>
          <w:ilvl w:val="1"/>
          <w:numId w:val="211"/>
        </w:numPr>
      </w:pPr>
      <w:r>
        <w:t>Z 09.03 — Услуги</w:t>
      </w:r>
      <w:r w:rsidR="00324FDF">
        <w:rPr>
          <w:lang w:val="bg-BG"/>
        </w:rPr>
        <w:t>, свързани с</w:t>
      </w:r>
      <w:r>
        <w:t xml:space="preserve"> </w:t>
      </w:r>
      <w:r w:rsidR="0094521E">
        <w:rPr>
          <w:lang w:val="bg-BG"/>
        </w:rPr>
        <w:t>ИПФ</w:t>
      </w:r>
      <w:r>
        <w:t xml:space="preserve"> — </w:t>
      </w:r>
      <w:r w:rsidR="00324FDF">
        <w:rPr>
          <w:lang w:val="bg-BG"/>
        </w:rPr>
        <w:t>К</w:t>
      </w:r>
      <w:r>
        <w:t>лючови показатели (FMI 3)</w:t>
      </w:r>
    </w:p>
    <w:p w14:paraId="7FE1B307" w14:textId="22194DF5" w:rsidR="00FE5D64" w:rsidRDefault="00E40776">
      <w:pPr>
        <w:pStyle w:val="P68B1DB1-body7"/>
        <w:numPr>
          <w:ilvl w:val="1"/>
          <w:numId w:val="211"/>
        </w:numPr>
      </w:pPr>
      <w:r>
        <w:t>Z 09.04 — Услуги, свързани с ИФП — Ц</w:t>
      </w:r>
      <w:r w:rsidR="0094521E">
        <w:rPr>
          <w:lang w:val="bg-BG"/>
        </w:rPr>
        <w:t>ентрални контрагенти</w:t>
      </w:r>
      <w:r w:rsidR="00324FDF">
        <w:rPr>
          <w:lang w:val="bg-BG"/>
        </w:rPr>
        <w:t xml:space="preserve"> </w:t>
      </w:r>
      <w:r w:rsidR="0098752E">
        <w:rPr>
          <w:lang w:val="bg-BG"/>
        </w:rPr>
        <w:t>(Ц</w:t>
      </w:r>
      <w:r>
        <w:t>К</w:t>
      </w:r>
      <w:r w:rsidR="0098752E">
        <w:rPr>
          <w:lang w:val="bg-BG"/>
        </w:rPr>
        <w:t>)</w:t>
      </w:r>
      <w:r>
        <w:t xml:space="preserve"> — алтернативни доставчици (</w:t>
      </w:r>
      <w:r w:rsidR="0094521E">
        <w:rPr>
          <w:lang w:val="en-US"/>
        </w:rPr>
        <w:t>FMI</w:t>
      </w:r>
      <w:r>
        <w:t xml:space="preserve"> 4)</w:t>
      </w:r>
    </w:p>
    <w:p w14:paraId="7FE1B30B" w14:textId="424B0275" w:rsidR="00FE5D64" w:rsidRDefault="00E40776">
      <w:pPr>
        <w:pStyle w:val="P68B1DB1-body7"/>
        <w:numPr>
          <w:ilvl w:val="0"/>
          <w:numId w:val="61"/>
        </w:numPr>
      </w:pPr>
      <w:r>
        <w:t xml:space="preserve">Детайлно докладване на данни за </w:t>
      </w:r>
      <w:r w:rsidR="00E779C3">
        <w:rPr>
          <w:lang w:val="bg-BG"/>
        </w:rPr>
        <w:t>задълженията</w:t>
      </w:r>
      <w:r>
        <w:t xml:space="preserve"> за оценка на </w:t>
      </w:r>
      <w:r w:rsidR="00E779C3">
        <w:rPr>
          <w:lang w:val="bg-BG"/>
        </w:rPr>
        <w:t>възможността</w:t>
      </w:r>
      <w:r w:rsidR="00E779C3" w:rsidRPr="002F4BCE">
        <w:rPr>
          <w:lang w:val="bg-BG"/>
        </w:rPr>
        <w:t xml:space="preserve"> за </w:t>
      </w:r>
      <w:r w:rsidR="00E779C3">
        <w:rPr>
          <w:lang w:val="bg-BG"/>
        </w:rPr>
        <w:t>преструктуриране чрез поемане на загуби (</w:t>
      </w:r>
      <w:r w:rsidR="00E779C3">
        <w:rPr>
          <w:lang w:val="en-US"/>
        </w:rPr>
        <w:t>Bail</w:t>
      </w:r>
      <w:r w:rsidR="00E779C3" w:rsidRPr="001118F2">
        <w:t>-</w:t>
      </w:r>
      <w:r w:rsidR="00E779C3">
        <w:rPr>
          <w:lang w:val="en-US"/>
        </w:rPr>
        <w:t>in</w:t>
      </w:r>
      <w:r w:rsidR="00E779C3" w:rsidRPr="001118F2">
        <w:t>)</w:t>
      </w:r>
    </w:p>
    <w:p w14:paraId="7FE1B30C" w14:textId="52AA0DE2" w:rsidR="00FE5D64" w:rsidRDefault="00E40776">
      <w:pPr>
        <w:pStyle w:val="P68B1DB1-body7"/>
        <w:numPr>
          <w:ilvl w:val="0"/>
          <w:numId w:val="217"/>
        </w:numPr>
      </w:pPr>
      <w:r>
        <w:t xml:space="preserve">Z 11.00 — </w:t>
      </w:r>
      <w:r w:rsidR="00E779C3">
        <w:rPr>
          <w:lang w:val="bg-BG"/>
        </w:rPr>
        <w:t>Вътрешногрупови</w:t>
      </w:r>
      <w:r w:rsidR="00E779C3">
        <w:t xml:space="preserve"> </w:t>
      </w:r>
      <w:r w:rsidR="00067680">
        <w:rPr>
          <w:lang w:val="bg-BG"/>
        </w:rPr>
        <w:t>задължения</w:t>
      </w:r>
      <w:r>
        <w:t xml:space="preserve"> (без деривати) (LIAB-G-1)</w:t>
      </w:r>
    </w:p>
    <w:p w14:paraId="7FE1B30D" w14:textId="151543E5" w:rsidR="00FE5D64" w:rsidRDefault="00E40776">
      <w:pPr>
        <w:pStyle w:val="P68B1DB1-body7"/>
        <w:numPr>
          <w:ilvl w:val="0"/>
          <w:numId w:val="217"/>
        </w:numPr>
      </w:pPr>
      <w:r>
        <w:t xml:space="preserve">Z 12.00 — Ценни книжа (включително </w:t>
      </w:r>
      <w:r w:rsidR="00FB08FB">
        <w:rPr>
          <w:lang w:val="bg-BG"/>
        </w:rPr>
        <w:t>инструменти на базовия собствен капитал от първи ред (</w:t>
      </w:r>
      <w:r w:rsidR="00FB08FB">
        <w:rPr>
          <w:lang w:val="en-US"/>
        </w:rPr>
        <w:t>CET</w:t>
      </w:r>
      <w:r w:rsidR="00FB08FB" w:rsidRPr="001118F2">
        <w:t>1</w:t>
      </w:r>
      <w:r w:rsidR="00FB08FB">
        <w:rPr>
          <w:lang w:val="bg-BG"/>
        </w:rPr>
        <w:t>)</w:t>
      </w:r>
      <w:r>
        <w:t xml:space="preserve">, </w:t>
      </w:r>
      <w:r w:rsidR="00FB08FB">
        <w:rPr>
          <w:lang w:val="bg-BG"/>
        </w:rPr>
        <w:t>допълнителния капитал от първи ред (</w:t>
      </w:r>
      <w:r w:rsidR="00FB08FB">
        <w:rPr>
          <w:lang w:val="en-US"/>
        </w:rPr>
        <w:t>AT</w:t>
      </w:r>
      <w:r w:rsidR="00FB08FB">
        <w:t>1</w:t>
      </w:r>
      <w:r w:rsidR="00FB08FB">
        <w:rPr>
          <w:lang w:val="bg-BG"/>
        </w:rPr>
        <w:t>)</w:t>
      </w:r>
      <w:r>
        <w:t xml:space="preserve"> </w:t>
      </w:r>
      <w:r w:rsidR="00FB08FB">
        <w:rPr>
          <w:lang w:val="bg-BG"/>
        </w:rPr>
        <w:t>и капитала от втори ред (</w:t>
      </w:r>
      <w:r w:rsidR="00FB08FB">
        <w:rPr>
          <w:lang w:val="en-US"/>
        </w:rPr>
        <w:t>Tier</w:t>
      </w:r>
      <w:r w:rsidR="00FB08FB" w:rsidRPr="001118F2">
        <w:t xml:space="preserve"> 2</w:t>
      </w:r>
      <w:r w:rsidR="00BE501F">
        <w:rPr>
          <w:lang w:val="bg-BG"/>
        </w:rPr>
        <w:t>)</w:t>
      </w:r>
      <w:r>
        <w:t>, с изключение на вътрешногруповите инструменти) (LIAB-G-2)</w:t>
      </w:r>
    </w:p>
    <w:p w14:paraId="7FE1B30E" w14:textId="67922446" w:rsidR="00FE5D64" w:rsidRDefault="00E40776">
      <w:pPr>
        <w:pStyle w:val="P68B1DB1-body7"/>
        <w:numPr>
          <w:ilvl w:val="0"/>
          <w:numId w:val="217"/>
        </w:numPr>
      </w:pPr>
      <w:r>
        <w:t>Z 13.00 — Всички депозити (с изключение на вътрешногруповите) (LIAB-G-3)</w:t>
      </w:r>
    </w:p>
    <w:p w14:paraId="7FE1B30F" w14:textId="58D3E8A4" w:rsidR="00FE5D64" w:rsidRDefault="00E40776">
      <w:pPr>
        <w:pStyle w:val="P68B1DB1-body7"/>
        <w:numPr>
          <w:ilvl w:val="0"/>
          <w:numId w:val="217"/>
        </w:numPr>
      </w:pPr>
      <w:r>
        <w:t xml:space="preserve">Z 14.00 — Други финансови </w:t>
      </w:r>
      <w:r w:rsidR="0094521E">
        <w:rPr>
          <w:lang w:val="bg-BG"/>
        </w:rPr>
        <w:t>задължения</w:t>
      </w:r>
      <w:r>
        <w:t xml:space="preserve"> (LIAB-G-4)</w:t>
      </w:r>
    </w:p>
    <w:p w14:paraId="7FE1B310" w14:textId="0BD04E61" w:rsidR="00FE5D64" w:rsidRDefault="00E40776">
      <w:pPr>
        <w:pStyle w:val="P68B1DB1-body7"/>
        <w:numPr>
          <w:ilvl w:val="1"/>
          <w:numId w:val="211"/>
        </w:numPr>
      </w:pPr>
      <w:r>
        <w:t>Z 15.00 — Деривати (LIAB-G-5)</w:t>
      </w:r>
    </w:p>
    <w:p w14:paraId="7FE1B311" w14:textId="2130BFF9" w:rsidR="00FE5D64" w:rsidRDefault="00E40776">
      <w:pPr>
        <w:pStyle w:val="P68B1DB1-body7"/>
        <w:numPr>
          <w:ilvl w:val="1"/>
          <w:numId w:val="211"/>
        </w:numPr>
      </w:pPr>
      <w:r>
        <w:t>Z 16.00 — Обезпечено финансиране, с изключение на вътрешногруповото финансиране (LIAB-G-6)</w:t>
      </w:r>
    </w:p>
    <w:p w14:paraId="7FE1B312" w14:textId="6321F960" w:rsidR="00FE5D64" w:rsidRDefault="00E40776">
      <w:pPr>
        <w:pStyle w:val="P68B1DB1-body7"/>
        <w:numPr>
          <w:ilvl w:val="1"/>
          <w:numId w:val="211"/>
        </w:numPr>
      </w:pPr>
      <w:r>
        <w:t xml:space="preserve">Z 17.00 — Други нефинансови </w:t>
      </w:r>
      <w:r w:rsidR="007D0552">
        <w:rPr>
          <w:lang w:val="bg-BG"/>
        </w:rPr>
        <w:t>задължения</w:t>
      </w:r>
      <w:r>
        <w:t xml:space="preserve"> (LIAB-G-7)</w:t>
      </w:r>
    </w:p>
    <w:p w14:paraId="7FE1B313" w14:textId="567EA37A" w:rsidR="00FE5D64" w:rsidRDefault="00FE5D64">
      <w:pPr>
        <w:pStyle w:val="body"/>
        <w:ind w:left="426"/>
        <w:rPr>
          <w:rFonts w:ascii="Times New Roman" w:hAnsi="Times New Roman" w:cs="Times New Roman"/>
          <w:color w:val="000000" w:themeColor="text1"/>
          <w:sz w:val="20"/>
          <w:szCs w:val="20"/>
        </w:rPr>
      </w:pPr>
    </w:p>
    <w:p w14:paraId="477CC8B7" w14:textId="6BDA58BE" w:rsidR="00FE5D64" w:rsidRDefault="00BE501F">
      <w:pPr>
        <w:pStyle w:val="P68B1DB1-Instructionsberschrift25"/>
        <w:numPr>
          <w:ilvl w:val="1"/>
          <w:numId w:val="49"/>
        </w:numPr>
        <w:ind w:left="357" w:hanging="357"/>
      </w:pPr>
      <w:bookmarkStart w:id="6" w:name="_Toc81454172"/>
      <w:bookmarkStart w:id="7" w:name="_Toc208244445"/>
      <w:r>
        <w:rPr>
          <w:lang w:val="bg-BG"/>
        </w:rPr>
        <w:t>Референции</w:t>
      </w:r>
      <w:bookmarkEnd w:id="6"/>
      <w:bookmarkEnd w:id="7"/>
    </w:p>
    <w:p w14:paraId="7FE1B315" w14:textId="77777777" w:rsidR="00FE5D64" w:rsidRDefault="00E40776">
      <w:pPr>
        <w:pStyle w:val="P68B1DB1-InstructionsText26"/>
        <w:numPr>
          <w:ilvl w:val="0"/>
          <w:numId w:val="225"/>
        </w:numPr>
        <w:spacing w:before="0"/>
      </w:pPr>
      <w:r>
        <w:t>За целите на настоящото приложение се прилагат следните съкращения:</w:t>
      </w:r>
    </w:p>
    <w:p w14:paraId="7FE1B317" w14:textId="26A66257" w:rsidR="00FE5D64" w:rsidRDefault="00E40776">
      <w:pPr>
        <w:pStyle w:val="P68B1DB1-ListParagraph8"/>
        <w:numPr>
          <w:ilvl w:val="0"/>
          <w:numId w:val="60"/>
        </w:numPr>
        <w:ind w:left="1074"/>
        <w:jc w:val="both"/>
      </w:pPr>
      <w:r>
        <w:t>„</w:t>
      </w:r>
      <w:r w:rsidR="00BE501F">
        <w:rPr>
          <w:lang w:val="en-US"/>
        </w:rPr>
        <w:t>CPMI</w:t>
      </w:r>
      <w:r>
        <w:t>“ означава Комитетът по платежни и сетълмент системи към Банката за международни разплащания;</w:t>
      </w:r>
    </w:p>
    <w:p w14:paraId="7FE1B318" w14:textId="4334C1A2" w:rsidR="00FE5D64" w:rsidRDefault="00E40776" w:rsidP="001118F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„FINREP“ означава образците за </w:t>
      </w:r>
      <w:r w:rsidR="00BA7AEE">
        <w:rPr>
          <w:rFonts w:ascii="Times New Roman" w:hAnsi="Times New Roman"/>
          <w:color w:val="000000" w:themeColor="text1"/>
          <w:sz w:val="20"/>
          <w:szCs w:val="20"/>
          <w:lang w:val="bg-BG"/>
        </w:rPr>
        <w:t>финансова отчетност</w:t>
      </w:r>
      <w:r>
        <w:rPr>
          <w:rFonts w:ascii="Times New Roman" w:hAnsi="Times New Roman"/>
          <w:color w:val="000000" w:themeColor="text1"/>
          <w:sz w:val="20"/>
          <w:szCs w:val="20"/>
        </w:rPr>
        <w:t xml:space="preserve">, включени в приложение I към </w:t>
      </w:r>
      <w:r w:rsidR="009B1560">
        <w:rPr>
          <w:rFonts w:ascii="Times New Roman" w:hAnsi="Times New Roman"/>
          <w:color w:val="000000" w:themeColor="text1"/>
          <w:sz w:val="20"/>
          <w:szCs w:val="20"/>
          <w:lang w:val="bg-BG"/>
        </w:rPr>
        <w:t>Р</w:t>
      </w:r>
      <w:r>
        <w:rPr>
          <w:rFonts w:ascii="Times New Roman" w:hAnsi="Times New Roman"/>
          <w:color w:val="000000" w:themeColor="text1"/>
          <w:sz w:val="20"/>
          <w:szCs w:val="20"/>
        </w:rPr>
        <w:t>егламент за изпълнение (ЕС) 2024/3117 на Комисията;</w:t>
      </w:r>
      <w:r>
        <w:rPr>
          <w:rStyle w:val="FootnoteReference"/>
          <w:rFonts w:ascii="Times New Roman" w:hAnsi="Times New Roman"/>
          <w:sz w:val="20"/>
          <w:szCs w:val="20"/>
        </w:rPr>
        <w:footnoteReference w:id="2"/>
      </w:r>
    </w:p>
    <w:p w14:paraId="7FE1B319" w14:textId="5676BFD9" w:rsidR="00FE5D64" w:rsidRDefault="00E40776" w:rsidP="001118F2">
      <w:pPr>
        <w:pStyle w:val="P68B1DB1-ListParagraph8"/>
        <w:numPr>
          <w:ilvl w:val="0"/>
          <w:numId w:val="60"/>
        </w:numPr>
        <w:ind w:left="1074"/>
        <w:jc w:val="both"/>
      </w:pPr>
      <w:r>
        <w:lastRenderedPageBreak/>
        <w:t xml:space="preserve">„COREP (OF)“ означава образците COREP (OF), включени в приложение I към </w:t>
      </w:r>
      <w:r w:rsidR="009B1560">
        <w:rPr>
          <w:lang w:val="bg-BG"/>
        </w:rPr>
        <w:t>Р</w:t>
      </w:r>
      <w:r>
        <w:t>егламент за изпълнение (ЕС) 2024/3117 на Комисията;</w:t>
      </w:r>
    </w:p>
    <w:p w14:paraId="7FE1B31A" w14:textId="2992E94F" w:rsidR="00FE5D64" w:rsidRDefault="00E40776" w:rsidP="001118F2">
      <w:pPr>
        <w:pStyle w:val="P68B1DB1-ListParagraph8"/>
        <w:numPr>
          <w:ilvl w:val="0"/>
          <w:numId w:val="60"/>
        </w:numPr>
        <w:ind w:left="1074"/>
        <w:jc w:val="both"/>
      </w:pPr>
      <w:r>
        <w:t xml:space="preserve">„COREP (LR)“ означава образците за COREP (LR), включени в приложение I към </w:t>
      </w:r>
      <w:r w:rsidR="009B1560">
        <w:rPr>
          <w:lang w:val="bg-BG"/>
        </w:rPr>
        <w:t>Р</w:t>
      </w:r>
      <w:r>
        <w:t>егламент за изпълнение (ЕС) 2024/3117 на Комисията;</w:t>
      </w:r>
    </w:p>
    <w:p w14:paraId="7FE1B31B" w14:textId="03429145" w:rsidR="00FE5D64" w:rsidRDefault="00E40776" w:rsidP="00BE501F">
      <w:pPr>
        <w:pStyle w:val="P68B1DB1-ListParagraph8"/>
        <w:numPr>
          <w:ilvl w:val="0"/>
          <w:numId w:val="60"/>
        </w:numPr>
        <w:ind w:left="1074"/>
        <w:jc w:val="both"/>
      </w:pPr>
      <w:r>
        <w:t>„</w:t>
      </w:r>
      <w:r w:rsidR="00C4466F">
        <w:rPr>
          <w:lang w:val="en-US"/>
        </w:rPr>
        <w:t>FSB</w:t>
      </w:r>
      <w:r>
        <w:t>“ означава Съветът за финансова стабилност;</w:t>
      </w:r>
    </w:p>
    <w:p w14:paraId="7FE1B31C" w14:textId="46A107B1" w:rsidR="00FE5D64" w:rsidRDefault="00E40776" w:rsidP="001118F2">
      <w:pPr>
        <w:pStyle w:val="P68B1DB1-ListParagraph9"/>
        <w:numPr>
          <w:ilvl w:val="0"/>
          <w:numId w:val="60"/>
        </w:numPr>
        <w:ind w:left="1074"/>
        <w:jc w:val="both"/>
        <w:rPr>
          <w:color w:val="000000" w:themeColor="text1"/>
          <w:sz w:val="20"/>
          <w:szCs w:val="20"/>
        </w:rPr>
      </w:pPr>
      <w:r>
        <w:rPr>
          <w:color w:val="000000" w:themeColor="text1"/>
          <w:sz w:val="20"/>
          <w:szCs w:val="20"/>
        </w:rPr>
        <w:t>„</w:t>
      </w:r>
      <w:r w:rsidR="003117F7">
        <w:rPr>
          <w:color w:val="000000" w:themeColor="text1"/>
          <w:sz w:val="20"/>
          <w:szCs w:val="20"/>
          <w:lang w:val="bg-BG"/>
        </w:rPr>
        <w:t>МСС</w:t>
      </w:r>
      <w:r>
        <w:rPr>
          <w:color w:val="000000" w:themeColor="text1"/>
          <w:sz w:val="20"/>
          <w:szCs w:val="20"/>
        </w:rPr>
        <w:t>“ означава международни счетоводни стандарти съгласно определението в член 2 от Регламент (ЕО) № 1606/2002 на Европейския парламент и на Съвета</w:t>
      </w:r>
      <w:r w:rsidRPr="00C4466F">
        <w:rPr>
          <w:vertAlign w:val="superscript"/>
        </w:rPr>
        <w:footnoteReference w:id="3"/>
      </w:r>
      <w:r>
        <w:rPr>
          <w:color w:val="000000" w:themeColor="text1"/>
          <w:sz w:val="20"/>
          <w:szCs w:val="20"/>
        </w:rPr>
        <w:t>;</w:t>
      </w:r>
    </w:p>
    <w:p w14:paraId="7FE1B31D" w14:textId="29A219B2" w:rsidR="00FE5D64" w:rsidRDefault="00E40776" w:rsidP="001118F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w:t>
      </w:r>
      <w:r w:rsidR="003117F7">
        <w:rPr>
          <w:rFonts w:ascii="Times New Roman" w:hAnsi="Times New Roman"/>
          <w:color w:val="000000" w:themeColor="text1"/>
          <w:sz w:val="20"/>
          <w:szCs w:val="20"/>
          <w:lang w:val="bg-BG"/>
        </w:rPr>
        <w:t>МСФО</w:t>
      </w:r>
      <w:r>
        <w:rPr>
          <w:rFonts w:ascii="Times New Roman" w:hAnsi="Times New Roman"/>
          <w:color w:val="000000" w:themeColor="text1"/>
          <w:sz w:val="20"/>
          <w:szCs w:val="20"/>
        </w:rPr>
        <w:t>“ означава Международните стандарти за финансово отчитане съгласно определението в член 2 от Регламент (ЕО) №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1D76E3FB" w:rsidR="00FE5D64" w:rsidRDefault="00E40776" w:rsidP="001118F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w:t>
      </w:r>
      <w:r w:rsidR="00034B3E">
        <w:rPr>
          <w:rFonts w:ascii="Times New Roman" w:hAnsi="Times New Roman"/>
          <w:color w:val="000000" w:themeColor="text1"/>
          <w:sz w:val="20"/>
          <w:szCs w:val="20"/>
          <w:lang w:val="bg-BG"/>
        </w:rPr>
        <w:t>ИКПС</w:t>
      </w:r>
      <w:r>
        <w:rPr>
          <w:rFonts w:ascii="Times New Roman" w:hAnsi="Times New Roman"/>
          <w:color w:val="000000" w:themeColor="text1"/>
          <w:sz w:val="20"/>
          <w:szCs w:val="20"/>
        </w:rPr>
        <w:t xml:space="preserve">“ означава идентификационен код на правния субект, който се определя с цел постигане на уникална и световно приложима идентификация на страните по финансови сделки по предложение на Съвета за финансова стабилност (FSB) и с одобрението на G20. Докато глобалната система за ИКПС започне изцяло да функционира, контрагентите получават предварителни ИКПС, определяни от местни оперативни звена, одобрени от Регулаторния надзорен комитет (за повече подробности вж. следния уебсайт: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При идентифицирането на контрагент се използва неговият ИКПС, ако има такъв;</w:t>
      </w:r>
    </w:p>
    <w:p w14:paraId="7FE1B31F" w14:textId="6B97ED21" w:rsidR="00FE5D64" w:rsidRDefault="00E40776" w:rsidP="001118F2">
      <w:pPr>
        <w:pStyle w:val="P68B1DB1-ListParagraph8"/>
        <w:numPr>
          <w:ilvl w:val="0"/>
          <w:numId w:val="60"/>
        </w:numPr>
        <w:ind w:left="1074"/>
        <w:jc w:val="both"/>
      </w:pPr>
      <w:r>
        <w:t>„Идентификационен код на ПФИ</w:t>
      </w:r>
      <w:r w:rsidR="002C7904">
        <w:rPr>
          <w:lang w:val="bg-BG"/>
        </w:rPr>
        <w:t>“</w:t>
      </w:r>
      <w:r>
        <w:t xml:space="preserve"> или „</w:t>
      </w:r>
      <w:r w:rsidR="002C7904">
        <w:rPr>
          <w:lang w:val="bg-BG"/>
        </w:rPr>
        <w:t>Код на п</w:t>
      </w:r>
      <w:r>
        <w:t>арична финансова институция</w:t>
      </w:r>
      <w:r w:rsidR="002C7904">
        <w:rPr>
          <w:lang w:val="bg-BG"/>
        </w:rPr>
        <w:t xml:space="preserve">“ </w:t>
      </w:r>
      <w:r>
        <w:t>е уникален идентификационен код на ПФИ в списъка на ПФИ, поддържан и публикуван от ЕЦБ за статистически цели в съответствие с Регламент (ЕС) 2021/379 на Европейската централна банка от 22 януари 2021 г. относно балансовите позиции на кредитните институции и на сектор „Парично-финансови институции“ (преработен текст) (ECB/2021/2), който се отчита, когато вече не съществува ИКПС.</w:t>
      </w:r>
    </w:p>
    <w:p w14:paraId="7FE1B320" w14:textId="0F2F265A" w:rsidR="00FE5D64" w:rsidRDefault="00E40776" w:rsidP="001118F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w:t>
      </w:r>
      <w:r w:rsidR="008D759B">
        <w:rPr>
          <w:rFonts w:ascii="Times New Roman" w:hAnsi="Times New Roman"/>
          <w:color w:val="000000" w:themeColor="text1"/>
          <w:sz w:val="20"/>
          <w:szCs w:val="20"/>
          <w:lang w:val="bg-BG"/>
        </w:rPr>
        <w:t>“</w:t>
      </w:r>
      <w:r w:rsidR="00F41578">
        <w:rPr>
          <w:rFonts w:ascii="Times New Roman" w:hAnsi="Times New Roman"/>
          <w:color w:val="000000" w:themeColor="text1"/>
          <w:sz w:val="20"/>
          <w:szCs w:val="20"/>
          <w:lang w:val="bg-BG"/>
        </w:rPr>
        <w:t xml:space="preserve"> </w:t>
      </w:r>
      <w:r>
        <w:rPr>
          <w:rFonts w:ascii="Times New Roman" w:hAnsi="Times New Roman"/>
          <w:color w:val="000000" w:themeColor="text1"/>
          <w:sz w:val="20"/>
          <w:szCs w:val="20"/>
        </w:rPr>
        <w:t>или „национални общоприети счетоводни принципи“ означава национални счетоводни рамки, разработени съгласно Директива 86/635/ЕИО</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12052E31" w:rsidR="00FE5D64" w:rsidRDefault="00E40776" w:rsidP="001118F2">
      <w:pPr>
        <w:pStyle w:val="P68B1DB1-ListParagraph8"/>
        <w:numPr>
          <w:ilvl w:val="0"/>
          <w:numId w:val="60"/>
        </w:numPr>
        <w:ind w:left="1074"/>
        <w:jc w:val="both"/>
      </w:pPr>
      <w:r>
        <w:t>„Оперативен актив“ — актив, който не е финансов актив и който</w:t>
      </w:r>
      <w:r w:rsidR="008D759B">
        <w:rPr>
          <w:lang w:val="bg-BG"/>
        </w:rPr>
        <w:t xml:space="preserve"> е необходим за предоставянето на </w:t>
      </w:r>
      <w:r w:rsidR="00F41578">
        <w:rPr>
          <w:lang w:val="bg-BG"/>
        </w:rPr>
        <w:t xml:space="preserve">значими </w:t>
      </w:r>
      <w:r w:rsidR="008D759B">
        <w:rPr>
          <w:lang w:val="bg-BG"/>
        </w:rPr>
        <w:t>услуги</w:t>
      </w:r>
      <w:r>
        <w:t xml:space="preserve">, като например недвижимо имущество; интелектуална собственост, включително търговски марки, патенти и софтуер; хардуер; Информационни системи и приложения; и </w:t>
      </w:r>
      <w:r w:rsidR="009B1560">
        <w:rPr>
          <w:lang w:val="bg-BG"/>
        </w:rPr>
        <w:t>хранилища</w:t>
      </w:r>
      <w:r w:rsidR="009B1560">
        <w:t xml:space="preserve"> </w:t>
      </w:r>
      <w:r>
        <w:t>за данни. Оперативните активи са критични/</w:t>
      </w:r>
      <w:r w:rsidR="008D759B">
        <w:rPr>
          <w:lang w:val="bg-BG"/>
        </w:rPr>
        <w:t>важни</w:t>
      </w:r>
      <w:r>
        <w:t>, когато достъпът до тях е необходим за извършването на критична/</w:t>
      </w:r>
      <w:r w:rsidR="008D759B">
        <w:rPr>
          <w:lang w:val="bg-BG"/>
        </w:rPr>
        <w:t>важна</w:t>
      </w:r>
      <w:r w:rsidR="008D759B">
        <w:t xml:space="preserve"> </w:t>
      </w:r>
      <w:r>
        <w:t>услуга;</w:t>
      </w:r>
    </w:p>
    <w:p w14:paraId="7FE1B322" w14:textId="19339A63" w:rsidR="00FE5D64" w:rsidRDefault="00F41578" w:rsidP="001118F2">
      <w:pPr>
        <w:pStyle w:val="P68B1DB1-ListParagraph8"/>
        <w:numPr>
          <w:ilvl w:val="0"/>
          <w:numId w:val="60"/>
        </w:numPr>
        <w:ind w:left="1074"/>
        <w:jc w:val="both"/>
      </w:pPr>
      <w:r>
        <w:rPr>
          <w:lang w:val="bg-BG"/>
        </w:rPr>
        <w:t>Значими у</w:t>
      </w:r>
      <w:r w:rsidR="00C4466F">
        <w:rPr>
          <w:lang w:val="bg-BG"/>
        </w:rPr>
        <w:t>слуги</w:t>
      </w:r>
      <w:r w:rsidR="00E40776">
        <w:t xml:space="preserve">“ — услуги, </w:t>
      </w:r>
      <w:r w:rsidR="008D759B">
        <w:rPr>
          <w:lang w:val="bg-BG"/>
        </w:rPr>
        <w:t xml:space="preserve">обуславящи </w:t>
      </w:r>
      <w:r w:rsidR="00E40776">
        <w:t xml:space="preserve">i) критичните функции на банката за икономиката (критични услуги) и ii) основните </w:t>
      </w:r>
      <w:r w:rsidR="003C636B">
        <w:rPr>
          <w:lang w:val="bg-BG"/>
        </w:rPr>
        <w:t>стопански дейности</w:t>
      </w:r>
      <w:r w:rsidR="00E40776">
        <w:t xml:space="preserve"> (</w:t>
      </w:r>
      <w:r w:rsidR="003C636B">
        <w:rPr>
          <w:lang w:val="bg-BG"/>
        </w:rPr>
        <w:t>важни</w:t>
      </w:r>
      <w:r w:rsidR="003C636B">
        <w:t xml:space="preserve"> </w:t>
      </w:r>
      <w:r w:rsidR="00E40776">
        <w:t xml:space="preserve">услуги), за които е необходима  </w:t>
      </w:r>
      <w:r w:rsidR="003C636B">
        <w:rPr>
          <w:lang w:val="bg-BG"/>
        </w:rPr>
        <w:t xml:space="preserve">непрекъсваемост с оглед </w:t>
      </w:r>
      <w:r w:rsidR="00E40776">
        <w:t xml:space="preserve">ефективното </w:t>
      </w:r>
      <w:r w:rsidR="003C636B">
        <w:rPr>
          <w:lang w:val="bg-BG"/>
        </w:rPr>
        <w:t>прилагане</w:t>
      </w:r>
      <w:r w:rsidR="003C636B">
        <w:t xml:space="preserve"> </w:t>
      </w:r>
      <w:r w:rsidR="00E40776">
        <w:t>на стратегията за преструктуриране. Тези категории могат да се припокриват. Това се отнася по аналогия за оперативните активи и персонала.</w:t>
      </w:r>
    </w:p>
    <w:p w14:paraId="7FE1B323" w14:textId="182CB6C5" w:rsidR="00FE5D64" w:rsidRDefault="00E40776" w:rsidP="001118F2">
      <w:pPr>
        <w:pStyle w:val="P68B1DB1-ListParagraph8"/>
        <w:numPr>
          <w:ilvl w:val="0"/>
          <w:numId w:val="60"/>
        </w:numPr>
        <w:ind w:left="1074"/>
        <w:jc w:val="both"/>
      </w:pPr>
      <w:r>
        <w:t>„</w:t>
      </w:r>
      <w:r w:rsidR="003C636B">
        <w:rPr>
          <w:lang w:val="bg-BG"/>
        </w:rPr>
        <w:t>Значими</w:t>
      </w:r>
      <w:r>
        <w:t xml:space="preserve"> роли“ — длъжности, </w:t>
      </w:r>
      <w:r w:rsidR="00C466B8" w:rsidRPr="00C4466F">
        <w:rPr>
          <w:lang w:val="bg-BG"/>
        </w:rPr>
        <w:t xml:space="preserve">чието </w:t>
      </w:r>
      <w:r w:rsidR="00C466B8">
        <w:rPr>
          <w:lang w:val="bg-BG"/>
        </w:rPr>
        <w:t>незаемане п</w:t>
      </w:r>
      <w:r w:rsidR="003C636B">
        <w:rPr>
          <w:lang w:val="bg-BG"/>
        </w:rPr>
        <w:t>о време</w:t>
      </w:r>
      <w:r w:rsidR="00C466B8" w:rsidRPr="00C4466F">
        <w:rPr>
          <w:lang w:val="bg-BG"/>
        </w:rPr>
        <w:t xml:space="preserve"> на преструктуриране</w:t>
      </w:r>
      <w:r>
        <w:t xml:space="preserve"> може да представлява пречка за непрекъснатостта на критичните функции и основните стопански дейности, необходими за ефективното </w:t>
      </w:r>
      <w:r w:rsidR="00946BEA">
        <w:rPr>
          <w:lang w:val="bg-BG"/>
        </w:rPr>
        <w:t>прилагане</w:t>
      </w:r>
      <w:r w:rsidR="00946BEA">
        <w:t xml:space="preserve"> </w:t>
      </w:r>
      <w:r>
        <w:t>на стратегията за преструктуриране и всяк</w:t>
      </w:r>
      <w:r w:rsidR="00C466B8">
        <w:rPr>
          <w:lang w:val="bg-BG"/>
        </w:rPr>
        <w:t>а</w:t>
      </w:r>
      <w:r>
        <w:t xml:space="preserve"> последващ</w:t>
      </w:r>
      <w:r w:rsidR="00C466B8">
        <w:rPr>
          <w:lang w:val="bg-BG"/>
        </w:rPr>
        <w:t>а</w:t>
      </w:r>
      <w:r>
        <w:t xml:space="preserve"> </w:t>
      </w:r>
      <w:r w:rsidR="00C466B8">
        <w:rPr>
          <w:lang w:val="bg-BG"/>
        </w:rPr>
        <w:t>реорганизация</w:t>
      </w:r>
      <w:r>
        <w:t>.</w:t>
      </w:r>
    </w:p>
    <w:p w14:paraId="7FE1B324" w14:textId="57A3DD0E" w:rsidR="00FE5D64" w:rsidRDefault="00FE5D64">
      <w:pPr>
        <w:pStyle w:val="ListParagraph"/>
        <w:ind w:left="1074"/>
        <w:rPr>
          <w:rFonts w:ascii="Times New Roman" w:hAnsi="Times New Roman"/>
          <w:color w:val="000000" w:themeColor="text1"/>
          <w:sz w:val="20"/>
          <w:szCs w:val="20"/>
        </w:rPr>
      </w:pPr>
    </w:p>
    <w:p w14:paraId="7FE1B325" w14:textId="77777777" w:rsidR="00FE5D64" w:rsidRDefault="00E40776">
      <w:pPr>
        <w:pStyle w:val="P68B1DB1-Instructionsberschrift25"/>
        <w:numPr>
          <w:ilvl w:val="1"/>
          <w:numId w:val="49"/>
        </w:numPr>
        <w:ind w:left="357" w:hanging="357"/>
      </w:pPr>
      <w:bookmarkStart w:id="8" w:name="_Toc81454173"/>
      <w:bookmarkStart w:id="9" w:name="_Toc208244446"/>
      <w:r>
        <w:t>Счетоводни стандарти</w:t>
      </w:r>
      <w:bookmarkEnd w:id="8"/>
      <w:bookmarkEnd w:id="9"/>
    </w:p>
    <w:p w14:paraId="7FE1B326" w14:textId="066C5985" w:rsidR="00FE5D64" w:rsidRDefault="00E40776">
      <w:pPr>
        <w:pStyle w:val="P68B1DB1-InstructionsText26"/>
        <w:numPr>
          <w:ilvl w:val="0"/>
          <w:numId w:val="71"/>
        </w:numPr>
        <w:spacing w:before="0"/>
        <w:ind w:left="714" w:hanging="357"/>
      </w:pPr>
      <w:r>
        <w:t>Ако в настоящите указания не е посочено друго, институциите докладват всички суми въз основа на използваната от тях счетоводна рамка за отчитане на финансовата информация в съответствие с членове 9—11 от Регламент за изпълнение (ЕС) 2024/3117. Институциите, които не са задължени да отчитат финансова информация в съответствие с Регламент за изпълнение (ЕС) 2024/3117, прилагат правилата на съответна</w:t>
      </w:r>
      <w:r w:rsidR="003117F7">
        <w:rPr>
          <w:lang w:val="bg-BG"/>
        </w:rPr>
        <w:t>та за тях</w:t>
      </w:r>
      <w:r>
        <w:t xml:space="preserve"> счетоводна рамка. </w:t>
      </w:r>
    </w:p>
    <w:p w14:paraId="7FE1B327" w14:textId="77777777" w:rsidR="00FE5D64" w:rsidRDefault="00E40776">
      <w:pPr>
        <w:pStyle w:val="P68B1DB1-InstructionsText26"/>
        <w:numPr>
          <w:ilvl w:val="0"/>
          <w:numId w:val="227"/>
        </w:numPr>
        <w:spacing w:before="0"/>
      </w:pPr>
      <w:r>
        <w:t>За институциите, които се отчитат по МСФО, са добавени препратки към съответните МСФО.</w:t>
      </w:r>
    </w:p>
    <w:p w14:paraId="7FE1B328" w14:textId="77777777" w:rsidR="00FE5D64" w:rsidRDefault="00E40776">
      <w:pPr>
        <w:pStyle w:val="P68B1DB1-Instructionsberschrift25"/>
        <w:numPr>
          <w:ilvl w:val="1"/>
          <w:numId w:val="49"/>
        </w:numPr>
        <w:ind w:left="357" w:hanging="357"/>
      </w:pPr>
      <w:bookmarkStart w:id="10" w:name="_Toc208244447"/>
      <w:bookmarkStart w:id="11" w:name="_Hlk167181695"/>
      <w:bookmarkStart w:id="12" w:name="_Toc81454174"/>
      <w:r>
        <w:lastRenderedPageBreak/>
        <w:t>Докладване на надзорни данни</w:t>
      </w:r>
      <w:bookmarkEnd w:id="10"/>
    </w:p>
    <w:p w14:paraId="7FE1B329" w14:textId="3C70A9E7" w:rsidR="00FE5D64" w:rsidRDefault="00E40776">
      <w:pPr>
        <w:pStyle w:val="P68B1DB1-Instructionsberschrift310"/>
        <w:numPr>
          <w:ilvl w:val="4"/>
          <w:numId w:val="49"/>
        </w:numPr>
      </w:pPr>
      <w:r>
        <w:t>Когато отчитащият се субект подлежи на надзорна отчетност съгласно Регламент (ЕС) № 575/2013</w:t>
      </w:r>
      <w:r w:rsidRPr="003220B9">
        <w:rPr>
          <w:vertAlign w:val="superscript"/>
        </w:rPr>
        <w:footnoteReference w:id="6"/>
      </w:r>
      <w:r>
        <w:t xml:space="preserve"> </w:t>
      </w:r>
      <w:r w:rsidR="0045129E" w:rsidRPr="003117F7">
        <w:rPr>
          <w:lang w:val="bg-BG"/>
        </w:rPr>
        <w:t xml:space="preserve">на </w:t>
      </w:r>
      <w:r>
        <w:t xml:space="preserve">консолидирано или индивидуално </w:t>
      </w:r>
      <w:r w:rsidR="003117F7">
        <w:rPr>
          <w:lang w:val="bg-BG"/>
        </w:rPr>
        <w:t>ниво</w:t>
      </w:r>
      <w:r w:rsidR="003117F7">
        <w:t xml:space="preserve"> </w:t>
      </w:r>
      <w:r>
        <w:t xml:space="preserve">към исканата референтна дата за </w:t>
      </w:r>
      <w:r w:rsidR="008D7B5B">
        <w:rPr>
          <w:lang w:val="bg-BG"/>
        </w:rPr>
        <w:t xml:space="preserve">целите на </w:t>
      </w:r>
      <w:r>
        <w:t>планиране на преструктурирането, от субекта не се изисква да декларира онези данни, които вече са били докладвани. Органите за преструктуриране ще получат тези данни директно от надзорните</w:t>
      </w:r>
      <w:r w:rsidR="0045129E" w:rsidRPr="003117F7">
        <w:rPr>
          <w:lang w:val="bg-BG"/>
        </w:rPr>
        <w:t xml:space="preserve"> </w:t>
      </w:r>
      <w:r w:rsidR="0045129E">
        <w:rPr>
          <w:lang w:val="bg-BG"/>
        </w:rPr>
        <w:t>отчети</w:t>
      </w:r>
      <w:r>
        <w:t xml:space="preserve">, които вече са декларирани от </w:t>
      </w:r>
      <w:r w:rsidR="00287B75">
        <w:rPr>
          <w:lang w:val="bg-BG"/>
        </w:rPr>
        <w:t>отчитащия</w:t>
      </w:r>
      <w:r w:rsidR="00287B75" w:rsidRPr="003117F7">
        <w:t xml:space="preserve"> </w:t>
      </w:r>
      <w:r w:rsidR="00B52859">
        <w:rPr>
          <w:lang w:val="bg-BG"/>
        </w:rPr>
        <w:t>се</w:t>
      </w:r>
      <w:r>
        <w:t xml:space="preserve"> субект.</w:t>
      </w:r>
    </w:p>
    <w:p w14:paraId="7FE1B32A" w14:textId="05B0296B" w:rsidR="00FE5D64" w:rsidRDefault="00E40776">
      <w:pPr>
        <w:pStyle w:val="Instructionsberschrift3"/>
        <w:numPr>
          <w:ilvl w:val="4"/>
          <w:numId w:val="49"/>
        </w:numPr>
      </w:pPr>
      <w:r>
        <w:rPr>
          <w:u w:val="none"/>
        </w:rPr>
        <w:t xml:space="preserve">Когато субектът не подлежи на надзорна отчетност към дадената референтна дата, от субекта ще се изисква да декларира тези данни в съответствие с Регламент за изпълнение (ЕС) </w:t>
      </w:r>
      <w:r>
        <w:rPr>
          <w:highlight w:val="yellow"/>
          <w:u w:val="none"/>
        </w:rPr>
        <w:t>20XX/XXX</w:t>
      </w:r>
      <w:r>
        <w:t xml:space="preserve">. </w:t>
      </w:r>
      <w:r>
        <w:rPr>
          <w:u w:val="none"/>
        </w:rPr>
        <w:t>.</w:t>
      </w:r>
    </w:p>
    <w:p w14:paraId="7FE1B32B" w14:textId="77777777" w:rsidR="00FE5D64" w:rsidRDefault="00E40776">
      <w:pPr>
        <w:pStyle w:val="P68B1DB1-Instructionsberschrift25"/>
        <w:numPr>
          <w:ilvl w:val="1"/>
          <w:numId w:val="49"/>
        </w:numPr>
        <w:ind w:left="357" w:hanging="357"/>
      </w:pPr>
      <w:bookmarkStart w:id="13" w:name="_Toc208244448"/>
      <w:bookmarkEnd w:id="11"/>
      <w:r>
        <w:t>Обхват на консолидацията</w:t>
      </w:r>
      <w:bookmarkEnd w:id="12"/>
      <w:bookmarkEnd w:id="13"/>
    </w:p>
    <w:p w14:paraId="7FE1B32C" w14:textId="77777777" w:rsidR="00FE5D64" w:rsidRDefault="00E40776">
      <w:pPr>
        <w:pStyle w:val="P68B1DB1-InstructionsText26"/>
        <w:numPr>
          <w:ilvl w:val="0"/>
          <w:numId w:val="228"/>
        </w:numPr>
        <w:spacing w:before="0"/>
      </w:pPr>
      <w:r>
        <w:t>В зависимост от образеца настоящата рамка се отнася за:</w:t>
      </w:r>
    </w:p>
    <w:p w14:paraId="7FE1B32D" w14:textId="17CFDEF6" w:rsidR="00FE5D64" w:rsidRDefault="00E40776">
      <w:pPr>
        <w:pStyle w:val="P68B1DB1-numberedparagraph11"/>
        <w:numPr>
          <w:ilvl w:val="0"/>
          <w:numId w:val="81"/>
        </w:numPr>
        <w:rPr>
          <w:rFonts w:eastAsiaTheme="majorEastAsia"/>
        </w:rPr>
      </w:pPr>
      <w:r>
        <w:t>консолидация въз основа на консолидирано счетоводно отчитане (субекти, включени в консолидирания финансов отчет съгласно приложимата счетоводна рамка);</w:t>
      </w:r>
    </w:p>
    <w:p w14:paraId="7FE1B32E" w14:textId="179BBDC6" w:rsidR="00FE5D64" w:rsidRDefault="00E40776">
      <w:pPr>
        <w:pStyle w:val="P68B1DB1-numberedparagraph11"/>
        <w:numPr>
          <w:ilvl w:val="0"/>
          <w:numId w:val="81"/>
        </w:numPr>
        <w:rPr>
          <w:rFonts w:eastAsiaTheme="majorEastAsia"/>
        </w:rPr>
      </w:pPr>
      <w:r>
        <w:t xml:space="preserve">пруденциална консолидация (субекти в обхвата на консолидацията съгласно първа част, дял II, глава 2 от Регламент (ЕС) № 575/2013 на Европейския парламент и на Съвета) на равнището на предприятието майка от Съюза; </w:t>
      </w:r>
    </w:p>
    <w:p w14:paraId="7FE1B32F" w14:textId="77777777" w:rsidR="00FE5D64" w:rsidRDefault="00E40776">
      <w:pPr>
        <w:pStyle w:val="P68B1DB1-numberedparagraph11"/>
        <w:numPr>
          <w:ilvl w:val="0"/>
          <w:numId w:val="81"/>
        </w:numPr>
        <w:rPr>
          <w:rFonts w:eastAsiaTheme="majorEastAsia"/>
        </w:rPr>
      </w:pPr>
      <w:r>
        <w:t>консолидация на равнището на субекта за преструктуриране за групата за преструктуриране.</w:t>
      </w:r>
    </w:p>
    <w:p w14:paraId="7FE1B330" w14:textId="47B0B060" w:rsidR="00FE5D64" w:rsidRDefault="00E40776">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За всеки образец институциите следват консолидационната основа или основи, приложими съгласно член</w:t>
      </w:r>
      <w:r w:rsidR="00382CFE">
        <w:rPr>
          <w:rFonts w:ascii="Times New Roman" w:hAnsi="Times New Roman" w:cs="Times New Roman"/>
          <w:sz w:val="20"/>
          <w:szCs w:val="20"/>
          <w:lang w:val="bg-BG"/>
        </w:rPr>
        <w:t xml:space="preserve">ове от </w:t>
      </w:r>
      <w:r>
        <w:rPr>
          <w:rFonts w:ascii="Times New Roman" w:hAnsi="Times New Roman" w:cs="Times New Roman"/>
          <w:sz w:val="20"/>
          <w:szCs w:val="20"/>
        </w:rPr>
        <w:t xml:space="preserve"> 2 </w:t>
      </w:r>
      <w:r w:rsidR="00382CFE">
        <w:rPr>
          <w:rFonts w:ascii="Times New Roman" w:hAnsi="Times New Roman" w:cs="Times New Roman"/>
          <w:sz w:val="20"/>
          <w:szCs w:val="20"/>
          <w:lang w:val="bg-BG"/>
        </w:rPr>
        <w:t>до</w:t>
      </w:r>
      <w:r>
        <w:rPr>
          <w:rFonts w:ascii="Times New Roman" w:hAnsi="Times New Roman" w:cs="Times New Roman"/>
          <w:sz w:val="20"/>
          <w:szCs w:val="20"/>
        </w:rPr>
        <w:t> 5 от Регламент за изпълнение (ЕС</w:t>
      </w:r>
      <w:r>
        <w:rPr>
          <w:rFonts w:ascii="Times New Roman" w:hAnsi="Times New Roman" w:cs="Times New Roman"/>
          <w:sz w:val="20"/>
          <w:szCs w:val="20"/>
          <w:highlight w:val="yellow"/>
        </w:rPr>
        <w:t>)</w:t>
      </w:r>
      <w:r>
        <w:rPr>
          <w:highlight w:val="yellow"/>
        </w:rPr>
        <w:t>No</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FE5D64" w:rsidRDefault="00E40776">
      <w:pPr>
        <w:pStyle w:val="P68B1DB1-Instructionsberschrift25"/>
        <w:numPr>
          <w:ilvl w:val="1"/>
          <w:numId w:val="49"/>
        </w:numPr>
        <w:ind w:left="357" w:hanging="357"/>
      </w:pPr>
      <w:bookmarkStart w:id="14" w:name="_Toc81454175"/>
      <w:bookmarkStart w:id="15" w:name="_Toc208244449"/>
      <w:r>
        <w:t>Номериране и други установени практики</w:t>
      </w:r>
      <w:bookmarkEnd w:id="14"/>
      <w:bookmarkEnd w:id="15"/>
    </w:p>
    <w:p w14:paraId="7FE1B332" w14:textId="606B3CD2" w:rsidR="00FE5D64" w:rsidRDefault="00E40776">
      <w:pPr>
        <w:pStyle w:val="P68B1DB1-InstructionsText26"/>
        <w:numPr>
          <w:ilvl w:val="0"/>
          <w:numId w:val="230"/>
        </w:numPr>
        <w:spacing w:before="0"/>
      </w:pPr>
      <w:r>
        <w:t>Настоящите указания следват посоченото по-долу условно обозначаване на колоните, редовете и полетата в образците. Тези цифрови кодове се използват широко в</w:t>
      </w:r>
      <w:r w:rsidR="00C30655">
        <w:rPr>
          <w:lang w:val="bg-BG"/>
        </w:rPr>
        <w:t>ъв валидационните</w:t>
      </w:r>
      <w:r>
        <w:t xml:space="preserve"> правила.</w:t>
      </w:r>
    </w:p>
    <w:p w14:paraId="7FE1B333" w14:textId="0D093E5A" w:rsidR="00FE5D64" w:rsidRDefault="00E40776">
      <w:pPr>
        <w:pStyle w:val="P68B1DB1-InstructionsText26"/>
        <w:numPr>
          <w:ilvl w:val="0"/>
          <w:numId w:val="230"/>
        </w:numPr>
        <w:spacing w:before="0"/>
      </w:pPr>
      <w:r>
        <w:t>В настоящите указания се спазват следните общи правила за обозначаване при посочване на колони, редове и полета в образците: {Образец;Ред;Колона}.</w:t>
      </w:r>
    </w:p>
    <w:p w14:paraId="7FE1B334" w14:textId="22465170" w:rsidR="00FE5D64" w:rsidRDefault="00E40776">
      <w:pPr>
        <w:pStyle w:val="P68B1DB1-InstructionsText26"/>
        <w:numPr>
          <w:ilvl w:val="0"/>
          <w:numId w:val="230"/>
        </w:numPr>
        <w:spacing w:before="0"/>
      </w:pPr>
      <w:r>
        <w:t xml:space="preserve">При </w:t>
      </w:r>
      <w:r w:rsidR="00B52859">
        <w:rPr>
          <w:lang w:val="bg-BG"/>
        </w:rPr>
        <w:t>валид</w:t>
      </w:r>
      <w:r w:rsidR="00C30655">
        <w:rPr>
          <w:lang w:val="bg-BG"/>
        </w:rPr>
        <w:t xml:space="preserve">иране </w:t>
      </w:r>
      <w:r>
        <w:t>в рамките на даден образец, при което се използват само данни от него, в о</w:t>
      </w:r>
      <w:r w:rsidR="00C30655">
        <w:rPr>
          <w:lang w:val="bg-BG"/>
        </w:rPr>
        <w:t>бо</w:t>
      </w:r>
      <w:r>
        <w:t xml:space="preserve">значението не се посочва образец: </w:t>
      </w:r>
      <w:r w:rsidR="00382CFE" w:rsidRPr="001118F2">
        <w:t>{</w:t>
      </w:r>
      <w:r>
        <w:t>Ред;Колона</w:t>
      </w:r>
      <w:r w:rsidR="00382CFE" w:rsidRPr="001118F2">
        <w:t>}</w:t>
      </w:r>
      <w:r>
        <w:t>.</w:t>
      </w:r>
    </w:p>
    <w:p w14:paraId="7FE1B335" w14:textId="29D04A0D" w:rsidR="00FE5D64" w:rsidRDefault="00E40776">
      <w:pPr>
        <w:pStyle w:val="P68B1DB1-InstructionsText26"/>
        <w:numPr>
          <w:ilvl w:val="0"/>
          <w:numId w:val="230"/>
        </w:numPr>
        <w:spacing w:before="0"/>
      </w:pPr>
      <w:r>
        <w:t xml:space="preserve">При образците, които имат само една колона, се посочват само редовете: </w:t>
      </w:r>
      <w:r w:rsidR="00382CFE" w:rsidRPr="001118F2">
        <w:t>{</w:t>
      </w:r>
      <w:r>
        <w:t>Образец</w:t>
      </w:r>
      <w:r w:rsidR="00382CFE" w:rsidRPr="001118F2">
        <w:t>;</w:t>
      </w:r>
      <w:r>
        <w:t>Ред</w:t>
      </w:r>
      <w:r w:rsidR="00382CFE" w:rsidRPr="001118F2">
        <w:t>}</w:t>
      </w:r>
      <w:r w:rsidR="00382CFE">
        <w:t>.</w:t>
      </w:r>
    </w:p>
    <w:p w14:paraId="7FE1B336" w14:textId="2FD17A04" w:rsidR="00FE5D64" w:rsidRDefault="00E40776">
      <w:pPr>
        <w:pStyle w:val="P68B1DB1-InstructionsText26"/>
        <w:numPr>
          <w:ilvl w:val="0"/>
          <w:numId w:val="230"/>
        </w:numPr>
        <w:spacing w:before="0"/>
      </w:pPr>
      <w:r>
        <w:t xml:space="preserve">Знакът „звездичка“ се използва, за да се покаже, че </w:t>
      </w:r>
      <w:r w:rsidR="0044331B">
        <w:rPr>
          <w:lang w:val="bg-BG"/>
        </w:rPr>
        <w:t>валидирането</w:t>
      </w:r>
      <w:r>
        <w:t xml:space="preserve"> </w:t>
      </w:r>
      <w:r w:rsidR="00382CFE">
        <w:rPr>
          <w:lang w:val="en-US"/>
        </w:rPr>
        <w:t>e</w:t>
      </w:r>
      <w:r w:rsidR="00382CFE">
        <w:rPr>
          <w:lang w:val="bg-BG"/>
        </w:rPr>
        <w:t xml:space="preserve"> обхванало </w:t>
      </w:r>
      <w:r>
        <w:t xml:space="preserve"> посочените преди това редове или колони.</w:t>
      </w:r>
    </w:p>
    <w:p w14:paraId="7FE1B337" w14:textId="62629DC5" w:rsidR="00FE5D64" w:rsidRDefault="00E40776">
      <w:pPr>
        <w:pStyle w:val="P68B1DB1-InstructionsText26"/>
        <w:numPr>
          <w:ilvl w:val="0"/>
          <w:numId w:val="230"/>
        </w:numPr>
        <w:spacing w:before="0"/>
      </w:pPr>
      <w:r>
        <w:t xml:space="preserve">Когато </w:t>
      </w:r>
      <w:r w:rsidR="00382CFE">
        <w:rPr>
          <w:lang w:val="bg-BG"/>
        </w:rPr>
        <w:t>дадена позиция за информация</w:t>
      </w:r>
      <w:r w:rsidR="00382CFE" w:rsidRPr="0044331B">
        <w:rPr>
          <w:lang w:val="bg-BG"/>
        </w:rPr>
        <w:t xml:space="preserve"> не е </w:t>
      </w:r>
      <w:r w:rsidR="00382CFE">
        <w:rPr>
          <w:lang w:val="bg-BG"/>
        </w:rPr>
        <w:t>приложима</w:t>
      </w:r>
      <w:r w:rsidR="00382CFE" w:rsidRPr="0044331B">
        <w:rPr>
          <w:lang w:val="bg-BG"/>
        </w:rPr>
        <w:t xml:space="preserve"> за субектите</w:t>
      </w:r>
      <w:r>
        <w:t xml:space="preserve">, за които се предоставя </w:t>
      </w:r>
      <w:r w:rsidR="00382CFE">
        <w:rPr>
          <w:lang w:val="bg-BG"/>
        </w:rPr>
        <w:t>отчетът</w:t>
      </w:r>
      <w:r>
        <w:t>, съответното поле се оставя празно.</w:t>
      </w:r>
    </w:p>
    <w:p w14:paraId="7FE1B338" w14:textId="7C4B67CD" w:rsidR="00FE5D64" w:rsidRDefault="00E40776">
      <w:pPr>
        <w:pStyle w:val="P68B1DB1-InstructionsText26"/>
        <w:numPr>
          <w:ilvl w:val="0"/>
          <w:numId w:val="230"/>
        </w:numPr>
        <w:spacing w:before="0"/>
      </w:pPr>
      <w:r>
        <w:t xml:space="preserve">Когато настоящите </w:t>
      </w:r>
      <w:r w:rsidR="001A79CE">
        <w:rPr>
          <w:lang w:val="bg-BG"/>
        </w:rPr>
        <w:t>указания</w:t>
      </w:r>
      <w:r w:rsidR="001A79CE">
        <w:t xml:space="preserve"> </w:t>
      </w:r>
      <w:r>
        <w:t xml:space="preserve">посочват първичен код, това означава колона или комбинация от колони, предназначени за определяне по уникален начин на всички </w:t>
      </w:r>
      <w:r>
        <w:lastRenderedPageBreak/>
        <w:t>редове от образеца. Първичният код съдържа уникална стойност за всеки ред от образеца. Той не може да съдържа нулева стойност.</w:t>
      </w:r>
    </w:p>
    <w:p w14:paraId="7FE1B339" w14:textId="73DA307C" w:rsidR="00FE5D64" w:rsidRDefault="00E40776">
      <w:pPr>
        <w:pStyle w:val="P68B1DB1-Instructionsberschrift24"/>
        <w:numPr>
          <w:ilvl w:val="0"/>
          <w:numId w:val="49"/>
        </w:numPr>
        <w:ind w:left="357" w:hanging="357"/>
      </w:pPr>
      <w:bookmarkStart w:id="16" w:name="_Toc492542319"/>
      <w:bookmarkStart w:id="17" w:name="_Toc81454176"/>
      <w:bookmarkStart w:id="18" w:name="_Toc208244450"/>
      <w:r>
        <w:t xml:space="preserve">Указания </w:t>
      </w:r>
      <w:r w:rsidR="0044331B">
        <w:rPr>
          <w:lang w:val="bg-BG"/>
        </w:rPr>
        <w:t>относно</w:t>
      </w:r>
      <w:r w:rsidR="0044331B">
        <w:t xml:space="preserve"> </w:t>
      </w:r>
      <w:r>
        <w:t>образците</w:t>
      </w:r>
      <w:bookmarkEnd w:id="16"/>
      <w:bookmarkEnd w:id="17"/>
      <w:bookmarkEnd w:id="18"/>
    </w:p>
    <w:p w14:paraId="7FE1B33A" w14:textId="1E33C051" w:rsidR="00FE5D64" w:rsidRDefault="00E40776">
      <w:pPr>
        <w:pStyle w:val="P68B1DB1-Instructionsberschrift25"/>
        <w:numPr>
          <w:ilvl w:val="1"/>
          <w:numId w:val="49"/>
        </w:numPr>
        <w:ind w:left="357" w:hanging="357"/>
      </w:pPr>
      <w:bookmarkStart w:id="19" w:name="_Toc493236007"/>
      <w:bookmarkStart w:id="20" w:name="_Toc81454177"/>
      <w:bookmarkStart w:id="21" w:name="_Toc208244451"/>
      <w:bookmarkEnd w:id="19"/>
      <w:r>
        <w:t xml:space="preserve">Z 01.01 — </w:t>
      </w:r>
      <w:r w:rsidR="007A4099">
        <w:rPr>
          <w:lang w:val="bg-BG"/>
        </w:rPr>
        <w:t>Правни субекти</w:t>
      </w:r>
      <w:r>
        <w:t xml:space="preserve"> (ORG 1)</w:t>
      </w:r>
      <w:bookmarkEnd w:id="20"/>
      <w:bookmarkEnd w:id="21"/>
    </w:p>
    <w:p w14:paraId="7FE1B33B" w14:textId="77777777" w:rsidR="00FE5D64" w:rsidRDefault="00E40776">
      <w:pPr>
        <w:pStyle w:val="Instructionsberschrift3"/>
      </w:pPr>
      <w:r>
        <w:t>Общи бележки</w:t>
      </w:r>
    </w:p>
    <w:p w14:paraId="7FE1B33C" w14:textId="41B5921D" w:rsidR="00FE5D64" w:rsidRDefault="00E40776">
      <w:pPr>
        <w:pStyle w:val="P68B1DB1-InstructionsText26"/>
        <w:numPr>
          <w:ilvl w:val="0"/>
          <w:numId w:val="231"/>
        </w:numPr>
        <w:spacing w:before="0"/>
      </w:pPr>
      <w:r>
        <w:t xml:space="preserve">За всички дружества от групата, попадащи в обхвата на счетоводната консолидация, се представя единен образец. В този образец се посочват само правни субекти. </w:t>
      </w:r>
    </w:p>
    <w:p w14:paraId="7FE1B33D" w14:textId="6016D013" w:rsidR="00FE5D64" w:rsidRDefault="00E40776" w:rsidP="00C864A9">
      <w:pPr>
        <w:pStyle w:val="P68B1DB1-InstructionsText26"/>
        <w:numPr>
          <w:ilvl w:val="0"/>
          <w:numId w:val="231"/>
        </w:numPr>
        <w:spacing w:before="0"/>
      </w:pPr>
      <w:r>
        <w:t xml:space="preserve">Понятието „съответни правни субекти“ не се ограничава само до банкови операции, а включва и други субекти, които са необходими за подпомагане на операциите на банковата група по съществен начин. Това включва доставчици на услуги за критични функции или/и </w:t>
      </w:r>
      <w:r w:rsidR="00C864A9">
        <w:rPr>
          <w:lang w:val="bg-BG"/>
        </w:rPr>
        <w:t>съществени</w:t>
      </w:r>
      <w:r w:rsidR="00502E13">
        <w:rPr>
          <w:lang w:val="bg-BG"/>
        </w:rPr>
        <w:t xml:space="preserve"> </w:t>
      </w:r>
      <w:r w:rsidR="00034B3E">
        <w:rPr>
          <w:lang w:val="bg-BG"/>
        </w:rPr>
        <w:t>стопански дейности</w:t>
      </w:r>
      <w:r>
        <w:t>,</w:t>
      </w:r>
      <w:r w:rsidR="00C864A9" w:rsidRPr="0044331B">
        <w:rPr>
          <w:lang w:val="bg-BG"/>
        </w:rPr>
        <w:t xml:space="preserve"> </w:t>
      </w:r>
      <w:r w:rsidR="00C864A9">
        <w:rPr>
          <w:lang w:val="bg-BG"/>
        </w:rPr>
        <w:t>субекти</w:t>
      </w:r>
      <w:r w:rsidR="00034B3E">
        <w:rPr>
          <w:lang w:val="bg-BG"/>
        </w:rPr>
        <w:t>,</w:t>
      </w:r>
      <w:r>
        <w:t xml:space="preserve"> предоставящи финансиране</w:t>
      </w:r>
      <w:r w:rsidR="00C864A9">
        <w:rPr>
          <w:lang w:val="bg-BG"/>
        </w:rPr>
        <w:t>,</w:t>
      </w:r>
      <w:r>
        <w:t xml:space="preserve"> и други субекти, които са тясно свързани (икономически) с групата. Очаква се определянето</w:t>
      </w:r>
      <w:r w:rsidR="00C864A9" w:rsidRPr="0044331B">
        <w:rPr>
          <w:lang w:val="bg-BG"/>
        </w:rPr>
        <w:t xml:space="preserve"> на тези допълнителни субекти да </w:t>
      </w:r>
      <w:r>
        <w:t>се ръководи от изискванията на стратегията за преструктуриране, които се определят от органите за преструктуриране.</w:t>
      </w:r>
    </w:p>
    <w:p w14:paraId="7FE1B33E" w14:textId="77777777" w:rsidR="00FE5D64" w:rsidRDefault="00E40776">
      <w:pPr>
        <w:pStyle w:val="P68B1DB1-Instructionsberschrift312"/>
      </w:pPr>
      <w:r>
        <w:t>Указания относно определени позиции</w:t>
      </w:r>
    </w:p>
    <w:p w14:paraId="7FE1B33F" w14:textId="77777777" w:rsidR="00FE5D64" w:rsidRDefault="00FE5D64">
      <w:pPr>
        <w:spacing w:before="8"/>
        <w:rPr>
          <w:rFonts w:ascii="Times New Roman" w:eastAsia="Cambria" w:hAnsi="Times New Roman" w:cs="Times New Roman"/>
          <w:color w:val="000000" w:themeColor="text1"/>
          <w:sz w:val="20"/>
          <w:szCs w:val="20"/>
        </w:rPr>
      </w:pPr>
    </w:p>
    <w:tbl>
      <w:tblPr>
        <w:tblW w:w="9356" w:type="dxa"/>
        <w:tblCellMar>
          <w:top w:w="57" w:type="dxa"/>
          <w:left w:w="57" w:type="dxa"/>
          <w:bottom w:w="57" w:type="dxa"/>
          <w:right w:w="0" w:type="dxa"/>
        </w:tblCellMar>
        <w:tblLook w:val="01E0" w:firstRow="1" w:lastRow="1" w:firstColumn="1" w:lastColumn="1" w:noHBand="0" w:noVBand="0"/>
      </w:tblPr>
      <w:tblGrid>
        <w:gridCol w:w="852"/>
        <w:gridCol w:w="8504"/>
      </w:tblGrid>
      <w:tr w:rsidR="001A79CE" w14:paraId="7FE1B342" w14:textId="77777777" w:rsidTr="003220B9">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FE5D64" w:rsidRDefault="00E40776">
            <w:pPr>
              <w:pStyle w:val="P68B1DB1-TableParagraph13"/>
              <w:spacing w:before="66"/>
              <w:rPr>
                <w:rFonts w:eastAsia="Cambria"/>
              </w:rPr>
            </w:pPr>
            <w:r>
              <w:t>Колони</w:t>
            </w:r>
          </w:p>
        </w:tc>
        <w:tc>
          <w:tcPr>
            <w:tcW w:w="8504" w:type="dxa"/>
            <w:tcBorders>
              <w:top w:val="single" w:sz="4" w:space="0" w:color="1A171C"/>
              <w:left w:val="single" w:sz="4" w:space="0" w:color="1A171C"/>
              <w:bottom w:val="single" w:sz="4" w:space="0" w:color="1A171C"/>
              <w:right w:val="nil"/>
            </w:tcBorders>
            <w:shd w:val="clear" w:color="auto" w:fill="E4E5E5"/>
          </w:tcPr>
          <w:p w14:paraId="7FE1B341" w14:textId="77777777" w:rsidR="00FE5D64" w:rsidRDefault="00E40776">
            <w:pPr>
              <w:pStyle w:val="P68B1DB1-TableParagraph13"/>
              <w:spacing w:before="66"/>
              <w:ind w:right="1"/>
              <w:jc w:val="center"/>
              <w:rPr>
                <w:rFonts w:eastAsia="Cambria"/>
              </w:rPr>
            </w:pPr>
            <w:r>
              <w:t>Указания</w:t>
            </w:r>
          </w:p>
        </w:tc>
      </w:tr>
      <w:tr w:rsidR="00FE5D64" w14:paraId="7FE1B349" w14:textId="77777777" w:rsidTr="0044331B">
        <w:tc>
          <w:tcPr>
            <w:tcW w:w="0" w:type="auto"/>
            <w:tcBorders>
              <w:top w:val="single" w:sz="4" w:space="0" w:color="1A171C"/>
              <w:left w:val="nil"/>
              <w:bottom w:val="single" w:sz="4" w:space="0" w:color="1A171C"/>
              <w:right w:val="single" w:sz="4" w:space="0" w:color="1A171C"/>
            </w:tcBorders>
          </w:tcPr>
          <w:p w14:paraId="7FE1B346" w14:textId="77777777" w:rsidR="00FE5D64" w:rsidRDefault="00E40776">
            <w:pPr>
              <w:pStyle w:val="P68B1DB1-TableParagraph13"/>
              <w:spacing w:before="106"/>
              <w:ind w:left="-1"/>
              <w:rPr>
                <w:rFonts w:eastAsia="Cambria"/>
              </w:rPr>
            </w:pPr>
            <w:r>
              <w:t>0010</w:t>
            </w:r>
          </w:p>
        </w:tc>
        <w:tc>
          <w:tcPr>
            <w:tcW w:w="8504" w:type="dxa"/>
            <w:tcBorders>
              <w:top w:val="single" w:sz="4" w:space="0" w:color="1A171C"/>
              <w:left w:val="single" w:sz="4" w:space="0" w:color="1A171C"/>
              <w:bottom w:val="single" w:sz="4" w:space="0" w:color="1A171C"/>
              <w:right w:val="nil"/>
            </w:tcBorders>
          </w:tcPr>
          <w:p w14:paraId="7FE1B347" w14:textId="77777777" w:rsidR="00FE5D64" w:rsidRDefault="00E40776">
            <w:pPr>
              <w:pStyle w:val="P68B1DB1-TableParagraph14"/>
              <w:spacing w:before="108"/>
              <w:ind w:left="85"/>
            </w:pPr>
            <w:r>
              <w:t>Наименование</w:t>
            </w:r>
          </w:p>
          <w:p w14:paraId="7FE1B348" w14:textId="484700D8" w:rsidR="00FE5D64" w:rsidRDefault="00E40776" w:rsidP="001D233C">
            <w:pPr>
              <w:pStyle w:val="P68B1DB1-TableParagraph15"/>
              <w:spacing w:before="108"/>
              <w:ind w:left="85"/>
            </w:pPr>
            <w:r>
              <w:t>Наименование на организацията. Официално название, както е посочено в корпоративните документи, включително посочване на правната форма.</w:t>
            </w:r>
          </w:p>
        </w:tc>
      </w:tr>
      <w:tr w:rsidR="00FE5D64" w14:paraId="7FE1B34E" w14:textId="77777777" w:rsidTr="0044331B">
        <w:tc>
          <w:tcPr>
            <w:tcW w:w="0" w:type="auto"/>
            <w:tcBorders>
              <w:top w:val="single" w:sz="4" w:space="0" w:color="1A171C"/>
              <w:left w:val="nil"/>
              <w:bottom w:val="single" w:sz="4" w:space="0" w:color="1A171C"/>
              <w:right w:val="single" w:sz="4" w:space="0" w:color="1A171C"/>
            </w:tcBorders>
          </w:tcPr>
          <w:p w14:paraId="7FE1B34A" w14:textId="77777777" w:rsidR="00FE5D64" w:rsidRDefault="00E40776">
            <w:pPr>
              <w:pStyle w:val="P68B1DB1-TableParagraph13"/>
              <w:spacing w:before="106"/>
              <w:ind w:left="-1"/>
            </w:pPr>
            <w:r>
              <w:t>0020</w:t>
            </w:r>
          </w:p>
        </w:tc>
        <w:tc>
          <w:tcPr>
            <w:tcW w:w="8504" w:type="dxa"/>
            <w:tcBorders>
              <w:top w:val="single" w:sz="4" w:space="0" w:color="1A171C"/>
              <w:left w:val="single" w:sz="4" w:space="0" w:color="1A171C"/>
              <w:bottom w:val="single" w:sz="4" w:space="0" w:color="1A171C"/>
              <w:right w:val="nil"/>
            </w:tcBorders>
          </w:tcPr>
          <w:p w14:paraId="7FE1B34B" w14:textId="5CE26429" w:rsidR="00FE5D64" w:rsidRPr="0044331B" w:rsidRDefault="009F57E1">
            <w:pPr>
              <w:pStyle w:val="P68B1DB1-TableParagraph14"/>
              <w:spacing w:before="108"/>
              <w:ind w:left="85"/>
              <w:rPr>
                <w:lang w:val="bg-BG"/>
              </w:rPr>
            </w:pPr>
            <w:r>
              <w:rPr>
                <w:lang w:val="bg-BG"/>
              </w:rPr>
              <w:t>Код</w:t>
            </w:r>
          </w:p>
          <w:p w14:paraId="7FE1B34C" w14:textId="66393F98" w:rsidR="00FE5D64" w:rsidRDefault="00E40776">
            <w:pPr>
              <w:pStyle w:val="P68B1DB1-TableParagraph13"/>
              <w:spacing w:before="108"/>
              <w:ind w:left="85"/>
            </w:pPr>
            <w:r>
              <w:t>Код на субекта. За институциите кодът е 20-знаковият буквено-цифров ИКПС. За други субекти кодът е 20-</w:t>
            </w:r>
            <w:r w:rsidR="00502E13">
              <w:rPr>
                <w:lang w:val="bg-BG"/>
              </w:rPr>
              <w:t>знаковият</w:t>
            </w:r>
            <w:r w:rsidR="00502E13">
              <w:t xml:space="preserve"> </w:t>
            </w:r>
            <w:r>
              <w:t>буквено-цифров ИКПС или, ако няма такъв, идентификаторът на ПФИ или код съгласно единна</w:t>
            </w:r>
            <w:r w:rsidR="00272931">
              <w:t xml:space="preserve"> </w:t>
            </w:r>
            <w:r>
              <w:t>кодификация, приложима в Съюза.</w:t>
            </w:r>
          </w:p>
          <w:p w14:paraId="7FE1B34D" w14:textId="3D498A21" w:rsidR="00FE5D64" w:rsidRDefault="00E40776" w:rsidP="006620BE">
            <w:pPr>
              <w:pStyle w:val="P68B1DB1-TableParagraph13"/>
              <w:spacing w:before="108"/>
              <w:ind w:left="85"/>
            </w:pPr>
            <w:r>
              <w:t xml:space="preserve">Кодът е </w:t>
            </w:r>
            <w:r w:rsidR="006620BE">
              <w:rPr>
                <w:lang w:val="bg-BG"/>
              </w:rPr>
              <w:t>уникален</w:t>
            </w:r>
            <w:r w:rsidR="006620BE">
              <w:t xml:space="preserve"> </w:t>
            </w:r>
            <w:r>
              <w:t>и се използва последователно във всички образци. Той трябва винаги да има стойност.</w:t>
            </w:r>
          </w:p>
        </w:tc>
      </w:tr>
      <w:tr w:rsidR="00FE5D64" w14:paraId="7FE1B354" w14:textId="77777777" w:rsidTr="0044331B">
        <w:tc>
          <w:tcPr>
            <w:tcW w:w="0" w:type="auto"/>
            <w:tcBorders>
              <w:top w:val="single" w:sz="4" w:space="0" w:color="1A171C"/>
              <w:left w:val="nil"/>
              <w:bottom w:val="single" w:sz="4" w:space="0" w:color="1A171C"/>
              <w:right w:val="single" w:sz="4" w:space="0" w:color="1A171C"/>
            </w:tcBorders>
          </w:tcPr>
          <w:p w14:paraId="7FE1B34F" w14:textId="77777777" w:rsidR="00FE5D64" w:rsidRDefault="00E40776">
            <w:pPr>
              <w:pStyle w:val="P68B1DB1-TableParagraph13"/>
              <w:spacing w:before="106"/>
              <w:ind w:left="-1"/>
            </w:pPr>
            <w:r>
              <w:t>0025</w:t>
            </w:r>
          </w:p>
        </w:tc>
        <w:tc>
          <w:tcPr>
            <w:tcW w:w="8504" w:type="dxa"/>
            <w:tcBorders>
              <w:top w:val="single" w:sz="4" w:space="0" w:color="1A171C"/>
              <w:left w:val="single" w:sz="4" w:space="0" w:color="1A171C"/>
              <w:bottom w:val="single" w:sz="4" w:space="0" w:color="1A171C"/>
              <w:right w:val="nil"/>
            </w:tcBorders>
          </w:tcPr>
          <w:p w14:paraId="7FE1B350" w14:textId="10E10E31" w:rsidR="00FE5D64" w:rsidRDefault="00E40776">
            <w:pPr>
              <w:pStyle w:val="P68B1DB1-TableParagraph14"/>
              <w:spacing w:before="108"/>
              <w:ind w:left="85"/>
              <w:jc w:val="both"/>
            </w:pPr>
            <w:r>
              <w:t>Вид на кодовете</w:t>
            </w:r>
          </w:p>
          <w:p w14:paraId="7FE1B352" w14:textId="4944DAA5" w:rsidR="00FE5D64" w:rsidRDefault="00E40776">
            <w:pPr>
              <w:pStyle w:val="P68B1DB1-TableParagraph13"/>
              <w:spacing w:before="108"/>
            </w:pPr>
            <w:r>
              <w:t>Избира се измежду следните варианти: „ИКПС</w:t>
            </w:r>
            <w:r w:rsidR="006620BE" w:rsidRPr="001118F2">
              <w:t>”,</w:t>
            </w:r>
            <w:r>
              <w:t xml:space="preserve"> „Код на ПФИ“ или „Вид идентификатор, различен от ИКПС или код на ПФИ</w:t>
            </w:r>
            <w:r w:rsidR="00502E13">
              <w:rPr>
                <w:lang w:val="bg-BG"/>
              </w:rPr>
              <w:t>“</w:t>
            </w:r>
            <w:r>
              <w:t>.</w:t>
            </w:r>
          </w:p>
          <w:p w14:paraId="7FE1B353" w14:textId="77777777" w:rsidR="00FE5D64" w:rsidRDefault="00E40776">
            <w:pPr>
              <w:pStyle w:val="P68B1DB1-TableParagraph13"/>
              <w:spacing w:before="108"/>
              <w:ind w:left="85"/>
              <w:jc w:val="both"/>
              <w:rPr>
                <w:b/>
              </w:rPr>
            </w:pPr>
            <w:r>
              <w:t>Идентифицирането на субектите се извършва по последователен начин във всички образци.</w:t>
            </w:r>
          </w:p>
        </w:tc>
      </w:tr>
      <w:tr w:rsidR="00FE5D64" w14:paraId="7FE1B372" w14:textId="77777777" w:rsidTr="0044331B">
        <w:tc>
          <w:tcPr>
            <w:tcW w:w="0" w:type="auto"/>
            <w:tcBorders>
              <w:top w:val="single" w:sz="4" w:space="0" w:color="1A171C"/>
              <w:left w:val="nil"/>
              <w:bottom w:val="single" w:sz="4" w:space="0" w:color="1A171C"/>
              <w:right w:val="single" w:sz="4" w:space="0" w:color="1A171C"/>
            </w:tcBorders>
          </w:tcPr>
          <w:p w14:paraId="7FE1B359" w14:textId="77777777" w:rsidR="00FE5D64" w:rsidRDefault="00E40776">
            <w:pPr>
              <w:pStyle w:val="P68B1DB1-TableParagraph13"/>
              <w:spacing w:before="106"/>
              <w:ind w:left="-1"/>
            </w:pPr>
            <w:r>
              <w:t>0040</w:t>
            </w:r>
          </w:p>
        </w:tc>
        <w:tc>
          <w:tcPr>
            <w:tcW w:w="8504" w:type="dxa"/>
            <w:tcBorders>
              <w:top w:val="single" w:sz="4" w:space="0" w:color="1A171C"/>
              <w:left w:val="single" w:sz="4" w:space="0" w:color="1A171C"/>
              <w:bottom w:val="single" w:sz="4" w:space="0" w:color="1A171C"/>
              <w:right w:val="nil"/>
            </w:tcBorders>
          </w:tcPr>
          <w:p w14:paraId="7FE1B35A" w14:textId="77777777" w:rsidR="00FE5D64" w:rsidRDefault="00E40776">
            <w:pPr>
              <w:pStyle w:val="P68B1DB1-TableParagraph14"/>
              <w:spacing w:before="108"/>
              <w:ind w:left="85"/>
            </w:pPr>
            <w:r>
              <w:t>Вид субект</w:t>
            </w:r>
          </w:p>
          <w:p w14:paraId="7FE1B35B" w14:textId="0F4AE852" w:rsidR="00FE5D64" w:rsidRDefault="00E40776">
            <w:pPr>
              <w:pStyle w:val="P68B1DB1-TableParagraph13"/>
              <w:spacing w:before="108"/>
              <w:ind w:left="85"/>
            </w:pPr>
            <w:r>
              <w:t xml:space="preserve">Видът субект е един от следните, </w:t>
            </w:r>
            <w:r w:rsidR="006620BE">
              <w:rPr>
                <w:lang w:val="bg-BG"/>
              </w:rPr>
              <w:t>в последователен ред</w:t>
            </w:r>
            <w:r w:rsidR="006620BE" w:rsidRPr="00B34C25">
              <w:rPr>
                <w:lang w:val="bg-BG"/>
              </w:rPr>
              <w:t xml:space="preserve"> по </w:t>
            </w:r>
            <w:r w:rsidR="006620BE">
              <w:rPr>
                <w:lang w:val="bg-BG"/>
              </w:rPr>
              <w:t>приоритетност</w:t>
            </w:r>
            <w:r>
              <w:t>:</w:t>
            </w:r>
          </w:p>
          <w:p w14:paraId="7FE1B35C" w14:textId="77777777" w:rsidR="00FE5D64" w:rsidRDefault="00E40776">
            <w:pPr>
              <w:pStyle w:val="P68B1DB1-TableParagraph13"/>
              <w:numPr>
                <w:ilvl w:val="0"/>
                <w:numId w:val="67"/>
              </w:numPr>
              <w:spacing w:before="108"/>
            </w:pPr>
            <w:r>
              <w:t>„Кредитна институция“;</w:t>
            </w:r>
          </w:p>
          <w:p w14:paraId="7FE1B35D" w14:textId="653C7762" w:rsidR="00FE5D64" w:rsidRDefault="00E40776">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Тази категория обхваща кредитни институции съгласно определението в член 4, параграф 1, точка 1 от Регламент (ЕС) № 575/2013, без да се включват субектите, посочени в член 2, параграф 5 от Директива 2013/36/ЕС</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47BF4CE8" w:rsidR="00FE5D64" w:rsidRDefault="00E40776" w:rsidP="00B34C25">
            <w:pPr>
              <w:pStyle w:val="P68B1DB1-TableParagraph13"/>
              <w:numPr>
                <w:ilvl w:val="0"/>
                <w:numId w:val="67"/>
              </w:numPr>
              <w:spacing w:before="108"/>
            </w:pPr>
            <w:r>
              <w:t xml:space="preserve">„Инвестиционен посредник, към който се прилага изискването за начален капитал, </w:t>
            </w:r>
            <w:r>
              <w:lastRenderedPageBreak/>
              <w:t>предвидено в член 9, параграф 1 от Директива (ЕС) 2019/2034“</w:t>
            </w:r>
          </w:p>
          <w:p w14:paraId="7FE1B35F" w14:textId="10F64630" w:rsidR="00FE5D64" w:rsidRDefault="00E40776">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Тук спадат инвестиционните посредници по смисъла на член 4, параграф 1, точка 22 от Регламент (ЕС)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w:t>
            </w:r>
            <w:r w:rsidR="006620BE">
              <w:rPr>
                <w:rFonts w:ascii="Times New Roman" w:hAnsi="Times New Roman" w:cs="Times New Roman"/>
                <w:color w:val="000000" w:themeColor="text1"/>
                <w:sz w:val="20"/>
                <w:szCs w:val="20"/>
              </w:rPr>
              <w:t xml:space="preserve">, към </w:t>
            </w:r>
            <w:r>
              <w:rPr>
                <w:rFonts w:ascii="Times New Roman" w:hAnsi="Times New Roman" w:cs="Times New Roman"/>
                <w:color w:val="000000" w:themeColor="text1"/>
                <w:sz w:val="20"/>
                <w:szCs w:val="20"/>
              </w:rPr>
              <w:t>които се прилага изискването за начален капитал, предвидено в член 9, параграф 1 от Директива (ЕС)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52EF541C" w:rsidR="00FE5D64" w:rsidRDefault="00E40776" w:rsidP="001118F2">
            <w:pPr>
              <w:pStyle w:val="P68B1DB1-TableParagraph13"/>
              <w:numPr>
                <w:ilvl w:val="0"/>
                <w:numId w:val="67"/>
              </w:numPr>
              <w:spacing w:before="108"/>
            </w:pPr>
            <w:r>
              <w:t>„Инвестиционен посредник, към който не се прилага изискването за начален капитал, предвидено в член 9, параграф 1 от Директива (ЕС) 2019/2034“</w:t>
            </w:r>
          </w:p>
          <w:p w14:paraId="7FE1B361" w14:textId="427AAA9C" w:rsidR="00FE5D64" w:rsidRDefault="00E40776" w:rsidP="001118F2">
            <w:pPr>
              <w:pStyle w:val="P68B1DB1-TableParagraph13"/>
              <w:numPr>
                <w:ilvl w:val="0"/>
                <w:numId w:val="67"/>
              </w:numPr>
              <w:spacing w:before="108"/>
            </w:pPr>
            <w:r>
              <w:t>„Финансова институция“</w:t>
            </w:r>
          </w:p>
          <w:p w14:paraId="7FE1B362" w14:textId="77777777" w:rsidR="00FE5D64" w:rsidRDefault="00E40776">
            <w:pPr>
              <w:pStyle w:val="P68B1DB1-TableParagraph13"/>
              <w:spacing w:before="108"/>
              <w:ind w:left="445"/>
            </w:pPr>
            <w:r>
              <w:t>Тази категория обхваща финансови институции съгласно определението в член 4, параграф 1, точка 26 от Регламент (ЕС) № 575/2013, различни от класифицираните като „холдингови дружества“, както е описано в точка д) по-долу.</w:t>
            </w:r>
          </w:p>
          <w:p w14:paraId="7FE1B363" w14:textId="76F006D9" w:rsidR="00FE5D64" w:rsidRDefault="00E40776" w:rsidP="001118F2">
            <w:pPr>
              <w:pStyle w:val="P68B1DB1-TableParagraph13"/>
              <w:numPr>
                <w:ilvl w:val="0"/>
                <w:numId w:val="67"/>
              </w:numPr>
              <w:spacing w:before="108"/>
            </w:pPr>
            <w:r>
              <w:t>„Холдингово дружество“</w:t>
            </w:r>
          </w:p>
          <w:p w14:paraId="7FE1B364" w14:textId="77777777" w:rsidR="00FE5D64" w:rsidRDefault="00E40776">
            <w:pPr>
              <w:pStyle w:val="P68B1DB1-TableParagraph13"/>
              <w:spacing w:before="108"/>
              <w:ind w:left="445"/>
            </w:pPr>
            <w:r>
              <w:t>Тук спада което и да е от следните дружества:</w:t>
            </w:r>
          </w:p>
          <w:p w14:paraId="7FE1B365" w14:textId="77777777" w:rsidR="00FE5D64" w:rsidRDefault="00E40776">
            <w:pPr>
              <w:pStyle w:val="P68B1DB1-TableParagraph13"/>
              <w:numPr>
                <w:ilvl w:val="0"/>
                <w:numId w:val="68"/>
              </w:numPr>
              <w:spacing w:before="108"/>
            </w:pPr>
            <w:r>
              <w:t>Финансов холдинг съгласно определението в член 4, параграф 1, точка 20 от Регламент (ЕС) № 575/2013;</w:t>
            </w:r>
          </w:p>
          <w:p w14:paraId="7FE1B366" w14:textId="77777777" w:rsidR="00FE5D64" w:rsidRDefault="00E40776">
            <w:pPr>
              <w:pStyle w:val="P68B1DB1-TableParagraph13"/>
              <w:numPr>
                <w:ilvl w:val="0"/>
                <w:numId w:val="68"/>
              </w:numPr>
              <w:spacing w:before="108"/>
            </w:pPr>
            <w:r>
              <w:t>Финансов холдинг със смесена дейност съгласно определението в член 4, параграф 1, точка 21 от Регламент (ЕС) № 575/2013;</w:t>
            </w:r>
          </w:p>
          <w:p w14:paraId="7FE1B367" w14:textId="77777777" w:rsidR="00FE5D64" w:rsidRDefault="00E40776">
            <w:pPr>
              <w:pStyle w:val="P68B1DB1-TableParagraph13"/>
              <w:numPr>
                <w:ilvl w:val="0"/>
                <w:numId w:val="68"/>
              </w:numPr>
              <w:spacing w:before="108"/>
            </w:pPr>
            <w:r>
              <w:t>Холдинг със смесена дейност съгласно определението в член 4, параграф 1, точка 22 от Регламент (ЕС) № 575/2013;</w:t>
            </w:r>
          </w:p>
          <w:p w14:paraId="7FE1B368" w14:textId="77777777" w:rsidR="00FE5D64" w:rsidRDefault="00E40776">
            <w:pPr>
              <w:pStyle w:val="P68B1DB1-TableParagraph13"/>
              <w:numPr>
                <w:ilvl w:val="0"/>
                <w:numId w:val="68"/>
              </w:numPr>
              <w:spacing w:before="108"/>
            </w:pPr>
            <w:r>
              <w:t>Финансов холдинг майка съгласно определението в член 4, параграф 1, точка 30 от Регламент (ЕС) № 575/2013;</w:t>
            </w:r>
          </w:p>
          <w:p w14:paraId="7FE1B369" w14:textId="77777777" w:rsidR="00FE5D64" w:rsidRDefault="00E40776">
            <w:pPr>
              <w:pStyle w:val="P68B1DB1-TableParagraph13"/>
              <w:numPr>
                <w:ilvl w:val="0"/>
                <w:numId w:val="68"/>
              </w:numPr>
              <w:spacing w:before="108"/>
            </w:pPr>
            <w:r>
              <w:t>Финансов холдинг майка от Съюза съгласно определението в член 4, параграф 1, точка 31 от Регламент (ЕС) № 575/2013;</w:t>
            </w:r>
          </w:p>
          <w:p w14:paraId="7FE1B36A" w14:textId="77777777" w:rsidR="00FE5D64" w:rsidRDefault="00E40776">
            <w:pPr>
              <w:pStyle w:val="P68B1DB1-TableParagraph13"/>
              <w:numPr>
                <w:ilvl w:val="0"/>
                <w:numId w:val="68"/>
              </w:numPr>
              <w:spacing w:before="108"/>
            </w:pPr>
            <w:r>
              <w:t>Финансов холдинг майка със смесена дейност в държава членка съгласно определението в член 4, параграф 1, точка 32 от Регламент (ЕС) № 575/2013;</w:t>
            </w:r>
          </w:p>
          <w:p w14:paraId="7FE1B36B" w14:textId="77777777" w:rsidR="00FE5D64" w:rsidRDefault="00E40776">
            <w:pPr>
              <w:pStyle w:val="P68B1DB1-TableParagraph13"/>
              <w:numPr>
                <w:ilvl w:val="0"/>
                <w:numId w:val="68"/>
              </w:numPr>
              <w:spacing w:before="108"/>
            </w:pPr>
            <w:r>
              <w:t>Финансов холдинг майка със смесена дейност от Съюза съгласно определението в член 4, параграф 1, точка 33 от Регламент (ЕС) № 575/2013.</w:t>
            </w:r>
          </w:p>
          <w:p w14:paraId="7FE1B36C" w14:textId="7143AD69" w:rsidR="00FE5D64" w:rsidRDefault="00E40776" w:rsidP="001118F2">
            <w:pPr>
              <w:pStyle w:val="P68B1DB1-TableParagraph13"/>
              <w:numPr>
                <w:ilvl w:val="0"/>
                <w:numId w:val="67"/>
              </w:numPr>
              <w:spacing w:before="108"/>
            </w:pPr>
            <w:r>
              <w:t>„Застрахователно предприятие“</w:t>
            </w:r>
          </w:p>
          <w:p w14:paraId="7FE1B36D" w14:textId="77777777" w:rsidR="00FE5D64" w:rsidRDefault="00E40776">
            <w:pPr>
              <w:pStyle w:val="P68B1DB1-TableParagraph16"/>
              <w:numPr>
                <w:ilvl w:val="0"/>
                <w:numId w:val="68"/>
              </w:numPr>
              <w:spacing w:before="108"/>
              <w:rPr>
                <w:color w:val="000000" w:themeColor="text1"/>
                <w:sz w:val="20"/>
                <w:szCs w:val="20"/>
              </w:rPr>
            </w:pPr>
            <w:r>
              <w:rPr>
                <w:color w:val="000000" w:themeColor="text1"/>
                <w:sz w:val="20"/>
                <w:szCs w:val="20"/>
              </w:rPr>
              <w:t>Тук спадат застрахователните предприятия по смисъла на член 13 от Директива 2009/138/ЕО на Европейския парламент и на Съвета</w:t>
            </w:r>
            <w:r w:rsidRPr="001118F2">
              <w:rPr>
                <w:vertAlign w:val="superscript"/>
              </w:rPr>
              <w:footnoteReference w:id="10"/>
            </w:r>
            <w:r>
              <w:rPr>
                <w:color w:val="000000" w:themeColor="text1"/>
                <w:sz w:val="20"/>
                <w:szCs w:val="20"/>
              </w:rPr>
              <w:t>.</w:t>
            </w:r>
          </w:p>
          <w:p w14:paraId="7FE1B36E" w14:textId="64233FC7" w:rsidR="00FE5D64" w:rsidRDefault="00E40776" w:rsidP="001118F2">
            <w:pPr>
              <w:pStyle w:val="P68B1DB1-TableParagraph13"/>
              <w:numPr>
                <w:ilvl w:val="0"/>
                <w:numId w:val="67"/>
              </w:numPr>
              <w:spacing w:before="108"/>
            </w:pPr>
            <w:r>
              <w:t>„</w:t>
            </w:r>
            <w:r w:rsidR="00E41F75">
              <w:rPr>
                <w:lang w:val="bg-BG"/>
              </w:rPr>
              <w:t>Д</w:t>
            </w:r>
            <w:r>
              <w:t>оставчик на услуги</w:t>
            </w:r>
            <w:r w:rsidR="00E41F75">
              <w:rPr>
                <w:lang w:val="bg-BG"/>
              </w:rPr>
              <w:t xml:space="preserve"> от значение</w:t>
            </w:r>
            <w:r>
              <w:t>“ в рамките на групата, свързан с критични функции и/или значи</w:t>
            </w:r>
            <w:r w:rsidR="00E41F75">
              <w:rPr>
                <w:lang w:val="bg-BG"/>
              </w:rPr>
              <w:t>ми</w:t>
            </w:r>
            <w:r>
              <w:t xml:space="preserve"> икономически операции.</w:t>
            </w:r>
          </w:p>
          <w:p w14:paraId="7FE1B370" w14:textId="77777777" w:rsidR="00FE5D64" w:rsidRDefault="00FE5D64">
            <w:pPr>
              <w:pStyle w:val="TableParagraph"/>
              <w:spacing w:before="108"/>
              <w:rPr>
                <w:rFonts w:ascii="Times New Roman" w:hAnsi="Times New Roman" w:cs="Times New Roman"/>
                <w:color w:val="000000" w:themeColor="text1"/>
                <w:sz w:val="20"/>
                <w:szCs w:val="20"/>
              </w:rPr>
            </w:pPr>
          </w:p>
          <w:p w14:paraId="7FE1B371" w14:textId="3752A7B6" w:rsidR="00FE5D64" w:rsidRDefault="00E40776" w:rsidP="001118F2">
            <w:pPr>
              <w:pStyle w:val="P68B1DB1-TableParagraph16"/>
              <w:numPr>
                <w:ilvl w:val="0"/>
                <w:numId w:val="67"/>
              </w:numPr>
              <w:spacing w:before="108"/>
              <w:rPr>
                <w:color w:val="000000" w:themeColor="text1"/>
                <w:sz w:val="20"/>
                <w:szCs w:val="20"/>
              </w:rPr>
            </w:pPr>
            <w:r>
              <w:rPr>
                <w:color w:val="000000" w:themeColor="text1"/>
                <w:sz w:val="20"/>
                <w:szCs w:val="20"/>
              </w:rPr>
              <w:t>„Друг вид субект“, когато субектът не попада в никоя от посочените по-горе категории.</w:t>
            </w:r>
            <w:r>
              <w:br/>
            </w:r>
            <w:r>
              <w:rPr>
                <w:color w:val="000000" w:themeColor="text1"/>
                <w:sz w:val="20"/>
                <w:szCs w:val="20"/>
              </w:rPr>
              <w:t>(т.е. важен доставчик на финансиране)</w:t>
            </w:r>
          </w:p>
        </w:tc>
      </w:tr>
      <w:tr w:rsidR="00FE5D64" w14:paraId="7FE1B376" w14:textId="77777777" w:rsidTr="0044331B">
        <w:tc>
          <w:tcPr>
            <w:tcW w:w="0" w:type="auto"/>
            <w:tcBorders>
              <w:top w:val="single" w:sz="4" w:space="0" w:color="1A171C"/>
              <w:left w:val="nil"/>
              <w:bottom w:val="single" w:sz="4" w:space="0" w:color="1A171C"/>
              <w:right w:val="single" w:sz="4" w:space="0" w:color="1A171C"/>
            </w:tcBorders>
          </w:tcPr>
          <w:p w14:paraId="7FE1B373" w14:textId="77777777" w:rsidR="00FE5D64" w:rsidRDefault="00E40776">
            <w:pPr>
              <w:pStyle w:val="P68B1DB1-TableParagraph13"/>
              <w:spacing w:before="106"/>
              <w:ind w:left="-1"/>
            </w:pPr>
            <w:r>
              <w:lastRenderedPageBreak/>
              <w:t>0050</w:t>
            </w:r>
          </w:p>
        </w:tc>
        <w:tc>
          <w:tcPr>
            <w:tcW w:w="8504" w:type="dxa"/>
            <w:tcBorders>
              <w:top w:val="single" w:sz="4" w:space="0" w:color="1A171C"/>
              <w:left w:val="single" w:sz="4" w:space="0" w:color="1A171C"/>
              <w:bottom w:val="single" w:sz="4" w:space="0" w:color="1A171C"/>
              <w:right w:val="nil"/>
            </w:tcBorders>
          </w:tcPr>
          <w:p w14:paraId="7FE1B374" w14:textId="77777777" w:rsidR="00FE5D64" w:rsidRDefault="00E40776">
            <w:pPr>
              <w:pStyle w:val="P68B1DB1-TableParagraph14"/>
              <w:spacing w:before="108"/>
              <w:ind w:left="85"/>
            </w:pPr>
            <w:r>
              <w:t>Държава</w:t>
            </w:r>
          </w:p>
          <w:p w14:paraId="7FE1B375" w14:textId="77777777" w:rsidR="00FE5D64" w:rsidRDefault="00E40776">
            <w:pPr>
              <w:pStyle w:val="P68B1DB1-TableParagraph13"/>
              <w:spacing w:before="108"/>
              <w:ind w:left="85"/>
              <w:jc w:val="both"/>
            </w:pPr>
            <w:r>
              <w:t>Код на държавата (по ISO 3166—1-alpha-2), в която е учреден субектът; тя може да е държава членка или държава извън ЕС.</w:t>
            </w:r>
          </w:p>
        </w:tc>
      </w:tr>
      <w:tr w:rsidR="00FE5D64" w14:paraId="7FE1B37A" w14:textId="77777777" w:rsidTr="0044331B">
        <w:tc>
          <w:tcPr>
            <w:tcW w:w="0" w:type="auto"/>
            <w:tcBorders>
              <w:top w:val="single" w:sz="4" w:space="0" w:color="1A171C"/>
              <w:left w:val="nil"/>
              <w:bottom w:val="single" w:sz="4" w:space="0" w:color="1A171C"/>
              <w:right w:val="single" w:sz="4" w:space="0" w:color="1A171C"/>
            </w:tcBorders>
          </w:tcPr>
          <w:p w14:paraId="7FE1B377" w14:textId="77777777" w:rsidR="00FE5D64" w:rsidRDefault="00E40776">
            <w:pPr>
              <w:pStyle w:val="P68B1DB1-TableParagraph13"/>
              <w:spacing w:before="106"/>
              <w:ind w:left="-1"/>
            </w:pPr>
            <w:r>
              <w:lastRenderedPageBreak/>
              <w:t>0055</w:t>
            </w:r>
          </w:p>
        </w:tc>
        <w:tc>
          <w:tcPr>
            <w:tcW w:w="8504" w:type="dxa"/>
            <w:tcBorders>
              <w:top w:val="single" w:sz="4" w:space="0" w:color="1A171C"/>
              <w:left w:val="single" w:sz="4" w:space="0" w:color="1A171C"/>
              <w:bottom w:val="single" w:sz="4" w:space="0" w:color="1A171C"/>
              <w:right w:val="nil"/>
            </w:tcBorders>
          </w:tcPr>
          <w:p w14:paraId="7FE1B378" w14:textId="25A8A86F" w:rsidR="00FE5D64" w:rsidRDefault="00E40776">
            <w:pPr>
              <w:pStyle w:val="P68B1DB1-TableParagraph14"/>
              <w:spacing w:before="108"/>
              <w:ind w:left="85"/>
            </w:pPr>
            <w:r>
              <w:t xml:space="preserve">ИКПС на </w:t>
            </w:r>
            <w:r w:rsidR="009E6BE0">
              <w:rPr>
                <w:lang w:val="bg-BG"/>
              </w:rPr>
              <w:t>субекта за преструктуриране в</w:t>
            </w:r>
            <w:r>
              <w:t xml:space="preserve"> </w:t>
            </w:r>
            <w:r w:rsidR="00A86BFA">
              <w:rPr>
                <w:lang w:val="bg-BG"/>
              </w:rPr>
              <w:t>г</w:t>
            </w:r>
            <w:r>
              <w:t>рупата за преструктуриране</w:t>
            </w:r>
          </w:p>
          <w:p w14:paraId="7FE1B379" w14:textId="5252728E" w:rsidR="00FE5D64" w:rsidRDefault="00E40776">
            <w:pPr>
              <w:pStyle w:val="P68B1DB1-TableParagraph13"/>
              <w:spacing w:before="108"/>
              <w:ind w:left="85"/>
              <w:rPr>
                <w:bCs/>
              </w:rPr>
            </w:pPr>
            <w:r>
              <w:t xml:space="preserve">ИКПС, идентифициращ </w:t>
            </w:r>
            <w:r w:rsidR="009E6BE0">
              <w:rPr>
                <w:lang w:val="bg-BG"/>
              </w:rPr>
              <w:t xml:space="preserve">субекта за преструктуриране, </w:t>
            </w:r>
            <w:r w:rsidR="004C5154">
              <w:rPr>
                <w:lang w:val="bg-BG"/>
              </w:rPr>
              <w:t xml:space="preserve">т.нар. </w:t>
            </w:r>
            <w:r>
              <w:t>входната точка</w:t>
            </w:r>
            <w:r w:rsidR="004C5154">
              <w:rPr>
                <w:lang w:val="bg-BG"/>
              </w:rPr>
              <w:t xml:space="preserve"> (</w:t>
            </w:r>
            <w:r w:rsidR="004C5154">
              <w:rPr>
                <w:lang w:val="en-US"/>
              </w:rPr>
              <w:t>point</w:t>
            </w:r>
            <w:r w:rsidR="004C5154" w:rsidRPr="001118F2">
              <w:t xml:space="preserve"> </w:t>
            </w:r>
            <w:r w:rsidR="004C5154">
              <w:rPr>
                <w:lang w:val="en-US"/>
              </w:rPr>
              <w:t>of</w:t>
            </w:r>
            <w:r w:rsidR="004C5154" w:rsidRPr="001118F2">
              <w:t xml:space="preserve"> </w:t>
            </w:r>
            <w:r w:rsidR="004C5154">
              <w:rPr>
                <w:lang w:val="en-US"/>
              </w:rPr>
              <w:t>entry</w:t>
            </w:r>
            <w:r w:rsidR="004C5154">
              <w:rPr>
                <w:lang w:val="bg-BG"/>
              </w:rPr>
              <w:t>),</w:t>
            </w:r>
            <w:r>
              <w:t xml:space="preserve"> </w:t>
            </w:r>
            <w:r w:rsidR="004C5154">
              <w:rPr>
                <w:lang w:val="bg-BG"/>
              </w:rPr>
              <w:t>в</w:t>
            </w:r>
            <w:r w:rsidR="004C5154">
              <w:t xml:space="preserve"> </w:t>
            </w:r>
            <w:r>
              <w:t>групата за преструктуриране, към която принадлежи субектът, посочен в точка 0010.</w:t>
            </w:r>
          </w:p>
        </w:tc>
      </w:tr>
      <w:tr w:rsidR="00FE5D64" w14:paraId="7FE1B386" w14:textId="77777777" w:rsidTr="0044331B">
        <w:tc>
          <w:tcPr>
            <w:tcW w:w="0" w:type="auto"/>
            <w:tcBorders>
              <w:top w:val="single" w:sz="4" w:space="0" w:color="1A171C"/>
              <w:left w:val="nil"/>
              <w:bottom w:val="single" w:sz="4" w:space="0" w:color="1A171C"/>
              <w:right w:val="single" w:sz="4" w:space="0" w:color="1A171C"/>
            </w:tcBorders>
          </w:tcPr>
          <w:p w14:paraId="7FE1B381" w14:textId="77777777" w:rsidR="00FE5D64" w:rsidRDefault="00E40776">
            <w:pPr>
              <w:pStyle w:val="P68B1DB1-TableParagraph13"/>
              <w:spacing w:before="106"/>
              <w:ind w:left="-1"/>
            </w:pPr>
            <w:r>
              <w:t>0070</w:t>
            </w:r>
          </w:p>
        </w:tc>
        <w:tc>
          <w:tcPr>
            <w:tcW w:w="8504" w:type="dxa"/>
            <w:tcBorders>
              <w:top w:val="single" w:sz="4" w:space="0" w:color="1A171C"/>
              <w:left w:val="single" w:sz="4" w:space="0" w:color="1A171C"/>
              <w:bottom w:val="single" w:sz="4" w:space="0" w:color="1A171C"/>
              <w:right w:val="nil"/>
            </w:tcBorders>
          </w:tcPr>
          <w:p w14:paraId="7FE1B382" w14:textId="77777777" w:rsidR="00FE5D64" w:rsidRDefault="00E40776">
            <w:pPr>
              <w:pStyle w:val="P68B1DB1-TableParagraph14"/>
              <w:spacing w:before="108"/>
              <w:ind w:left="85"/>
              <w:jc w:val="both"/>
              <w:rPr>
                <w:bCs/>
              </w:rPr>
            </w:pPr>
            <w:r>
              <w:t>Освобождаване от изискванията съгласно член 7 от РКИ</w:t>
            </w:r>
          </w:p>
          <w:p w14:paraId="7FE1B383" w14:textId="40018F52" w:rsidR="00FE5D64" w:rsidRDefault="009A6198">
            <w:pPr>
              <w:pStyle w:val="P68B1DB1-TableParagraph13"/>
              <w:spacing w:before="108"/>
              <w:ind w:left="85"/>
              <w:jc w:val="both"/>
            </w:pPr>
            <w:r>
              <w:rPr>
                <w:lang w:val="bg-BG"/>
              </w:rPr>
              <w:t>Посочват се</w:t>
            </w:r>
            <w:r>
              <w:t xml:space="preserve"> </w:t>
            </w:r>
            <w:r w:rsidR="00E40776">
              <w:t>следните съкращения:</w:t>
            </w:r>
          </w:p>
          <w:p w14:paraId="7FE1B384" w14:textId="45ACAA54" w:rsidR="00FE5D64" w:rsidRDefault="00E40776">
            <w:pPr>
              <w:pStyle w:val="P68B1DB1-TableParagraph13"/>
              <w:spacing w:before="108"/>
              <w:ind w:left="85"/>
              <w:jc w:val="both"/>
            </w:pPr>
            <w:r>
              <w:t>Да — ако съгласно член 7 от Регламент (ЕС) № 575/2013 компетентният орган е освободил дадено предприятие от изискванията на член 6, параграф 1 от Регламент (ЕС) № 575/2013;</w:t>
            </w:r>
          </w:p>
          <w:p w14:paraId="7FE1B385" w14:textId="7EC01EC3" w:rsidR="00FE5D64" w:rsidRDefault="00E40776">
            <w:pPr>
              <w:pStyle w:val="P68B1DB1-TableParagraph13"/>
              <w:spacing w:before="108"/>
              <w:ind w:left="85"/>
              <w:jc w:val="both"/>
              <w:rPr>
                <w:b/>
              </w:rPr>
            </w:pPr>
            <w:r>
              <w:t>Не — в противен случай.</w:t>
            </w:r>
          </w:p>
        </w:tc>
      </w:tr>
      <w:tr w:rsidR="001A79CE" w14:paraId="7FE1B38D" w14:textId="77777777" w:rsidTr="003220B9">
        <w:tc>
          <w:tcPr>
            <w:tcW w:w="852" w:type="dxa"/>
            <w:tcBorders>
              <w:top w:val="single" w:sz="4" w:space="0" w:color="1A171C"/>
              <w:left w:val="nil"/>
              <w:bottom w:val="single" w:sz="4" w:space="0" w:color="1A171C"/>
              <w:right w:val="single" w:sz="4" w:space="0" w:color="1A171C"/>
            </w:tcBorders>
          </w:tcPr>
          <w:p w14:paraId="7FE1B387" w14:textId="77777777" w:rsidR="00FE5D64" w:rsidRDefault="00E40776">
            <w:pPr>
              <w:pStyle w:val="P68B1DB1-TableParagraph13"/>
            </w:pPr>
            <w:r>
              <w:t>0080</w:t>
            </w:r>
          </w:p>
        </w:tc>
        <w:tc>
          <w:tcPr>
            <w:tcW w:w="8504" w:type="dxa"/>
            <w:tcBorders>
              <w:top w:val="single" w:sz="4" w:space="0" w:color="1A171C"/>
              <w:left w:val="single" w:sz="4" w:space="0" w:color="1A171C"/>
              <w:bottom w:val="single" w:sz="4" w:space="0" w:color="1A171C"/>
              <w:right w:val="nil"/>
            </w:tcBorders>
          </w:tcPr>
          <w:p w14:paraId="7FE1B388" w14:textId="77777777" w:rsidR="00FE5D64" w:rsidRDefault="00E40776">
            <w:pPr>
              <w:pStyle w:val="P68B1DB1-TableParagraph14"/>
              <w:jc w:val="both"/>
              <w:rPr>
                <w:bCs/>
              </w:rPr>
            </w:pPr>
            <w:r>
              <w:t>Освобождаване от изискванията съгласно член 8 от РКИ</w:t>
            </w:r>
          </w:p>
          <w:p w14:paraId="7FE1B389" w14:textId="77777777" w:rsidR="00FE5D64" w:rsidRDefault="00FE5D64">
            <w:pPr>
              <w:pStyle w:val="TableParagraph"/>
              <w:jc w:val="both"/>
              <w:rPr>
                <w:rFonts w:ascii="Times New Roman" w:hAnsi="Times New Roman" w:cs="Times New Roman"/>
                <w:b/>
                <w:bCs/>
                <w:color w:val="000000" w:themeColor="text1"/>
                <w:sz w:val="20"/>
                <w:szCs w:val="20"/>
              </w:rPr>
            </w:pPr>
          </w:p>
          <w:p w14:paraId="7FE1B38A" w14:textId="16E41F8C" w:rsidR="00FE5D64" w:rsidRDefault="009A6198">
            <w:pPr>
              <w:pStyle w:val="P68B1DB1-TableParagraph13"/>
              <w:spacing w:before="108"/>
              <w:ind w:left="85"/>
              <w:jc w:val="both"/>
            </w:pPr>
            <w:r>
              <w:rPr>
                <w:lang w:val="bg-BG"/>
              </w:rPr>
              <w:t>Посочват се</w:t>
            </w:r>
            <w:r>
              <w:t xml:space="preserve"> </w:t>
            </w:r>
            <w:r w:rsidR="00E40776">
              <w:t>следните съкращения:</w:t>
            </w:r>
          </w:p>
          <w:p w14:paraId="7FE1B38B" w14:textId="489B00C5" w:rsidR="00FE5D64" w:rsidRDefault="00E40776">
            <w:pPr>
              <w:pStyle w:val="P68B1DB1-TableParagraph13"/>
              <w:spacing w:before="108"/>
              <w:ind w:left="85"/>
              <w:jc w:val="both"/>
            </w:pPr>
            <w:r>
              <w:t xml:space="preserve">Да — ако съгласно член 8 от Регламент (ЕС) № 575/2013 компетентният орган е освободил дадено дружество от изискванията на </w:t>
            </w:r>
            <w:r w:rsidR="009A6198">
              <w:rPr>
                <w:lang w:val="bg-BG"/>
              </w:rPr>
              <w:t>шеста част</w:t>
            </w:r>
            <w:r>
              <w:t xml:space="preserve"> от Регламент (ЕС) № 575/2013;</w:t>
            </w:r>
          </w:p>
          <w:p w14:paraId="7FE1B38C" w14:textId="08CEF953" w:rsidR="00FE5D64" w:rsidRDefault="00E40776">
            <w:pPr>
              <w:pStyle w:val="P68B1DB1-TableParagraph13"/>
              <w:jc w:val="both"/>
              <w:rPr>
                <w:b/>
                <w:bCs/>
              </w:rPr>
            </w:pPr>
            <w:r>
              <w:t>Не — в противен случай.</w:t>
            </w:r>
          </w:p>
        </w:tc>
      </w:tr>
      <w:tr w:rsidR="001A79CE" w14:paraId="7FE1B395" w14:textId="77777777" w:rsidTr="003220B9">
        <w:tc>
          <w:tcPr>
            <w:tcW w:w="852" w:type="dxa"/>
            <w:tcBorders>
              <w:top w:val="single" w:sz="4" w:space="0" w:color="1A171C"/>
              <w:left w:val="nil"/>
              <w:bottom w:val="single" w:sz="4" w:space="0" w:color="1A171C"/>
              <w:right w:val="single" w:sz="4" w:space="0" w:color="1A171C"/>
            </w:tcBorders>
          </w:tcPr>
          <w:p w14:paraId="7FE1B38E" w14:textId="77777777" w:rsidR="00FE5D64" w:rsidRDefault="00E40776">
            <w:pPr>
              <w:pStyle w:val="P68B1DB1-TableParagraph13"/>
            </w:pPr>
            <w:r>
              <w:t>0090</w:t>
            </w:r>
          </w:p>
        </w:tc>
        <w:tc>
          <w:tcPr>
            <w:tcW w:w="8504" w:type="dxa"/>
            <w:tcBorders>
              <w:top w:val="single" w:sz="4" w:space="0" w:color="1A171C"/>
              <w:left w:val="single" w:sz="4" w:space="0" w:color="1A171C"/>
              <w:bottom w:val="single" w:sz="4" w:space="0" w:color="1A171C"/>
              <w:right w:val="nil"/>
            </w:tcBorders>
          </w:tcPr>
          <w:p w14:paraId="7FE1B38F" w14:textId="7D796745" w:rsidR="00FE5D64" w:rsidRDefault="00E40776">
            <w:pPr>
              <w:pStyle w:val="P68B1DB1-TableParagraph14"/>
              <w:jc w:val="both"/>
              <w:rPr>
                <w:bCs/>
              </w:rPr>
            </w:pPr>
            <w:r>
              <w:t xml:space="preserve">При спазване на член 9 на </w:t>
            </w:r>
            <w:r w:rsidR="002C1525">
              <w:rPr>
                <w:lang w:val="bg-BG"/>
              </w:rPr>
              <w:t>РКИ</w:t>
            </w:r>
            <w:r>
              <w:t>,</w:t>
            </w:r>
          </w:p>
          <w:p w14:paraId="7FE1B390" w14:textId="77777777" w:rsidR="00FE5D64" w:rsidRPr="00E41F75" w:rsidRDefault="00FE5D64" w:rsidP="00E41F75">
            <w:pPr>
              <w:pStyle w:val="TableParagraph"/>
              <w:jc w:val="both"/>
              <w:rPr>
                <w:rFonts w:ascii="Times New Roman" w:hAnsi="Times New Roman"/>
                <w:b/>
                <w:color w:val="000000" w:themeColor="text1"/>
                <w:sz w:val="20"/>
              </w:rPr>
            </w:pPr>
          </w:p>
          <w:p w14:paraId="7FE1B391" w14:textId="357BBCE0" w:rsidR="00FE5D64" w:rsidRDefault="004075DC">
            <w:pPr>
              <w:pStyle w:val="P68B1DB1-TableParagraph13"/>
              <w:spacing w:before="108"/>
              <w:ind w:left="85"/>
              <w:jc w:val="both"/>
            </w:pPr>
            <w:r>
              <w:rPr>
                <w:lang w:val="bg-BG"/>
              </w:rPr>
              <w:t>Посочват се</w:t>
            </w:r>
            <w:r>
              <w:t xml:space="preserve"> </w:t>
            </w:r>
            <w:r w:rsidR="00E40776">
              <w:t>следните съкращения:</w:t>
            </w:r>
          </w:p>
          <w:p w14:paraId="7FE1B392" w14:textId="30A38992" w:rsidR="00FE5D64" w:rsidRDefault="00E40776">
            <w:pPr>
              <w:pStyle w:val="P68B1DB1-TableParagraph13"/>
              <w:spacing w:before="108"/>
              <w:ind w:left="85"/>
              <w:jc w:val="both"/>
            </w:pPr>
            <w:r>
              <w:t>Да — ако субектът отговаря на условията, предвидени в член 7, параграф 1, букви в) и г), и неговите съществени експозиции или съществени задължения са към институцията майка в съответствие с член 8 от Регламент (ЕС) № 575/2013 и следователно са включени в изчисляването на изискването на институцията майка съгласно член 6, параграф 1.</w:t>
            </w:r>
          </w:p>
          <w:p w14:paraId="7FE1B393" w14:textId="3DEE1F4E" w:rsidR="00FE5D64" w:rsidRPr="002C1525" w:rsidRDefault="00E40776">
            <w:pPr>
              <w:pStyle w:val="P68B1DB1-TableParagraph13"/>
              <w:jc w:val="both"/>
              <w:rPr>
                <w:b/>
                <w:bCs/>
              </w:rPr>
            </w:pPr>
            <w:r>
              <w:t>Не — в противен случай.</w:t>
            </w:r>
          </w:p>
          <w:p w14:paraId="7FE1B394" w14:textId="77777777" w:rsidR="00FE5D64" w:rsidRDefault="00FE5D64">
            <w:pPr>
              <w:pStyle w:val="TableParagraph"/>
              <w:jc w:val="both"/>
              <w:rPr>
                <w:rFonts w:ascii="Times New Roman" w:hAnsi="Times New Roman" w:cs="Times New Roman"/>
                <w:b/>
                <w:bCs/>
                <w:color w:val="000000" w:themeColor="text1"/>
                <w:sz w:val="20"/>
                <w:szCs w:val="20"/>
              </w:rPr>
            </w:pPr>
          </w:p>
        </w:tc>
      </w:tr>
      <w:tr w:rsidR="00FE5D64" w14:paraId="7FE1B39B" w14:textId="77777777" w:rsidTr="004075DC">
        <w:tc>
          <w:tcPr>
            <w:tcW w:w="0" w:type="auto"/>
            <w:tcBorders>
              <w:top w:val="single" w:sz="4" w:space="0" w:color="1A171C"/>
              <w:left w:val="nil"/>
              <w:bottom w:val="single" w:sz="4" w:space="0" w:color="1A171C"/>
              <w:right w:val="single" w:sz="4" w:space="0" w:color="1A171C"/>
            </w:tcBorders>
          </w:tcPr>
          <w:p w14:paraId="7FE1B396" w14:textId="5DE190C9" w:rsidR="00FE5D64" w:rsidRDefault="00E40776">
            <w:pPr>
              <w:pStyle w:val="P68B1DB1-TableParagraph13"/>
              <w:spacing w:before="106"/>
              <w:ind w:left="-1"/>
            </w:pPr>
            <w:r>
              <w:t>0100</w:t>
            </w:r>
          </w:p>
        </w:tc>
        <w:tc>
          <w:tcPr>
            <w:tcW w:w="8504" w:type="dxa"/>
            <w:tcBorders>
              <w:top w:val="single" w:sz="4" w:space="0" w:color="1A171C"/>
              <w:left w:val="single" w:sz="4" w:space="0" w:color="1A171C"/>
              <w:bottom w:val="single" w:sz="4" w:space="0" w:color="1A171C"/>
              <w:right w:val="nil"/>
            </w:tcBorders>
          </w:tcPr>
          <w:p w14:paraId="7FE1B397" w14:textId="77777777" w:rsidR="00FE5D64" w:rsidRDefault="00E40776">
            <w:pPr>
              <w:pStyle w:val="P68B1DB1-TableParagraph14"/>
              <w:spacing w:before="108"/>
              <w:ind w:left="85"/>
              <w:jc w:val="both"/>
            </w:pPr>
            <w:r>
              <w:t>Освобождаване от изискванията съгласно член 10 от РКИ</w:t>
            </w:r>
          </w:p>
          <w:p w14:paraId="7FE1B398" w14:textId="6709AC1F" w:rsidR="00FE5D64" w:rsidRDefault="004075DC">
            <w:pPr>
              <w:pStyle w:val="P68B1DB1-TableParagraph13"/>
              <w:spacing w:before="108"/>
              <w:ind w:left="85"/>
              <w:jc w:val="both"/>
            </w:pPr>
            <w:r>
              <w:rPr>
                <w:lang w:val="bg-BG"/>
              </w:rPr>
              <w:t>Посочват се</w:t>
            </w:r>
            <w:r>
              <w:t xml:space="preserve"> </w:t>
            </w:r>
            <w:r w:rsidR="00E40776">
              <w:t>следните съкращения:</w:t>
            </w:r>
          </w:p>
          <w:p w14:paraId="7FE1B399" w14:textId="791D1DCA" w:rsidR="00FE5D64" w:rsidRDefault="00E40776">
            <w:pPr>
              <w:pStyle w:val="P68B1DB1-TableParagraph13"/>
              <w:spacing w:before="108"/>
              <w:ind w:left="85"/>
              <w:jc w:val="both"/>
            </w:pPr>
            <w:r>
              <w:t xml:space="preserve">Да — ако </w:t>
            </w:r>
            <w:r w:rsidR="004075DC">
              <w:rPr>
                <w:lang w:val="bg-BG"/>
              </w:rPr>
              <w:t>съгласно</w:t>
            </w:r>
            <w:r>
              <w:t xml:space="preserve"> член 10 от Регламент (ЕС) № 575/2013 компетентният орган е приложил освобождаване от изискванията.</w:t>
            </w:r>
          </w:p>
          <w:p w14:paraId="7FE1B39A" w14:textId="2A6A5A7B" w:rsidR="00FE5D64" w:rsidRDefault="00E40776">
            <w:pPr>
              <w:pStyle w:val="P68B1DB1-TableParagraph13"/>
              <w:spacing w:before="108"/>
              <w:ind w:left="85"/>
              <w:jc w:val="both"/>
              <w:rPr>
                <w:b/>
              </w:rPr>
            </w:pPr>
            <w:r>
              <w:t>Не — в противен случай.</w:t>
            </w:r>
          </w:p>
        </w:tc>
      </w:tr>
      <w:tr w:rsidR="00FE5D64" w14:paraId="7FE1B39F" w14:textId="77777777" w:rsidTr="004075DC">
        <w:tc>
          <w:tcPr>
            <w:tcW w:w="0" w:type="auto"/>
            <w:tcBorders>
              <w:top w:val="single" w:sz="4" w:space="0" w:color="1A171C"/>
              <w:left w:val="nil"/>
              <w:bottom w:val="single" w:sz="4" w:space="0" w:color="1A171C"/>
              <w:right w:val="single" w:sz="4" w:space="0" w:color="1A171C"/>
            </w:tcBorders>
          </w:tcPr>
          <w:p w14:paraId="7FE1B39C" w14:textId="317C5200" w:rsidR="00FE5D64" w:rsidRDefault="00E40776">
            <w:pPr>
              <w:pStyle w:val="P68B1DB1-TableParagraph13"/>
              <w:spacing w:before="106"/>
              <w:ind w:left="-1"/>
            </w:pPr>
            <w:r>
              <w:t>0110</w:t>
            </w:r>
          </w:p>
        </w:tc>
        <w:tc>
          <w:tcPr>
            <w:tcW w:w="8504" w:type="dxa"/>
            <w:tcBorders>
              <w:top w:val="single" w:sz="4" w:space="0" w:color="1A171C"/>
              <w:left w:val="single" w:sz="4" w:space="0" w:color="1A171C"/>
              <w:bottom w:val="single" w:sz="4" w:space="0" w:color="1A171C"/>
              <w:right w:val="nil"/>
            </w:tcBorders>
          </w:tcPr>
          <w:p w14:paraId="7FE1B39D" w14:textId="77777777" w:rsidR="00FE5D64" w:rsidRDefault="00E40776">
            <w:pPr>
              <w:pStyle w:val="P68B1DB1-TableParagraph14"/>
              <w:spacing w:before="108"/>
              <w:jc w:val="both"/>
            </w:pPr>
            <w:r>
              <w:t>Общо активи</w:t>
            </w:r>
          </w:p>
          <w:p w14:paraId="7FE1B39E" w14:textId="77777777" w:rsidR="00FE5D64" w:rsidRDefault="00E40776">
            <w:pPr>
              <w:pStyle w:val="P68B1DB1-TableParagraph13"/>
              <w:spacing w:before="108"/>
              <w:jc w:val="both"/>
              <w:rPr>
                <w:b/>
              </w:rPr>
            </w:pPr>
            <w:r>
              <w:t>Общите активи съгласно определеното за FINREP {F 01.01;380,010}</w:t>
            </w:r>
          </w:p>
        </w:tc>
      </w:tr>
      <w:tr w:rsidR="00FE5D64" w14:paraId="7FE1B3AC" w14:textId="77777777" w:rsidTr="004075DC">
        <w:tc>
          <w:tcPr>
            <w:tcW w:w="0" w:type="auto"/>
            <w:tcBorders>
              <w:top w:val="single" w:sz="4" w:space="0" w:color="1A171C"/>
              <w:left w:val="nil"/>
              <w:bottom w:val="single" w:sz="4" w:space="0" w:color="1A171C"/>
              <w:right w:val="single" w:sz="4" w:space="0" w:color="1A171C"/>
            </w:tcBorders>
          </w:tcPr>
          <w:p w14:paraId="7FE1B3A8" w14:textId="69999557" w:rsidR="00FE5D64" w:rsidRDefault="00E40776">
            <w:pPr>
              <w:pStyle w:val="P68B1DB1-TableParagraph13"/>
              <w:spacing w:before="106"/>
              <w:ind w:left="-1"/>
            </w:pPr>
            <w:r>
              <w:t>0150</w:t>
            </w:r>
          </w:p>
        </w:tc>
        <w:tc>
          <w:tcPr>
            <w:tcW w:w="8504" w:type="dxa"/>
            <w:tcBorders>
              <w:top w:val="single" w:sz="4" w:space="0" w:color="1A171C"/>
              <w:left w:val="single" w:sz="4" w:space="0" w:color="1A171C"/>
              <w:bottom w:val="single" w:sz="4" w:space="0" w:color="1A171C"/>
              <w:right w:val="nil"/>
            </w:tcBorders>
          </w:tcPr>
          <w:p w14:paraId="7FE1B3A9" w14:textId="77777777" w:rsidR="00FE5D64" w:rsidRDefault="00E40776">
            <w:pPr>
              <w:pStyle w:val="P68B1DB1-TableParagraph14"/>
              <w:spacing w:before="108"/>
              <w:jc w:val="both"/>
            </w:pPr>
            <w:r>
              <w:t>Обща рискова експозиция</w:t>
            </w:r>
          </w:p>
          <w:p w14:paraId="57423084" w14:textId="75739287" w:rsidR="002C1525" w:rsidRDefault="00E40776">
            <w:pPr>
              <w:pStyle w:val="P68B1DB1-TableParagraph13"/>
              <w:spacing w:before="108"/>
              <w:jc w:val="both"/>
            </w:pPr>
            <w:r>
              <w:t xml:space="preserve">Обща рискова експозиция съгласно определеното за COREP (OF): </w:t>
            </w:r>
            <w:r w:rsidR="002C1525" w:rsidRPr="001118F2">
              <w:rPr>
                <w:spacing w:val="-2"/>
                <w:w w:val="95"/>
              </w:rPr>
              <w:t>{</w:t>
            </w:r>
            <w:r w:rsidR="002C1525" w:rsidRPr="004075DC">
              <w:rPr>
                <w:spacing w:val="-2"/>
                <w:w w:val="95"/>
                <w:lang w:val="en-GB"/>
              </w:rPr>
              <w:t>C</w:t>
            </w:r>
            <w:r w:rsidR="002C1525" w:rsidRPr="001118F2">
              <w:rPr>
                <w:spacing w:val="-2"/>
                <w:w w:val="95"/>
              </w:rPr>
              <w:t xml:space="preserve"> 02.00;010;010}</w:t>
            </w:r>
          </w:p>
          <w:p w14:paraId="7FE1B3AB" w14:textId="40F488FE" w:rsidR="004075DC" w:rsidRPr="00887877" w:rsidRDefault="004075DC" w:rsidP="00251181">
            <w:pPr>
              <w:pStyle w:val="P68B1DB1-TableParagraph13"/>
              <w:spacing w:before="108"/>
              <w:jc w:val="both"/>
            </w:pPr>
            <w:r w:rsidRPr="00887877">
              <w:t>Тази позиция не се отчита за субекти, които не са институции, и субекти, ползващи се от освобождаване в съответствие с член 7 или член 10 от Регламент (ЕС) № 575/2013.</w:t>
            </w:r>
          </w:p>
        </w:tc>
      </w:tr>
      <w:tr w:rsidR="00FE5D64" w14:paraId="7FE1B3B1" w14:textId="77777777" w:rsidTr="004075DC">
        <w:tc>
          <w:tcPr>
            <w:tcW w:w="0" w:type="auto"/>
            <w:tcBorders>
              <w:top w:val="single" w:sz="4" w:space="0" w:color="1A171C"/>
              <w:left w:val="nil"/>
              <w:bottom w:val="single" w:sz="4" w:space="0" w:color="1A171C"/>
              <w:right w:val="single" w:sz="4" w:space="0" w:color="1A171C"/>
            </w:tcBorders>
          </w:tcPr>
          <w:p w14:paraId="7FE1B3AD" w14:textId="47BF222F" w:rsidR="00FE5D64" w:rsidRDefault="00E40776">
            <w:pPr>
              <w:pStyle w:val="P68B1DB1-TableParagraph13"/>
              <w:spacing w:before="106"/>
              <w:ind w:left="-1"/>
            </w:pPr>
            <w:r>
              <w:t>0160</w:t>
            </w:r>
          </w:p>
        </w:tc>
        <w:tc>
          <w:tcPr>
            <w:tcW w:w="8504" w:type="dxa"/>
            <w:tcBorders>
              <w:top w:val="single" w:sz="4" w:space="0" w:color="1A171C"/>
              <w:left w:val="single" w:sz="4" w:space="0" w:color="1A171C"/>
              <w:bottom w:val="single" w:sz="4" w:space="0" w:color="1A171C"/>
              <w:right w:val="nil"/>
            </w:tcBorders>
          </w:tcPr>
          <w:p w14:paraId="7FE1B3AE" w14:textId="0A8F3447" w:rsidR="00FE5D64" w:rsidRDefault="00E40776">
            <w:pPr>
              <w:pStyle w:val="P68B1DB1-TableParagraph14"/>
              <w:spacing w:before="108"/>
              <w:ind w:left="85"/>
              <w:jc w:val="both"/>
            </w:pPr>
            <w:r>
              <w:t>Мярка за общата експозиция</w:t>
            </w:r>
          </w:p>
          <w:p w14:paraId="7FE1B3AF" w14:textId="13D4B7FC" w:rsidR="00FE5D64" w:rsidRDefault="00E40776">
            <w:pPr>
              <w:pStyle w:val="P68B1DB1-TableParagraph13"/>
              <w:spacing w:before="108"/>
              <w:ind w:left="85"/>
              <w:jc w:val="both"/>
            </w:pPr>
            <w:r>
              <w:t xml:space="preserve">Мярка за общата експозиция на отношението на ливъридж, както е определено за COREP (LR): </w:t>
            </w:r>
            <w:r w:rsidR="00251181" w:rsidRPr="001118F2">
              <w:rPr>
                <w:spacing w:val="-2"/>
                <w:w w:val="95"/>
              </w:rPr>
              <w:t>{</w:t>
            </w:r>
            <w:r w:rsidR="00251181" w:rsidRPr="004075DC">
              <w:rPr>
                <w:spacing w:val="-2"/>
                <w:w w:val="95"/>
                <w:lang w:val="en-GB"/>
              </w:rPr>
              <w:t>C</w:t>
            </w:r>
            <w:r w:rsidR="00251181" w:rsidRPr="001118F2">
              <w:rPr>
                <w:spacing w:val="-2"/>
                <w:w w:val="95"/>
              </w:rPr>
              <w:t xml:space="preserve"> 47.00;0290;0010}</w:t>
            </w:r>
          </w:p>
          <w:p w14:paraId="7FE1B3B0" w14:textId="62A2FE16" w:rsidR="00251181" w:rsidRDefault="004075DC" w:rsidP="00251181">
            <w:pPr>
              <w:pStyle w:val="P68B1DB1-TableParagraph13"/>
              <w:spacing w:before="108"/>
              <w:ind w:left="85"/>
              <w:jc w:val="both"/>
            </w:pPr>
            <w:r w:rsidRPr="004075DC">
              <w:t>Тази позиция не се отчита за субекти, които не са институции, и субекти, ползващи се от освобождаване в съответствие с член 7 или член 10 от Регламент (ЕС) № 575/2013.</w:t>
            </w:r>
          </w:p>
        </w:tc>
      </w:tr>
      <w:tr w:rsidR="001A79CE" w14:paraId="7FE1B3B7" w14:textId="77777777" w:rsidTr="003220B9">
        <w:tc>
          <w:tcPr>
            <w:tcW w:w="852" w:type="dxa"/>
            <w:tcBorders>
              <w:top w:val="single" w:sz="4" w:space="0" w:color="1A171C"/>
              <w:left w:val="nil"/>
              <w:bottom w:val="single" w:sz="4" w:space="0" w:color="1A171C"/>
              <w:right w:val="single" w:sz="4" w:space="0" w:color="1A171C"/>
            </w:tcBorders>
          </w:tcPr>
          <w:p w14:paraId="7FE1B3B2" w14:textId="3946F821" w:rsidR="00FE5D64" w:rsidRDefault="00E40776">
            <w:pPr>
              <w:pStyle w:val="P68B1DB1-TableParagraph13"/>
            </w:pPr>
            <w:r>
              <w:t>0170</w:t>
            </w:r>
          </w:p>
        </w:tc>
        <w:tc>
          <w:tcPr>
            <w:tcW w:w="8504" w:type="dxa"/>
            <w:tcBorders>
              <w:top w:val="single" w:sz="4" w:space="0" w:color="1A171C"/>
              <w:left w:val="single" w:sz="4" w:space="0" w:color="1A171C"/>
              <w:bottom w:val="single" w:sz="4" w:space="0" w:color="1A171C"/>
              <w:right w:val="nil"/>
            </w:tcBorders>
          </w:tcPr>
          <w:p w14:paraId="092EA3B1" w14:textId="5BEAE6C5" w:rsidR="00FE5D64" w:rsidRDefault="00E40776">
            <w:pPr>
              <w:pStyle w:val="P68B1DB1-TableParagraph14"/>
              <w:jc w:val="both"/>
              <w:rPr>
                <w:bCs/>
              </w:rPr>
            </w:pPr>
            <w:r>
              <w:t xml:space="preserve">Общо </w:t>
            </w:r>
            <w:r w:rsidRPr="004075DC">
              <w:t>оператив</w:t>
            </w:r>
            <w:r w:rsidR="00251181">
              <w:rPr>
                <w:lang w:val="bg-BG"/>
              </w:rPr>
              <w:t>ни</w:t>
            </w:r>
            <w:r w:rsidRPr="004075DC">
              <w:t xml:space="preserve"> </w:t>
            </w:r>
            <w:r>
              <w:t>приход</w:t>
            </w:r>
            <w:r w:rsidR="00251181" w:rsidRPr="004075DC">
              <w:rPr>
                <w:lang w:val="bg-BG"/>
              </w:rPr>
              <w:t>и</w:t>
            </w:r>
          </w:p>
          <w:p w14:paraId="7FE1B3B5" w14:textId="6656807F" w:rsidR="00FE5D64" w:rsidRDefault="00E40776">
            <w:pPr>
              <w:pStyle w:val="P68B1DB1-TableParagraph13"/>
              <w:jc w:val="both"/>
            </w:pPr>
            <w:r>
              <w:t xml:space="preserve">Общ оперативен приход, както е определен във FINREP </w:t>
            </w:r>
            <w:r w:rsidR="00251181" w:rsidRPr="001118F2">
              <w:t>{</w:t>
            </w:r>
            <w:r w:rsidR="00251181" w:rsidRPr="004075DC">
              <w:rPr>
                <w:lang w:val="en-GB"/>
              </w:rPr>
              <w:t>F</w:t>
            </w:r>
            <w:r w:rsidR="00251181" w:rsidRPr="001118F2">
              <w:t xml:space="preserve"> 02.00;355;010}</w:t>
            </w:r>
          </w:p>
          <w:p w14:paraId="7FE1B3B6" w14:textId="77777777" w:rsidR="00FE5D64" w:rsidRDefault="00FE5D64">
            <w:pPr>
              <w:pStyle w:val="TableParagraph"/>
              <w:jc w:val="both"/>
              <w:rPr>
                <w:rFonts w:ascii="Times New Roman" w:hAnsi="Times New Roman" w:cs="Times New Roman"/>
                <w:b/>
                <w:bCs/>
                <w:color w:val="000000" w:themeColor="text1"/>
                <w:sz w:val="20"/>
                <w:szCs w:val="20"/>
              </w:rPr>
            </w:pPr>
          </w:p>
        </w:tc>
      </w:tr>
      <w:tr w:rsidR="00FE5D64" w14:paraId="7FE1B3C2" w14:textId="77777777" w:rsidTr="006548BF">
        <w:tc>
          <w:tcPr>
            <w:tcW w:w="0" w:type="auto"/>
            <w:tcBorders>
              <w:top w:val="single" w:sz="4" w:space="0" w:color="1A171C"/>
              <w:left w:val="nil"/>
              <w:bottom w:val="single" w:sz="4" w:space="0" w:color="1A171C"/>
              <w:right w:val="single" w:sz="4" w:space="0" w:color="1A171C"/>
            </w:tcBorders>
          </w:tcPr>
          <w:p w14:paraId="7FE1B3BD" w14:textId="66D829AD" w:rsidR="00FE5D64" w:rsidRDefault="00E40776">
            <w:pPr>
              <w:pStyle w:val="P68B1DB1-TableParagraph13"/>
              <w:spacing w:before="106"/>
              <w:ind w:left="-1"/>
            </w:pPr>
            <w:r>
              <w:lastRenderedPageBreak/>
              <w:t>0210</w:t>
            </w:r>
          </w:p>
        </w:tc>
        <w:tc>
          <w:tcPr>
            <w:tcW w:w="8504" w:type="dxa"/>
            <w:tcBorders>
              <w:top w:val="single" w:sz="4" w:space="0" w:color="1A171C"/>
              <w:left w:val="single" w:sz="4" w:space="0" w:color="1A171C"/>
              <w:bottom w:val="single" w:sz="4" w:space="0" w:color="1A171C"/>
              <w:right w:val="nil"/>
            </w:tcBorders>
          </w:tcPr>
          <w:p w14:paraId="7FE1B3BE" w14:textId="77777777" w:rsidR="00FE5D64" w:rsidRDefault="00E40776">
            <w:pPr>
              <w:pStyle w:val="P68B1DB1-TableParagraph14"/>
              <w:spacing w:before="108"/>
              <w:jc w:val="both"/>
            </w:pPr>
            <w:r>
              <w:t>Счетоводен стандарт</w:t>
            </w:r>
          </w:p>
          <w:p w14:paraId="7FE1B3BF" w14:textId="1F8C63B4" w:rsidR="00FE5D64" w:rsidRDefault="00E40776">
            <w:pPr>
              <w:pStyle w:val="P68B1DB1-TableParagraph13"/>
              <w:spacing w:before="108"/>
              <w:jc w:val="both"/>
            </w:pPr>
            <w:r>
              <w:t xml:space="preserve">Счетоводните стандарти, прилагани от субекта. </w:t>
            </w:r>
            <w:r w:rsidR="006548BF">
              <w:rPr>
                <w:lang w:val="bg-BG"/>
              </w:rPr>
              <w:t>Посочват се</w:t>
            </w:r>
            <w:r w:rsidR="006548BF">
              <w:t xml:space="preserve"> </w:t>
            </w:r>
            <w:r>
              <w:t>следните съкращения:</w:t>
            </w:r>
          </w:p>
          <w:p w14:paraId="7FE1B3C0" w14:textId="77777777" w:rsidR="00FE5D64" w:rsidRDefault="00E40776">
            <w:pPr>
              <w:pStyle w:val="P68B1DB1-TableParagraph13"/>
              <w:numPr>
                <w:ilvl w:val="0"/>
                <w:numId w:val="68"/>
              </w:numPr>
              <w:spacing w:before="108"/>
              <w:jc w:val="both"/>
            </w:pPr>
            <w:r>
              <w:t>МСФО</w:t>
            </w:r>
          </w:p>
          <w:p w14:paraId="7FE1B3C1" w14:textId="67D9A284" w:rsidR="00FE5D64" w:rsidRPr="006548BF" w:rsidRDefault="00251181" w:rsidP="00251181">
            <w:pPr>
              <w:pStyle w:val="P68B1DB1-TableParagraph13"/>
              <w:numPr>
                <w:ilvl w:val="0"/>
                <w:numId w:val="68"/>
              </w:numPr>
              <w:spacing w:before="108"/>
              <w:jc w:val="both"/>
              <w:rPr>
                <w:lang w:val="en-US"/>
              </w:rPr>
            </w:pPr>
            <w:r>
              <w:rPr>
                <w:lang w:val="en-US"/>
              </w:rPr>
              <w:t>nGAAP</w:t>
            </w:r>
          </w:p>
        </w:tc>
      </w:tr>
      <w:tr w:rsidR="00FE5D64" w14:paraId="7FE1B3D6" w14:textId="77777777" w:rsidTr="006548BF">
        <w:tc>
          <w:tcPr>
            <w:tcW w:w="0" w:type="auto"/>
            <w:tcBorders>
              <w:top w:val="single" w:sz="4" w:space="0" w:color="1A171C"/>
              <w:left w:val="nil"/>
              <w:bottom w:val="single" w:sz="4" w:space="0" w:color="1A171C"/>
              <w:right w:val="single" w:sz="4" w:space="0" w:color="1A171C"/>
            </w:tcBorders>
          </w:tcPr>
          <w:p w14:paraId="7FE1B3D3" w14:textId="4630F860" w:rsidR="00FE5D64" w:rsidRDefault="00E40776">
            <w:pPr>
              <w:pStyle w:val="P68B1DB1-TableParagraph13"/>
              <w:spacing w:before="106"/>
              <w:ind w:left="-1"/>
            </w:pPr>
            <w:r>
              <w:t>0260</w:t>
            </w:r>
          </w:p>
        </w:tc>
        <w:tc>
          <w:tcPr>
            <w:tcW w:w="8504" w:type="dxa"/>
            <w:tcBorders>
              <w:top w:val="single" w:sz="4" w:space="0" w:color="1A171C"/>
              <w:left w:val="single" w:sz="4" w:space="0" w:color="1A171C"/>
              <w:bottom w:val="single" w:sz="4" w:space="0" w:color="1A171C"/>
              <w:right w:val="nil"/>
            </w:tcBorders>
          </w:tcPr>
          <w:p w14:paraId="7FE1B3D4" w14:textId="5FB54654" w:rsidR="00FE5D64" w:rsidRDefault="00E40776">
            <w:pPr>
              <w:pStyle w:val="P68B1DB1-TableParagraph14"/>
              <w:spacing w:before="108"/>
              <w:jc w:val="both"/>
            </w:pPr>
            <w:r>
              <w:t xml:space="preserve">Принос към общата консолидирана рискова експозиция </w:t>
            </w:r>
          </w:p>
          <w:p w14:paraId="7FE1B3D5" w14:textId="77777777" w:rsidR="00FE5D64" w:rsidRPr="002F0FD4" w:rsidRDefault="00E40776">
            <w:pPr>
              <w:pStyle w:val="P68B1DB1-TableParagraph13"/>
              <w:spacing w:before="108"/>
              <w:jc w:val="both"/>
              <w:rPr>
                <w:b/>
                <w:lang w:val="bg-BG"/>
              </w:rPr>
            </w:pPr>
            <w:r>
              <w:t xml:space="preserve">Размерът на приноса на дадения субект към общата консолидирана рискова експозиция на групата, за която се отнася отчетът. </w:t>
            </w:r>
          </w:p>
        </w:tc>
      </w:tr>
      <w:tr w:rsidR="00FE5D64" w14:paraId="7FE1B3DA" w14:textId="77777777" w:rsidTr="006548BF">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FE5D64" w:rsidRDefault="00E40776">
            <w:pPr>
              <w:pStyle w:val="P68B1DB1-TableParagraph13"/>
              <w:spacing w:before="106"/>
              <w:ind w:left="-1"/>
            </w:pPr>
            <w:r>
              <w:t>0270</w:t>
            </w:r>
          </w:p>
        </w:tc>
        <w:tc>
          <w:tcPr>
            <w:tcW w:w="8504" w:type="dxa"/>
            <w:tcBorders>
              <w:top w:val="single" w:sz="4" w:space="0" w:color="1A171C"/>
              <w:left w:val="single" w:sz="4" w:space="0" w:color="1A171C"/>
              <w:bottom w:val="single" w:sz="4" w:space="0" w:color="1A171C"/>
              <w:right w:val="nil"/>
            </w:tcBorders>
          </w:tcPr>
          <w:p w14:paraId="7FE1B3D8" w14:textId="5A329240" w:rsidR="00FE5D64" w:rsidRDefault="00E40776">
            <w:pPr>
              <w:pStyle w:val="P68B1DB1-TableParagraph14"/>
              <w:spacing w:before="108"/>
              <w:ind w:left="85"/>
              <w:jc w:val="both"/>
            </w:pPr>
            <w:r>
              <w:t>Принос към консолидираната мярка за общата експозиция</w:t>
            </w:r>
          </w:p>
          <w:p w14:paraId="7FE1B3D9" w14:textId="655FAA25" w:rsidR="00FE5D64" w:rsidRDefault="00E40776">
            <w:pPr>
              <w:pStyle w:val="P68B1DB1-TableParagraph13"/>
              <w:spacing w:before="108"/>
              <w:ind w:left="85"/>
              <w:jc w:val="both"/>
              <w:rPr>
                <w:b/>
              </w:rPr>
            </w:pPr>
            <w:r>
              <w:t xml:space="preserve">Размерът на приноса на дадения субект към </w:t>
            </w:r>
            <w:r w:rsidR="002F0FD4">
              <w:rPr>
                <w:lang w:val="bg-BG"/>
              </w:rPr>
              <w:t>консолидираната мярка на общата експозиция</w:t>
            </w:r>
            <w:r>
              <w:t xml:space="preserve"> на групата, за която се отнася отчетът.</w:t>
            </w:r>
          </w:p>
        </w:tc>
      </w:tr>
      <w:tr w:rsidR="001A79CE" w14:paraId="7FE1B3DF" w14:textId="77777777" w:rsidTr="003220B9">
        <w:trPr>
          <w:trHeight w:val="749"/>
        </w:trPr>
        <w:tc>
          <w:tcPr>
            <w:tcW w:w="852" w:type="dxa"/>
            <w:tcBorders>
              <w:top w:val="single" w:sz="4" w:space="0" w:color="1A171C"/>
              <w:left w:val="nil"/>
              <w:bottom w:val="single" w:sz="4" w:space="0" w:color="1A171C"/>
              <w:right w:val="single" w:sz="4" w:space="0" w:color="1A171C"/>
            </w:tcBorders>
          </w:tcPr>
          <w:p w14:paraId="7FE1B3DB" w14:textId="60DFE076" w:rsidR="00FE5D64" w:rsidRDefault="00E40776">
            <w:pPr>
              <w:pStyle w:val="P68B1DB1-TableParagraph13"/>
            </w:pPr>
            <w:r>
              <w:t>0280</w:t>
            </w:r>
          </w:p>
        </w:tc>
        <w:tc>
          <w:tcPr>
            <w:tcW w:w="8504" w:type="dxa"/>
            <w:tcBorders>
              <w:top w:val="single" w:sz="4" w:space="0" w:color="1A171C"/>
              <w:left w:val="single" w:sz="4" w:space="0" w:color="1A171C"/>
              <w:bottom w:val="single" w:sz="4" w:space="0" w:color="1A171C"/>
              <w:right w:val="nil"/>
            </w:tcBorders>
          </w:tcPr>
          <w:p w14:paraId="7FE1B3DC" w14:textId="7DE2FD35" w:rsidR="00FE5D64" w:rsidRPr="002F0FD4" w:rsidRDefault="00E40776">
            <w:pPr>
              <w:pStyle w:val="P68B1DB1-TableParagraph14"/>
              <w:jc w:val="both"/>
              <w:rPr>
                <w:bCs/>
                <w:lang w:val="bg-BG"/>
              </w:rPr>
            </w:pPr>
            <w:r>
              <w:t>Принос към консолидирани</w:t>
            </w:r>
            <w:r w:rsidR="002F0FD4">
              <w:rPr>
                <w:lang w:val="bg-BG"/>
              </w:rPr>
              <w:t>те</w:t>
            </w:r>
            <w:r>
              <w:t xml:space="preserve"> оператив</w:t>
            </w:r>
            <w:r w:rsidR="002F0FD4">
              <w:rPr>
                <w:lang w:val="bg-BG"/>
              </w:rPr>
              <w:t>ни</w:t>
            </w:r>
            <w:r>
              <w:t xml:space="preserve"> </w:t>
            </w:r>
            <w:r w:rsidR="002F0FD4">
              <w:rPr>
                <w:lang w:val="bg-BG"/>
              </w:rPr>
              <w:t>приходи</w:t>
            </w:r>
          </w:p>
          <w:p w14:paraId="7FE1B3DD" w14:textId="77777777" w:rsidR="00FE5D64" w:rsidRDefault="00FE5D64">
            <w:pPr>
              <w:pStyle w:val="TableParagraph"/>
              <w:jc w:val="both"/>
              <w:rPr>
                <w:rFonts w:ascii="Times New Roman" w:hAnsi="Times New Roman" w:cs="Times New Roman"/>
                <w:color w:val="000000" w:themeColor="text1"/>
                <w:sz w:val="20"/>
                <w:szCs w:val="20"/>
              </w:rPr>
            </w:pPr>
          </w:p>
          <w:p w14:paraId="5417E053" w14:textId="5A7A5A1C" w:rsidR="002F0FD4" w:rsidRPr="002F0FD4" w:rsidRDefault="002F0FD4" w:rsidP="009C3F77">
            <w:pPr>
              <w:pStyle w:val="P68B1DB1-TableParagraph13"/>
              <w:jc w:val="both"/>
              <w:rPr>
                <w:lang w:val="bg-BG"/>
              </w:rPr>
            </w:pPr>
            <w:r>
              <w:rPr>
                <w:lang w:val="bg-BG"/>
              </w:rPr>
              <w:t>Размерът на приноса на дадения субект към общия счетоводен консолидиран</w:t>
            </w:r>
            <w:r w:rsidR="00BF7714">
              <w:rPr>
                <w:lang w:val="bg-BG"/>
              </w:rPr>
              <w:t xml:space="preserve"> размер на</w:t>
            </w:r>
            <w:r>
              <w:rPr>
                <w:lang w:val="bg-BG"/>
              </w:rPr>
              <w:t xml:space="preserve"> оперативни</w:t>
            </w:r>
            <w:r w:rsidR="00BF7714">
              <w:rPr>
                <w:lang w:val="bg-BG"/>
              </w:rPr>
              <w:t>те</w:t>
            </w:r>
            <w:r>
              <w:rPr>
                <w:lang w:val="bg-BG"/>
              </w:rPr>
              <w:t xml:space="preserve"> приходи на групата.</w:t>
            </w:r>
          </w:p>
          <w:p w14:paraId="7FE1B3DE" w14:textId="2C689DAA" w:rsidR="00FE5D64" w:rsidRPr="002F0FD4" w:rsidRDefault="00E40776" w:rsidP="009C3F77">
            <w:pPr>
              <w:pStyle w:val="P68B1DB1-TableParagraph13"/>
              <w:jc w:val="both"/>
              <w:rPr>
                <w:lang w:val="bg-BG"/>
              </w:rPr>
            </w:pPr>
            <w:r>
              <w:t>.</w:t>
            </w:r>
          </w:p>
        </w:tc>
      </w:tr>
      <w:tr w:rsidR="00FE5D64" w14:paraId="7FE1B3F3" w14:textId="77777777" w:rsidTr="002F0FD4">
        <w:tc>
          <w:tcPr>
            <w:tcW w:w="0" w:type="auto"/>
            <w:tcBorders>
              <w:top w:val="single" w:sz="4" w:space="0" w:color="1A171C"/>
              <w:left w:val="nil"/>
              <w:bottom w:val="single" w:sz="4" w:space="0" w:color="1A171C"/>
              <w:right w:val="single" w:sz="4" w:space="0" w:color="1A171C"/>
            </w:tcBorders>
          </w:tcPr>
          <w:p w14:paraId="7FE1B3EF" w14:textId="434D8A04" w:rsidR="00FE5D64" w:rsidRDefault="00E40776">
            <w:pPr>
              <w:pStyle w:val="P68B1DB1-TableParagraph13"/>
              <w:spacing w:before="106"/>
              <w:ind w:left="-1"/>
            </w:pPr>
            <w:r>
              <w:t>0320</w:t>
            </w:r>
          </w:p>
        </w:tc>
        <w:tc>
          <w:tcPr>
            <w:tcW w:w="8504" w:type="dxa"/>
            <w:tcBorders>
              <w:top w:val="single" w:sz="4" w:space="0" w:color="1A171C"/>
              <w:left w:val="single" w:sz="4" w:space="0" w:color="1A171C"/>
              <w:bottom w:val="single" w:sz="4" w:space="0" w:color="1A171C"/>
              <w:right w:val="nil"/>
            </w:tcBorders>
          </w:tcPr>
          <w:p w14:paraId="7FE1B3F0" w14:textId="44755A80" w:rsidR="00FE5D64" w:rsidRDefault="00E40776">
            <w:pPr>
              <w:pStyle w:val="P68B1DB1-TableParagraph14"/>
              <w:spacing w:before="108"/>
              <w:ind w:left="85"/>
              <w:jc w:val="both"/>
              <w:rPr>
                <w:bCs/>
              </w:rPr>
            </w:pPr>
            <w:r>
              <w:t>Съответен правен субект</w:t>
            </w:r>
          </w:p>
          <w:p w14:paraId="7FE1B3F1" w14:textId="651DAEE0" w:rsidR="00FE5D64" w:rsidRDefault="00E40776">
            <w:pPr>
              <w:pStyle w:val="P68B1DB1-TableParagraph13"/>
              <w:spacing w:before="108"/>
              <w:jc w:val="both"/>
            </w:pPr>
            <w:r>
              <w:t>Дали субектът представлява съответен правен субект по смисъла на член 1 от настоящия регламент.</w:t>
            </w:r>
          </w:p>
          <w:p w14:paraId="7FE1B3F2" w14:textId="0E42CD28" w:rsidR="00FE5D64" w:rsidRDefault="00FE5D64">
            <w:pPr>
              <w:pStyle w:val="TableParagraph"/>
              <w:spacing w:before="108"/>
              <w:jc w:val="both"/>
              <w:rPr>
                <w:rFonts w:ascii="Times New Roman" w:hAnsi="Times New Roman" w:cs="Times New Roman"/>
                <w:color w:val="000000" w:themeColor="text1"/>
                <w:sz w:val="20"/>
                <w:szCs w:val="20"/>
              </w:rPr>
            </w:pPr>
          </w:p>
        </w:tc>
      </w:tr>
    </w:tbl>
    <w:p w14:paraId="7FE1B491" w14:textId="77777777" w:rsidR="00FE5D64" w:rsidRDefault="00FE5D64">
      <w:pPr>
        <w:rPr>
          <w:rFonts w:ascii="Times New Roman" w:hAnsi="Times New Roman" w:cs="Times New Roman"/>
        </w:rPr>
      </w:pPr>
    </w:p>
    <w:p w14:paraId="7FE1B492" w14:textId="77777777" w:rsidR="00FE5D64" w:rsidRDefault="00E40776">
      <w:pPr>
        <w:pStyle w:val="P68B1DB1-Instructionsberschrift25"/>
        <w:numPr>
          <w:ilvl w:val="1"/>
          <w:numId w:val="49"/>
        </w:numPr>
        <w:ind w:left="357" w:hanging="357"/>
      </w:pPr>
      <w:bookmarkStart w:id="22" w:name="_Toc81454178"/>
      <w:bookmarkStart w:id="23" w:name="_Toc208244452"/>
      <w:r>
        <w:t>Z 01.02 — Структура на собствеността (ORG 2)</w:t>
      </w:r>
      <w:bookmarkEnd w:id="22"/>
      <w:bookmarkEnd w:id="23"/>
    </w:p>
    <w:p w14:paraId="7FE1B493" w14:textId="77777777" w:rsidR="00FE5D64" w:rsidRDefault="00E40776">
      <w:pPr>
        <w:pStyle w:val="Instructionsberschrift3"/>
      </w:pPr>
      <w:r>
        <w:t>Общи бележки</w:t>
      </w:r>
    </w:p>
    <w:p w14:paraId="50A00AA9" w14:textId="7E91CCE8" w:rsidR="00FE5D64" w:rsidRDefault="00BF7714" w:rsidP="00A75C5D">
      <w:pPr>
        <w:pStyle w:val="P68B1DB1-InstructionsText26"/>
        <w:numPr>
          <w:ilvl w:val="0"/>
          <w:numId w:val="234"/>
        </w:numPr>
        <w:spacing w:before="0"/>
      </w:pPr>
      <w:r>
        <w:rPr>
          <w:lang w:val="bg-BG"/>
        </w:rPr>
        <w:t>В т</w:t>
      </w:r>
      <w:r w:rsidR="00E40776">
        <w:t xml:space="preserve">ози образец </w:t>
      </w:r>
      <w:r>
        <w:rPr>
          <w:lang w:val="bg-BG"/>
        </w:rPr>
        <w:t xml:space="preserve">се </w:t>
      </w:r>
      <w:r w:rsidR="00A75C5D">
        <w:rPr>
          <w:lang w:val="bg-BG"/>
        </w:rPr>
        <w:t>предоставя обща информация</w:t>
      </w:r>
      <w:r w:rsidR="00E40776">
        <w:t xml:space="preserve"> за правната структура и структурата на собственост на групата. За всички дружества от групата, попадащи в обхвата на счетоводната консолидация, се представя единен образец. </w:t>
      </w:r>
    </w:p>
    <w:p w14:paraId="7FE1B494" w14:textId="35337D00" w:rsidR="00FE5D64" w:rsidRDefault="00A75C5D" w:rsidP="00A75C5D">
      <w:pPr>
        <w:pStyle w:val="P68B1DB1-InstructionsText26"/>
        <w:numPr>
          <w:ilvl w:val="0"/>
          <w:numId w:val="234"/>
        </w:numPr>
        <w:spacing w:before="0"/>
      </w:pPr>
      <w:r>
        <w:rPr>
          <w:lang w:val="bg-BG"/>
        </w:rPr>
        <w:t>Очаква се този образец да бъде предоставен и от</w:t>
      </w:r>
      <w:r w:rsidRPr="00FF7CA9">
        <w:rPr>
          <w:lang w:val="bg-BG"/>
        </w:rPr>
        <w:t xml:space="preserve"> </w:t>
      </w:r>
      <w:r w:rsidR="00E40776">
        <w:t>субектите за преструктуриране, които не са част от група, подлежаща на консолидиран надзор</w:t>
      </w:r>
      <w:r>
        <w:rPr>
          <w:lang w:val="bg-BG"/>
        </w:rPr>
        <w:t>.</w:t>
      </w:r>
    </w:p>
    <w:p w14:paraId="7FE1B496" w14:textId="1D93FB26" w:rsidR="00FE5D64" w:rsidRDefault="00E40776" w:rsidP="00555CBA">
      <w:pPr>
        <w:pStyle w:val="P68B1DB1-InstructionsText26"/>
        <w:numPr>
          <w:ilvl w:val="0"/>
          <w:numId w:val="234"/>
        </w:numPr>
        <w:spacing w:before="0"/>
      </w:pPr>
      <w:r>
        <w:t xml:space="preserve">В този образец се изброяват всички акционери (или </w:t>
      </w:r>
      <w:r w:rsidR="00555CBA">
        <w:rPr>
          <w:lang w:val="bg-BG"/>
        </w:rPr>
        <w:t>еквивалентни</w:t>
      </w:r>
      <w:r w:rsidR="00555CBA" w:rsidRPr="00FF7CA9">
        <w:rPr>
          <w:lang w:val="bg-BG"/>
        </w:rPr>
        <w:t xml:space="preserve"> на тях</w:t>
      </w:r>
      <w:r w:rsidR="00555CBA">
        <w:rPr>
          <w:lang w:val="bg-BG"/>
        </w:rPr>
        <w:t xml:space="preserve"> лица</w:t>
      </w:r>
      <w:r>
        <w:t xml:space="preserve">) </w:t>
      </w:r>
      <w:r w:rsidR="00555CBA">
        <w:rPr>
          <w:lang w:val="bg-BG"/>
        </w:rPr>
        <w:t xml:space="preserve">на </w:t>
      </w:r>
      <w:r w:rsidR="00FF7CA9">
        <w:rPr>
          <w:lang w:val="bg-BG"/>
        </w:rPr>
        <w:t>субектите</w:t>
      </w:r>
      <w:r>
        <w:t xml:space="preserve"> от групата</w:t>
      </w:r>
      <w:r w:rsidR="00555CBA">
        <w:rPr>
          <w:lang w:val="bg-BG"/>
        </w:rPr>
        <w:t>, които притежават</w:t>
      </w:r>
      <w:r w:rsidR="00555CBA" w:rsidRPr="00FF7CA9">
        <w:rPr>
          <w:lang w:val="bg-BG"/>
        </w:rPr>
        <w:t xml:space="preserve"> </w:t>
      </w:r>
      <w:r>
        <w:t>повече от 2%</w:t>
      </w:r>
      <w:r w:rsidR="00555CBA" w:rsidRPr="00FF7CA9">
        <w:rPr>
          <w:lang w:val="bg-BG"/>
        </w:rPr>
        <w:t xml:space="preserve"> </w:t>
      </w:r>
      <w:r w:rsidR="00555CBA">
        <w:rPr>
          <w:lang w:val="bg-BG"/>
        </w:rPr>
        <w:t>от</w:t>
      </w:r>
      <w:r>
        <w:t xml:space="preserve"> акционер</w:t>
      </w:r>
      <w:r w:rsidR="00555CBA">
        <w:rPr>
          <w:lang w:val="bg-BG"/>
        </w:rPr>
        <w:t>ния</w:t>
      </w:r>
      <w:r>
        <w:t xml:space="preserve"> капитал (или </w:t>
      </w:r>
      <w:r w:rsidR="00555CBA">
        <w:rPr>
          <w:lang w:val="bg-BG"/>
        </w:rPr>
        <w:t>еквивалент</w:t>
      </w:r>
      <w:r>
        <w:t xml:space="preserve">) или </w:t>
      </w:r>
      <w:r w:rsidR="00555CBA">
        <w:rPr>
          <w:lang w:val="bg-BG"/>
        </w:rPr>
        <w:t xml:space="preserve">от </w:t>
      </w:r>
      <w:r>
        <w:t>права</w:t>
      </w:r>
      <w:r w:rsidR="00555CBA">
        <w:rPr>
          <w:lang w:val="bg-BG"/>
        </w:rPr>
        <w:t>та</w:t>
      </w:r>
      <w:r>
        <w:t xml:space="preserve"> на глас, както и всички дялови участия (или </w:t>
      </w:r>
      <w:r w:rsidR="00555CBA">
        <w:rPr>
          <w:lang w:val="bg-BG"/>
        </w:rPr>
        <w:t>еквивалентни</w:t>
      </w:r>
      <w:r w:rsidR="00555CBA">
        <w:t xml:space="preserve"> </w:t>
      </w:r>
      <w:r>
        <w:t>дялове), притежавани от субекти от групата.</w:t>
      </w:r>
      <w:r w:rsidR="00555CBA">
        <w:rPr>
          <w:lang w:val="bg-BG"/>
        </w:rPr>
        <w:t xml:space="preserve"> </w:t>
      </w:r>
    </w:p>
    <w:p w14:paraId="7FE1B497" w14:textId="77777777" w:rsidR="00FE5D64" w:rsidRDefault="00E40776">
      <w:pPr>
        <w:pStyle w:val="P68B1DB1-Instructionsberschrift312"/>
      </w:pPr>
      <w:r>
        <w:t>Указания относно определени позиции</w:t>
      </w:r>
    </w:p>
    <w:tbl>
      <w:tblPr>
        <w:tblW w:w="0" w:type="auto"/>
        <w:tblCellMar>
          <w:top w:w="57" w:type="dxa"/>
          <w:left w:w="57" w:type="dxa"/>
          <w:bottom w:w="57" w:type="dxa"/>
          <w:right w:w="0" w:type="dxa"/>
        </w:tblCellMar>
        <w:tblLook w:val="01E0" w:firstRow="1" w:lastRow="1" w:firstColumn="1" w:lastColumn="1" w:noHBand="0" w:noVBand="0"/>
      </w:tblPr>
      <w:tblGrid>
        <w:gridCol w:w="814"/>
        <w:gridCol w:w="8212"/>
      </w:tblGrid>
      <w:tr w:rsidR="001A79CE"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FE5D64" w:rsidRDefault="00E40776">
            <w:pPr>
              <w:pStyle w:val="P68B1DB1-TableParagraph13"/>
              <w:spacing w:before="66"/>
              <w:rPr>
                <w:rFonts w:eastAsia="Cambria"/>
              </w:rPr>
            </w:pPr>
            <w:r>
              <w:t>Колони</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FE5D64" w:rsidRDefault="00E40776">
            <w:pPr>
              <w:pStyle w:val="P68B1DB1-TableParagraph13"/>
              <w:spacing w:before="66"/>
              <w:ind w:right="1"/>
              <w:jc w:val="center"/>
              <w:rPr>
                <w:rFonts w:eastAsia="Cambria"/>
              </w:rPr>
            </w:pPr>
            <w:r>
              <w:t>Указания</w:t>
            </w:r>
          </w:p>
        </w:tc>
      </w:tr>
      <w:tr w:rsidR="00FE5D64" w14:paraId="7FE1B49E" w14:textId="77777777" w:rsidTr="00FF7CA9">
        <w:tc>
          <w:tcPr>
            <w:tcW w:w="0" w:type="auto"/>
            <w:tcBorders>
              <w:top w:val="single" w:sz="4" w:space="0" w:color="1A171C"/>
              <w:left w:val="nil"/>
              <w:bottom w:val="single" w:sz="4" w:space="0" w:color="1A171C"/>
              <w:right w:val="single" w:sz="4" w:space="0" w:color="1A171C"/>
            </w:tcBorders>
          </w:tcPr>
          <w:p w14:paraId="7FE1B49C" w14:textId="77777777" w:rsidR="00FE5D64" w:rsidRDefault="00E40776">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FE5D64" w:rsidRDefault="00E40776">
            <w:pPr>
              <w:pStyle w:val="P68B1DB1-TableParagraph14"/>
              <w:spacing w:before="108"/>
              <w:ind w:left="85"/>
            </w:pPr>
            <w:r>
              <w:t>Инвеститор</w:t>
            </w:r>
          </w:p>
        </w:tc>
      </w:tr>
      <w:tr w:rsidR="00FE5D6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FE5D64" w:rsidRDefault="00E40776">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FE5D64" w:rsidRDefault="00E40776">
            <w:pPr>
              <w:pStyle w:val="P68B1DB1-TableParagraph14"/>
              <w:spacing w:before="108"/>
              <w:ind w:left="85"/>
              <w:jc w:val="both"/>
              <w:rPr>
                <w:bCs/>
              </w:rPr>
            </w:pPr>
            <w:r>
              <w:t xml:space="preserve">Наименование </w:t>
            </w:r>
          </w:p>
          <w:p w14:paraId="7FE1B4A1" w14:textId="51169B9F" w:rsidR="00FE5D64" w:rsidRDefault="00E40776" w:rsidP="00CE4DCD">
            <w:pPr>
              <w:pStyle w:val="P68B1DB1-TableParagraph17"/>
              <w:spacing w:before="108"/>
              <w:ind w:left="85"/>
              <w:rPr>
                <w:rFonts w:eastAsia="Book Antiqua"/>
              </w:rPr>
            </w:pPr>
            <w:r>
              <w:t xml:space="preserve">Пълното </w:t>
            </w:r>
            <w:r w:rsidR="00CE4DCD">
              <w:rPr>
                <w:lang w:val="bg-BG"/>
              </w:rPr>
              <w:t>име</w:t>
            </w:r>
            <w:r w:rsidR="00CE4DCD">
              <w:t xml:space="preserve"> </w:t>
            </w:r>
            <w:r>
              <w:t>или наименование на инвеститора.</w:t>
            </w:r>
          </w:p>
        </w:tc>
      </w:tr>
      <w:tr w:rsidR="00FE5D6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FE5D64" w:rsidRDefault="00E40776">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6B5D1327" w:rsidR="00FE5D64" w:rsidRPr="00FF7CA9" w:rsidRDefault="00CE4DCD">
            <w:pPr>
              <w:pStyle w:val="P68B1DB1-TableParagraph14"/>
              <w:spacing w:before="108"/>
              <w:ind w:left="85"/>
              <w:jc w:val="both"/>
            </w:pPr>
            <w:r>
              <w:rPr>
                <w:lang w:val="bg-BG"/>
              </w:rPr>
              <w:t>Код</w:t>
            </w:r>
          </w:p>
          <w:p w14:paraId="7FE1B4A5" w14:textId="6CB4AAB0" w:rsidR="00FE5D64" w:rsidRDefault="00FF7CA9">
            <w:pPr>
              <w:pStyle w:val="P68B1DB1-TableParagraph17"/>
              <w:spacing w:before="108"/>
              <w:ind w:left="85"/>
            </w:pPr>
            <w:r>
              <w:rPr>
                <w:lang w:val="bg-BG"/>
              </w:rPr>
              <w:lastRenderedPageBreak/>
              <w:t>Уникалният</w:t>
            </w:r>
            <w:r w:rsidR="00E40776">
              <w:t xml:space="preserve"> идентификационен код на правния субект или инвеститора, посочен в колона 0010.</w:t>
            </w:r>
          </w:p>
          <w:p w14:paraId="7FE1B4A6" w14:textId="77777777" w:rsidR="00FE5D64" w:rsidRDefault="00E40776">
            <w:pPr>
              <w:pStyle w:val="P68B1DB1-TableParagraph17"/>
              <w:spacing w:before="108"/>
              <w:ind w:left="85"/>
            </w:pPr>
            <w:r>
              <w:t>Когато инвеститорът е субект от групата, кодът е същият като посоченият в образец Z 01.01 (ORG 1). Когато инвеститорът не е субект от групата, неговият код е:</w:t>
            </w:r>
          </w:p>
          <w:p w14:paraId="7FE1B4A7" w14:textId="6A0514F3" w:rsidR="00FE5D64" w:rsidRDefault="00E40776">
            <w:pPr>
              <w:pStyle w:val="P68B1DB1-TableParagraph17"/>
              <w:numPr>
                <w:ilvl w:val="0"/>
                <w:numId w:val="64"/>
              </w:numPr>
              <w:spacing w:before="108"/>
            </w:pPr>
            <w:r>
              <w:t>за институции с идентификационен код на правния субект (ИКПС) —</w:t>
            </w:r>
            <w:r w:rsidR="00272931">
              <w:rPr>
                <w:lang w:val="bg-BG"/>
              </w:rPr>
              <w:t>кодът е</w:t>
            </w:r>
            <w:r>
              <w:t xml:space="preserve"> 20-</w:t>
            </w:r>
            <w:r w:rsidR="00272931">
              <w:rPr>
                <w:lang w:val="bg-BG"/>
              </w:rPr>
              <w:t>знаковият</w:t>
            </w:r>
            <w:r w:rsidR="00272931">
              <w:t xml:space="preserve"> </w:t>
            </w:r>
            <w:r>
              <w:t>буквено-цифров ИКПС;</w:t>
            </w:r>
          </w:p>
          <w:p w14:paraId="7FE1B4A8" w14:textId="38E0D90B" w:rsidR="00FE5D64" w:rsidRDefault="00E40776">
            <w:pPr>
              <w:pStyle w:val="P68B1DB1-TableParagraph17"/>
              <w:numPr>
                <w:ilvl w:val="0"/>
                <w:numId w:val="64"/>
              </w:numPr>
              <w:spacing w:before="108"/>
            </w:pPr>
            <w:r>
              <w:t>ако няма такъв, се използва кодът на ПФИ или код по единна</w:t>
            </w:r>
            <w:r w:rsidR="00272931">
              <w:t xml:space="preserve"> </w:t>
            </w:r>
            <w:r>
              <w:t>кодификация, приложима в Съюза.</w:t>
            </w:r>
          </w:p>
          <w:p w14:paraId="7FE1B4A9" w14:textId="3A870241" w:rsidR="00FE5D64" w:rsidRDefault="00674417" w:rsidP="00674417">
            <w:pPr>
              <w:pStyle w:val="P68B1DB1-TableParagraph17"/>
              <w:spacing w:before="108"/>
              <w:ind w:left="85"/>
            </w:pPr>
            <w:r>
              <w:rPr>
                <w:lang w:val="bg-BG"/>
              </w:rPr>
              <w:t>И в</w:t>
            </w:r>
            <w:r>
              <w:t xml:space="preserve"> </w:t>
            </w:r>
            <w:r w:rsidR="00E40776">
              <w:t xml:space="preserve">двата случая, кодът </w:t>
            </w:r>
            <w:r>
              <w:rPr>
                <w:lang w:val="bg-BG"/>
              </w:rPr>
              <w:t xml:space="preserve">трябва да бъде уникален </w:t>
            </w:r>
            <w:r w:rsidR="00E40776">
              <w:t xml:space="preserve">и </w:t>
            </w:r>
            <w:r>
              <w:rPr>
                <w:lang w:val="bg-BG"/>
              </w:rPr>
              <w:t>да</w:t>
            </w:r>
            <w:r w:rsidRPr="00FF7CA9">
              <w:rPr>
                <w:lang w:val="bg-BG"/>
              </w:rPr>
              <w:t xml:space="preserve"> </w:t>
            </w:r>
            <w:r w:rsidR="00E40776">
              <w:t>се използва последователно във всички образци.</w:t>
            </w:r>
          </w:p>
        </w:tc>
      </w:tr>
      <w:tr w:rsidR="00FE5D6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FE5D64" w:rsidRDefault="00E40776">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FE5D64" w:rsidRDefault="00E40776">
            <w:pPr>
              <w:pStyle w:val="P68B1DB1-TableParagraph14"/>
              <w:spacing w:before="108"/>
              <w:ind w:left="85"/>
              <w:jc w:val="both"/>
              <w:rPr>
                <w:bCs/>
              </w:rPr>
            </w:pPr>
            <w:r>
              <w:t>Вид код</w:t>
            </w:r>
          </w:p>
          <w:p w14:paraId="560AED27" w14:textId="56F35D67" w:rsidR="00FE5D64" w:rsidRDefault="00E40776">
            <w:pPr>
              <w:pStyle w:val="P68B1DB1-Normal18"/>
            </w:pPr>
            <w:r>
              <w:t>Когато инвеститорът е субект от групата, кодът е</w:t>
            </w:r>
            <w:r w:rsidR="00674417">
              <w:t xml:space="preserve"> </w:t>
            </w:r>
            <w:r>
              <w:t xml:space="preserve">същият като посоченият в образец Z 01.01 (ORG 1). </w:t>
            </w:r>
          </w:p>
          <w:p w14:paraId="2DC78FBF" w14:textId="77777777" w:rsidR="00FE5D64" w:rsidRDefault="00FE5D64">
            <w:pPr>
              <w:rPr>
                <w:rFonts w:ascii="Times New Roman" w:hAnsi="Times New Roman" w:cs="Times New Roman"/>
                <w:sz w:val="20"/>
                <w:szCs w:val="20"/>
              </w:rPr>
            </w:pPr>
          </w:p>
          <w:p w14:paraId="3C91DA4D" w14:textId="6A79E959" w:rsidR="00FE5D64" w:rsidRDefault="00E40776">
            <w:pPr>
              <w:pStyle w:val="P68B1DB1-Normal19"/>
              <w:rPr>
                <w:rFonts w:eastAsiaTheme="minorHAnsi"/>
              </w:rPr>
            </w:pPr>
            <w:r>
              <w:t>Избира се измежду следните варианти: „ИКПС</w:t>
            </w:r>
            <w:r w:rsidR="00674417">
              <w:t>”</w:t>
            </w:r>
            <w:r w:rsidR="00674417">
              <w:rPr>
                <w:lang w:val="bg-BG"/>
              </w:rPr>
              <w:t>,</w:t>
            </w:r>
            <w:r>
              <w:t xml:space="preserve"> „Код на ПФИ</w:t>
            </w:r>
            <w:r w:rsidR="00674417">
              <w:t xml:space="preserve">” </w:t>
            </w:r>
            <w:r>
              <w:t>или „Вид идентификатор, различен от ИКПС или код на ПФИ“.</w:t>
            </w:r>
          </w:p>
          <w:p w14:paraId="7FE1B4B2" w14:textId="5832F40C" w:rsidR="00FE5D64" w:rsidRDefault="00E40776" w:rsidP="00674417">
            <w:pPr>
              <w:pStyle w:val="P68B1DB1-TableParagraph17"/>
              <w:spacing w:before="108"/>
            </w:pPr>
            <w:r>
              <w:t>За идентифициране</w:t>
            </w:r>
            <w:r w:rsidR="00674417">
              <w:rPr>
                <w:lang w:val="bg-BG"/>
              </w:rPr>
              <w:t>то</w:t>
            </w:r>
            <w:r>
              <w:t xml:space="preserve"> на субектите или инвеститорите двойката </w:t>
            </w:r>
            <w:r w:rsidR="00674417">
              <w:rPr>
                <w:lang w:val="bg-BG"/>
              </w:rPr>
              <w:t>„Код“</w:t>
            </w:r>
            <w:r w:rsidR="00674417">
              <w:t xml:space="preserve"> </w:t>
            </w:r>
            <w:r>
              <w:t xml:space="preserve">и </w:t>
            </w:r>
            <w:r w:rsidR="00674417">
              <w:rPr>
                <w:lang w:val="bg-BG"/>
              </w:rPr>
              <w:t>„</w:t>
            </w:r>
            <w:r w:rsidR="005663BF">
              <w:rPr>
                <w:lang w:val="bg-BG"/>
              </w:rPr>
              <w:t>Вид</w:t>
            </w:r>
            <w:r w:rsidR="00674417">
              <w:rPr>
                <w:lang w:val="bg-BG"/>
              </w:rPr>
              <w:t>“</w:t>
            </w:r>
            <w:r w:rsidR="00674417">
              <w:t xml:space="preserve"> </w:t>
            </w:r>
            <w:r>
              <w:t>се използва последователно във всички образци.</w:t>
            </w:r>
          </w:p>
        </w:tc>
      </w:tr>
      <w:tr w:rsidR="00FE5D64" w14:paraId="7FE1B4B6" w14:textId="77777777" w:rsidTr="00FF7CA9">
        <w:tc>
          <w:tcPr>
            <w:tcW w:w="0" w:type="auto"/>
            <w:tcBorders>
              <w:top w:val="single" w:sz="4" w:space="0" w:color="1A171C"/>
              <w:left w:val="nil"/>
              <w:bottom w:val="single" w:sz="4" w:space="0" w:color="1A171C"/>
              <w:right w:val="single" w:sz="4" w:space="0" w:color="1A171C"/>
            </w:tcBorders>
          </w:tcPr>
          <w:p w14:paraId="7FE1B4B4" w14:textId="106DD83A" w:rsidR="00FE5D64" w:rsidRDefault="00E40776">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FE5D64" w:rsidRDefault="00E40776">
            <w:pPr>
              <w:pStyle w:val="P68B1DB1-TableParagraph14"/>
              <w:spacing w:before="108"/>
              <w:ind w:left="85"/>
              <w:jc w:val="both"/>
              <w:rPr>
                <w:bCs/>
              </w:rPr>
            </w:pPr>
            <w:r>
              <w:t>Субект, в който е инвестирано</w:t>
            </w:r>
          </w:p>
        </w:tc>
      </w:tr>
      <w:tr w:rsidR="00FE5D6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FE5D64" w:rsidRDefault="00E40776">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FE5D64" w:rsidRDefault="00E40776">
            <w:pPr>
              <w:pStyle w:val="P68B1DB1-TableParagraph14"/>
              <w:spacing w:before="108"/>
              <w:ind w:left="85"/>
              <w:jc w:val="both"/>
              <w:rPr>
                <w:bCs/>
              </w:rPr>
            </w:pPr>
            <w:r>
              <w:t xml:space="preserve">Наименование </w:t>
            </w:r>
          </w:p>
          <w:p w14:paraId="7FE1B4B9" w14:textId="35C94D92" w:rsidR="00FE5D64" w:rsidRDefault="00E40776" w:rsidP="00674417">
            <w:pPr>
              <w:pStyle w:val="P68B1DB1-TableParagraph13"/>
              <w:spacing w:before="108"/>
              <w:ind w:left="85"/>
              <w:jc w:val="both"/>
              <w:rPr>
                <w:bCs/>
              </w:rPr>
            </w:pPr>
            <w:r>
              <w:t xml:space="preserve">Пълното </w:t>
            </w:r>
            <w:r w:rsidR="00674417">
              <w:rPr>
                <w:lang w:val="bg-BG"/>
              </w:rPr>
              <w:t>име</w:t>
            </w:r>
            <w:r w:rsidR="00674417">
              <w:t xml:space="preserve"> </w:t>
            </w:r>
            <w:r>
              <w:t>или наименование на субекта, в който е инвестирано.</w:t>
            </w:r>
          </w:p>
        </w:tc>
      </w:tr>
      <w:tr w:rsidR="00FE5D6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FE5D64" w:rsidRDefault="00E40776">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06B1B262" w:rsidR="00FE5D64" w:rsidRPr="009039F8" w:rsidRDefault="00674417">
            <w:pPr>
              <w:pStyle w:val="P68B1DB1-TableParagraph14"/>
              <w:spacing w:before="108"/>
              <w:ind w:left="85"/>
              <w:jc w:val="both"/>
              <w:rPr>
                <w:lang w:val="bg-BG"/>
              </w:rPr>
            </w:pPr>
            <w:r>
              <w:rPr>
                <w:lang w:val="bg-BG"/>
              </w:rPr>
              <w:t>Код</w:t>
            </w:r>
          </w:p>
          <w:p w14:paraId="7FE1B4BD" w14:textId="77777777" w:rsidR="00FE5D64" w:rsidRDefault="00E40776">
            <w:pPr>
              <w:pStyle w:val="P68B1DB1-TableParagraph13"/>
              <w:spacing w:before="108"/>
              <w:ind w:left="85"/>
              <w:jc w:val="both"/>
              <w:rPr>
                <w:bCs/>
              </w:rPr>
            </w:pPr>
            <w:r>
              <w:t>Собственият идентификационен код на правния субект или инвеститора, посочен в колона 0010.</w:t>
            </w:r>
          </w:p>
          <w:p w14:paraId="7FE1B4BE" w14:textId="45869FB9" w:rsidR="00FE5D64" w:rsidRDefault="00E40776">
            <w:pPr>
              <w:pStyle w:val="P68B1DB1-TableParagraph13"/>
              <w:spacing w:before="108"/>
              <w:ind w:left="85"/>
              <w:jc w:val="both"/>
              <w:rPr>
                <w:bCs/>
              </w:rPr>
            </w:pPr>
            <w:r>
              <w:t xml:space="preserve">Когато </w:t>
            </w:r>
            <w:r w:rsidR="005663BF">
              <w:rPr>
                <w:lang w:val="bg-BG"/>
              </w:rPr>
              <w:t>субектът, в който е инвестирано</w:t>
            </w:r>
            <w:r>
              <w:t xml:space="preserve"> е субект от групата, кодът е същият като посоченият в образец Z 01.01 (ORG 1). Когато </w:t>
            </w:r>
            <w:r w:rsidR="005663BF">
              <w:rPr>
                <w:lang w:val="bg-BG"/>
              </w:rPr>
              <w:t>субектът, в който е инвестирано</w:t>
            </w:r>
            <w:r>
              <w:t xml:space="preserve"> не е субект от групата, неговият код е:</w:t>
            </w:r>
          </w:p>
          <w:p w14:paraId="4B3351AF" w14:textId="58AA42F0" w:rsidR="00FE5D64" w:rsidRDefault="00E40776">
            <w:pPr>
              <w:pStyle w:val="P68B1DB1-TableParagraph13"/>
              <w:numPr>
                <w:ilvl w:val="0"/>
                <w:numId w:val="64"/>
              </w:numPr>
              <w:spacing w:before="108"/>
              <w:rPr>
                <w:bCs/>
              </w:rPr>
            </w:pPr>
            <w:r>
              <w:t xml:space="preserve">за институции с идентификационен код на правния субект (ИКПС) — </w:t>
            </w:r>
            <w:r w:rsidR="00272931">
              <w:rPr>
                <w:lang w:val="bg-BG"/>
              </w:rPr>
              <w:t>кодът е</w:t>
            </w:r>
            <w:r>
              <w:t xml:space="preserve"> 20-</w:t>
            </w:r>
            <w:r w:rsidR="00272931">
              <w:rPr>
                <w:lang w:val="bg-BG"/>
              </w:rPr>
              <w:t>знаковият</w:t>
            </w:r>
            <w:r w:rsidR="00272931">
              <w:t xml:space="preserve"> </w:t>
            </w:r>
            <w:r>
              <w:t>буквено-цифров ИКПС;</w:t>
            </w:r>
          </w:p>
          <w:p w14:paraId="7FE1B4C0" w14:textId="16D6DD03" w:rsidR="00FE5D64" w:rsidRDefault="00E40776">
            <w:pPr>
              <w:pStyle w:val="P68B1DB1-TableParagraph13"/>
              <w:numPr>
                <w:ilvl w:val="0"/>
                <w:numId w:val="64"/>
              </w:numPr>
              <w:spacing w:before="108"/>
              <w:rPr>
                <w:bCs/>
              </w:rPr>
            </w:pPr>
            <w:r>
              <w:t>—</w:t>
            </w:r>
            <w:r>
              <w:tab/>
              <w:t>ако няма такъв, използва</w:t>
            </w:r>
            <w:r w:rsidR="005663BF">
              <w:rPr>
                <w:lang w:val="bg-BG"/>
              </w:rPr>
              <w:t xml:space="preserve"> се</w:t>
            </w:r>
            <w:r>
              <w:t xml:space="preserve"> кодът на ПФИ или код по единна</w:t>
            </w:r>
            <w:r w:rsidR="00272931">
              <w:t xml:space="preserve"> </w:t>
            </w:r>
            <w:r>
              <w:t>кодификация, приложима в Съюза.</w:t>
            </w:r>
          </w:p>
          <w:p w14:paraId="7FE1B4C1" w14:textId="579A6621" w:rsidR="00FE5D64" w:rsidRDefault="00971BF3" w:rsidP="00971BF3">
            <w:pPr>
              <w:pStyle w:val="P68B1DB1-TableParagraph13"/>
              <w:spacing w:before="108"/>
              <w:ind w:left="85"/>
              <w:jc w:val="both"/>
              <w:rPr>
                <w:b/>
                <w:bCs/>
              </w:rPr>
            </w:pPr>
            <w:r>
              <w:rPr>
                <w:lang w:val="bg-BG"/>
              </w:rPr>
              <w:t>И в</w:t>
            </w:r>
            <w:r>
              <w:t xml:space="preserve"> </w:t>
            </w:r>
            <w:r w:rsidR="00E40776">
              <w:t>двата случая, кодът</w:t>
            </w:r>
            <w:r w:rsidRPr="005663BF">
              <w:rPr>
                <w:lang w:val="bg-BG"/>
              </w:rPr>
              <w:t xml:space="preserve"> </w:t>
            </w:r>
            <w:r w:rsidR="00E40776">
              <w:t>е</w:t>
            </w:r>
            <w:r w:rsidR="005663BF">
              <w:rPr>
                <w:lang w:val="bg-BG"/>
              </w:rPr>
              <w:t xml:space="preserve"> </w:t>
            </w:r>
            <w:r>
              <w:rPr>
                <w:lang w:val="bg-BG"/>
              </w:rPr>
              <w:t>уникален</w:t>
            </w:r>
            <w:r w:rsidR="00E40776">
              <w:t xml:space="preserve"> и</w:t>
            </w:r>
            <w:r w:rsidRPr="005663BF">
              <w:rPr>
                <w:lang w:val="bg-BG"/>
              </w:rPr>
              <w:t xml:space="preserve"> </w:t>
            </w:r>
            <w:r w:rsidR="00E40776">
              <w:t>се използва последователно във всички образци.</w:t>
            </w:r>
          </w:p>
        </w:tc>
      </w:tr>
      <w:tr w:rsidR="00FE5D6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FE5D64" w:rsidRDefault="00E40776">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FE5D64" w:rsidRDefault="00E40776">
            <w:pPr>
              <w:pStyle w:val="P68B1DB1-TableParagraph14"/>
              <w:spacing w:before="108"/>
              <w:ind w:left="85"/>
              <w:jc w:val="both"/>
              <w:rPr>
                <w:bCs/>
              </w:rPr>
            </w:pPr>
            <w:r>
              <w:t>Вид код</w:t>
            </w:r>
          </w:p>
          <w:p w14:paraId="7FE1B4C5" w14:textId="594CDB66" w:rsidR="00FE5D64" w:rsidRDefault="00E40776">
            <w:pPr>
              <w:pStyle w:val="P68B1DB1-TableParagraph13"/>
              <w:spacing w:before="108"/>
              <w:ind w:left="85"/>
              <w:jc w:val="both"/>
              <w:rPr>
                <w:bCs/>
              </w:rPr>
            </w:pPr>
            <w:r>
              <w:t xml:space="preserve">Когато </w:t>
            </w:r>
            <w:r w:rsidR="005663BF">
              <w:rPr>
                <w:lang w:val="bg-BG"/>
              </w:rPr>
              <w:t>субектът, в който е инвестирано</w:t>
            </w:r>
            <w:r>
              <w:t xml:space="preserve"> е субект от групата, кодът е същият като посоченият в образец Z 01.01 (ORG 1). </w:t>
            </w:r>
          </w:p>
          <w:p w14:paraId="783CEC76" w14:textId="7489C8F8" w:rsidR="00FE5D64" w:rsidRDefault="00E40776">
            <w:pPr>
              <w:pStyle w:val="P68B1DB1-TableParagraph13"/>
              <w:spacing w:before="108"/>
              <w:ind w:left="85"/>
              <w:jc w:val="both"/>
              <w:rPr>
                <w:bCs/>
              </w:rPr>
            </w:pPr>
            <w:r>
              <w:t>Избира се измежду следните варианти: „ИКПС</w:t>
            </w:r>
            <w:r w:rsidR="00F63E4B">
              <w:t>”</w:t>
            </w:r>
            <w:r w:rsidR="00F63E4B">
              <w:rPr>
                <w:lang w:val="bg-BG"/>
              </w:rPr>
              <w:t>,</w:t>
            </w:r>
            <w:r w:rsidR="00F63E4B">
              <w:t xml:space="preserve"> </w:t>
            </w:r>
            <w:r>
              <w:t>„, „Код на ПФИ</w:t>
            </w:r>
            <w:r w:rsidR="00E16672">
              <w:rPr>
                <w:lang w:val="bg-BG"/>
              </w:rPr>
              <w:t xml:space="preserve">“ </w:t>
            </w:r>
            <w:r>
              <w:t>или „Вид идентификатор, различен от ИКПС или код на ПФИ“.</w:t>
            </w:r>
          </w:p>
          <w:p w14:paraId="7FE1B4CA" w14:textId="092DA599" w:rsidR="00FE5D64" w:rsidRDefault="00E40776">
            <w:pPr>
              <w:pStyle w:val="P68B1DB1-TableParagraph17"/>
              <w:spacing w:before="108"/>
            </w:pPr>
            <w:r>
              <w:t>Видът на кода винаги се посочва.</w:t>
            </w:r>
          </w:p>
          <w:p w14:paraId="7FE1B4CB" w14:textId="036DDB45" w:rsidR="00FE5D64" w:rsidRDefault="00E40776">
            <w:pPr>
              <w:pStyle w:val="P68B1DB1-TableParagraph13"/>
              <w:spacing w:before="108"/>
              <w:ind w:left="85"/>
              <w:rPr>
                <w:b/>
                <w:bCs/>
              </w:rPr>
            </w:pPr>
            <w:r>
              <w:t xml:space="preserve">За идентифициране на субектите или </w:t>
            </w:r>
            <w:r w:rsidR="009039F8">
              <w:rPr>
                <w:lang w:val="bg-BG"/>
              </w:rPr>
              <w:t>субектите</w:t>
            </w:r>
            <w:r>
              <w:t>, в които е инвестирано, двойката</w:t>
            </w:r>
            <w:r w:rsidR="00502E13">
              <w:rPr>
                <w:lang w:val="bg-BG"/>
              </w:rPr>
              <w:t xml:space="preserve"> </w:t>
            </w:r>
            <w:r w:rsidR="00F63E4B">
              <w:rPr>
                <w:lang w:val="bg-BG"/>
              </w:rPr>
              <w:t>„Код“</w:t>
            </w:r>
            <w:r w:rsidR="00F63E4B">
              <w:t xml:space="preserve"> и </w:t>
            </w:r>
            <w:r w:rsidR="00F63E4B">
              <w:rPr>
                <w:lang w:val="bg-BG"/>
              </w:rPr>
              <w:t>„</w:t>
            </w:r>
            <w:r w:rsidR="00502E13">
              <w:rPr>
                <w:lang w:val="bg-BG"/>
              </w:rPr>
              <w:t>Вид</w:t>
            </w:r>
            <w:r w:rsidR="00F63E4B">
              <w:rPr>
                <w:lang w:val="bg-BG"/>
              </w:rPr>
              <w:t>“</w:t>
            </w:r>
            <w:r w:rsidR="00F63E4B">
              <w:t xml:space="preserve"> </w:t>
            </w:r>
            <w:r>
              <w:t xml:space="preserve"> се използва последователно в образците.</w:t>
            </w:r>
          </w:p>
        </w:tc>
      </w:tr>
      <w:tr w:rsidR="00FE5D64" w14:paraId="7FE1B4D2" w14:textId="77777777" w:rsidTr="009039F8">
        <w:tc>
          <w:tcPr>
            <w:tcW w:w="0" w:type="auto"/>
            <w:tcBorders>
              <w:top w:val="single" w:sz="4" w:space="0" w:color="1A171C"/>
              <w:left w:val="nil"/>
              <w:bottom w:val="single" w:sz="4" w:space="0" w:color="1A171C"/>
              <w:right w:val="single" w:sz="4" w:space="0" w:color="1A171C"/>
            </w:tcBorders>
          </w:tcPr>
          <w:p w14:paraId="7FE1B4CD" w14:textId="77777777" w:rsidR="00FE5D64" w:rsidRDefault="00E40776">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FE5D64" w:rsidRDefault="00E40776">
            <w:pPr>
              <w:pStyle w:val="P68B1DB1-TableParagraph14"/>
              <w:spacing w:before="108"/>
              <w:ind w:left="85"/>
            </w:pPr>
            <w:r>
              <w:t>Международен клон</w:t>
            </w:r>
          </w:p>
          <w:p w14:paraId="7FE1B4CF" w14:textId="28819F17" w:rsidR="00FE5D64" w:rsidRDefault="009039F8">
            <w:pPr>
              <w:pStyle w:val="P68B1DB1-TableParagraph13"/>
              <w:spacing w:before="108"/>
              <w:ind w:left="85"/>
              <w:jc w:val="both"/>
            </w:pPr>
            <w:r>
              <w:rPr>
                <w:lang w:val="bg-BG"/>
              </w:rPr>
              <w:t>Посочват се</w:t>
            </w:r>
            <w:r>
              <w:t xml:space="preserve"> </w:t>
            </w:r>
            <w:r w:rsidR="00E40776">
              <w:t>следните съкращения:</w:t>
            </w:r>
          </w:p>
          <w:p w14:paraId="7FE1B4D0" w14:textId="0F2F9A3D" w:rsidR="00FE5D64" w:rsidRDefault="00E40776">
            <w:pPr>
              <w:pStyle w:val="P68B1DB1-TableParagraph13"/>
              <w:spacing w:before="108"/>
              <w:ind w:left="85"/>
              <w:jc w:val="both"/>
            </w:pPr>
            <w:r>
              <w:lastRenderedPageBreak/>
              <w:t>Да — в случай че предприятието, в което е инвестирано, е международен клон на инвеститора.</w:t>
            </w:r>
          </w:p>
          <w:p w14:paraId="7FE1B4D1" w14:textId="303CCEBB" w:rsidR="00FE5D64" w:rsidRDefault="00E40776">
            <w:pPr>
              <w:pStyle w:val="P68B1DB1-TableParagraph13"/>
              <w:spacing w:before="108"/>
              <w:ind w:left="85"/>
              <w:jc w:val="both"/>
              <w:rPr>
                <w:b/>
                <w:bCs/>
              </w:rPr>
            </w:pPr>
            <w:r>
              <w:t>Не — в случай на юридическо лице.</w:t>
            </w:r>
          </w:p>
        </w:tc>
      </w:tr>
      <w:tr w:rsidR="00FE5D64" w14:paraId="7FE1B4D5" w14:textId="77777777" w:rsidTr="009039F8">
        <w:tc>
          <w:tcPr>
            <w:tcW w:w="0" w:type="auto"/>
            <w:tcBorders>
              <w:top w:val="single" w:sz="4" w:space="0" w:color="1A171C"/>
              <w:left w:val="nil"/>
              <w:bottom w:val="single" w:sz="4" w:space="0" w:color="1A171C"/>
              <w:right w:val="single" w:sz="4" w:space="0" w:color="1A171C"/>
            </w:tcBorders>
          </w:tcPr>
          <w:p w14:paraId="7FE1B4D3" w14:textId="44267444" w:rsidR="00FE5D64" w:rsidRDefault="00E40776">
            <w:pPr>
              <w:pStyle w:val="P68B1DB1-TableParagraph13"/>
              <w:spacing w:before="106"/>
              <w:ind w:left="-1"/>
            </w:pPr>
            <w:r>
              <w:lastRenderedPageBreak/>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FE5D64" w:rsidRDefault="00E40776">
            <w:pPr>
              <w:pStyle w:val="P68B1DB1-TableParagraph14"/>
              <w:spacing w:before="108"/>
              <w:ind w:left="85"/>
              <w:jc w:val="both"/>
              <w:rPr>
                <w:bCs/>
              </w:rPr>
            </w:pPr>
            <w:r>
              <w:t>Собственост</w:t>
            </w:r>
          </w:p>
        </w:tc>
      </w:tr>
      <w:tr w:rsidR="00FE5D6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FE5D64" w:rsidRDefault="00E40776">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FE5D64" w:rsidRDefault="00E40776">
            <w:pPr>
              <w:pStyle w:val="P68B1DB1-TableParagraph14"/>
              <w:spacing w:before="108"/>
              <w:ind w:left="85"/>
              <w:jc w:val="both"/>
            </w:pPr>
            <w:r>
              <w:t>Акционерен капитал</w:t>
            </w:r>
          </w:p>
          <w:p w14:paraId="7FE1B4D8" w14:textId="0FC0F19A" w:rsidR="00FE5D64" w:rsidRDefault="00E40776" w:rsidP="002A551F">
            <w:pPr>
              <w:pStyle w:val="P68B1DB1-TableParagraph17"/>
              <w:spacing w:before="108"/>
              <w:ind w:left="85"/>
              <w:jc w:val="both"/>
            </w:pPr>
            <w:r>
              <w:t xml:space="preserve">Размер на акционерния капитал, държан от инвеститора, с изключение на резервите. В случай на международен клон полето </w:t>
            </w:r>
            <w:r w:rsidR="002A551F">
              <w:rPr>
                <w:lang w:val="bg-BG"/>
              </w:rPr>
              <w:t>остава</w:t>
            </w:r>
            <w:r w:rsidR="002A551F">
              <w:t xml:space="preserve"> </w:t>
            </w:r>
            <w:r>
              <w:t>празно.</w:t>
            </w:r>
          </w:p>
        </w:tc>
      </w:tr>
      <w:tr w:rsidR="00FE5D6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FE5D64" w:rsidRDefault="00E40776">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FE5D64" w:rsidRDefault="00E40776">
            <w:pPr>
              <w:pStyle w:val="P68B1DB1-TableParagraph14"/>
              <w:spacing w:before="108"/>
              <w:ind w:left="85"/>
              <w:rPr>
                <w:rFonts w:eastAsia="Book Antiqua"/>
              </w:rPr>
            </w:pPr>
            <w:r>
              <w:t>Права на глас в субекта</w:t>
            </w:r>
          </w:p>
          <w:p w14:paraId="7FE1B4DC" w14:textId="664A0251" w:rsidR="00FE5D64" w:rsidRDefault="00E40776" w:rsidP="002A551F">
            <w:pPr>
              <w:pStyle w:val="P68B1DB1-TableParagraph17"/>
              <w:spacing w:before="108"/>
              <w:ind w:left="85"/>
              <w:jc w:val="both"/>
              <w:rPr>
                <w:b/>
              </w:rPr>
            </w:pPr>
            <w:r>
              <w:t xml:space="preserve">Процент от правата на глас, </w:t>
            </w:r>
            <w:r w:rsidR="002A551F">
              <w:rPr>
                <w:lang w:val="bg-BG"/>
              </w:rPr>
              <w:t>държани</w:t>
            </w:r>
            <w:r w:rsidR="002A551F">
              <w:t xml:space="preserve"> </w:t>
            </w:r>
            <w:r>
              <w:t xml:space="preserve">от инвеститора. Тази информация се изисква само ако една акция не е равна на един глас (следователно правата на глас не са равни на акционерния капитал). В случай на международен клон полето </w:t>
            </w:r>
            <w:r w:rsidR="002A551F">
              <w:rPr>
                <w:lang w:val="bg-BG"/>
              </w:rPr>
              <w:t>остава</w:t>
            </w:r>
            <w:r w:rsidR="002A551F">
              <w:t xml:space="preserve"> </w:t>
            </w:r>
            <w:r>
              <w:t>празно.</w:t>
            </w:r>
          </w:p>
        </w:tc>
      </w:tr>
    </w:tbl>
    <w:p w14:paraId="7FE1B4DE" w14:textId="77777777" w:rsidR="00FE5D64" w:rsidRDefault="00FE5D64">
      <w:pPr>
        <w:rPr>
          <w:rFonts w:ascii="Times New Roman" w:hAnsi="Times New Roman" w:cs="Times New Roman"/>
        </w:rPr>
      </w:pPr>
    </w:p>
    <w:p w14:paraId="7FE1B4DF" w14:textId="77777777" w:rsidR="00FE5D64" w:rsidRDefault="00FE5D64">
      <w:pPr>
        <w:rPr>
          <w:rFonts w:ascii="Times New Roman" w:hAnsi="Times New Roman" w:cs="Times New Roman"/>
        </w:rPr>
      </w:pPr>
    </w:p>
    <w:p w14:paraId="7FE1B4E1" w14:textId="77777777" w:rsidR="00FE5D64" w:rsidRDefault="00E40776">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45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Структура на задълженията (LIAB 1)</w:t>
      </w:r>
      <w:bookmarkEnd w:id="54"/>
      <w:bookmarkEnd w:id="55"/>
      <w:bookmarkEnd w:id="56"/>
    </w:p>
    <w:p w14:paraId="7FE1B4E2" w14:textId="77777777" w:rsidR="00FE5D64" w:rsidRDefault="00E40776">
      <w:pPr>
        <w:pStyle w:val="Instructionsberschrift3"/>
      </w:pPr>
      <w:r>
        <w:t>Общи бележки</w:t>
      </w:r>
    </w:p>
    <w:p w14:paraId="7FE1B4E3" w14:textId="6C944785" w:rsidR="00FE5D64" w:rsidRDefault="00E40776">
      <w:pPr>
        <w:pStyle w:val="P68B1DB1-InstructionsText26"/>
        <w:numPr>
          <w:ilvl w:val="0"/>
          <w:numId w:val="233"/>
        </w:numPr>
        <w:spacing w:before="0"/>
      </w:pPr>
      <w:r>
        <w:t xml:space="preserve">Този образец изисква подробна информация за структурата на задълженията на субекта или групата. Задълженията се подразделят на задължения, изключени от </w:t>
      </w:r>
      <w:r w:rsidR="00BE2A5F">
        <w:rPr>
          <w:lang w:val="bg-BG"/>
        </w:rPr>
        <w:t xml:space="preserve">обхвата на инструмента за </w:t>
      </w:r>
      <w:r>
        <w:t>споделяне на загуби, и такива, които не са изключени от</w:t>
      </w:r>
      <w:r w:rsidR="00BE2A5F">
        <w:rPr>
          <w:lang w:val="bg-BG"/>
        </w:rPr>
        <w:t xml:space="preserve"> обхвата на инструмента за</w:t>
      </w:r>
      <w:r>
        <w:t xml:space="preserve"> споделяне на загуби. Предостав</w:t>
      </w:r>
      <w:r w:rsidR="00BE2A5F">
        <w:rPr>
          <w:lang w:val="bg-BG"/>
        </w:rPr>
        <w:t>ят</w:t>
      </w:r>
      <w:r>
        <w:t xml:space="preserve"> </w:t>
      </w:r>
      <w:r w:rsidR="00BE2A5F">
        <w:rPr>
          <w:lang w:val="bg-BG"/>
        </w:rPr>
        <w:t>се</w:t>
      </w:r>
      <w:r w:rsidR="00BE2A5F">
        <w:t xml:space="preserve"> </w:t>
      </w:r>
      <w:r>
        <w:t xml:space="preserve">допълнителни разбивки по категории </w:t>
      </w:r>
      <w:r w:rsidR="005E7CA9">
        <w:rPr>
          <w:lang w:val="bg-BG"/>
        </w:rPr>
        <w:t>задължения</w:t>
      </w:r>
      <w:r>
        <w:t>,</w:t>
      </w:r>
      <w:r w:rsidR="005E7CA9" w:rsidRPr="00BE2A5F">
        <w:rPr>
          <w:lang w:val="bg-BG"/>
        </w:rPr>
        <w:t xml:space="preserve"> </w:t>
      </w:r>
      <w:r>
        <w:t>контрагенти и остатъчен срок до падежа.</w:t>
      </w:r>
    </w:p>
    <w:p w14:paraId="7FE1B4E4" w14:textId="77777777" w:rsidR="00FE5D64" w:rsidRDefault="00E40776">
      <w:pPr>
        <w:pStyle w:val="P68B1DB1-InstructionsText26"/>
        <w:numPr>
          <w:ilvl w:val="0"/>
          <w:numId w:val="233"/>
        </w:numPr>
        <w:spacing w:before="0"/>
      </w:pPr>
      <w:r>
        <w:t>Когато в настоящия образец е представена разбивка по падежи, остатъчният срок до падежа е времето до договорения падеж. Чрез дерогация от това:</w:t>
      </w:r>
    </w:p>
    <w:p w14:paraId="7FE1B4E5" w14:textId="0B1F769E" w:rsidR="00FE5D64" w:rsidRDefault="00E40776" w:rsidP="00F6605A">
      <w:pPr>
        <w:pStyle w:val="P68B1DB1-InstructionsText26"/>
        <w:numPr>
          <w:ilvl w:val="1"/>
          <w:numId w:val="233"/>
        </w:numPr>
        <w:spacing w:before="0"/>
      </w:pPr>
      <w:r>
        <w:t xml:space="preserve">когато инструмент на </w:t>
      </w:r>
      <w:r w:rsidR="00F50F66">
        <w:rPr>
          <w:lang w:val="bg-BG"/>
        </w:rPr>
        <w:t>задълженията</w:t>
      </w:r>
      <w:r>
        <w:t xml:space="preserve"> включва опция за обратно изкупуване от държателя, която може да бъде упражнена преди първоначално обявения падеж</w:t>
      </w:r>
      <w:r w:rsidR="006A0AA6">
        <w:rPr>
          <w:lang w:val="bg-BG"/>
        </w:rPr>
        <w:t xml:space="preserve"> на инструмента</w:t>
      </w:r>
      <w:r>
        <w:t xml:space="preserve">, падежът на инструмента е най-ранната </w:t>
      </w:r>
      <w:r w:rsidR="00F6605A">
        <w:t xml:space="preserve">възможна </w:t>
      </w:r>
      <w:r>
        <w:t>дата, на която държателят може да упражни опцията за обратно изкупуване и да поиска обратно изкупуване или изплащане на инструмента;</w:t>
      </w:r>
    </w:p>
    <w:p w14:paraId="7FE1B4E6" w14:textId="601A6AA7" w:rsidR="00FE5D64" w:rsidRDefault="00F50F66" w:rsidP="0061505B">
      <w:pPr>
        <w:pStyle w:val="P68B1DB1-InstructionsText26"/>
        <w:numPr>
          <w:ilvl w:val="0"/>
          <w:numId w:val="0"/>
        </w:numPr>
        <w:spacing w:before="0"/>
        <w:ind w:left="1440"/>
      </w:pPr>
      <w:r>
        <w:rPr>
          <w:lang w:val="bg-BG"/>
        </w:rPr>
        <w:t xml:space="preserve">б) </w:t>
      </w:r>
      <w:r w:rsidR="00E40776">
        <w:t xml:space="preserve">когато инструмент на </w:t>
      </w:r>
      <w:r>
        <w:rPr>
          <w:lang w:val="bg-BG"/>
        </w:rPr>
        <w:t>задълженията</w:t>
      </w:r>
      <w:r w:rsidR="00E40776">
        <w:t xml:space="preserve"> включва стимул за емитента да изкупи обратно или да изплати инструмента преди първоначално обявения падеж</w:t>
      </w:r>
      <w:r w:rsidR="008D5DCB">
        <w:rPr>
          <w:lang w:val="bg-BG"/>
        </w:rPr>
        <w:t xml:space="preserve"> на инструмента</w:t>
      </w:r>
      <w:r w:rsidR="00E40776">
        <w:t xml:space="preserve">, падежът на инструмента е </w:t>
      </w:r>
      <w:r w:rsidR="00F6605A">
        <w:t>най-ранната възможна</w:t>
      </w:r>
      <w:r w:rsidR="00E40776">
        <w:t xml:space="preserve"> дата, на която емитентът може да упражни тази опция и да поиска обратно изкупуване или изплащане на инструмента;</w:t>
      </w:r>
    </w:p>
    <w:p w14:paraId="7FE1B4E8" w14:textId="77777777" w:rsidR="00FE5D64" w:rsidRDefault="00E40776">
      <w:pPr>
        <w:pStyle w:val="P68B1DB1-InstructionsText26"/>
        <w:numPr>
          <w:ilvl w:val="0"/>
          <w:numId w:val="233"/>
        </w:numPr>
        <w:spacing w:before="0"/>
      </w:pPr>
      <w:r>
        <w:t>При междинни плащания по главницата, главницата се разделя и разпределя в съответните падежни групи. Когато е приложимо, падежът се разглежда отделно за сумата на главницата и за начислената лихва.</w:t>
      </w:r>
    </w:p>
    <w:p w14:paraId="7FE1B4E9" w14:textId="7225004D" w:rsidR="00FE5D64" w:rsidRDefault="00E40776">
      <w:pPr>
        <w:pStyle w:val="P68B1DB1-InstructionsText26"/>
        <w:numPr>
          <w:ilvl w:val="0"/>
          <w:numId w:val="233"/>
        </w:numPr>
        <w:spacing w:before="0"/>
      </w:pPr>
      <w:r>
        <w:t>В някои специфични случаи падежът на даден инструмент зависи от външни фактори, върху които институцията има малко или никакво влияние. В такива случаи първата дата, на която такива събития могат да доведат до възстановяване, се счита за най-ранната дата на обратно изкупуване.</w:t>
      </w:r>
    </w:p>
    <w:p w14:paraId="7FE1B4EA" w14:textId="707A7F0D" w:rsidR="00FE5D64" w:rsidRDefault="00E40776">
      <w:pPr>
        <w:pStyle w:val="P68B1DB1-InstructionsText26"/>
        <w:numPr>
          <w:ilvl w:val="0"/>
          <w:numId w:val="233"/>
        </w:numPr>
        <w:spacing w:before="0"/>
      </w:pPr>
      <w:r>
        <w:t>В други случаи договорите не предвиждат конкретна дата на падежа, като например безсрочни</w:t>
      </w:r>
      <w:r w:rsidR="005E0C23" w:rsidRPr="00592250">
        <w:rPr>
          <w:lang w:val="bg-BG"/>
        </w:rPr>
        <w:t xml:space="preserve"> </w:t>
      </w:r>
      <w:r w:rsidR="005E0C23">
        <w:rPr>
          <w:lang w:val="bg-BG"/>
        </w:rPr>
        <w:t>(на виждане)</w:t>
      </w:r>
      <w:r>
        <w:t xml:space="preserve"> или овърнайт депозити. В тези случаи</w:t>
      </w:r>
      <w:r w:rsidR="00592250">
        <w:rPr>
          <w:lang w:val="bg-BG"/>
        </w:rPr>
        <w:t xml:space="preserve"> задълженията се отчитат като падежиращи на </w:t>
      </w:r>
      <w:r>
        <w:t>първата възможна дата, т.е. следващия/един ден след отчетната дата.</w:t>
      </w:r>
    </w:p>
    <w:p w14:paraId="7FE1B4EB" w14:textId="11DD1929" w:rsidR="00FE5D64" w:rsidRDefault="00E40776" w:rsidP="00FE4D82">
      <w:pPr>
        <w:pStyle w:val="P68B1DB1-InstructionsText26"/>
        <w:numPr>
          <w:ilvl w:val="0"/>
          <w:numId w:val="233"/>
        </w:numPr>
        <w:spacing w:before="0"/>
      </w:pPr>
      <w:r>
        <w:lastRenderedPageBreak/>
        <w:t xml:space="preserve">Що се отнася до депозитите, </w:t>
      </w:r>
      <w:r w:rsidR="00EA2006">
        <w:rPr>
          <w:lang w:val="bg-BG"/>
        </w:rPr>
        <w:t>покритието съгласно Директивата относно схемите за гарантиране на депозити</w:t>
      </w:r>
      <w:r w:rsidR="00F65D6D">
        <w:t xml:space="preserve"> </w:t>
      </w:r>
      <w:r>
        <w:t xml:space="preserve">не прави </w:t>
      </w:r>
      <w:r w:rsidR="00F65D6D">
        <w:rPr>
          <w:lang w:val="bg-BG"/>
        </w:rPr>
        <w:t>задължително</w:t>
      </w:r>
      <w:r w:rsidR="00F65D6D">
        <w:t xml:space="preserve"> </w:t>
      </w:r>
      <w:r>
        <w:t xml:space="preserve">разграничение между падежите, които се считат за обезпечени, ако съществуват различни срокове до падежа. Поради това, за да разделят необезпечената част на падежни групи, институциите се </w:t>
      </w:r>
      <w:r w:rsidR="00F65D6D">
        <w:rPr>
          <w:lang w:val="bg-BG"/>
        </w:rPr>
        <w:t>приканват</w:t>
      </w:r>
      <w:r w:rsidR="00F65D6D">
        <w:t xml:space="preserve"> </w:t>
      </w:r>
      <w:r>
        <w:t>да прилагат пропорционален подход за общия размер на покритието и да разпределят непокритата част по съответния срок до падежа на базовите депозити, освен ако не са приложими специални разпоредби, произтичащи от транспонирането на Директива 2014/49/ЕС в националното законодателство.</w:t>
      </w:r>
    </w:p>
    <w:p w14:paraId="7FE1B4EC" w14:textId="28A92950" w:rsidR="00FE5D64" w:rsidRDefault="00E40776" w:rsidP="00F65D6D">
      <w:pPr>
        <w:pStyle w:val="P68B1DB1-InstructionsText26"/>
        <w:numPr>
          <w:ilvl w:val="0"/>
          <w:numId w:val="233"/>
        </w:numPr>
        <w:spacing w:before="0"/>
      </w:pPr>
      <w:r>
        <w:t xml:space="preserve">Когато дадено задължение отговаря на множество критерии и може да бъде отчетено в няколко реда в </w:t>
      </w:r>
      <w:r w:rsidR="00F65D6D">
        <w:rPr>
          <w:lang w:val="bg-BG"/>
        </w:rPr>
        <w:t>диапазона от</w:t>
      </w:r>
      <w:r w:rsidR="00F65D6D">
        <w:t xml:space="preserve"> </w:t>
      </w:r>
      <w:r>
        <w:t xml:space="preserve">r0110 </w:t>
      </w:r>
      <w:r w:rsidR="00F65D6D">
        <w:rPr>
          <w:lang w:val="bg-BG"/>
        </w:rPr>
        <w:t>до</w:t>
      </w:r>
      <w:r>
        <w:t xml:space="preserve"> r0210, то се отчита само в един ред, т.е. този с най-ниския номер на реда в настоящия образец.</w:t>
      </w:r>
    </w:p>
    <w:p w14:paraId="7FE1B4ED" w14:textId="025750A4" w:rsidR="00FE5D64" w:rsidRDefault="00E40776">
      <w:pPr>
        <w:pStyle w:val="P68B1DB1-InstructionsText26"/>
        <w:numPr>
          <w:ilvl w:val="0"/>
          <w:numId w:val="233"/>
        </w:numPr>
      </w:pPr>
      <w:r>
        <w:t xml:space="preserve">Сумите в този образец се отчитат както </w:t>
      </w:r>
      <w:r w:rsidR="00FE20D2">
        <w:rPr>
          <w:lang w:val="bg-BG"/>
        </w:rPr>
        <w:t>по дължима стойност,</w:t>
      </w:r>
      <w:r w:rsidR="00FE20D2" w:rsidDel="00FE20D2">
        <w:t xml:space="preserve"> </w:t>
      </w:r>
      <w:r>
        <w:t xml:space="preserve">така и </w:t>
      </w:r>
      <w:r w:rsidR="00FE20D2">
        <w:rPr>
          <w:lang w:val="bg-BG"/>
        </w:rPr>
        <w:t>по</w:t>
      </w:r>
      <w:r>
        <w:t xml:space="preserve"> балансов</w:t>
      </w:r>
      <w:r w:rsidR="00FE20D2">
        <w:rPr>
          <w:lang w:val="bg-BG"/>
        </w:rPr>
        <w:t>а</w:t>
      </w:r>
      <w:r>
        <w:t xml:space="preserve"> стойност:</w:t>
      </w:r>
    </w:p>
    <w:p w14:paraId="7FE1B4EE" w14:textId="319BD670" w:rsidR="00FE5D64" w:rsidRDefault="00C15A11" w:rsidP="00F65D6D">
      <w:pPr>
        <w:pStyle w:val="P68B1DB1-InstructionsText26"/>
        <w:numPr>
          <w:ilvl w:val="1"/>
          <w:numId w:val="233"/>
        </w:numPr>
      </w:pPr>
      <w:r>
        <w:rPr>
          <w:lang w:val="bg-BG"/>
        </w:rPr>
        <w:t>Дължимата</w:t>
      </w:r>
      <w:r>
        <w:t xml:space="preserve"> </w:t>
      </w:r>
      <w:r w:rsidR="00E40776">
        <w:t xml:space="preserve">стойност </w:t>
      </w:r>
      <w:r w:rsidR="00F65D6D">
        <w:rPr>
          <w:lang w:val="bg-BG"/>
        </w:rPr>
        <w:t>по</w:t>
      </w:r>
      <w:r w:rsidR="00F65D6D" w:rsidRPr="00C15A11">
        <w:rPr>
          <w:lang w:val="bg-BG"/>
        </w:rPr>
        <w:t xml:space="preserve"> </w:t>
      </w:r>
      <w:r w:rsidR="00F65D6D">
        <w:rPr>
          <w:lang w:val="bg-BG"/>
        </w:rPr>
        <w:t>вземане</w:t>
      </w:r>
      <w:r w:rsidR="00E40776">
        <w:t xml:space="preserve"> или инструмент е</w:t>
      </w:r>
      <w:r w:rsidR="00F65D6D" w:rsidRPr="00C15A11">
        <w:rPr>
          <w:lang w:val="bg-BG"/>
        </w:rPr>
        <w:t xml:space="preserve"> </w:t>
      </w:r>
      <w:r w:rsidR="00F65D6D">
        <w:rPr>
          <w:lang w:val="bg-BG"/>
        </w:rPr>
        <w:t xml:space="preserve">сумата </w:t>
      </w:r>
      <w:r w:rsidR="00F65D6D" w:rsidRPr="00C15A11">
        <w:rPr>
          <w:lang w:val="bg-BG"/>
        </w:rPr>
        <w:t>от г</w:t>
      </w:r>
      <w:r w:rsidR="00E40776" w:rsidRPr="00C15A11">
        <w:rPr>
          <w:lang w:val="bg-BG"/>
        </w:rPr>
        <w:t>лавница</w:t>
      </w:r>
      <w:r w:rsidR="00F65D6D" w:rsidRPr="00C15A11">
        <w:rPr>
          <w:lang w:val="bg-BG"/>
        </w:rPr>
        <w:t xml:space="preserve">та </w:t>
      </w:r>
      <w:r w:rsidR="00A54DFF" w:rsidRPr="00C15A11">
        <w:rPr>
          <w:lang w:val="bg-BG"/>
        </w:rPr>
        <w:t>заедно с</w:t>
      </w:r>
      <w:r w:rsidR="00E40776" w:rsidRPr="00C15A11">
        <w:rPr>
          <w:lang w:val="bg-BG"/>
        </w:rPr>
        <w:t xml:space="preserve"> </w:t>
      </w:r>
      <w:r w:rsidR="00F65D6D" w:rsidRPr="00C15A11">
        <w:rPr>
          <w:lang w:val="bg-BG"/>
        </w:rPr>
        <w:t>начислените лихви по вземането или инструмента</w:t>
      </w:r>
      <w:r w:rsidR="00E40776" w:rsidRPr="00C15A11">
        <w:rPr>
          <w:lang w:val="bg-BG"/>
        </w:rPr>
        <w:t>.</w:t>
      </w:r>
      <w:r w:rsidR="00E40776">
        <w:t xml:space="preserve"> </w:t>
      </w:r>
      <w:r>
        <w:rPr>
          <w:lang w:val="bg-BG"/>
        </w:rPr>
        <w:t>Д</w:t>
      </w:r>
      <w:r w:rsidR="00E40776">
        <w:t>ължима</w:t>
      </w:r>
      <w:r>
        <w:rPr>
          <w:lang w:val="bg-BG"/>
        </w:rPr>
        <w:t>та</w:t>
      </w:r>
      <w:r w:rsidR="00E40776">
        <w:t xml:space="preserve"> сума е равна на стойността на вземането, което кредиторът </w:t>
      </w:r>
      <w:r>
        <w:rPr>
          <w:lang w:val="bg-BG"/>
        </w:rPr>
        <w:t>би могъл да претендира</w:t>
      </w:r>
      <w:r w:rsidR="00A54DFF" w:rsidRPr="00C15A11">
        <w:rPr>
          <w:lang w:val="bg-BG"/>
        </w:rPr>
        <w:t xml:space="preserve"> </w:t>
      </w:r>
      <w:r w:rsidR="00E40776">
        <w:t xml:space="preserve">в рамките на производство по несъстоятелност, без да се вземат предвид разпоредбите за прихващане при несъстоятелност, и не включва премии или отстъпки по инструменти на </w:t>
      </w:r>
      <w:r w:rsidR="00A4500E">
        <w:rPr>
          <w:lang w:val="bg-BG"/>
        </w:rPr>
        <w:t>задълженията</w:t>
      </w:r>
      <w:r w:rsidR="00E40776">
        <w:t>. В случаите, когато вземане</w:t>
      </w:r>
      <w:r w:rsidR="00CA5FE1">
        <w:t xml:space="preserve"> не е предявено</w:t>
      </w:r>
      <w:r w:rsidR="00E40776">
        <w:t xml:space="preserve"> в рамките на производство по несъстоятелност, </w:t>
      </w:r>
      <w:r w:rsidR="00A4500E">
        <w:rPr>
          <w:lang w:val="bg-BG"/>
        </w:rPr>
        <w:t>дължимата</w:t>
      </w:r>
      <w:r w:rsidR="00A4500E">
        <w:t xml:space="preserve"> </w:t>
      </w:r>
      <w:r w:rsidR="00E40776">
        <w:t xml:space="preserve">сума се очаква да бъде равна на нула. </w:t>
      </w:r>
    </w:p>
    <w:p w14:paraId="7FE1B4EF" w14:textId="065B3F9A" w:rsidR="00FE5D64" w:rsidRDefault="00E40776" w:rsidP="001118F2">
      <w:pPr>
        <w:pStyle w:val="P68B1DB1-InstructionsText26"/>
        <w:numPr>
          <w:ilvl w:val="1"/>
          <w:numId w:val="233"/>
        </w:numPr>
      </w:pPr>
      <w:r>
        <w:t xml:space="preserve">Балансовата стойност е балансовата стойност, определена за целите на FINREP, съгласно МСФО или nGAAP, в зависимост от случая. В останалите случаи се използват </w:t>
      </w:r>
      <w:r w:rsidR="00CA5FE1">
        <w:rPr>
          <w:lang w:val="bg-BG"/>
        </w:rPr>
        <w:t>стойностите</w:t>
      </w:r>
      <w:r w:rsidR="00CA5FE1">
        <w:t xml:space="preserve"> </w:t>
      </w:r>
      <w:r>
        <w:t xml:space="preserve">по </w:t>
      </w:r>
      <w:r w:rsidR="00CA5FE1">
        <w:rPr>
          <w:lang w:val="bg-BG"/>
        </w:rPr>
        <w:t>реда</w:t>
      </w:r>
      <w:r>
        <w:t xml:space="preserve"> за отчитане съгласно nGAAP. </w:t>
      </w:r>
    </w:p>
    <w:p w14:paraId="7FE1B4F1" w14:textId="37A0CF52" w:rsidR="00FE5D64" w:rsidRDefault="00E40776" w:rsidP="00EB0671">
      <w:pPr>
        <w:pStyle w:val="P68B1DB1-InstructionsText26"/>
        <w:numPr>
          <w:ilvl w:val="0"/>
          <w:numId w:val="233"/>
        </w:numPr>
        <w:spacing w:before="0"/>
      </w:pPr>
      <w:bookmarkStart w:id="57" w:name="_Hlk209715575"/>
      <w:r>
        <w:t xml:space="preserve">В настоящия </w:t>
      </w:r>
      <w:r w:rsidR="00A4500E">
        <w:rPr>
          <w:lang w:val="bg-BG"/>
        </w:rPr>
        <w:t>отчет</w:t>
      </w:r>
      <w:r w:rsidR="00A4500E">
        <w:t xml:space="preserve"> </w:t>
      </w:r>
      <w:r>
        <w:t xml:space="preserve">се посочват данни, които може вече да са били докладвани от субекта във FINREP и COREP за същата референтна дата и обхват на докладване (вж. </w:t>
      </w:r>
      <w:r w:rsidR="00A4500E">
        <w:rPr>
          <w:lang w:val="bg-BG"/>
        </w:rPr>
        <w:t>референциите</w:t>
      </w:r>
      <w:r w:rsidR="00A4500E">
        <w:t xml:space="preserve"> </w:t>
      </w:r>
      <w:r>
        <w:t xml:space="preserve">на COREP/FINREP в указанията). Когато случаят е такъв, </w:t>
      </w:r>
      <w:r w:rsidR="00A4500E">
        <w:rPr>
          <w:lang w:val="bg-BG"/>
        </w:rPr>
        <w:t>отчитащият се</w:t>
      </w:r>
      <w:r w:rsidR="00A4500E">
        <w:t xml:space="preserve"> </w:t>
      </w:r>
      <w:r>
        <w:t xml:space="preserve">субект не е длъжен да докладва тези данни </w:t>
      </w:r>
      <w:r w:rsidR="00EB0671">
        <w:rPr>
          <w:lang w:val="bg-BG"/>
        </w:rPr>
        <w:t>повторно</w:t>
      </w:r>
      <w:r>
        <w:t>. Например</w:t>
      </w:r>
      <w:r w:rsidR="00EB0671">
        <w:rPr>
          <w:lang w:val="bg-BG"/>
        </w:rPr>
        <w:t>,</w:t>
      </w:r>
      <w:r>
        <w:t xml:space="preserve"> данните за COREP/FINREP трябва да се докладват тук, когато </w:t>
      </w:r>
      <w:r w:rsidR="00A4500E">
        <w:rPr>
          <w:lang w:val="bg-BG"/>
        </w:rPr>
        <w:t>отчитащият се</w:t>
      </w:r>
      <w:r w:rsidR="00A4500E">
        <w:t xml:space="preserve"> </w:t>
      </w:r>
      <w:r>
        <w:t>субект е бил освободен от</w:t>
      </w:r>
      <w:r w:rsidR="00EB0671" w:rsidRPr="00A4500E">
        <w:rPr>
          <w:lang w:val="bg-BG"/>
        </w:rPr>
        <w:t xml:space="preserve"> </w:t>
      </w:r>
      <w:r w:rsidR="00EB0671">
        <w:rPr>
          <w:lang w:val="bg-BG"/>
        </w:rPr>
        <w:t>задълженията за</w:t>
      </w:r>
      <w:r>
        <w:t xml:space="preserve"> </w:t>
      </w:r>
      <w:r w:rsidR="00A4500E">
        <w:rPr>
          <w:lang w:val="bg-BG"/>
        </w:rPr>
        <w:t xml:space="preserve">предоставяне на </w:t>
      </w:r>
      <w:r>
        <w:t>финансов</w:t>
      </w:r>
      <w:r w:rsidR="00A4500E">
        <w:rPr>
          <w:lang w:val="bg-BG"/>
        </w:rPr>
        <w:t>а</w:t>
      </w:r>
      <w:r>
        <w:t xml:space="preserve"> или пруденциалн</w:t>
      </w:r>
      <w:r w:rsidR="00A4500E">
        <w:rPr>
          <w:lang w:val="bg-BG"/>
        </w:rPr>
        <w:t>а отчетност</w:t>
      </w:r>
      <w:r>
        <w:t xml:space="preserve">, като в този случай единственият източник </w:t>
      </w:r>
      <w:r w:rsidR="00EB0671">
        <w:t xml:space="preserve">на тези данни </w:t>
      </w:r>
      <w:r>
        <w:t xml:space="preserve">за органите за преструктуриране е настоящият </w:t>
      </w:r>
      <w:r w:rsidR="00A4500E">
        <w:rPr>
          <w:lang w:val="bg-BG"/>
        </w:rPr>
        <w:t>отчет</w:t>
      </w:r>
      <w:r>
        <w:t>.</w:t>
      </w:r>
    </w:p>
    <w:bookmarkEnd w:id="57"/>
    <w:p w14:paraId="7FE1B4F2" w14:textId="77777777" w:rsidR="00FE5D64" w:rsidRDefault="00E40776">
      <w:pPr>
        <w:pStyle w:val="P68B1DB1-Instructionsberschrift312"/>
      </w:pPr>
      <w:r>
        <w:t>Указания относно определени позиции</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FE5D6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FE5D64" w:rsidRDefault="00E40776">
            <w:pPr>
              <w:pStyle w:val="P68B1DB1-TableParagraph13"/>
              <w:spacing w:before="66"/>
              <w:rPr>
                <w:rFonts w:eastAsia="Cambria"/>
              </w:rPr>
            </w:pPr>
            <w:r>
              <w:t>Колони</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FE5D64" w:rsidRDefault="00E40776">
            <w:pPr>
              <w:pStyle w:val="P68B1DB1-TableParagraph13"/>
              <w:spacing w:before="66"/>
              <w:ind w:right="1"/>
              <w:jc w:val="center"/>
              <w:rPr>
                <w:rFonts w:eastAsia="Cambria"/>
              </w:rPr>
            </w:pPr>
            <w:r>
              <w:t>Указания</w:t>
            </w:r>
          </w:p>
        </w:tc>
      </w:tr>
      <w:tr w:rsidR="00FE5D6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FE5D64" w:rsidRDefault="00E40776">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FE5D64" w:rsidRDefault="00E40776">
            <w:pPr>
              <w:pStyle w:val="P68B1DB1-TableParagraph14"/>
              <w:spacing w:before="108"/>
              <w:ind w:left="85"/>
              <w:jc w:val="both"/>
            </w:pPr>
            <w:r>
              <w:t>Домакинства</w:t>
            </w:r>
          </w:p>
          <w:p w14:paraId="7FE1B4F8" w14:textId="77777777" w:rsidR="00FE5D64" w:rsidRDefault="00E40776">
            <w:pPr>
              <w:pStyle w:val="P68B1DB1-TableParagraph17"/>
              <w:spacing w:before="108"/>
              <w:ind w:left="85"/>
              <w:jc w:val="both"/>
            </w:pPr>
            <w:r>
              <w:t xml:space="preserve">FINREP, приложение V, част 1, параграф 42, буква е) </w:t>
            </w:r>
          </w:p>
          <w:p w14:paraId="7FE1B4F9" w14:textId="4806E7F4" w:rsidR="00FE5D64" w:rsidRPr="004A2F26" w:rsidRDefault="00E40776" w:rsidP="00A54DFF">
            <w:pPr>
              <w:pStyle w:val="P68B1DB1-TableParagraph17"/>
              <w:spacing w:before="108"/>
              <w:ind w:left="85"/>
              <w:jc w:val="both"/>
              <w:rPr>
                <w:b/>
              </w:rPr>
            </w:pPr>
            <w:r>
              <w:t xml:space="preserve">Физически лица или групи от физически лица като потребители и производители на стоки и нефинансови услуги, </w:t>
            </w:r>
            <w:r w:rsidR="00A54DFF">
              <w:rPr>
                <w:lang w:val="bg-BG"/>
              </w:rPr>
              <w:t xml:space="preserve">предназначени </w:t>
            </w:r>
            <w:r>
              <w:t xml:space="preserve">изключително за собствено </w:t>
            </w:r>
            <w:r w:rsidR="00A54DFF">
              <w:rPr>
                <w:lang w:val="bg-BG"/>
              </w:rPr>
              <w:t>крайно</w:t>
            </w:r>
            <w:r w:rsidR="00A54DFF" w:rsidRPr="00A4500E">
              <w:rPr>
                <w:lang w:val="bg-BG"/>
              </w:rPr>
              <w:t xml:space="preserve"> </w:t>
            </w:r>
            <w:r>
              <w:t>потребление и като производители на пазарни стоки и нефинансови и финансови услуги, при условие, че техните дейности не са тези на квази</w:t>
            </w:r>
            <w:r w:rsidR="00A54DFF">
              <w:rPr>
                <w:lang w:val="bg-BG"/>
              </w:rPr>
              <w:t>корпорации</w:t>
            </w:r>
            <w:r w:rsidR="00302164">
              <w:rPr>
                <w:lang w:val="bg-BG"/>
              </w:rPr>
              <w:t>те</w:t>
            </w:r>
            <w:r>
              <w:t>. Включват се организациите с нестопанска цел, които обслужват домакинствата и се занимават предимно с производството на непазарни стоки и услуги, предназначени за определени групи от домакинства.</w:t>
            </w:r>
          </w:p>
        </w:tc>
      </w:tr>
      <w:tr w:rsidR="00FE5D6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FE5D64" w:rsidRDefault="00E40776">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FE5D64" w:rsidRDefault="00E40776">
            <w:pPr>
              <w:pStyle w:val="P68B1DB1-TableParagraph14"/>
              <w:spacing w:before="108"/>
              <w:ind w:left="85"/>
              <w:jc w:val="both"/>
            </w:pPr>
            <w:r>
              <w:t>Нефинансови предприятия (МСП)</w:t>
            </w:r>
          </w:p>
          <w:p w14:paraId="7FE1B4FD" w14:textId="77777777" w:rsidR="00FE5D64" w:rsidRDefault="00E40776">
            <w:pPr>
              <w:pStyle w:val="P68B1DB1-TableParagraph17"/>
              <w:spacing w:before="108"/>
              <w:ind w:left="85"/>
              <w:jc w:val="both"/>
            </w:pPr>
            <w:r>
              <w:t>FINREP, приложение V, част 1, параграф 42, буква д)</w:t>
            </w:r>
          </w:p>
          <w:p w14:paraId="7FE1B4FE" w14:textId="46DA9B21" w:rsidR="00FE5D64" w:rsidRDefault="00E40776">
            <w:pPr>
              <w:pStyle w:val="P68B1DB1-TableParagraph13"/>
              <w:spacing w:before="108"/>
              <w:ind w:left="85"/>
              <w:jc w:val="both"/>
              <w:rPr>
                <w:rFonts w:eastAsia="Cambria"/>
              </w:rPr>
            </w:pPr>
            <w:r>
              <w:t xml:space="preserve">Предприятия и квазикорпорации, които не се занимават с финансово посредничество, а предимно с производството на пазарни стоки и нефинансови услуги съгласно Регламент (ЕС) </w:t>
            </w:r>
            <w:r>
              <w:lastRenderedPageBreak/>
              <w:t xml:space="preserve">2021/379 на </w:t>
            </w:r>
            <w:r w:rsidR="00B77ECC">
              <w:rPr>
                <w:lang w:val="bg-BG"/>
              </w:rPr>
              <w:t>Европейската централна банка</w:t>
            </w:r>
            <w:r w:rsidRPr="00093CF8">
              <w:rPr>
                <w:vertAlign w:val="superscript"/>
              </w:rPr>
              <w:footnoteReference w:id="11"/>
            </w:r>
            <w:r w:rsidR="00B77ECC">
              <w:rPr>
                <w:lang w:val="bg-BG"/>
              </w:rPr>
              <w:t xml:space="preserve">, </w:t>
            </w:r>
            <w:r>
              <w:t xml:space="preserve">които отговарят </w:t>
            </w:r>
            <w:r w:rsidR="00B77ECC">
              <w:t xml:space="preserve">също </w:t>
            </w:r>
            <w:r>
              <w:t>на следната дефиниция за МСП:</w:t>
            </w:r>
          </w:p>
          <w:p w14:paraId="7FE1B4FF" w14:textId="4B7E2385" w:rsidR="00FE5D64" w:rsidRDefault="00E40776">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Член 2</w:t>
            </w:r>
            <w:r w:rsidR="004A2F26">
              <w:rPr>
                <w:rFonts w:ascii="Times New Roman" w:eastAsia="Cambria" w:hAnsi="Times New Roman" w:cs="Times New Roman"/>
                <w:color w:val="000000" w:themeColor="text1"/>
                <w:sz w:val="20"/>
                <w:szCs w:val="20"/>
                <w:lang w:val="bg-BG"/>
              </w:rPr>
              <w:t>.</w:t>
            </w:r>
            <w:r w:rsidR="004A2F26" w:rsidRPr="00A4500E">
              <w:rPr>
                <w:rFonts w:ascii="Times New Roman" w:hAnsi="Times New Roman"/>
                <w:color w:val="000000" w:themeColor="text1"/>
                <w:sz w:val="20"/>
                <w:lang w:val="bg-BG"/>
              </w:rPr>
              <w:t>1</w:t>
            </w:r>
            <w:r>
              <w:rPr>
                <w:rFonts w:ascii="Times New Roman" w:eastAsia="Cambria" w:hAnsi="Times New Roman" w:cs="Times New Roman"/>
                <w:color w:val="000000" w:themeColor="text1"/>
                <w:sz w:val="20"/>
                <w:szCs w:val="20"/>
              </w:rPr>
              <w:t xml:space="preserve"> от дял I от приложението към Препоръка на Комисията от 6 май 2003 г.</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приложение V, част 1, параграф 5, буква и)</w:t>
            </w:r>
          </w:p>
          <w:p w14:paraId="7FE1B500" w14:textId="55BA1CA5" w:rsidR="00FE5D64" w:rsidRPr="004A2F26" w:rsidRDefault="00E40776" w:rsidP="004A2F26">
            <w:pPr>
              <w:pStyle w:val="P68B1DB1-TableParagraph17"/>
              <w:spacing w:before="108"/>
              <w:ind w:left="85"/>
              <w:jc w:val="both"/>
              <w:rPr>
                <w:rFonts w:eastAsia="Book Antiqua"/>
              </w:rPr>
            </w:pPr>
            <w:r>
              <w:t>Предприятия с под 250 служители и с годишен оборот, който не надвишава 50 млн. евро, и/или с годишен счетоводен баланс, който не надвишава 43 млн. евро.</w:t>
            </w:r>
          </w:p>
        </w:tc>
      </w:tr>
      <w:tr w:rsidR="00FE5D6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FE5D64" w:rsidRDefault="00E40776">
            <w:pPr>
              <w:pStyle w:val="P68B1DB1-TableParagraph13"/>
              <w:spacing w:before="106"/>
              <w:ind w:left="-1"/>
            </w:pPr>
            <w: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FE5D64" w:rsidRDefault="00E40776">
            <w:pPr>
              <w:pStyle w:val="P68B1DB1-TableParagraph14"/>
              <w:spacing w:before="108"/>
              <w:ind w:left="85"/>
              <w:jc w:val="both"/>
            </w:pPr>
            <w:r>
              <w:t>Нефинансови предприятия (различни от МСП)</w:t>
            </w:r>
          </w:p>
          <w:p w14:paraId="7FE1B504" w14:textId="77777777" w:rsidR="00FE5D64" w:rsidRDefault="00E40776">
            <w:pPr>
              <w:pStyle w:val="P68B1DB1-TableParagraph17"/>
              <w:spacing w:before="108"/>
              <w:ind w:left="85"/>
              <w:jc w:val="both"/>
            </w:pPr>
            <w:r>
              <w:t>FINREP, приложение V, част 1, параграф 42, буква д)</w:t>
            </w:r>
          </w:p>
          <w:p w14:paraId="7FE1B505" w14:textId="53EEC701" w:rsidR="00FE5D64" w:rsidRDefault="00E40776">
            <w:pPr>
              <w:pStyle w:val="P68B1DB1-TableParagraph13"/>
              <w:spacing w:before="108"/>
              <w:ind w:left="85"/>
              <w:jc w:val="both"/>
              <w:rPr>
                <w:rFonts w:eastAsia="Cambria"/>
              </w:rPr>
            </w:pPr>
            <w:r>
              <w:t>Предприятия и квазикорпорации, които не се занимават с финансово посредничество, а предимно с производството на пазарни стоки и нефинансови услуги съгласно Регламент (ЕС) 2021/379 на ЕЦБ.</w:t>
            </w:r>
          </w:p>
          <w:p w14:paraId="7FE1B506" w14:textId="5FE9B943" w:rsidR="00FE5D64" w:rsidRDefault="00E40776" w:rsidP="00A54DFF">
            <w:pPr>
              <w:pStyle w:val="P68B1DB1-TableParagraph17"/>
              <w:spacing w:before="108"/>
              <w:ind w:left="85"/>
              <w:jc w:val="both"/>
              <w:rPr>
                <w:b/>
                <w:bCs/>
              </w:rPr>
            </w:pPr>
            <w:r>
              <w:t xml:space="preserve">Изключват се „МСП“, </w:t>
            </w:r>
            <w:r w:rsidR="00A54DFF">
              <w:rPr>
                <w:lang w:val="bg-BG"/>
              </w:rPr>
              <w:t>отчетени</w:t>
            </w:r>
            <w:r w:rsidR="00A54DFF">
              <w:t xml:space="preserve"> </w:t>
            </w:r>
            <w:r>
              <w:t xml:space="preserve">в колона 0020. </w:t>
            </w:r>
          </w:p>
        </w:tc>
      </w:tr>
      <w:tr w:rsidR="00FE5D6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FE5D64" w:rsidRDefault="00E40776">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FE5D64" w:rsidRDefault="00E40776">
            <w:pPr>
              <w:pStyle w:val="P68B1DB1-TableParagraph14"/>
              <w:spacing w:before="108"/>
              <w:ind w:left="85"/>
              <w:jc w:val="both"/>
            </w:pPr>
            <w:r>
              <w:t>Кредитни институции</w:t>
            </w:r>
          </w:p>
          <w:p w14:paraId="7FE1B50A" w14:textId="1CE298C0" w:rsidR="00FE5D64" w:rsidRDefault="00E40776">
            <w:pPr>
              <w:pStyle w:val="P68B1DB1-TableParagraph17"/>
              <w:spacing w:before="108"/>
              <w:ind w:left="85"/>
              <w:jc w:val="both"/>
            </w:pPr>
            <w:r>
              <w:t>FINREP, приложение V, част 1, параграф 42, буква в)</w:t>
            </w:r>
          </w:p>
          <w:p w14:paraId="7FE1B50B" w14:textId="77777777" w:rsidR="00FE5D64" w:rsidRDefault="00E40776">
            <w:pPr>
              <w:pStyle w:val="P68B1DB1-TableParagraph13"/>
              <w:spacing w:before="108"/>
              <w:ind w:left="85"/>
              <w:jc w:val="both"/>
              <w:rPr>
                <w:b/>
                <w:bCs/>
              </w:rPr>
            </w:pPr>
            <w:r>
              <w:t>Кредитни институции по смисъла на член 4, параграф 1, точка 1 от Регламент (ЕС) № 575/2013 и многостранни банки за развитие.</w:t>
            </w:r>
          </w:p>
        </w:tc>
      </w:tr>
      <w:tr w:rsidR="00FE5D6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FE5D64" w:rsidRDefault="00E40776">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FE5D64" w:rsidRDefault="00E40776">
            <w:pPr>
              <w:pStyle w:val="P68B1DB1-TableParagraph14"/>
              <w:spacing w:before="108"/>
              <w:ind w:left="85"/>
              <w:jc w:val="both"/>
            </w:pPr>
            <w:r>
              <w:t>Други финансови предприятия</w:t>
            </w:r>
          </w:p>
          <w:p w14:paraId="7FE1B50F" w14:textId="77777777" w:rsidR="00FE5D64" w:rsidRDefault="00E40776">
            <w:pPr>
              <w:pStyle w:val="P68B1DB1-TableParagraph17"/>
              <w:spacing w:before="108"/>
              <w:ind w:left="85"/>
              <w:jc w:val="both"/>
            </w:pPr>
            <w:r>
              <w:t>FINREP, приложение V, част 1, параграф 42, буква г)</w:t>
            </w:r>
          </w:p>
          <w:p w14:paraId="7FE1B510" w14:textId="06860C4E" w:rsidR="00FE5D64" w:rsidRDefault="00E40776">
            <w:pPr>
              <w:pStyle w:val="P68B1DB1-TableParagraph17"/>
              <w:spacing w:before="108"/>
              <w:ind w:left="85"/>
              <w:jc w:val="both"/>
              <w:rPr>
                <w:b/>
                <w:bCs/>
              </w:rPr>
            </w:pPr>
            <w:r>
              <w:t>Всички финансови предприятия и квазикорпорации, различни от кредитни институции, например инвестиционни посредници, инвестиционни фондове, застрахователни предприятия, пенсионни фондове, предприятия за колективно инвестиране и клирингови къщи, както и останалите финансови посредници, финансови спомагателни организации и каптивни финансови институции и заемодатели.</w:t>
            </w:r>
          </w:p>
        </w:tc>
      </w:tr>
      <w:tr w:rsidR="00FE5D6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FE5D64" w:rsidRDefault="00E40776">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267AF8DE" w:rsidR="00FE5D64" w:rsidRDefault="00584D68">
            <w:pPr>
              <w:pStyle w:val="P68B1DB1-TableParagraph14"/>
              <w:spacing w:before="108"/>
              <w:ind w:left="85"/>
              <w:jc w:val="both"/>
            </w:pPr>
            <w:r>
              <w:rPr>
                <w:lang w:val="bg-BG"/>
              </w:rPr>
              <w:t xml:space="preserve">От които </w:t>
            </w:r>
            <w:r w:rsidR="0020672D">
              <w:rPr>
                <w:lang w:val="bg-BG"/>
              </w:rPr>
              <w:t>З</w:t>
            </w:r>
            <w:r w:rsidR="00E40776">
              <w:t xml:space="preserve">астрахователни </w:t>
            </w:r>
            <w:r w:rsidR="0020672D">
              <w:rPr>
                <w:lang w:val="bg-BG"/>
              </w:rPr>
              <w:t>предприятия и п</w:t>
            </w:r>
            <w:r w:rsidR="00E40776">
              <w:t>енсионни фондове</w:t>
            </w:r>
          </w:p>
          <w:p w14:paraId="7FE1B514" w14:textId="134680A8" w:rsidR="00FE5D64" w:rsidRDefault="00E40776" w:rsidP="0020672D">
            <w:pPr>
              <w:pStyle w:val="P68B1DB1-TableParagraph17"/>
              <w:spacing w:before="108"/>
              <w:ind w:left="85"/>
              <w:jc w:val="both"/>
              <w:rPr>
                <w:b/>
              </w:rPr>
            </w:pPr>
            <w:r>
              <w:t>Застрахователни предприятия, презастрахователни предприятия (</w:t>
            </w:r>
            <w:r w:rsidR="0020672D">
              <w:rPr>
                <w:lang w:val="bg-BG"/>
              </w:rPr>
              <w:t>по смисъла на</w:t>
            </w:r>
            <w:r>
              <w:t xml:space="preserve"> член 13, параграф</w:t>
            </w:r>
            <w:r w:rsidR="0020672D">
              <w:rPr>
                <w:lang w:val="bg-BG"/>
              </w:rPr>
              <w:t>и</w:t>
            </w:r>
            <w:r>
              <w:t xml:space="preserve"> 1 — 6 от Директива № 2009/138/ЕО на Европейския парламент и на Съвета) и пенсионни </w:t>
            </w:r>
            <w:r w:rsidRPr="00584D68">
              <w:t>фондове</w:t>
            </w:r>
            <w:r>
              <w:t>.</w:t>
            </w:r>
          </w:p>
        </w:tc>
      </w:tr>
      <w:tr w:rsidR="00FE5D6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FE5D64" w:rsidRDefault="00E40776">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FE5D64" w:rsidRDefault="00E40776">
            <w:pPr>
              <w:pStyle w:val="P68B1DB1-TableParagraph14"/>
              <w:spacing w:before="108"/>
              <w:ind w:left="85"/>
              <w:jc w:val="both"/>
            </w:pPr>
            <w:r>
              <w:t>Държавно управление и централни банки</w:t>
            </w:r>
          </w:p>
          <w:p w14:paraId="7FE1B518" w14:textId="77777777" w:rsidR="00FE5D64" w:rsidRDefault="00E40776">
            <w:pPr>
              <w:pStyle w:val="P68B1DB1-TableParagraph17"/>
              <w:spacing w:before="108"/>
              <w:ind w:left="85"/>
              <w:jc w:val="both"/>
            </w:pPr>
            <w:r>
              <w:t>FINREP, приложение V, част 1, параграф 42, букви а) и б)</w:t>
            </w:r>
          </w:p>
          <w:p w14:paraId="7FE1B519" w14:textId="77777777" w:rsidR="00FE5D64" w:rsidRDefault="00E40776">
            <w:pPr>
              <w:pStyle w:val="P68B1DB1-TableParagraph17"/>
              <w:spacing w:before="108"/>
              <w:ind w:left="85"/>
              <w:jc w:val="both"/>
              <w:rPr>
                <w:b/>
                <w:bCs/>
              </w:rPr>
            </w:pPr>
            <w:r>
              <w:t>Централни банки и централни, федерални, регионални правителства или местни органи на власт, включително административни органи и нетърговски предприятия, но без публични дружества и частни дружества с търговска дейност, притежавани от тези администрации (които в зависимост от дейността им биват отчитани като „кредитни институции„, „други финансови предприятия“ или „нефинансови предприятия“); социалноосигурителни фондове; и международни организации като Европейския съюз, Международния валутен фонд и Банката за международни разплащания.</w:t>
            </w:r>
          </w:p>
        </w:tc>
      </w:tr>
      <w:tr w:rsidR="00FE5D6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FE5D64" w:rsidRDefault="00E40776">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12C27677" w:rsidR="00FE5D64" w:rsidRDefault="00584D68">
            <w:pPr>
              <w:pStyle w:val="P68B1DB1-TableParagraph14"/>
              <w:spacing w:before="108"/>
              <w:ind w:left="85"/>
              <w:jc w:val="both"/>
            </w:pPr>
            <w:r>
              <w:rPr>
                <w:lang w:val="bg-BG"/>
              </w:rPr>
              <w:t>Неидентифицирани</w:t>
            </w:r>
            <w:r w:rsidR="00E40776">
              <w:t>, допуснати до търговия на място за търговия</w:t>
            </w:r>
          </w:p>
          <w:p w14:paraId="7FE1B51D" w14:textId="5F92CBCC" w:rsidR="00FE5D64" w:rsidRDefault="00E40776">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Когато самоличността на притежателя на ценна книга не е известна, тъй като инструментите се търгуват на място на търговия по смисъла на Директива 2014/65/ЕС</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стойностите се вписват в тази колона.</w:t>
            </w:r>
          </w:p>
        </w:tc>
      </w:tr>
      <w:tr w:rsidR="00FE5D6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FE5D64" w:rsidRDefault="00E40776">
            <w:pPr>
              <w:pStyle w:val="P68B1DB1-TableParagraph13"/>
              <w:spacing w:before="106"/>
              <w:ind w:left="-1"/>
            </w:pPr>
            <w: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49476701" w:rsidR="00FE5D64" w:rsidRDefault="00584D68">
            <w:pPr>
              <w:pStyle w:val="P68B1DB1-TableParagraph14"/>
              <w:spacing w:before="108"/>
              <w:ind w:left="85"/>
              <w:jc w:val="both"/>
            </w:pPr>
            <w:r>
              <w:rPr>
                <w:lang w:val="bg-BG"/>
              </w:rPr>
              <w:t>Неидентифицирани</w:t>
            </w:r>
            <w:r w:rsidR="00E40776">
              <w:t>, недопуснати до търговия на място за търговия</w:t>
            </w:r>
          </w:p>
          <w:p w14:paraId="7FE1B521" w14:textId="78DC798C" w:rsidR="00FE5D64" w:rsidRDefault="00E40776" w:rsidP="001A06E7">
            <w:pPr>
              <w:pStyle w:val="P68B1DB1-TableParagraph17"/>
              <w:spacing w:before="108"/>
              <w:ind w:left="85"/>
              <w:jc w:val="both"/>
            </w:pPr>
            <w:r>
              <w:t xml:space="preserve">Когато самоличността на притежателя на ценна книга не е известна, въпреки че инструментите не са допуснати до търговия на място за търговия, сумите се вписват в тази колона и не се изисква по-нататъшна разбивка по контрагенти. Субектите </w:t>
            </w:r>
            <w:r w:rsidR="00584D68">
              <w:rPr>
                <w:lang w:val="bg-BG"/>
              </w:rPr>
              <w:t>се насърчават</w:t>
            </w:r>
            <w:r>
              <w:t xml:space="preserve"> да</w:t>
            </w:r>
            <w:r w:rsidR="001A06E7" w:rsidRPr="00584D68">
              <w:rPr>
                <w:lang w:val="bg-BG"/>
              </w:rPr>
              <w:t xml:space="preserve"> </w:t>
            </w:r>
            <w:r w:rsidR="001A06E7">
              <w:rPr>
                <w:lang w:val="bg-BG"/>
              </w:rPr>
              <w:t>положат максимални усилия да установят</w:t>
            </w:r>
            <w:r>
              <w:t xml:space="preserve"> контрагентите и да сведат до минимум използването на тази колона.</w:t>
            </w:r>
          </w:p>
        </w:tc>
      </w:tr>
      <w:tr w:rsidR="00FE5D6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FE5D64" w:rsidRDefault="00E40776">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FE5D64" w:rsidRDefault="00E40776">
            <w:pPr>
              <w:pStyle w:val="P68B1DB1-TableParagraph14"/>
              <w:spacing w:before="108"/>
              <w:ind w:left="85"/>
              <w:jc w:val="both"/>
              <w:rPr>
                <w:bCs/>
              </w:rPr>
            </w:pPr>
            <w:r>
              <w:t>Общо</w:t>
            </w:r>
          </w:p>
        </w:tc>
      </w:tr>
      <w:tr w:rsidR="00FE5D6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FE5D64" w:rsidRDefault="00E40776">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FE5D64" w:rsidRDefault="00E40776">
            <w:pPr>
              <w:pStyle w:val="P68B1DB1-TableParagraph14"/>
              <w:spacing w:before="108"/>
              <w:ind w:left="85"/>
              <w:jc w:val="both"/>
            </w:pPr>
            <w:r>
              <w:t>От които: вътрешногрупови</w:t>
            </w:r>
          </w:p>
          <w:p w14:paraId="7FE1B528" w14:textId="09820233" w:rsidR="00FE5D64" w:rsidRDefault="00E40776" w:rsidP="001A06E7">
            <w:pPr>
              <w:pStyle w:val="P68B1DB1-TableParagraph13"/>
              <w:spacing w:before="108"/>
              <w:ind w:left="85"/>
              <w:jc w:val="both"/>
              <w:rPr>
                <w:rFonts w:eastAsia="Times New Roman"/>
              </w:rPr>
            </w:pPr>
            <w:r>
              <w:t>Задължения към субекти, включени в</w:t>
            </w:r>
            <w:r w:rsidR="001A06E7" w:rsidRPr="00584D68">
              <w:rPr>
                <w:lang w:val="bg-BG"/>
              </w:rPr>
              <w:t xml:space="preserve"> </w:t>
            </w:r>
            <w:r>
              <w:t>обхвата на консолидация</w:t>
            </w:r>
            <w:r w:rsidR="00F37A36">
              <w:rPr>
                <w:lang w:val="bg-BG"/>
              </w:rPr>
              <w:t xml:space="preserve"> за счетоводни цели</w:t>
            </w:r>
            <w:r w:rsidR="001A06E7" w:rsidRPr="00584D68">
              <w:rPr>
                <w:lang w:val="bg-BG"/>
              </w:rPr>
              <w:t xml:space="preserve"> на </w:t>
            </w:r>
            <w:r>
              <w:t>крайното предприятие майка (за разлика от обхват</w:t>
            </w:r>
            <w:r w:rsidR="00F37A36">
              <w:rPr>
                <w:lang w:val="bg-BG"/>
              </w:rPr>
              <w:t>а</w:t>
            </w:r>
            <w:r>
              <w:t xml:space="preserve"> на</w:t>
            </w:r>
            <w:r w:rsidR="00F37A36">
              <w:rPr>
                <w:lang w:val="bg-BG"/>
              </w:rPr>
              <w:t xml:space="preserve"> пруденциалната</w:t>
            </w:r>
            <w:r>
              <w:t xml:space="preserve"> консолидация). </w:t>
            </w:r>
          </w:p>
        </w:tc>
      </w:tr>
      <w:tr w:rsidR="00FE5D6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FE5D64" w:rsidRDefault="00E40776">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FE5D64" w:rsidRDefault="00E40776">
            <w:pPr>
              <w:pStyle w:val="P68B1DB1-TableParagraph14"/>
              <w:spacing w:before="108"/>
              <w:ind w:left="85"/>
              <w:jc w:val="both"/>
            </w:pPr>
            <w:r>
              <w:t>От които: задължения съгласно правото на трета държава, с изключение на вътрешногруповите задължения</w:t>
            </w:r>
          </w:p>
          <w:p w14:paraId="7FE1B52C" w14:textId="77777777" w:rsidR="00FE5D64" w:rsidRDefault="00E40776">
            <w:pPr>
              <w:pStyle w:val="P68B1DB1-TableParagraph17"/>
              <w:spacing w:before="108"/>
              <w:ind w:left="85"/>
              <w:jc w:val="both"/>
            </w:pPr>
            <w:r>
              <w:t>Включват брутните суми на задълженията, уреждани от правото на трета държава и/или емитирани от субекти от група, учредени в трета държава. Вътрешногруповите задължения се изключват.</w:t>
            </w:r>
          </w:p>
          <w:p w14:paraId="7FE1B52D" w14:textId="5B9B20B0" w:rsidR="00FE5D64" w:rsidRDefault="00E40776" w:rsidP="002C6579">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Когато органът за преструктуриране е потвърдил, че е убеден, както е посочено в член 55, параграф 3 от Директива 2014/59/ЕС на Европейския парламент и на Съвета</w:t>
            </w:r>
            <w:r>
              <w:rPr>
                <w:rStyle w:val="FootnoteReference"/>
                <w:rFonts w:ascii="Times New Roman" w:eastAsia="Cambria" w:hAnsi="Times New Roman" w:cs="Times New Roman"/>
                <w:color w:val="000000" w:themeColor="text1"/>
              </w:rPr>
              <w:footnoteReference w:id="14"/>
            </w:r>
            <w:r w:rsidR="002C6579">
              <w:rPr>
                <w:rFonts w:ascii="Times New Roman" w:eastAsia="Cambria" w:hAnsi="Times New Roman" w:cs="Times New Roman"/>
                <w:color w:val="000000" w:themeColor="text1"/>
                <w:sz w:val="20"/>
                <w:szCs w:val="20"/>
                <w:lang w:val="bg-BG"/>
              </w:rPr>
              <w:t xml:space="preserve">, </w:t>
            </w:r>
            <w:r>
              <w:rPr>
                <w:rFonts w:ascii="Times New Roman" w:eastAsia="Cambria" w:hAnsi="Times New Roman" w:cs="Times New Roman"/>
                <w:color w:val="000000" w:themeColor="text1"/>
                <w:sz w:val="20"/>
                <w:szCs w:val="20"/>
              </w:rPr>
              <w:t>че решението на орган за преструктуриране за обезценяване или преобразуване на посоченото задължение ще има правно действие съгласно правото на тази трета държава, това задължение не се докладва</w:t>
            </w:r>
            <w:r w:rsidR="002C6579">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в тази категория.</w:t>
            </w:r>
          </w:p>
        </w:tc>
      </w:tr>
    </w:tbl>
    <w:p w14:paraId="7FE1B532" w14:textId="77777777" w:rsidR="00FE5D64" w:rsidRDefault="00FE5D64">
      <w:pPr>
        <w:rPr>
          <w:rFonts w:ascii="Times New Roman" w:hAnsi="Times New Roman" w:cs="Times New Roman"/>
        </w:rPr>
      </w:pPr>
    </w:p>
    <w:p w14:paraId="7FE1B533" w14:textId="77777777" w:rsidR="00FE5D64" w:rsidRDefault="00FE5D64">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FE5D64"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FE5D64" w:rsidRDefault="00E40776">
            <w:pPr>
              <w:pStyle w:val="P68B1DB1-TableParagraph13"/>
              <w:spacing w:before="66"/>
              <w:rPr>
                <w:rFonts w:eastAsia="Cambria"/>
              </w:rPr>
            </w:pPr>
            <w:r>
              <w:t>Редове</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FE5D64" w:rsidRDefault="00E40776">
            <w:pPr>
              <w:pStyle w:val="P68B1DB1-TableParagraph13"/>
              <w:spacing w:before="66"/>
              <w:ind w:right="1"/>
              <w:jc w:val="center"/>
              <w:rPr>
                <w:rFonts w:eastAsia="Cambria"/>
              </w:rPr>
            </w:pPr>
            <w:r>
              <w:t>Указания</w:t>
            </w:r>
          </w:p>
        </w:tc>
      </w:tr>
      <w:tr w:rsidR="00FE5D64"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FE5D64" w:rsidRDefault="00E40776">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6941E8AF" w:rsidR="00FE5D64" w:rsidRDefault="00E40776">
            <w:pPr>
              <w:pStyle w:val="P68B1DB1-TableParagraph14"/>
              <w:spacing w:before="108"/>
              <w:ind w:left="85"/>
              <w:jc w:val="both"/>
            </w:pPr>
            <w:r>
              <w:t>Задължения, изключени от</w:t>
            </w:r>
            <w:r w:rsidR="00F37A36">
              <w:rPr>
                <w:lang w:val="bg-BG"/>
              </w:rPr>
              <w:t xml:space="preserve"> обхвата на инструмента за</w:t>
            </w:r>
            <w:r>
              <w:t xml:space="preserve"> споделяне на загуби</w:t>
            </w:r>
          </w:p>
          <w:p w14:paraId="7FE1B53A" w14:textId="20887F3B" w:rsidR="00FE5D64" w:rsidRDefault="00E40776" w:rsidP="00BC6140">
            <w:pPr>
              <w:pStyle w:val="P68B1DB1-TableParagraph17"/>
              <w:spacing w:before="108"/>
              <w:jc w:val="both"/>
            </w:pPr>
            <w:r>
              <w:t>Размер</w:t>
            </w:r>
            <w:r w:rsidR="00BC6140">
              <w:rPr>
                <w:lang w:val="bg-BG"/>
              </w:rPr>
              <w:t>ът</w:t>
            </w:r>
            <w:r>
              <w:t xml:space="preserve"> на задълженията, за които органите за преструктуриране</w:t>
            </w:r>
            <w:r w:rsidR="00BC6140" w:rsidRPr="00F37A36">
              <w:rPr>
                <w:lang w:val="bg-BG"/>
              </w:rPr>
              <w:t xml:space="preserve"> не </w:t>
            </w:r>
            <w:r w:rsidR="00BC6140">
              <w:rPr>
                <w:lang w:val="bg-BG"/>
              </w:rPr>
              <w:t>могат да</w:t>
            </w:r>
            <w:r>
              <w:t xml:space="preserve"> упражняват правомощията за обезценяване или преобразуване в съответствие с член 44, параграф 2 от Директива 2014/59/ЕС. </w:t>
            </w:r>
          </w:p>
        </w:tc>
      </w:tr>
      <w:tr w:rsidR="00FE5D64"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FE5D64" w:rsidRDefault="00E40776">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0BF118ED" w:rsidR="00FE5D64" w:rsidRPr="00F37A36" w:rsidRDefault="00E40776">
            <w:pPr>
              <w:pStyle w:val="P68B1DB1-TableParagraph14"/>
              <w:spacing w:before="108"/>
              <w:ind w:left="85"/>
              <w:jc w:val="both"/>
              <w:rPr>
                <w:lang w:val="bg-BG"/>
              </w:rPr>
            </w:pPr>
            <w:r>
              <w:t>Гарантирани депозити</w:t>
            </w:r>
          </w:p>
          <w:p w14:paraId="7FE1B53E" w14:textId="2F85C55D" w:rsidR="00FE5D64" w:rsidRDefault="00E40776">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Размерът на гарантираните депозити съгласно определението в член 2, параграф 1, точка 5 от Директива 2014/49/ЕС на Европейския парламент и на Съвета</w:t>
            </w:r>
            <w:r>
              <w:rPr>
                <w:rStyle w:val="FootnoteReference"/>
                <w:rFonts w:ascii="Times New Roman" w:hAnsi="Times New Roman" w:cs="Times New Roman"/>
                <w:color w:val="000000" w:themeColor="text1"/>
              </w:rPr>
              <w:footnoteReference w:id="15"/>
            </w:r>
            <w:r w:rsidR="00D358DC">
              <w:rPr>
                <w:lang w:val="bg-BG"/>
              </w:rPr>
              <w:t xml:space="preserve">, </w:t>
            </w:r>
            <w:r>
              <w:rPr>
                <w:rFonts w:ascii="Times New Roman" w:eastAsia="Cambria" w:hAnsi="Times New Roman" w:cs="Times New Roman"/>
                <w:color w:val="000000" w:themeColor="text1"/>
                <w:sz w:val="20"/>
                <w:szCs w:val="20"/>
              </w:rPr>
              <w:t>с изключение на временно увеличените салда на депозитите съгласно определението в член 6, параграф 2 от същата директива.</w:t>
            </w:r>
          </w:p>
        </w:tc>
      </w:tr>
      <w:tr w:rsidR="00FE5D64"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FE5D64" w:rsidRDefault="00E40776">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39F14CD7" w:rsidR="00FE5D64" w:rsidRDefault="00E40776">
            <w:pPr>
              <w:pStyle w:val="P68B1DB1-TableParagraph14"/>
              <w:spacing w:before="108"/>
              <w:ind w:left="85"/>
              <w:jc w:val="both"/>
            </w:pPr>
            <w:r>
              <w:t xml:space="preserve">Обезпечени задължения — </w:t>
            </w:r>
            <w:r w:rsidR="00F37A36">
              <w:rPr>
                <w:lang w:val="bg-BG"/>
              </w:rPr>
              <w:t>обезпечена</w:t>
            </w:r>
            <w:r w:rsidR="00F37A36">
              <w:t xml:space="preserve"> </w:t>
            </w:r>
            <w:r>
              <w:t>част</w:t>
            </w:r>
          </w:p>
          <w:p w14:paraId="7FE1B542" w14:textId="14245B0A" w:rsidR="00FE5D64" w:rsidRDefault="00E40776">
            <w:pPr>
              <w:pStyle w:val="P68B1DB1-TableParagraph17"/>
              <w:spacing w:before="108"/>
              <w:ind w:left="85"/>
              <w:jc w:val="both"/>
            </w:pPr>
            <w:r>
              <w:t>Размерът на задълженията, посочени в член 44, параграф 2, буква б) от Директива 2014/59/ЕС.</w:t>
            </w:r>
          </w:p>
          <w:p w14:paraId="7FE1B543" w14:textId="6A3DBF5F" w:rsidR="00FE5D64" w:rsidRDefault="00E40776">
            <w:pPr>
              <w:pStyle w:val="P68B1DB1-TableParagraph17"/>
              <w:spacing w:before="108"/>
              <w:ind w:left="85"/>
              <w:jc w:val="both"/>
            </w:pPr>
            <w:r>
              <w:t>Обезпечени задължения, включително споразумения за обратно изкупуване („репо сделки“), покрити облигации и задължения под формата на финансови инструменти, които съставляват неразделна част от покритието и които съгласно националното право са обезпечени по начин, подобен на този при покритите облигации.</w:t>
            </w:r>
          </w:p>
          <w:p w14:paraId="7FE1B544" w14:textId="1C5CDA41" w:rsidR="00FE5D64" w:rsidRDefault="00E40776">
            <w:pPr>
              <w:pStyle w:val="P68B1DB1-TableParagraph17"/>
              <w:spacing w:before="108"/>
              <w:ind w:left="85"/>
              <w:jc w:val="both"/>
            </w:pPr>
            <w:r>
              <w:lastRenderedPageBreak/>
              <w:t>Нито изискването да се гарантира, че всички обезпечени активи, свързани с покритието на покритите облигации остават незасегнати, отделно обособени и с достатъчно финансиране, нито посоченото по-горе изключение от член 44, параграф 2, буква б) от Директива 2014/59/ЕС ще възпрепятстват органите за преструктуриране да упражняват тези правомощия, когато това е целесъобразно, по отношение на която и да е част от обезпечено задължение или задължение, за което е предоставена допълнителна гаранция, надхвърляща стойността на активите, залога, реалното обезпечение или друго обезпечение, с които са гарантирани. Такава непокрита част от тези обезпечени</w:t>
            </w:r>
            <w:r w:rsidR="00191A68" w:rsidRPr="00F37A36">
              <w:rPr>
                <w:lang w:val="bg-BG"/>
              </w:rPr>
              <w:t xml:space="preserve"> </w:t>
            </w:r>
            <w:r w:rsidR="00191A68">
              <w:rPr>
                <w:lang w:val="bg-BG"/>
              </w:rPr>
              <w:t>не</w:t>
            </w:r>
            <w:r w:rsidR="00191A68" w:rsidRPr="00F37A36">
              <w:rPr>
                <w:lang w:val="bg-BG"/>
              </w:rPr>
              <w:t xml:space="preserve"> се </w:t>
            </w:r>
            <w:r w:rsidR="00191A68">
              <w:rPr>
                <w:lang w:val="bg-BG"/>
              </w:rPr>
              <w:t>отчита на</w:t>
            </w:r>
            <w:r w:rsidR="00191A68" w:rsidRPr="00F37A36">
              <w:rPr>
                <w:lang w:val="bg-BG"/>
              </w:rPr>
              <w:t xml:space="preserve"> този ред</w:t>
            </w:r>
            <w:r>
              <w:t xml:space="preserve">, а </w:t>
            </w:r>
            <w:r w:rsidR="00191A68">
              <w:rPr>
                <w:lang w:val="bg-BG"/>
              </w:rPr>
              <w:t>на</w:t>
            </w:r>
            <w:r>
              <w:t xml:space="preserve"> ред 0340 и подлежи на допълнителна разбивка.</w:t>
            </w:r>
          </w:p>
          <w:p w14:paraId="7FE1B545" w14:textId="412C6021" w:rsidR="00FE5D64" w:rsidRDefault="00E40776">
            <w:pPr>
              <w:pStyle w:val="P68B1DB1-TableParagraph20"/>
              <w:spacing w:before="108"/>
              <w:ind w:left="85"/>
              <w:jc w:val="both"/>
              <w:rPr>
                <w:color w:val="000000" w:themeColor="text1"/>
              </w:rPr>
            </w:pPr>
            <w:r>
              <w:rPr>
                <w:color w:val="000000" w:themeColor="text1"/>
              </w:rPr>
              <w:t>Задълженията на централни банки, покрити от пул на обезпечения</w:t>
            </w:r>
            <w:r w:rsidR="00191A68">
              <w:rPr>
                <w:color w:val="000000" w:themeColor="text1"/>
                <w:lang w:val="bg-BG"/>
              </w:rPr>
              <w:t xml:space="preserve"> </w:t>
            </w:r>
            <w:r>
              <w:rPr>
                <w:color w:val="1A171C"/>
              </w:rPr>
              <w:t xml:space="preserve">(например операции по основно рефинансиране, </w:t>
            </w:r>
            <w:r w:rsidR="00191A68">
              <w:rPr>
                <w:color w:val="1A171C"/>
                <w:lang w:val="bg-BG"/>
              </w:rPr>
              <w:t xml:space="preserve">операции </w:t>
            </w:r>
            <w:r>
              <w:rPr>
                <w:color w:val="1A171C"/>
              </w:rPr>
              <w:t xml:space="preserve">по дългосрочно рефинансиране, </w:t>
            </w:r>
            <w:r w:rsidR="00191A68">
              <w:rPr>
                <w:color w:val="1A171C"/>
                <w:lang w:val="bg-BG"/>
              </w:rPr>
              <w:t xml:space="preserve">операции </w:t>
            </w:r>
            <w:r>
              <w:rPr>
                <w:color w:val="1A171C"/>
              </w:rPr>
              <w:t>по целево дългосрочно рефинансиране и др.</w:t>
            </w:r>
            <w:r>
              <w:rPr>
                <w:color w:val="000000" w:themeColor="text1"/>
              </w:rPr>
              <w:t xml:space="preserve">) се </w:t>
            </w:r>
            <w:r w:rsidR="004B1578">
              <w:rPr>
                <w:color w:val="000000" w:themeColor="text1"/>
                <w:lang w:val="bg-BG"/>
              </w:rPr>
              <w:t>третират като</w:t>
            </w:r>
            <w:r>
              <w:rPr>
                <w:color w:val="000000" w:themeColor="text1"/>
              </w:rPr>
              <w:t xml:space="preserve"> обезпечени задължения. </w:t>
            </w:r>
          </w:p>
        </w:tc>
      </w:tr>
      <w:tr w:rsidR="00FE5D64"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FE5D64" w:rsidRDefault="00E40776">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FE5D64" w:rsidRDefault="00E40776">
            <w:pPr>
              <w:pStyle w:val="P68B1DB1-TableParagraph14"/>
              <w:spacing w:before="108"/>
              <w:ind w:left="85"/>
              <w:jc w:val="both"/>
            </w:pPr>
            <w:r>
              <w:t>Задължения към клиенти, ако са защитени при несъстоятелност</w:t>
            </w:r>
          </w:p>
          <w:p w14:paraId="7FE1B54A" w14:textId="2F60701C" w:rsidR="00FE5D64" w:rsidRDefault="00E40776">
            <w:pPr>
              <w:pStyle w:val="P68B1DB1-TableParagraph17"/>
              <w:spacing w:before="108"/>
              <w:ind w:left="85"/>
              <w:jc w:val="both"/>
              <w:rPr>
                <w:b/>
                <w:bCs/>
              </w:rPr>
            </w:pPr>
            <w:r>
              <w:t>Размерът на задълженията, посочени в член 44, параграф 2, буква в) от Директива 2014/59/ЕС.</w:t>
            </w:r>
          </w:p>
        </w:tc>
      </w:tr>
      <w:tr w:rsidR="00FE5D64"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FE5D64" w:rsidRDefault="00E40776">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FE5D64" w:rsidRDefault="00E40776">
            <w:pPr>
              <w:pStyle w:val="P68B1DB1-TableParagraph14"/>
              <w:spacing w:before="108"/>
              <w:ind w:left="85"/>
              <w:jc w:val="both"/>
            </w:pPr>
            <w:r>
              <w:t>Фидуциарни задължения, ако са защитени при несъстоятелност</w:t>
            </w:r>
          </w:p>
          <w:p w14:paraId="7FE1B54F" w14:textId="76B21996" w:rsidR="00FE5D64" w:rsidRDefault="00E40776">
            <w:pPr>
              <w:pStyle w:val="P68B1DB1-TableParagraph17"/>
              <w:spacing w:before="108"/>
              <w:ind w:left="85"/>
              <w:jc w:val="both"/>
              <w:rPr>
                <w:b/>
                <w:bCs/>
              </w:rPr>
            </w:pPr>
            <w:r>
              <w:t>Размерът на задълженията, посочени в член 44, параграф 2, буква г) от Директива 2014/59/ЕС.</w:t>
            </w:r>
          </w:p>
        </w:tc>
      </w:tr>
      <w:tr w:rsidR="00FE5D64"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FE5D64" w:rsidRDefault="00E40776">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21718D3A" w:rsidR="00FE5D64" w:rsidRDefault="00E40776">
            <w:pPr>
              <w:pStyle w:val="P68B1DB1-TableParagraph14"/>
              <w:spacing w:before="108"/>
              <w:ind w:left="85"/>
              <w:jc w:val="both"/>
            </w:pPr>
            <w:r>
              <w:t xml:space="preserve">Задължения </w:t>
            </w:r>
            <w:r w:rsidR="00376BB0">
              <w:rPr>
                <w:lang w:val="bg-BG"/>
              </w:rPr>
              <w:t xml:space="preserve">към кредитни институции </w:t>
            </w:r>
            <w:r w:rsidR="00376BB0" w:rsidRPr="001118F2">
              <w:rPr>
                <w:spacing w:val="-2"/>
                <w:w w:val="95"/>
              </w:rPr>
              <w:t xml:space="preserve"> &lt; </w:t>
            </w:r>
            <w:r w:rsidR="00376BB0" w:rsidRPr="00783549">
              <w:rPr>
                <w:lang w:val="bg-BG"/>
              </w:rPr>
              <w:t xml:space="preserve"> </w:t>
            </w:r>
            <w:r>
              <w:t xml:space="preserve">7 дни </w:t>
            </w:r>
          </w:p>
          <w:p w14:paraId="7FE1B554" w14:textId="175AD873" w:rsidR="00FE5D64" w:rsidRDefault="00E40776">
            <w:pPr>
              <w:pStyle w:val="P68B1DB1-TableParagraph17"/>
              <w:spacing w:before="108"/>
              <w:ind w:left="85"/>
              <w:jc w:val="both"/>
              <w:rPr>
                <w:b/>
                <w:bCs/>
              </w:rPr>
            </w:pPr>
            <w:r>
              <w:t>Размерът на задълженията, посочени в член 44, параграф 2, буква д) от Директива 2014/59/ЕС.</w:t>
            </w:r>
          </w:p>
        </w:tc>
      </w:tr>
      <w:tr w:rsidR="00FE5D64"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FE5D64" w:rsidRDefault="00E40776">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FE5D64" w:rsidRDefault="00E40776">
            <w:pPr>
              <w:pStyle w:val="P68B1DB1-TableParagraph14"/>
              <w:spacing w:before="108"/>
              <w:ind w:left="85"/>
              <w:jc w:val="both"/>
            </w:pPr>
            <w:r>
              <w:t>Задължения към система (оператор) и ЦК &lt; 7 дни</w:t>
            </w:r>
          </w:p>
          <w:p w14:paraId="7FE1B558" w14:textId="1D99C59F" w:rsidR="00FE5D64" w:rsidRDefault="00E40776">
            <w:pPr>
              <w:pStyle w:val="P68B1DB1-TableParagraph17"/>
              <w:spacing w:before="108"/>
              <w:ind w:left="85"/>
              <w:jc w:val="both"/>
              <w:rPr>
                <w:b/>
                <w:bCs/>
              </w:rPr>
            </w:pPr>
            <w:r>
              <w:t xml:space="preserve">Размерът на задълженията, посочени в член 44, параграф 2, буква е) от Директива 2014/59/ЕС, включително </w:t>
            </w:r>
            <w:r w:rsidR="00E82FB6">
              <w:rPr>
                <w:lang w:val="bg-BG"/>
              </w:rPr>
              <w:t xml:space="preserve">дължими на </w:t>
            </w:r>
            <w:r>
              <w:t xml:space="preserve">платежни системи и системи за сетълмент на ценни книжа и клиринговите къщи, както и дериватите, преминали клиринг чрез ЦК, с </w:t>
            </w:r>
            <w:r w:rsidR="00E82FB6">
              <w:rPr>
                <w:lang w:val="bg-BG"/>
              </w:rPr>
              <w:t xml:space="preserve">остатъчен срок до </w:t>
            </w:r>
            <w:r>
              <w:t>падеж</w:t>
            </w:r>
            <w:r w:rsidR="00E82FB6">
              <w:rPr>
                <w:lang w:val="bg-BG"/>
              </w:rPr>
              <w:t>а</w:t>
            </w:r>
            <w:r>
              <w:t xml:space="preserve"> </w:t>
            </w:r>
            <w:r w:rsidR="00E82FB6">
              <w:rPr>
                <w:lang w:val="bg-BG"/>
              </w:rPr>
              <w:t>до</w:t>
            </w:r>
            <w:r>
              <w:t xml:space="preserve"> 7 дни. </w:t>
            </w:r>
          </w:p>
        </w:tc>
      </w:tr>
      <w:tr w:rsidR="00FE5D64"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FE5D64" w:rsidRDefault="00E40776">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FE5D64" w:rsidRDefault="00E40776">
            <w:pPr>
              <w:pStyle w:val="P68B1DB1-TableParagraph14"/>
              <w:spacing w:before="108"/>
              <w:ind w:left="85"/>
              <w:jc w:val="both"/>
            </w:pPr>
            <w:r>
              <w:t>Задължения към служители</w:t>
            </w:r>
          </w:p>
          <w:p w14:paraId="7FE1B55C" w14:textId="2F3F2760" w:rsidR="00FE5D64" w:rsidRDefault="00E40776">
            <w:pPr>
              <w:pStyle w:val="P68B1DB1-TableParagraph17"/>
              <w:spacing w:before="108"/>
              <w:ind w:left="85"/>
              <w:jc w:val="both"/>
            </w:pPr>
            <w:r>
              <w:t xml:space="preserve">Размерът на </w:t>
            </w:r>
            <w:r w:rsidR="00E82FB6">
              <w:rPr>
                <w:lang w:val="bg-BG"/>
              </w:rPr>
              <w:t>задълженията</w:t>
            </w:r>
            <w:r>
              <w:t>, посочени в член 44, параграф 2, буква ж), подточка i) от Директива 2014/59/ЕС.</w:t>
            </w:r>
          </w:p>
          <w:p w14:paraId="7FE1B55D" w14:textId="24D653B6" w:rsidR="00FE5D64" w:rsidRDefault="00E40776" w:rsidP="00E20D74">
            <w:pPr>
              <w:pStyle w:val="P68B1DB1-TableParagraph17"/>
              <w:spacing w:before="108"/>
              <w:ind w:left="85"/>
              <w:jc w:val="both"/>
              <w:rPr>
                <w:b/>
                <w:bCs/>
              </w:rPr>
            </w:pPr>
            <w:r>
              <w:t>Задължения към служители по отношение на натрупано трудово възнаграждение, пенсионни плащания или други фиксирани възнаграждения, с изключение на променливия компонент на възнаграждението, който не се урежда от колективен трудов договор</w:t>
            </w:r>
            <w:r w:rsidR="00E20D74">
              <w:rPr>
                <w:lang w:val="bg-BG"/>
              </w:rPr>
              <w:t>.</w:t>
            </w:r>
            <w:r>
              <w:t xml:space="preserve"> Това обаче не се отнася за променливия компонент на възнаграждението на поемащите значителен риск съгласно определеното в член 92, параграф 2 от Директива 2013/36/ЕС.</w:t>
            </w:r>
          </w:p>
        </w:tc>
      </w:tr>
      <w:tr w:rsidR="00FE5D64"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FE5D64" w:rsidRDefault="00E40776">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FE5D64" w:rsidRDefault="00E40776">
            <w:pPr>
              <w:pStyle w:val="P68B1DB1-TableParagraph14"/>
              <w:spacing w:before="108"/>
              <w:ind w:left="85"/>
              <w:jc w:val="both"/>
            </w:pPr>
            <w:r>
              <w:t>Задължения от решаващо значение за ежедневното оперативно функциониране</w:t>
            </w:r>
          </w:p>
          <w:p w14:paraId="7FE1B562" w14:textId="61C90413" w:rsidR="00FE5D64" w:rsidRDefault="00E40776">
            <w:pPr>
              <w:pStyle w:val="P68B1DB1-TableParagraph17"/>
              <w:spacing w:before="108"/>
              <w:ind w:left="85"/>
              <w:jc w:val="both"/>
              <w:rPr>
                <w:b/>
                <w:bCs/>
              </w:rPr>
            </w:pPr>
            <w:r>
              <w:t>Размерът на задълженията, посочени в член 44, параграф 2, буква ж), подточка ii) от Директива 2014/59/ЕС.</w:t>
            </w:r>
          </w:p>
        </w:tc>
      </w:tr>
      <w:tr w:rsidR="00FE5D64"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FE5D64" w:rsidRDefault="00E40776">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FE5D64" w:rsidRDefault="00E40776">
            <w:pPr>
              <w:pStyle w:val="P68B1DB1-TableParagraph14"/>
              <w:spacing w:before="108"/>
              <w:ind w:left="85"/>
              <w:jc w:val="both"/>
            </w:pPr>
            <w:r>
              <w:t>Задължения към данъчните и социалноосигурителните органи, ако тези задължения са привилегировани</w:t>
            </w:r>
          </w:p>
          <w:p w14:paraId="7FE1B567" w14:textId="46841715" w:rsidR="00FE5D64" w:rsidRDefault="00E40776">
            <w:pPr>
              <w:pStyle w:val="P68B1DB1-TableParagraph17"/>
              <w:spacing w:before="108"/>
              <w:ind w:left="85"/>
              <w:jc w:val="both"/>
              <w:rPr>
                <w:b/>
                <w:bCs/>
              </w:rPr>
            </w:pPr>
            <w:r>
              <w:t>Размерът на задълженията, посочени в член 44, параграф 2, буква ж), подточка iii) от Директива 2014/59/ЕС.</w:t>
            </w:r>
          </w:p>
        </w:tc>
      </w:tr>
      <w:tr w:rsidR="00FE5D64"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FE5D64" w:rsidRDefault="00E40776">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FE5D64" w:rsidRDefault="00E40776">
            <w:pPr>
              <w:pStyle w:val="P68B1DB1-TableParagraph14"/>
              <w:spacing w:before="108"/>
              <w:ind w:left="85"/>
              <w:jc w:val="both"/>
            </w:pPr>
            <w:r>
              <w:t>Задължения по схеми за гарантиране на депозити (СГД)</w:t>
            </w:r>
          </w:p>
          <w:p w14:paraId="7FE1B56C" w14:textId="4D562BAF" w:rsidR="00FE5D64" w:rsidRDefault="00E40776">
            <w:pPr>
              <w:pStyle w:val="P68B1DB1-TableParagraph17"/>
              <w:spacing w:before="108"/>
              <w:ind w:left="85"/>
              <w:jc w:val="both"/>
              <w:rPr>
                <w:b/>
                <w:bCs/>
              </w:rPr>
            </w:pPr>
            <w:r>
              <w:t xml:space="preserve">Размерът на </w:t>
            </w:r>
            <w:r w:rsidR="004C0A3C">
              <w:rPr>
                <w:lang w:val="bg-BG"/>
              </w:rPr>
              <w:t>задълженията</w:t>
            </w:r>
            <w:r>
              <w:t>, посочени в член 44, параграф 2, буква ж), подточка iv) от Директива 2014/59/ЕС.</w:t>
            </w:r>
          </w:p>
        </w:tc>
      </w:tr>
      <w:tr w:rsidR="00FE5D64"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FE5D64" w:rsidRDefault="00E40776">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FE5D64" w:rsidRDefault="00E40776">
            <w:pPr>
              <w:pStyle w:val="P68B1DB1-TableParagraph14"/>
              <w:spacing w:before="108"/>
              <w:ind w:left="85"/>
              <w:jc w:val="both"/>
            </w:pPr>
            <w:bookmarkStart w:id="58" w:name="_Hlk210226589"/>
            <w:r>
              <w:t>Задължения към други субекти от групата за преструктуриране</w:t>
            </w:r>
          </w:p>
          <w:bookmarkEnd w:id="58"/>
          <w:p w14:paraId="7FE1B570" w14:textId="77777777" w:rsidR="00FE5D64" w:rsidRDefault="00E40776">
            <w:pPr>
              <w:pStyle w:val="P68B1DB1-TableParagraph17"/>
              <w:spacing w:before="108"/>
              <w:ind w:left="85"/>
              <w:jc w:val="both"/>
            </w:pPr>
            <w:r>
              <w:lastRenderedPageBreak/>
              <w:t>Размерът на задълженията, посочени в член 44, параграф 2, буква з) от Директива 2014/59/ЕС.</w:t>
            </w:r>
          </w:p>
          <w:p w14:paraId="7FE1B571" w14:textId="2EA1940A" w:rsidR="00FE5D64" w:rsidRDefault="00E40776">
            <w:pPr>
              <w:pStyle w:val="P68B1DB1-TableParagraph17"/>
              <w:spacing w:before="108"/>
              <w:ind w:left="85"/>
              <w:jc w:val="both"/>
            </w:pPr>
            <w:r>
              <w:t>Когато изключеното задължение е задължение по деривати, нетните позиции в пасива, като се вземат предвид правилата за пруденциално нетиране по член 429в от Регламент (ЕС) № 575/2013, се докладват</w:t>
            </w:r>
            <w:r w:rsidR="00E20D74">
              <w:t xml:space="preserve"> </w:t>
            </w:r>
            <w:r>
              <w:t>в колоните, отнасящи се до „</w:t>
            </w:r>
            <w:r w:rsidR="004C0A3C">
              <w:rPr>
                <w:lang w:val="bg-BG"/>
              </w:rPr>
              <w:t>дължима стойност</w:t>
            </w:r>
            <w:r>
              <w:t>“ (както в ред r0334). За колоните, отнасящи се до „балансовата стойност“, се докладват балансовите пасиви, произтичащи от деривати (както в ред r0330).</w:t>
            </w:r>
          </w:p>
          <w:p w14:paraId="7FE1B572" w14:textId="07B8FCA8" w:rsidR="00FE5D64" w:rsidRDefault="00E40776">
            <w:pPr>
              <w:pStyle w:val="P68B1DB1-TableParagraph17"/>
              <w:spacing w:before="108"/>
              <w:ind w:left="85"/>
              <w:jc w:val="both"/>
            </w:pPr>
            <w:r>
              <w:t xml:space="preserve">Когато докладващият субект не е определен като субект за преструктуриране, той трябва да отчита само задълженията, попадащи в обхвата на член 44, параграф 2, буква з) от </w:t>
            </w:r>
            <w:r w:rsidR="00FD159E" w:rsidRPr="00FD159E">
              <w:t>Директива 2014/59/ЕС</w:t>
            </w:r>
            <w:r>
              <w:t>, които се държат от неговите дъщерни предприятия, които също не са субекти за преструктуриране, но са част от същата група за преструктуриране като докладващия субект.</w:t>
            </w:r>
          </w:p>
          <w:p w14:paraId="7FE1B573" w14:textId="6DFB1E26" w:rsidR="00FE5D64" w:rsidRDefault="00E40776" w:rsidP="00E20D74">
            <w:pPr>
              <w:pStyle w:val="P68B1DB1-TableParagraph17"/>
              <w:spacing w:before="108"/>
              <w:ind w:left="85"/>
              <w:jc w:val="both"/>
            </w:pPr>
            <w:r>
              <w:t>Вътрешногруповите задължения за субекти, установени извън ЕС, не се докладват в този ред съгласно член 1, параграф 1, букви б), в) или г)</w:t>
            </w:r>
            <w:r w:rsidR="00FD159E">
              <w:rPr>
                <w:lang w:val="bg-BG"/>
              </w:rPr>
              <w:t xml:space="preserve"> от </w:t>
            </w:r>
            <w:r w:rsidR="00FD159E" w:rsidRPr="00FD159E">
              <w:rPr>
                <w:lang w:val="bg-BG"/>
              </w:rPr>
              <w:t>Директива 2014/59/ЕС</w:t>
            </w:r>
            <w:r>
              <w:t xml:space="preserve">, както е посочено в член 44, параграф 2, буква з) от </w:t>
            </w:r>
            <w:r w:rsidR="00FD159E">
              <w:rPr>
                <w:lang w:val="bg-BG"/>
              </w:rPr>
              <w:t>същата директива</w:t>
            </w:r>
            <w:r>
              <w:t xml:space="preserve">. </w:t>
            </w:r>
          </w:p>
        </w:tc>
      </w:tr>
      <w:tr w:rsidR="00FE5D64"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FE5D64" w:rsidRDefault="00E40776">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55C091DD" w:rsidR="00FE5D64" w:rsidRDefault="00E40776">
            <w:pPr>
              <w:pStyle w:val="P68B1DB1-TableParagraph14"/>
              <w:spacing w:before="108"/>
              <w:ind w:left="85"/>
              <w:jc w:val="both"/>
            </w:pPr>
            <w:r>
              <w:t>Задължения, които не са изключени от</w:t>
            </w:r>
            <w:r w:rsidR="00191D94">
              <w:rPr>
                <w:lang w:val="bg-BG"/>
              </w:rPr>
              <w:t xml:space="preserve"> обхвата на инструмента за споделяне</w:t>
            </w:r>
            <w:r>
              <w:t xml:space="preserve"> на загуби</w:t>
            </w:r>
          </w:p>
          <w:p w14:paraId="7FE1B577" w14:textId="06299840" w:rsidR="00FE5D64" w:rsidRDefault="00E40776">
            <w:pPr>
              <w:pStyle w:val="P68B1DB1-TableParagraph17"/>
              <w:spacing w:before="108"/>
              <w:ind w:left="85"/>
              <w:jc w:val="both"/>
              <w:rPr>
                <w:b/>
                <w:bCs/>
              </w:rPr>
            </w:pPr>
            <w:r>
              <w:t>Размерът на задълженията, които споделят загуби, съгласно определението в член 2, точка 1 от Директива 2014/59/ЕС, точка (71). Това е сумата от редове 0310, 0320, 0330, 0334, 0340, 0350, 0360, 0365, 0370, 0380, 0390 и 0400.</w:t>
            </w:r>
          </w:p>
        </w:tc>
      </w:tr>
      <w:tr w:rsidR="00FE5D64"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57A8A114" w:rsidR="00FE5D64" w:rsidRDefault="00E40776">
            <w:pPr>
              <w:pStyle w:val="P68B1DB1-TableParagraph13"/>
              <w:spacing w:before="106"/>
              <w:ind w:left="-1"/>
            </w:pPr>
            <w:r>
              <w:t>0310</w:t>
            </w:r>
            <w:r w:rsidR="00D3770C">
              <w:rPr>
                <w:lang w:val="en-US"/>
              </w:rPr>
              <w:t xml:space="preserve"> - </w:t>
            </w:r>
            <w:r>
              <w:t>0314</w:t>
            </w:r>
          </w:p>
        </w:tc>
        <w:tc>
          <w:tcPr>
            <w:tcW w:w="8121" w:type="dxa"/>
            <w:tcBorders>
              <w:top w:val="single" w:sz="4" w:space="0" w:color="1A171C"/>
              <w:left w:val="single" w:sz="4" w:space="0" w:color="1A171C"/>
              <w:bottom w:val="single" w:sz="4" w:space="0" w:color="1A171C"/>
              <w:right w:val="nil"/>
            </w:tcBorders>
            <w:vAlign w:val="center"/>
          </w:tcPr>
          <w:p w14:paraId="7FE1B57A" w14:textId="7B385547" w:rsidR="00FE5D64" w:rsidRPr="00191D94" w:rsidRDefault="00E40776">
            <w:pPr>
              <w:pStyle w:val="P68B1DB1-TableParagraph14"/>
              <w:spacing w:before="108"/>
              <w:ind w:left="85"/>
              <w:jc w:val="both"/>
              <w:rPr>
                <w:lang w:val="bg-BG"/>
              </w:rPr>
            </w:pPr>
            <w:r>
              <w:t xml:space="preserve">Депозити, които не са гарантирани, но са </w:t>
            </w:r>
            <w:r w:rsidR="00191D94">
              <w:rPr>
                <w:lang w:val="bg-BG"/>
              </w:rPr>
              <w:t>преференциални</w:t>
            </w:r>
          </w:p>
          <w:p w14:paraId="7FE1B57B" w14:textId="77777777" w:rsidR="00FE5D64" w:rsidRDefault="00E40776">
            <w:pPr>
              <w:pStyle w:val="P68B1DB1-TableParagraph17"/>
              <w:spacing w:before="108"/>
              <w:ind w:left="85"/>
              <w:jc w:val="both"/>
            </w:pPr>
            <w:r>
              <w:t>Член 108 от Директива 2014/59/ЕС.</w:t>
            </w:r>
          </w:p>
          <w:p w14:paraId="7FE1B57C" w14:textId="6234A092" w:rsidR="00FE5D64" w:rsidRDefault="00E40776">
            <w:pPr>
              <w:pStyle w:val="P68B1DB1-TableParagraph17"/>
              <w:spacing w:before="108"/>
              <w:ind w:left="85"/>
              <w:jc w:val="both"/>
              <w:rPr>
                <w:b/>
                <w:bCs/>
              </w:rPr>
            </w:pPr>
            <w:r>
              <w:t xml:space="preserve">Депозити съгласно определението в член 2, параграф 1, точка 3 от Директива 2014/49/ЕС, които не отговарят на изискванията за изключване от </w:t>
            </w:r>
            <w:r w:rsidR="00191D94">
              <w:rPr>
                <w:lang w:val="bg-BG"/>
              </w:rPr>
              <w:t xml:space="preserve">обхвата на инструмента за </w:t>
            </w:r>
            <w:r>
              <w:t xml:space="preserve">споделяне на загуби (член 44, параграф 2, буква а) от Директива 2014/59/ЕС), но за </w:t>
            </w:r>
            <w:r w:rsidR="00191D94">
              <w:rPr>
                <w:lang w:val="bg-BG"/>
              </w:rPr>
              <w:t>които</w:t>
            </w:r>
            <w:r w:rsidR="00191D94">
              <w:t xml:space="preserve"> </w:t>
            </w:r>
            <w:r>
              <w:t xml:space="preserve">е </w:t>
            </w:r>
            <w:r w:rsidR="00191D94">
              <w:rPr>
                <w:lang w:val="bg-BG"/>
              </w:rPr>
              <w:t>предвидено</w:t>
            </w:r>
            <w:r w:rsidR="00191D94">
              <w:t xml:space="preserve"> </w:t>
            </w:r>
            <w:r>
              <w:t xml:space="preserve">преференциално третиране в съответствие с член 108 от Директива 2014/59/ЕС. </w:t>
            </w:r>
          </w:p>
        </w:tc>
      </w:tr>
      <w:tr w:rsidR="00FE5D64"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475B675F" w:rsidR="00FE5D64" w:rsidRDefault="00E40776">
            <w:pPr>
              <w:pStyle w:val="P68B1DB1-TableParagraph13"/>
              <w:spacing w:before="106"/>
              <w:ind w:left="-1"/>
            </w:pPr>
            <w:r>
              <w:t xml:space="preserve">0320 </w:t>
            </w:r>
            <w:r w:rsidR="00D3770C">
              <w:rPr>
                <w:lang w:val="en-US"/>
              </w:rPr>
              <w:t xml:space="preserve"> -</w:t>
            </w:r>
            <w:r w:rsidR="00D3770C" w:rsidRPr="00191D94">
              <w:rPr>
                <w:lang w:val="en-US"/>
              </w:rPr>
              <w:t xml:space="preserve"> </w:t>
            </w:r>
            <w:r>
              <w:t>0324</w:t>
            </w:r>
          </w:p>
        </w:tc>
        <w:tc>
          <w:tcPr>
            <w:tcW w:w="8121" w:type="dxa"/>
            <w:tcBorders>
              <w:top w:val="single" w:sz="4" w:space="0" w:color="1A171C"/>
              <w:left w:val="single" w:sz="4" w:space="0" w:color="1A171C"/>
              <w:bottom w:val="single" w:sz="4" w:space="0" w:color="1A171C"/>
              <w:right w:val="nil"/>
            </w:tcBorders>
            <w:vAlign w:val="center"/>
          </w:tcPr>
          <w:p w14:paraId="7FE1B57F" w14:textId="189993F0" w:rsidR="00FE5D64" w:rsidRPr="00756816" w:rsidRDefault="00E40776">
            <w:pPr>
              <w:pStyle w:val="P68B1DB1-TableParagraph14"/>
              <w:spacing w:before="108"/>
              <w:ind w:left="85"/>
              <w:jc w:val="both"/>
              <w:rPr>
                <w:lang w:val="bg-BG"/>
              </w:rPr>
            </w:pPr>
            <w:r>
              <w:t xml:space="preserve">Депозити, които не са гарантирани и не са </w:t>
            </w:r>
            <w:r w:rsidR="00756816">
              <w:rPr>
                <w:lang w:val="bg-BG"/>
              </w:rPr>
              <w:t>преференциални</w:t>
            </w:r>
          </w:p>
          <w:p w14:paraId="7FE1B580" w14:textId="56CD0B4B" w:rsidR="00FE5D64" w:rsidRDefault="00E40776">
            <w:pPr>
              <w:pStyle w:val="P68B1DB1-TableParagraph17"/>
              <w:spacing w:before="108"/>
              <w:ind w:left="85"/>
              <w:jc w:val="both"/>
              <w:rPr>
                <w:b/>
                <w:bCs/>
              </w:rPr>
            </w:pPr>
            <w:r>
              <w:t xml:space="preserve">Депозити съгласно определението в член 2, параграф 1, точка 3 от Директива 2014/49/ЕС, които не отговарят на </w:t>
            </w:r>
            <w:r w:rsidR="00756816">
              <w:rPr>
                <w:lang w:val="bg-BG"/>
              </w:rPr>
              <w:t>изискванията</w:t>
            </w:r>
            <w:r w:rsidR="00756816">
              <w:t xml:space="preserve"> </w:t>
            </w:r>
            <w:r>
              <w:t xml:space="preserve">за изключване от </w:t>
            </w:r>
            <w:r w:rsidR="00756816">
              <w:rPr>
                <w:lang w:val="bg-BG"/>
              </w:rPr>
              <w:t xml:space="preserve">обхвата на инструмента за </w:t>
            </w:r>
            <w:r>
              <w:t xml:space="preserve">споделяне на загуби или </w:t>
            </w:r>
            <w:r w:rsidR="00756816">
              <w:rPr>
                <w:lang w:val="bg-BG"/>
              </w:rPr>
              <w:t xml:space="preserve">на </w:t>
            </w:r>
            <w:r>
              <w:t>преференциално третиране при прилагането на член 44, параграф 2, буква а) или член 108 от Директива 2014/59/ЕС.</w:t>
            </w:r>
          </w:p>
        </w:tc>
      </w:tr>
      <w:tr w:rsidR="00FE5D64"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FE5D64" w:rsidRDefault="00E40776">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1337236D" w:rsidR="00FE5D64" w:rsidRPr="00756816" w:rsidRDefault="00E40776">
            <w:pPr>
              <w:pStyle w:val="P68B1DB1-TableParagraph14"/>
              <w:spacing w:before="108"/>
              <w:ind w:left="85"/>
              <w:jc w:val="both"/>
            </w:pPr>
            <w:r>
              <w:t xml:space="preserve">Балансови </w:t>
            </w:r>
            <w:r w:rsidR="00756816">
              <w:rPr>
                <w:lang w:val="bg-BG"/>
              </w:rPr>
              <w:t>задължения</w:t>
            </w:r>
            <w:r>
              <w:t>, произтичащи от деривати</w:t>
            </w:r>
          </w:p>
          <w:p w14:paraId="625CF843" w14:textId="3BC4A54D" w:rsidR="00FE5D64" w:rsidRDefault="00E40776">
            <w:pPr>
              <w:pStyle w:val="P68B1DB1-TableParagraph17"/>
              <w:spacing w:before="108"/>
              <w:ind w:left="85"/>
              <w:jc w:val="both"/>
            </w:pPr>
            <w:r>
              <w:t xml:space="preserve">Счетоводната стойност на задълженията, произтичащи от деривати. </w:t>
            </w:r>
          </w:p>
          <w:p w14:paraId="7FE1B584" w14:textId="17111D9E" w:rsidR="00FE5D64" w:rsidRDefault="00E40776">
            <w:pPr>
              <w:pStyle w:val="P68B1DB1-TableParagraph17"/>
              <w:spacing w:before="108"/>
              <w:ind w:left="85"/>
              <w:jc w:val="both"/>
              <w:rPr>
                <w:b/>
                <w:bCs/>
              </w:rPr>
            </w:pPr>
            <w:r>
              <w:t>Отчитат се само стойностите в полето „балансова стойност“.</w:t>
            </w:r>
          </w:p>
        </w:tc>
      </w:tr>
      <w:tr w:rsidR="00FE5D64"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FE5D64" w:rsidRDefault="00E40776">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3C5F056" w:rsidR="00FE5D64" w:rsidRPr="00756816" w:rsidRDefault="00E40776">
            <w:pPr>
              <w:pStyle w:val="P68B1DB1-TableParagraph14"/>
              <w:spacing w:before="108"/>
              <w:ind w:left="85"/>
              <w:jc w:val="both"/>
              <w:rPr>
                <w:lang w:val="bg-BG"/>
              </w:rPr>
            </w:pPr>
            <w:r>
              <w:t xml:space="preserve">Сборът на нетните позиции </w:t>
            </w:r>
            <w:r w:rsidR="00756816">
              <w:rPr>
                <w:lang w:val="bg-BG"/>
              </w:rPr>
              <w:t>на</w:t>
            </w:r>
            <w:r w:rsidR="00756816">
              <w:t xml:space="preserve"> </w:t>
            </w:r>
            <w:r w:rsidR="00756816">
              <w:rPr>
                <w:lang w:val="bg-BG"/>
              </w:rPr>
              <w:t>задълженията</w:t>
            </w:r>
            <w:r>
              <w:t xml:space="preserve">, като се вземат предвид договорните нетиращи съвкупности, след корекции </w:t>
            </w:r>
            <w:r w:rsidR="00756816">
              <w:rPr>
                <w:lang w:val="bg-BG"/>
              </w:rPr>
              <w:t>на пазарна стойност</w:t>
            </w:r>
            <w:r>
              <w:t xml:space="preserve">, преди </w:t>
            </w:r>
            <w:r w:rsidR="00756816">
              <w:rPr>
                <w:lang w:val="bg-BG"/>
              </w:rPr>
              <w:t>прихващане на</w:t>
            </w:r>
            <w:r>
              <w:t xml:space="preserve"> обезпечение</w:t>
            </w:r>
            <w:r w:rsidR="00756816">
              <w:rPr>
                <w:lang w:val="bg-BG"/>
              </w:rPr>
              <w:t>то</w:t>
            </w:r>
          </w:p>
          <w:p w14:paraId="43E2EAD9" w14:textId="49466F73" w:rsidR="00FE5D64" w:rsidRDefault="00E40776" w:rsidP="00AF33B0">
            <w:pPr>
              <w:pStyle w:val="P68B1DB1-TableParagraph17"/>
              <w:spacing w:before="108"/>
              <w:ind w:left="85"/>
              <w:jc w:val="both"/>
            </w:pPr>
            <w:bookmarkStart w:id="59" w:name="_Hlk210319459"/>
            <w:r>
              <w:t>По подразбиране сбора от всички нетни пазарни стойности на задължения</w:t>
            </w:r>
            <w:r w:rsidR="00756816">
              <w:rPr>
                <w:lang w:val="bg-BG"/>
              </w:rPr>
              <w:t>, произтичащи от деривати</w:t>
            </w:r>
            <w:r>
              <w:t xml:space="preserve"> за </w:t>
            </w:r>
            <w:r w:rsidR="00756816">
              <w:rPr>
                <w:lang w:val="bg-BG"/>
              </w:rPr>
              <w:t>всяка</w:t>
            </w:r>
            <w:r w:rsidR="00756816">
              <w:t xml:space="preserve"> </w:t>
            </w:r>
            <w:r>
              <w:t xml:space="preserve">договорна нетираща съвкупност. </w:t>
            </w:r>
            <w:r w:rsidR="00AF33B0">
              <w:rPr>
                <w:lang w:val="bg-BG"/>
              </w:rPr>
              <w:t xml:space="preserve">Попълва се само, </w:t>
            </w:r>
            <w:r>
              <w:t>само когато нетна</w:t>
            </w:r>
            <w:r w:rsidR="00AF33B0">
              <w:rPr>
                <w:lang w:val="bg-BG"/>
              </w:rPr>
              <w:t>та</w:t>
            </w:r>
            <w:r>
              <w:t xml:space="preserve"> пазарна стойност </w:t>
            </w:r>
            <w:r w:rsidR="00D3770C">
              <w:rPr>
                <w:lang w:val="bg-BG"/>
              </w:rPr>
              <w:t>на нетираща</w:t>
            </w:r>
            <w:r w:rsidR="00AF33B0">
              <w:rPr>
                <w:lang w:val="bg-BG"/>
              </w:rPr>
              <w:t>та</w:t>
            </w:r>
            <w:r w:rsidR="00D3770C">
              <w:rPr>
                <w:lang w:val="bg-BG"/>
              </w:rPr>
              <w:t xml:space="preserve"> съвкупност </w:t>
            </w:r>
            <w:r>
              <w:t xml:space="preserve">е задължение. За тази цел деривати, които не са </w:t>
            </w:r>
            <w:r w:rsidR="00AF33B0">
              <w:rPr>
                <w:lang w:val="bg-BG"/>
              </w:rPr>
              <w:t>обект</w:t>
            </w:r>
            <w:r w:rsidR="00AF33B0">
              <w:t xml:space="preserve"> </w:t>
            </w:r>
            <w:r>
              <w:t xml:space="preserve">на </w:t>
            </w:r>
            <w:r w:rsidRPr="00AF33B0">
              <w:rPr>
                <w:lang w:val="bg-BG"/>
              </w:rPr>
              <w:t>споразумени</w:t>
            </w:r>
            <w:r w:rsidR="00AF33B0" w:rsidRPr="00AF33B0">
              <w:rPr>
                <w:lang w:val="bg-BG"/>
              </w:rPr>
              <w:t>я</w:t>
            </w:r>
            <w:r w:rsidRPr="00AF33B0">
              <w:rPr>
                <w:lang w:val="bg-BG"/>
              </w:rPr>
              <w:t xml:space="preserve"> за нетиране</w:t>
            </w:r>
            <w:r>
              <w:t xml:space="preserve">, се третират като </w:t>
            </w:r>
            <w:r w:rsidR="00AF33B0">
              <w:rPr>
                <w:lang w:val="bg-BG"/>
              </w:rPr>
              <w:t>отделен</w:t>
            </w:r>
            <w:r w:rsidR="00AF33B0">
              <w:t xml:space="preserve"> </w:t>
            </w:r>
            <w:r>
              <w:t xml:space="preserve">договор, т.е. все едно че са нетираща съвкупност само с един дериват. </w:t>
            </w:r>
          </w:p>
          <w:p w14:paraId="7FE1B588" w14:textId="2E2E71AF" w:rsidR="00FE5D64" w:rsidRDefault="00E40776">
            <w:pPr>
              <w:pStyle w:val="P68B1DB1-TableParagraph17"/>
              <w:spacing w:before="108"/>
              <w:ind w:left="85"/>
              <w:jc w:val="both"/>
              <w:rPr>
                <w:b/>
                <w:bCs/>
              </w:rPr>
            </w:pPr>
            <w:r>
              <w:t>Отчитат се само стойностите в полето „</w:t>
            </w:r>
            <w:r w:rsidR="00AF33B0">
              <w:rPr>
                <w:lang w:val="bg-BG"/>
              </w:rPr>
              <w:t>Дължима стойност</w:t>
            </w:r>
            <w:r>
              <w:t>“.</w:t>
            </w:r>
            <w:bookmarkEnd w:id="59"/>
          </w:p>
        </w:tc>
      </w:tr>
      <w:tr w:rsidR="00FE5D64"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FE5D64" w:rsidRDefault="00E40776">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134CC10B" w:rsidR="00FE5D64" w:rsidRDefault="00E40776">
            <w:pPr>
              <w:pStyle w:val="P68B1DB1-TableParagraph14"/>
              <w:spacing w:before="108"/>
              <w:ind w:left="85"/>
              <w:jc w:val="both"/>
            </w:pPr>
            <w:r>
              <w:t xml:space="preserve">Сборът на нетните позиции </w:t>
            </w:r>
            <w:r w:rsidR="007153E3">
              <w:rPr>
                <w:lang w:val="bg-BG"/>
              </w:rPr>
              <w:t>на</w:t>
            </w:r>
            <w:r w:rsidR="007153E3">
              <w:t xml:space="preserve"> </w:t>
            </w:r>
            <w:r>
              <w:t>задължени</w:t>
            </w:r>
            <w:r w:rsidR="003A709B">
              <w:rPr>
                <w:lang w:val="bg-BG"/>
              </w:rPr>
              <w:t>я</w:t>
            </w:r>
            <w:r>
              <w:t>т</w:t>
            </w:r>
            <w:r w:rsidR="003A709B">
              <w:rPr>
                <w:lang w:val="bg-BG"/>
              </w:rPr>
              <w:t>а</w:t>
            </w:r>
            <w:r>
              <w:t xml:space="preserve">, като се вземат предвид договорните нетиращи съвкупности, след корекции </w:t>
            </w:r>
            <w:r w:rsidR="003A709B">
              <w:rPr>
                <w:lang w:val="bg-BG"/>
              </w:rPr>
              <w:t>на пазарна стойност</w:t>
            </w:r>
            <w:r>
              <w:t xml:space="preserve">, след </w:t>
            </w:r>
            <w:r w:rsidR="003A709B">
              <w:rPr>
                <w:lang w:val="bg-BG"/>
              </w:rPr>
              <w:t>приспадане на стойността</w:t>
            </w:r>
            <w:r w:rsidR="003A709B">
              <w:t xml:space="preserve"> </w:t>
            </w:r>
            <w:r>
              <w:t>на обезпечението</w:t>
            </w:r>
          </w:p>
          <w:p w14:paraId="01FF93D8" w14:textId="3DF731D2" w:rsidR="003A709B" w:rsidRDefault="003A709B" w:rsidP="003A709B">
            <w:pPr>
              <w:pStyle w:val="P68B1DB1-TableParagraph17"/>
              <w:spacing w:before="108"/>
              <w:ind w:left="85"/>
              <w:jc w:val="both"/>
            </w:pPr>
            <w:r>
              <w:t>Оценката в ред r0331 подлежи на корекция на база на предоставеното обезпечение</w:t>
            </w:r>
            <w:r>
              <w:rPr>
                <w:lang w:val="bg-BG"/>
              </w:rPr>
              <w:t xml:space="preserve"> </w:t>
            </w:r>
            <w:r>
              <w:t>по съответната експозиция, като се представя сборът от тези нетни пазарни стойности</w:t>
            </w:r>
            <w:r>
              <w:rPr>
                <w:lang w:val="bg-BG"/>
              </w:rPr>
              <w:t xml:space="preserve"> </w:t>
            </w:r>
            <w:r>
              <w:t xml:space="preserve">след </w:t>
            </w:r>
            <w:r>
              <w:lastRenderedPageBreak/>
              <w:t>приспадане на обезпечението по пазарна стойност. На този ред се</w:t>
            </w:r>
            <w:r>
              <w:rPr>
                <w:lang w:val="bg-BG"/>
              </w:rPr>
              <w:t xml:space="preserve"> </w:t>
            </w:r>
            <w:r>
              <w:t>отчита само сборът на тези договорни нетиращи съвкупности, за които позицията в</w:t>
            </w:r>
            <w:r>
              <w:rPr>
                <w:lang w:val="bg-BG"/>
              </w:rPr>
              <w:t xml:space="preserve"> </w:t>
            </w:r>
            <w:r>
              <w:t>частта на задълженията след корекции на пазарна стойност и след приспадане на</w:t>
            </w:r>
            <w:r>
              <w:rPr>
                <w:lang w:val="bg-BG"/>
              </w:rPr>
              <w:t xml:space="preserve"> </w:t>
            </w:r>
            <w:r>
              <w:t>стойността на обезпечението е положително число (тоест само когато нетната стойност</w:t>
            </w:r>
            <w:r>
              <w:rPr>
                <w:lang w:val="bg-BG"/>
              </w:rPr>
              <w:t xml:space="preserve"> </w:t>
            </w:r>
            <w:r>
              <w:t xml:space="preserve">по пазарни цени (c0120 от </w:t>
            </w:r>
            <w:r w:rsidR="00E51B59">
              <w:rPr>
                <w:lang w:val="en-US"/>
              </w:rPr>
              <w:t>Z</w:t>
            </w:r>
            <w:r w:rsidR="00E51B59" w:rsidRPr="001118F2">
              <w:t>15</w:t>
            </w:r>
            <w:r>
              <w:t>.00) е по-висока от нетната стойност на предоставеното</w:t>
            </w:r>
            <w:r>
              <w:rPr>
                <w:lang w:val="bg-BG"/>
              </w:rPr>
              <w:t xml:space="preserve"> </w:t>
            </w:r>
            <w:r>
              <w:t xml:space="preserve">обезпечение (c0130 от </w:t>
            </w:r>
            <w:r w:rsidR="00E51B59">
              <w:rPr>
                <w:lang w:val="en-US"/>
              </w:rPr>
              <w:t>Z</w:t>
            </w:r>
            <w:r w:rsidR="00E51B59" w:rsidRPr="001118F2">
              <w:t>15</w:t>
            </w:r>
            <w:r>
              <w:t xml:space="preserve">.00)). </w:t>
            </w:r>
          </w:p>
          <w:p w14:paraId="5A26CA7C" w14:textId="62C7408E" w:rsidR="00FE5D64" w:rsidRPr="001118F2" w:rsidRDefault="00FE5D64" w:rsidP="003A709B">
            <w:pPr>
              <w:pStyle w:val="P68B1DB1-TableParagraph17"/>
              <w:spacing w:before="108"/>
              <w:ind w:left="85"/>
              <w:jc w:val="both"/>
            </w:pPr>
          </w:p>
          <w:p w14:paraId="7FE1B58C" w14:textId="11048073" w:rsidR="00FE5D64" w:rsidRDefault="00E40776">
            <w:pPr>
              <w:pStyle w:val="P68B1DB1-TableParagraph17"/>
              <w:spacing w:before="108"/>
              <w:ind w:left="85"/>
              <w:jc w:val="both"/>
            </w:pPr>
            <w:r>
              <w:t>Отчитат се само стойностите в полето „</w:t>
            </w:r>
            <w:r w:rsidR="00AF33B0">
              <w:rPr>
                <w:lang w:val="bg-BG"/>
              </w:rPr>
              <w:t>Дължима стойност</w:t>
            </w:r>
            <w:r>
              <w:t>“.</w:t>
            </w:r>
          </w:p>
        </w:tc>
      </w:tr>
      <w:tr w:rsidR="00FE5D64"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FE5D64" w:rsidRDefault="00E40776">
            <w:pPr>
              <w:pStyle w:val="P68B1DB1-TableParagraph13"/>
              <w:spacing w:before="106"/>
              <w:ind w:left="-1"/>
            </w:pPr>
            <w:r>
              <w:lastRenderedPageBreak/>
              <w:t>0333</w:t>
            </w:r>
          </w:p>
        </w:tc>
        <w:tc>
          <w:tcPr>
            <w:tcW w:w="8121" w:type="dxa"/>
            <w:tcBorders>
              <w:top w:val="single" w:sz="4" w:space="0" w:color="1A171C"/>
              <w:left w:val="single" w:sz="4" w:space="0" w:color="1A171C"/>
              <w:bottom w:val="single" w:sz="4" w:space="0" w:color="1A171C"/>
              <w:right w:val="nil"/>
            </w:tcBorders>
            <w:vAlign w:val="center"/>
          </w:tcPr>
          <w:p w14:paraId="7FE1B58F" w14:textId="10E0EC72" w:rsidR="00FE5D64" w:rsidRDefault="00E40776">
            <w:pPr>
              <w:pStyle w:val="P68B1DB1-TableParagraph14"/>
              <w:spacing w:before="108"/>
              <w:ind w:left="85"/>
              <w:jc w:val="both"/>
            </w:pPr>
            <w:r>
              <w:t xml:space="preserve">Сборът на нетните позиции </w:t>
            </w:r>
            <w:r w:rsidR="007153E3">
              <w:rPr>
                <w:lang w:val="bg-BG"/>
              </w:rPr>
              <w:t>на задълженията</w:t>
            </w:r>
            <w:r>
              <w:t xml:space="preserve">, като се вземат предвид договорните нетиращи съвкупности, след корекции </w:t>
            </w:r>
            <w:r w:rsidR="007153E3">
              <w:rPr>
                <w:lang w:val="bg-BG"/>
              </w:rPr>
              <w:t>на пазарната стойност</w:t>
            </w:r>
            <w:r>
              <w:t xml:space="preserve">, след </w:t>
            </w:r>
            <w:r w:rsidR="007153E3">
              <w:rPr>
                <w:lang w:val="bg-BG"/>
              </w:rPr>
              <w:t>приспадане на стойността на</w:t>
            </w:r>
            <w:r>
              <w:t xml:space="preserve"> обезпечение</w:t>
            </w:r>
            <w:r w:rsidR="007153E3">
              <w:rPr>
                <w:lang w:val="bg-BG"/>
              </w:rPr>
              <w:t>то</w:t>
            </w:r>
            <w:r>
              <w:t xml:space="preserve">, </w:t>
            </w:r>
            <w:r w:rsidR="007153E3">
              <w:rPr>
                <w:lang w:val="bg-BG"/>
              </w:rPr>
              <w:t>с включени прогнозни оценки на стойността при приключване на сделките</w:t>
            </w:r>
          </w:p>
          <w:p w14:paraId="6349BD51" w14:textId="1A129278" w:rsidR="007153E3" w:rsidRDefault="00E40776" w:rsidP="007153E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В съответствие с Делегиран регламент на Комисията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за оценяване на задълженията, произтичащи от деривати, допълнителна сума при приключване</w:t>
            </w:r>
            <w:r w:rsidR="007153E3">
              <w:rPr>
                <w:rFonts w:ascii="Times New Roman" w:eastAsia="Cambria" w:hAnsi="Times New Roman" w:cs="Times New Roman"/>
                <w:color w:val="000000" w:themeColor="text1"/>
                <w:sz w:val="20"/>
                <w:szCs w:val="20"/>
                <w:lang w:val="bg-BG"/>
              </w:rPr>
              <w:t xml:space="preserve"> на сделките</w:t>
            </w:r>
            <w:r>
              <w:rPr>
                <w:rFonts w:ascii="Times New Roman" w:eastAsia="Cambria" w:hAnsi="Times New Roman" w:cs="Times New Roman"/>
                <w:color w:val="000000" w:themeColor="text1"/>
                <w:sz w:val="20"/>
                <w:szCs w:val="20"/>
              </w:rPr>
              <w:t>, покриваща размера на загубите или разходите, направени от контрагентите по деривати, или реализираните от тях печалби, в резултат на замяната или получаването на икономическия еквивалент на съществените условия по прекратените договори и правото на избор на страните във връзка с тези договори.</w:t>
            </w:r>
          </w:p>
          <w:p w14:paraId="20729328" w14:textId="08C6129B" w:rsidR="00CF7164" w:rsidRDefault="00CF7164" w:rsidP="00CF7164">
            <w:pPr>
              <w:pStyle w:val="TableParagraph"/>
              <w:spacing w:before="108"/>
              <w:ind w:left="85"/>
              <w:jc w:val="both"/>
              <w:rPr>
                <w:rFonts w:ascii="Times New Roman" w:eastAsia="Cambria" w:hAnsi="Times New Roman" w:cs="Times New Roman"/>
                <w:color w:val="000000" w:themeColor="text1"/>
                <w:sz w:val="20"/>
                <w:szCs w:val="20"/>
              </w:rPr>
            </w:pPr>
          </w:p>
          <w:p w14:paraId="1E90C498" w14:textId="3334C35D" w:rsidR="007153E3" w:rsidRPr="00CF7164" w:rsidRDefault="007153E3" w:rsidP="00CF7164">
            <w:pPr>
              <w:pStyle w:val="TableParagraph"/>
              <w:spacing w:before="108"/>
              <w:ind w:left="85"/>
              <w:jc w:val="both"/>
              <w:rPr>
                <w:rFonts w:ascii="Times New Roman" w:eastAsia="Cambria" w:hAnsi="Times New Roman" w:cs="Times New Roman"/>
                <w:color w:val="000000" w:themeColor="text1"/>
                <w:sz w:val="20"/>
                <w:szCs w:val="20"/>
                <w:lang w:val="bg-BG"/>
              </w:rPr>
            </w:pPr>
            <w:r w:rsidRPr="007153E3">
              <w:rPr>
                <w:rFonts w:ascii="Times New Roman" w:eastAsia="Cambria" w:hAnsi="Times New Roman" w:cs="Times New Roman"/>
                <w:color w:val="000000" w:themeColor="text1"/>
                <w:sz w:val="20"/>
                <w:szCs w:val="20"/>
              </w:rPr>
              <w:t>Прогнозирането на оценките, необходими за изчисляване на тази сума в съответствие</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 xml:space="preserve">с Делегиран регламент (ЕС) 2016/1401, може да се окаже трудно </w:t>
            </w:r>
            <w:r w:rsidR="00DB6BDA">
              <w:rPr>
                <w:rFonts w:ascii="Times New Roman" w:eastAsia="Cambria" w:hAnsi="Times New Roman" w:cs="Times New Roman"/>
                <w:color w:val="000000" w:themeColor="text1"/>
                <w:sz w:val="20"/>
                <w:szCs w:val="20"/>
                <w:lang w:val="bg-BG"/>
              </w:rPr>
              <w:t>в отделни случаи</w:t>
            </w:r>
            <w:r w:rsidRPr="007153E3">
              <w:rPr>
                <w:rFonts w:ascii="Times New Roman" w:eastAsia="Cambria" w:hAnsi="Times New Roman" w:cs="Times New Roman"/>
                <w:color w:val="000000" w:themeColor="text1"/>
                <w:sz w:val="20"/>
                <w:szCs w:val="20"/>
              </w:rPr>
              <w:t>. Следователно, могат да се използват приблизителни стойности, на базата на</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 xml:space="preserve">наличните данни, например </w:t>
            </w:r>
            <w:r>
              <w:rPr>
                <w:rFonts w:ascii="Times New Roman" w:eastAsia="Cambria" w:hAnsi="Times New Roman" w:cs="Times New Roman"/>
                <w:color w:val="000000" w:themeColor="text1"/>
                <w:sz w:val="20"/>
                <w:szCs w:val="20"/>
                <w:lang w:val="bg-BG"/>
              </w:rPr>
              <w:t>пруденциалните</w:t>
            </w:r>
            <w:r w:rsidRPr="007153E3">
              <w:rPr>
                <w:rFonts w:ascii="Times New Roman" w:eastAsia="Cambria" w:hAnsi="Times New Roman" w:cs="Times New Roman"/>
                <w:color w:val="000000" w:themeColor="text1"/>
                <w:sz w:val="20"/>
                <w:szCs w:val="20"/>
              </w:rPr>
              <w:t xml:space="preserve"> изисквания за пазарен риск. При</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невъзможност за изчисление на сумата при приключване на деривативните сделки,</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посочената стойност следва да бъде равна на сумата, посочена на ред r0332. На този</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ред (т.е. r0333) следва да се отчита само сборът на тези договори, попадащи в</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нетиращи съвкупности, за които позицията в частта на задълженията след корекции</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на пазарна стойност, след приспадане на стойността на обезпечението и след отчитане</w:t>
            </w:r>
            <w:r>
              <w:rPr>
                <w:rFonts w:ascii="Times New Roman" w:eastAsia="Cambria" w:hAnsi="Times New Roman" w:cs="Times New Roman"/>
                <w:color w:val="000000" w:themeColor="text1"/>
                <w:sz w:val="20"/>
                <w:szCs w:val="20"/>
                <w:lang w:val="bg-BG"/>
              </w:rPr>
              <w:t xml:space="preserve"> </w:t>
            </w:r>
            <w:r w:rsidRPr="007153E3">
              <w:rPr>
                <w:rFonts w:ascii="Times New Roman" w:eastAsia="Cambria" w:hAnsi="Times New Roman" w:cs="Times New Roman"/>
                <w:color w:val="000000" w:themeColor="text1"/>
                <w:sz w:val="20"/>
                <w:szCs w:val="20"/>
              </w:rPr>
              <w:t>на прогнозните суми (приходи или разходи) при приключване, е положително число</w:t>
            </w:r>
            <w:r w:rsidR="00CF7164">
              <w:rPr>
                <w:rFonts w:ascii="Times New Roman" w:eastAsia="Cambria" w:hAnsi="Times New Roman" w:cs="Times New Roman"/>
                <w:color w:val="000000" w:themeColor="text1"/>
                <w:sz w:val="20"/>
                <w:szCs w:val="20"/>
                <w:lang w:val="bg-BG"/>
              </w:rPr>
              <w:t xml:space="preserve"> </w:t>
            </w:r>
            <w:r w:rsidR="00CF7164" w:rsidRPr="00CF7164">
              <w:rPr>
                <w:rFonts w:ascii="Times New Roman" w:eastAsia="Cambria" w:hAnsi="Times New Roman" w:cs="Times New Roman"/>
                <w:color w:val="000000" w:themeColor="text1"/>
                <w:sz w:val="20"/>
                <w:szCs w:val="20"/>
                <w:lang w:val="bg-BG"/>
              </w:rPr>
              <w:t xml:space="preserve">(тоест само когато прогнозната сума при предсрочно прекратяване (c0150 </w:t>
            </w:r>
            <w:r w:rsidR="00CF7164">
              <w:rPr>
                <w:rFonts w:ascii="Times New Roman" w:eastAsia="Cambria" w:hAnsi="Times New Roman" w:cs="Times New Roman"/>
                <w:color w:val="000000" w:themeColor="text1"/>
                <w:sz w:val="20"/>
                <w:szCs w:val="20"/>
                <w:lang w:val="bg-BG"/>
              </w:rPr>
              <w:t xml:space="preserve">от </w:t>
            </w:r>
            <w:r w:rsidR="00CF7164">
              <w:rPr>
                <w:rFonts w:ascii="Times New Roman" w:eastAsia="Cambria" w:hAnsi="Times New Roman" w:cs="Times New Roman"/>
                <w:color w:val="000000" w:themeColor="text1"/>
                <w:sz w:val="20"/>
                <w:szCs w:val="20"/>
                <w:lang w:val="en-US"/>
              </w:rPr>
              <w:t>Z</w:t>
            </w:r>
            <w:r w:rsidR="00CF7164">
              <w:rPr>
                <w:rFonts w:ascii="Times New Roman" w:eastAsia="Cambria" w:hAnsi="Times New Roman" w:cs="Times New Roman"/>
                <w:color w:val="000000" w:themeColor="text1"/>
                <w:sz w:val="20"/>
                <w:szCs w:val="20"/>
                <w:lang w:val="bg-BG"/>
              </w:rPr>
              <w:t>15</w:t>
            </w:r>
            <w:r w:rsidR="00CF7164" w:rsidRPr="00CF7164">
              <w:rPr>
                <w:rFonts w:ascii="Times New Roman" w:eastAsia="Cambria" w:hAnsi="Times New Roman" w:cs="Times New Roman"/>
                <w:color w:val="000000" w:themeColor="text1"/>
                <w:sz w:val="20"/>
                <w:szCs w:val="20"/>
                <w:lang w:val="bg-BG"/>
              </w:rPr>
              <w:t>.00) е</w:t>
            </w:r>
            <w:r w:rsidR="00CF7164">
              <w:rPr>
                <w:rFonts w:ascii="Times New Roman" w:eastAsia="Cambria" w:hAnsi="Times New Roman" w:cs="Times New Roman"/>
                <w:color w:val="000000" w:themeColor="text1"/>
                <w:sz w:val="20"/>
                <w:szCs w:val="20"/>
                <w:lang w:val="bg-BG"/>
              </w:rPr>
              <w:t xml:space="preserve"> </w:t>
            </w:r>
            <w:r w:rsidR="00CF7164" w:rsidRPr="00CF7164">
              <w:rPr>
                <w:rFonts w:ascii="Times New Roman" w:eastAsia="Cambria" w:hAnsi="Times New Roman" w:cs="Times New Roman"/>
                <w:color w:val="000000" w:themeColor="text1"/>
                <w:sz w:val="20"/>
                <w:szCs w:val="20"/>
                <w:lang w:val="bg-BG"/>
              </w:rPr>
              <w:t>положително число</w:t>
            </w:r>
            <w:r w:rsidR="00CF7164">
              <w:rPr>
                <w:rFonts w:ascii="Times New Roman" w:eastAsia="Cambria" w:hAnsi="Times New Roman" w:cs="Times New Roman"/>
                <w:color w:val="000000" w:themeColor="text1"/>
                <w:sz w:val="20"/>
                <w:szCs w:val="20"/>
                <w:lang w:val="bg-BG"/>
              </w:rPr>
              <w:t>).</w:t>
            </w:r>
          </w:p>
          <w:p w14:paraId="7FE1B591" w14:textId="31C489D8" w:rsidR="00FE5D64" w:rsidRDefault="00E40776">
            <w:pPr>
              <w:pStyle w:val="P68B1DB1-TableParagraph17"/>
              <w:spacing w:before="108"/>
              <w:ind w:left="85"/>
              <w:jc w:val="both"/>
            </w:pPr>
            <w:r>
              <w:t>Отчитат се само стойностите в полето „</w:t>
            </w:r>
            <w:r w:rsidR="00FA3332">
              <w:rPr>
                <w:lang w:val="bg-BG"/>
              </w:rPr>
              <w:t>Дължима стойност</w:t>
            </w:r>
            <w:r>
              <w:t>“.</w:t>
            </w:r>
          </w:p>
        </w:tc>
      </w:tr>
      <w:tr w:rsidR="00FE5D64"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FE5D64" w:rsidRDefault="00E40776">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0E1B1B65" w:rsidR="00FE5D64" w:rsidRDefault="00E40776">
            <w:pPr>
              <w:pStyle w:val="P68B1DB1-TableParagraph14"/>
              <w:spacing w:before="108"/>
              <w:ind w:left="85"/>
              <w:jc w:val="both"/>
              <w:rPr>
                <w:bCs/>
              </w:rPr>
            </w:pPr>
            <w:r>
              <w:t xml:space="preserve">Сборът на нетните </w:t>
            </w:r>
            <w:r w:rsidRPr="00783549">
              <w:t xml:space="preserve">позиции </w:t>
            </w:r>
            <w:r w:rsidR="00F65379" w:rsidRPr="00783549">
              <w:rPr>
                <w:lang w:val="bg-BG"/>
              </w:rPr>
              <w:t>на задълженията</w:t>
            </w:r>
            <w:r>
              <w:t xml:space="preserve">, като се вземат предвид </w:t>
            </w:r>
            <w:r w:rsidR="00F65379">
              <w:rPr>
                <w:lang w:val="bg-BG"/>
              </w:rPr>
              <w:t xml:space="preserve">пруденциалните </w:t>
            </w:r>
            <w:r>
              <w:t>правила за нетиране</w:t>
            </w:r>
          </w:p>
          <w:p w14:paraId="225BC2D2" w14:textId="4F46D25D" w:rsidR="00FE5D64" w:rsidRDefault="00E40776">
            <w:pPr>
              <w:pStyle w:val="P68B1DB1-TableParagraph17"/>
              <w:spacing w:before="108"/>
              <w:ind w:left="85"/>
              <w:jc w:val="both"/>
            </w:pPr>
            <w:r>
              <w:t xml:space="preserve">Отчитат се нетните позиции </w:t>
            </w:r>
            <w:r w:rsidR="00F65379">
              <w:rPr>
                <w:lang w:val="bg-BG"/>
              </w:rPr>
              <w:t>на задълженията по</w:t>
            </w:r>
            <w:r>
              <w:t xml:space="preserve"> деривати, като се вземат предвид пруденциалните правила за нетиране, посочени в член 429 от Регламент (ЕС) № 575/2013 (във връзка с изчисляването на мярката за обща експозиция </w:t>
            </w:r>
            <w:r w:rsidR="00D93060">
              <w:rPr>
                <w:lang w:val="bg-BG"/>
              </w:rPr>
              <w:t>с оглед на</w:t>
            </w:r>
            <w:r w:rsidR="00D93060">
              <w:t xml:space="preserve"> </w:t>
            </w:r>
            <w:r>
              <w:t>отношението на ливъридж).</w:t>
            </w:r>
          </w:p>
          <w:p w14:paraId="7FE1B595" w14:textId="6B01072F" w:rsidR="00FE5D64" w:rsidRDefault="00E40776">
            <w:pPr>
              <w:pStyle w:val="P68B1DB1-TableParagraph17"/>
              <w:spacing w:before="108"/>
              <w:ind w:left="85"/>
              <w:jc w:val="both"/>
              <w:rPr>
                <w:b/>
                <w:bCs/>
              </w:rPr>
            </w:pPr>
            <w:r>
              <w:t>Отчитат се само стойностите в полето „</w:t>
            </w:r>
            <w:r w:rsidR="00D93060">
              <w:rPr>
                <w:lang w:val="bg-BG"/>
              </w:rPr>
              <w:t>Дължима стойност</w:t>
            </w:r>
            <w:r>
              <w:t>“.</w:t>
            </w:r>
          </w:p>
        </w:tc>
      </w:tr>
      <w:tr w:rsidR="00FE5D64"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FE5D64" w:rsidRDefault="00E40776">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217D8844" w:rsidR="00FE5D64" w:rsidRPr="00C87431" w:rsidRDefault="00C87431">
            <w:pPr>
              <w:pStyle w:val="P68B1DB1-TableParagraph14"/>
              <w:spacing w:before="108"/>
              <w:ind w:left="85"/>
              <w:jc w:val="both"/>
              <w:rPr>
                <w:bCs/>
                <w:lang w:val="bg-BG"/>
              </w:rPr>
            </w:pPr>
            <w:r>
              <w:rPr>
                <w:lang w:val="bg-BG"/>
              </w:rPr>
              <w:t>О</w:t>
            </w:r>
            <w:r w:rsidR="00E40776">
              <w:t>безпечени задължения</w:t>
            </w:r>
            <w:r>
              <w:rPr>
                <w:lang w:val="bg-BG"/>
              </w:rPr>
              <w:t xml:space="preserve"> – необезпечена част</w:t>
            </w:r>
          </w:p>
          <w:p w14:paraId="31A6C6BD" w14:textId="67E16BA6" w:rsidR="006F3704" w:rsidRDefault="006F3704" w:rsidP="00C87431">
            <w:pPr>
              <w:pStyle w:val="P68B1DB1-TableParagraph13"/>
              <w:spacing w:before="108"/>
              <w:ind w:left="85"/>
              <w:jc w:val="both"/>
            </w:pPr>
          </w:p>
          <w:p w14:paraId="7FE1B599" w14:textId="69CB2712" w:rsidR="00C87431" w:rsidRDefault="00C87431" w:rsidP="00C87431">
            <w:pPr>
              <w:pStyle w:val="P68B1DB1-TableParagraph13"/>
              <w:spacing w:before="108"/>
              <w:ind w:left="85"/>
              <w:jc w:val="both"/>
              <w:rPr>
                <w:b/>
                <w:bCs/>
              </w:rPr>
            </w:pPr>
            <w:bookmarkStart w:id="60" w:name="_Hlk210230845"/>
            <w:r w:rsidRPr="00C87431">
              <w:rPr>
                <w:bCs/>
              </w:rPr>
              <w:t>Отчита се частта от обезпечените задължения, с която размерът на задължението</w:t>
            </w:r>
            <w:r>
              <w:rPr>
                <w:bCs/>
                <w:lang w:val="bg-BG"/>
              </w:rPr>
              <w:t xml:space="preserve"> </w:t>
            </w:r>
            <w:r w:rsidRPr="00C87431">
              <w:rPr>
                <w:bCs/>
              </w:rPr>
              <w:t>надхвърля стойността на предоставеното обезпечение</w:t>
            </w:r>
            <w:r w:rsidR="00052947">
              <w:rPr>
                <w:bCs/>
                <w:lang w:val="bg-BG"/>
              </w:rPr>
              <w:t xml:space="preserve"> (</w:t>
            </w:r>
            <w:r w:rsidR="00052947" w:rsidRPr="00052947">
              <w:rPr>
                <w:bCs/>
                <w:lang w:val="bg-BG"/>
              </w:rPr>
              <w:t>активи, залог, реално обезпечение или друго обезпечение</w:t>
            </w:r>
            <w:r w:rsidR="00052947">
              <w:rPr>
                <w:bCs/>
                <w:lang w:val="bg-BG"/>
              </w:rPr>
              <w:t>)</w:t>
            </w:r>
            <w:r w:rsidRPr="00C87431">
              <w:rPr>
                <w:bCs/>
              </w:rPr>
              <w:t>. По този начин се обхваща</w:t>
            </w:r>
            <w:r>
              <w:rPr>
                <w:bCs/>
                <w:lang w:val="bg-BG"/>
              </w:rPr>
              <w:t xml:space="preserve"> </w:t>
            </w:r>
            <w:r w:rsidRPr="00C87431">
              <w:rPr>
                <w:bCs/>
              </w:rPr>
              <w:t>необезпечената част на всяко обезпечено задължение, например при покрити</w:t>
            </w:r>
            <w:r>
              <w:rPr>
                <w:bCs/>
                <w:lang w:val="bg-BG"/>
              </w:rPr>
              <w:t xml:space="preserve"> </w:t>
            </w:r>
            <w:r w:rsidRPr="00C87431">
              <w:rPr>
                <w:bCs/>
              </w:rPr>
              <w:t>облигации или при операции по обратно изкупуване.</w:t>
            </w:r>
            <w:bookmarkEnd w:id="60"/>
          </w:p>
        </w:tc>
      </w:tr>
      <w:tr w:rsidR="00FE5D64"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FE5D64" w:rsidRDefault="00E40776">
            <w:pPr>
              <w:pStyle w:val="P68B1DB1-TableParagraph13"/>
              <w:spacing w:before="106"/>
              <w:ind w:left="-1"/>
            </w:pPr>
            <w:r>
              <w:t>0350—</w:t>
            </w:r>
            <w:r>
              <w:lastRenderedPageBreak/>
              <w:t>0354</w:t>
            </w:r>
          </w:p>
        </w:tc>
        <w:tc>
          <w:tcPr>
            <w:tcW w:w="8121" w:type="dxa"/>
            <w:tcBorders>
              <w:top w:val="single" w:sz="4" w:space="0" w:color="1A171C"/>
              <w:left w:val="single" w:sz="4" w:space="0" w:color="1A171C"/>
              <w:bottom w:val="single" w:sz="4" w:space="0" w:color="1A171C"/>
              <w:right w:val="nil"/>
            </w:tcBorders>
            <w:vAlign w:val="center"/>
          </w:tcPr>
          <w:p w14:paraId="7FE1B59C" w14:textId="6E299DEA" w:rsidR="00FE5D64" w:rsidRPr="00BD759A" w:rsidRDefault="00E40776">
            <w:pPr>
              <w:pStyle w:val="P68B1DB1-TableParagraph14"/>
              <w:spacing w:before="108"/>
              <w:ind w:left="85"/>
              <w:jc w:val="both"/>
              <w:rPr>
                <w:bCs/>
                <w:lang w:val="bg-BG"/>
              </w:rPr>
            </w:pPr>
            <w:r>
              <w:lastRenderedPageBreak/>
              <w:t>Структурирани облигации</w:t>
            </w:r>
          </w:p>
          <w:p w14:paraId="7FE1B59D" w14:textId="4D170102" w:rsidR="00B13533" w:rsidRDefault="00E40776" w:rsidP="00BB0803">
            <w:pPr>
              <w:pStyle w:val="P68B1DB1-TableParagraph17"/>
              <w:spacing w:before="108"/>
              <w:ind w:left="85"/>
              <w:jc w:val="both"/>
              <w:rPr>
                <w:b/>
                <w:bCs/>
              </w:rPr>
            </w:pPr>
            <w:r>
              <w:lastRenderedPageBreak/>
              <w:t xml:space="preserve">Структурираните облигации се определят за тази цел като дългови </w:t>
            </w:r>
            <w:r w:rsidR="00B13533">
              <w:rPr>
                <w:lang w:val="bg-BG"/>
              </w:rPr>
              <w:t>облигации</w:t>
            </w:r>
            <w:r>
              <w:t xml:space="preserve">, съдържащи </w:t>
            </w:r>
            <w:r w:rsidR="00B13533">
              <w:rPr>
                <w:lang w:val="bg-BG"/>
              </w:rPr>
              <w:t>вградена</w:t>
            </w:r>
            <w:r w:rsidR="00B13533">
              <w:t xml:space="preserve"> </w:t>
            </w:r>
            <w:r>
              <w:t>дериватив</w:t>
            </w:r>
            <w:r w:rsidR="00B13533">
              <w:rPr>
                <w:lang w:val="bg-BG"/>
              </w:rPr>
              <w:t>на компонента</w:t>
            </w:r>
            <w:r>
              <w:t xml:space="preserve">, </w:t>
            </w:r>
            <w:r w:rsidR="00B13533">
              <w:rPr>
                <w:lang w:val="bg-BG"/>
              </w:rPr>
              <w:t>чиято възвръщаемост</w:t>
            </w:r>
            <w:r>
              <w:t xml:space="preserve"> е свързана с базова ценна книга или индекс (публичен или специално съставен, като например капиталови ценни книжа, облигации, фиксиран процент на доход или кредит, валута, стоки и др.). Структурираните облигации не включват дългови инструменти, включващи само опции за покупка или продажба, т.е. стойността на инструмента не зависи от </w:t>
            </w:r>
            <w:r w:rsidR="00BB0803">
              <w:rPr>
                <w:lang w:val="bg-BG"/>
              </w:rPr>
              <w:t xml:space="preserve">вградената деривативна </w:t>
            </w:r>
            <w:r>
              <w:t>компонент</w:t>
            </w:r>
            <w:r w:rsidR="00BB0803">
              <w:rPr>
                <w:lang w:val="bg-BG"/>
              </w:rPr>
              <w:t>а</w:t>
            </w:r>
            <w:r>
              <w:t>.</w:t>
            </w:r>
          </w:p>
        </w:tc>
      </w:tr>
      <w:tr w:rsidR="00FE5D64"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FE5D64" w:rsidRDefault="00E40776">
            <w:pPr>
              <w:pStyle w:val="P68B1DB1-TableParagraph13"/>
              <w:spacing w:before="106"/>
              <w:ind w:left="-1"/>
            </w:pPr>
            <w:r>
              <w:lastRenderedPageBreak/>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FE5D64" w:rsidRDefault="00E40776">
            <w:pPr>
              <w:pStyle w:val="P68B1DB1-TableParagraph14"/>
              <w:spacing w:before="108"/>
              <w:ind w:left="85"/>
              <w:jc w:val="both"/>
              <w:rPr>
                <w:bCs/>
              </w:rPr>
            </w:pPr>
            <w:r>
              <w:t>Първостепенни необезпечени задължения</w:t>
            </w:r>
          </w:p>
          <w:p w14:paraId="7FE1B5A1" w14:textId="2515816B" w:rsidR="00FE5D64" w:rsidRDefault="00E40776">
            <w:pPr>
              <w:pStyle w:val="P68B1DB1-TableParagraph17"/>
              <w:spacing w:before="108"/>
              <w:ind w:left="85"/>
              <w:jc w:val="both"/>
              <w:rPr>
                <w:b/>
                <w:bCs/>
              </w:rPr>
            </w:pPr>
            <w:r>
              <w:t>Това включва всички първостепенни необезпечени инструменти, които не са включени в други категории по-горе.</w:t>
            </w:r>
          </w:p>
        </w:tc>
      </w:tr>
      <w:tr w:rsidR="00FE5D64"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FE5D64" w:rsidRDefault="00E40776">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FE5D64" w:rsidRDefault="00E40776">
            <w:pPr>
              <w:pStyle w:val="P68B1DB1-TableParagraph14"/>
              <w:spacing w:before="108"/>
              <w:ind w:left="85"/>
              <w:jc w:val="both"/>
            </w:pPr>
            <w:r>
              <w:t>Първостепенни непривилегировани задължения</w:t>
            </w:r>
          </w:p>
          <w:p w14:paraId="7FE1B5A5" w14:textId="77777777" w:rsidR="00FE5D64" w:rsidRDefault="00E40776">
            <w:pPr>
              <w:pStyle w:val="P68B1DB1-TableParagraph13"/>
              <w:spacing w:before="108"/>
              <w:ind w:left="85"/>
              <w:jc w:val="both"/>
            </w:pPr>
            <w:r>
              <w:t>Сумата на което и да е от следните задължения:</w:t>
            </w:r>
          </w:p>
          <w:p w14:paraId="7FE1B5A6" w14:textId="51806099" w:rsidR="00FE5D64" w:rsidRDefault="00E40776">
            <w:pPr>
              <w:pStyle w:val="P68B1DB1-TableParagraph13"/>
              <w:numPr>
                <w:ilvl w:val="0"/>
                <w:numId w:val="69"/>
              </w:numPr>
              <w:spacing w:before="108"/>
              <w:jc w:val="both"/>
            </w:pPr>
            <w:r>
              <w:t xml:space="preserve">Необезпечени вземания, произтичащи от дългови инструменти, които отговарят на условията, определени в член 108 от Директива 2014/59/ЕС, параграф 2, букви а), б) и в) и параграф 3; </w:t>
            </w:r>
          </w:p>
          <w:p w14:paraId="7FE1B5A7" w14:textId="068E92B4" w:rsidR="00FE5D64" w:rsidRDefault="00E40776">
            <w:pPr>
              <w:pStyle w:val="P68B1DB1-TableParagraph13"/>
              <w:numPr>
                <w:ilvl w:val="0"/>
                <w:numId w:val="69"/>
              </w:numPr>
              <w:spacing w:before="108"/>
              <w:jc w:val="both"/>
            </w:pPr>
            <w:r>
              <w:t>Необезпечени вземания</w:t>
            </w:r>
            <w:r w:rsidR="00CD7119">
              <w:rPr>
                <w:lang w:val="bg-BG"/>
              </w:rPr>
              <w:t>, произтичащи</w:t>
            </w:r>
            <w:r>
              <w:t xml:space="preserve"> от дългови инструменти, посочени в член 108, параграф 5, първа алинея, буква б) от Директива 2014/59/ЕС; или</w:t>
            </w:r>
          </w:p>
          <w:p w14:paraId="7FE1B5A8" w14:textId="269EC93A" w:rsidR="00FE5D64" w:rsidRDefault="00E40776">
            <w:pPr>
              <w:pStyle w:val="P68B1DB1-TableParagraph13"/>
              <w:numPr>
                <w:ilvl w:val="0"/>
                <w:numId w:val="69"/>
              </w:numPr>
              <w:spacing w:before="108"/>
              <w:jc w:val="both"/>
            </w:pPr>
            <w:r>
              <w:t>Дългови инструменти с най-нисък ред измежду обикновените необезпечени вземания</w:t>
            </w:r>
            <w:r w:rsidR="00CD7119">
              <w:rPr>
                <w:lang w:val="bg-BG"/>
              </w:rPr>
              <w:t>, произтичащи</w:t>
            </w:r>
            <w:r>
              <w:t xml:space="preserve"> от дългови инструменти, посочени в член 108, параграф 7 от Директива 2014/59/ЕС, за които в съответствие със същия параграф държава членка е гарантирала, че имат същия ред като този на вземанията, отговарящи на условията, посочени в член 108, параграф 2, букви а), б) и в) и параграф 3 от Директива 2014/59/ЕС.</w:t>
            </w:r>
          </w:p>
        </w:tc>
      </w:tr>
      <w:tr w:rsidR="00FE5D64"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FE5D64" w:rsidRDefault="00E40776">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349A74A3" w:rsidR="00FE5D64" w:rsidRDefault="00A00157">
            <w:pPr>
              <w:pStyle w:val="P68B1DB1-TableParagraph14"/>
              <w:spacing w:before="108"/>
              <w:ind w:left="85"/>
              <w:jc w:val="both"/>
              <w:rPr>
                <w:bCs/>
              </w:rPr>
            </w:pPr>
            <w:r>
              <w:rPr>
                <w:lang w:val="bg-BG"/>
              </w:rPr>
              <w:t>Подчинени</w:t>
            </w:r>
            <w:r>
              <w:t xml:space="preserve"> </w:t>
            </w:r>
            <w:r w:rsidR="00E40776">
              <w:t xml:space="preserve">задължения (които не са признати за собствен </w:t>
            </w:r>
            <w:r w:rsidR="009F1C03">
              <w:rPr>
                <w:lang w:val="bg-BG"/>
              </w:rPr>
              <w:t>капитал</w:t>
            </w:r>
            <w:r w:rsidR="00E40776">
              <w:t>)</w:t>
            </w:r>
          </w:p>
          <w:p w14:paraId="7FE1B5AC" w14:textId="52670DA6" w:rsidR="00FE5D64" w:rsidRDefault="00E40776">
            <w:pPr>
              <w:pStyle w:val="P68B1DB1-TableParagraph17"/>
              <w:spacing w:before="108"/>
              <w:ind w:left="85"/>
              <w:jc w:val="both"/>
            </w:pPr>
            <w:r>
              <w:t>Задълженията, които съгласно националното право в областта на несъстоятелността ще бъдат изплатени едва след като бъдат изцяло погасени задълженията към всички класове обикновени и първостепенни непривилегировани кредитори. Тук спадат</w:t>
            </w:r>
            <w:r w:rsidR="00445059">
              <w:rPr>
                <w:lang w:val="bg-BG"/>
              </w:rPr>
              <w:t xml:space="preserve"> както</w:t>
            </w:r>
            <w:r>
              <w:t xml:space="preserve"> подчинени задължения, произтичащи от договорни клаузи</w:t>
            </w:r>
            <w:r w:rsidR="00445059">
              <w:rPr>
                <w:lang w:val="bg-BG"/>
              </w:rPr>
              <w:t>, така</w:t>
            </w:r>
            <w:r>
              <w:t xml:space="preserve"> и </w:t>
            </w:r>
            <w:r w:rsidR="00445059">
              <w:rPr>
                <w:lang w:val="bg-BG"/>
              </w:rPr>
              <w:t xml:space="preserve">нормативно установени подчинени задължения. </w:t>
            </w:r>
            <w:r>
              <w:t xml:space="preserve">от нормативни изисквания. </w:t>
            </w:r>
            <w:r w:rsidR="00445059">
              <w:rPr>
                <w:lang w:val="bg-BG"/>
              </w:rPr>
              <w:t xml:space="preserve">В случай на холдингови дружества, </w:t>
            </w:r>
            <w:r w:rsidR="00A00157" w:rsidRPr="00CD7119">
              <w:rPr>
                <w:lang w:val="bg-BG"/>
              </w:rPr>
              <w:t>в тази категория</w:t>
            </w:r>
            <w:r w:rsidR="00A00157">
              <w:rPr>
                <w:lang w:val="bg-BG"/>
              </w:rPr>
              <w:t xml:space="preserve"> може да се отчитат</w:t>
            </w:r>
            <w:r w:rsidR="00A00157" w:rsidRPr="00CD7119">
              <w:rPr>
                <w:lang w:val="bg-BG"/>
              </w:rPr>
              <w:t xml:space="preserve"> и </w:t>
            </w:r>
            <w:r>
              <w:t>неподчинени дългови ценни книжа (т.е. структурн</w:t>
            </w:r>
            <w:r w:rsidR="00445059">
              <w:rPr>
                <w:lang w:val="bg-BG"/>
              </w:rPr>
              <w:t>а</w:t>
            </w:r>
            <w:r>
              <w:t xml:space="preserve"> подчине</w:t>
            </w:r>
            <w:r w:rsidR="00445059">
              <w:rPr>
                <w:lang w:val="bg-BG"/>
              </w:rPr>
              <w:t>ност</w:t>
            </w:r>
            <w:r>
              <w:t>).</w:t>
            </w:r>
          </w:p>
          <w:p w14:paraId="7FE1B5AD" w14:textId="39FD594C" w:rsidR="00FE5D64" w:rsidRDefault="00E40776">
            <w:pPr>
              <w:pStyle w:val="P68B1DB1-TableParagraph17"/>
              <w:spacing w:before="108"/>
              <w:ind w:left="85"/>
              <w:jc w:val="both"/>
            </w:pPr>
            <w:r>
              <w:t xml:space="preserve">В тази категория се включват само подчинените инструменти, които не се признават за собствен </w:t>
            </w:r>
            <w:r w:rsidR="009F1C03">
              <w:rPr>
                <w:lang w:val="bg-BG"/>
              </w:rPr>
              <w:t>капитал</w:t>
            </w:r>
            <w:r>
              <w:t xml:space="preserve">. </w:t>
            </w:r>
          </w:p>
          <w:p w14:paraId="7FE1B5AE" w14:textId="31CF34AE" w:rsidR="00FE5D64" w:rsidRDefault="00445059" w:rsidP="009F1C03">
            <w:pPr>
              <w:pStyle w:val="P68B1DB1-TableParagraph17"/>
              <w:spacing w:before="108"/>
              <w:ind w:left="85"/>
              <w:jc w:val="both"/>
              <w:rPr>
                <w:b/>
                <w:bCs/>
              </w:rPr>
            </w:pPr>
            <w:r>
              <w:rPr>
                <w:lang w:val="bg-BG"/>
              </w:rPr>
              <w:t>На т</w:t>
            </w:r>
            <w:r w:rsidR="00E40776">
              <w:t xml:space="preserve">ози ред </w:t>
            </w:r>
            <w:r>
              <w:rPr>
                <w:lang w:val="bg-BG"/>
              </w:rPr>
              <w:t>се отчита също</w:t>
            </w:r>
            <w:r w:rsidR="00E40776">
              <w:t xml:space="preserve"> онази част от подчинените задължения, която по принцип отговаря на изискванията за собствен </w:t>
            </w:r>
            <w:r w:rsidR="009F1C03">
              <w:rPr>
                <w:lang w:val="bg-BG"/>
              </w:rPr>
              <w:t>капитал</w:t>
            </w:r>
            <w:r w:rsidR="00E40776">
              <w:t>, но не е включена в собствени</w:t>
            </w:r>
            <w:r w:rsidR="009F1C03">
              <w:rPr>
                <w:lang w:val="bg-BG"/>
              </w:rPr>
              <w:t>я</w:t>
            </w:r>
            <w:r w:rsidR="00E40776">
              <w:t xml:space="preserve"> </w:t>
            </w:r>
            <w:r w:rsidR="009F1C03">
              <w:rPr>
                <w:lang w:val="bg-BG"/>
              </w:rPr>
              <w:t>капитал</w:t>
            </w:r>
            <w:r w:rsidR="00E40776">
              <w:t xml:space="preserve"> поради </w:t>
            </w:r>
            <w:r>
              <w:rPr>
                <w:lang w:val="bg-BG"/>
              </w:rPr>
              <w:t>поетапна амортизация</w:t>
            </w:r>
            <w:r w:rsidR="00E40776">
              <w:t xml:space="preserve"> като например член 64 от Регламент (ЕС) № 575/2013 (остатъчен </w:t>
            </w:r>
            <w:r w:rsidR="00E40F41">
              <w:rPr>
                <w:lang w:val="bg-BG"/>
              </w:rPr>
              <w:t>падеж</w:t>
            </w:r>
            <w:r w:rsidR="00E40776">
              <w:t>) или част 10 от същия регламент (</w:t>
            </w:r>
            <w:r>
              <w:rPr>
                <w:lang w:val="bg-BG"/>
              </w:rPr>
              <w:t>в резултат</w:t>
            </w:r>
            <w:r>
              <w:t xml:space="preserve"> </w:t>
            </w:r>
            <w:r w:rsidR="00E40776">
              <w:t xml:space="preserve">на унаследяване). </w:t>
            </w:r>
          </w:p>
        </w:tc>
      </w:tr>
      <w:tr w:rsidR="00FE5D64"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FE5D64" w:rsidRDefault="00E40776">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524C8F4" w:rsidR="00FE5D64" w:rsidRDefault="00E40776">
            <w:pPr>
              <w:pStyle w:val="P68B1DB1-TableParagraph14"/>
              <w:spacing w:before="108"/>
              <w:ind w:left="85"/>
              <w:jc w:val="both"/>
              <w:rPr>
                <w:bCs/>
              </w:rPr>
            </w:pPr>
            <w:r>
              <w:t xml:space="preserve">Други приемливи задължения </w:t>
            </w:r>
            <w:r w:rsidR="00E40896">
              <w:rPr>
                <w:lang w:val="bg-BG"/>
              </w:rPr>
              <w:t>за целите на</w:t>
            </w:r>
            <w:r w:rsidR="00E40896">
              <w:t xml:space="preserve"> </w:t>
            </w:r>
            <w:r>
              <w:t>минималното изискване за собствен капитал и приемливи задължения (МИ</w:t>
            </w:r>
            <w:r w:rsidR="00DA4CB7">
              <w:rPr>
                <w:lang w:val="bg-BG"/>
              </w:rPr>
              <w:t>СК</w:t>
            </w:r>
            <w:r>
              <w:t>ПЗ)</w:t>
            </w:r>
          </w:p>
          <w:p w14:paraId="7FE1B5B2" w14:textId="4506AA1E" w:rsidR="00FE5D64" w:rsidRPr="006B2086" w:rsidRDefault="00E40776">
            <w:pPr>
              <w:pStyle w:val="P68B1DB1-TableParagraph13"/>
              <w:spacing w:before="108"/>
              <w:ind w:left="85"/>
              <w:jc w:val="both"/>
              <w:rPr>
                <w:b/>
                <w:bCs/>
              </w:rPr>
            </w:pPr>
            <w:r>
              <w:t>Размерът на задълженията, който е приемлив за целите на изпълнението от страна на докладващия субект на изискването по член 45 от Директива 2014/59/ЕС в съответствие с членове 45д или 45е от нея, според случая, но не е обхванат в редове 0320 и 0340—0370.</w:t>
            </w:r>
          </w:p>
        </w:tc>
      </w:tr>
      <w:tr w:rsidR="00FE5D64"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FE5D64" w:rsidRDefault="00E40776">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07D9AB4B" w:rsidR="00FE5D64" w:rsidRPr="00DA4CB7" w:rsidRDefault="00E40776">
            <w:pPr>
              <w:pStyle w:val="P68B1DB1-TableParagraph14"/>
              <w:spacing w:before="108"/>
              <w:ind w:left="85"/>
              <w:jc w:val="both"/>
              <w:rPr>
                <w:lang w:val="bg-BG"/>
              </w:rPr>
            </w:pPr>
            <w:r>
              <w:t>Нефинансови задължения</w:t>
            </w:r>
          </w:p>
          <w:p w14:paraId="7FE1B5B6" w14:textId="5CEC3686" w:rsidR="00FF6E17" w:rsidRDefault="00E40776" w:rsidP="00FF6E17">
            <w:pPr>
              <w:pStyle w:val="P68B1DB1-TableParagraph17"/>
              <w:spacing w:before="108"/>
              <w:ind w:left="85"/>
              <w:jc w:val="both"/>
              <w:rPr>
                <w:b/>
                <w:bCs/>
              </w:rPr>
            </w:pPr>
            <w:r>
              <w:t xml:space="preserve">Размерът на </w:t>
            </w:r>
            <w:r w:rsidR="00FF6E17">
              <w:rPr>
                <w:lang w:val="bg-BG"/>
              </w:rPr>
              <w:t>задълженията</w:t>
            </w:r>
            <w:r>
              <w:t xml:space="preserve">, които не се </w:t>
            </w:r>
            <w:r w:rsidR="00FF6E17">
              <w:rPr>
                <w:lang w:val="bg-BG"/>
              </w:rPr>
              <w:t>смятат</w:t>
            </w:r>
            <w:r w:rsidR="00FF6E17">
              <w:t xml:space="preserve"> </w:t>
            </w:r>
            <w:r>
              <w:t xml:space="preserve">за финансови </w:t>
            </w:r>
            <w:r w:rsidR="00FF6E17">
              <w:rPr>
                <w:lang w:val="bg-BG"/>
              </w:rPr>
              <w:t>задължения</w:t>
            </w:r>
            <w:r w:rsidR="00FF6E17">
              <w:t xml:space="preserve"> </w:t>
            </w:r>
            <w:r>
              <w:t>в съответствие с приложимата счетоводна рамка, като например провизии</w:t>
            </w:r>
            <w:r w:rsidR="00FF6E17">
              <w:rPr>
                <w:lang w:val="bg-BG"/>
              </w:rPr>
              <w:t xml:space="preserve"> по съдебни дела, засягащи отчетната институция</w:t>
            </w:r>
            <w:r>
              <w:t xml:space="preserve">. </w:t>
            </w:r>
          </w:p>
        </w:tc>
      </w:tr>
      <w:tr w:rsidR="00FE5D64"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FE5D64" w:rsidRDefault="00E40776">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6CF49F19" w:rsidR="00FE5D64" w:rsidRPr="00B54FD0" w:rsidRDefault="00B54FD0">
            <w:pPr>
              <w:pStyle w:val="P68B1DB1-TableParagraph14"/>
              <w:spacing w:before="108"/>
              <w:ind w:left="85"/>
              <w:jc w:val="both"/>
            </w:pPr>
            <w:r>
              <w:rPr>
                <w:lang w:val="bg-BG"/>
              </w:rPr>
              <w:t>Други</w:t>
            </w:r>
            <w:r>
              <w:t xml:space="preserve"> </w:t>
            </w:r>
            <w:r w:rsidR="00E40776">
              <w:t>задължения</w:t>
            </w:r>
          </w:p>
          <w:p w14:paraId="7FE1B5BA" w14:textId="7F887BE9" w:rsidR="00FE5D64" w:rsidRDefault="00E40776">
            <w:pPr>
              <w:pStyle w:val="P68B1DB1-TableParagraph17"/>
              <w:spacing w:before="108"/>
              <w:ind w:left="85"/>
              <w:jc w:val="both"/>
              <w:rPr>
                <w:b/>
                <w:bCs/>
              </w:rPr>
            </w:pPr>
            <w:r>
              <w:lastRenderedPageBreak/>
              <w:t xml:space="preserve">Размерът на </w:t>
            </w:r>
            <w:r w:rsidR="00B54FD0">
              <w:rPr>
                <w:lang w:val="bg-BG"/>
              </w:rPr>
              <w:t>задълженията</w:t>
            </w:r>
            <w:r>
              <w:t xml:space="preserve">, които не са отчетени в редове 0100—0390. </w:t>
            </w:r>
          </w:p>
        </w:tc>
      </w:tr>
      <w:tr w:rsidR="00FE5D64"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FE5D64" w:rsidRDefault="00E40776">
            <w:pPr>
              <w:pStyle w:val="P68B1DB1-TableParagraph13"/>
              <w:spacing w:before="106"/>
              <w:ind w:left="-1"/>
            </w:pPr>
            <w:r>
              <w:lastRenderedPageBreak/>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FE5D64" w:rsidRDefault="00E40776">
            <w:pPr>
              <w:pStyle w:val="P68B1DB1-TableParagraph14"/>
              <w:spacing w:before="108"/>
              <w:ind w:left="85"/>
              <w:jc w:val="both"/>
            </w:pPr>
            <w:r>
              <w:t>Собствен капитал</w:t>
            </w:r>
          </w:p>
          <w:p w14:paraId="7FE1B5BE" w14:textId="77777777" w:rsidR="00FE5D64" w:rsidRDefault="00E40776">
            <w:pPr>
              <w:pStyle w:val="P68B1DB1-TableParagraph17"/>
              <w:spacing w:before="108"/>
              <w:ind w:left="85"/>
              <w:jc w:val="both"/>
            </w:pPr>
            <w:r>
              <w:t>Член 4, параграф 1, точка 118 и член 72 от Регламент (ЕС) № 575/2013.</w:t>
            </w:r>
          </w:p>
          <w:p w14:paraId="7FE1B5BF" w14:textId="3249933A" w:rsidR="00FE5D64" w:rsidRDefault="00E40776">
            <w:pPr>
              <w:pStyle w:val="P68B1DB1-TableParagraph17"/>
              <w:spacing w:before="108"/>
              <w:ind w:left="85"/>
              <w:jc w:val="both"/>
            </w:pPr>
            <w:r>
              <w:t xml:space="preserve">Същото определение като COREP (OF): </w:t>
            </w:r>
            <w:r w:rsidR="006B2086" w:rsidRPr="001118F2">
              <w:rPr>
                <w:spacing w:val="-2"/>
                <w:w w:val="95"/>
              </w:rPr>
              <w:t>{</w:t>
            </w:r>
            <w:r w:rsidR="006B2086" w:rsidRPr="00B54FD0">
              <w:rPr>
                <w:spacing w:val="-2"/>
                <w:w w:val="95"/>
                <w:lang w:val="en-GB"/>
              </w:rPr>
              <w:t>C</w:t>
            </w:r>
            <w:r w:rsidR="006B2086" w:rsidRPr="001118F2">
              <w:rPr>
                <w:spacing w:val="-2"/>
                <w:w w:val="95"/>
              </w:rPr>
              <w:t xml:space="preserve"> 01.00;010;010}</w:t>
            </w:r>
          </w:p>
        </w:tc>
      </w:tr>
      <w:tr w:rsidR="00FE5D64"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FE5D64" w:rsidRDefault="00E40776">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FE5D64" w:rsidRDefault="00E40776">
            <w:pPr>
              <w:pStyle w:val="P68B1DB1-TableParagraph14"/>
              <w:spacing w:before="108"/>
              <w:ind w:left="85"/>
              <w:jc w:val="both"/>
              <w:rPr>
                <w:bCs/>
              </w:rPr>
            </w:pPr>
            <w:r>
              <w:t>Базов собствен капитал от първи ред</w:t>
            </w:r>
          </w:p>
          <w:p w14:paraId="7FE1B5C3" w14:textId="77777777" w:rsidR="00FE5D64" w:rsidRDefault="00E40776">
            <w:pPr>
              <w:pStyle w:val="P68B1DB1-TableParagraph17"/>
              <w:spacing w:before="108"/>
              <w:ind w:left="85"/>
              <w:jc w:val="both"/>
            </w:pPr>
            <w:r>
              <w:t>Член 50 от Регламент (ЕС) № 575/2013.</w:t>
            </w:r>
          </w:p>
          <w:p w14:paraId="7FE1B5C4" w14:textId="6D8F1984" w:rsidR="00FE5D64" w:rsidRDefault="00E40776">
            <w:pPr>
              <w:pStyle w:val="P68B1DB1-TableParagraph17"/>
              <w:spacing w:before="108"/>
              <w:ind w:left="85"/>
              <w:jc w:val="both"/>
              <w:rPr>
                <w:b/>
                <w:bCs/>
              </w:rPr>
            </w:pPr>
            <w:r>
              <w:t xml:space="preserve">Същото определение като COREP (OF): </w:t>
            </w:r>
            <w:r w:rsidR="00A04F35" w:rsidRPr="001118F2">
              <w:rPr>
                <w:spacing w:val="-2"/>
                <w:w w:val="95"/>
              </w:rPr>
              <w:t>{</w:t>
            </w:r>
            <w:r w:rsidR="00A04F35" w:rsidRPr="00B54FD0">
              <w:rPr>
                <w:spacing w:val="-2"/>
                <w:w w:val="95"/>
                <w:lang w:val="en-GB"/>
              </w:rPr>
              <w:t>C</w:t>
            </w:r>
            <w:r w:rsidR="00A04F35" w:rsidRPr="001118F2">
              <w:rPr>
                <w:spacing w:val="-2"/>
                <w:w w:val="95"/>
              </w:rPr>
              <w:t xml:space="preserve"> 01.00;020;010}</w:t>
            </w:r>
          </w:p>
        </w:tc>
      </w:tr>
      <w:tr w:rsidR="00FE5D64"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FE5D64" w:rsidRDefault="00E40776">
            <w:pPr>
              <w:pStyle w:val="P68B1DB1-TableParagraph13"/>
              <w:spacing w:before="106"/>
              <w:ind w:left="-1"/>
            </w:pPr>
            <w:bookmarkStart w:id="61" w:name="_Hlk210234126"/>
            <w:r>
              <w:t>0511</w:t>
            </w:r>
          </w:p>
        </w:tc>
        <w:tc>
          <w:tcPr>
            <w:tcW w:w="8121" w:type="dxa"/>
            <w:tcBorders>
              <w:top w:val="single" w:sz="4" w:space="0" w:color="1A171C"/>
              <w:left w:val="single" w:sz="4" w:space="0" w:color="1A171C"/>
              <w:bottom w:val="single" w:sz="4" w:space="0" w:color="1A171C"/>
              <w:right w:val="nil"/>
            </w:tcBorders>
            <w:vAlign w:val="center"/>
          </w:tcPr>
          <w:p w14:paraId="7FE1B5C7" w14:textId="60CF7807" w:rsidR="00FE5D64" w:rsidRDefault="00E40776">
            <w:pPr>
              <w:pStyle w:val="P68B1DB1-TableParagraph14"/>
              <w:spacing w:before="108"/>
              <w:ind w:left="85"/>
              <w:jc w:val="both"/>
              <w:rPr>
                <w:bCs/>
              </w:rPr>
            </w:pPr>
            <w:r>
              <w:t>От които: капиталови инструменти/акционерен капитал</w:t>
            </w:r>
          </w:p>
          <w:p w14:paraId="7FE1B5C8" w14:textId="0887BFBA" w:rsidR="00FE5D64" w:rsidRDefault="00E40776">
            <w:pPr>
              <w:pStyle w:val="P68B1DB1-TableParagraph17"/>
              <w:spacing w:before="108"/>
              <w:ind w:left="85"/>
              <w:jc w:val="both"/>
            </w:pPr>
            <w:r>
              <w:t>Правните инструменти, съставляващи (част от) базовия собствен капитал от първи ред</w:t>
            </w:r>
            <w:r w:rsidR="00A04F35" w:rsidRPr="00B54FD0">
              <w:rPr>
                <w:lang w:val="bg-BG"/>
              </w:rPr>
              <w:t xml:space="preserve"> </w:t>
            </w:r>
            <w:r w:rsidR="00A04F35">
              <w:rPr>
                <w:lang w:val="bg-BG"/>
              </w:rPr>
              <w:t>(</w:t>
            </w:r>
            <w:r w:rsidR="00A04F35">
              <w:rPr>
                <w:lang w:val="en-US"/>
              </w:rPr>
              <w:t>CET</w:t>
            </w:r>
            <w:r w:rsidR="00A04F35" w:rsidRPr="001118F2">
              <w:t>1</w:t>
            </w:r>
            <w:r w:rsidR="00A04F35">
              <w:rPr>
                <w:lang w:val="bg-BG"/>
              </w:rPr>
              <w:t>)</w:t>
            </w:r>
            <w:r>
              <w:t xml:space="preserve"> във вид на капиталови инструменти/акционерен капитал.</w:t>
            </w:r>
          </w:p>
          <w:p w14:paraId="7FE1B5C9" w14:textId="7B54DD24" w:rsidR="00FE5D64" w:rsidRDefault="00B54FD0">
            <w:pPr>
              <w:pStyle w:val="P68B1DB1-TableParagraph13"/>
              <w:spacing w:before="108"/>
              <w:ind w:left="85"/>
              <w:jc w:val="both"/>
            </w:pPr>
            <w:r>
              <w:rPr>
                <w:lang w:val="bg-BG"/>
              </w:rPr>
              <w:t>Под б</w:t>
            </w:r>
            <w:r w:rsidR="00E40776">
              <w:t xml:space="preserve">алансова стойност (FINREP </w:t>
            </w:r>
            <w:r w:rsidR="00A04F35" w:rsidRPr="00B54FD0">
              <w:rPr>
                <w:lang w:val="en-GB"/>
              </w:rPr>
              <w:t>F</w:t>
            </w:r>
            <w:r w:rsidR="00A04F35" w:rsidRPr="001118F2">
              <w:t xml:space="preserve">01.03-020-010 + </w:t>
            </w:r>
            <w:r w:rsidR="00A04F35" w:rsidRPr="00B54FD0">
              <w:rPr>
                <w:lang w:val="en-GB"/>
              </w:rPr>
              <w:t>F</w:t>
            </w:r>
            <w:r w:rsidR="00A04F35" w:rsidRPr="001118F2">
              <w:t>01.03-040-010</w:t>
            </w:r>
            <w:r w:rsidR="00E40776">
              <w:t xml:space="preserve">) се разбира като номиналната стойност на инструментите, докато </w:t>
            </w:r>
            <w:r w:rsidR="00B763AE">
              <w:rPr>
                <w:lang w:val="bg-BG"/>
              </w:rPr>
              <w:t>дължимата стойност</w:t>
            </w:r>
            <w:r w:rsidR="00E40776">
              <w:t xml:space="preserve"> представлява остатъчното вземане на акции от общия </w:t>
            </w:r>
            <w:r w:rsidR="00B763AE">
              <w:rPr>
                <w:lang w:val="bg-BG"/>
              </w:rPr>
              <w:t>счетоводен</w:t>
            </w:r>
            <w:r w:rsidR="00B763AE">
              <w:t xml:space="preserve"> </w:t>
            </w:r>
            <w:r w:rsidR="00E40776">
              <w:t>капитал, т.е. включително резервите на предприятието/групата.</w:t>
            </w:r>
          </w:p>
        </w:tc>
      </w:tr>
      <w:tr w:rsidR="00FE5D64"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FE5D64" w:rsidRDefault="00E40776">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0A35E16D" w:rsidR="00FE5D64" w:rsidRDefault="00E40776">
            <w:pPr>
              <w:pStyle w:val="P68B1DB1-TableParagraph14"/>
              <w:spacing w:before="108"/>
              <w:ind w:left="85"/>
              <w:jc w:val="both"/>
              <w:rPr>
                <w:bCs/>
              </w:rPr>
            </w:pPr>
            <w:r>
              <w:t xml:space="preserve">От които: инструменти, </w:t>
            </w:r>
            <w:r w:rsidR="00B763AE">
              <w:rPr>
                <w:lang w:val="bg-BG"/>
              </w:rPr>
              <w:t>класирани наравно</w:t>
            </w:r>
            <w:r w:rsidR="00B763AE">
              <w:t xml:space="preserve"> </w:t>
            </w:r>
            <w:r w:rsidR="00B763AE">
              <w:rPr>
                <w:lang w:val="bg-BG"/>
              </w:rPr>
              <w:t>(</w:t>
            </w:r>
            <w:r>
              <w:t>pari passu</w:t>
            </w:r>
            <w:r w:rsidR="00B763AE">
              <w:rPr>
                <w:lang w:val="bg-BG"/>
              </w:rPr>
              <w:t>)</w:t>
            </w:r>
            <w:r>
              <w:t xml:space="preserve"> с обикновени акции</w:t>
            </w:r>
          </w:p>
          <w:p w14:paraId="7FE1B5CD" w14:textId="5015C866" w:rsidR="00FE5D64" w:rsidRDefault="00E40776">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 xml:space="preserve">Правните инструменти, съставляващи (част от) базовия собствен капитал от първи ред във вид на инструменти, различни от капиталови инструменти/акционерен капитал, но </w:t>
            </w:r>
            <w:r w:rsidR="00B763AE">
              <w:rPr>
                <w:rFonts w:ascii="Times New Roman" w:eastAsia="Cambria" w:hAnsi="Times New Roman" w:cs="Times New Roman"/>
                <w:color w:val="000000" w:themeColor="text1"/>
                <w:sz w:val="20"/>
                <w:szCs w:val="20"/>
                <w:lang w:val="bg-BG"/>
              </w:rPr>
              <w:t>класирани</w:t>
            </w:r>
            <w:r w:rsidR="00B763AE">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pari passu в тази категория.</w:t>
            </w:r>
            <w:r>
              <w:rPr>
                <w:rFonts w:ascii="Times New Roman" w:hAnsi="Times New Roman" w:cs="Times New Roman"/>
              </w:rPr>
              <w:t xml:space="preserve"> </w:t>
            </w:r>
            <w:bookmarkStart w:id="62" w:name="_Hlk170122776"/>
            <w:r>
              <w:rPr>
                <w:rFonts w:ascii="Times New Roman" w:eastAsia="Cambria" w:hAnsi="Times New Roman" w:cs="Times New Roman"/>
                <w:color w:val="000000" w:themeColor="text1"/>
                <w:sz w:val="20"/>
                <w:szCs w:val="20"/>
              </w:rPr>
              <w:t>Неразпределената печалба и резервите не се отчитат в този ред.</w:t>
            </w:r>
            <w:bookmarkEnd w:id="62"/>
          </w:p>
        </w:tc>
      </w:tr>
      <w:bookmarkEnd w:id="61"/>
      <w:tr w:rsidR="00FE5D64"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FE5D64" w:rsidRDefault="00E40776">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FE5D64" w:rsidRDefault="00E40776">
            <w:pPr>
              <w:pStyle w:val="P68B1DB1-TableParagraph14"/>
              <w:spacing w:before="108"/>
              <w:ind w:left="85"/>
              <w:jc w:val="both"/>
              <w:rPr>
                <w:bCs/>
              </w:rPr>
            </w:pPr>
            <w:r>
              <w:t>Допълнителен капитал от първи ред</w:t>
            </w:r>
          </w:p>
          <w:p w14:paraId="7FE1B5D1" w14:textId="77777777" w:rsidR="00FE5D64" w:rsidRDefault="00E40776">
            <w:pPr>
              <w:pStyle w:val="P68B1DB1-TableParagraph17"/>
              <w:spacing w:before="108"/>
              <w:ind w:left="85"/>
              <w:jc w:val="both"/>
            </w:pPr>
            <w:r>
              <w:t>Член 61 от Регламент (ЕС) № 575/2013.</w:t>
            </w:r>
          </w:p>
          <w:p w14:paraId="7FE1B5D2" w14:textId="0CCA04E6" w:rsidR="00FE5D64" w:rsidRDefault="00E40776">
            <w:pPr>
              <w:pStyle w:val="P68B1DB1-TableParagraph17"/>
              <w:spacing w:before="108"/>
              <w:ind w:left="85"/>
              <w:jc w:val="both"/>
              <w:rPr>
                <w:b/>
                <w:bCs/>
              </w:rPr>
            </w:pPr>
            <w:r>
              <w:t xml:space="preserve">Същото определение като COREP (OF): </w:t>
            </w:r>
            <w:r w:rsidR="00A04F35" w:rsidRPr="001118F2">
              <w:rPr>
                <w:spacing w:val="-2"/>
                <w:w w:val="95"/>
              </w:rPr>
              <w:t>{</w:t>
            </w:r>
            <w:r w:rsidR="00A04F35" w:rsidRPr="00B54FD0">
              <w:rPr>
                <w:spacing w:val="-2"/>
                <w:w w:val="95"/>
                <w:lang w:val="en-GB"/>
              </w:rPr>
              <w:t>C</w:t>
            </w:r>
            <w:r w:rsidR="00A04F35" w:rsidRPr="001118F2">
              <w:rPr>
                <w:spacing w:val="-2"/>
                <w:w w:val="95"/>
              </w:rPr>
              <w:t xml:space="preserve"> 01.00;530;010}</w:t>
            </w:r>
          </w:p>
        </w:tc>
      </w:tr>
      <w:tr w:rsidR="00FE5D64"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FE5D64" w:rsidRDefault="00E40776">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3D2AA89F" w:rsidR="00FE5D64" w:rsidRPr="00B54FD0" w:rsidRDefault="00E40776">
            <w:pPr>
              <w:pStyle w:val="P68B1DB1-TableParagraph14"/>
              <w:spacing w:before="108"/>
              <w:ind w:left="85"/>
              <w:jc w:val="both"/>
              <w:rPr>
                <w:lang w:val="bg-BG"/>
              </w:rPr>
            </w:pPr>
            <w:r>
              <w:t xml:space="preserve">От които: (част от) </w:t>
            </w:r>
            <w:r w:rsidR="00B763AE">
              <w:rPr>
                <w:lang w:val="bg-BG"/>
              </w:rPr>
              <w:t>подчинени</w:t>
            </w:r>
            <w:r w:rsidR="00B763AE">
              <w:t xml:space="preserve"> </w:t>
            </w:r>
            <w:r>
              <w:t xml:space="preserve">задължения, признати за собствен </w:t>
            </w:r>
            <w:r w:rsidR="009F1C03">
              <w:rPr>
                <w:lang w:val="bg-BG"/>
              </w:rPr>
              <w:t>капитал</w:t>
            </w:r>
          </w:p>
          <w:p w14:paraId="7FE1B5D6" w14:textId="77777777" w:rsidR="00FE5D64" w:rsidRDefault="00E40776">
            <w:pPr>
              <w:pStyle w:val="P68B1DB1-TableParagraph17"/>
              <w:spacing w:before="108"/>
              <w:ind w:left="85"/>
              <w:jc w:val="both"/>
              <w:rPr>
                <w:b/>
                <w:bCs/>
              </w:rPr>
            </w:pPr>
            <w:r>
              <w:t>Правните инструменти, съставляващи (част от) допълнителния капитал от първи ред.</w:t>
            </w:r>
          </w:p>
        </w:tc>
      </w:tr>
      <w:tr w:rsidR="00FE5D64"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FE5D64" w:rsidRDefault="00E40776">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FE5D64" w:rsidRDefault="00E40776">
            <w:pPr>
              <w:pStyle w:val="P68B1DB1-TableParagraph14"/>
              <w:spacing w:before="108"/>
              <w:ind w:left="85"/>
              <w:jc w:val="both"/>
              <w:rPr>
                <w:bCs/>
              </w:rPr>
            </w:pPr>
            <w:r>
              <w:t>Капитал от втори ред</w:t>
            </w:r>
          </w:p>
          <w:p w14:paraId="7FE1B5DA" w14:textId="77777777" w:rsidR="00FE5D64" w:rsidRDefault="00E40776">
            <w:pPr>
              <w:pStyle w:val="P68B1DB1-TableParagraph17"/>
              <w:spacing w:before="108"/>
              <w:ind w:left="85"/>
              <w:jc w:val="both"/>
            </w:pPr>
            <w:r>
              <w:t>Член 71 от Регламент (ЕС) № 575/2013.</w:t>
            </w:r>
          </w:p>
          <w:p w14:paraId="7FE1B5DB" w14:textId="2B880B76" w:rsidR="00FE5D64" w:rsidRDefault="00E40776">
            <w:pPr>
              <w:pStyle w:val="P68B1DB1-TableParagraph17"/>
              <w:spacing w:before="108"/>
              <w:ind w:left="85"/>
              <w:jc w:val="both"/>
              <w:rPr>
                <w:b/>
                <w:bCs/>
              </w:rPr>
            </w:pPr>
            <w:r>
              <w:t>Същото определение като COREP (OF):</w:t>
            </w:r>
            <w:r w:rsidR="00A04F35" w:rsidRPr="001118F2">
              <w:rPr>
                <w:spacing w:val="-2"/>
                <w:w w:val="95"/>
              </w:rPr>
              <w:t xml:space="preserve"> {</w:t>
            </w:r>
            <w:r w:rsidR="00A04F35" w:rsidRPr="00B54FD0">
              <w:rPr>
                <w:spacing w:val="-2"/>
                <w:w w:val="95"/>
                <w:lang w:val="en-GB"/>
              </w:rPr>
              <w:t>C</w:t>
            </w:r>
            <w:r w:rsidR="00A04F35" w:rsidRPr="001118F2">
              <w:rPr>
                <w:spacing w:val="-2"/>
                <w:w w:val="95"/>
              </w:rPr>
              <w:t xml:space="preserve"> 01.00;750;010}</w:t>
            </w:r>
          </w:p>
        </w:tc>
      </w:tr>
      <w:tr w:rsidR="00FE5D64"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FE5D64" w:rsidRDefault="00E40776">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1D2C8383" w:rsidR="00FE5D64" w:rsidRPr="00B54FD0" w:rsidRDefault="00E40776">
            <w:pPr>
              <w:pStyle w:val="P68B1DB1-TableParagraph14"/>
              <w:spacing w:before="108"/>
              <w:ind w:left="85"/>
              <w:jc w:val="both"/>
              <w:rPr>
                <w:lang w:val="bg-BG"/>
              </w:rPr>
            </w:pPr>
            <w:r>
              <w:t xml:space="preserve">От които: (част от) </w:t>
            </w:r>
            <w:r w:rsidR="00014294">
              <w:rPr>
                <w:lang w:val="bg-BG"/>
              </w:rPr>
              <w:t>подчинени</w:t>
            </w:r>
            <w:r w:rsidR="00014294">
              <w:t xml:space="preserve"> </w:t>
            </w:r>
            <w:r>
              <w:t xml:space="preserve">задължения, признати за собствен </w:t>
            </w:r>
            <w:r w:rsidR="009F1C03">
              <w:rPr>
                <w:lang w:val="bg-BG"/>
              </w:rPr>
              <w:t>капитал</w:t>
            </w:r>
          </w:p>
          <w:p w14:paraId="7FE1B5DF" w14:textId="77777777" w:rsidR="00FE5D64" w:rsidRDefault="00E40776">
            <w:pPr>
              <w:pStyle w:val="P68B1DB1-TableParagraph17"/>
              <w:spacing w:before="108"/>
              <w:ind w:left="85"/>
              <w:jc w:val="both"/>
              <w:rPr>
                <w:b/>
                <w:bCs/>
              </w:rPr>
            </w:pPr>
            <w:r>
              <w:t>Тази разбивка посочва правните инструменти, съставляващи (част от) капитала от втори ред.</w:t>
            </w:r>
          </w:p>
        </w:tc>
      </w:tr>
      <w:tr w:rsidR="00FE5D64"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FE5D64" w:rsidRDefault="00E40776">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4FBE03AB" w:rsidR="00FE5D64" w:rsidRPr="00B54FD0" w:rsidRDefault="00E40776">
            <w:pPr>
              <w:pStyle w:val="P68B1DB1-TableParagraph14"/>
              <w:spacing w:before="108"/>
              <w:ind w:left="85"/>
              <w:jc w:val="both"/>
            </w:pPr>
            <w:r>
              <w:t>Общо задължения</w:t>
            </w:r>
            <w:r w:rsidR="00A04F35">
              <w:t xml:space="preserve"> </w:t>
            </w:r>
            <w:r>
              <w:t xml:space="preserve">и собствен </w:t>
            </w:r>
            <w:r w:rsidR="009F1C03">
              <w:rPr>
                <w:lang w:val="bg-BG"/>
              </w:rPr>
              <w:t>капитал</w:t>
            </w:r>
            <w:r>
              <w:t>, в т.ч. задължения</w:t>
            </w:r>
            <w:r w:rsidR="00014294">
              <w:rPr>
                <w:lang w:val="bg-BG"/>
              </w:rPr>
              <w:t>, произтичащи от</w:t>
            </w:r>
            <w:r>
              <w:t xml:space="preserve"> деривати</w:t>
            </w:r>
            <w:r w:rsidR="00E40F41">
              <w:rPr>
                <w:lang w:val="bg-BG"/>
              </w:rPr>
              <w:t>ви</w:t>
            </w:r>
          </w:p>
          <w:p w14:paraId="7FE1B5E3" w14:textId="6C849D1C" w:rsidR="00014294" w:rsidRDefault="00E40776" w:rsidP="00014294">
            <w:pPr>
              <w:pStyle w:val="P68B1DB1-TableParagraph17"/>
              <w:spacing w:before="108"/>
              <w:ind w:left="85"/>
              <w:jc w:val="both"/>
              <w:rPr>
                <w:b/>
                <w:bCs/>
              </w:rPr>
            </w:pPr>
            <w:r>
              <w:t xml:space="preserve">Сборът на всички задължения, </w:t>
            </w:r>
            <w:r w:rsidR="00A04F35">
              <w:rPr>
                <w:lang w:val="bg-BG"/>
              </w:rPr>
              <w:t>отчетени</w:t>
            </w:r>
            <w:r w:rsidR="00A04F35">
              <w:t xml:space="preserve"> </w:t>
            </w:r>
            <w:r>
              <w:t>в настоящия образец, и размерът</w:t>
            </w:r>
            <w:r w:rsidR="00A04F35">
              <w:t xml:space="preserve"> </w:t>
            </w:r>
            <w:r>
              <w:t xml:space="preserve">на </w:t>
            </w:r>
            <w:r w:rsidR="00014294">
              <w:rPr>
                <w:lang w:val="bg-BG"/>
              </w:rPr>
              <w:t>регулаторния</w:t>
            </w:r>
            <w:r w:rsidR="00014294">
              <w:t xml:space="preserve"> </w:t>
            </w:r>
            <w:r>
              <w:t xml:space="preserve">собствен </w:t>
            </w:r>
            <w:r w:rsidR="009F1C03">
              <w:rPr>
                <w:lang w:val="bg-BG"/>
              </w:rPr>
              <w:t>капитал</w:t>
            </w:r>
            <w:r>
              <w:t xml:space="preserve">. За целта се сумират всички стойности от по-горните редове. </w:t>
            </w:r>
            <w:r w:rsidR="00014294">
              <w:rPr>
                <w:lang w:val="bg-BG"/>
              </w:rPr>
              <w:t>По отношение на</w:t>
            </w:r>
            <w:r w:rsidR="00014294">
              <w:t xml:space="preserve"> </w:t>
            </w:r>
            <w:r>
              <w:t>дериватите</w:t>
            </w:r>
            <w:r w:rsidR="00014294">
              <w:rPr>
                <w:lang w:val="bg-BG"/>
              </w:rPr>
              <w:t>,</w:t>
            </w:r>
            <w:r>
              <w:t xml:space="preserve"> стойността, която трябва да се използва, е ред 0334 „Сбор на нетните позиции </w:t>
            </w:r>
            <w:r w:rsidR="00326093">
              <w:rPr>
                <w:lang w:val="bg-BG"/>
              </w:rPr>
              <w:t>на</w:t>
            </w:r>
            <w:r w:rsidR="00326093" w:rsidRPr="00014294">
              <w:t xml:space="preserve"> </w:t>
            </w:r>
            <w:r w:rsidRPr="00014294">
              <w:t>задължени</w:t>
            </w:r>
            <w:r w:rsidR="00014294">
              <w:rPr>
                <w:lang w:val="bg-BG"/>
              </w:rPr>
              <w:t>я</w:t>
            </w:r>
            <w:r w:rsidRPr="00014294">
              <w:t>т</w:t>
            </w:r>
            <w:r w:rsidR="00014294">
              <w:rPr>
                <w:lang w:val="bg-BG"/>
              </w:rPr>
              <w:t>а</w:t>
            </w:r>
            <w:r w:rsidRPr="00014294">
              <w:t>, като</w:t>
            </w:r>
            <w:r>
              <w:t xml:space="preserve"> се вземат предвид </w:t>
            </w:r>
            <w:r w:rsidR="00014294">
              <w:rPr>
                <w:lang w:val="bg-BG"/>
              </w:rPr>
              <w:t xml:space="preserve">пруденциалните </w:t>
            </w:r>
            <w:r>
              <w:t>правила за нетиране“.</w:t>
            </w:r>
          </w:p>
        </w:tc>
      </w:tr>
      <w:tr w:rsidR="00FE5D6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FE5D64" w:rsidRDefault="00E40776">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3C1C6BA4" w:rsidR="00FE5D64" w:rsidRDefault="00E40776">
            <w:pPr>
              <w:pStyle w:val="P68B1DB1-TableParagraph14"/>
              <w:jc w:val="both"/>
              <w:rPr>
                <w:bCs/>
              </w:rPr>
            </w:pPr>
            <w:r>
              <w:t>Общо</w:t>
            </w:r>
            <w:r w:rsidR="00783549">
              <w:rPr>
                <w:lang w:val="bg-BG"/>
              </w:rPr>
              <w:t xml:space="preserve"> </w:t>
            </w:r>
            <w:r>
              <w:t>капитал</w:t>
            </w:r>
          </w:p>
          <w:p w14:paraId="7FE1B604" w14:textId="073861CC" w:rsidR="00FE5D64" w:rsidRDefault="00E40776">
            <w:pPr>
              <w:pStyle w:val="P68B1DB1-Normal21"/>
              <w:spacing w:line="276" w:lineRule="auto"/>
              <w:jc w:val="both"/>
            </w:pPr>
            <w:r>
              <w:t xml:space="preserve">(FINREP </w:t>
            </w:r>
            <w:r w:rsidR="00A04F35" w:rsidRPr="00B54FD0">
              <w:rPr>
                <w:lang w:val="en-GB"/>
              </w:rPr>
              <w:t>F</w:t>
            </w:r>
            <w:r w:rsidR="00A04F35" w:rsidRPr="001118F2">
              <w:t>01.03-300-010</w:t>
            </w:r>
            <w:r>
              <w:t>) за балансовата стойност.</w:t>
            </w:r>
          </w:p>
          <w:p w14:paraId="7FE1B605" w14:textId="4BAEE0DD" w:rsidR="00FE5D64" w:rsidRDefault="00E40776">
            <w:pPr>
              <w:pStyle w:val="P68B1DB1-Normal21"/>
              <w:spacing w:line="276" w:lineRule="auto"/>
              <w:jc w:val="both"/>
            </w:pPr>
            <w:r>
              <w:t>Тази обща сума е равна на общия размер на капитал</w:t>
            </w:r>
            <w:r w:rsidR="00E40F41">
              <w:rPr>
                <w:lang w:val="bg-BG"/>
              </w:rPr>
              <w:t>а</w:t>
            </w:r>
            <w:r>
              <w:t xml:space="preserve"> в счетоводния баланс.</w:t>
            </w:r>
          </w:p>
          <w:p w14:paraId="7FE1B606" w14:textId="77777777" w:rsidR="00FE5D64" w:rsidRDefault="00FE5D64">
            <w:pPr>
              <w:pStyle w:val="TableParagraph"/>
              <w:jc w:val="both"/>
              <w:rPr>
                <w:rFonts w:ascii="Times New Roman" w:hAnsi="Times New Roman" w:cs="Times New Roman"/>
                <w:b/>
                <w:bCs/>
                <w:color w:val="000000" w:themeColor="text1"/>
                <w:sz w:val="20"/>
                <w:szCs w:val="20"/>
              </w:rPr>
            </w:pPr>
          </w:p>
        </w:tc>
      </w:tr>
    </w:tbl>
    <w:p w14:paraId="7FE1B60E" w14:textId="77777777" w:rsidR="00FE5D64" w:rsidRDefault="00FE5D64">
      <w:pPr>
        <w:rPr>
          <w:rFonts w:ascii="Times New Roman" w:hAnsi="Times New Roman" w:cs="Times New Roman"/>
        </w:rPr>
      </w:pPr>
    </w:p>
    <w:p w14:paraId="7FE1B60F" w14:textId="1DD0504B" w:rsidR="00FE5D64" w:rsidRDefault="00E40776">
      <w:pPr>
        <w:pStyle w:val="P68B1DB1-Instructionsberschrift25"/>
        <w:numPr>
          <w:ilvl w:val="1"/>
          <w:numId w:val="49"/>
        </w:numPr>
        <w:ind w:left="357" w:hanging="357"/>
      </w:pPr>
      <w:bookmarkStart w:id="63" w:name="_Toc492542323"/>
      <w:bookmarkStart w:id="64" w:name="_Toc81454181"/>
      <w:bookmarkStart w:id="65" w:name="_Toc208244454"/>
      <w:r>
        <w:lastRenderedPageBreak/>
        <w:t>Z 03.01 — Капиталови изисквания — Кредитни институции (LIAB 2)</w:t>
      </w:r>
      <w:bookmarkEnd w:id="63"/>
      <w:bookmarkEnd w:id="64"/>
      <w:bookmarkEnd w:id="65"/>
    </w:p>
    <w:p w14:paraId="7FE1B610" w14:textId="77777777" w:rsidR="00FE5D64" w:rsidRDefault="00E40776">
      <w:pPr>
        <w:pStyle w:val="Instructionsberschrift3"/>
      </w:pPr>
      <w:r>
        <w:t>Общи бележки</w:t>
      </w:r>
    </w:p>
    <w:p w14:paraId="7FE1B611" w14:textId="77777777" w:rsidR="00FE5D64" w:rsidRDefault="00E40776">
      <w:pPr>
        <w:pStyle w:val="P68B1DB1-InstructionsText26"/>
        <w:numPr>
          <w:ilvl w:val="0"/>
          <w:numId w:val="232"/>
        </w:numPr>
        <w:spacing w:before="0"/>
      </w:pPr>
      <w:r>
        <w:t>Този образец събира информация във връзка с капиталовите изисквания за даден субект или група.</w:t>
      </w:r>
    </w:p>
    <w:p w14:paraId="7FE1B612" w14:textId="77777777" w:rsidR="00FE5D64" w:rsidRDefault="00E40776">
      <w:pPr>
        <w:pStyle w:val="P68B1DB1-InstructionsText26"/>
        <w:numPr>
          <w:ilvl w:val="0"/>
          <w:numId w:val="232"/>
        </w:numPr>
        <w:spacing w:before="0"/>
      </w:pPr>
      <w:r>
        <w:t>Цялата отчетена информация трябва да отразява капиталовите изисквания, приложими към референтната дата на отчитане.</w:t>
      </w:r>
    </w:p>
    <w:p w14:paraId="7FE1B613" w14:textId="190C8F67" w:rsidR="00FE5D64" w:rsidRDefault="00E40776">
      <w:pPr>
        <w:pStyle w:val="P68B1DB1-InstructionsText26"/>
        <w:numPr>
          <w:ilvl w:val="0"/>
          <w:numId w:val="232"/>
        </w:numPr>
        <w:spacing w:before="0"/>
      </w:pPr>
      <w:r>
        <w:t xml:space="preserve">По изключение информацията за отношението на капиталовото изискване по ПНПО за </w:t>
      </w:r>
      <w:r w:rsidR="009F3FDE">
        <w:rPr>
          <w:lang w:val="bg-BG"/>
        </w:rPr>
        <w:t xml:space="preserve">ред </w:t>
      </w:r>
      <w:r>
        <w:t xml:space="preserve">0300, отчетена в настоящия образец, се основава на последното налично официално решение по ПНПО, съобщено от компетентния орган до датата на подаване на този </w:t>
      </w:r>
      <w:r w:rsidR="009F3FDE">
        <w:rPr>
          <w:lang w:val="bg-BG"/>
        </w:rPr>
        <w:t>отчет</w:t>
      </w:r>
      <w:r>
        <w:t>.</w:t>
      </w:r>
    </w:p>
    <w:p w14:paraId="7FE1B614" w14:textId="0369D684" w:rsidR="00FE5D64" w:rsidRDefault="00E945E6" w:rsidP="004E46B2">
      <w:pPr>
        <w:pStyle w:val="P68B1DB1-InstructionsText26"/>
        <w:numPr>
          <w:ilvl w:val="0"/>
          <w:numId w:val="232"/>
        </w:numPr>
        <w:spacing w:before="0"/>
      </w:pPr>
      <w:r>
        <w:rPr>
          <w:lang w:val="bg-BG"/>
        </w:rPr>
        <w:t>При</w:t>
      </w:r>
      <w:r>
        <w:t xml:space="preserve"> </w:t>
      </w:r>
      <w:r w:rsidR="00E40776">
        <w:t>докладване</w:t>
      </w:r>
      <w:r w:rsidR="004E46B2">
        <w:t xml:space="preserve"> </w:t>
      </w:r>
      <w:r w:rsidR="00E40776">
        <w:t>на консолидирана или индивидуална основа, ако тези данни вече са били докладвани от субекта във FINREP или COREP за същата референтна дата и обхват на докладване</w:t>
      </w:r>
      <w:r w:rsidR="004E46B2">
        <w:t xml:space="preserve"> </w:t>
      </w:r>
      <w:r w:rsidR="00E40776">
        <w:t xml:space="preserve">(вж. </w:t>
      </w:r>
      <w:r>
        <w:rPr>
          <w:lang w:val="bg-BG"/>
        </w:rPr>
        <w:t>референциите</w:t>
      </w:r>
      <w:r>
        <w:t xml:space="preserve"> </w:t>
      </w:r>
      <w:r w:rsidR="00E40776">
        <w:t xml:space="preserve">на COREP/FINREP в указанията), </w:t>
      </w:r>
      <w:r>
        <w:rPr>
          <w:lang w:val="bg-BG"/>
        </w:rPr>
        <w:t>отчитащият се</w:t>
      </w:r>
      <w:r>
        <w:t xml:space="preserve"> </w:t>
      </w:r>
      <w:r w:rsidR="00E40776">
        <w:t xml:space="preserve">субект не е длъжен да докладва тези данни </w:t>
      </w:r>
      <w:r w:rsidR="004E46B2">
        <w:rPr>
          <w:lang w:val="bg-BG"/>
        </w:rPr>
        <w:t>повторно</w:t>
      </w:r>
      <w:r w:rsidR="00E40776">
        <w:t>. Данните трябва да се докладват, например когато отчитащ</w:t>
      </w:r>
      <w:r w:rsidR="008B796D">
        <w:rPr>
          <w:lang w:val="bg-BG"/>
        </w:rPr>
        <w:t>ият се</w:t>
      </w:r>
      <w:r w:rsidR="00E40776">
        <w:t xml:space="preserve"> </w:t>
      </w:r>
      <w:r w:rsidR="008B796D">
        <w:rPr>
          <w:lang w:val="bg-BG"/>
        </w:rPr>
        <w:t>субект</w:t>
      </w:r>
      <w:r w:rsidR="008B796D">
        <w:t xml:space="preserve"> </w:t>
      </w:r>
      <w:r w:rsidR="00E40776">
        <w:t>е бил освободен от</w:t>
      </w:r>
      <w:r w:rsidR="008B796D">
        <w:rPr>
          <w:lang w:val="bg-BG"/>
        </w:rPr>
        <w:t xml:space="preserve"> задълженията за предоставяне на</w:t>
      </w:r>
      <w:r w:rsidR="00E40776">
        <w:t xml:space="preserve"> финансов</w:t>
      </w:r>
      <w:r w:rsidR="008B796D">
        <w:rPr>
          <w:lang w:val="bg-BG"/>
        </w:rPr>
        <w:t>а</w:t>
      </w:r>
      <w:r w:rsidR="00E40776">
        <w:t xml:space="preserve"> или пруденциалн</w:t>
      </w:r>
      <w:r w:rsidR="008B796D">
        <w:rPr>
          <w:lang w:val="bg-BG"/>
        </w:rPr>
        <w:t>а</w:t>
      </w:r>
      <w:r w:rsidR="00E40776">
        <w:t xml:space="preserve"> </w:t>
      </w:r>
      <w:r w:rsidR="008B796D">
        <w:rPr>
          <w:lang w:val="bg-BG"/>
        </w:rPr>
        <w:t>отчетност</w:t>
      </w:r>
      <w:r w:rsidR="00E40776">
        <w:t xml:space="preserve">, като в този случай единственият източник на </w:t>
      </w:r>
      <w:r w:rsidR="004E46B2">
        <w:rPr>
          <w:lang w:val="bg-BG"/>
        </w:rPr>
        <w:t xml:space="preserve">тези </w:t>
      </w:r>
      <w:r w:rsidR="00E40776">
        <w:t xml:space="preserve">данни за органите за преструктуриране е настоящият </w:t>
      </w:r>
      <w:r w:rsidR="00E40F41">
        <w:rPr>
          <w:lang w:val="bg-BG"/>
        </w:rPr>
        <w:t>отчет</w:t>
      </w:r>
      <w:r w:rsidR="00E40776">
        <w:t>.</w:t>
      </w:r>
    </w:p>
    <w:p w14:paraId="7FE1B615" w14:textId="77777777" w:rsidR="00FE5D64" w:rsidRPr="00E945E6" w:rsidRDefault="00FE5D64">
      <w:pPr>
        <w:pStyle w:val="InstructionsText2"/>
        <w:numPr>
          <w:ilvl w:val="0"/>
          <w:numId w:val="0"/>
        </w:numPr>
        <w:spacing w:before="0"/>
        <w:ind w:left="1440"/>
        <w:rPr>
          <w:rFonts w:ascii="Times New Roman" w:hAnsi="Times New Roman"/>
          <w:sz w:val="20"/>
        </w:rPr>
      </w:pPr>
    </w:p>
    <w:p w14:paraId="7FE1B61B" w14:textId="77777777" w:rsidR="00FE5D64" w:rsidRDefault="00E40776">
      <w:pPr>
        <w:pStyle w:val="Instructionsberschrift3"/>
      </w:pPr>
      <w:r>
        <w:t>Указания относно определени позиции</w:t>
      </w:r>
    </w:p>
    <w:p w14:paraId="7FE1B61C" w14:textId="77777777" w:rsidR="00FE5D64" w:rsidRDefault="00FE5D64">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E5D6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FE5D64" w:rsidRDefault="00E40776">
            <w:pPr>
              <w:pStyle w:val="P68B1DB1-TableParagraph13"/>
              <w:spacing w:before="66"/>
              <w:rPr>
                <w:rFonts w:eastAsia="Cambria"/>
              </w:rPr>
            </w:pPr>
            <w:r>
              <w:t>Редове</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FE5D64" w:rsidRDefault="00E40776">
            <w:pPr>
              <w:pStyle w:val="P68B1DB1-TableParagraph13"/>
              <w:spacing w:before="66"/>
              <w:ind w:right="1"/>
              <w:jc w:val="center"/>
              <w:rPr>
                <w:rFonts w:eastAsia="Cambria"/>
              </w:rPr>
            </w:pPr>
            <w:r>
              <w:t>Указания</w:t>
            </w:r>
          </w:p>
        </w:tc>
      </w:tr>
      <w:tr w:rsidR="00FE5D6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FE5D64" w:rsidRDefault="00E40776">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E767E9" w:rsidR="00FE5D64" w:rsidRDefault="00E40776">
            <w:pPr>
              <w:pStyle w:val="P68B1DB1-TableParagraph14"/>
              <w:spacing w:before="108"/>
              <w:rPr>
                <w:bCs/>
              </w:rPr>
            </w:pPr>
            <w:r>
              <w:t>Общ</w:t>
            </w:r>
            <w:r w:rsidR="003647F7">
              <w:rPr>
                <w:lang w:val="bg-BG"/>
              </w:rPr>
              <w:t xml:space="preserve"> размер н</w:t>
            </w:r>
            <w:r>
              <w:t>а рискова</w:t>
            </w:r>
            <w:r w:rsidR="003647F7">
              <w:rPr>
                <w:lang w:val="bg-BG"/>
              </w:rPr>
              <w:t>та</w:t>
            </w:r>
            <w:r>
              <w:t xml:space="preserve"> експозиция</w:t>
            </w:r>
          </w:p>
          <w:p w14:paraId="7FE1B622" w14:textId="0E574246" w:rsidR="00FE5D64" w:rsidRDefault="00E40776" w:rsidP="005857F2">
            <w:pPr>
              <w:pStyle w:val="P68B1DB1-TableParagraph17"/>
              <w:spacing w:before="108"/>
            </w:pPr>
            <w:r>
              <w:t xml:space="preserve">Сумата, </w:t>
            </w:r>
            <w:r w:rsidR="005857F2">
              <w:rPr>
                <w:lang w:val="bg-BG"/>
              </w:rPr>
              <w:t>посочена в</w:t>
            </w:r>
            <w:r>
              <w:t xml:space="preserve"> член 45, параграф 2, буква а) от Директива 2014/59/ЕС, изчислена в съответствие с член 92, параграф 3 от Регламент (ЕС) № 575/2013.</w:t>
            </w:r>
          </w:p>
        </w:tc>
      </w:tr>
      <w:tr w:rsidR="00FE5D6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FE5D64" w:rsidRDefault="00E40776">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FE5D64" w:rsidRDefault="00E40776">
            <w:pPr>
              <w:pStyle w:val="P68B1DB1-TableParagraph14"/>
              <w:spacing w:before="108"/>
              <w:jc w:val="both"/>
              <w:rPr>
                <w:bCs/>
              </w:rPr>
            </w:pPr>
            <w:r>
              <w:t>Мярка за общата експозиция</w:t>
            </w:r>
          </w:p>
          <w:p w14:paraId="7FE1B626" w14:textId="4496335F" w:rsidR="00FE5D64" w:rsidRDefault="00E40776" w:rsidP="00356EA2">
            <w:pPr>
              <w:pStyle w:val="P68B1DB1-TableParagraph17"/>
              <w:spacing w:before="108"/>
              <w:jc w:val="both"/>
              <w:rPr>
                <w:b/>
                <w:bCs/>
              </w:rPr>
            </w:pPr>
            <w:r>
              <w:t xml:space="preserve">Сумата, </w:t>
            </w:r>
            <w:r w:rsidR="00356EA2">
              <w:rPr>
                <w:lang w:val="bg-BG"/>
              </w:rPr>
              <w:t>посочена в</w:t>
            </w:r>
            <w:r>
              <w:t xml:space="preserve"> член 45, параграф 2, буква б) от Директива 2014/59/ЕС, изчислена в съответствие с член 429, параграф 4 и член 429а от Регламент (ЕС) № 575/2013.</w:t>
            </w:r>
          </w:p>
        </w:tc>
      </w:tr>
      <w:tr w:rsidR="00FE5D6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FE5D64" w:rsidRDefault="00E40776">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DB9E9D5" w:rsidR="00FE5D64" w:rsidRDefault="00E40776">
            <w:pPr>
              <w:pStyle w:val="P68B1DB1-TableParagraph14"/>
              <w:spacing w:before="108"/>
              <w:jc w:val="both"/>
              <w:rPr>
                <w:bCs/>
              </w:rPr>
            </w:pPr>
            <w:r>
              <w:t>Начален капитал и изисквания за отношението на ливъридж</w:t>
            </w:r>
          </w:p>
        </w:tc>
      </w:tr>
      <w:tr w:rsidR="00FE5D6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FE5D64" w:rsidRDefault="00E40776">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513DA957" w:rsidR="00FE5D64" w:rsidRDefault="003647F7">
            <w:pPr>
              <w:pStyle w:val="P68B1DB1-TableParagraph14"/>
              <w:spacing w:before="108"/>
              <w:jc w:val="both"/>
              <w:rPr>
                <w:bCs/>
              </w:rPr>
            </w:pPr>
            <w:r>
              <w:rPr>
                <w:lang w:val="bg-BG"/>
              </w:rPr>
              <w:t>Н</w:t>
            </w:r>
            <w:r>
              <w:t xml:space="preserve">ачален </w:t>
            </w:r>
            <w:r w:rsidR="00E40776">
              <w:t>капитал</w:t>
            </w:r>
          </w:p>
          <w:p w14:paraId="7FE1B62D" w14:textId="77777777" w:rsidR="00FE5D64" w:rsidRDefault="00E40776">
            <w:pPr>
              <w:pStyle w:val="P68B1DB1-TableParagraph17"/>
              <w:spacing w:before="108"/>
              <w:jc w:val="both"/>
            </w:pPr>
            <w:r>
              <w:t>Сумата, посочена в член 12 от Директива 2013/36/ЕС, член 93 от Регламент (ЕС) № 575/2013.</w:t>
            </w:r>
          </w:p>
          <w:p w14:paraId="7FE1B62E" w14:textId="60047E39" w:rsidR="00FE5D64" w:rsidRDefault="00E40776">
            <w:pPr>
              <w:pStyle w:val="P68B1DB1-TableParagraph17"/>
              <w:spacing w:before="108"/>
              <w:jc w:val="both"/>
              <w:rPr>
                <w:b/>
                <w:bCs/>
              </w:rPr>
            </w:pPr>
            <w:r>
              <w:t>Размерът</w:t>
            </w:r>
            <w:r w:rsidR="00356EA2">
              <w:t xml:space="preserve"> </w:t>
            </w:r>
            <w:r>
              <w:t>на начален капитал, изискван като предварително условие за започване на дейност от дадена институция.</w:t>
            </w:r>
          </w:p>
        </w:tc>
      </w:tr>
      <w:tr w:rsidR="00FE5D6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FE5D64" w:rsidRDefault="00E40776">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604C7921" w:rsidR="00FE5D64" w:rsidRDefault="00E40776">
            <w:pPr>
              <w:pStyle w:val="P68B1DB1-TableParagraph14"/>
              <w:spacing w:before="108"/>
              <w:jc w:val="both"/>
              <w:rPr>
                <w:bCs/>
              </w:rPr>
            </w:pPr>
            <w:r>
              <w:t>Изискване за отношението</w:t>
            </w:r>
            <w:r w:rsidR="00356EA2">
              <w:t xml:space="preserve"> </w:t>
            </w:r>
            <w:r>
              <w:t>на ливъридж</w:t>
            </w:r>
          </w:p>
          <w:p w14:paraId="7FE1B632" w14:textId="3088B90C" w:rsidR="00FE5D64" w:rsidRDefault="00E40776" w:rsidP="00356EA2">
            <w:pPr>
              <w:pStyle w:val="P68B1DB1-TableParagraph13"/>
              <w:spacing w:before="108"/>
              <w:jc w:val="both"/>
            </w:pPr>
            <w:r>
              <w:t>Изискването за отношението</w:t>
            </w:r>
            <w:r w:rsidR="00356EA2">
              <w:t xml:space="preserve"> </w:t>
            </w:r>
            <w:r>
              <w:t xml:space="preserve">на ливъридж, </w:t>
            </w:r>
            <w:r w:rsidR="00356EA2">
              <w:rPr>
                <w:lang w:val="bg-BG"/>
              </w:rPr>
              <w:t>с изключение на</w:t>
            </w:r>
            <w:r w:rsidR="00356EA2">
              <w:t xml:space="preserve"> </w:t>
            </w:r>
            <w:r>
              <w:t xml:space="preserve">изискването, </w:t>
            </w:r>
            <w:r w:rsidR="00356EA2">
              <w:rPr>
                <w:lang w:val="bg-BG"/>
              </w:rPr>
              <w:t>посочено</w:t>
            </w:r>
            <w:r w:rsidR="00356EA2">
              <w:t xml:space="preserve"> </w:t>
            </w:r>
            <w:r>
              <w:t>в член 92, параграф 1а) от Регламент (ЕС) № 575/2013, приложимо за субекта или групата, изразено като процент от мярката за общата експозиция. Ако няма</w:t>
            </w:r>
            <w:r w:rsidR="00356EA2">
              <w:t xml:space="preserve"> </w:t>
            </w:r>
            <w:r>
              <w:t>официално изискване, субектите оставят това поле празно.</w:t>
            </w:r>
          </w:p>
        </w:tc>
      </w:tr>
      <w:tr w:rsidR="00FE5D6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FE5D64" w:rsidRDefault="00E40776">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082FBECE" w:rsidR="00FE5D64" w:rsidRDefault="00E40776">
            <w:pPr>
              <w:pStyle w:val="P68B1DB1-TableParagraph14"/>
              <w:spacing w:before="108"/>
              <w:jc w:val="both"/>
              <w:rPr>
                <w:bCs/>
              </w:rPr>
            </w:pPr>
            <w:r>
              <w:t xml:space="preserve">Отношение на общото капиталово изискване въз основа на процеса на надзорен преглед и оценка (ОКИПНПО) </w:t>
            </w:r>
          </w:p>
          <w:p w14:paraId="7FE1B636" w14:textId="0858EF7D" w:rsidR="00FE5D64" w:rsidRDefault="00E40776">
            <w:pPr>
              <w:pStyle w:val="P68B1DB1-TableParagraph13"/>
              <w:spacing w:before="108"/>
              <w:jc w:val="both"/>
            </w:pPr>
            <w:r>
              <w:lastRenderedPageBreak/>
              <w:t xml:space="preserve">COREP (OF): </w:t>
            </w:r>
            <w:r w:rsidR="00356EA2" w:rsidRPr="001118F2">
              <w:t>{</w:t>
            </w:r>
            <w:r w:rsidR="00356EA2" w:rsidRPr="00BD2F79">
              <w:rPr>
                <w:lang w:val="en-GB"/>
              </w:rPr>
              <w:t>C</w:t>
            </w:r>
            <w:r w:rsidR="00356EA2" w:rsidRPr="001118F2">
              <w:t xml:space="preserve"> 03.00;130;010}</w:t>
            </w:r>
          </w:p>
          <w:p w14:paraId="7FE1B637" w14:textId="77777777" w:rsidR="00FE5D64" w:rsidRDefault="00E40776">
            <w:pPr>
              <w:pStyle w:val="P68B1DB1-InstructionsText22"/>
              <w:ind w:firstLine="0"/>
            </w:pPr>
            <w:r>
              <w:t>Сборът от i) и ii), както следва:</w:t>
            </w:r>
          </w:p>
          <w:p w14:paraId="7FE1B638" w14:textId="56E849AD" w:rsidR="00FE5D64" w:rsidRDefault="00E40776">
            <w:pPr>
              <w:pStyle w:val="P68B1DB1-InstructionsText22"/>
              <w:numPr>
                <w:ilvl w:val="3"/>
                <w:numId w:val="49"/>
              </w:numPr>
            </w:pPr>
            <w:r>
              <w:t xml:space="preserve">съотношението на обща капиталова адекватност (8%), посочено в член 92, параграф 1, буква в) от Регламент (ЕС) № 575/2013; </w:t>
            </w:r>
          </w:p>
          <w:p w14:paraId="7FE1B639" w14:textId="372A2694" w:rsidR="00FE5D64" w:rsidRDefault="00E40776">
            <w:pPr>
              <w:pStyle w:val="P68B1DB1-InstructionsText22"/>
              <w:numPr>
                <w:ilvl w:val="3"/>
                <w:numId w:val="49"/>
              </w:numPr>
            </w:pPr>
            <w:r>
              <w:t xml:space="preserve">отношението на допълнителното капиталово изискване (изисквания по стълб 2 — P2R), определено според критериите, посочени в </w:t>
            </w:r>
            <w:r>
              <w:rPr>
                <w:i/>
              </w:rPr>
              <w:t xml:space="preserve">Насоките на ЕБО относно общите процедури и методики за процеса на надзорен преглед и оценка, както и за тестовете за устойчивост за надзорни </w:t>
            </w:r>
            <w:r>
              <w:t>цели (EBA SREP GL</w:t>
            </w:r>
            <w:r w:rsidR="000439C3">
              <w:rPr>
                <w:lang w:val="bg-BG"/>
              </w:rPr>
              <w:t xml:space="preserve"> или Насоките на ЕБО за ПНПО</w:t>
            </w:r>
            <w:r>
              <w:t>).</w:t>
            </w:r>
          </w:p>
          <w:p w14:paraId="7FE1B63A" w14:textId="4549721F" w:rsidR="00FE5D64" w:rsidRDefault="00E40776" w:rsidP="005B6CC9">
            <w:pPr>
              <w:pStyle w:val="P68B1DB1-InstructionsText22"/>
              <w:ind w:firstLine="0"/>
            </w:pPr>
            <w:r>
              <w:t xml:space="preserve">Тази позиция </w:t>
            </w:r>
            <w:r w:rsidR="00070B49">
              <w:rPr>
                <w:lang w:val="bg-BG"/>
              </w:rPr>
              <w:t xml:space="preserve">трябва да </w:t>
            </w:r>
            <w:r>
              <w:t>отразява най-</w:t>
            </w:r>
            <w:r w:rsidR="00070B49">
              <w:rPr>
                <w:lang w:val="bg-BG"/>
              </w:rPr>
              <w:t>актуалн</w:t>
            </w:r>
            <w:r w:rsidR="00A50D22">
              <w:rPr>
                <w:lang w:val="bg-BG"/>
              </w:rPr>
              <w:t>ото</w:t>
            </w:r>
            <w:r w:rsidR="00070B49">
              <w:t xml:space="preserve"> </w:t>
            </w:r>
            <w:r>
              <w:t xml:space="preserve">към датата на подаване на </w:t>
            </w:r>
            <w:r w:rsidR="005B6CC9">
              <w:rPr>
                <w:lang w:val="bg-BG"/>
              </w:rPr>
              <w:t>отчета</w:t>
            </w:r>
            <w:r w:rsidR="005B6CC9">
              <w:t xml:space="preserve"> </w:t>
            </w:r>
            <w:r>
              <w:t xml:space="preserve">отношение на общото капиталово изискване по ПНПО, както е съобщено на институцията от компетентния орган, т.е. </w:t>
            </w:r>
            <w:r w:rsidR="005B6CC9">
              <w:rPr>
                <w:lang w:val="bg-BG"/>
              </w:rPr>
              <w:t>при</w:t>
            </w:r>
            <w:r>
              <w:t xml:space="preserve"> подаване с референтна дата 31 декември на дадена година се отчита P2R, приложим през следващата година. ОКИПНПО е определено в раздел 1.2. от EBA SREP GL.</w:t>
            </w:r>
          </w:p>
          <w:p w14:paraId="7FE1B63B" w14:textId="7230E207" w:rsidR="00FE5D64" w:rsidRPr="005B6CC9" w:rsidRDefault="00E40776">
            <w:pPr>
              <w:pStyle w:val="P68B1DB1-InstructionsText22"/>
              <w:ind w:firstLine="0"/>
              <w:rPr>
                <w:lang w:val="bg-BG"/>
              </w:rPr>
            </w:pPr>
            <w:r>
              <w:t xml:space="preserve">Когато </w:t>
            </w:r>
            <w:r w:rsidR="005B6CC9">
              <w:rPr>
                <w:lang w:val="bg-BG"/>
              </w:rPr>
              <w:t>докладващият</w:t>
            </w:r>
            <w:r w:rsidR="00070B49">
              <w:t xml:space="preserve"> </w:t>
            </w:r>
            <w:r>
              <w:t xml:space="preserve">субект е субект за преструктуриране, за който не се прилага допълнително капиталово изискване, както е посочено в член 104а от Директива 2013/36/ЕС, на консолидирано </w:t>
            </w:r>
            <w:r w:rsidR="005B6CC9">
              <w:rPr>
                <w:lang w:val="bg-BG"/>
              </w:rPr>
              <w:t>ниво</w:t>
            </w:r>
            <w:r w:rsidR="005B6CC9">
              <w:t xml:space="preserve"> </w:t>
            </w:r>
            <w:r>
              <w:t xml:space="preserve">на групата за преструктуриране, </w:t>
            </w:r>
            <w:r w:rsidR="00070B49">
              <w:rPr>
                <w:lang w:val="bg-BG"/>
              </w:rPr>
              <w:t>отчетената</w:t>
            </w:r>
            <w:r w:rsidR="00070B49">
              <w:t xml:space="preserve"> </w:t>
            </w:r>
            <w:r>
              <w:t xml:space="preserve">стойност за ii) по-горе се очаква да бъде резултат от оценката, посочена в член 1 от </w:t>
            </w:r>
            <w:r w:rsidR="005B6CC9">
              <w:rPr>
                <w:lang w:val="bg-BG"/>
              </w:rPr>
              <w:t>Д</w:t>
            </w:r>
            <w:r>
              <w:t>елегиран регламент (ЕС) 2021/1118 на Комисията, но извършена предварително от докладващия субект.</w:t>
            </w:r>
          </w:p>
          <w:p w14:paraId="7FE1B63C" w14:textId="77777777" w:rsidR="00FE5D64" w:rsidRDefault="00E40776">
            <w:pPr>
              <w:pStyle w:val="P68B1DB1-TableParagraph13"/>
              <w:spacing w:before="108"/>
              <w:jc w:val="both"/>
              <w:rPr>
                <w:b/>
                <w:bCs/>
              </w:rPr>
            </w:pPr>
            <w:r>
              <w:t>Ако компетентният орган не е посочил допълнителни капиталови изисквания и горния параграф не се прилага, се отчита само точка i).</w:t>
            </w:r>
          </w:p>
        </w:tc>
      </w:tr>
      <w:tr w:rsidR="00FE5D6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FE5D64" w:rsidRDefault="00E40776">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FE5D64" w:rsidRDefault="00E40776">
            <w:pPr>
              <w:pStyle w:val="P68B1DB1-TableParagraph14"/>
              <w:spacing w:before="108"/>
              <w:jc w:val="both"/>
              <w:rPr>
                <w:bCs/>
              </w:rPr>
            </w:pPr>
            <w:r>
              <w:t>Комбинирано изискване за буфер</w:t>
            </w:r>
          </w:p>
          <w:p w14:paraId="7FE1B640" w14:textId="31F1750C" w:rsidR="00FE5D64" w:rsidRDefault="00E40776">
            <w:pPr>
              <w:pStyle w:val="P68B1DB1-TableParagraph13"/>
              <w:spacing w:before="108"/>
              <w:jc w:val="both"/>
            </w:pPr>
            <w:r>
              <w:t xml:space="preserve">COREP (OF): </w:t>
            </w:r>
            <w:r w:rsidR="002D13CE" w:rsidRPr="001118F2">
              <w:t>{</w:t>
            </w:r>
            <w:r w:rsidR="002D13CE" w:rsidRPr="00E9419F">
              <w:rPr>
                <w:lang w:val="en-GB"/>
              </w:rPr>
              <w:t>C</w:t>
            </w:r>
            <w:r w:rsidR="002D13CE" w:rsidRPr="001118F2">
              <w:t xml:space="preserve"> 04.00;740;010}).</w:t>
            </w:r>
          </w:p>
          <w:p w14:paraId="7FE1B641" w14:textId="491323AD" w:rsidR="00FE5D64" w:rsidRDefault="00E40776">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Изискването, посочено в</w:t>
            </w:r>
            <w:r>
              <w:rPr>
                <w:rStyle w:val="InstructionsTabelleberschrift"/>
                <w:rFonts w:ascii="Times New Roman" w:hAnsi="Times New Roman"/>
                <w:b w:val="0"/>
                <w:color w:val="000000" w:themeColor="text1"/>
                <w:szCs w:val="20"/>
                <w:u w:val="none"/>
              </w:rPr>
              <w:t xml:space="preserve"> член 128,</w:t>
            </w:r>
            <w:r w:rsidR="002D13CE" w:rsidRPr="00E9419F">
              <w:rPr>
                <w:rStyle w:val="InstructionsTabelleberschrift"/>
                <w:rFonts w:ascii="Times New Roman" w:hAnsi="Times New Roman"/>
                <w:b w:val="0"/>
                <w:color w:val="000000" w:themeColor="text1"/>
                <w:u w:val="none"/>
                <w:lang w:val="bg-BG"/>
              </w:rPr>
              <w:t xml:space="preserve"> първа алинея,</w:t>
            </w:r>
            <w:r>
              <w:rPr>
                <w:rStyle w:val="InstructionsTabelleberschrift"/>
                <w:rFonts w:ascii="Times New Roman" w:hAnsi="Times New Roman"/>
                <w:b w:val="0"/>
                <w:color w:val="000000" w:themeColor="text1"/>
                <w:szCs w:val="20"/>
                <w:u w:val="none"/>
              </w:rPr>
              <w:t xml:space="preserve"> </w:t>
            </w:r>
            <w:r w:rsidR="002D13CE" w:rsidRPr="003220B9">
              <w:rPr>
                <w:rFonts w:ascii="Times New Roman" w:eastAsia="Cambria" w:hAnsi="Times New Roman"/>
                <w:color w:val="000000" w:themeColor="text1"/>
                <w:szCs w:val="20"/>
              </w:rPr>
              <w:t xml:space="preserve">точка </w:t>
            </w:r>
            <w:r w:rsidR="002D13CE" w:rsidRPr="00E9419F">
              <w:rPr>
                <w:rFonts w:ascii="Times New Roman" w:hAnsi="Times New Roman"/>
                <w:color w:val="000000" w:themeColor="text1"/>
              </w:rPr>
              <w:t xml:space="preserve">6 </w:t>
            </w:r>
            <w:r>
              <w:rPr>
                <w:rFonts w:ascii="Times New Roman" w:eastAsia="Cambria" w:hAnsi="Times New Roman" w:cs="Times New Roman"/>
                <w:color w:val="000000" w:themeColor="text1"/>
                <w:sz w:val="20"/>
                <w:szCs w:val="20"/>
              </w:rPr>
              <w:t>от Директива 2013/36/ЕС.</w:t>
            </w:r>
          </w:p>
          <w:p w14:paraId="7FE1B642" w14:textId="59AC4185" w:rsidR="00FE5D64" w:rsidRDefault="00E40776" w:rsidP="00116057">
            <w:pPr>
              <w:pStyle w:val="P68B1DB1-TableParagraph13"/>
              <w:spacing w:before="108"/>
              <w:jc w:val="both"/>
            </w:pPr>
            <w:r>
              <w:t>В случай че периметърът</w:t>
            </w:r>
            <w:r w:rsidR="002D13CE">
              <w:t xml:space="preserve"> </w:t>
            </w:r>
            <w:r>
              <w:t xml:space="preserve">на преструктуриране се различава от пруденциалния, оценката на елементите, съставляващи комбинираното изискване за буфер на субекта за преструктуриране на </w:t>
            </w:r>
            <w:r w:rsidR="00EE7A9C">
              <w:rPr>
                <w:lang w:val="bg-BG"/>
              </w:rPr>
              <w:t xml:space="preserve">консолидирано </w:t>
            </w:r>
            <w:r w:rsidR="00E9419F">
              <w:rPr>
                <w:lang w:val="bg-BG"/>
              </w:rPr>
              <w:t>ниво</w:t>
            </w:r>
            <w:r w:rsidR="00EE7A9C">
              <w:rPr>
                <w:lang w:val="bg-BG"/>
              </w:rPr>
              <w:t>, съответстващо на нивото</w:t>
            </w:r>
            <w:r w:rsidR="00E9419F">
              <w:t xml:space="preserve"> </w:t>
            </w:r>
            <w:r>
              <w:t xml:space="preserve">на групата за преструктуриране, </w:t>
            </w:r>
            <w:r w:rsidR="002D13CE">
              <w:rPr>
                <w:lang w:val="bg-BG"/>
              </w:rPr>
              <w:t>се извършва в съответствие с</w:t>
            </w:r>
            <w:r w:rsidR="002D13CE">
              <w:t xml:space="preserve"> </w:t>
            </w:r>
            <w:r>
              <w:t xml:space="preserve">член 3, параграф 1 от </w:t>
            </w:r>
            <w:r w:rsidR="00116057">
              <w:rPr>
                <w:lang w:val="bg-BG"/>
              </w:rPr>
              <w:t>Д</w:t>
            </w:r>
            <w:r>
              <w:t xml:space="preserve">елегиран регламент (ЕС) 2021/1118 на Комисията, но следва да се извърши предварително от докладващия субект. </w:t>
            </w:r>
          </w:p>
        </w:tc>
      </w:tr>
      <w:tr w:rsidR="00FE5D6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FE5D64" w:rsidRDefault="00E40776">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FE5D64" w:rsidRDefault="00E40776">
            <w:pPr>
              <w:pStyle w:val="P68B1DB1-TableParagraph14"/>
              <w:spacing w:before="108"/>
              <w:jc w:val="both"/>
              <w:rPr>
                <w:bCs/>
              </w:rPr>
            </w:pPr>
            <w:r>
              <w:t>Предпазен капиталов буфер</w:t>
            </w:r>
          </w:p>
          <w:p w14:paraId="7FE1B646" w14:textId="719844CA" w:rsidR="00FE5D64" w:rsidRDefault="00E40776">
            <w:pPr>
              <w:pStyle w:val="P68B1DB1-TableParagraph13"/>
              <w:spacing w:before="108"/>
              <w:jc w:val="both"/>
            </w:pPr>
            <w:r>
              <w:t xml:space="preserve">COREP (OF): </w:t>
            </w:r>
            <w:r w:rsidR="00116057" w:rsidRPr="001118F2">
              <w:t>{</w:t>
            </w:r>
            <w:r w:rsidR="00116057" w:rsidRPr="00E9419F">
              <w:rPr>
                <w:lang w:val="en-GB"/>
              </w:rPr>
              <w:t>C</w:t>
            </w:r>
            <w:r w:rsidR="00116057" w:rsidRPr="001118F2">
              <w:t xml:space="preserve"> 04.00;</w:t>
            </w:r>
            <w:r w:rsidR="00116057" w:rsidRPr="00E9419F">
              <w:t>750;</w:t>
            </w:r>
            <w:r w:rsidR="00116057" w:rsidRPr="001118F2">
              <w:t>010}</w:t>
            </w:r>
            <w:r>
              <w:t>.</w:t>
            </w:r>
          </w:p>
          <w:p w14:paraId="7FE1B647" w14:textId="77777777" w:rsidR="00FE5D64" w:rsidRDefault="00E40776">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Изискването, посочено в</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член 128, точка 1 и член 129 от Директива 2013/36/ЕС.</w:t>
            </w:r>
          </w:p>
          <w:p w14:paraId="7FE1B648" w14:textId="3982719B" w:rsidR="00FE5D64" w:rsidRDefault="00E40776" w:rsidP="00116057">
            <w:pPr>
              <w:pStyle w:val="P68B1DB1-TableParagraph13"/>
              <w:spacing w:before="108"/>
              <w:jc w:val="both"/>
              <w:rPr>
                <w:rFonts w:eastAsia="Cambria"/>
              </w:rPr>
            </w:pPr>
            <w:r>
              <w:t>В случай че периметърът</w:t>
            </w:r>
            <w:r w:rsidR="00116057" w:rsidRPr="00E9419F">
              <w:rPr>
                <w:lang w:val="bg-BG"/>
              </w:rPr>
              <w:t xml:space="preserve"> </w:t>
            </w:r>
            <w:r>
              <w:t xml:space="preserve">на преструктуриране се различава от пруденциалния, оценката на това изискване за буфер </w:t>
            </w:r>
            <w:r w:rsidR="00E9419F">
              <w:rPr>
                <w:lang w:val="bg-BG"/>
              </w:rPr>
              <w:t>на</w:t>
            </w:r>
            <w:r>
              <w:t xml:space="preserve"> субекта за преструктуриране на </w:t>
            </w:r>
            <w:r w:rsidR="00EE7A9C">
              <w:rPr>
                <w:lang w:val="bg-BG"/>
              </w:rPr>
              <w:t xml:space="preserve">консолидирано </w:t>
            </w:r>
            <w:r w:rsidR="00E9419F">
              <w:rPr>
                <w:lang w:val="bg-BG"/>
              </w:rPr>
              <w:t>ниво</w:t>
            </w:r>
            <w:r w:rsidR="00EE7A9C">
              <w:rPr>
                <w:lang w:val="bg-BG"/>
              </w:rPr>
              <w:t>, съответстващо на нивото</w:t>
            </w:r>
            <w:r>
              <w:t xml:space="preserve"> на групата за преструктуриране </w:t>
            </w:r>
            <w:r w:rsidR="00116057">
              <w:rPr>
                <w:lang w:val="bg-BG"/>
              </w:rPr>
              <w:t>се извършва в съответствие с</w:t>
            </w:r>
            <w:r w:rsidR="00116057">
              <w:t xml:space="preserve"> </w:t>
            </w:r>
            <w:r>
              <w:t xml:space="preserve">член 3, параграф 2 от </w:t>
            </w:r>
            <w:r w:rsidR="00E9419F">
              <w:rPr>
                <w:lang w:val="bg-BG"/>
              </w:rPr>
              <w:t>Д</w:t>
            </w:r>
            <w:r>
              <w:t>елегиран регламент (ЕС) 2021/1118 на Комисията, но следва да се извърши предварително от докладващия субект.</w:t>
            </w:r>
          </w:p>
        </w:tc>
      </w:tr>
      <w:tr w:rsidR="00FE5D6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FE5D64" w:rsidRDefault="00E40776">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14A8744A" w:rsidR="00FE5D64" w:rsidRDefault="00E40776">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Предпазен буфер за установен на равнище държава членка макропруденциален или системен риск</w:t>
            </w:r>
          </w:p>
          <w:p w14:paraId="7FE1B64C" w14:textId="76CD114D" w:rsidR="00FE5D64" w:rsidRDefault="00E40776">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COREP (OF): </w:t>
            </w:r>
            <w:r w:rsidR="00116057" w:rsidRPr="001118F2">
              <w:rPr>
                <w:rStyle w:val="InstructionsTabelleberschrift"/>
                <w:rFonts w:ascii="Times New Roman" w:hAnsi="Times New Roman"/>
                <w:b w:val="0"/>
                <w:bCs w:val="0"/>
                <w:color w:val="000000" w:themeColor="text1"/>
                <w:szCs w:val="20"/>
                <w:u w:val="none"/>
              </w:rPr>
              <w:t>{</w:t>
            </w:r>
            <w:r w:rsidR="00116057" w:rsidRPr="00E9419F">
              <w:rPr>
                <w:rStyle w:val="InstructionsTabelleberschrift"/>
                <w:rFonts w:ascii="Times New Roman" w:hAnsi="Times New Roman"/>
                <w:b w:val="0"/>
                <w:color w:val="000000" w:themeColor="text1"/>
                <w:u w:val="none"/>
                <w:lang w:val="en-GB"/>
              </w:rPr>
              <w:t>C</w:t>
            </w:r>
            <w:r w:rsidR="00116057" w:rsidRPr="001118F2">
              <w:rPr>
                <w:rStyle w:val="InstructionsTabelleberschrift"/>
                <w:rFonts w:ascii="Times New Roman" w:hAnsi="Times New Roman"/>
                <w:b w:val="0"/>
                <w:color w:val="000000" w:themeColor="text1"/>
                <w:u w:val="none"/>
              </w:rPr>
              <w:t xml:space="preserve"> 04.00;760;010</w:t>
            </w:r>
            <w:r w:rsidR="00116057" w:rsidRPr="001118F2">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w:t>
            </w:r>
          </w:p>
          <w:p w14:paraId="7FE1B64D" w14:textId="73D2420A" w:rsidR="00FE5D64" w:rsidRDefault="00E40776">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Изискване, посочено в</w:t>
            </w:r>
            <w:r>
              <w:rPr>
                <w:rStyle w:val="InstructionsTabelleberschrift"/>
                <w:rFonts w:ascii="Times New Roman" w:hAnsi="Times New Roman"/>
                <w:b w:val="0"/>
                <w:color w:val="000000" w:themeColor="text1"/>
                <w:szCs w:val="20"/>
                <w:u w:val="none"/>
              </w:rPr>
              <w:t xml:space="preserve"> член 458, параграф 2, буква г), подточка</w:t>
            </w:r>
            <w:r w:rsidR="00E9419F">
              <w:rPr>
                <w:rStyle w:val="InstructionsTabelleberschrift"/>
                <w:rFonts w:ascii="Times New Roman" w:hAnsi="Times New Roman"/>
                <w:b w:val="0"/>
                <w:color w:val="000000" w:themeColor="text1"/>
                <w:szCs w:val="20"/>
                <w:u w:val="none"/>
              </w:rPr>
              <w:t xml:space="preserve"> vi)</w:t>
            </w:r>
            <w:r>
              <w:rPr>
                <w:rStyle w:val="FootnoteReference"/>
                <w:rFonts w:cs="Times New Roman"/>
                <w:color w:val="000000" w:themeColor="text1"/>
              </w:rPr>
              <w:footnoteReference w:id="17"/>
            </w:r>
            <w:r w:rsidR="00116057">
              <w:rPr>
                <w:rStyle w:val="InstructionsTabelleberschrift"/>
                <w:rFonts w:ascii="Times New Roman" w:hAnsi="Times New Roman"/>
                <w:b w:val="0"/>
                <w:color w:val="000000" w:themeColor="text1"/>
                <w:szCs w:val="20"/>
                <w:u w:val="none"/>
              </w:rPr>
              <w:t xml:space="preserve"> </w:t>
            </w:r>
            <w:r>
              <w:rPr>
                <w:rStyle w:val="InstructionsTabelleberschrift"/>
                <w:rFonts w:ascii="Times New Roman" w:hAnsi="Times New Roman"/>
                <w:b w:val="0"/>
                <w:color w:val="000000" w:themeColor="text1"/>
                <w:szCs w:val="20"/>
                <w:u w:val="none"/>
              </w:rPr>
              <w:t>от Регламент (ЕС)</w:t>
            </w:r>
            <w:r w:rsidRPr="00116057">
              <w:rPr>
                <w:rStyle w:val="InstructionsTabelleberschrift"/>
                <w:rFonts w:ascii="Times New Roman" w:hAnsi="Times New Roman"/>
                <w:b w:val="0"/>
                <w:color w:val="000000" w:themeColor="text1"/>
                <w:szCs w:val="20"/>
                <w:u w:val="none"/>
              </w:rPr>
              <w:t xml:space="preserve"> </w:t>
            </w:r>
            <w:r>
              <w:rPr>
                <w:rStyle w:val="InstructionsTabelleberschrift"/>
                <w:rFonts w:ascii="Times New Roman" w:hAnsi="Times New Roman"/>
                <w:b w:val="0"/>
                <w:color w:val="000000" w:themeColor="text1"/>
                <w:szCs w:val="20"/>
                <w:u w:val="none"/>
              </w:rPr>
              <w:t>No</w:t>
            </w:r>
            <w:r>
              <w:rPr>
                <w:rStyle w:val="FootnoteReference"/>
                <w:rFonts w:cs="Times New Roman"/>
                <w:color w:val="000000" w:themeColor="text1"/>
              </w:rPr>
              <w:t xml:space="preserve"> </w:t>
            </w:r>
            <w:r w:rsidRPr="00E9419F">
              <w:rPr>
                <w:rFonts w:ascii="Times New Roman" w:hAnsi="Times New Roman"/>
                <w:sz w:val="20"/>
              </w:rPr>
              <w:t>575/2013</w:t>
            </w:r>
          </w:p>
          <w:p w14:paraId="7FE1B64E" w14:textId="643C6C6C" w:rsidR="00FE5D64" w:rsidRDefault="00E40776" w:rsidP="00116057">
            <w:pPr>
              <w:pStyle w:val="P68B1DB1-TableParagraph13"/>
              <w:spacing w:before="108"/>
              <w:jc w:val="both"/>
              <w:rPr>
                <w:rFonts w:eastAsia="Cambria"/>
              </w:rPr>
            </w:pPr>
            <w:r>
              <w:t>В случай че периметърът</w:t>
            </w:r>
            <w:r w:rsidR="00116057">
              <w:t xml:space="preserve"> </w:t>
            </w:r>
            <w:r>
              <w:t>на преструктуриране се различава от пруденциалния, докладваната сума съответства на буфера, приложим за експозициите на групата за преструктуриране.</w:t>
            </w:r>
          </w:p>
        </w:tc>
      </w:tr>
      <w:tr w:rsidR="00FE5D6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FE5D64" w:rsidRDefault="00E40776">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FE5D64" w:rsidRDefault="00E40776">
            <w:pPr>
              <w:pStyle w:val="P68B1DB1-TableParagraph14"/>
              <w:spacing w:before="108"/>
              <w:jc w:val="both"/>
              <w:rPr>
                <w:bCs/>
              </w:rPr>
            </w:pPr>
            <w:r>
              <w:t xml:space="preserve">Специфично за институцията равнище на антицикличния капиталов буфер </w:t>
            </w:r>
          </w:p>
          <w:p w14:paraId="7FE1B652" w14:textId="5E080919" w:rsidR="00FE5D64" w:rsidRDefault="00E40776">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lastRenderedPageBreak/>
              <w:t xml:space="preserve">(виж COREP (OF): </w:t>
            </w:r>
            <w:r w:rsidR="001866AB" w:rsidRPr="001118F2">
              <w:rPr>
                <w:rStyle w:val="InstructionsTabelleberschrift"/>
                <w:rFonts w:ascii="Times New Roman" w:hAnsi="Times New Roman"/>
                <w:b w:val="0"/>
                <w:bCs w:val="0"/>
                <w:color w:val="000000" w:themeColor="text1"/>
                <w:szCs w:val="20"/>
                <w:u w:val="none"/>
              </w:rPr>
              <w:t>{</w:t>
            </w:r>
            <w:r w:rsidR="001866AB" w:rsidRPr="00E9419F">
              <w:rPr>
                <w:rStyle w:val="InstructionsTabelleberschrift"/>
                <w:rFonts w:ascii="Times New Roman" w:hAnsi="Times New Roman"/>
                <w:b w:val="0"/>
                <w:color w:val="000000" w:themeColor="text1"/>
                <w:u w:val="none"/>
              </w:rPr>
              <w:t>C 04.00;770;010</w:t>
            </w:r>
            <w:r w:rsidR="001866AB" w:rsidRPr="001118F2">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w:t>
            </w:r>
          </w:p>
          <w:p w14:paraId="7FE1B653" w14:textId="63FD12E6" w:rsidR="00FE5D64" w:rsidRDefault="00D265EB">
            <w:pPr>
              <w:pStyle w:val="P68B1DB1-TableParagraph17"/>
              <w:spacing w:before="108"/>
              <w:jc w:val="both"/>
            </w:pPr>
            <w:r>
              <w:rPr>
                <w:lang w:val="bg-BG"/>
              </w:rPr>
              <w:t>И</w:t>
            </w:r>
            <w:r w:rsidR="00E40776">
              <w:t xml:space="preserve">зискването, </w:t>
            </w:r>
            <w:r>
              <w:rPr>
                <w:lang w:val="bg-BG"/>
              </w:rPr>
              <w:t>посочено в</w:t>
            </w:r>
            <w:r w:rsidR="00E40776">
              <w:t xml:space="preserve"> член 128, точка 2, член 130 и членове 135—140 от Директива 2013/36/ЕС.</w:t>
            </w:r>
          </w:p>
          <w:p w14:paraId="7FE1B654" w14:textId="18F25A80" w:rsidR="00FE5D64" w:rsidRDefault="00E40776" w:rsidP="001866AB">
            <w:pPr>
              <w:pStyle w:val="P68B1DB1-TableParagraph13"/>
              <w:spacing w:before="108"/>
              <w:jc w:val="both"/>
              <w:rPr>
                <w:rFonts w:eastAsia="Cambria"/>
              </w:rPr>
            </w:pPr>
            <w:r>
              <w:t>В случай че периметърът</w:t>
            </w:r>
            <w:r w:rsidR="001866AB">
              <w:t xml:space="preserve"> </w:t>
            </w:r>
            <w:r>
              <w:t>на преструктурирането се различава от пруденциалния, докладваната сума съответства на изискването за буфер, приложимо за експозициите на групата за преструктуриране.</w:t>
            </w:r>
          </w:p>
        </w:tc>
      </w:tr>
      <w:tr w:rsidR="00FE5D6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FE5D64" w:rsidRDefault="00E40776">
            <w:pPr>
              <w:pStyle w:val="P68B1DB1-TableParagraph13"/>
              <w:spacing w:before="106"/>
              <w:ind w:left="-1"/>
            </w:pPr>
            <w:r>
              <w:lastRenderedPageBreak/>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FE5D64" w:rsidRDefault="00E40776">
            <w:pPr>
              <w:pStyle w:val="P68B1DB1-TableParagraph14"/>
              <w:spacing w:before="108"/>
              <w:jc w:val="both"/>
              <w:rPr>
                <w:bCs/>
              </w:rPr>
            </w:pPr>
            <w:r>
              <w:t>Буфер за системен риск</w:t>
            </w:r>
          </w:p>
          <w:p w14:paraId="7FE1B658" w14:textId="5F654319" w:rsidR="00FE5D64" w:rsidRDefault="00E40776">
            <w:pPr>
              <w:pStyle w:val="P68B1DB1-TableParagraph13"/>
              <w:spacing w:before="108"/>
              <w:jc w:val="both"/>
            </w:pPr>
            <w:r>
              <w:t xml:space="preserve">(виж COREP (OF): </w:t>
            </w:r>
            <w:r w:rsidR="001866AB" w:rsidRPr="001118F2">
              <w:t>{</w:t>
            </w:r>
            <w:r w:rsidR="001866AB" w:rsidRPr="002F61BB">
              <w:rPr>
                <w:lang w:val="en-GB"/>
              </w:rPr>
              <w:t>C</w:t>
            </w:r>
            <w:r w:rsidR="001866AB" w:rsidRPr="00E9419F">
              <w:t xml:space="preserve"> 04.00;780;010</w:t>
            </w:r>
            <w:r w:rsidR="001866AB" w:rsidRPr="001118F2">
              <w:t>}</w:t>
            </w:r>
            <w:r>
              <w:t>)</w:t>
            </w:r>
          </w:p>
          <w:p w14:paraId="7FE1B659" w14:textId="0D7DB9E0" w:rsidR="00FE5D64" w:rsidRDefault="00D265EB">
            <w:pPr>
              <w:pStyle w:val="P68B1DB1-TableParagraph17"/>
              <w:spacing w:before="108"/>
              <w:jc w:val="both"/>
            </w:pPr>
            <w:r>
              <w:rPr>
                <w:lang w:val="bg-BG"/>
              </w:rPr>
              <w:t>И</w:t>
            </w:r>
            <w:r w:rsidR="00E40776">
              <w:t xml:space="preserve">зискването, </w:t>
            </w:r>
            <w:r>
              <w:rPr>
                <w:lang w:val="bg-BG"/>
              </w:rPr>
              <w:t>посочено в</w:t>
            </w:r>
            <w:r w:rsidR="00E40776">
              <w:t xml:space="preserve"> член 128, точка 5, членове 133 и 134 от Директива 2013/36/ЕС.</w:t>
            </w:r>
          </w:p>
          <w:p w14:paraId="7FE1B65A" w14:textId="091FA251" w:rsidR="00FE5D64" w:rsidRDefault="00E40776" w:rsidP="001866AB">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случай че периметърът</w:t>
            </w:r>
            <w:r w:rsidR="001866A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на преструктуриране се различава от пруденциалния, оценката на това изискване за буфер </w:t>
            </w:r>
            <w:r w:rsidR="00D265EB">
              <w:rPr>
                <w:rFonts w:ascii="Times New Roman" w:hAnsi="Times New Roman" w:cs="Times New Roman"/>
                <w:color w:val="000000" w:themeColor="text1"/>
                <w:sz w:val="20"/>
                <w:szCs w:val="20"/>
                <w:lang w:val="bg-BG"/>
              </w:rPr>
              <w:t>на</w:t>
            </w:r>
            <w:r>
              <w:rPr>
                <w:rFonts w:ascii="Times New Roman" w:hAnsi="Times New Roman" w:cs="Times New Roman"/>
                <w:color w:val="000000" w:themeColor="text1"/>
                <w:sz w:val="20"/>
                <w:szCs w:val="20"/>
              </w:rPr>
              <w:t xml:space="preserve"> субекта за преструктуриране на </w:t>
            </w:r>
            <w:r w:rsidR="00EE7A9C">
              <w:rPr>
                <w:rFonts w:ascii="Times New Roman" w:hAnsi="Times New Roman" w:cs="Times New Roman"/>
                <w:color w:val="000000" w:themeColor="text1"/>
                <w:sz w:val="20"/>
                <w:szCs w:val="20"/>
                <w:lang w:val="bg-BG"/>
              </w:rPr>
              <w:t xml:space="preserve">консолидирано </w:t>
            </w:r>
            <w:r w:rsidR="00D265EB">
              <w:rPr>
                <w:rFonts w:ascii="Times New Roman" w:hAnsi="Times New Roman" w:cs="Times New Roman"/>
                <w:color w:val="000000" w:themeColor="text1"/>
                <w:sz w:val="20"/>
                <w:szCs w:val="20"/>
                <w:lang w:val="bg-BG"/>
              </w:rPr>
              <w:t>ниво</w:t>
            </w:r>
            <w:r w:rsidR="00EE7A9C">
              <w:rPr>
                <w:rFonts w:ascii="Times New Roman" w:hAnsi="Times New Roman" w:cs="Times New Roman"/>
                <w:color w:val="000000" w:themeColor="text1"/>
                <w:sz w:val="20"/>
                <w:szCs w:val="20"/>
                <w:lang w:val="bg-BG"/>
              </w:rPr>
              <w:t>, съответстващо на нивото</w:t>
            </w:r>
            <w:r w:rsidR="00D265EB">
              <w:rPr>
                <w:rFonts w:ascii="Times New Roman" w:hAnsi="Times New Roman" w:cs="Times New Roman"/>
                <w:color w:val="000000" w:themeColor="text1"/>
                <w:sz w:val="20"/>
                <w:szCs w:val="20"/>
                <w:lang w:val="bg-BG"/>
              </w:rPr>
              <w:t xml:space="preserve"> </w:t>
            </w:r>
            <w:r>
              <w:rPr>
                <w:rFonts w:ascii="Times New Roman" w:hAnsi="Times New Roman" w:cs="Times New Roman"/>
                <w:color w:val="000000" w:themeColor="text1"/>
                <w:sz w:val="20"/>
                <w:szCs w:val="20"/>
              </w:rPr>
              <w:t xml:space="preserve">на групата за преструктуриране </w:t>
            </w:r>
            <w:r w:rsidR="001866AB" w:rsidRPr="001866AB">
              <w:rPr>
                <w:rFonts w:ascii="Times New Roman" w:hAnsi="Times New Roman" w:cs="Times New Roman"/>
                <w:color w:val="000000" w:themeColor="text1"/>
                <w:sz w:val="20"/>
                <w:szCs w:val="20"/>
              </w:rPr>
              <w:t>се извършва в съответствие с</w:t>
            </w:r>
            <w:r>
              <w:rPr>
                <w:rFonts w:ascii="Times New Roman" w:hAnsi="Times New Roman" w:cs="Times New Roman"/>
                <w:color w:val="000000" w:themeColor="text1"/>
                <w:sz w:val="20"/>
                <w:szCs w:val="20"/>
              </w:rPr>
              <w:t xml:space="preserve"> член 3, параграф 5 от </w:t>
            </w:r>
            <w:r w:rsidR="001866AB">
              <w:rPr>
                <w:rFonts w:ascii="Times New Roman" w:hAnsi="Times New Roman" w:cs="Times New Roman"/>
                <w:color w:val="000000" w:themeColor="text1"/>
                <w:sz w:val="20"/>
                <w:szCs w:val="20"/>
                <w:lang w:val="bg-BG"/>
              </w:rPr>
              <w:t>Д</w:t>
            </w:r>
            <w:r>
              <w:rPr>
                <w:rFonts w:ascii="Times New Roman" w:hAnsi="Times New Roman" w:cs="Times New Roman"/>
                <w:color w:val="000000" w:themeColor="text1"/>
                <w:sz w:val="20"/>
                <w:szCs w:val="20"/>
              </w:rPr>
              <w:t>елегиран регламент (ЕС) 2021/1118 на Комисията, но следва да се извърши предварително от докладващия субект</w:t>
            </w:r>
            <w:r>
              <w:t>.</w:t>
            </w:r>
          </w:p>
        </w:tc>
      </w:tr>
      <w:tr w:rsidR="00FE5D6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FE5D64" w:rsidRDefault="00E40776">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FE5D64" w:rsidRDefault="00E40776">
            <w:pPr>
              <w:pStyle w:val="P68B1DB1-TableParagraph14"/>
              <w:spacing w:before="108"/>
              <w:jc w:val="both"/>
              <w:rPr>
                <w:bCs/>
              </w:rPr>
            </w:pPr>
            <w:r>
              <w:t>Буфер за глобалните институции със системно значение</w:t>
            </w:r>
          </w:p>
          <w:p w14:paraId="7FE1B65E" w14:textId="54F55249" w:rsidR="00FE5D64" w:rsidRDefault="00E40776">
            <w:pPr>
              <w:pStyle w:val="P68B1DB1-TableParagraph17"/>
              <w:spacing w:before="108"/>
              <w:jc w:val="both"/>
            </w:pPr>
            <w:r>
              <w:t xml:space="preserve">COREP (OF): </w:t>
            </w:r>
            <w:r w:rsidR="001866AB" w:rsidRPr="001118F2">
              <w:rPr>
                <w:spacing w:val="-2"/>
                <w:w w:val="95"/>
              </w:rPr>
              <w:t>{</w:t>
            </w:r>
            <w:r w:rsidR="001866AB" w:rsidRPr="000439C3">
              <w:t>C 04.00;800;010</w:t>
            </w:r>
            <w:r w:rsidR="001866AB" w:rsidRPr="001118F2">
              <w:rPr>
                <w:spacing w:val="-2"/>
                <w:w w:val="95"/>
              </w:rPr>
              <w:t>}</w:t>
            </w:r>
          </w:p>
          <w:p w14:paraId="7FE1B65F" w14:textId="77777777" w:rsidR="00FE5D64" w:rsidRDefault="00E40776">
            <w:pPr>
              <w:pStyle w:val="P68B1DB1-TableParagraph17"/>
              <w:spacing w:before="108"/>
              <w:jc w:val="both"/>
            </w:pPr>
            <w:r>
              <w:t>Изискването, посочено в член 128, точка 3 и член 131 от Директива 2013/36/ЕС.</w:t>
            </w:r>
          </w:p>
          <w:p w14:paraId="7FE1B660" w14:textId="1B6B8386" w:rsidR="00FE5D64" w:rsidRDefault="00E40776" w:rsidP="00D77D22">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В случай че периметърът</w:t>
            </w:r>
            <w:r w:rsidR="00D77D2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на преструктуриране се различава от пруденциалния, оценката на това изискване за буфер </w:t>
            </w:r>
            <w:r w:rsidR="000439C3">
              <w:rPr>
                <w:rFonts w:ascii="Times New Roman" w:hAnsi="Times New Roman" w:cs="Times New Roman"/>
                <w:color w:val="000000" w:themeColor="text1"/>
                <w:sz w:val="20"/>
                <w:szCs w:val="20"/>
                <w:lang w:val="bg-BG"/>
              </w:rPr>
              <w:t>на</w:t>
            </w:r>
            <w:r w:rsidR="000439C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субекта за преструктуриране на консолидирано </w:t>
            </w:r>
            <w:r w:rsidR="00EE7A9C">
              <w:rPr>
                <w:rFonts w:ascii="Times New Roman" w:hAnsi="Times New Roman" w:cs="Times New Roman"/>
                <w:color w:val="000000" w:themeColor="text1"/>
                <w:sz w:val="20"/>
                <w:szCs w:val="20"/>
                <w:lang w:val="bg-BG"/>
              </w:rPr>
              <w:t>ниво, съответстващо на нивото</w:t>
            </w:r>
            <w:r w:rsidR="00EE7A9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на групата за преструктуриране </w:t>
            </w:r>
            <w:r w:rsidR="00D77D22">
              <w:rPr>
                <w:rFonts w:ascii="Times New Roman" w:hAnsi="Times New Roman" w:cs="Times New Roman"/>
                <w:color w:val="000000" w:themeColor="text1"/>
                <w:sz w:val="20"/>
                <w:szCs w:val="20"/>
                <w:lang w:val="bg-BG"/>
              </w:rPr>
              <w:t>се извършва в съответствие с</w:t>
            </w:r>
            <w:r w:rsidR="00D77D2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член 3, параграф 3 от </w:t>
            </w:r>
            <w:r w:rsidR="000439C3">
              <w:rPr>
                <w:rFonts w:ascii="Times New Roman" w:hAnsi="Times New Roman" w:cs="Times New Roman"/>
                <w:color w:val="000000" w:themeColor="text1"/>
                <w:sz w:val="20"/>
                <w:szCs w:val="20"/>
                <w:lang w:val="bg-BG"/>
              </w:rPr>
              <w:t>Д</w:t>
            </w:r>
            <w:r>
              <w:rPr>
                <w:rFonts w:ascii="Times New Roman" w:hAnsi="Times New Roman" w:cs="Times New Roman"/>
                <w:color w:val="000000" w:themeColor="text1"/>
                <w:sz w:val="20"/>
                <w:szCs w:val="20"/>
              </w:rPr>
              <w:t>елегиран регламент (ЕС) 2021/1118 на Комисията, но следва да се извърши предварително от докладващия субект</w:t>
            </w:r>
            <w:r>
              <w:t>.</w:t>
            </w:r>
          </w:p>
        </w:tc>
      </w:tr>
      <w:tr w:rsidR="00FE5D6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FE5D64" w:rsidRDefault="00E40776">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4A5AF51D" w14:textId="7975C00F" w:rsidR="00D77D22" w:rsidRDefault="00E40776">
            <w:pPr>
              <w:pStyle w:val="P68B1DB1-TableParagraph13"/>
              <w:spacing w:before="108"/>
              <w:jc w:val="both"/>
              <w:rPr>
                <w:b/>
              </w:rPr>
            </w:pPr>
            <w:r>
              <w:rPr>
                <w:b/>
              </w:rPr>
              <w:t>Буфер за други системно значими институции</w:t>
            </w:r>
          </w:p>
          <w:p w14:paraId="12F6D662" w14:textId="69F93A36" w:rsidR="00D77D22" w:rsidRDefault="00E40776">
            <w:pPr>
              <w:pStyle w:val="P68B1DB1-TableParagraph13"/>
              <w:spacing w:before="108"/>
              <w:jc w:val="both"/>
            </w:pPr>
            <w:r>
              <w:t xml:space="preserve">COREP (OF): </w:t>
            </w:r>
            <w:r w:rsidR="00D77D22" w:rsidRPr="001118F2">
              <w:t>{</w:t>
            </w:r>
            <w:r w:rsidR="00D77D22" w:rsidRPr="000439C3">
              <w:t>C 04.00;810;010</w:t>
            </w:r>
            <w:r w:rsidR="00D77D22" w:rsidRPr="001118F2">
              <w:t>}</w:t>
            </w:r>
            <w:r w:rsidR="00D77D22" w:rsidRPr="000439C3">
              <w:t xml:space="preserve"> </w:t>
            </w:r>
          </w:p>
          <w:p w14:paraId="26160E9C" w14:textId="3FDE3156" w:rsidR="000439C3" w:rsidRDefault="000439C3" w:rsidP="000439C3">
            <w:pPr>
              <w:pStyle w:val="P68B1DB1-TableParagraph13"/>
              <w:spacing w:before="108"/>
              <w:jc w:val="both"/>
            </w:pPr>
            <w:r>
              <w:rPr>
                <w:lang w:val="bg-BG"/>
              </w:rPr>
              <w:t>Изискването, посочено в ч</w:t>
            </w:r>
            <w:r>
              <w:t xml:space="preserve">лен 128, точка (4) и член 131 от Директива 2013/36/ЕС </w:t>
            </w:r>
          </w:p>
          <w:p w14:paraId="7FE1B666" w14:textId="4E4881B9" w:rsidR="00FE5D64" w:rsidRDefault="00E40776" w:rsidP="00D77D22">
            <w:pPr>
              <w:pStyle w:val="P68B1DB1-TableParagraph13"/>
              <w:spacing w:before="108"/>
              <w:jc w:val="both"/>
              <w:rPr>
                <w:b/>
                <w:bCs/>
              </w:rPr>
            </w:pPr>
            <w:r>
              <w:t xml:space="preserve">Докладваната стойност </w:t>
            </w:r>
            <w:r w:rsidR="00D77D22">
              <w:rPr>
                <w:lang w:val="bg-BG"/>
              </w:rPr>
              <w:t>представлява</w:t>
            </w:r>
            <w:r>
              <w:t xml:space="preserve"> размер</w:t>
            </w:r>
            <w:r w:rsidR="00D77D22">
              <w:rPr>
                <w:lang w:val="bg-BG"/>
              </w:rPr>
              <w:t>а</w:t>
            </w:r>
            <w:r>
              <w:t xml:space="preserve"> на </w:t>
            </w:r>
            <w:r w:rsidR="000439C3">
              <w:rPr>
                <w:lang w:val="bg-BG"/>
              </w:rPr>
              <w:t>собствения капитал</w:t>
            </w:r>
            <w:r>
              <w:t>, необходим за изпълнение на съответните изисквания за капиталов буфер към датата на докладване.</w:t>
            </w:r>
          </w:p>
        </w:tc>
      </w:tr>
      <w:tr w:rsidR="00FE5D6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FE5D64" w:rsidRDefault="00E40776">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FE5D64" w:rsidRDefault="00E40776">
            <w:pPr>
              <w:pStyle w:val="P68B1DB1-TableParagraph14"/>
              <w:spacing w:before="108"/>
              <w:jc w:val="both"/>
              <w:rPr>
                <w:bCs/>
              </w:rPr>
            </w:pPr>
            <w:r>
              <w:t xml:space="preserve">Отношение на съвкупното капиталово изискване (СКИ) </w:t>
            </w:r>
          </w:p>
          <w:p w14:paraId="7FE1B66A" w14:textId="5A093116" w:rsidR="00FE5D64" w:rsidRDefault="00E40776">
            <w:pPr>
              <w:pStyle w:val="P68B1DB1-TableParagraph13"/>
              <w:spacing w:before="108"/>
              <w:jc w:val="both"/>
            </w:pPr>
            <w:r>
              <w:t xml:space="preserve">COREP (OF): </w:t>
            </w:r>
            <w:r w:rsidR="00D77D22" w:rsidRPr="001118F2">
              <w:t>{</w:t>
            </w:r>
            <w:r w:rsidR="00D77D22" w:rsidRPr="000439C3">
              <w:t>C 03.00;160;010</w:t>
            </w:r>
            <w:r w:rsidR="00D77D22" w:rsidRPr="001118F2">
              <w:t>}</w:t>
            </w:r>
          </w:p>
          <w:p w14:paraId="7FE1B66B" w14:textId="77777777" w:rsidR="00FE5D64" w:rsidRDefault="00E40776">
            <w:pPr>
              <w:pStyle w:val="P68B1DB1-TableParagraph13"/>
              <w:spacing w:before="108"/>
              <w:jc w:val="both"/>
            </w:pPr>
            <w:r>
              <w:t xml:space="preserve">Сборът от i) и ii), както следва: </w:t>
            </w:r>
          </w:p>
          <w:p w14:paraId="7FE1B66C" w14:textId="77777777" w:rsidR="00FE5D64" w:rsidRDefault="00E40776">
            <w:pPr>
              <w:pStyle w:val="P68B1DB1-TableParagraph13"/>
              <w:numPr>
                <w:ilvl w:val="3"/>
                <w:numId w:val="211"/>
              </w:numPr>
              <w:spacing w:before="108"/>
              <w:ind w:left="931" w:hanging="567"/>
              <w:jc w:val="both"/>
            </w:pPr>
            <w:r>
              <w:t xml:space="preserve">отношението на ОКИПНПО, посочено в ред 0300; </w:t>
            </w:r>
          </w:p>
          <w:p w14:paraId="7FE1B66D" w14:textId="77777777" w:rsidR="00FE5D64" w:rsidRDefault="00E40776">
            <w:pPr>
              <w:pStyle w:val="P68B1DB1-TableParagraph13"/>
              <w:numPr>
                <w:ilvl w:val="3"/>
                <w:numId w:val="211"/>
              </w:numPr>
              <w:spacing w:before="108"/>
              <w:ind w:left="931" w:hanging="567"/>
              <w:jc w:val="both"/>
            </w:pPr>
            <w:r>
              <w:t xml:space="preserve">доколкото е правно приложимо — съотношението на комбинирано изискване за буфер, посочено в член 128, точка 6 от Директива 2013/36/ЕС. </w:t>
            </w:r>
          </w:p>
          <w:p w14:paraId="7FE1B66E" w14:textId="2DAD05F0" w:rsidR="00FE5D64" w:rsidRDefault="00E40776">
            <w:pPr>
              <w:pStyle w:val="P68B1DB1-TableParagraph13"/>
              <w:spacing w:before="108"/>
              <w:jc w:val="both"/>
            </w:pPr>
            <w:r>
              <w:t>Тази позиция отразява съотношението на съвкупното капиталово изискване (OCR), определено в раздел 1.2 от насоките на ЕБО за П</w:t>
            </w:r>
            <w:r w:rsidR="00D77D22">
              <w:rPr>
                <w:lang w:val="bg-BG"/>
              </w:rPr>
              <w:t>Н</w:t>
            </w:r>
            <w:r>
              <w:t xml:space="preserve">ПО. </w:t>
            </w:r>
          </w:p>
          <w:p w14:paraId="7FE1B66F" w14:textId="77777777" w:rsidR="00FE5D64" w:rsidRDefault="00E40776">
            <w:pPr>
              <w:pStyle w:val="P68B1DB1-TableParagraph13"/>
              <w:spacing w:before="108"/>
              <w:jc w:val="both"/>
              <w:rPr>
                <w:b/>
                <w:bCs/>
              </w:rPr>
            </w:pPr>
            <w:r>
              <w:t>Ако няма приложимо изискване за буфер, се докладва само компонент i).</w:t>
            </w:r>
          </w:p>
        </w:tc>
      </w:tr>
    </w:tbl>
    <w:p w14:paraId="7FE1B712" w14:textId="77777777" w:rsidR="00FE5D64" w:rsidRDefault="00FE5D64">
      <w:pPr>
        <w:rPr>
          <w:rFonts w:ascii="Times New Roman" w:hAnsi="Times New Roman" w:cs="Times New Roman"/>
        </w:rPr>
      </w:pPr>
    </w:p>
    <w:p w14:paraId="7FE1B713" w14:textId="77777777" w:rsidR="00FE5D64" w:rsidRDefault="00FE5D64">
      <w:pPr>
        <w:rPr>
          <w:rFonts w:ascii="Times New Roman" w:hAnsi="Times New Roman" w:cs="Times New Roman"/>
        </w:rPr>
      </w:pPr>
    </w:p>
    <w:p w14:paraId="7FE1B714" w14:textId="77777777" w:rsidR="00FE5D64" w:rsidRDefault="00E40776">
      <w:pPr>
        <w:pStyle w:val="P68B1DB1-Instructionsberschrift25"/>
        <w:numPr>
          <w:ilvl w:val="1"/>
          <w:numId w:val="49"/>
        </w:numPr>
        <w:ind w:left="357" w:hanging="357"/>
      </w:pPr>
      <w:bookmarkStart w:id="66" w:name="_Toc208244455"/>
      <w:r>
        <w:t>Z 03.02 — Капиталови изисквания — Инвестиционни посредници (LIAB 3)</w:t>
      </w:r>
      <w:bookmarkEnd w:id="66"/>
    </w:p>
    <w:p w14:paraId="7FE1B715" w14:textId="77777777" w:rsidR="00FE5D64" w:rsidRDefault="00E40776">
      <w:pPr>
        <w:pStyle w:val="Instructionsberschrift3"/>
      </w:pPr>
      <w:r>
        <w:t>Общи бележки</w:t>
      </w:r>
    </w:p>
    <w:p w14:paraId="7FE1B716" w14:textId="77777777" w:rsidR="00FE5D64" w:rsidRDefault="00E40776">
      <w:pPr>
        <w:pStyle w:val="Instructionsberschrift3"/>
        <w:numPr>
          <w:ilvl w:val="4"/>
          <w:numId w:val="260"/>
        </w:numPr>
      </w:pPr>
      <w:r>
        <w:lastRenderedPageBreak/>
        <w:t>Този образец събира информация във връзка с капиталовите изисквания за даден субект или група.</w:t>
      </w:r>
    </w:p>
    <w:p w14:paraId="7FE1B717" w14:textId="1213D388" w:rsidR="00FE5D64" w:rsidRDefault="00E40776">
      <w:pPr>
        <w:pStyle w:val="Instructionsberschrift3"/>
        <w:numPr>
          <w:ilvl w:val="4"/>
          <w:numId w:val="260"/>
        </w:numPr>
      </w:pPr>
      <w:r>
        <w:t>Цялата отчетена информация трябва да отразява капиталовите изисквания, приложими към референтната дата на отчитане.</w:t>
      </w:r>
    </w:p>
    <w:p w14:paraId="666AF7EE" w14:textId="42D74577" w:rsidR="00FE5D64" w:rsidRDefault="00110CCD">
      <w:pPr>
        <w:pStyle w:val="P68B1DB1-ListParagraph23"/>
        <w:numPr>
          <w:ilvl w:val="4"/>
          <w:numId w:val="260"/>
        </w:numPr>
      </w:pPr>
      <w:r>
        <w:rPr>
          <w:lang w:val="bg-BG"/>
        </w:rPr>
        <w:t>При</w:t>
      </w:r>
      <w:r w:rsidR="00E40776">
        <w:t xml:space="preserve"> отчитане на консолидирана или индивидуална основа, ако тези данни вече са били отчетени от предприятието във </w:t>
      </w:r>
      <w:r>
        <w:rPr>
          <w:lang w:val="en-US"/>
        </w:rPr>
        <w:t>IFREP</w:t>
      </w:r>
      <w:r>
        <w:t xml:space="preserve"> </w:t>
      </w:r>
      <w:r w:rsidR="00E40776">
        <w:t xml:space="preserve">за същата референтна дата и същия обхват на отчитане (вж. препратките към IFREP в указанията), отчитащото се предприятие не е длъжно да отчита тези данни втори път. Данните трябва да се докладват, например когато отчитащото се дружество е било освободено от финансови или пруденциални задължения за докладване, като в този случай единственият източник на данни за органите за преструктуриране за тези данни е настоящият </w:t>
      </w:r>
      <w:r>
        <w:rPr>
          <w:lang w:val="bg-BG"/>
        </w:rPr>
        <w:t>отчет</w:t>
      </w:r>
      <w:r w:rsidR="00E40776">
        <w:t>.</w:t>
      </w:r>
    </w:p>
    <w:p w14:paraId="1DA6CBB2" w14:textId="77777777" w:rsidR="00FE5D64" w:rsidRDefault="00FE5D64">
      <w:pPr>
        <w:pStyle w:val="Instructionsberschrift3"/>
        <w:numPr>
          <w:ilvl w:val="4"/>
          <w:numId w:val="260"/>
        </w:numPr>
      </w:pPr>
    </w:p>
    <w:p w14:paraId="7FE1B718" w14:textId="4C8CE473" w:rsidR="00FE5D64" w:rsidRDefault="00FE5D64">
      <w:pPr>
        <w:pStyle w:val="InstructionsText2"/>
        <w:numPr>
          <w:ilvl w:val="0"/>
          <w:numId w:val="0"/>
        </w:numPr>
        <w:spacing w:before="0"/>
        <w:ind w:left="1440"/>
        <w:rPr>
          <w:rFonts w:ascii="Times New Roman" w:hAnsi="Times New Roman" w:cs="Times New Roman"/>
          <w:sz w:val="20"/>
          <w:szCs w:val="20"/>
        </w:rPr>
      </w:pPr>
    </w:p>
    <w:p w14:paraId="7FE1B719" w14:textId="77777777" w:rsidR="00FE5D64" w:rsidRDefault="00E40776">
      <w:pPr>
        <w:pStyle w:val="Instructionsberschrift3"/>
      </w:pPr>
      <w:r>
        <w:t>Указания относно определени позиции</w:t>
      </w:r>
    </w:p>
    <w:p w14:paraId="7FE1B71A" w14:textId="77777777" w:rsidR="00FE5D64" w:rsidRDefault="00FE5D64">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E5D6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FE5D64" w:rsidRDefault="00E40776">
            <w:pPr>
              <w:pStyle w:val="P68B1DB1-TableParagraph13"/>
              <w:spacing w:before="66"/>
              <w:rPr>
                <w:rFonts w:eastAsia="Cambria"/>
              </w:rPr>
            </w:pPr>
            <w:r>
              <w:t>Редове</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FE5D64" w:rsidRDefault="00E40776">
            <w:pPr>
              <w:pStyle w:val="P68B1DB1-TableParagraph13"/>
              <w:spacing w:before="66"/>
              <w:ind w:right="1"/>
              <w:jc w:val="center"/>
              <w:rPr>
                <w:rFonts w:eastAsia="Cambria"/>
              </w:rPr>
            </w:pPr>
            <w:r>
              <w:t>Указания</w:t>
            </w:r>
          </w:p>
        </w:tc>
      </w:tr>
      <w:tr w:rsidR="00FE5D6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FE5D64" w:rsidRDefault="00E40776">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FE5D64" w:rsidRDefault="00E40776">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Общо капиталово изискване </w:t>
            </w:r>
            <w:r>
              <w:rPr>
                <w:rStyle w:val="InstructionsTabelleberschrift"/>
                <w:rFonts w:ascii="Times New Roman" w:hAnsi="Times New Roman"/>
                <w:color w:val="000000" w:themeColor="text1"/>
                <w:szCs w:val="20"/>
              </w:rPr>
              <w:t>(IFREP I 02.01 r0130)</w:t>
            </w:r>
          </w:p>
          <w:p w14:paraId="29B1A135" w14:textId="77777777" w:rsidR="00FE5D64" w:rsidRDefault="00FE5D64">
            <w:pPr>
              <w:rPr>
                <w:rStyle w:val="InstructionsTabelleberschrift"/>
                <w:rFonts w:ascii="Times New Roman" w:hAnsi="Times New Roman"/>
                <w:color w:val="000000" w:themeColor="text1"/>
                <w:szCs w:val="20"/>
                <w:u w:val="none"/>
              </w:rPr>
            </w:pPr>
          </w:p>
          <w:p w14:paraId="4F8C79FA" w14:textId="210F9E6A" w:rsidR="00FE5D64" w:rsidRDefault="00E40776">
            <w:pPr>
              <w:pStyle w:val="P68B1DB1-TableParagraph17"/>
              <w:spacing w:before="108"/>
            </w:pPr>
            <w:r>
              <w:t>Общият размер на капиталовите изисквания за даден инвестиционен посредник се състои от сбора от неговите капиталови изисквания, приложими към референтната дата, допълнителното капиталово изискване, докладвано в ред 0120, и препоръката за допълнителен собствен капитал, докладвана в ред 0130.</w:t>
            </w:r>
          </w:p>
          <w:p w14:paraId="7FE1B721" w14:textId="77777777" w:rsidR="00FE5D64" w:rsidRDefault="00FE5D64">
            <w:pPr>
              <w:pStyle w:val="TableParagraph"/>
              <w:spacing w:before="108"/>
              <w:rPr>
                <w:rFonts w:ascii="Times New Roman" w:hAnsi="Times New Roman" w:cs="Times New Roman"/>
                <w:color w:val="000000" w:themeColor="text1"/>
                <w:sz w:val="20"/>
                <w:szCs w:val="20"/>
              </w:rPr>
            </w:pPr>
          </w:p>
        </w:tc>
      </w:tr>
      <w:tr w:rsidR="00FE5D6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FE5D64" w:rsidRDefault="00E40776">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FE5D64" w:rsidRDefault="00E40776">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Капиталово изискване </w:t>
            </w:r>
            <w:r>
              <w:rPr>
                <w:rStyle w:val="InstructionsTabelleberschrift"/>
                <w:rFonts w:ascii="Times New Roman" w:hAnsi="Times New Roman"/>
                <w:color w:val="000000" w:themeColor="text1"/>
                <w:szCs w:val="20"/>
              </w:rPr>
              <w:t>(IFREP I 02.01 r0010)</w:t>
            </w:r>
          </w:p>
          <w:p w14:paraId="74086713" w14:textId="7F827C2E" w:rsidR="00FE5D64" w:rsidRDefault="00E40776">
            <w:pPr>
              <w:pStyle w:val="P68B1DB1-TableParagraph17"/>
              <w:spacing w:before="108"/>
            </w:pPr>
            <w:r>
              <w:t>Член 11, параграф 1 от Регламент (ЕС) 2019/2033.</w:t>
            </w:r>
          </w:p>
          <w:p w14:paraId="016729EC" w14:textId="77777777" w:rsidR="00FE5D64" w:rsidRDefault="00E40776">
            <w:pPr>
              <w:pStyle w:val="P68B1DB1-TableParagraph17"/>
              <w:spacing w:before="108"/>
            </w:pPr>
            <w:r>
              <w:t>Стойността се докладва, без да се прилага член 57, параграфи 3, 4 или 6 от Регламент (ЕС) 2019/2033.</w:t>
            </w:r>
          </w:p>
          <w:p w14:paraId="7FE1B727" w14:textId="77777777" w:rsidR="00FE5D64" w:rsidRDefault="00FE5D64">
            <w:pPr>
              <w:pStyle w:val="TableParagraph"/>
              <w:spacing w:before="108"/>
              <w:jc w:val="both"/>
              <w:rPr>
                <w:rFonts w:ascii="Times New Roman" w:eastAsia="Cambria" w:hAnsi="Times New Roman" w:cs="Times New Roman"/>
                <w:color w:val="000000" w:themeColor="text1"/>
                <w:sz w:val="20"/>
                <w:szCs w:val="20"/>
              </w:rPr>
            </w:pPr>
          </w:p>
        </w:tc>
      </w:tr>
      <w:tr w:rsidR="00FE5D6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FE5D64" w:rsidRDefault="00E40776">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FE5D64" w:rsidRDefault="00E40776">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Допълнително капиталово изискване </w:t>
            </w:r>
            <w:r>
              <w:rPr>
                <w:rStyle w:val="InstructionsTabelleberschrift"/>
                <w:rFonts w:ascii="Times New Roman" w:hAnsi="Times New Roman"/>
                <w:color w:val="000000" w:themeColor="text1"/>
                <w:szCs w:val="20"/>
              </w:rPr>
              <w:t>(IFREP I 02.01 r0110)</w:t>
            </w:r>
          </w:p>
          <w:p w14:paraId="05BFD23E" w14:textId="06165C78" w:rsidR="00FE5D64" w:rsidRDefault="00E40776">
            <w:pPr>
              <w:pStyle w:val="P68B1DB1-TableParagraph17"/>
              <w:spacing w:before="108"/>
              <w:jc w:val="both"/>
            </w:pPr>
            <w:r>
              <w:t>Член 40 от Директива (ЕС) 2019/2034.</w:t>
            </w:r>
          </w:p>
          <w:p w14:paraId="2AF15530" w14:textId="77777777" w:rsidR="00FE5D64" w:rsidRDefault="00E40776">
            <w:pPr>
              <w:pStyle w:val="P68B1DB1-TableParagraph13"/>
              <w:spacing w:before="108"/>
              <w:jc w:val="both"/>
            </w:pPr>
            <w:r>
              <w:t xml:space="preserve">Допълнително капиталово изискване съгласно ПНПО </w:t>
            </w:r>
          </w:p>
          <w:p w14:paraId="7FE1B72E" w14:textId="77777777" w:rsidR="00FE5D64" w:rsidRDefault="00FE5D64">
            <w:pPr>
              <w:pStyle w:val="TableParagraph"/>
              <w:spacing w:before="108"/>
              <w:rPr>
                <w:rFonts w:ascii="Times New Roman" w:eastAsia="Cambria" w:hAnsi="Times New Roman" w:cs="Times New Roman"/>
                <w:color w:val="000000" w:themeColor="text1"/>
                <w:sz w:val="20"/>
                <w:szCs w:val="20"/>
              </w:rPr>
            </w:pPr>
          </w:p>
        </w:tc>
      </w:tr>
      <w:tr w:rsidR="00FE5D6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FE5D64" w:rsidRDefault="00E40776">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5790C8AF" w:rsidR="00FE5D64" w:rsidRDefault="0004308A">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lang w:val="bg-BG"/>
              </w:rPr>
              <w:t>Препоръка</w:t>
            </w:r>
            <w:r w:rsidR="009F1C03">
              <w:rPr>
                <w:rFonts w:ascii="Times New Roman" w:hAnsi="Times New Roman" w:cs="Times New Roman"/>
                <w:b/>
                <w:color w:val="000000" w:themeColor="text1"/>
                <w:sz w:val="20"/>
                <w:szCs w:val="20"/>
                <w:lang w:val="bg-BG"/>
              </w:rPr>
              <w:t xml:space="preserve"> за допълнителен</w:t>
            </w:r>
            <w:r w:rsidR="00E40776">
              <w:rPr>
                <w:rFonts w:ascii="Times New Roman" w:hAnsi="Times New Roman" w:cs="Times New Roman"/>
                <w:b/>
                <w:color w:val="000000" w:themeColor="text1"/>
                <w:sz w:val="20"/>
                <w:szCs w:val="20"/>
              </w:rPr>
              <w:t xml:space="preserve"> собствен </w:t>
            </w:r>
            <w:r w:rsidR="009F1C03">
              <w:rPr>
                <w:rFonts w:ascii="Times New Roman" w:hAnsi="Times New Roman" w:cs="Times New Roman"/>
                <w:b/>
                <w:color w:val="000000" w:themeColor="text1"/>
                <w:sz w:val="20"/>
                <w:szCs w:val="20"/>
                <w:lang w:val="bg-BG"/>
              </w:rPr>
              <w:t>капитал</w:t>
            </w:r>
            <w:r w:rsidR="00E40776">
              <w:rPr>
                <w:rFonts w:ascii="Times New Roman" w:hAnsi="Times New Roman" w:cs="Times New Roman"/>
                <w:b/>
                <w:color w:val="000000" w:themeColor="text1"/>
                <w:sz w:val="20"/>
                <w:szCs w:val="20"/>
              </w:rPr>
              <w:t xml:space="preserve"> </w:t>
            </w:r>
            <w:r w:rsidR="00E40776">
              <w:rPr>
                <w:rStyle w:val="InstructionsTabelleberschrift"/>
                <w:rFonts w:ascii="Times New Roman" w:hAnsi="Times New Roman"/>
                <w:color w:val="000000" w:themeColor="text1"/>
                <w:szCs w:val="20"/>
              </w:rPr>
              <w:t>(IFREP I 02.01 r0120)</w:t>
            </w:r>
          </w:p>
          <w:p w14:paraId="4094919F" w14:textId="67C4E4FA" w:rsidR="00FE5D64" w:rsidRDefault="00E40776">
            <w:pPr>
              <w:pStyle w:val="P68B1DB1-TableParagraph17"/>
              <w:spacing w:before="108"/>
            </w:pPr>
            <w:r>
              <w:t>Член 41 от Директива (ЕС) 2019/2034.</w:t>
            </w:r>
          </w:p>
          <w:p w14:paraId="1EA34579" w14:textId="77777777" w:rsidR="00FE5D64" w:rsidRDefault="00E40776">
            <w:pPr>
              <w:pStyle w:val="P68B1DB1-TableParagraph17"/>
              <w:spacing w:before="108"/>
            </w:pPr>
            <w:r>
              <w:t>Допълнителен собствен капитал, изискван като препоръка.</w:t>
            </w:r>
          </w:p>
          <w:p w14:paraId="7FE1B736" w14:textId="77777777" w:rsidR="00FE5D64" w:rsidRDefault="00FE5D64">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FE5D64" w:rsidRDefault="00FE5D64">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FE5D64" w:rsidRDefault="00FE5D64">
      <w:pPr>
        <w:pStyle w:val="Instructionsberschrift3"/>
        <w:numPr>
          <w:ilvl w:val="0"/>
          <w:numId w:val="0"/>
        </w:numPr>
        <w:ind w:left="720" w:hanging="432"/>
      </w:pPr>
    </w:p>
    <w:p w14:paraId="7FE1B742" w14:textId="77777777" w:rsidR="00FE5D64" w:rsidRDefault="00FE5D64">
      <w:pPr>
        <w:pStyle w:val="Instructionsberschrift3"/>
        <w:numPr>
          <w:ilvl w:val="0"/>
          <w:numId w:val="0"/>
        </w:numPr>
        <w:ind w:left="720" w:hanging="432"/>
      </w:pPr>
    </w:p>
    <w:p w14:paraId="7FE1B743" w14:textId="77777777" w:rsidR="00FE5D64" w:rsidRDefault="00FE5D64">
      <w:pPr>
        <w:pStyle w:val="Instructionsberschrift3"/>
        <w:numPr>
          <w:ilvl w:val="0"/>
          <w:numId w:val="0"/>
        </w:numPr>
        <w:ind w:left="720" w:hanging="432"/>
      </w:pPr>
    </w:p>
    <w:p w14:paraId="7FE1B744" w14:textId="49BA0C03" w:rsidR="00FE5D64" w:rsidRDefault="00FE5D64">
      <w:pPr>
        <w:rPr>
          <w:rFonts w:ascii="Times New Roman" w:hAnsi="Times New Roman" w:cs="Times New Roman"/>
          <w:color w:val="000000" w:themeColor="text1"/>
          <w:sz w:val="20"/>
          <w:szCs w:val="20"/>
        </w:rPr>
      </w:pPr>
    </w:p>
    <w:p w14:paraId="7FE1B745" w14:textId="686FD556" w:rsidR="00FE5D64" w:rsidRDefault="00E40776">
      <w:pPr>
        <w:pStyle w:val="P68B1DB1-Instructionsberschrift25"/>
        <w:numPr>
          <w:ilvl w:val="1"/>
          <w:numId w:val="49"/>
        </w:numPr>
        <w:ind w:left="357" w:hanging="357"/>
      </w:pPr>
      <w:bookmarkStart w:id="67" w:name="_Toc492542324"/>
      <w:bookmarkStart w:id="68" w:name="_Toc81454182"/>
      <w:bookmarkStart w:id="69" w:name="_Toc208244456"/>
      <w:r>
        <w:t xml:space="preserve">Z 04.00 — </w:t>
      </w:r>
      <w:r w:rsidR="001A79CE">
        <w:rPr>
          <w:lang w:val="bg-BG"/>
        </w:rPr>
        <w:t>Вътрешно</w:t>
      </w:r>
      <w:r w:rsidR="00645F48">
        <w:rPr>
          <w:lang w:val="bg-BG"/>
        </w:rPr>
        <w:t>групови ф</w:t>
      </w:r>
      <w:r>
        <w:t>инансови взаимовръзки (IFC)</w:t>
      </w:r>
      <w:bookmarkEnd w:id="67"/>
      <w:bookmarkEnd w:id="68"/>
      <w:bookmarkEnd w:id="69"/>
    </w:p>
    <w:p w14:paraId="7FE1B746" w14:textId="77777777" w:rsidR="00FE5D64" w:rsidRDefault="00E40776">
      <w:pPr>
        <w:pStyle w:val="Instructionsberschrift3"/>
      </w:pPr>
      <w:r>
        <w:t>Общи бележки</w:t>
      </w:r>
    </w:p>
    <w:p w14:paraId="7FE1B747" w14:textId="3BB98E0B" w:rsidR="00FE5D64" w:rsidRDefault="00E40776">
      <w:pPr>
        <w:pStyle w:val="P68B1DB1-InstructionsText26"/>
        <w:numPr>
          <w:ilvl w:val="0"/>
          <w:numId w:val="232"/>
        </w:numPr>
        <w:spacing w:before="0"/>
      </w:pPr>
      <w:r>
        <w:t xml:space="preserve">В този образец се изисква информация за вътрешногруповите задължения, капиталовите инструменти и гаранциите. </w:t>
      </w:r>
    </w:p>
    <w:p w14:paraId="7FE1B748" w14:textId="0E991059" w:rsidR="00FE5D64" w:rsidRDefault="00AD2F09">
      <w:pPr>
        <w:pStyle w:val="P68B1DB1-InstructionsText26"/>
        <w:numPr>
          <w:ilvl w:val="0"/>
          <w:numId w:val="232"/>
        </w:numPr>
        <w:spacing w:before="0"/>
      </w:pPr>
      <w:r>
        <w:rPr>
          <w:lang w:val="bg-BG"/>
        </w:rPr>
        <w:t>Отчитат</w:t>
      </w:r>
      <w:r>
        <w:t xml:space="preserve"> </w:t>
      </w:r>
      <w:r w:rsidR="00E40776">
        <w:t xml:space="preserve">се всички финансови взаимовръзки между съответните правни субекти, включени в консолидираните финансови отчети. </w:t>
      </w:r>
      <w:r>
        <w:rPr>
          <w:lang w:val="bg-BG"/>
        </w:rPr>
        <w:t>Отчетените суми</w:t>
      </w:r>
      <w:r w:rsidR="00E40776">
        <w:t xml:space="preserve"> се събират, когато се отнасят за едни и същи контрагенти (както емитент и гарантиран субект, така и кредитор, титуляр и предоставящ гаранцията) и един и същи вид задължения, капиталови инструменти или гаранции.</w:t>
      </w:r>
    </w:p>
    <w:p w14:paraId="7FE1B749" w14:textId="2114E44D" w:rsidR="00FE5D64" w:rsidRDefault="00E40776">
      <w:pPr>
        <w:pStyle w:val="P68B1DB1-InstructionsText26"/>
        <w:numPr>
          <w:ilvl w:val="0"/>
          <w:numId w:val="232"/>
        </w:numPr>
        <w:spacing w:before="0"/>
      </w:pPr>
      <w:r>
        <w:t xml:space="preserve">Комбинацията на стойностите, докладвани в колони 0020, 0040 и 0050 на настоящия образец, формира първичен код, който трябва да е </w:t>
      </w:r>
      <w:r w:rsidR="00AD2F09">
        <w:rPr>
          <w:lang w:val="bg-BG"/>
        </w:rPr>
        <w:t>уникален</w:t>
      </w:r>
      <w:r w:rsidR="00AD2F09">
        <w:t xml:space="preserve"> </w:t>
      </w:r>
      <w:r>
        <w:t>за всеки ред от образеца.</w:t>
      </w:r>
    </w:p>
    <w:p w14:paraId="7FE1B74A" w14:textId="77777777" w:rsidR="00FE5D64" w:rsidRDefault="00E40776">
      <w:pPr>
        <w:pStyle w:val="P68B1DB1-Instructionsberschrift312"/>
      </w:pPr>
      <w:r>
        <w:t>Указания относно определени позиции</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E5D64"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FE5D64" w:rsidRDefault="00E40776">
            <w:pPr>
              <w:pStyle w:val="P68B1DB1-TableParagraph13"/>
              <w:spacing w:before="66"/>
              <w:rPr>
                <w:rFonts w:eastAsia="Cambria"/>
              </w:rPr>
            </w:pPr>
            <w:r>
              <w:t>Колони</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FE5D64" w:rsidRDefault="00E40776">
            <w:pPr>
              <w:pStyle w:val="P68B1DB1-TableParagraph13"/>
              <w:spacing w:before="66"/>
              <w:ind w:right="1"/>
              <w:jc w:val="center"/>
              <w:rPr>
                <w:rFonts w:eastAsia="Cambria"/>
              </w:rPr>
            </w:pPr>
            <w:r>
              <w:t>Указания</w:t>
            </w:r>
          </w:p>
        </w:tc>
      </w:tr>
      <w:tr w:rsidR="00FE5D6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FE5D64" w:rsidRDefault="00E40776">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FE5D64" w:rsidRDefault="00E40776">
            <w:pPr>
              <w:pStyle w:val="P68B1DB1-TableParagraph14"/>
              <w:spacing w:before="108"/>
              <w:ind w:left="85"/>
              <w:jc w:val="both"/>
              <w:rPr>
                <w:bCs/>
              </w:rPr>
            </w:pPr>
            <w:r>
              <w:t>Емитент или гарантиран субект</w:t>
            </w:r>
          </w:p>
          <w:p w14:paraId="7FE1B750" w14:textId="77777777" w:rsidR="00FE5D64" w:rsidRDefault="00E40776">
            <w:pPr>
              <w:pStyle w:val="P68B1DB1-TableParagraph17"/>
              <w:spacing w:before="108"/>
              <w:ind w:left="85"/>
              <w:jc w:val="both"/>
            </w:pPr>
            <w:r>
              <w:t>Правен субект, който емитира задълженията или капиталовия инструмент или е гарантираният субект.</w:t>
            </w:r>
          </w:p>
        </w:tc>
      </w:tr>
      <w:tr w:rsidR="00FE5D6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FE5D64" w:rsidRDefault="00E40776">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FE5D64" w:rsidRDefault="00E40776">
            <w:pPr>
              <w:pStyle w:val="P68B1DB1-TableParagraph14"/>
              <w:spacing w:before="108"/>
              <w:ind w:left="85"/>
              <w:jc w:val="both"/>
              <w:rPr>
                <w:bCs/>
              </w:rPr>
            </w:pPr>
            <w:r>
              <w:t xml:space="preserve">Наименование на субекта </w:t>
            </w:r>
          </w:p>
          <w:p w14:paraId="7FE1B754" w14:textId="77777777" w:rsidR="00FE5D64" w:rsidRDefault="00E40776">
            <w:pPr>
              <w:pStyle w:val="P68B1DB1-TableParagraph17"/>
              <w:spacing w:before="108"/>
              <w:ind w:left="85"/>
              <w:jc w:val="both"/>
            </w:pPr>
            <w:r>
              <w:t xml:space="preserve">Трябва да се различава от наименованието на субекта, посочено в колона 0030. </w:t>
            </w:r>
          </w:p>
        </w:tc>
      </w:tr>
      <w:tr w:rsidR="00FE5D6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FE5D64" w:rsidRDefault="00E40776">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398719C4" w:rsidR="00FE5D64" w:rsidRPr="00D4127E" w:rsidRDefault="00193473">
            <w:pPr>
              <w:pStyle w:val="P68B1DB1-TableParagraph14"/>
              <w:spacing w:before="108"/>
              <w:ind w:left="85"/>
              <w:jc w:val="both"/>
              <w:rPr>
                <w:lang w:val="bg-BG"/>
              </w:rPr>
            </w:pPr>
            <w:r>
              <w:rPr>
                <w:lang w:val="bg-BG"/>
              </w:rPr>
              <w:t>Код</w:t>
            </w:r>
          </w:p>
          <w:p w14:paraId="22E99FB3" w14:textId="77777777" w:rsidR="00FE5D64" w:rsidRDefault="00E40776">
            <w:pPr>
              <w:pStyle w:val="P68B1DB1-TableParagraph17"/>
              <w:spacing w:before="108"/>
              <w:ind w:left="85"/>
              <w:jc w:val="both"/>
            </w:pPr>
            <w:r>
              <w:t xml:space="preserve">Кодът на емитента или получателя на гаранцията. </w:t>
            </w:r>
          </w:p>
          <w:p w14:paraId="4BE5BA2E" w14:textId="4D181108" w:rsidR="00FE5D64" w:rsidRDefault="00E40776">
            <w:pPr>
              <w:pStyle w:val="P68B1DB1-TableParagraph17"/>
              <w:spacing w:before="108"/>
              <w:ind w:left="85"/>
              <w:jc w:val="both"/>
            </w:pPr>
            <w:r>
              <w:t xml:space="preserve">За институции с идентификационен код на правния субект (ИКПС) </w:t>
            </w:r>
            <w:r w:rsidR="00F17CFF">
              <w:rPr>
                <w:lang w:val="bg-BG"/>
              </w:rPr>
              <w:t>кодът е</w:t>
            </w:r>
            <w:r>
              <w:t xml:space="preserve"> 20-</w:t>
            </w:r>
            <w:r w:rsidR="00F17CFF">
              <w:rPr>
                <w:lang w:val="bg-BG"/>
              </w:rPr>
              <w:t>знаковият</w:t>
            </w:r>
            <w:r w:rsidR="00F17CFF" w:rsidRPr="00D4127E">
              <w:rPr>
                <w:lang w:val="bg-BG"/>
              </w:rPr>
              <w:t xml:space="preserve"> </w:t>
            </w:r>
            <w:r>
              <w:t>буквено-цифров ИКПС;</w:t>
            </w:r>
          </w:p>
          <w:p w14:paraId="7FE1B758" w14:textId="44B05738" w:rsidR="00FE5D64" w:rsidRDefault="00E40776">
            <w:pPr>
              <w:pStyle w:val="P68B1DB1-TableParagraph17"/>
              <w:spacing w:before="108"/>
              <w:ind w:left="85"/>
              <w:jc w:val="both"/>
            </w:pPr>
            <w:r>
              <w:t>Ако няма такъв, се използва кодът на ПФИ или код по единна</w:t>
            </w:r>
            <w:r w:rsidR="00272931">
              <w:t xml:space="preserve"> </w:t>
            </w:r>
            <w:r>
              <w:t>кодификация, приложима в Съюза.</w:t>
            </w:r>
          </w:p>
          <w:p w14:paraId="7FE1B759" w14:textId="2F52315B" w:rsidR="00FE5D64" w:rsidRDefault="00E40776">
            <w:pPr>
              <w:pStyle w:val="P68B1DB1-TableParagraph17"/>
              <w:spacing w:before="108"/>
              <w:ind w:left="85"/>
              <w:jc w:val="both"/>
            </w:pPr>
            <w:r>
              <w:t>Кодът е</w:t>
            </w:r>
            <w:r w:rsidR="00F17CFF" w:rsidRPr="00D4127E">
              <w:rPr>
                <w:lang w:val="bg-BG"/>
              </w:rPr>
              <w:t xml:space="preserve"> </w:t>
            </w:r>
            <w:r w:rsidR="00F17CFF">
              <w:rPr>
                <w:lang w:val="bg-BG"/>
              </w:rPr>
              <w:t>уникален</w:t>
            </w:r>
            <w:r w:rsidR="00F17CFF" w:rsidRPr="00D4127E">
              <w:rPr>
                <w:lang w:val="bg-BG"/>
              </w:rPr>
              <w:t xml:space="preserve"> </w:t>
            </w:r>
            <w:r>
              <w:t>и се използва последователно във всички образци.</w:t>
            </w:r>
          </w:p>
          <w:p w14:paraId="7FE1B75A" w14:textId="77777777" w:rsidR="00FE5D64" w:rsidRDefault="00E40776">
            <w:pPr>
              <w:pStyle w:val="P68B1DB1-TableParagraph17"/>
              <w:spacing w:before="108"/>
              <w:ind w:left="85"/>
              <w:jc w:val="both"/>
            </w:pPr>
            <w:r>
              <w:t>Кодът трябва да се различава от кода, посочен в колона 0040.</w:t>
            </w:r>
          </w:p>
          <w:p w14:paraId="7FE1B75B" w14:textId="77777777" w:rsidR="00FE5D64" w:rsidRDefault="00FE5D64">
            <w:pPr>
              <w:pStyle w:val="TableParagraph"/>
              <w:spacing w:before="108"/>
              <w:ind w:left="85"/>
              <w:jc w:val="both"/>
              <w:rPr>
                <w:rFonts w:ascii="Times New Roman" w:eastAsia="Cambria" w:hAnsi="Times New Roman" w:cs="Times New Roman"/>
                <w:color w:val="000000" w:themeColor="text1"/>
                <w:sz w:val="20"/>
                <w:szCs w:val="20"/>
              </w:rPr>
            </w:pPr>
          </w:p>
        </w:tc>
      </w:tr>
      <w:tr w:rsidR="00FE5D6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FE5D64" w:rsidRDefault="00E40776">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FE5D64" w:rsidRDefault="00E40776">
            <w:pPr>
              <w:pStyle w:val="P68B1DB1-TableParagraph14"/>
              <w:spacing w:before="108"/>
              <w:ind w:left="85"/>
              <w:jc w:val="both"/>
              <w:rPr>
                <w:bCs/>
              </w:rPr>
            </w:pPr>
            <w:r>
              <w:t>Вид код</w:t>
            </w:r>
          </w:p>
          <w:p w14:paraId="7FE1B75F" w14:textId="2A2E5952" w:rsidR="00FE5D64" w:rsidRDefault="00E40776">
            <w:pPr>
              <w:pStyle w:val="P68B1DB1-TableParagraph13"/>
              <w:spacing w:before="108"/>
              <w:ind w:left="85"/>
              <w:jc w:val="both"/>
              <w:rPr>
                <w:bCs/>
              </w:rPr>
            </w:pPr>
            <w:r>
              <w:t xml:space="preserve">Кодът е същият като посочения в образец Z 01.01 (ORG 1). </w:t>
            </w:r>
          </w:p>
          <w:p w14:paraId="7FE1B761" w14:textId="43B89316" w:rsidR="00FE5D64" w:rsidRDefault="00E40776">
            <w:pPr>
              <w:pStyle w:val="P68B1DB1-TableParagraph13"/>
              <w:spacing w:before="108"/>
              <w:ind w:left="85"/>
              <w:jc w:val="both"/>
              <w:rPr>
                <w:bCs/>
              </w:rPr>
            </w:pPr>
            <w:r>
              <w:t>Избира се измежду следните варианти: „ИКПС</w:t>
            </w:r>
            <w:r w:rsidR="00F17CFF">
              <w:rPr>
                <w:lang w:val="bg-BG"/>
              </w:rPr>
              <w:t>“,</w:t>
            </w:r>
            <w:r w:rsidR="00F17CFF" w:rsidRPr="00D4127E">
              <w:rPr>
                <w:lang w:val="bg-BG"/>
              </w:rPr>
              <w:t xml:space="preserve"> </w:t>
            </w:r>
            <w:r>
              <w:t>„Код на ПФИ“ или „Вид идентификатор, различен от ИКПС или код на ПФИ</w:t>
            </w:r>
            <w:r w:rsidR="00F17CFF">
              <w:rPr>
                <w:lang w:val="bg-BG"/>
              </w:rPr>
              <w:t>“</w:t>
            </w:r>
            <w:r>
              <w:t>.</w:t>
            </w:r>
          </w:p>
          <w:p w14:paraId="7FE1B762" w14:textId="0F3ED334" w:rsidR="00FE5D64" w:rsidRDefault="00E40776" w:rsidP="00F17CFF">
            <w:pPr>
              <w:pStyle w:val="P68B1DB1-TableParagraph13"/>
              <w:spacing w:before="108"/>
              <w:ind w:left="85"/>
              <w:jc w:val="both"/>
              <w:rPr>
                <w:b/>
                <w:bCs/>
              </w:rPr>
            </w:pPr>
            <w:r>
              <w:t xml:space="preserve">За идентифициране на субектите или </w:t>
            </w:r>
            <w:r w:rsidR="00F17CFF">
              <w:rPr>
                <w:lang w:val="bg-BG"/>
              </w:rPr>
              <w:t>обектите на инвестиция</w:t>
            </w:r>
            <w:r>
              <w:t xml:space="preserve">, двойката </w:t>
            </w:r>
            <w:r w:rsidR="00F17CFF">
              <w:rPr>
                <w:lang w:val="bg-BG"/>
              </w:rPr>
              <w:t>„Код“</w:t>
            </w:r>
            <w:r w:rsidR="00F17CFF">
              <w:t xml:space="preserve"> </w:t>
            </w:r>
            <w:r>
              <w:t xml:space="preserve">и </w:t>
            </w:r>
            <w:r w:rsidR="00F17CFF">
              <w:rPr>
                <w:lang w:val="bg-BG"/>
              </w:rPr>
              <w:t>„Вид“</w:t>
            </w:r>
            <w:r w:rsidR="00F17CFF">
              <w:t xml:space="preserve"> </w:t>
            </w:r>
            <w:r w:rsidR="00F17CFF">
              <w:rPr>
                <w:lang w:val="bg-BG"/>
              </w:rPr>
              <w:t>следва да</w:t>
            </w:r>
            <w:r w:rsidR="00F17CFF" w:rsidRPr="00D4127E">
              <w:rPr>
                <w:lang w:val="bg-BG"/>
              </w:rPr>
              <w:t xml:space="preserve"> </w:t>
            </w:r>
            <w:r>
              <w:t>се използва последователно в образците.</w:t>
            </w:r>
          </w:p>
        </w:tc>
      </w:tr>
      <w:tr w:rsidR="00FE5D6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FE5D64" w:rsidRDefault="00E40776">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FE5D64" w:rsidRDefault="00E40776">
            <w:pPr>
              <w:pStyle w:val="P68B1DB1-TableParagraph14"/>
              <w:spacing w:before="108"/>
              <w:ind w:left="85"/>
              <w:jc w:val="both"/>
              <w:rPr>
                <w:bCs/>
              </w:rPr>
            </w:pPr>
            <w:r>
              <w:t>Кредитор, титуляр или предоставящ гаранцията</w:t>
            </w:r>
          </w:p>
          <w:p w14:paraId="7FE1B766" w14:textId="77777777" w:rsidR="00FE5D64" w:rsidRDefault="00E40776">
            <w:pPr>
              <w:pStyle w:val="P68B1DB1-TableParagraph17"/>
              <w:spacing w:before="108"/>
              <w:ind w:left="85"/>
              <w:jc w:val="both"/>
            </w:pPr>
            <w:r>
              <w:t>Правен субект, който е кредиторът на задължението, притежава капиталовия инструмент или предоставя гаранцията.</w:t>
            </w:r>
          </w:p>
        </w:tc>
      </w:tr>
      <w:tr w:rsidR="00FE5D6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FE5D64" w:rsidRDefault="00E40776">
            <w:pPr>
              <w:pStyle w:val="P68B1DB1-TableParagraph13"/>
              <w:spacing w:before="106"/>
              <w:ind w:left="-1"/>
            </w:pPr>
            <w:r>
              <w:lastRenderedPageBreak/>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FE5D64" w:rsidRDefault="00E40776">
            <w:pPr>
              <w:pStyle w:val="P68B1DB1-TableParagraph14"/>
              <w:spacing w:before="108"/>
              <w:ind w:left="85"/>
              <w:jc w:val="both"/>
              <w:rPr>
                <w:bCs/>
              </w:rPr>
            </w:pPr>
            <w:r>
              <w:t xml:space="preserve">Наименование на субекта </w:t>
            </w:r>
          </w:p>
          <w:p w14:paraId="7FE1B76A" w14:textId="77777777" w:rsidR="00FE5D64" w:rsidRDefault="00E40776">
            <w:pPr>
              <w:pStyle w:val="P68B1DB1-TableParagraph17"/>
              <w:spacing w:before="108"/>
              <w:ind w:left="85"/>
              <w:jc w:val="both"/>
            </w:pPr>
            <w:r>
              <w:t xml:space="preserve">Трябва да се различава от наименованието на субекта, посочено в колона 0010. </w:t>
            </w:r>
          </w:p>
        </w:tc>
      </w:tr>
      <w:tr w:rsidR="00FE5D6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FE5D64" w:rsidRDefault="00E40776">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37CE2174" w:rsidR="00FE5D64" w:rsidRPr="008F7FC7" w:rsidRDefault="00C51307">
            <w:pPr>
              <w:pStyle w:val="P68B1DB1-TableParagraph14"/>
              <w:spacing w:before="108"/>
              <w:ind w:left="85"/>
              <w:jc w:val="both"/>
              <w:rPr>
                <w:lang w:val="bg-BG"/>
              </w:rPr>
            </w:pPr>
            <w:r>
              <w:rPr>
                <w:lang w:val="bg-BG"/>
              </w:rPr>
              <w:t>Код</w:t>
            </w:r>
          </w:p>
          <w:p w14:paraId="07AEB6DE" w14:textId="77777777" w:rsidR="00FE5D64" w:rsidRDefault="00E40776">
            <w:pPr>
              <w:pStyle w:val="P68B1DB1-TableParagraph17"/>
              <w:spacing w:before="108"/>
              <w:ind w:left="85"/>
              <w:jc w:val="both"/>
            </w:pPr>
            <w:r>
              <w:t xml:space="preserve">Кодът на кредитора, титуляря или предоставящия гаранцията. </w:t>
            </w:r>
          </w:p>
          <w:p w14:paraId="706B20DB" w14:textId="41C8EAED" w:rsidR="00FE5D64" w:rsidRDefault="00E40776">
            <w:pPr>
              <w:pStyle w:val="P68B1DB1-TableParagraph17"/>
              <w:spacing w:before="108"/>
              <w:ind w:left="85"/>
              <w:jc w:val="both"/>
            </w:pPr>
            <w:r>
              <w:t>За институции с идентификационен код на правния субект (ИКПС)</w:t>
            </w:r>
            <w:r w:rsidR="00C51307">
              <w:rPr>
                <w:lang w:val="bg-BG"/>
              </w:rPr>
              <w:t xml:space="preserve">кодът е </w:t>
            </w:r>
            <w:r>
              <w:t>20-</w:t>
            </w:r>
            <w:r w:rsidR="00C51307">
              <w:rPr>
                <w:lang w:val="bg-BG"/>
              </w:rPr>
              <w:t>знаковият</w:t>
            </w:r>
            <w:r w:rsidR="00C51307">
              <w:t xml:space="preserve"> </w:t>
            </w:r>
            <w:r>
              <w:t>буквено-цифров ИКПС;</w:t>
            </w:r>
          </w:p>
          <w:p w14:paraId="69DCA339" w14:textId="01500502" w:rsidR="00FE5D64" w:rsidRDefault="00E40776">
            <w:pPr>
              <w:pStyle w:val="P68B1DB1-TableParagraph17"/>
              <w:spacing w:before="108"/>
              <w:ind w:left="85"/>
              <w:jc w:val="both"/>
            </w:pPr>
            <w:r>
              <w:t>Ако няма такъв, се използва кодът на ПФИ или код по единна</w:t>
            </w:r>
            <w:r w:rsidR="00C51307">
              <w:t xml:space="preserve"> </w:t>
            </w:r>
            <w:r>
              <w:t>кодификация, приложима в Съюза.</w:t>
            </w:r>
          </w:p>
          <w:p w14:paraId="7FE1B76F" w14:textId="53E96122" w:rsidR="00FE5D64" w:rsidRDefault="00E40776">
            <w:pPr>
              <w:pStyle w:val="P68B1DB1-TableParagraph17"/>
              <w:spacing w:before="108"/>
              <w:ind w:left="85"/>
              <w:jc w:val="both"/>
            </w:pPr>
            <w:r>
              <w:t xml:space="preserve">Кодът е </w:t>
            </w:r>
            <w:r w:rsidR="00C51307">
              <w:rPr>
                <w:lang w:val="bg-BG"/>
              </w:rPr>
              <w:t>уникален</w:t>
            </w:r>
            <w:r w:rsidR="00C51307">
              <w:t xml:space="preserve"> </w:t>
            </w:r>
            <w:r>
              <w:t>и се използва последователно във всички образци.</w:t>
            </w:r>
          </w:p>
          <w:p w14:paraId="1E86BFA0" w14:textId="77777777" w:rsidR="00FE5D64" w:rsidRDefault="00E40776">
            <w:pPr>
              <w:pStyle w:val="P68B1DB1-TableParagraph17"/>
              <w:spacing w:before="108"/>
              <w:ind w:left="85"/>
              <w:jc w:val="both"/>
            </w:pPr>
            <w:r>
              <w:t>Трябва да се различава от кода, посочен в колона 0020.</w:t>
            </w:r>
          </w:p>
          <w:p w14:paraId="7FE1B770" w14:textId="1A6234B3" w:rsidR="00FE5D64" w:rsidRDefault="00E40776" w:rsidP="00C51307">
            <w:pPr>
              <w:pStyle w:val="P68B1DB1-TableParagraph13"/>
              <w:spacing w:before="108"/>
              <w:ind w:left="85"/>
              <w:jc w:val="both"/>
              <w:rPr>
                <w:rFonts w:eastAsia="Cambria"/>
              </w:rPr>
            </w:pPr>
            <w:r>
              <w:t xml:space="preserve">Когато кредиторът, </w:t>
            </w:r>
            <w:r w:rsidR="00C51307">
              <w:rPr>
                <w:lang w:val="bg-BG"/>
              </w:rPr>
              <w:t>титулярят</w:t>
            </w:r>
            <w:r w:rsidR="00C51307" w:rsidRPr="008F7FC7">
              <w:rPr>
                <w:lang w:val="bg-BG"/>
              </w:rPr>
              <w:t xml:space="preserve"> или </w:t>
            </w:r>
            <w:r w:rsidR="008F7FC7">
              <w:rPr>
                <w:lang w:val="bg-BG"/>
              </w:rPr>
              <w:t>предоставящият гаранцията</w:t>
            </w:r>
            <w:r>
              <w:t xml:space="preserve"> е субект от групата, кодът е същият като посоченият в образец Z 01.01 (ORG 1). За идентифициране на субектите или предприятията, </w:t>
            </w:r>
            <w:r w:rsidR="00C51307">
              <w:rPr>
                <w:lang w:val="bg-BG"/>
              </w:rPr>
              <w:t>обект на инвестиция</w:t>
            </w:r>
            <w:r>
              <w:t xml:space="preserve">, двойката </w:t>
            </w:r>
            <w:r w:rsidR="00C51307">
              <w:rPr>
                <w:lang w:val="bg-BG"/>
              </w:rPr>
              <w:t>„Код“</w:t>
            </w:r>
            <w:r w:rsidR="00C51307">
              <w:t xml:space="preserve"> </w:t>
            </w:r>
            <w:r>
              <w:t xml:space="preserve">и </w:t>
            </w:r>
            <w:r w:rsidR="00C51307">
              <w:rPr>
                <w:lang w:val="bg-BG"/>
              </w:rPr>
              <w:t>„Вид“</w:t>
            </w:r>
            <w:r w:rsidR="00C51307">
              <w:t xml:space="preserve"> </w:t>
            </w:r>
            <w:r>
              <w:t>се използва последователно в образците.</w:t>
            </w:r>
          </w:p>
        </w:tc>
      </w:tr>
      <w:tr w:rsidR="00FE5D6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FE5D64" w:rsidRDefault="00E40776">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FE5D64" w:rsidRDefault="00E40776">
            <w:pPr>
              <w:pStyle w:val="P68B1DB1-TableParagraph14"/>
              <w:spacing w:before="108"/>
              <w:ind w:left="85"/>
              <w:jc w:val="both"/>
              <w:rPr>
                <w:bCs/>
              </w:rPr>
            </w:pPr>
            <w:r>
              <w:t>Вид код</w:t>
            </w:r>
          </w:p>
          <w:p w14:paraId="00DFF190" w14:textId="04144C55" w:rsidR="00FE5D64" w:rsidRDefault="00FE5D64">
            <w:pPr>
              <w:pStyle w:val="TableParagraph"/>
              <w:spacing w:before="108"/>
              <w:ind w:left="85"/>
              <w:jc w:val="both"/>
              <w:rPr>
                <w:rFonts w:ascii="Times New Roman" w:hAnsi="Times New Roman" w:cs="Times New Roman"/>
                <w:bCs/>
                <w:color w:val="000000" w:themeColor="text1"/>
                <w:sz w:val="20"/>
                <w:szCs w:val="20"/>
              </w:rPr>
            </w:pPr>
          </w:p>
          <w:p w14:paraId="1CBCA0DC" w14:textId="448C6928" w:rsidR="00FE5D64" w:rsidRDefault="00E40776">
            <w:pPr>
              <w:pStyle w:val="P68B1DB1-TableParagraph13"/>
              <w:spacing w:before="108" w:line="276" w:lineRule="auto"/>
              <w:ind w:left="85"/>
              <w:jc w:val="both"/>
              <w:rPr>
                <w:color w:val="000000"/>
              </w:rPr>
            </w:pPr>
            <w:bookmarkStart w:id="70" w:name="_Hlk191377037"/>
            <w:r>
              <w:t>Избира се измежду следните варианти: „ИКПС</w:t>
            </w:r>
            <w:r w:rsidR="00C51307">
              <w:rPr>
                <w:lang w:val="bg-BG"/>
              </w:rPr>
              <w:t>“,</w:t>
            </w:r>
            <w:r w:rsidR="00C51307" w:rsidRPr="008F7FC7">
              <w:rPr>
                <w:lang w:val="bg-BG"/>
              </w:rPr>
              <w:t xml:space="preserve"> „</w:t>
            </w:r>
            <w:r>
              <w:t>Код на ПФИ„</w:t>
            </w:r>
            <w:r w:rsidR="00C51307">
              <w:rPr>
                <w:lang w:val="bg-BG"/>
              </w:rPr>
              <w:t xml:space="preserve"> </w:t>
            </w:r>
            <w:r>
              <w:t>или „Вид идентификатор, различен от ИКПС или код на ПФИ“.</w:t>
            </w:r>
            <w:bookmarkEnd w:id="70"/>
          </w:p>
          <w:p w14:paraId="072CFC22" w14:textId="7B94F65F" w:rsidR="00FE5D64" w:rsidRDefault="00E40776">
            <w:pPr>
              <w:pStyle w:val="P68B1DB1-TableParagraph13"/>
              <w:spacing w:before="108" w:line="276" w:lineRule="auto"/>
              <w:ind w:left="85"/>
              <w:jc w:val="both"/>
              <w:rPr>
                <w:color w:val="000000"/>
              </w:rPr>
            </w:pPr>
            <w:r>
              <w:t>Видът на кода винаги се посочва.</w:t>
            </w:r>
          </w:p>
          <w:p w14:paraId="63D16443" w14:textId="6BF71763" w:rsidR="00FE5D64" w:rsidRDefault="00E40776">
            <w:pPr>
              <w:pStyle w:val="P68B1DB1-TableParagraph13"/>
              <w:spacing w:before="108" w:line="276" w:lineRule="auto"/>
              <w:ind w:left="85"/>
              <w:jc w:val="both"/>
              <w:rPr>
                <w:color w:val="000000"/>
              </w:rPr>
            </w:pPr>
            <w:r>
              <w:t xml:space="preserve">Когато кредиторът, титулярят или </w:t>
            </w:r>
            <w:r w:rsidR="008F7FC7">
              <w:rPr>
                <w:lang w:val="bg-BG"/>
              </w:rPr>
              <w:t>предоставящият</w:t>
            </w:r>
            <w:r>
              <w:t xml:space="preserve"> гаранцията</w:t>
            </w:r>
            <w:r w:rsidR="00C51307" w:rsidRPr="008F7FC7">
              <w:rPr>
                <w:lang w:val="bg-BG"/>
              </w:rPr>
              <w:t xml:space="preserve"> </w:t>
            </w:r>
            <w:r>
              <w:t>не е субект от групата, видът на кода е за предпочитане ИКПС.</w:t>
            </w:r>
          </w:p>
          <w:p w14:paraId="7FE1B777" w14:textId="69660BC3" w:rsidR="00FE5D64" w:rsidRDefault="00FE5D64">
            <w:pPr>
              <w:pStyle w:val="TableParagraph"/>
              <w:spacing w:before="108"/>
              <w:ind w:left="85"/>
              <w:jc w:val="both"/>
              <w:rPr>
                <w:rFonts w:ascii="Times New Roman" w:hAnsi="Times New Roman" w:cs="Times New Roman"/>
                <w:b/>
                <w:bCs/>
                <w:color w:val="000000" w:themeColor="text1"/>
                <w:sz w:val="20"/>
                <w:szCs w:val="20"/>
              </w:rPr>
            </w:pPr>
          </w:p>
        </w:tc>
      </w:tr>
      <w:tr w:rsidR="00FE5D6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FE5D64" w:rsidRDefault="00E40776">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FE5D64" w:rsidRDefault="00E40776">
            <w:pPr>
              <w:pStyle w:val="P68B1DB1-TableParagraph14"/>
              <w:spacing w:before="108"/>
              <w:ind w:left="85"/>
              <w:jc w:val="both"/>
              <w:rPr>
                <w:bCs/>
              </w:rPr>
            </w:pPr>
            <w:r>
              <w:t>Финансова взаимовръзка</w:t>
            </w:r>
          </w:p>
          <w:p w14:paraId="7FE1B77B" w14:textId="079D8C41" w:rsidR="00FE5D64" w:rsidRDefault="00E40776">
            <w:pPr>
              <w:pStyle w:val="P68B1DB1-TableParagraph17"/>
              <w:spacing w:before="108"/>
              <w:ind w:left="85"/>
              <w:jc w:val="both"/>
            </w:pPr>
            <w:r>
              <w:t>В това поле се описват финансовите взаимовръзки между всички правни субекти.</w:t>
            </w:r>
          </w:p>
        </w:tc>
      </w:tr>
      <w:tr w:rsidR="00FE5D6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FE5D64" w:rsidRDefault="00E40776">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FE5D64" w:rsidRDefault="00E40776">
            <w:pPr>
              <w:pStyle w:val="P68B1DB1-TableParagraph14"/>
              <w:spacing w:before="108"/>
              <w:ind w:left="85"/>
              <w:jc w:val="both"/>
              <w:rPr>
                <w:bCs/>
              </w:rPr>
            </w:pPr>
            <w:r>
              <w:t>Вид</w:t>
            </w:r>
          </w:p>
          <w:p w14:paraId="7FE1B77F" w14:textId="77777777" w:rsidR="00FE5D64" w:rsidRDefault="00E40776">
            <w:pPr>
              <w:pStyle w:val="P68B1DB1-TableParagraph17"/>
              <w:spacing w:before="108"/>
              <w:ind w:left="85"/>
              <w:jc w:val="both"/>
            </w:pPr>
            <w:r>
              <w:t>Избира се от следния списък:</w:t>
            </w:r>
          </w:p>
          <w:p w14:paraId="7FE1B780" w14:textId="77777777" w:rsidR="00FE5D64" w:rsidRDefault="00E40776">
            <w:pPr>
              <w:pStyle w:val="P68B1DB1-TableParagraph24"/>
              <w:spacing w:before="108"/>
              <w:ind w:left="85"/>
              <w:jc w:val="both"/>
            </w:pPr>
            <w:r>
              <w:t>Вътрешногрупови задължения</w:t>
            </w:r>
          </w:p>
          <w:p w14:paraId="7FE1B781" w14:textId="77777777" w:rsidR="00FE5D64" w:rsidRDefault="00FE5D64">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01491C6B" w:rsidR="00FE5D64" w:rsidRDefault="00E40776">
            <w:pPr>
              <w:pStyle w:val="P68B1DB1-ListParagraph25"/>
              <w:numPr>
                <w:ilvl w:val="0"/>
                <w:numId w:val="54"/>
              </w:numPr>
              <w:autoSpaceDE w:val="0"/>
              <w:autoSpaceDN w:val="0"/>
              <w:adjustRightInd w:val="0"/>
              <w:ind w:left="539" w:hanging="454"/>
              <w:contextualSpacing/>
              <w:jc w:val="both"/>
            </w:pPr>
            <w:r>
              <w:t xml:space="preserve">Задължения, изключени от </w:t>
            </w:r>
            <w:r w:rsidR="008F7FC7">
              <w:rPr>
                <w:lang w:val="bg-BG"/>
              </w:rPr>
              <w:t xml:space="preserve">обхвата на инструмента за </w:t>
            </w:r>
            <w:r>
              <w:t xml:space="preserve">споделяне на загуби </w:t>
            </w:r>
          </w:p>
          <w:p w14:paraId="7FE1B783" w14:textId="047CAF02" w:rsidR="00FE5D64" w:rsidRDefault="00E40776">
            <w:pPr>
              <w:pStyle w:val="P68B1DB1-ListParagraph25"/>
              <w:autoSpaceDE w:val="0"/>
              <w:autoSpaceDN w:val="0"/>
              <w:adjustRightInd w:val="0"/>
              <w:ind w:left="539"/>
              <w:contextualSpacing/>
              <w:jc w:val="both"/>
            </w:pPr>
            <w:r>
              <w:t>Същото определение както Z 02.00 (LIAB 1), ред 0100</w:t>
            </w:r>
          </w:p>
          <w:p w14:paraId="7FE1B784" w14:textId="6CD3D443" w:rsidR="00FE5D64" w:rsidRDefault="00E40776">
            <w:pPr>
              <w:pStyle w:val="P68B1DB1-ListParagraph25"/>
              <w:numPr>
                <w:ilvl w:val="0"/>
                <w:numId w:val="54"/>
              </w:numPr>
              <w:autoSpaceDE w:val="0"/>
              <w:autoSpaceDN w:val="0"/>
              <w:adjustRightInd w:val="0"/>
              <w:ind w:left="539" w:hanging="454"/>
              <w:contextualSpacing/>
              <w:jc w:val="both"/>
            </w:pPr>
            <w:r>
              <w:t xml:space="preserve">Депозити, които не са гарантирани, но са </w:t>
            </w:r>
            <w:r w:rsidR="005D4884">
              <w:rPr>
                <w:lang w:val="bg-BG"/>
              </w:rPr>
              <w:t>преференциални</w:t>
            </w:r>
          </w:p>
          <w:p w14:paraId="7FE1B785" w14:textId="69E9007C" w:rsidR="00FE5D64" w:rsidRDefault="00E40776">
            <w:pPr>
              <w:pStyle w:val="P68B1DB1-ListParagraph25"/>
              <w:autoSpaceDE w:val="0"/>
              <w:autoSpaceDN w:val="0"/>
              <w:adjustRightInd w:val="0"/>
              <w:ind w:left="539"/>
              <w:jc w:val="both"/>
            </w:pPr>
            <w:r>
              <w:t>Същото определение както Z 02.00 (LIAB 1), ред 0310</w:t>
            </w:r>
          </w:p>
          <w:p w14:paraId="7FE1B786" w14:textId="158312AB" w:rsidR="00FE5D64" w:rsidRDefault="00E40776">
            <w:pPr>
              <w:pStyle w:val="P68B1DB1-ListParagraph25"/>
              <w:numPr>
                <w:ilvl w:val="0"/>
                <w:numId w:val="54"/>
              </w:numPr>
              <w:autoSpaceDE w:val="0"/>
              <w:autoSpaceDN w:val="0"/>
              <w:adjustRightInd w:val="0"/>
              <w:ind w:left="539" w:hanging="454"/>
              <w:contextualSpacing/>
              <w:jc w:val="both"/>
            </w:pPr>
            <w:r>
              <w:t xml:space="preserve">Депозити, които не са гарантирани и не са </w:t>
            </w:r>
            <w:r w:rsidR="005D4884">
              <w:rPr>
                <w:lang w:val="bg-BG"/>
              </w:rPr>
              <w:t>преференциални</w:t>
            </w:r>
          </w:p>
          <w:p w14:paraId="7FE1B787" w14:textId="4FA7AC10" w:rsidR="00FE5D64" w:rsidRDefault="00E40776">
            <w:pPr>
              <w:pStyle w:val="P68B1DB1-ListParagraph25"/>
              <w:autoSpaceDE w:val="0"/>
              <w:autoSpaceDN w:val="0"/>
              <w:adjustRightInd w:val="0"/>
              <w:ind w:left="539"/>
              <w:jc w:val="both"/>
            </w:pPr>
            <w:r>
              <w:t>Същото определение както Z 02.00 (LIAB 1), ред 0320</w:t>
            </w:r>
          </w:p>
          <w:p w14:paraId="7FE1B788" w14:textId="685BDE68" w:rsidR="00FE5D64" w:rsidRDefault="00E40776">
            <w:pPr>
              <w:pStyle w:val="P68B1DB1-ListParagraph25"/>
              <w:numPr>
                <w:ilvl w:val="0"/>
                <w:numId w:val="54"/>
              </w:numPr>
              <w:autoSpaceDE w:val="0"/>
              <w:autoSpaceDN w:val="0"/>
              <w:adjustRightInd w:val="0"/>
              <w:ind w:left="539" w:hanging="454"/>
              <w:contextualSpacing/>
              <w:jc w:val="both"/>
            </w:pPr>
            <w:r>
              <w:t>Задължения, произтичащи от деривати (суми при приключване)</w:t>
            </w:r>
          </w:p>
          <w:p w14:paraId="7FE1B789" w14:textId="5DAB7051" w:rsidR="00FE5D64" w:rsidRDefault="00E40776">
            <w:pPr>
              <w:pStyle w:val="P68B1DB1-ListParagraph25"/>
              <w:autoSpaceDE w:val="0"/>
              <w:autoSpaceDN w:val="0"/>
              <w:adjustRightInd w:val="0"/>
              <w:ind w:left="539"/>
              <w:jc w:val="both"/>
            </w:pPr>
            <w:r>
              <w:t>Същото определение както Z 02.00 (LIAB 1), ред 0330</w:t>
            </w:r>
          </w:p>
          <w:p w14:paraId="7FE1B78A" w14:textId="606FE098" w:rsidR="00FE5D64" w:rsidRDefault="005D4884">
            <w:pPr>
              <w:pStyle w:val="P68B1DB1-ListParagraph25"/>
              <w:numPr>
                <w:ilvl w:val="0"/>
                <w:numId w:val="54"/>
              </w:numPr>
              <w:autoSpaceDE w:val="0"/>
              <w:autoSpaceDN w:val="0"/>
              <w:adjustRightInd w:val="0"/>
              <w:ind w:left="539" w:hanging="454"/>
              <w:contextualSpacing/>
              <w:jc w:val="both"/>
            </w:pPr>
            <w:r>
              <w:rPr>
                <w:lang w:val="bg-BG"/>
              </w:rPr>
              <w:t>О</w:t>
            </w:r>
            <w:r w:rsidR="00E40776">
              <w:t>безпечени задължения</w:t>
            </w:r>
            <w:r>
              <w:rPr>
                <w:lang w:val="bg-BG"/>
              </w:rPr>
              <w:t xml:space="preserve"> – необезпечена част</w:t>
            </w:r>
          </w:p>
          <w:p w14:paraId="7FE1B78B" w14:textId="5B0021F4" w:rsidR="00FE5D64" w:rsidRDefault="00E40776">
            <w:pPr>
              <w:pStyle w:val="P68B1DB1-ListParagraph25"/>
              <w:autoSpaceDE w:val="0"/>
              <w:autoSpaceDN w:val="0"/>
              <w:adjustRightInd w:val="0"/>
              <w:ind w:left="539"/>
              <w:jc w:val="both"/>
            </w:pPr>
            <w:r>
              <w:t>Същото определение както Z 02.00 (LIAB 1), ред 0340</w:t>
            </w:r>
          </w:p>
          <w:p w14:paraId="7FE1B78C" w14:textId="77777777" w:rsidR="00FE5D64" w:rsidRDefault="00E40776">
            <w:pPr>
              <w:pStyle w:val="P68B1DB1-ListParagraph25"/>
              <w:numPr>
                <w:ilvl w:val="0"/>
                <w:numId w:val="54"/>
              </w:numPr>
              <w:autoSpaceDE w:val="0"/>
              <w:autoSpaceDN w:val="0"/>
              <w:adjustRightInd w:val="0"/>
              <w:ind w:left="539" w:hanging="454"/>
              <w:contextualSpacing/>
              <w:jc w:val="both"/>
            </w:pPr>
            <w:r>
              <w:t>Структурирани облигации</w:t>
            </w:r>
          </w:p>
          <w:p w14:paraId="7FE1B78D" w14:textId="7DF4D7F4" w:rsidR="00FE5D64" w:rsidRDefault="00E40776">
            <w:pPr>
              <w:pStyle w:val="P68B1DB1-ListParagraph25"/>
              <w:autoSpaceDE w:val="0"/>
              <w:autoSpaceDN w:val="0"/>
              <w:adjustRightInd w:val="0"/>
              <w:ind w:left="539"/>
              <w:jc w:val="both"/>
            </w:pPr>
            <w:r>
              <w:t>Същото определение както Z 02.00 (LIAB 1), ред 0350</w:t>
            </w:r>
          </w:p>
          <w:p w14:paraId="7FE1B78E" w14:textId="77777777" w:rsidR="00FE5D64" w:rsidRDefault="00E40776">
            <w:pPr>
              <w:pStyle w:val="P68B1DB1-ListParagraph25"/>
              <w:numPr>
                <w:ilvl w:val="0"/>
                <w:numId w:val="54"/>
              </w:numPr>
              <w:autoSpaceDE w:val="0"/>
              <w:autoSpaceDN w:val="0"/>
              <w:adjustRightInd w:val="0"/>
              <w:ind w:left="539" w:hanging="454"/>
              <w:contextualSpacing/>
              <w:jc w:val="both"/>
            </w:pPr>
            <w:r>
              <w:t>Първостепенни необезпечени задължения</w:t>
            </w:r>
          </w:p>
          <w:p w14:paraId="7FE1B78F" w14:textId="67CE577E" w:rsidR="00FE5D64" w:rsidRDefault="00E40776">
            <w:pPr>
              <w:pStyle w:val="P68B1DB1-ListParagraph25"/>
              <w:autoSpaceDE w:val="0"/>
              <w:autoSpaceDN w:val="0"/>
              <w:adjustRightInd w:val="0"/>
              <w:ind w:left="539"/>
              <w:jc w:val="both"/>
            </w:pPr>
            <w:r>
              <w:t>Същото определение както Z 02.00 (LIAB 1), ред 0360</w:t>
            </w:r>
          </w:p>
          <w:p w14:paraId="7FE1B790" w14:textId="77777777" w:rsidR="00FE5D64" w:rsidRDefault="00E40776">
            <w:pPr>
              <w:pStyle w:val="P68B1DB1-ListParagraph25"/>
              <w:numPr>
                <w:ilvl w:val="0"/>
                <w:numId w:val="54"/>
              </w:numPr>
              <w:autoSpaceDE w:val="0"/>
              <w:autoSpaceDN w:val="0"/>
              <w:adjustRightInd w:val="0"/>
              <w:ind w:left="539" w:hanging="454"/>
              <w:contextualSpacing/>
              <w:jc w:val="both"/>
            </w:pPr>
            <w:r>
              <w:t>Първостепенни непривилегировани задължения</w:t>
            </w:r>
          </w:p>
          <w:p w14:paraId="7FE1B791" w14:textId="6BECB3BB" w:rsidR="00FE5D64" w:rsidRDefault="00E40776">
            <w:pPr>
              <w:pStyle w:val="P68B1DB1-ListParagraph25"/>
              <w:autoSpaceDE w:val="0"/>
              <w:autoSpaceDN w:val="0"/>
              <w:adjustRightInd w:val="0"/>
              <w:ind w:left="539"/>
              <w:contextualSpacing/>
              <w:jc w:val="both"/>
            </w:pPr>
            <w:r>
              <w:t>Същото определение както Z 02.00 (LIAB 1), ред 0365</w:t>
            </w:r>
          </w:p>
          <w:p w14:paraId="7FE1B792" w14:textId="3F080315" w:rsidR="00FE5D64" w:rsidRDefault="00E40776">
            <w:pPr>
              <w:pStyle w:val="P68B1DB1-ListParagraph25"/>
              <w:numPr>
                <w:ilvl w:val="0"/>
                <w:numId w:val="54"/>
              </w:numPr>
              <w:autoSpaceDE w:val="0"/>
              <w:autoSpaceDN w:val="0"/>
              <w:adjustRightInd w:val="0"/>
              <w:ind w:left="539" w:hanging="454"/>
              <w:contextualSpacing/>
              <w:jc w:val="both"/>
            </w:pPr>
            <w:r>
              <w:lastRenderedPageBreak/>
              <w:t xml:space="preserve">Подчинени </w:t>
            </w:r>
            <w:r w:rsidR="005C09DC">
              <w:rPr>
                <w:lang w:val="bg-BG"/>
              </w:rPr>
              <w:t>задължения</w:t>
            </w:r>
          </w:p>
          <w:p w14:paraId="7FE1B793" w14:textId="1719A947" w:rsidR="00FE5D64" w:rsidRDefault="00E40776">
            <w:pPr>
              <w:pStyle w:val="P68B1DB1-ListParagraph25"/>
              <w:autoSpaceDE w:val="0"/>
              <w:autoSpaceDN w:val="0"/>
              <w:adjustRightInd w:val="0"/>
              <w:ind w:left="539"/>
              <w:jc w:val="both"/>
            </w:pPr>
            <w:r>
              <w:t>Същото определение както Z 02.00 (LIAB 1), ред 0370</w:t>
            </w:r>
          </w:p>
          <w:p w14:paraId="7FE1B794" w14:textId="316B0AA1" w:rsidR="00FE5D64" w:rsidRDefault="00E40776">
            <w:pPr>
              <w:pStyle w:val="P68B1DB1-ListParagraph25"/>
              <w:numPr>
                <w:ilvl w:val="0"/>
                <w:numId w:val="54"/>
              </w:numPr>
              <w:autoSpaceDE w:val="0"/>
              <w:autoSpaceDN w:val="0"/>
              <w:adjustRightInd w:val="0"/>
              <w:ind w:left="539" w:hanging="454"/>
              <w:contextualSpacing/>
              <w:jc w:val="both"/>
            </w:pPr>
            <w:r>
              <w:t xml:space="preserve">Други приемливи задължения </w:t>
            </w:r>
            <w:r w:rsidR="005C09DC">
              <w:rPr>
                <w:lang w:val="bg-BG"/>
              </w:rPr>
              <w:t>за целите на</w:t>
            </w:r>
            <w:r w:rsidR="005C09DC">
              <w:t xml:space="preserve"> </w:t>
            </w:r>
            <w:r>
              <w:t>минималното изискване за собствен капитал и приемливи задължения (МИ</w:t>
            </w:r>
            <w:r w:rsidR="005C09DC">
              <w:rPr>
                <w:lang w:val="bg-BG"/>
              </w:rPr>
              <w:t>СК</w:t>
            </w:r>
            <w:r>
              <w:t>ПЗ)</w:t>
            </w:r>
          </w:p>
          <w:p w14:paraId="7FE1B795" w14:textId="18D60D2B" w:rsidR="00FE5D64" w:rsidRDefault="00E40776">
            <w:pPr>
              <w:pStyle w:val="P68B1DB1-ListParagraph25"/>
              <w:autoSpaceDE w:val="0"/>
              <w:autoSpaceDN w:val="0"/>
              <w:adjustRightInd w:val="0"/>
              <w:ind w:left="539"/>
              <w:jc w:val="both"/>
            </w:pPr>
            <w:r>
              <w:t>Същото определение както Z 02.00 (LIAB 1), ред 0380</w:t>
            </w:r>
          </w:p>
          <w:p w14:paraId="7FE1B796" w14:textId="77777777" w:rsidR="00FE5D64" w:rsidRDefault="00E40776">
            <w:pPr>
              <w:pStyle w:val="P68B1DB1-ListParagraph25"/>
              <w:numPr>
                <w:ilvl w:val="0"/>
                <w:numId w:val="54"/>
              </w:numPr>
              <w:autoSpaceDE w:val="0"/>
              <w:autoSpaceDN w:val="0"/>
              <w:adjustRightInd w:val="0"/>
              <w:ind w:left="539" w:hanging="454"/>
              <w:contextualSpacing/>
              <w:jc w:val="both"/>
            </w:pPr>
            <w:r>
              <w:t>Нефинансови задължения</w:t>
            </w:r>
          </w:p>
          <w:p w14:paraId="7FE1B797" w14:textId="03D8AF00" w:rsidR="00FE5D64" w:rsidRDefault="00E40776">
            <w:pPr>
              <w:pStyle w:val="P68B1DB1-ListParagraph25"/>
              <w:autoSpaceDE w:val="0"/>
              <w:autoSpaceDN w:val="0"/>
              <w:adjustRightInd w:val="0"/>
              <w:ind w:left="539"/>
              <w:jc w:val="both"/>
            </w:pPr>
            <w:r>
              <w:t>Същото определение както Z 02.00 (LIAB 1), ред 0390</w:t>
            </w:r>
          </w:p>
          <w:p w14:paraId="7FE1B798" w14:textId="72839FB2" w:rsidR="00FE5D64" w:rsidRDefault="005C09DC">
            <w:pPr>
              <w:pStyle w:val="P68B1DB1-ListParagraph25"/>
              <w:numPr>
                <w:ilvl w:val="0"/>
                <w:numId w:val="54"/>
              </w:numPr>
              <w:autoSpaceDE w:val="0"/>
              <w:autoSpaceDN w:val="0"/>
              <w:adjustRightInd w:val="0"/>
              <w:ind w:left="539" w:hanging="454"/>
              <w:contextualSpacing/>
              <w:jc w:val="both"/>
            </w:pPr>
            <w:r>
              <w:rPr>
                <w:lang w:val="bg-BG"/>
              </w:rPr>
              <w:t>Други</w:t>
            </w:r>
            <w:r>
              <w:t xml:space="preserve"> </w:t>
            </w:r>
            <w:r w:rsidR="00E40776">
              <w:t>задължения</w:t>
            </w:r>
          </w:p>
          <w:p w14:paraId="7FE1B799" w14:textId="5E01E641" w:rsidR="00FE5D64" w:rsidRDefault="00E40776">
            <w:pPr>
              <w:pStyle w:val="P68B1DB1-ListParagraph25"/>
              <w:autoSpaceDE w:val="0"/>
              <w:autoSpaceDN w:val="0"/>
              <w:adjustRightInd w:val="0"/>
              <w:ind w:left="539"/>
              <w:jc w:val="both"/>
            </w:pPr>
            <w:r>
              <w:t>Същото определение както Z 02.00 (LIAB 1), ред 0400 Всички задължения, необхванати от никоя от предишните позиции.</w:t>
            </w:r>
          </w:p>
          <w:p w14:paraId="7FE1B79A" w14:textId="77777777" w:rsidR="00FE5D64" w:rsidRDefault="00E40776">
            <w:pPr>
              <w:pStyle w:val="P68B1DB1-ListParagraph25"/>
              <w:numPr>
                <w:ilvl w:val="0"/>
                <w:numId w:val="54"/>
              </w:numPr>
              <w:autoSpaceDE w:val="0"/>
              <w:autoSpaceDN w:val="0"/>
              <w:adjustRightInd w:val="0"/>
              <w:ind w:left="539" w:hanging="454"/>
              <w:contextualSpacing/>
              <w:jc w:val="both"/>
            </w:pPr>
            <w:r>
              <w:t>Капитал от втори ред</w:t>
            </w:r>
          </w:p>
          <w:p w14:paraId="7FE1B79B" w14:textId="1DC09C8A" w:rsidR="00FE5D64" w:rsidRDefault="00E40776">
            <w:pPr>
              <w:pStyle w:val="P68B1DB1-ListParagraph25"/>
              <w:autoSpaceDE w:val="0"/>
              <w:autoSpaceDN w:val="0"/>
              <w:adjustRightInd w:val="0"/>
              <w:ind w:left="539"/>
              <w:jc w:val="both"/>
            </w:pPr>
            <w:r>
              <w:t>Същото определение както Z 02.00 (LIAB 1), ред 0530</w:t>
            </w:r>
          </w:p>
          <w:p w14:paraId="7FE1B79C" w14:textId="77777777" w:rsidR="00FE5D64" w:rsidRDefault="00E40776">
            <w:pPr>
              <w:pStyle w:val="P68B1DB1-ListParagraph25"/>
              <w:numPr>
                <w:ilvl w:val="0"/>
                <w:numId w:val="54"/>
              </w:numPr>
              <w:autoSpaceDE w:val="0"/>
              <w:autoSpaceDN w:val="0"/>
              <w:adjustRightInd w:val="0"/>
              <w:ind w:left="539" w:hanging="454"/>
              <w:contextualSpacing/>
              <w:jc w:val="both"/>
            </w:pPr>
            <w:r>
              <w:t>Допълнителен капитал от първи ред</w:t>
            </w:r>
          </w:p>
          <w:p w14:paraId="7FE1B79D" w14:textId="5EB7A3D7" w:rsidR="00FE5D64" w:rsidRDefault="00E40776">
            <w:pPr>
              <w:pStyle w:val="P68B1DB1-ListParagraph25"/>
              <w:autoSpaceDE w:val="0"/>
              <w:autoSpaceDN w:val="0"/>
              <w:adjustRightInd w:val="0"/>
              <w:ind w:left="539"/>
              <w:jc w:val="both"/>
            </w:pPr>
            <w:r>
              <w:t>Същото определение както Z 02.00 (LIAB 1), ред 0520</w:t>
            </w:r>
          </w:p>
          <w:p w14:paraId="7FE1B79E" w14:textId="77777777" w:rsidR="00FE5D64" w:rsidRDefault="00E40776">
            <w:pPr>
              <w:pStyle w:val="P68B1DB1-ListParagraph25"/>
              <w:numPr>
                <w:ilvl w:val="0"/>
                <w:numId w:val="54"/>
              </w:numPr>
              <w:autoSpaceDE w:val="0"/>
              <w:autoSpaceDN w:val="0"/>
              <w:adjustRightInd w:val="0"/>
              <w:ind w:left="539" w:hanging="454"/>
              <w:contextualSpacing/>
              <w:jc w:val="both"/>
            </w:pPr>
            <w:r>
              <w:t>Базов собствен капитал от първи ред</w:t>
            </w:r>
          </w:p>
          <w:p w14:paraId="7FE1B79F" w14:textId="3DF796DF" w:rsidR="00FE5D64" w:rsidRDefault="00E40776">
            <w:pPr>
              <w:pStyle w:val="P68B1DB1-ListParagraph25"/>
              <w:autoSpaceDE w:val="0"/>
              <w:autoSpaceDN w:val="0"/>
              <w:adjustRightInd w:val="0"/>
              <w:ind w:left="539"/>
              <w:jc w:val="both"/>
            </w:pPr>
            <w:r>
              <w:t>Същото определение както Z 02.00 (LIAB 1), ред 0510</w:t>
            </w:r>
          </w:p>
          <w:p w14:paraId="7FE1B7A0" w14:textId="77777777" w:rsidR="00FE5D64" w:rsidRDefault="00E40776">
            <w:pPr>
              <w:pStyle w:val="P68B1DB1-TableParagraph24"/>
              <w:spacing w:before="108"/>
              <w:ind w:left="85"/>
              <w:jc w:val="both"/>
            </w:pPr>
            <w:r>
              <w:t>Вътрешногрупови гаранции</w:t>
            </w:r>
          </w:p>
          <w:p w14:paraId="7FE1B7A1" w14:textId="3E926E5E" w:rsidR="00FE5D64" w:rsidRDefault="00E40776">
            <w:pPr>
              <w:pStyle w:val="P68B1DB1-ListParagraph25"/>
              <w:numPr>
                <w:ilvl w:val="0"/>
                <w:numId w:val="55"/>
              </w:numPr>
              <w:autoSpaceDE w:val="0"/>
              <w:autoSpaceDN w:val="0"/>
              <w:adjustRightInd w:val="0"/>
              <w:ind w:left="539" w:hanging="454"/>
              <w:contextualSpacing/>
              <w:jc w:val="both"/>
            </w:pPr>
            <w:r>
              <w:t xml:space="preserve">Гаранции </w:t>
            </w:r>
            <w:r w:rsidR="005E5FC9">
              <w:rPr>
                <w:lang w:val="bg-BG"/>
              </w:rPr>
              <w:t>по емисии</w:t>
            </w:r>
          </w:p>
          <w:p w14:paraId="7FE1B7A2" w14:textId="12A0EBFC" w:rsidR="00FE5D64" w:rsidRDefault="00E40776">
            <w:pPr>
              <w:pStyle w:val="P68B1DB1-ListParagraph25"/>
              <w:autoSpaceDE w:val="0"/>
              <w:autoSpaceDN w:val="0"/>
              <w:adjustRightInd w:val="0"/>
              <w:ind w:left="539"/>
              <w:jc w:val="both"/>
            </w:pPr>
            <w:r>
              <w:t xml:space="preserve">Гаранции за </w:t>
            </w:r>
            <w:r w:rsidR="005C09DC">
              <w:rPr>
                <w:lang w:val="bg-BG"/>
              </w:rPr>
              <w:t>специфични</w:t>
            </w:r>
            <w:r w:rsidR="005C09DC">
              <w:t xml:space="preserve"> </w:t>
            </w:r>
            <w:r>
              <w:t>инструменти/задължения, които са емитирани</w:t>
            </w:r>
          </w:p>
          <w:p w14:paraId="7FE1B7A3" w14:textId="3EB900C6" w:rsidR="00FE5D64" w:rsidRDefault="00E40776">
            <w:pPr>
              <w:pStyle w:val="P68B1DB1-ListParagraph25"/>
              <w:numPr>
                <w:ilvl w:val="0"/>
                <w:numId w:val="55"/>
              </w:numPr>
              <w:autoSpaceDE w:val="0"/>
              <w:autoSpaceDN w:val="0"/>
              <w:adjustRightInd w:val="0"/>
              <w:ind w:left="539" w:hanging="454"/>
              <w:contextualSpacing/>
              <w:jc w:val="both"/>
            </w:pPr>
            <w:r>
              <w:t xml:space="preserve">Гаранции </w:t>
            </w:r>
            <w:r w:rsidR="005C09DC">
              <w:rPr>
                <w:lang w:val="bg-BG"/>
              </w:rPr>
              <w:t>по</w:t>
            </w:r>
            <w:r>
              <w:t xml:space="preserve"> контрагент</w:t>
            </w:r>
          </w:p>
          <w:p w14:paraId="7FE1B7A4" w14:textId="5A5F71C3" w:rsidR="00FE5D64" w:rsidRDefault="00E40776">
            <w:pPr>
              <w:pStyle w:val="P68B1DB1-ListParagraph25"/>
              <w:autoSpaceDE w:val="0"/>
              <w:autoSpaceDN w:val="0"/>
              <w:adjustRightInd w:val="0"/>
              <w:ind w:left="539"/>
              <w:jc w:val="both"/>
            </w:pPr>
            <w:r>
              <w:t xml:space="preserve">Гаранции, </w:t>
            </w:r>
            <w:r w:rsidR="005C09DC">
              <w:rPr>
                <w:lang w:val="bg-BG"/>
              </w:rPr>
              <w:t>предоставени</w:t>
            </w:r>
            <w:r w:rsidR="005C09DC">
              <w:t xml:space="preserve"> </w:t>
            </w:r>
            <w:r>
              <w:t>на определен контрагент на институцията</w:t>
            </w:r>
          </w:p>
          <w:p w14:paraId="7FE1B7A5" w14:textId="1A9C2AC5" w:rsidR="00FE5D64" w:rsidRDefault="005C09DC">
            <w:pPr>
              <w:pStyle w:val="P68B1DB1-ListParagraph25"/>
              <w:numPr>
                <w:ilvl w:val="0"/>
                <w:numId w:val="55"/>
              </w:numPr>
              <w:autoSpaceDE w:val="0"/>
              <w:autoSpaceDN w:val="0"/>
              <w:adjustRightInd w:val="0"/>
              <w:ind w:left="539" w:hanging="454"/>
              <w:contextualSpacing/>
              <w:jc w:val="both"/>
            </w:pPr>
            <w:r>
              <w:rPr>
                <w:lang w:val="bg-BG"/>
              </w:rPr>
              <w:t>Безлимитни</w:t>
            </w:r>
            <w:r>
              <w:t xml:space="preserve"> </w:t>
            </w:r>
            <w:r w:rsidR="00E40776">
              <w:t>гаранции</w:t>
            </w:r>
          </w:p>
          <w:p w14:paraId="7FE1B7A6" w14:textId="77777777" w:rsidR="00FE5D64" w:rsidRDefault="00E40776">
            <w:pPr>
              <w:pStyle w:val="P68B1DB1-ListParagraph25"/>
              <w:autoSpaceDE w:val="0"/>
              <w:autoSpaceDN w:val="0"/>
              <w:adjustRightInd w:val="0"/>
              <w:ind w:left="539"/>
              <w:jc w:val="both"/>
            </w:pPr>
            <w:r>
              <w:t xml:space="preserve">Общи гаранции, които не са ограничени до фиксирана сума </w:t>
            </w:r>
          </w:p>
          <w:p w14:paraId="7FE1B7A7" w14:textId="391BAF8D" w:rsidR="00FE5D64" w:rsidRDefault="00E40776">
            <w:pPr>
              <w:pStyle w:val="P68B1DB1-ListParagraph25"/>
              <w:numPr>
                <w:ilvl w:val="0"/>
                <w:numId w:val="55"/>
              </w:numPr>
              <w:autoSpaceDE w:val="0"/>
              <w:autoSpaceDN w:val="0"/>
              <w:adjustRightInd w:val="0"/>
              <w:ind w:left="539" w:hanging="454"/>
              <w:contextualSpacing/>
              <w:jc w:val="both"/>
            </w:pPr>
            <w:r>
              <w:t>Други гаранции</w:t>
            </w:r>
          </w:p>
          <w:p w14:paraId="7FE1B7A8" w14:textId="77777777" w:rsidR="00FE5D64" w:rsidRDefault="00E40776">
            <w:pPr>
              <w:pStyle w:val="P68B1DB1-ListParagraph25"/>
              <w:autoSpaceDE w:val="0"/>
              <w:autoSpaceDN w:val="0"/>
              <w:adjustRightInd w:val="0"/>
              <w:ind w:left="539"/>
              <w:jc w:val="both"/>
            </w:pPr>
            <w:r>
              <w:t xml:space="preserve">Всеки вид гаранция, който не спада към предходните видове </w:t>
            </w:r>
          </w:p>
        </w:tc>
      </w:tr>
      <w:tr w:rsidR="00FE5D6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FE5D64" w:rsidRDefault="00E40776">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42194BD" w:rsidR="00FE5D64" w:rsidRPr="00F05EB0" w:rsidRDefault="00F05EB0">
            <w:pPr>
              <w:pStyle w:val="P68B1DB1-TableParagraph14"/>
              <w:spacing w:before="108"/>
              <w:ind w:left="85"/>
              <w:jc w:val="both"/>
              <w:rPr>
                <w:bCs/>
                <w:lang w:val="bg-BG"/>
              </w:rPr>
            </w:pPr>
            <w:r>
              <w:rPr>
                <w:lang w:val="bg-BG"/>
              </w:rPr>
              <w:t>Дължима стойност</w:t>
            </w:r>
          </w:p>
          <w:p w14:paraId="7FE1B7AC" w14:textId="00822816" w:rsidR="00FE5D64" w:rsidRDefault="00E40776">
            <w:pPr>
              <w:pStyle w:val="P68B1DB1-TableParagraph17"/>
              <w:spacing w:before="108"/>
              <w:ind w:left="85"/>
              <w:jc w:val="both"/>
            </w:pPr>
            <w:r>
              <w:t xml:space="preserve">За задълженията в колона 0050 — </w:t>
            </w:r>
            <w:r w:rsidR="00F05EB0">
              <w:rPr>
                <w:lang w:val="bg-BG"/>
              </w:rPr>
              <w:t>дължимата</w:t>
            </w:r>
            <w:r w:rsidR="002B47CE">
              <w:rPr>
                <w:lang w:val="bg-BG"/>
              </w:rPr>
              <w:t xml:space="preserve"> стойност</w:t>
            </w:r>
            <w:r>
              <w:t xml:space="preserve"> на вътрешногруповите задължения; за задълженията, произтичащи от деривати — сумите при приключване</w:t>
            </w:r>
            <w:r w:rsidR="002B47CE">
              <w:rPr>
                <w:lang w:val="bg-BG"/>
              </w:rPr>
              <w:t xml:space="preserve"> на сделките</w:t>
            </w:r>
            <w:r>
              <w:t>, определени за целите на образец Z 02.00 (LIAB 1), ред 0333.</w:t>
            </w:r>
          </w:p>
          <w:p w14:paraId="7FE1B7AD" w14:textId="75442B42" w:rsidR="00FE5D64" w:rsidRDefault="00E40776">
            <w:pPr>
              <w:pStyle w:val="P68B1DB1-TableParagraph17"/>
              <w:spacing w:before="108"/>
              <w:ind w:left="85"/>
              <w:jc w:val="both"/>
            </w:pPr>
            <w:r>
              <w:t xml:space="preserve">За гаранциите в колона 0050 — максималният потенциален размер на бъдещите плащания по гаранцията </w:t>
            </w:r>
          </w:p>
        </w:tc>
      </w:tr>
      <w:tr w:rsidR="00FE5D6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FE5D64" w:rsidRDefault="00E40776">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FE5D64" w:rsidRDefault="00E40776">
            <w:pPr>
              <w:pStyle w:val="P68B1DB1-TableParagraph14"/>
              <w:spacing w:before="108"/>
              <w:ind w:left="85"/>
              <w:jc w:val="both"/>
              <w:rPr>
                <w:bCs/>
              </w:rPr>
            </w:pPr>
            <w:r>
              <w:t>от която емитирана съгласно правото на трета държава</w:t>
            </w:r>
          </w:p>
          <w:p w14:paraId="7FE1B7B1" w14:textId="1C48903D" w:rsidR="00FE5D64" w:rsidRDefault="00E40776">
            <w:pPr>
              <w:pStyle w:val="P68B1DB1-TableParagraph13"/>
              <w:spacing w:before="108"/>
              <w:ind w:left="85"/>
              <w:jc w:val="both"/>
              <w:rPr>
                <w:bCs/>
              </w:rPr>
            </w:pPr>
            <w:r>
              <w:t xml:space="preserve">Делът в парично изражение на </w:t>
            </w:r>
            <w:r w:rsidR="002B47CE">
              <w:rPr>
                <w:lang w:val="bg-BG"/>
              </w:rPr>
              <w:t>дължимата</w:t>
            </w:r>
            <w:r w:rsidR="002B47CE">
              <w:t xml:space="preserve"> </w:t>
            </w:r>
            <w:r>
              <w:t>сума, уреждана от правото на трета държава.</w:t>
            </w:r>
          </w:p>
        </w:tc>
      </w:tr>
      <w:tr w:rsidR="00FE5D6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FE5D64" w:rsidRDefault="00E40776">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6780F2CD" w:rsidR="00FE5D64" w:rsidRDefault="00E40776">
            <w:pPr>
              <w:pStyle w:val="P68B1DB1-TableParagraph14"/>
              <w:spacing w:before="108"/>
              <w:ind w:left="85"/>
              <w:jc w:val="both"/>
              <w:rPr>
                <w:rFonts w:eastAsia="Cambria"/>
              </w:rPr>
            </w:pPr>
            <w:r>
              <w:t xml:space="preserve">От които: Приемливи </w:t>
            </w:r>
            <w:r w:rsidR="002B47CE">
              <w:rPr>
                <w:lang w:val="bg-BG"/>
              </w:rPr>
              <w:t>за целите на</w:t>
            </w:r>
            <w:r w:rsidR="002B47CE">
              <w:t xml:space="preserve"> </w:t>
            </w:r>
            <w:r>
              <w:t>минималното изискване за собствен капитал и приемливи задължения (МИ</w:t>
            </w:r>
            <w:r w:rsidR="009F1C03">
              <w:rPr>
                <w:lang w:val="bg-BG"/>
              </w:rPr>
              <w:t>СК</w:t>
            </w:r>
            <w:r>
              <w:t>ПЗ)</w:t>
            </w:r>
          </w:p>
          <w:p w14:paraId="7FE1B7B5" w14:textId="7AD5805C" w:rsidR="00FE5D64" w:rsidRDefault="00E40776">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Размера на </w:t>
            </w:r>
            <w:r w:rsidR="002B47CE">
              <w:rPr>
                <w:rFonts w:ascii="Times New Roman" w:eastAsia="Cambria" w:hAnsi="Times New Roman" w:cs="Times New Roman"/>
                <w:color w:val="000000" w:themeColor="text1"/>
                <w:sz w:val="20"/>
                <w:szCs w:val="20"/>
                <w:lang w:val="bg-BG"/>
              </w:rPr>
              <w:t>собствения капитал</w:t>
            </w:r>
            <w:r>
              <w:rPr>
                <w:rFonts w:ascii="Times New Roman" w:eastAsia="Cambria" w:hAnsi="Times New Roman" w:cs="Times New Roman"/>
                <w:color w:val="000000" w:themeColor="text1"/>
                <w:sz w:val="20"/>
                <w:szCs w:val="20"/>
              </w:rPr>
              <w:t xml:space="preserve"> и задълженията, приемливи за изпълнение на изискването по член 45 от Директива 2014/59/ЕС в съответствие с член 45д или 45е от посочената директива, според случая.</w:t>
            </w:r>
            <w:r>
              <w:rPr>
                <w:rFonts w:ascii="Times New Roman" w:hAnsi="Times New Roman" w:cs="Times New Roman"/>
              </w:rPr>
              <w:t xml:space="preserve"> </w:t>
            </w:r>
            <w:r>
              <w:rPr>
                <w:rFonts w:ascii="Times New Roman" w:eastAsia="Cambria" w:hAnsi="Times New Roman" w:cs="Times New Roman"/>
                <w:color w:val="000000" w:themeColor="text1"/>
                <w:sz w:val="20"/>
                <w:szCs w:val="20"/>
              </w:rPr>
              <w:t xml:space="preserve">Докладват се само тези собствен </w:t>
            </w:r>
            <w:r w:rsidR="002B47CE">
              <w:rPr>
                <w:rFonts w:ascii="Times New Roman" w:eastAsia="Cambria" w:hAnsi="Times New Roman" w:cs="Times New Roman"/>
                <w:color w:val="000000" w:themeColor="text1"/>
                <w:sz w:val="20"/>
                <w:szCs w:val="20"/>
                <w:lang w:val="bg-BG"/>
              </w:rPr>
              <w:t>капитал</w:t>
            </w:r>
            <w:r w:rsidR="002B47CE">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 xml:space="preserve">и задължения, които отговарят на критериите по член 45б или член 45е, параграф 2 от Директива 2014/59/ЕС, според случая, като се вземат предвид, когато е приложимо, член 89, параграф 2 от </w:t>
            </w:r>
            <w:r w:rsidR="002B47CE">
              <w:rPr>
                <w:rFonts w:ascii="Times New Roman" w:eastAsia="Cambria" w:hAnsi="Times New Roman" w:cs="Times New Roman"/>
                <w:color w:val="000000" w:themeColor="text1"/>
                <w:sz w:val="20"/>
                <w:szCs w:val="20"/>
              </w:rPr>
              <w:t xml:space="preserve">Директива 2014/59/ЕС </w:t>
            </w:r>
            <w:r>
              <w:rPr>
                <w:rFonts w:ascii="Times New Roman" w:eastAsia="Cambria" w:hAnsi="Times New Roman" w:cs="Times New Roman"/>
                <w:color w:val="000000" w:themeColor="text1"/>
                <w:sz w:val="20"/>
                <w:szCs w:val="20"/>
              </w:rPr>
              <w:t xml:space="preserve">и член 55 от </w:t>
            </w:r>
            <w:r w:rsidR="002B47CE">
              <w:rPr>
                <w:rFonts w:ascii="Times New Roman" w:eastAsia="Cambria" w:hAnsi="Times New Roman" w:cs="Times New Roman"/>
                <w:color w:val="000000" w:themeColor="text1"/>
                <w:sz w:val="20"/>
                <w:szCs w:val="20"/>
              </w:rPr>
              <w:t>Директива 2014/59/ЕС</w:t>
            </w:r>
            <w:r>
              <w:rPr>
                <w:rFonts w:ascii="Times New Roman" w:eastAsia="Cambria" w:hAnsi="Times New Roman" w:cs="Times New Roman"/>
                <w:color w:val="000000" w:themeColor="text1"/>
                <w:sz w:val="20"/>
                <w:szCs w:val="20"/>
              </w:rPr>
              <w:t>.</w:t>
            </w:r>
          </w:p>
        </w:tc>
      </w:tr>
    </w:tbl>
    <w:p w14:paraId="7FE1B7B7" w14:textId="77777777" w:rsidR="00FE5D64" w:rsidRDefault="00FE5D64">
      <w:pPr>
        <w:jc w:val="both"/>
        <w:rPr>
          <w:rFonts w:ascii="Times New Roman" w:hAnsi="Times New Roman" w:cs="Times New Roman"/>
          <w:color w:val="000000" w:themeColor="text1"/>
          <w:sz w:val="20"/>
          <w:szCs w:val="20"/>
        </w:rPr>
      </w:pPr>
    </w:p>
    <w:p w14:paraId="7FE1B7B8" w14:textId="548121DF" w:rsidR="00FE5D64" w:rsidRDefault="00E40776">
      <w:pPr>
        <w:pStyle w:val="P68B1DB1-Instructionsberschrift25"/>
        <w:numPr>
          <w:ilvl w:val="1"/>
          <w:numId w:val="49"/>
        </w:numPr>
        <w:ind w:left="357" w:hanging="357"/>
      </w:pPr>
      <w:bookmarkStart w:id="71" w:name="_Toc492542325"/>
      <w:bookmarkStart w:id="72" w:name="_Toc81454183"/>
      <w:bookmarkStart w:id="73" w:name="_Toc208244457"/>
      <w:r>
        <w:t>Основни контрагенти (LIAB 5—6)</w:t>
      </w:r>
      <w:bookmarkEnd w:id="71"/>
      <w:bookmarkEnd w:id="72"/>
      <w:bookmarkEnd w:id="73"/>
    </w:p>
    <w:p w14:paraId="7FE1B7B9" w14:textId="77777777" w:rsidR="00FE5D64" w:rsidRDefault="00E40776">
      <w:pPr>
        <w:pStyle w:val="Instructionsberschrift3"/>
      </w:pPr>
      <w:r>
        <w:t>Общи бележки</w:t>
      </w:r>
    </w:p>
    <w:p w14:paraId="7FE1B7BA" w14:textId="77777777" w:rsidR="00FE5D64" w:rsidRDefault="00E40776">
      <w:pPr>
        <w:pStyle w:val="P68B1DB1-InstructionsText26"/>
        <w:numPr>
          <w:ilvl w:val="0"/>
          <w:numId w:val="232"/>
        </w:numPr>
        <w:spacing w:before="0"/>
      </w:pPr>
      <w:r>
        <w:t>С тези образци се събира информация за задълженията към основните контрагенти (Z 05.01) и за задбалансовите позиции, получени от основни контрагенти (Z 05.02). Докладваните стойности се агрегират, когато принадлежат към един и същ контрагент и към един и същ вид задължения или задбалансови позиции.</w:t>
      </w:r>
    </w:p>
    <w:p w14:paraId="7FE1B7BB" w14:textId="7EF9CF51" w:rsidR="00FE5D64" w:rsidRDefault="00E40776">
      <w:pPr>
        <w:pStyle w:val="P68B1DB1-InstructionsText26"/>
        <w:numPr>
          <w:ilvl w:val="0"/>
          <w:numId w:val="232"/>
        </w:numPr>
        <w:spacing w:before="0"/>
      </w:pPr>
      <w:r>
        <w:lastRenderedPageBreak/>
        <w:t xml:space="preserve">Задълженията и задбалансовите позиции, за които контрагентът не може да </w:t>
      </w:r>
      <w:r w:rsidR="00244DA4">
        <w:rPr>
          <w:lang w:val="bg-BG"/>
        </w:rPr>
        <w:t>бъде</w:t>
      </w:r>
      <w:r w:rsidR="00244DA4">
        <w:t xml:space="preserve"> </w:t>
      </w:r>
      <w:r>
        <w:t>установ</w:t>
      </w:r>
      <w:r w:rsidR="00244DA4">
        <w:rPr>
          <w:lang w:val="bg-BG"/>
        </w:rPr>
        <w:t>ен</w:t>
      </w:r>
      <w:r>
        <w:t>, не се докладват в тези образци. Задължения и задбалансови позиции, за които контрагентът е субект, включен в консолидираните финансови отчети, не се отчитат.</w:t>
      </w:r>
    </w:p>
    <w:p w14:paraId="7FE1B7BC" w14:textId="04BE316A" w:rsidR="00FE5D64" w:rsidRDefault="00FE5D64">
      <w:pPr>
        <w:pStyle w:val="InstructionsText2"/>
        <w:numPr>
          <w:ilvl w:val="0"/>
          <w:numId w:val="0"/>
        </w:numPr>
        <w:spacing w:before="0"/>
        <w:ind w:left="753" w:hanging="720"/>
        <w:rPr>
          <w:rFonts w:ascii="Times New Roman" w:hAnsi="Times New Roman" w:cs="Times New Roman"/>
          <w:sz w:val="20"/>
          <w:szCs w:val="20"/>
        </w:rPr>
      </w:pPr>
    </w:p>
    <w:p w14:paraId="7FE1B7BD" w14:textId="77777777" w:rsidR="00FE5D64" w:rsidRDefault="00E40776">
      <w:pPr>
        <w:pStyle w:val="P68B1DB1-Instructionsberschrift25"/>
        <w:numPr>
          <w:ilvl w:val="1"/>
          <w:numId w:val="49"/>
        </w:numPr>
        <w:ind w:left="357" w:hanging="357"/>
      </w:pPr>
      <w:bookmarkStart w:id="74" w:name="_Toc208244458"/>
      <w:bookmarkStart w:id="75" w:name="_Toc81454184"/>
      <w:r>
        <w:t>Z 05.01 — Задължения към основни контрагенти (LIAB 5)</w:t>
      </w:r>
      <w:bookmarkEnd w:id="74"/>
    </w:p>
    <w:p w14:paraId="7FE1B7BE" w14:textId="0F7A6C34" w:rsidR="00FE5D64" w:rsidRPr="001118F2" w:rsidRDefault="00E40776">
      <w:pPr>
        <w:pStyle w:val="P68B1DB1-body26"/>
        <w:rPr>
          <w:rFonts w:ascii="Times New Roman" w:hAnsi="Times New Roman" w:cs="Times New Roman"/>
          <w:sz w:val="20"/>
          <w:szCs w:val="20"/>
        </w:rPr>
      </w:pPr>
      <w:r w:rsidRPr="001118F2">
        <w:rPr>
          <w:rFonts w:ascii="Times New Roman" w:hAnsi="Times New Roman" w:cs="Times New Roman"/>
          <w:sz w:val="20"/>
          <w:szCs w:val="20"/>
        </w:rPr>
        <w:t>Указания относно определени позиции</w:t>
      </w:r>
      <w:bookmarkEnd w:id="75"/>
    </w:p>
    <w:p w14:paraId="7FE1B7BF" w14:textId="051A0210" w:rsidR="00FE5D64" w:rsidRDefault="00E40776">
      <w:pPr>
        <w:pStyle w:val="P68B1DB1-InstructionsText26"/>
        <w:numPr>
          <w:ilvl w:val="0"/>
          <w:numId w:val="232"/>
        </w:numPr>
        <w:spacing w:before="0"/>
      </w:pPr>
      <w:r>
        <w:t>Комбинацията на стойностите, докладвани</w:t>
      </w:r>
      <w:r w:rsidR="00C8504A">
        <w:t xml:space="preserve"> </w:t>
      </w:r>
      <w:r>
        <w:t xml:space="preserve">в колони 0020 и 0060 от настоящия образец, формира първичен код, който трябва да е </w:t>
      </w:r>
      <w:r w:rsidR="00C8504A">
        <w:rPr>
          <w:lang w:val="bg-BG"/>
        </w:rPr>
        <w:t>уникален</w:t>
      </w:r>
      <w:r w:rsidR="00C8504A">
        <w:t xml:space="preserve"> </w:t>
      </w:r>
      <w:r>
        <w:t>за всеки ред от образеца.</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E5D64"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FE5D64" w:rsidRDefault="00E40776">
            <w:pPr>
              <w:pStyle w:val="P68B1DB1-TableParagraph13"/>
              <w:spacing w:before="66"/>
              <w:rPr>
                <w:rFonts w:eastAsia="Cambria"/>
              </w:rPr>
            </w:pPr>
            <w:r>
              <w:t>Колони</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FE5D64" w:rsidRDefault="00E40776">
            <w:pPr>
              <w:pStyle w:val="P68B1DB1-TableParagraph13"/>
              <w:spacing w:before="66"/>
              <w:ind w:right="1"/>
              <w:jc w:val="center"/>
              <w:rPr>
                <w:rFonts w:eastAsia="Cambria"/>
              </w:rPr>
            </w:pPr>
            <w:r>
              <w:t>Указания</w:t>
            </w:r>
          </w:p>
        </w:tc>
      </w:tr>
      <w:tr w:rsidR="00FE5D6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FE5D64" w:rsidRDefault="00E40776">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FE5D64" w:rsidRDefault="00E40776">
            <w:pPr>
              <w:pStyle w:val="P68B1DB1-TableParagraph14"/>
              <w:spacing w:before="108"/>
              <w:ind w:left="85"/>
              <w:jc w:val="both"/>
              <w:rPr>
                <w:bCs/>
              </w:rPr>
            </w:pPr>
            <w:r>
              <w:t>Контрагент</w:t>
            </w:r>
          </w:p>
          <w:p w14:paraId="7FE1B7C5" w14:textId="77777777" w:rsidR="00FE5D64" w:rsidRDefault="00E40776">
            <w:pPr>
              <w:pStyle w:val="P68B1DB1-TableParagraph17"/>
              <w:spacing w:before="108"/>
              <w:ind w:left="85"/>
              <w:jc w:val="both"/>
            </w:pPr>
            <w:r>
              <w:t xml:space="preserve">Информация относно основния контрагент, по отношение на когото възниква задължението </w:t>
            </w:r>
          </w:p>
          <w:p w14:paraId="7FE1B7C6" w14:textId="5E2FE693" w:rsidR="00FE5D64" w:rsidRDefault="00E40776">
            <w:pPr>
              <w:pStyle w:val="P68B1DB1-TableParagraph17"/>
              <w:spacing w:before="108"/>
              <w:ind w:left="85"/>
              <w:jc w:val="both"/>
            </w:pPr>
            <w:r>
              <w:t xml:space="preserve">Основните контрагенти се определят, като се сумират </w:t>
            </w:r>
            <w:r w:rsidR="00140941">
              <w:rPr>
                <w:lang w:val="bg-BG"/>
              </w:rPr>
              <w:t>дължимите</w:t>
            </w:r>
            <w:r w:rsidR="00140941">
              <w:t xml:space="preserve"> </w:t>
            </w:r>
            <w:r>
              <w:t xml:space="preserve">суми от всички задължения на субекта или групата, за която </w:t>
            </w:r>
            <w:r w:rsidR="00140941">
              <w:rPr>
                <w:lang w:val="bg-BG"/>
              </w:rPr>
              <w:t>се предоставя информацията</w:t>
            </w:r>
            <w:r>
              <w:t xml:space="preserve"> в този образец, към всеки контрагент или група от свързани клиенти, изключвайки задълженията към субекти, включени в консолидираните финансови отчети.</w:t>
            </w:r>
          </w:p>
          <w:p w14:paraId="7FE1B7C7" w14:textId="6EAD736F" w:rsidR="00FE5D64" w:rsidRDefault="00E40776">
            <w:pPr>
              <w:pStyle w:val="P68B1DB1-TableParagraph17"/>
              <w:spacing w:before="108"/>
              <w:ind w:left="85"/>
              <w:jc w:val="both"/>
            </w:pPr>
            <w:r>
              <w:t xml:space="preserve">След това контрагентите и групите свързани контрагенти се подреждат по размера на общата </w:t>
            </w:r>
            <w:r w:rsidR="00140941">
              <w:rPr>
                <w:lang w:val="bg-BG"/>
              </w:rPr>
              <w:t>дължима</w:t>
            </w:r>
            <w:r w:rsidR="00140941">
              <w:t xml:space="preserve"> </w:t>
            </w:r>
            <w:r>
              <w:t>сума, за да се установят 10-те най-големи основни контрагенти, информация за които се предоставя с този образец.</w:t>
            </w:r>
          </w:p>
          <w:p w14:paraId="7FE1B7CB" w14:textId="0F3267F5" w:rsidR="00FE5D64" w:rsidRDefault="00E40776">
            <w:pPr>
              <w:pStyle w:val="P68B1DB1-TableParagraph17"/>
              <w:spacing w:before="108"/>
              <w:ind w:left="85"/>
              <w:jc w:val="both"/>
              <w:rPr>
                <w:b/>
                <w:bCs/>
              </w:rPr>
            </w:pPr>
            <w:r>
              <w:t>Определението за „група от свързани контрагенти</w:t>
            </w:r>
            <w:r w:rsidR="00140941">
              <w:rPr>
                <w:lang w:val="bg-BG"/>
              </w:rPr>
              <w:t>“</w:t>
            </w:r>
            <w:r w:rsidR="00C8504A">
              <w:rPr>
                <w:lang w:val="bg-BG"/>
              </w:rPr>
              <w:t xml:space="preserve"> </w:t>
            </w:r>
            <w:r>
              <w:t xml:space="preserve">следва определението за „група от свързани клиенти“, посочено в член 4, параграф 1, точка 39 от Регламент (ЕС) № 575/2013. </w:t>
            </w:r>
          </w:p>
        </w:tc>
      </w:tr>
      <w:tr w:rsidR="00FE5D6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FE5D64" w:rsidRDefault="00E40776">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FE5D64" w:rsidRDefault="00E40776">
            <w:pPr>
              <w:pStyle w:val="P68B1DB1-TableParagraph14"/>
              <w:spacing w:before="108"/>
              <w:ind w:left="85"/>
              <w:jc w:val="both"/>
              <w:rPr>
                <w:bCs/>
              </w:rPr>
            </w:pPr>
            <w:r>
              <w:t>Наименование на субекта</w:t>
            </w:r>
          </w:p>
          <w:p w14:paraId="7FE1B7CF" w14:textId="77777777" w:rsidR="00FE5D64" w:rsidRDefault="00E40776">
            <w:pPr>
              <w:pStyle w:val="P68B1DB1-Normal18"/>
              <w:spacing w:before="108"/>
              <w:ind w:left="85"/>
              <w:jc w:val="both"/>
            </w:pPr>
            <w:r>
              <w:t>Наименование на основния контрагент или където е приложимо — наименование на група свързани клиенти.</w:t>
            </w:r>
          </w:p>
          <w:p w14:paraId="7FE1B7D0" w14:textId="77777777" w:rsidR="00FE5D64" w:rsidRDefault="00E40776">
            <w:pPr>
              <w:pStyle w:val="P68B1DB1-TableParagraph17"/>
              <w:spacing w:before="108"/>
              <w:ind w:left="85"/>
              <w:jc w:val="both"/>
            </w:pPr>
            <w:r>
              <w:t>Наименованието на група свързани клиенти е наименованието на дружеството майка или когато групата свързани клиенти няма дружество майка — търговското наименование на групата.</w:t>
            </w:r>
          </w:p>
        </w:tc>
      </w:tr>
      <w:tr w:rsidR="00FE5D6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FE5D64" w:rsidRDefault="00E40776">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1BCAD495" w:rsidR="00FE5D64" w:rsidRPr="003220B9" w:rsidRDefault="00956CAC">
            <w:pPr>
              <w:pStyle w:val="P68B1DB1-TableParagraph14"/>
              <w:spacing w:before="108"/>
              <w:ind w:left="85"/>
              <w:jc w:val="both"/>
              <w:rPr>
                <w:bCs/>
                <w:lang w:val="bg-BG"/>
              </w:rPr>
            </w:pPr>
            <w:r>
              <w:rPr>
                <w:lang w:val="bg-BG"/>
              </w:rPr>
              <w:t>Код</w:t>
            </w:r>
          </w:p>
          <w:p w14:paraId="188AB748" w14:textId="77777777" w:rsidR="00FE5D64" w:rsidRDefault="00E40776">
            <w:pPr>
              <w:pStyle w:val="P68B1DB1-TableParagraph17"/>
              <w:spacing w:before="108"/>
            </w:pPr>
            <w:r>
              <w:t xml:space="preserve">Кодът на основния контрагент или на групата свързани клиенти. </w:t>
            </w:r>
          </w:p>
          <w:p w14:paraId="0DD02B7A" w14:textId="6A2A02C2" w:rsidR="00FE5D64" w:rsidRDefault="00E40776">
            <w:pPr>
              <w:pStyle w:val="P68B1DB1-TableParagraph13"/>
              <w:spacing w:before="108"/>
              <w:rPr>
                <w:bCs/>
              </w:rPr>
            </w:pPr>
            <w:r>
              <w:t xml:space="preserve">За институции </w:t>
            </w:r>
            <w:r w:rsidR="00956CAC" w:rsidRPr="00956CAC">
              <w:t>с идентификационен код на правния субект (ИКПС)</w:t>
            </w:r>
            <w:r w:rsidR="00956CAC">
              <w:rPr>
                <w:lang w:val="bg-BG"/>
              </w:rPr>
              <w:t>,</w:t>
            </w:r>
            <w:r w:rsidR="00956CAC" w:rsidRPr="00956CAC">
              <w:t xml:space="preserve"> </w:t>
            </w:r>
            <w:r w:rsidR="00956CAC">
              <w:rPr>
                <w:lang w:val="bg-BG"/>
              </w:rPr>
              <w:t>кодът е</w:t>
            </w:r>
            <w:r w:rsidR="00956CAC">
              <w:t xml:space="preserve"> </w:t>
            </w:r>
            <w:r>
              <w:t>20-</w:t>
            </w:r>
            <w:r w:rsidR="00C8504A">
              <w:rPr>
                <w:lang w:val="bg-BG"/>
              </w:rPr>
              <w:t>знаковият</w:t>
            </w:r>
            <w:r w:rsidR="00C8504A">
              <w:t xml:space="preserve"> </w:t>
            </w:r>
            <w:r>
              <w:t>буквено-цифров ИКПС;</w:t>
            </w:r>
          </w:p>
          <w:p w14:paraId="7FE1B7D4" w14:textId="1615FD55" w:rsidR="00FE5D64" w:rsidRDefault="00E40776">
            <w:pPr>
              <w:pStyle w:val="P68B1DB1-TableParagraph13"/>
              <w:spacing w:before="108"/>
              <w:jc w:val="both"/>
              <w:rPr>
                <w:rFonts w:eastAsia="Cambria"/>
              </w:rPr>
            </w:pPr>
            <w:r>
              <w:t>Ако</w:t>
            </w:r>
            <w:r w:rsidR="00C8504A">
              <w:rPr>
                <w:lang w:val="bg-BG"/>
              </w:rPr>
              <w:t xml:space="preserve"> </w:t>
            </w:r>
            <w:r>
              <w:t xml:space="preserve">не е наличен, се използва кодът на ПФИ или код </w:t>
            </w:r>
            <w:r w:rsidR="00956CAC">
              <w:rPr>
                <w:lang w:val="bg-BG"/>
              </w:rPr>
              <w:t>по</w:t>
            </w:r>
            <w:r w:rsidR="00C8504A">
              <w:rPr>
                <w:lang w:val="bg-BG"/>
              </w:rPr>
              <w:t xml:space="preserve"> </w:t>
            </w:r>
            <w:r w:rsidR="00193473">
              <w:rPr>
                <w:lang w:val="bg-BG"/>
              </w:rPr>
              <w:t>единната</w:t>
            </w:r>
            <w:r>
              <w:t xml:space="preserve"> кодификация, приложима в Съюза.</w:t>
            </w:r>
          </w:p>
          <w:p w14:paraId="7FE1B7D5" w14:textId="1226FCB1" w:rsidR="00FE5D64" w:rsidRDefault="00E40776" w:rsidP="00C8504A">
            <w:pPr>
              <w:pStyle w:val="P68B1DB1-TableParagraph17"/>
              <w:spacing w:before="108"/>
              <w:ind w:left="85"/>
              <w:jc w:val="both"/>
            </w:pPr>
            <w:r>
              <w:t xml:space="preserve">Кодът е </w:t>
            </w:r>
            <w:r w:rsidR="00956CAC">
              <w:rPr>
                <w:lang w:val="bg-BG"/>
              </w:rPr>
              <w:t>уникален</w:t>
            </w:r>
            <w:r w:rsidR="00956CAC">
              <w:t xml:space="preserve"> </w:t>
            </w:r>
            <w:r>
              <w:t>и се използва последователно във всички образци.</w:t>
            </w:r>
          </w:p>
        </w:tc>
      </w:tr>
      <w:tr w:rsidR="00FE5D6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FE5D64" w:rsidRDefault="00E40776">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FE5D64" w:rsidRDefault="00E40776">
            <w:pPr>
              <w:pStyle w:val="P68B1DB1-TableParagraph14"/>
              <w:spacing w:before="108"/>
              <w:ind w:left="85"/>
              <w:jc w:val="both"/>
              <w:rPr>
                <w:bCs/>
              </w:rPr>
            </w:pPr>
            <w:r>
              <w:t>Вид код</w:t>
            </w:r>
          </w:p>
          <w:p w14:paraId="2BEBBD8E" w14:textId="0525E915" w:rsidR="00FE5D64" w:rsidRDefault="00E40776">
            <w:pPr>
              <w:pStyle w:val="P68B1DB1-TableParagraph13"/>
              <w:spacing w:before="108"/>
              <w:rPr>
                <w:bCs/>
              </w:rPr>
            </w:pPr>
            <w:r>
              <w:t>Избира се измежду следните варианти: „ИКПС</w:t>
            </w:r>
            <w:r w:rsidR="00956CAC">
              <w:rPr>
                <w:lang w:val="bg-BG"/>
              </w:rPr>
              <w:t xml:space="preserve">“, </w:t>
            </w:r>
            <w:r>
              <w:t>„Код на ПФИ</w:t>
            </w:r>
            <w:r w:rsidR="00956CAC">
              <w:rPr>
                <w:lang w:val="bg-BG"/>
              </w:rPr>
              <w:t xml:space="preserve">“ </w:t>
            </w:r>
            <w:r>
              <w:t>или „Вид идентификатор, различен от ИКПС или код на ПФИ“.</w:t>
            </w:r>
          </w:p>
          <w:p w14:paraId="5CA49443" w14:textId="30D8A3AF" w:rsidR="00FE5D64" w:rsidRDefault="00E40776">
            <w:pPr>
              <w:pStyle w:val="P68B1DB1-TableParagraph13"/>
              <w:spacing w:before="108" w:line="276" w:lineRule="auto"/>
              <w:ind w:left="85"/>
              <w:jc w:val="both"/>
              <w:rPr>
                <w:color w:val="000000"/>
              </w:rPr>
            </w:pPr>
            <w:r>
              <w:t>Идентифицирането на субектите се извършва по последователен начин във всички образци.</w:t>
            </w:r>
          </w:p>
          <w:p w14:paraId="7FE1B7DA" w14:textId="4204707F" w:rsidR="00FE5D64" w:rsidRDefault="00FE5D64">
            <w:pPr>
              <w:pStyle w:val="TableParagraph"/>
              <w:spacing w:before="108"/>
              <w:rPr>
                <w:rFonts w:ascii="Times New Roman" w:hAnsi="Times New Roman" w:cs="Times New Roman"/>
                <w:color w:val="000000" w:themeColor="text1"/>
                <w:sz w:val="20"/>
                <w:szCs w:val="20"/>
              </w:rPr>
            </w:pPr>
          </w:p>
        </w:tc>
      </w:tr>
      <w:tr w:rsidR="00FE5D6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FE5D64" w:rsidRDefault="00E40776">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004551E8" w:rsidR="00FE5D64" w:rsidRPr="003220B9" w:rsidRDefault="00E40776">
            <w:pPr>
              <w:pStyle w:val="P68B1DB1-TableParagraph14"/>
              <w:spacing w:before="108"/>
              <w:ind w:left="85"/>
              <w:jc w:val="both"/>
              <w:rPr>
                <w:bCs/>
                <w:lang w:val="bg-BG"/>
              </w:rPr>
            </w:pPr>
            <w:r>
              <w:t xml:space="preserve">Група или отделен </w:t>
            </w:r>
            <w:r w:rsidR="00C8504A">
              <w:rPr>
                <w:lang w:val="bg-BG"/>
              </w:rPr>
              <w:t>контрагент</w:t>
            </w:r>
          </w:p>
          <w:p w14:paraId="4E4D0057" w14:textId="1A6B6DEC" w:rsidR="00FE5D64" w:rsidRDefault="00E40776">
            <w:pPr>
              <w:pStyle w:val="P68B1DB1-Normal18"/>
              <w:ind w:left="85"/>
            </w:pPr>
            <w:r>
              <w:t xml:space="preserve">Институцията </w:t>
            </w:r>
            <w:r w:rsidR="00C22E31">
              <w:rPr>
                <w:lang w:val="bg-BG"/>
              </w:rPr>
              <w:t>посочва</w:t>
            </w:r>
            <w:r>
              <w:t>:</w:t>
            </w:r>
          </w:p>
          <w:p w14:paraId="0242F822" w14:textId="5242FFA2" w:rsidR="00FE5D64" w:rsidRDefault="00E40776">
            <w:pPr>
              <w:pStyle w:val="P68B1DB1-ListParagraph25"/>
              <w:numPr>
                <w:ilvl w:val="0"/>
                <w:numId w:val="297"/>
              </w:numPr>
            </w:pPr>
            <w:r>
              <w:t>Отделни контрагенти</w:t>
            </w:r>
          </w:p>
          <w:p w14:paraId="7FE1B7DE" w14:textId="6F55D54C" w:rsidR="00FE5D64" w:rsidRDefault="00E40776">
            <w:pPr>
              <w:pStyle w:val="P68B1DB1-ListParagraph25"/>
              <w:numPr>
                <w:ilvl w:val="0"/>
                <w:numId w:val="297"/>
              </w:numPr>
            </w:pPr>
            <w:r>
              <w:lastRenderedPageBreak/>
              <w:t>Групи от свързани клиенти.</w:t>
            </w:r>
          </w:p>
        </w:tc>
      </w:tr>
      <w:tr w:rsidR="00FE5D6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FE5D64" w:rsidRDefault="00E40776">
            <w:pPr>
              <w:pStyle w:val="P68B1DB1-TableParagraph17"/>
              <w:spacing w:before="108"/>
              <w:ind w:left="85"/>
              <w:jc w:val="both"/>
            </w:pPr>
            <w:r>
              <w:lastRenderedPageBreak/>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FE5D64" w:rsidRDefault="00E40776">
            <w:pPr>
              <w:pStyle w:val="P68B1DB1-TableParagraph14"/>
              <w:spacing w:before="108"/>
              <w:ind w:left="85"/>
              <w:jc w:val="both"/>
              <w:rPr>
                <w:bCs/>
              </w:rPr>
            </w:pPr>
            <w:r>
              <w:t>Държава</w:t>
            </w:r>
          </w:p>
          <w:p w14:paraId="7FE1B7E2" w14:textId="021026B2" w:rsidR="00FE5D64" w:rsidRDefault="00E40776">
            <w:pPr>
              <w:pStyle w:val="P68B1DB1-Normal18"/>
              <w:spacing w:before="108"/>
              <w:ind w:left="85"/>
              <w:contextualSpacing/>
              <w:jc w:val="both"/>
            </w:pPr>
            <w:r>
              <w:t>Кодът на държавата (по ISO 3166—1-alpha-2)</w:t>
            </w:r>
            <w:r w:rsidR="0091601D">
              <w:rPr>
                <w:lang w:val="bg-BG"/>
              </w:rPr>
              <w:t>, в която е учреден</w:t>
            </w:r>
            <w:r>
              <w:t xml:space="preserve"> контрагент</w:t>
            </w:r>
            <w:r w:rsidR="0091601D">
              <w:rPr>
                <w:lang w:val="bg-BG"/>
              </w:rPr>
              <w:t>ът</w:t>
            </w:r>
            <w:r>
              <w:t xml:space="preserve">. Това включва псевдокодовете по ISO за международните организации, публикувани в последното издание на наръчника на Евростат относно платежния баланс. </w:t>
            </w:r>
          </w:p>
          <w:p w14:paraId="7FE1B7E3" w14:textId="32FD680B" w:rsidR="00FE5D64" w:rsidRDefault="00E40776" w:rsidP="00F41695">
            <w:pPr>
              <w:pStyle w:val="P68B1DB1-TableParagraph17"/>
              <w:spacing w:before="108"/>
              <w:ind w:left="85"/>
              <w:jc w:val="both"/>
            </w:pPr>
            <w:r>
              <w:t>Държавата се определя според местоположението на седалището на контрагента. За групите свързани клиенти това е държавата</w:t>
            </w:r>
            <w:r w:rsidR="00627725">
              <w:rPr>
                <w:lang w:val="bg-BG"/>
              </w:rPr>
              <w:t>, в която е учредено</w:t>
            </w:r>
            <w:r>
              <w:t xml:space="preserve"> дружеството майка. </w:t>
            </w:r>
          </w:p>
        </w:tc>
      </w:tr>
      <w:tr w:rsidR="00FE5D6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FE5D64" w:rsidRDefault="00E40776">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FE5D64" w:rsidRDefault="00E40776">
            <w:pPr>
              <w:pStyle w:val="P68B1DB1-TableParagraph14"/>
              <w:spacing w:before="108"/>
              <w:ind w:left="85"/>
              <w:jc w:val="both"/>
              <w:rPr>
                <w:bCs/>
              </w:rPr>
            </w:pPr>
            <w:r>
              <w:t>Сектор</w:t>
            </w:r>
          </w:p>
          <w:p w14:paraId="7FE1B7E7" w14:textId="77777777" w:rsidR="00FE5D64" w:rsidRDefault="00E40776">
            <w:pPr>
              <w:pStyle w:val="P68B1DB1-TableParagraph17"/>
              <w:spacing w:before="108"/>
              <w:ind w:left="85"/>
              <w:jc w:val="both"/>
            </w:pPr>
            <w:r>
              <w:t>Всеки контрагент се разпределя в отделен икономически сектор според класовете икономически сектори съгласно FINREP (FINREP, приложение V, част 1, глава 6):</w:t>
            </w:r>
          </w:p>
          <w:p w14:paraId="7FE1B7E8" w14:textId="6156FD4D" w:rsidR="00FE5D64" w:rsidRPr="00B7613E" w:rsidRDefault="00B7613E">
            <w:pPr>
              <w:pStyle w:val="P68B1DB1-List127"/>
              <w:numPr>
                <w:ilvl w:val="0"/>
                <w:numId w:val="64"/>
              </w:numPr>
              <w:rPr>
                <w:lang w:val="bg-BG"/>
              </w:rPr>
            </w:pPr>
            <w:r w:rsidRPr="00B7613E">
              <w:rPr>
                <w:lang w:val="bg-BG"/>
              </w:rPr>
              <w:t>Ц</w:t>
            </w:r>
            <w:r w:rsidR="00E40776" w:rsidRPr="00B7613E">
              <w:rPr>
                <w:lang w:val="bg-BG"/>
              </w:rPr>
              <w:t>ентрални банки;</w:t>
            </w:r>
          </w:p>
          <w:p w14:paraId="7FE1B7E9" w14:textId="7FDA3F2A" w:rsidR="00FE5D64" w:rsidRPr="00B7613E" w:rsidRDefault="00B7613E">
            <w:pPr>
              <w:pStyle w:val="P68B1DB1-List127"/>
              <w:numPr>
                <w:ilvl w:val="0"/>
                <w:numId w:val="64"/>
              </w:numPr>
              <w:rPr>
                <w:lang w:val="bg-BG"/>
              </w:rPr>
            </w:pPr>
            <w:r w:rsidRPr="00B7613E">
              <w:rPr>
                <w:lang w:val="bg-BG"/>
              </w:rPr>
              <w:t>С</w:t>
            </w:r>
            <w:r w:rsidR="00E40776" w:rsidRPr="00B7613E">
              <w:rPr>
                <w:lang w:val="bg-BG"/>
              </w:rPr>
              <w:t>ектор „Държавно управление“</w:t>
            </w:r>
          </w:p>
          <w:p w14:paraId="7FE1B7EA" w14:textId="3E8D2B37" w:rsidR="00FE5D64" w:rsidRPr="00B7613E" w:rsidRDefault="00B7613E">
            <w:pPr>
              <w:pStyle w:val="P68B1DB1-List127"/>
              <w:numPr>
                <w:ilvl w:val="0"/>
                <w:numId w:val="64"/>
              </w:numPr>
              <w:rPr>
                <w:lang w:val="bg-BG"/>
              </w:rPr>
            </w:pPr>
            <w:r>
              <w:rPr>
                <w:lang w:val="bg-BG"/>
              </w:rPr>
              <w:t>К</w:t>
            </w:r>
            <w:r w:rsidR="00E40776" w:rsidRPr="00B7613E">
              <w:rPr>
                <w:lang w:val="bg-BG"/>
              </w:rPr>
              <w:t xml:space="preserve">редитни институции </w:t>
            </w:r>
          </w:p>
          <w:p w14:paraId="7FE1B7EB" w14:textId="77777777" w:rsidR="00FE5D64" w:rsidRPr="00B7613E" w:rsidRDefault="00E40776">
            <w:pPr>
              <w:pStyle w:val="P68B1DB1-List127"/>
              <w:numPr>
                <w:ilvl w:val="0"/>
                <w:numId w:val="64"/>
              </w:numPr>
              <w:rPr>
                <w:lang w:val="bg-BG"/>
              </w:rPr>
            </w:pPr>
            <w:r w:rsidRPr="00B7613E">
              <w:rPr>
                <w:lang w:val="bg-BG"/>
              </w:rPr>
              <w:t>Други финансови предприятия</w:t>
            </w:r>
          </w:p>
          <w:p w14:paraId="7FE1B7EC" w14:textId="7B96DE35" w:rsidR="00FE5D64" w:rsidRPr="00B7613E" w:rsidRDefault="00B7613E">
            <w:pPr>
              <w:pStyle w:val="P68B1DB1-List127"/>
              <w:numPr>
                <w:ilvl w:val="0"/>
                <w:numId w:val="64"/>
              </w:numPr>
              <w:rPr>
                <w:lang w:val="bg-BG"/>
              </w:rPr>
            </w:pPr>
            <w:r>
              <w:rPr>
                <w:lang w:val="bg-BG"/>
              </w:rPr>
              <w:t>Н</w:t>
            </w:r>
            <w:r w:rsidR="00E40776" w:rsidRPr="00B7613E">
              <w:rPr>
                <w:lang w:val="bg-BG"/>
              </w:rPr>
              <w:t>ефинансови предприятия</w:t>
            </w:r>
          </w:p>
          <w:p w14:paraId="7FE1B7ED" w14:textId="1AF6F3F6" w:rsidR="00FE5D64" w:rsidRPr="00B7613E" w:rsidRDefault="00B7613E">
            <w:pPr>
              <w:pStyle w:val="P68B1DB1-List127"/>
              <w:numPr>
                <w:ilvl w:val="0"/>
                <w:numId w:val="64"/>
              </w:numPr>
              <w:rPr>
                <w:lang w:val="bg-BG"/>
              </w:rPr>
            </w:pPr>
            <w:r>
              <w:rPr>
                <w:lang w:val="bg-BG"/>
              </w:rPr>
              <w:t>Д</w:t>
            </w:r>
            <w:r w:rsidR="00E40776" w:rsidRPr="00B7613E">
              <w:rPr>
                <w:lang w:val="bg-BG"/>
              </w:rPr>
              <w:t>омакинства</w:t>
            </w:r>
          </w:p>
          <w:p w14:paraId="7FE1B7EE" w14:textId="77777777" w:rsidR="00FE5D64" w:rsidRDefault="00E40776">
            <w:pPr>
              <w:pStyle w:val="P68B1DB1-TableParagraph17"/>
              <w:spacing w:before="108"/>
              <w:ind w:left="85"/>
              <w:jc w:val="both"/>
            </w:pPr>
            <w:r>
              <w:t>За групи от свързани клиенти не се посочва сектор.</w:t>
            </w:r>
          </w:p>
        </w:tc>
      </w:tr>
      <w:tr w:rsidR="00FE5D6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FE5D64" w:rsidRDefault="00E40776">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FE5D64" w:rsidRDefault="00E40776">
            <w:pPr>
              <w:pStyle w:val="P68B1DB1-TableParagraph14"/>
              <w:spacing w:before="108"/>
              <w:ind w:left="85"/>
              <w:jc w:val="both"/>
              <w:rPr>
                <w:bCs/>
              </w:rPr>
            </w:pPr>
            <w:r>
              <w:t>Вид</w:t>
            </w:r>
          </w:p>
          <w:p w14:paraId="7FE1B7F2" w14:textId="1E349793" w:rsidR="00FE5D64" w:rsidRDefault="00E40776">
            <w:pPr>
              <w:pStyle w:val="P68B1DB1-Normal18"/>
              <w:spacing w:before="108"/>
              <w:ind w:left="85"/>
              <w:jc w:val="both"/>
            </w:pPr>
            <w:r>
              <w:t xml:space="preserve">Видът задължение е един от видовете задължения, изброени в образец </w:t>
            </w:r>
            <w:r w:rsidR="00024A40">
              <w:rPr>
                <w:lang w:val="en-US"/>
              </w:rPr>
              <w:t>Z</w:t>
            </w:r>
            <w:r>
              <w:t>02.00 — Структура на задълженията (LIAB 1), а именно:</w:t>
            </w:r>
          </w:p>
          <w:p w14:paraId="7FE1B7F3" w14:textId="48BF9FD1" w:rsidR="00FE5D64" w:rsidRDefault="00E40776">
            <w:pPr>
              <w:pStyle w:val="P68B1DB1-ListParagraph25"/>
              <w:numPr>
                <w:ilvl w:val="0"/>
                <w:numId w:val="298"/>
              </w:numPr>
              <w:spacing w:before="108"/>
              <w:jc w:val="both"/>
            </w:pPr>
            <w:r>
              <w:t>Задължения, изключени от</w:t>
            </w:r>
            <w:r w:rsidR="00024A40">
              <w:rPr>
                <w:lang w:val="bg-BG"/>
              </w:rPr>
              <w:t xml:space="preserve"> обхвата на инструмента за</w:t>
            </w:r>
            <w:r>
              <w:t xml:space="preserve"> </w:t>
            </w:r>
            <w:r w:rsidR="00216175">
              <w:rPr>
                <w:lang w:val="bg-BG"/>
              </w:rPr>
              <w:t>с</w:t>
            </w:r>
            <w:r>
              <w:t>поделяне на загуби;</w:t>
            </w:r>
          </w:p>
          <w:p w14:paraId="7FE1B7F4" w14:textId="7A62EFA9" w:rsidR="00FE5D64" w:rsidRDefault="00E40776">
            <w:pPr>
              <w:pStyle w:val="P68B1DB1-ListParagraph25"/>
              <w:numPr>
                <w:ilvl w:val="0"/>
                <w:numId w:val="298"/>
              </w:numPr>
              <w:spacing w:before="108"/>
              <w:jc w:val="both"/>
            </w:pPr>
            <w:r>
              <w:t xml:space="preserve">Депозити, които не са гарантирани, но са </w:t>
            </w:r>
            <w:r w:rsidR="00024A40">
              <w:rPr>
                <w:lang w:val="bg-BG"/>
              </w:rPr>
              <w:t>преференциални</w:t>
            </w:r>
          </w:p>
          <w:p w14:paraId="7FE1B7F5" w14:textId="40912553" w:rsidR="00FE5D64" w:rsidRDefault="00E40776">
            <w:pPr>
              <w:pStyle w:val="P68B1DB1-ListParagraph25"/>
              <w:numPr>
                <w:ilvl w:val="0"/>
                <w:numId w:val="298"/>
              </w:numPr>
              <w:spacing w:before="108"/>
              <w:jc w:val="both"/>
            </w:pPr>
            <w:r>
              <w:t xml:space="preserve">Депозити, които не са гарантирани и не са </w:t>
            </w:r>
            <w:r w:rsidR="00024A40">
              <w:rPr>
                <w:lang w:val="bg-BG"/>
              </w:rPr>
              <w:t>преференциални</w:t>
            </w:r>
          </w:p>
          <w:p w14:paraId="7FE1B7F6" w14:textId="71A166CE" w:rsidR="00FE5D64" w:rsidRDefault="00E40776">
            <w:pPr>
              <w:pStyle w:val="P68B1DB1-ListParagraph25"/>
              <w:numPr>
                <w:ilvl w:val="0"/>
                <w:numId w:val="298"/>
              </w:numPr>
              <w:spacing w:before="108"/>
              <w:jc w:val="both"/>
            </w:pPr>
            <w:r>
              <w:t>Задължения, произтичащи от деривати;</w:t>
            </w:r>
          </w:p>
          <w:p w14:paraId="7FE1B7F7" w14:textId="1B51AF9B" w:rsidR="00FE5D64" w:rsidRDefault="00024A40">
            <w:pPr>
              <w:pStyle w:val="P68B1DB1-ListParagraph25"/>
              <w:numPr>
                <w:ilvl w:val="0"/>
                <w:numId w:val="298"/>
              </w:numPr>
              <w:spacing w:before="108"/>
              <w:jc w:val="both"/>
            </w:pPr>
            <w:r>
              <w:rPr>
                <w:lang w:val="bg-BG"/>
              </w:rPr>
              <w:t>О</w:t>
            </w:r>
            <w:r w:rsidR="00E40776">
              <w:t>безпечени задължения</w:t>
            </w:r>
            <w:r>
              <w:rPr>
                <w:lang w:val="bg-BG"/>
              </w:rPr>
              <w:t xml:space="preserve"> – необезпечена част</w:t>
            </w:r>
          </w:p>
          <w:p w14:paraId="7FE1B7F8" w14:textId="73D53058" w:rsidR="00FE5D64" w:rsidRDefault="00E40776">
            <w:pPr>
              <w:pStyle w:val="P68B1DB1-ListParagraph25"/>
              <w:numPr>
                <w:ilvl w:val="0"/>
                <w:numId w:val="298"/>
              </w:numPr>
              <w:spacing w:before="108"/>
              <w:jc w:val="both"/>
            </w:pPr>
            <w:r>
              <w:t>Структурирани облигации</w:t>
            </w:r>
          </w:p>
          <w:p w14:paraId="7FE1B7F9" w14:textId="54AC9980" w:rsidR="00FE5D64" w:rsidRDefault="00E40776">
            <w:pPr>
              <w:pStyle w:val="P68B1DB1-ListParagraph25"/>
              <w:numPr>
                <w:ilvl w:val="0"/>
                <w:numId w:val="298"/>
              </w:numPr>
              <w:spacing w:before="108"/>
              <w:jc w:val="both"/>
            </w:pPr>
            <w:r>
              <w:t>Първостепенни необезпечени задължения</w:t>
            </w:r>
          </w:p>
          <w:p w14:paraId="7FE1B7FA" w14:textId="7C89B550" w:rsidR="00FE5D64" w:rsidRDefault="00E40776">
            <w:pPr>
              <w:pStyle w:val="P68B1DB1-ListParagraph25"/>
              <w:numPr>
                <w:ilvl w:val="0"/>
                <w:numId w:val="298"/>
              </w:numPr>
              <w:spacing w:before="108"/>
              <w:jc w:val="both"/>
            </w:pPr>
            <w:r>
              <w:t>Непривилегировани първостепенни задължения;</w:t>
            </w:r>
          </w:p>
          <w:p w14:paraId="7FE1B7FB" w14:textId="4AE6B3BE" w:rsidR="00FE5D64" w:rsidRDefault="00024A40">
            <w:pPr>
              <w:pStyle w:val="P68B1DB1-ListParagraph25"/>
              <w:numPr>
                <w:ilvl w:val="0"/>
                <w:numId w:val="298"/>
              </w:numPr>
              <w:spacing w:before="108"/>
              <w:jc w:val="both"/>
            </w:pPr>
            <w:r>
              <w:rPr>
                <w:lang w:val="bg-BG"/>
              </w:rPr>
              <w:t>Подчинени</w:t>
            </w:r>
            <w:r>
              <w:t xml:space="preserve"> </w:t>
            </w:r>
            <w:r w:rsidR="00E40776">
              <w:t xml:space="preserve">задължения (които не са признати за собствен </w:t>
            </w:r>
            <w:r w:rsidR="00A27920">
              <w:rPr>
                <w:lang w:val="bg-BG"/>
              </w:rPr>
              <w:t>капитал</w:t>
            </w:r>
            <w:r w:rsidR="00E40776">
              <w:t>)</w:t>
            </w:r>
          </w:p>
          <w:p w14:paraId="7FE1B7FC" w14:textId="0F8A49FB" w:rsidR="00FE5D64" w:rsidRDefault="00E40776">
            <w:pPr>
              <w:pStyle w:val="P68B1DB1-ListParagraph25"/>
              <w:numPr>
                <w:ilvl w:val="0"/>
                <w:numId w:val="298"/>
              </w:numPr>
              <w:spacing w:before="108"/>
              <w:jc w:val="both"/>
            </w:pPr>
            <w:r>
              <w:t xml:space="preserve">Други приемливи задължения </w:t>
            </w:r>
            <w:r w:rsidR="00A27920">
              <w:rPr>
                <w:lang w:val="bg-BG"/>
              </w:rPr>
              <w:t>за целите на</w:t>
            </w:r>
            <w:r w:rsidR="00A27920">
              <w:t xml:space="preserve"> </w:t>
            </w:r>
            <w:r>
              <w:t>минималното изискване за собствен капитал и приемливи задължения (МИ</w:t>
            </w:r>
            <w:r w:rsidR="00A27920">
              <w:rPr>
                <w:lang w:val="bg-BG"/>
              </w:rPr>
              <w:t>СК</w:t>
            </w:r>
            <w:r>
              <w:t>ПЗ)</w:t>
            </w:r>
          </w:p>
          <w:p w14:paraId="7FE1B7FD" w14:textId="29E846ED" w:rsidR="00FE5D64" w:rsidRDefault="00E40776">
            <w:pPr>
              <w:pStyle w:val="P68B1DB1-ListParagraph25"/>
              <w:numPr>
                <w:ilvl w:val="0"/>
                <w:numId w:val="298"/>
              </w:numPr>
              <w:spacing w:before="108"/>
              <w:jc w:val="both"/>
            </w:pPr>
            <w:r>
              <w:t>Нефинансови задължения</w:t>
            </w:r>
          </w:p>
          <w:p w14:paraId="7FE1B7FE" w14:textId="4744E060" w:rsidR="00FE5D64" w:rsidRDefault="00A27920">
            <w:pPr>
              <w:pStyle w:val="P68B1DB1-ListParagraph25"/>
              <w:numPr>
                <w:ilvl w:val="0"/>
                <w:numId w:val="298"/>
              </w:numPr>
              <w:spacing w:before="108"/>
              <w:jc w:val="both"/>
            </w:pPr>
            <w:r>
              <w:rPr>
                <w:lang w:val="bg-BG"/>
              </w:rPr>
              <w:t>Други</w:t>
            </w:r>
            <w:r>
              <w:t xml:space="preserve"> </w:t>
            </w:r>
            <w:r w:rsidR="00E40776">
              <w:t>задължения</w:t>
            </w:r>
          </w:p>
          <w:p w14:paraId="7FE1B7FF" w14:textId="77777777" w:rsidR="00FE5D64" w:rsidRDefault="00E40776">
            <w:pPr>
              <w:pStyle w:val="P68B1DB1-TableParagraph17"/>
              <w:spacing w:before="108"/>
              <w:ind w:left="85"/>
              <w:jc w:val="both"/>
            </w:pPr>
            <w:r>
              <w:t>Ако задълженията към основен контрагент се състоят от повече от един от посочените по-горе видове, всеки вид задължение се отчита на отделен ред.</w:t>
            </w:r>
          </w:p>
        </w:tc>
      </w:tr>
      <w:tr w:rsidR="00FE5D6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FE5D64" w:rsidRDefault="00E40776">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14DD25D3" w:rsidR="00FE5D64" w:rsidRPr="003220B9" w:rsidRDefault="00E40776">
            <w:pPr>
              <w:pStyle w:val="P68B1DB1-TableParagraph14"/>
              <w:spacing w:before="108"/>
              <w:ind w:left="85"/>
              <w:jc w:val="both"/>
              <w:rPr>
                <w:bCs/>
                <w:lang w:val="bg-BG"/>
              </w:rPr>
            </w:pPr>
            <w:r w:rsidRPr="00216175">
              <w:t>Сума</w:t>
            </w:r>
          </w:p>
          <w:p w14:paraId="7FE1B803" w14:textId="2647D478" w:rsidR="00FE5D64" w:rsidRDefault="00E40776">
            <w:pPr>
              <w:pStyle w:val="P68B1DB1-TableParagraph17"/>
              <w:spacing w:before="108"/>
              <w:ind w:left="85"/>
              <w:jc w:val="both"/>
            </w:pPr>
            <w:r>
              <w:t>Сумата се равнява на определението за „неизплатена сума“, както се изисква в образеца Z 03.00 — Структура на задълженията. В случай на задължения, произтичащи от деривати, се отчитат сумите при приключване</w:t>
            </w:r>
            <w:r w:rsidR="004739CA">
              <w:rPr>
                <w:lang w:val="bg-BG"/>
              </w:rPr>
              <w:t xml:space="preserve"> на сделките</w:t>
            </w:r>
            <w:r>
              <w:t>, определени за целите на образец Z 02.00, ред 0333 (LIAB 1).</w:t>
            </w:r>
          </w:p>
        </w:tc>
      </w:tr>
    </w:tbl>
    <w:p w14:paraId="7FE1B805" w14:textId="77777777" w:rsidR="00FE5D64" w:rsidRDefault="00FE5D64">
      <w:pPr>
        <w:pStyle w:val="body"/>
        <w:rPr>
          <w:rFonts w:ascii="Times New Roman" w:hAnsi="Times New Roman" w:cs="Times New Roman"/>
          <w:color w:val="000000" w:themeColor="text1"/>
          <w:sz w:val="20"/>
          <w:szCs w:val="20"/>
        </w:rPr>
      </w:pPr>
    </w:p>
    <w:p w14:paraId="7FE1B806" w14:textId="6AEB6242" w:rsidR="00FE5D64" w:rsidRDefault="00E40776">
      <w:pPr>
        <w:pStyle w:val="P68B1DB1-Instructionsberschrift25"/>
        <w:numPr>
          <w:ilvl w:val="1"/>
          <w:numId w:val="49"/>
        </w:numPr>
        <w:ind w:left="357" w:hanging="357"/>
      </w:pPr>
      <w:bookmarkStart w:id="76" w:name="_Toc81454185"/>
      <w:r>
        <w:lastRenderedPageBreak/>
        <w:t xml:space="preserve">Z 05.02 — </w:t>
      </w:r>
      <w:r w:rsidR="00140941">
        <w:rPr>
          <w:lang w:val="bg-BG"/>
        </w:rPr>
        <w:t>Зад</w:t>
      </w:r>
      <w:r>
        <w:t>балансови позиции от основни контрагенти (LIAB 6)</w:t>
      </w:r>
    </w:p>
    <w:p w14:paraId="7FE1B807" w14:textId="25565E0C" w:rsidR="00FE5D64" w:rsidRPr="001118F2" w:rsidRDefault="00E40776">
      <w:pPr>
        <w:pStyle w:val="P68B1DB1-body26"/>
        <w:rPr>
          <w:rFonts w:ascii="Times New Roman" w:hAnsi="Times New Roman" w:cs="Times New Roman"/>
          <w:sz w:val="20"/>
        </w:rPr>
      </w:pPr>
      <w:r w:rsidRPr="001118F2">
        <w:rPr>
          <w:rFonts w:ascii="Times New Roman" w:hAnsi="Times New Roman" w:cs="Times New Roman"/>
          <w:sz w:val="20"/>
        </w:rPr>
        <w:t xml:space="preserve">Указания относно </w:t>
      </w:r>
      <w:r w:rsidR="00750741" w:rsidRPr="001118F2">
        <w:rPr>
          <w:rFonts w:ascii="Times New Roman" w:hAnsi="Times New Roman" w:cs="Times New Roman"/>
          <w:sz w:val="20"/>
          <w:lang w:val="bg-BG"/>
        </w:rPr>
        <w:t>определени</w:t>
      </w:r>
      <w:r w:rsidR="00216175" w:rsidRPr="001118F2">
        <w:rPr>
          <w:rFonts w:ascii="Times New Roman" w:hAnsi="Times New Roman" w:cs="Times New Roman"/>
          <w:sz w:val="20"/>
        </w:rPr>
        <w:t xml:space="preserve"> </w:t>
      </w:r>
      <w:r w:rsidRPr="001118F2">
        <w:rPr>
          <w:rFonts w:ascii="Times New Roman" w:hAnsi="Times New Roman" w:cs="Times New Roman"/>
          <w:sz w:val="20"/>
        </w:rPr>
        <w:t>позиции</w:t>
      </w:r>
      <w:bookmarkEnd w:id="76"/>
    </w:p>
    <w:p w14:paraId="7FE1B808" w14:textId="05E0AC2A" w:rsidR="00FE5D64" w:rsidRDefault="00E40776">
      <w:pPr>
        <w:pStyle w:val="P68B1DB1-InstructionsText26"/>
        <w:numPr>
          <w:ilvl w:val="0"/>
          <w:numId w:val="232"/>
        </w:numPr>
        <w:spacing w:before="0"/>
      </w:pPr>
      <w:r>
        <w:t xml:space="preserve">Комбинацията на стойностите, </w:t>
      </w:r>
      <w:r w:rsidR="00216175">
        <w:rPr>
          <w:lang w:val="bg-BG"/>
        </w:rPr>
        <w:t>отчетени</w:t>
      </w:r>
      <w:r w:rsidR="00216175">
        <w:t xml:space="preserve"> </w:t>
      </w:r>
      <w:r>
        <w:t xml:space="preserve">в колони 0020 и 0060 от настоящия образец, формира първичен код, който трябва да е </w:t>
      </w:r>
      <w:r w:rsidR="004739CA">
        <w:rPr>
          <w:lang w:val="bg-BG"/>
        </w:rPr>
        <w:t>у</w:t>
      </w:r>
      <w:r w:rsidR="00750741">
        <w:rPr>
          <w:lang w:val="bg-BG"/>
        </w:rPr>
        <w:t>никален</w:t>
      </w:r>
      <w:r w:rsidR="004739CA">
        <w:t xml:space="preserve"> </w:t>
      </w:r>
      <w:r>
        <w:t>за всеки ред от образеца.</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FE5D64"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FE5D64" w:rsidRDefault="00E40776">
            <w:pPr>
              <w:pStyle w:val="P68B1DB1-TableParagraph17"/>
              <w:spacing w:before="108"/>
              <w:ind w:left="85"/>
              <w:jc w:val="both"/>
            </w:pPr>
            <w:r>
              <w:t>Колони</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FE5D64" w:rsidRDefault="00E40776">
            <w:pPr>
              <w:pStyle w:val="P68B1DB1-TableParagraph17"/>
              <w:spacing w:before="108"/>
              <w:ind w:left="85" w:right="1"/>
              <w:jc w:val="both"/>
            </w:pPr>
            <w:r>
              <w:t>Указания</w:t>
            </w:r>
          </w:p>
        </w:tc>
      </w:tr>
      <w:tr w:rsidR="00FE5D6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FE5D64" w:rsidRDefault="00E40776">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FE5D64" w:rsidRDefault="00E40776">
            <w:pPr>
              <w:pStyle w:val="P68B1DB1-TableParagraph14"/>
              <w:spacing w:before="108"/>
              <w:ind w:left="85"/>
              <w:jc w:val="both"/>
              <w:rPr>
                <w:bCs/>
              </w:rPr>
            </w:pPr>
            <w:r>
              <w:t>Контрагент</w:t>
            </w:r>
          </w:p>
          <w:p w14:paraId="7FE1B80E" w14:textId="11492571" w:rsidR="00FE5D64" w:rsidRDefault="00E40776">
            <w:pPr>
              <w:pStyle w:val="P68B1DB1-TableParagraph17"/>
              <w:spacing w:before="108"/>
              <w:ind w:left="85"/>
              <w:jc w:val="both"/>
            </w:pPr>
            <w:r>
              <w:t xml:space="preserve">Информация за </w:t>
            </w:r>
            <w:r w:rsidR="00750741">
              <w:t>основните контрагенти</w:t>
            </w:r>
            <w:r w:rsidR="00750741">
              <w:rPr>
                <w:lang w:val="bg-BG"/>
              </w:rPr>
              <w:t xml:space="preserve"> по </w:t>
            </w:r>
            <w:r w:rsidR="00216175">
              <w:t>задбалансовите позиции</w:t>
            </w:r>
            <w:r>
              <w:t>.</w:t>
            </w:r>
          </w:p>
          <w:p w14:paraId="418538D3" w14:textId="4C5D2198" w:rsidR="00F471A8" w:rsidRDefault="00F471A8">
            <w:pPr>
              <w:pStyle w:val="P68B1DB1-TableParagraph17"/>
              <w:spacing w:before="108"/>
              <w:ind w:left="85"/>
              <w:jc w:val="both"/>
              <w:rPr>
                <w:lang w:val="bg-BG"/>
              </w:rPr>
            </w:pPr>
            <w:r>
              <w:rPr>
                <w:lang w:val="bg-BG"/>
              </w:rPr>
              <w:t>Задбалансовите позиции от о</w:t>
            </w:r>
            <w:r w:rsidRPr="00F471A8">
              <w:rPr>
                <w:lang w:val="bg-BG"/>
              </w:rPr>
              <w:t xml:space="preserve">сновните контрагенти се определят, като се съберат общите номинални стойности на поетите задължения и финансовите гаранции (съгласно определеното за целите на FINREP, образец F 09), които субектът или субектите в групата, за които се предоставя информация с настоящия образец, са получили от контрагенти или от група свързани клиенти. От задбалансовите позиции </w:t>
            </w:r>
            <w:r>
              <w:rPr>
                <w:lang w:val="bg-BG"/>
              </w:rPr>
              <w:t xml:space="preserve">от </w:t>
            </w:r>
            <w:r w:rsidRPr="00F471A8">
              <w:rPr>
                <w:lang w:val="bg-BG"/>
              </w:rPr>
              <w:t>основните контрагенти се изключват субектите, включени в консолидираните финансови отчети. След това контрагентите и групите свързани клиенти се подреждат по</w:t>
            </w:r>
            <w:r>
              <w:rPr>
                <w:lang w:val="bg-BG"/>
              </w:rPr>
              <w:t xml:space="preserve"> размера на</w:t>
            </w:r>
            <w:r w:rsidRPr="00F471A8">
              <w:rPr>
                <w:lang w:val="bg-BG"/>
              </w:rPr>
              <w:t xml:space="preserve"> обща</w:t>
            </w:r>
            <w:r>
              <w:rPr>
                <w:lang w:val="bg-BG"/>
              </w:rPr>
              <w:t>та сума</w:t>
            </w:r>
            <w:r w:rsidRPr="00F471A8">
              <w:rPr>
                <w:lang w:val="bg-BG"/>
              </w:rPr>
              <w:t>, за да се установят 10-те най-големи основни контрагент</w:t>
            </w:r>
            <w:r>
              <w:rPr>
                <w:lang w:val="bg-BG"/>
              </w:rPr>
              <w:t>а</w:t>
            </w:r>
            <w:r w:rsidRPr="00F471A8">
              <w:rPr>
                <w:lang w:val="bg-BG"/>
              </w:rPr>
              <w:t xml:space="preserve"> </w:t>
            </w:r>
            <w:r>
              <w:rPr>
                <w:lang w:val="bg-BG"/>
              </w:rPr>
              <w:t>по</w:t>
            </w:r>
            <w:r w:rsidRPr="00F471A8">
              <w:rPr>
                <w:lang w:val="bg-BG"/>
              </w:rPr>
              <w:t xml:space="preserve"> задбалансовите позиции, информация за които се предоставя с настоящия образец.</w:t>
            </w:r>
          </w:p>
          <w:p w14:paraId="7FE1B810" w14:textId="0E4589DC" w:rsidR="00FE5D64" w:rsidRPr="003220B9" w:rsidRDefault="00E40776">
            <w:pPr>
              <w:pStyle w:val="P68B1DB1-Normal18"/>
              <w:spacing w:line="257" w:lineRule="auto"/>
              <w:ind w:left="25"/>
              <w:jc w:val="both"/>
              <w:rPr>
                <w:lang w:val="bg-BG"/>
              </w:rPr>
            </w:pPr>
            <w:r>
              <w:t>Дериватите не трябва да се включват</w:t>
            </w:r>
            <w:r w:rsidR="00F471A8">
              <w:rPr>
                <w:lang w:val="bg-BG"/>
              </w:rPr>
              <w:t xml:space="preserve"> при определянето на десетте най-големи основни контрагента, описано </w:t>
            </w:r>
            <w:r w:rsidR="005C0FFB">
              <w:rPr>
                <w:lang w:val="bg-BG"/>
              </w:rPr>
              <w:t>по-горе</w:t>
            </w:r>
            <w:r>
              <w:t xml:space="preserve">: тук се отчита отделен списък на 5-те най-големи контрагенти по задбалансови деривати, за да се избегне </w:t>
            </w:r>
            <w:r w:rsidR="00F471A8">
              <w:rPr>
                <w:lang w:val="bg-BG"/>
              </w:rPr>
              <w:t>отчитането</w:t>
            </w:r>
            <w:r w:rsidR="005279CA">
              <w:rPr>
                <w:lang w:val="bg-BG"/>
              </w:rPr>
              <w:t xml:space="preserve"> в образец</w:t>
            </w:r>
            <w:r w:rsidR="00F471A8">
              <w:rPr>
                <w:lang w:val="bg-BG"/>
              </w:rPr>
              <w:t xml:space="preserve"> </w:t>
            </w:r>
            <w:r>
              <w:t xml:space="preserve">Z 05.02 само </w:t>
            </w:r>
            <w:r w:rsidR="005279CA">
              <w:rPr>
                <w:lang w:val="bg-BG"/>
              </w:rPr>
              <w:t xml:space="preserve">на </w:t>
            </w:r>
            <w:r>
              <w:t>салдата по деривати.</w:t>
            </w:r>
          </w:p>
          <w:p w14:paraId="7FE1B812" w14:textId="5E923404" w:rsidR="00FE5D64" w:rsidRDefault="00FE5D64">
            <w:pPr>
              <w:pStyle w:val="TableParagraph"/>
              <w:spacing w:before="108"/>
              <w:jc w:val="both"/>
              <w:rPr>
                <w:rFonts w:ascii="Times New Roman" w:eastAsia="Cambria" w:hAnsi="Times New Roman" w:cs="Times New Roman"/>
                <w:color w:val="000000" w:themeColor="text1"/>
                <w:sz w:val="20"/>
                <w:szCs w:val="20"/>
              </w:rPr>
            </w:pPr>
          </w:p>
        </w:tc>
      </w:tr>
      <w:tr w:rsidR="00FE5D64" w14:paraId="7FE1B818" w14:textId="77777777" w:rsidTr="00750741">
        <w:tc>
          <w:tcPr>
            <w:tcW w:w="909" w:type="dxa"/>
            <w:tcBorders>
              <w:top w:val="single" w:sz="4" w:space="0" w:color="1A171C"/>
              <w:left w:val="nil"/>
              <w:bottom w:val="single" w:sz="4" w:space="0" w:color="1A171C"/>
              <w:right w:val="single" w:sz="4" w:space="0" w:color="1A171C"/>
            </w:tcBorders>
            <w:vAlign w:val="center"/>
          </w:tcPr>
          <w:p w14:paraId="7FE1B814" w14:textId="77777777" w:rsidR="00FE5D64" w:rsidRDefault="00E40776">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FE5D64" w:rsidRDefault="00E40776">
            <w:pPr>
              <w:pStyle w:val="P68B1DB1-TableParagraph14"/>
              <w:spacing w:before="108"/>
              <w:ind w:left="85"/>
              <w:jc w:val="both"/>
              <w:rPr>
                <w:bCs/>
              </w:rPr>
            </w:pPr>
            <w:r>
              <w:t>Наименование на субекта</w:t>
            </w:r>
          </w:p>
          <w:p w14:paraId="7FE1B816" w14:textId="77777777" w:rsidR="00FE5D64" w:rsidRDefault="00E40776">
            <w:pPr>
              <w:pStyle w:val="P68B1DB1-Normal18"/>
              <w:spacing w:before="108"/>
              <w:ind w:left="85"/>
              <w:jc w:val="both"/>
            </w:pPr>
            <w:r>
              <w:t>Наименование на основния контрагент или където е приложимо — наименование на група свързани клиенти.</w:t>
            </w:r>
          </w:p>
          <w:p w14:paraId="7FE1B817" w14:textId="29E2618F" w:rsidR="00FE5D64" w:rsidRDefault="00E40776">
            <w:pPr>
              <w:pStyle w:val="P68B1DB1-TableParagraph17"/>
              <w:spacing w:before="108"/>
              <w:ind w:left="85"/>
              <w:jc w:val="both"/>
            </w:pPr>
            <w:r>
              <w:t>Наименованието на група свързани клиенти е наименованието на дружеството майка или когато групата свързани клиенти няма дружество майка — търговското наименование на групата.</w:t>
            </w:r>
          </w:p>
        </w:tc>
      </w:tr>
      <w:tr w:rsidR="00FE5D64" w14:paraId="7FE1B81D" w14:textId="77777777" w:rsidTr="00750741">
        <w:tc>
          <w:tcPr>
            <w:tcW w:w="909" w:type="dxa"/>
            <w:tcBorders>
              <w:top w:val="single" w:sz="4" w:space="0" w:color="1A171C"/>
              <w:left w:val="nil"/>
              <w:bottom w:val="single" w:sz="4" w:space="0" w:color="1A171C"/>
              <w:right w:val="single" w:sz="4" w:space="0" w:color="1A171C"/>
            </w:tcBorders>
            <w:vAlign w:val="center"/>
          </w:tcPr>
          <w:p w14:paraId="7FE1B819" w14:textId="77777777" w:rsidR="00FE5D64" w:rsidRDefault="00E40776">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1CC675A5" w:rsidR="00FE5D64" w:rsidRPr="00750741" w:rsidRDefault="00575A7F">
            <w:pPr>
              <w:pStyle w:val="P68B1DB1-TableParagraph14"/>
              <w:spacing w:before="108"/>
              <w:ind w:left="85"/>
              <w:jc w:val="both"/>
              <w:rPr>
                <w:lang w:val="bg-BG"/>
              </w:rPr>
            </w:pPr>
            <w:r>
              <w:rPr>
                <w:lang w:val="bg-BG"/>
              </w:rPr>
              <w:t>Код</w:t>
            </w:r>
          </w:p>
          <w:p w14:paraId="092C2493" w14:textId="049C01AD" w:rsidR="00575A7F" w:rsidRDefault="00E40776" w:rsidP="00575A7F">
            <w:pPr>
              <w:pStyle w:val="P68B1DB1-TableParagraph17"/>
              <w:spacing w:before="108"/>
              <w:rPr>
                <w:rFonts w:eastAsiaTheme="minorHAnsi"/>
              </w:rPr>
            </w:pPr>
            <w:r>
              <w:t xml:space="preserve">Кодът на основния контрагент или на групата свързани клиенти. </w:t>
            </w:r>
            <w:r w:rsidR="00575A7F" w:rsidRPr="00575A7F">
              <w:rPr>
                <w:rFonts w:eastAsiaTheme="minorHAnsi"/>
              </w:rPr>
              <w:t xml:space="preserve">За институциите кодът е 20-знаковият буквено-цифров ИКПС. За други субекти кодът е 20-знаковият буквено-цифров ИКПС; или ако такъв не е наличен — код съгласно </w:t>
            </w:r>
            <w:r w:rsidR="00575A7F">
              <w:rPr>
                <w:rFonts w:eastAsiaTheme="minorHAnsi"/>
                <w:lang w:val="bg-BG"/>
              </w:rPr>
              <w:t>единната</w:t>
            </w:r>
            <w:r w:rsidR="00575A7F" w:rsidRPr="00575A7F">
              <w:rPr>
                <w:rFonts w:eastAsiaTheme="minorHAnsi"/>
              </w:rPr>
              <w:t xml:space="preserve"> кодификация, приложима в Съюза, а ако няма такъв — национален код.</w:t>
            </w:r>
          </w:p>
          <w:p w14:paraId="7FE1B81C" w14:textId="6FF90F4E" w:rsidR="00FE5D64" w:rsidRDefault="00E40776" w:rsidP="0027278B">
            <w:pPr>
              <w:pStyle w:val="P68B1DB1-TableParagraph17"/>
              <w:spacing w:before="108"/>
              <w:ind w:left="85"/>
              <w:jc w:val="both"/>
            </w:pPr>
            <w:r>
              <w:t xml:space="preserve">Кодът е </w:t>
            </w:r>
            <w:r w:rsidR="0027278B">
              <w:rPr>
                <w:lang w:val="bg-BG"/>
              </w:rPr>
              <w:t>уникален</w:t>
            </w:r>
            <w:r w:rsidR="0027278B">
              <w:t xml:space="preserve"> </w:t>
            </w:r>
            <w:r>
              <w:t>и се използва последователно във всички образци.</w:t>
            </w:r>
          </w:p>
        </w:tc>
      </w:tr>
      <w:tr w:rsidR="00FE5D64" w14:paraId="7FE1B823" w14:textId="77777777" w:rsidTr="00750741">
        <w:tc>
          <w:tcPr>
            <w:tcW w:w="909" w:type="dxa"/>
            <w:tcBorders>
              <w:top w:val="single" w:sz="4" w:space="0" w:color="1A171C"/>
              <w:left w:val="nil"/>
              <w:bottom w:val="single" w:sz="4" w:space="0" w:color="1A171C"/>
              <w:right w:val="single" w:sz="4" w:space="0" w:color="1A171C"/>
            </w:tcBorders>
            <w:vAlign w:val="center"/>
          </w:tcPr>
          <w:p w14:paraId="7FE1B81E" w14:textId="77777777" w:rsidR="00FE5D64" w:rsidRDefault="00E40776">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FE5D64" w:rsidRDefault="00E40776">
            <w:pPr>
              <w:pStyle w:val="P68B1DB1-TableParagraph14"/>
              <w:spacing w:before="108"/>
              <w:ind w:left="85"/>
              <w:jc w:val="both"/>
              <w:rPr>
                <w:bCs/>
              </w:rPr>
            </w:pPr>
            <w:r>
              <w:t>Вид код</w:t>
            </w:r>
          </w:p>
          <w:p w14:paraId="7FE1B821" w14:textId="1549FFF4" w:rsidR="00FE5D64" w:rsidRDefault="00E40776">
            <w:pPr>
              <w:pStyle w:val="P68B1DB1-TableParagraph13"/>
              <w:spacing w:before="108"/>
            </w:pPr>
            <w:r>
              <w:t>Избира се измежду следните варианти: „ИКПС</w:t>
            </w:r>
            <w:r w:rsidR="00F41695">
              <w:rPr>
                <w:lang w:val="bg-BG"/>
              </w:rPr>
              <w:t>“,</w:t>
            </w:r>
            <w:r>
              <w:t xml:space="preserve"> „Код на ПФИ</w:t>
            </w:r>
            <w:r w:rsidR="00F41695">
              <w:rPr>
                <w:lang w:val="bg-BG"/>
              </w:rPr>
              <w:t xml:space="preserve">“ </w:t>
            </w:r>
            <w:r>
              <w:t>или „Вид идентификатор, различен от ИКПС или код на ПФИ“.</w:t>
            </w:r>
          </w:p>
          <w:p w14:paraId="7FE1B822" w14:textId="52ECF6A0" w:rsidR="00FE5D64" w:rsidRPr="00575A7F" w:rsidRDefault="00E40776" w:rsidP="00575A7F">
            <w:pPr>
              <w:pStyle w:val="P68B1DB1-TableParagraph13"/>
              <w:spacing w:before="108"/>
              <w:ind w:left="85"/>
              <w:jc w:val="both"/>
              <w:rPr>
                <w:b/>
              </w:rPr>
            </w:pPr>
            <w:r>
              <w:t>Идентифицирането на субектите се извършва по последователен начин във всички образци.</w:t>
            </w:r>
          </w:p>
        </w:tc>
      </w:tr>
      <w:tr w:rsidR="00FE5D64" w14:paraId="7FE1B827" w14:textId="77777777" w:rsidTr="00750741">
        <w:tc>
          <w:tcPr>
            <w:tcW w:w="909" w:type="dxa"/>
            <w:tcBorders>
              <w:top w:val="single" w:sz="4" w:space="0" w:color="1A171C"/>
              <w:left w:val="nil"/>
              <w:bottom w:val="single" w:sz="4" w:space="0" w:color="1A171C"/>
              <w:right w:val="single" w:sz="4" w:space="0" w:color="1A171C"/>
            </w:tcBorders>
            <w:vAlign w:val="center"/>
          </w:tcPr>
          <w:p w14:paraId="7FE1B824" w14:textId="77777777" w:rsidR="00FE5D64" w:rsidRDefault="00E40776">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67BE40CC" w:rsidR="00FE5D64" w:rsidRPr="00575A7F" w:rsidRDefault="00E40776">
            <w:pPr>
              <w:pStyle w:val="P68B1DB1-TableParagraph14"/>
              <w:spacing w:before="108"/>
              <w:ind w:left="85"/>
              <w:jc w:val="both"/>
              <w:rPr>
                <w:lang w:val="bg-BG"/>
              </w:rPr>
            </w:pPr>
            <w:r>
              <w:t xml:space="preserve">Група или отделен </w:t>
            </w:r>
            <w:r w:rsidR="00F41695">
              <w:rPr>
                <w:lang w:val="bg-BG"/>
              </w:rPr>
              <w:t>контрагент</w:t>
            </w:r>
          </w:p>
          <w:p w14:paraId="2E0A09DE" w14:textId="08C8C8CD" w:rsidR="00FE5D64" w:rsidRDefault="00E40776">
            <w:pPr>
              <w:pStyle w:val="P68B1DB1-Normal18"/>
              <w:ind w:left="85"/>
            </w:pPr>
            <w:r>
              <w:t xml:space="preserve">Институцията </w:t>
            </w:r>
            <w:r w:rsidR="00110076">
              <w:rPr>
                <w:lang w:val="bg-BG"/>
              </w:rPr>
              <w:t>посочва</w:t>
            </w:r>
            <w:r>
              <w:t>:</w:t>
            </w:r>
          </w:p>
          <w:p w14:paraId="52295733" w14:textId="77777777" w:rsidR="00FE5D64" w:rsidRDefault="00E40776">
            <w:pPr>
              <w:pStyle w:val="P68B1DB1-ListParagraph25"/>
              <w:numPr>
                <w:ilvl w:val="0"/>
                <w:numId w:val="297"/>
              </w:numPr>
            </w:pPr>
            <w:r>
              <w:t>Отделни контрагенти</w:t>
            </w:r>
          </w:p>
          <w:p w14:paraId="7FE1B826" w14:textId="76B98F2C" w:rsidR="00FE5D64" w:rsidRDefault="00E40776" w:rsidP="00575A7F">
            <w:pPr>
              <w:pStyle w:val="P68B1DB1-ListParagraph25"/>
              <w:numPr>
                <w:ilvl w:val="0"/>
                <w:numId w:val="297"/>
              </w:numPr>
            </w:pPr>
            <w:r>
              <w:t>Групи от свързани клиенти.</w:t>
            </w:r>
          </w:p>
        </w:tc>
      </w:tr>
      <w:tr w:rsidR="00FE5D64" w14:paraId="7FE1B82C" w14:textId="77777777" w:rsidTr="00750741">
        <w:tc>
          <w:tcPr>
            <w:tcW w:w="909" w:type="dxa"/>
            <w:tcBorders>
              <w:top w:val="single" w:sz="4" w:space="0" w:color="1A171C"/>
              <w:left w:val="nil"/>
              <w:bottom w:val="single" w:sz="4" w:space="0" w:color="1A171C"/>
              <w:right w:val="single" w:sz="4" w:space="0" w:color="1A171C"/>
            </w:tcBorders>
            <w:vAlign w:val="center"/>
          </w:tcPr>
          <w:p w14:paraId="7FE1B828" w14:textId="77777777" w:rsidR="00FE5D64" w:rsidRDefault="00E40776">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FE5D64" w:rsidRDefault="00E40776">
            <w:pPr>
              <w:pStyle w:val="P68B1DB1-TableParagraph14"/>
              <w:spacing w:before="108"/>
              <w:ind w:left="85"/>
              <w:jc w:val="both"/>
              <w:rPr>
                <w:bCs/>
              </w:rPr>
            </w:pPr>
            <w:r>
              <w:t>Държава</w:t>
            </w:r>
          </w:p>
          <w:p w14:paraId="7FE1B82A" w14:textId="43883592" w:rsidR="00FE5D64" w:rsidRDefault="00E40776">
            <w:pPr>
              <w:pStyle w:val="P68B1DB1-Normal18"/>
              <w:spacing w:before="108"/>
              <w:ind w:left="85"/>
              <w:contextualSpacing/>
              <w:jc w:val="both"/>
            </w:pPr>
            <w:r>
              <w:lastRenderedPageBreak/>
              <w:t>Кодът на държавата (по ISO 3166—1-alpha-2)</w:t>
            </w:r>
            <w:r w:rsidR="00110076">
              <w:rPr>
                <w:lang w:val="bg-BG"/>
              </w:rPr>
              <w:t>, в която е учреден</w:t>
            </w:r>
            <w:r>
              <w:t xml:space="preserve"> </w:t>
            </w:r>
            <w:r w:rsidR="00110076">
              <w:t>контрагент</w:t>
            </w:r>
            <w:r w:rsidR="00110076">
              <w:rPr>
                <w:lang w:val="bg-BG"/>
              </w:rPr>
              <w:t>ът</w:t>
            </w:r>
            <w:r>
              <w:t xml:space="preserve">. Това включва псевдокодовете по ISO за международните организации, публикувани в последното издание на наръчника на Евростат относно платежния баланс. </w:t>
            </w:r>
          </w:p>
          <w:p w14:paraId="7FE1B82B" w14:textId="411B5A26" w:rsidR="00FE5D64" w:rsidRDefault="00E40776" w:rsidP="00F41695">
            <w:pPr>
              <w:pStyle w:val="P68B1DB1-TableParagraph17"/>
              <w:spacing w:before="108"/>
              <w:ind w:left="85"/>
              <w:jc w:val="both"/>
            </w:pPr>
            <w:r>
              <w:t>Държавата се определя според местоположението на седалището на контрагента. За групите свързани клиенти това е държавата</w:t>
            </w:r>
            <w:r w:rsidR="00F41695">
              <w:rPr>
                <w:lang w:val="bg-BG"/>
              </w:rPr>
              <w:t>, в която е</w:t>
            </w:r>
            <w:r>
              <w:t xml:space="preserve"> учред</w:t>
            </w:r>
            <w:r w:rsidR="00F41695">
              <w:rPr>
                <w:lang w:val="bg-BG"/>
              </w:rPr>
              <w:t>ено</w:t>
            </w:r>
            <w:r>
              <w:t xml:space="preserve"> на дружеството майка.</w:t>
            </w:r>
          </w:p>
        </w:tc>
      </w:tr>
      <w:tr w:rsidR="00FE5D64" w14:paraId="7FE1B837" w14:textId="77777777" w:rsidTr="00750741">
        <w:tc>
          <w:tcPr>
            <w:tcW w:w="909" w:type="dxa"/>
            <w:tcBorders>
              <w:top w:val="single" w:sz="4" w:space="0" w:color="1A171C"/>
              <w:left w:val="nil"/>
              <w:bottom w:val="single" w:sz="4" w:space="0" w:color="1A171C"/>
              <w:right w:val="single" w:sz="4" w:space="0" w:color="1A171C"/>
            </w:tcBorders>
            <w:vAlign w:val="center"/>
          </w:tcPr>
          <w:p w14:paraId="7FE1B82D" w14:textId="77777777" w:rsidR="00FE5D64" w:rsidRDefault="00E40776">
            <w:pPr>
              <w:pStyle w:val="P68B1DB1-TableParagraph17"/>
              <w:spacing w:before="108"/>
              <w:ind w:left="85"/>
              <w:jc w:val="both"/>
            </w:pPr>
            <w:r>
              <w:lastRenderedPageBreak/>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FE5D64" w:rsidRDefault="00E40776">
            <w:pPr>
              <w:pStyle w:val="P68B1DB1-TableParagraph14"/>
              <w:spacing w:before="108"/>
              <w:ind w:left="85"/>
              <w:jc w:val="both"/>
              <w:rPr>
                <w:bCs/>
              </w:rPr>
            </w:pPr>
            <w:r>
              <w:t>Сектор</w:t>
            </w:r>
          </w:p>
          <w:p w14:paraId="7FE1B82F" w14:textId="77777777" w:rsidR="00FE5D64" w:rsidRDefault="00E40776">
            <w:pPr>
              <w:pStyle w:val="P68B1DB1-TableParagraph17"/>
              <w:spacing w:before="108"/>
              <w:ind w:left="85"/>
              <w:jc w:val="both"/>
            </w:pPr>
            <w:r>
              <w:t>Всеки контрагент се разпределя в отделен икономически сектор според класовете икономически сектори съгласно FINREP (FINREP, приложение V, част 1, глава 6):</w:t>
            </w:r>
          </w:p>
          <w:p w14:paraId="7FE1B830" w14:textId="3C811DFB" w:rsidR="00FE5D64" w:rsidRDefault="00E40776">
            <w:pPr>
              <w:pStyle w:val="P68B1DB1-List127"/>
              <w:numPr>
                <w:ilvl w:val="0"/>
                <w:numId w:val="64"/>
              </w:numPr>
            </w:pPr>
            <w:r>
              <w:t>Централни банки;</w:t>
            </w:r>
          </w:p>
          <w:p w14:paraId="7FE1B831" w14:textId="710695A6" w:rsidR="00FE5D64" w:rsidRDefault="00E40776">
            <w:pPr>
              <w:pStyle w:val="P68B1DB1-List127"/>
              <w:numPr>
                <w:ilvl w:val="0"/>
                <w:numId w:val="64"/>
              </w:numPr>
            </w:pPr>
            <w:r>
              <w:t>Сектор „Държавно управление“</w:t>
            </w:r>
          </w:p>
          <w:p w14:paraId="7FE1B832" w14:textId="515E37F3" w:rsidR="00FE5D64" w:rsidRDefault="00E40776">
            <w:pPr>
              <w:pStyle w:val="P68B1DB1-List127"/>
              <w:numPr>
                <w:ilvl w:val="0"/>
                <w:numId w:val="64"/>
              </w:numPr>
            </w:pPr>
            <w:r>
              <w:t xml:space="preserve">Кредитни институции </w:t>
            </w:r>
          </w:p>
          <w:p w14:paraId="7FE1B833" w14:textId="77777777" w:rsidR="00FE5D64" w:rsidRDefault="00E40776">
            <w:pPr>
              <w:pStyle w:val="P68B1DB1-List127"/>
              <w:numPr>
                <w:ilvl w:val="0"/>
                <w:numId w:val="64"/>
              </w:numPr>
            </w:pPr>
            <w:r>
              <w:t>Други финансови предприятия</w:t>
            </w:r>
          </w:p>
          <w:p w14:paraId="7FE1B834" w14:textId="74174BDC" w:rsidR="00FE5D64" w:rsidRDefault="00E40776">
            <w:pPr>
              <w:pStyle w:val="P68B1DB1-List127"/>
              <w:numPr>
                <w:ilvl w:val="0"/>
                <w:numId w:val="64"/>
              </w:numPr>
            </w:pPr>
            <w:r>
              <w:t>Нефинансови предприятия</w:t>
            </w:r>
          </w:p>
          <w:p w14:paraId="3CD90BA8" w14:textId="77777777" w:rsidR="00FE5D64" w:rsidRDefault="00E40776">
            <w:pPr>
              <w:pStyle w:val="P68B1DB1-List127"/>
              <w:numPr>
                <w:ilvl w:val="0"/>
                <w:numId w:val="64"/>
              </w:numPr>
            </w:pPr>
            <w:r>
              <w:t>Домакинства</w:t>
            </w:r>
          </w:p>
          <w:p w14:paraId="7FE1B836" w14:textId="3FF28E9A" w:rsidR="00FE5D64" w:rsidRDefault="00E40776">
            <w:pPr>
              <w:pStyle w:val="P68B1DB1-TableParagraph17"/>
              <w:spacing w:before="108"/>
              <w:ind w:left="85"/>
              <w:jc w:val="both"/>
            </w:pPr>
            <w:r>
              <w:t>За групи от свързани клиенти не се посочва сектор.</w:t>
            </w:r>
          </w:p>
        </w:tc>
      </w:tr>
      <w:tr w:rsidR="00FE5D64" w14:paraId="7FE1B840" w14:textId="77777777" w:rsidTr="00750741">
        <w:tc>
          <w:tcPr>
            <w:tcW w:w="909" w:type="dxa"/>
            <w:tcBorders>
              <w:top w:val="single" w:sz="4" w:space="0" w:color="1A171C"/>
              <w:left w:val="nil"/>
              <w:bottom w:val="single" w:sz="4" w:space="0" w:color="1A171C"/>
              <w:right w:val="single" w:sz="4" w:space="0" w:color="1A171C"/>
            </w:tcBorders>
            <w:vAlign w:val="center"/>
          </w:tcPr>
          <w:p w14:paraId="7FE1B838" w14:textId="77777777" w:rsidR="00FE5D64" w:rsidRDefault="00E40776">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FE5D64" w:rsidRDefault="00E40776">
            <w:pPr>
              <w:pStyle w:val="P68B1DB1-TableParagraph14"/>
              <w:spacing w:before="108"/>
              <w:ind w:left="85"/>
              <w:jc w:val="both"/>
              <w:rPr>
                <w:bCs/>
              </w:rPr>
            </w:pPr>
            <w:r>
              <w:t>Вид</w:t>
            </w:r>
          </w:p>
          <w:p w14:paraId="7FE1B83A" w14:textId="26953E72" w:rsidR="00FE5D64" w:rsidRDefault="00E40776" w:rsidP="00627725">
            <w:pPr>
              <w:pStyle w:val="P68B1DB1-Normal18"/>
              <w:spacing w:before="108"/>
              <w:ind w:left="85"/>
              <w:jc w:val="both"/>
            </w:pPr>
            <w:r>
              <w:t xml:space="preserve">Видът </w:t>
            </w:r>
            <w:r w:rsidR="00627725">
              <w:rPr>
                <w:lang w:val="bg-BG"/>
              </w:rPr>
              <w:t xml:space="preserve">задбалансово </w:t>
            </w:r>
            <w:r>
              <w:t>задължение е един от</w:t>
            </w:r>
            <w:r w:rsidR="00627725">
              <w:rPr>
                <w:lang w:val="bg-BG"/>
              </w:rPr>
              <w:t xml:space="preserve"> следните съгласно </w:t>
            </w:r>
            <w:r>
              <w:t>определението във FINREP, образец F 09.02:</w:t>
            </w:r>
          </w:p>
          <w:p w14:paraId="7FE1B83B" w14:textId="0072155E" w:rsidR="00FE5D64" w:rsidRDefault="00E40776">
            <w:pPr>
              <w:pStyle w:val="P68B1DB1-TableParagraph17"/>
              <w:numPr>
                <w:ilvl w:val="0"/>
                <w:numId w:val="299"/>
              </w:numPr>
              <w:spacing w:before="108"/>
              <w:jc w:val="both"/>
            </w:pPr>
            <w:r>
              <w:t xml:space="preserve">Получени </w:t>
            </w:r>
            <w:r w:rsidR="00627725">
              <w:rPr>
                <w:lang w:val="bg-BG"/>
              </w:rPr>
              <w:t>кредитни ангажименти</w:t>
            </w:r>
          </w:p>
          <w:p w14:paraId="7FE1B83C" w14:textId="03B3C9F7" w:rsidR="00FE5D64" w:rsidRDefault="00E40776">
            <w:pPr>
              <w:pStyle w:val="P68B1DB1-TableParagraph17"/>
              <w:numPr>
                <w:ilvl w:val="0"/>
                <w:numId w:val="299"/>
              </w:numPr>
              <w:spacing w:before="108"/>
              <w:jc w:val="both"/>
            </w:pPr>
            <w:r>
              <w:t>Получени финансови гаранции</w:t>
            </w:r>
          </w:p>
          <w:p w14:paraId="7FE1B83D" w14:textId="2357CDAB" w:rsidR="00FE5D64" w:rsidRDefault="00E40776">
            <w:pPr>
              <w:pStyle w:val="P68B1DB1-TableParagraph17"/>
              <w:numPr>
                <w:ilvl w:val="0"/>
                <w:numId w:val="299"/>
              </w:numPr>
              <w:spacing w:before="108"/>
              <w:jc w:val="both"/>
            </w:pPr>
            <w:r>
              <w:t>Други получени ангажименти</w:t>
            </w:r>
          </w:p>
          <w:p w14:paraId="7FE1B83E" w14:textId="7A79D0CA" w:rsidR="00FE5D64" w:rsidRDefault="00E40776">
            <w:pPr>
              <w:pStyle w:val="P68B1DB1-TableParagraph17"/>
              <w:numPr>
                <w:ilvl w:val="0"/>
                <w:numId w:val="299"/>
              </w:numPr>
              <w:spacing w:before="108"/>
              <w:jc w:val="both"/>
            </w:pPr>
            <w:r>
              <w:t>Деривати</w:t>
            </w:r>
          </w:p>
          <w:p w14:paraId="7FE1B83F" w14:textId="28AD119F" w:rsidR="00FE5D64" w:rsidRDefault="00E40776">
            <w:pPr>
              <w:pStyle w:val="P68B1DB1-TableParagraph17"/>
              <w:spacing w:before="108"/>
              <w:ind w:left="85"/>
              <w:jc w:val="both"/>
            </w:pPr>
            <w:r>
              <w:t xml:space="preserve">Ако получените от основен контрагент </w:t>
            </w:r>
            <w:r w:rsidR="00627725">
              <w:rPr>
                <w:lang w:val="bg-BG"/>
              </w:rPr>
              <w:t>зад</w:t>
            </w:r>
            <w:r w:rsidR="00627725">
              <w:t xml:space="preserve">балансови </w:t>
            </w:r>
            <w:r>
              <w:t xml:space="preserve">позиции се състоят от повече от един от посочените по-горе видове, всеки вид </w:t>
            </w:r>
            <w:r w:rsidR="00627725">
              <w:rPr>
                <w:lang w:val="bg-BG"/>
              </w:rPr>
              <w:t>зад</w:t>
            </w:r>
            <w:r w:rsidR="00627725">
              <w:t xml:space="preserve">балансова </w:t>
            </w:r>
            <w:r>
              <w:t>позиция се отчита на отделен ред.</w:t>
            </w:r>
          </w:p>
        </w:tc>
      </w:tr>
      <w:tr w:rsidR="00FE5D64" w14:paraId="7FE1B844" w14:textId="77777777" w:rsidTr="00750741">
        <w:tc>
          <w:tcPr>
            <w:tcW w:w="909" w:type="dxa"/>
            <w:tcBorders>
              <w:top w:val="single" w:sz="4" w:space="0" w:color="1A171C"/>
              <w:left w:val="nil"/>
              <w:bottom w:val="single" w:sz="4" w:space="0" w:color="1A171C"/>
              <w:right w:val="single" w:sz="4" w:space="0" w:color="1A171C"/>
            </w:tcBorders>
            <w:vAlign w:val="center"/>
          </w:tcPr>
          <w:p w14:paraId="7FE1B841" w14:textId="77777777" w:rsidR="00FE5D64" w:rsidRDefault="00E40776">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FE5D64" w:rsidRDefault="00E40776">
            <w:pPr>
              <w:pStyle w:val="P68B1DB1-TableParagraph14"/>
              <w:spacing w:before="108"/>
              <w:ind w:left="85"/>
              <w:jc w:val="both"/>
              <w:rPr>
                <w:bCs/>
              </w:rPr>
            </w:pPr>
            <w:r>
              <w:t xml:space="preserve">Сума </w:t>
            </w:r>
          </w:p>
          <w:p w14:paraId="7FE1B843" w14:textId="1289DC4A" w:rsidR="00FE5D64" w:rsidRDefault="00E40776">
            <w:pPr>
              <w:pStyle w:val="P68B1DB1-TableParagraph17"/>
              <w:spacing w:before="108"/>
              <w:ind w:left="85"/>
              <w:jc w:val="both"/>
              <w:rPr>
                <w:bCs/>
              </w:rPr>
            </w:pPr>
            <w:r>
              <w:t>Сумата се равнява на определението за „</w:t>
            </w:r>
            <w:r w:rsidR="00A45FF4">
              <w:rPr>
                <w:lang w:val="bg-BG"/>
              </w:rPr>
              <w:t>дължима стойност</w:t>
            </w:r>
            <w:r>
              <w:t>“, както се изисква в FINREP F 09.02. В случай на задължения, произтичащи от деривати, се отчитат сумите при приключване</w:t>
            </w:r>
            <w:r w:rsidR="00A45FF4">
              <w:rPr>
                <w:lang w:val="bg-BG"/>
              </w:rPr>
              <w:t xml:space="preserve"> на сделките</w:t>
            </w:r>
            <w:r>
              <w:t>, определени за целите на образец Z 02.00, ред 0333.</w:t>
            </w:r>
          </w:p>
        </w:tc>
      </w:tr>
    </w:tbl>
    <w:p w14:paraId="7FE1B845" w14:textId="77777777" w:rsidR="00FE5D64" w:rsidRDefault="00FE5D64">
      <w:pPr>
        <w:rPr>
          <w:rFonts w:ascii="Times New Roman" w:hAnsi="Times New Roman" w:cs="Times New Roman"/>
          <w:color w:val="000000" w:themeColor="text1"/>
          <w:sz w:val="20"/>
          <w:szCs w:val="20"/>
        </w:rPr>
      </w:pPr>
    </w:p>
    <w:p w14:paraId="7FE1B846" w14:textId="77777777" w:rsidR="00FE5D64" w:rsidRDefault="00FE5D64">
      <w:pPr>
        <w:rPr>
          <w:rFonts w:ascii="Times New Roman" w:eastAsia="MS Mincho" w:hAnsi="Times New Roman" w:cs="Times New Roman"/>
          <w:color w:val="000000" w:themeColor="text1"/>
          <w:sz w:val="20"/>
          <w:szCs w:val="20"/>
        </w:rPr>
      </w:pPr>
    </w:p>
    <w:p w14:paraId="7FE1B849" w14:textId="5330C525" w:rsidR="00FE5D64" w:rsidRDefault="00E40776">
      <w:pPr>
        <w:pStyle w:val="P68B1DB1-Instructionsberschrift25"/>
        <w:numPr>
          <w:ilvl w:val="1"/>
          <w:numId w:val="49"/>
        </w:numPr>
        <w:ind w:left="357" w:hanging="357"/>
      </w:pPr>
      <w:bookmarkStart w:id="77" w:name="_Toc164271339"/>
      <w:bookmarkStart w:id="78" w:name="_Toc164271391"/>
      <w:bookmarkStart w:id="79" w:name="_Toc167799457"/>
      <w:bookmarkStart w:id="80" w:name="_Toc172723013"/>
      <w:bookmarkStart w:id="81" w:name="_Toc172723111"/>
      <w:bookmarkStart w:id="82" w:name="_Toc172723205"/>
      <w:bookmarkStart w:id="83" w:name="_Toc172723349"/>
      <w:bookmarkStart w:id="84" w:name="_Toc172723401"/>
      <w:bookmarkStart w:id="85" w:name="_Toc172723459"/>
      <w:bookmarkStart w:id="86" w:name="_Toc172723526"/>
      <w:bookmarkStart w:id="87" w:name="_Toc184218419"/>
      <w:bookmarkStart w:id="88" w:name="_Toc164271340"/>
      <w:bookmarkStart w:id="89" w:name="_Toc164271392"/>
      <w:bookmarkStart w:id="90" w:name="_Toc167799458"/>
      <w:bookmarkStart w:id="91" w:name="_Toc172723014"/>
      <w:bookmarkStart w:id="92" w:name="_Toc172723112"/>
      <w:bookmarkStart w:id="93" w:name="_Toc172723206"/>
      <w:bookmarkStart w:id="94" w:name="_Toc172723350"/>
      <w:bookmarkStart w:id="95" w:name="_Toc172723402"/>
      <w:bookmarkStart w:id="96" w:name="_Toc172723460"/>
      <w:bookmarkStart w:id="97" w:name="_Toc172723527"/>
      <w:bookmarkStart w:id="98" w:name="_Toc184218420"/>
      <w:bookmarkStart w:id="99" w:name="_Toc492542326"/>
      <w:bookmarkStart w:id="100" w:name="_Toc160027685"/>
      <w:bookmarkStart w:id="101" w:name="_Toc160027756"/>
      <w:bookmarkStart w:id="102" w:name="_Toc160027839"/>
      <w:bookmarkStart w:id="103" w:name="_Toc20824446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Z 06.00 — Застраховане на депозитите (LIAB 7)</w:t>
      </w:r>
      <w:bookmarkEnd w:id="99"/>
      <w:bookmarkEnd w:id="100"/>
      <w:bookmarkEnd w:id="101"/>
      <w:bookmarkEnd w:id="102"/>
      <w:bookmarkEnd w:id="103"/>
    </w:p>
    <w:p w14:paraId="7FE1B84A" w14:textId="77777777" w:rsidR="00FE5D64" w:rsidRDefault="00E40776">
      <w:pPr>
        <w:pStyle w:val="Instructionsberschrift3"/>
      </w:pPr>
      <w:r>
        <w:t>Общи бележки</w:t>
      </w:r>
    </w:p>
    <w:p w14:paraId="7FE1B84B" w14:textId="77777777" w:rsidR="00FE5D64" w:rsidRDefault="00E40776">
      <w:pPr>
        <w:pStyle w:val="P68B1DB1-InstructionsText26"/>
        <w:numPr>
          <w:ilvl w:val="0"/>
          <w:numId w:val="71"/>
        </w:numPr>
        <w:spacing w:before="0"/>
        <w:ind w:left="714" w:hanging="357"/>
      </w:pPr>
      <w:r>
        <w:t>Този образец дава общи сведения за застраховането на депозитите в рамките на дадена група и за схемите за гарантиране на депозити, в които участват кредитните институции — съответни правни субекти.</w:t>
      </w:r>
    </w:p>
    <w:p w14:paraId="7FE1B84C" w14:textId="77777777" w:rsidR="00FE5D64" w:rsidRDefault="00E40776">
      <w:pPr>
        <w:pStyle w:val="P68B1DB1-InstructionsText26"/>
        <w:numPr>
          <w:ilvl w:val="0"/>
          <w:numId w:val="71"/>
        </w:numPr>
        <w:spacing w:before="0"/>
        <w:ind w:left="714" w:hanging="357"/>
      </w:pPr>
      <w:r>
        <w:t>Всяка кредитна институция, принадлежаща към групата, се отчита на отделен ред.</w:t>
      </w:r>
    </w:p>
    <w:p w14:paraId="7FE1B84D" w14:textId="77777777" w:rsidR="00FE5D64" w:rsidRDefault="00E40776">
      <w:pPr>
        <w:pStyle w:val="Instructionsberschrift3"/>
        <w:numPr>
          <w:ilvl w:val="0"/>
          <w:numId w:val="0"/>
        </w:numPr>
        <w:ind w:left="720"/>
      </w:pPr>
      <w:r>
        <w:t>Указания относно определени позиции</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E5D6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FE5D64" w:rsidRDefault="00E40776">
            <w:pPr>
              <w:pStyle w:val="P68B1DB1-TableParagraph17"/>
              <w:spacing w:before="108"/>
              <w:ind w:left="85"/>
              <w:jc w:val="both"/>
            </w:pPr>
            <w:r>
              <w:t>Колони</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FE5D64" w:rsidRDefault="00E40776">
            <w:pPr>
              <w:pStyle w:val="P68B1DB1-TableParagraph17"/>
              <w:spacing w:before="108"/>
              <w:ind w:left="85" w:right="1"/>
              <w:jc w:val="both"/>
            </w:pPr>
            <w:r>
              <w:t>Указания</w:t>
            </w:r>
          </w:p>
        </w:tc>
      </w:tr>
      <w:tr w:rsidR="00FE5D6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FE5D64" w:rsidRDefault="00E40776">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4DD4C4B5" w:rsidR="00FE5D64" w:rsidRPr="00F44B23" w:rsidRDefault="00F44B23">
            <w:pPr>
              <w:pStyle w:val="P68B1DB1-TableParagraph14"/>
              <w:spacing w:before="108"/>
              <w:ind w:left="85"/>
              <w:jc w:val="both"/>
              <w:rPr>
                <w:lang w:val="bg-BG"/>
              </w:rPr>
            </w:pPr>
            <w:r>
              <w:rPr>
                <w:lang w:val="bg-BG"/>
              </w:rPr>
              <w:t>Правен субект</w:t>
            </w:r>
          </w:p>
        </w:tc>
      </w:tr>
      <w:tr w:rsidR="00FE5D6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FE5D64" w:rsidRDefault="00E40776">
            <w:pPr>
              <w:pStyle w:val="P68B1DB1-TableParagraph17"/>
              <w:spacing w:before="108"/>
              <w:ind w:left="85"/>
              <w:jc w:val="both"/>
            </w:pPr>
            <w:r>
              <w:lastRenderedPageBreak/>
              <w:t>0010</w:t>
            </w:r>
          </w:p>
        </w:tc>
        <w:tc>
          <w:tcPr>
            <w:tcW w:w="7892" w:type="dxa"/>
            <w:tcBorders>
              <w:top w:val="single" w:sz="4" w:space="0" w:color="1A171C"/>
              <w:left w:val="single" w:sz="4" w:space="0" w:color="1A171C"/>
              <w:bottom w:val="single" w:sz="4" w:space="0" w:color="1A171C"/>
              <w:right w:val="nil"/>
            </w:tcBorders>
          </w:tcPr>
          <w:p w14:paraId="7FE1B855" w14:textId="77777777" w:rsidR="00FE5D64" w:rsidRDefault="00E40776">
            <w:pPr>
              <w:pStyle w:val="P68B1DB1-TableParagraph14"/>
              <w:spacing w:before="108"/>
              <w:ind w:left="85"/>
              <w:jc w:val="both"/>
              <w:rPr>
                <w:bCs/>
              </w:rPr>
            </w:pPr>
            <w:r>
              <w:t>Наименование на субекта</w:t>
            </w:r>
          </w:p>
          <w:p w14:paraId="7FE1B856" w14:textId="768B3053" w:rsidR="00FE5D64" w:rsidRDefault="00E40776" w:rsidP="007A4099">
            <w:pPr>
              <w:pStyle w:val="P68B1DB1-TableParagraph17"/>
              <w:spacing w:before="108"/>
              <w:ind w:left="85"/>
              <w:jc w:val="both"/>
            </w:pPr>
            <w:r>
              <w:t xml:space="preserve">Наименованието на субекта, както е посочено в Z 01.01 — </w:t>
            </w:r>
            <w:r w:rsidR="007A4099">
              <w:rPr>
                <w:lang w:val="bg-BG"/>
              </w:rPr>
              <w:t>Правни субекти</w:t>
            </w:r>
            <w:r>
              <w:t xml:space="preserve">(ORG 1). </w:t>
            </w:r>
          </w:p>
        </w:tc>
      </w:tr>
      <w:tr w:rsidR="00FE5D6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FE5D64" w:rsidRDefault="00E40776">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54C9DD22" w:rsidR="00FE5D64" w:rsidRPr="005C7F2A" w:rsidRDefault="005C7F2A">
            <w:pPr>
              <w:pStyle w:val="P68B1DB1-TableParagraph14"/>
              <w:spacing w:before="108"/>
              <w:ind w:left="85"/>
              <w:jc w:val="both"/>
              <w:rPr>
                <w:lang w:val="bg-BG"/>
              </w:rPr>
            </w:pPr>
            <w:r>
              <w:rPr>
                <w:lang w:val="bg-BG"/>
              </w:rPr>
              <w:t>Код</w:t>
            </w:r>
          </w:p>
          <w:p w14:paraId="7FE1B85A" w14:textId="5F353A4A" w:rsidR="00FE5D64" w:rsidRDefault="00E40776">
            <w:pPr>
              <w:pStyle w:val="P68B1DB1-TableParagraph17"/>
              <w:spacing w:before="108"/>
              <w:ind w:left="85"/>
              <w:jc w:val="both"/>
            </w:pPr>
            <w:r>
              <w:t xml:space="preserve">Кодът на субекта, както е посочен в Z 01.01 — </w:t>
            </w:r>
            <w:r w:rsidR="007A4099">
              <w:rPr>
                <w:lang w:val="bg-BG"/>
              </w:rPr>
              <w:t>Правни субекти</w:t>
            </w:r>
            <w:r>
              <w:t xml:space="preserve"> (ORG 1).</w:t>
            </w:r>
          </w:p>
          <w:p w14:paraId="7FE1B85B" w14:textId="180A1A07" w:rsidR="00FE5D64" w:rsidRDefault="00E40776" w:rsidP="007A4099">
            <w:pPr>
              <w:pStyle w:val="P68B1DB1-TableParagraph17"/>
              <w:spacing w:before="108"/>
              <w:ind w:left="85"/>
              <w:jc w:val="both"/>
            </w:pPr>
            <w:r>
              <w:t xml:space="preserve">Този код представлява идентификатор на реда и трябва да е </w:t>
            </w:r>
            <w:r w:rsidR="007A4099">
              <w:rPr>
                <w:lang w:val="bg-BG"/>
              </w:rPr>
              <w:t>уник</w:t>
            </w:r>
            <w:r w:rsidR="005C7F2A">
              <w:rPr>
                <w:lang w:val="bg-BG"/>
              </w:rPr>
              <w:t>а</w:t>
            </w:r>
            <w:r w:rsidR="007A4099">
              <w:rPr>
                <w:lang w:val="bg-BG"/>
              </w:rPr>
              <w:t>лен</w:t>
            </w:r>
            <w:r w:rsidR="007A4099">
              <w:t xml:space="preserve"> </w:t>
            </w:r>
            <w:r>
              <w:t>за всеки ред от образеца.</w:t>
            </w:r>
          </w:p>
        </w:tc>
      </w:tr>
      <w:tr w:rsidR="00FE5D6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FE5D64" w:rsidRDefault="00E40776">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FE5D64" w:rsidRDefault="00E40776">
            <w:pPr>
              <w:pStyle w:val="P68B1DB1-TableParagraph14"/>
              <w:spacing w:before="108"/>
              <w:ind w:left="85"/>
              <w:jc w:val="both"/>
              <w:rPr>
                <w:bCs/>
              </w:rPr>
            </w:pPr>
            <w:r>
              <w:t>Членство в схема за гарантиране на депозити (СГД)</w:t>
            </w:r>
          </w:p>
        </w:tc>
      </w:tr>
      <w:tr w:rsidR="00FE5D6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FE5D64" w:rsidRDefault="00E40776">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56953CA8" w:rsidR="00FE5D64" w:rsidRPr="005C7F2A" w:rsidRDefault="005C7F2A">
            <w:pPr>
              <w:pStyle w:val="P68B1DB1-TableParagraph14"/>
              <w:spacing w:before="108"/>
              <w:ind w:left="85"/>
              <w:jc w:val="both"/>
              <w:rPr>
                <w:bCs/>
                <w:lang w:val="bg-BG"/>
              </w:rPr>
            </w:pPr>
            <w:r>
              <w:rPr>
                <w:lang w:val="bg-BG"/>
              </w:rPr>
              <w:t>Схема за гарантиране на депозити (СГД)</w:t>
            </w:r>
          </w:p>
          <w:p w14:paraId="7FE1B862" w14:textId="41C69940" w:rsidR="00FE5D64" w:rsidRDefault="00E40776">
            <w:pPr>
              <w:pStyle w:val="P68B1DB1-TableParagraph17"/>
              <w:spacing w:before="108"/>
              <w:ind w:left="85"/>
              <w:jc w:val="both"/>
            </w:pPr>
            <w:r>
              <w:t>Член 4, параграф 3 от Директива 2014/49/ЕС</w:t>
            </w:r>
          </w:p>
          <w:p w14:paraId="7FE1B863" w14:textId="3F999E2D" w:rsidR="00FE5D64" w:rsidRDefault="00E40776">
            <w:pPr>
              <w:pStyle w:val="P68B1DB1-TableParagraph17"/>
              <w:spacing w:before="108"/>
              <w:ind w:left="85"/>
              <w:jc w:val="both"/>
            </w:pPr>
            <w:r>
              <w:t xml:space="preserve">Названието на официално признатата СГД, в която субектът участва в съответствие с Директива 2014/49/ЕС. Това е СГД в държавата членка, </w:t>
            </w:r>
            <w:r w:rsidR="005C7F2A">
              <w:rPr>
                <w:lang w:val="bg-BG"/>
              </w:rPr>
              <w:t>в която</w:t>
            </w:r>
            <w:r w:rsidR="005C7F2A">
              <w:t xml:space="preserve"> </w:t>
            </w:r>
            <w:r>
              <w:t xml:space="preserve">субектът е учреден, изключвайки други СГД, които в други държави членки може да осигуряват допълнителна защита (допълващо плащане) за клиентите на субекта в клон в тази държава членка. Когато една институция участва в институционална защитна схема, официално призната и за СГД съгласно член 4, параграф 2 от Директива 2014/49/ЕС, </w:t>
            </w:r>
            <w:r w:rsidR="005C7F2A">
              <w:rPr>
                <w:lang w:val="bg-BG"/>
              </w:rPr>
              <w:t>наименованието</w:t>
            </w:r>
            <w:r w:rsidR="005C7F2A">
              <w:t xml:space="preserve"> </w:t>
            </w:r>
            <w:r>
              <w:t xml:space="preserve">на СГД е същото като </w:t>
            </w:r>
            <w:r w:rsidR="005C7F2A">
              <w:rPr>
                <w:lang w:val="bg-BG"/>
              </w:rPr>
              <w:t>наименованието</w:t>
            </w:r>
            <w:r w:rsidR="005C7F2A">
              <w:t xml:space="preserve"> </w:t>
            </w:r>
            <w:r>
              <w:t xml:space="preserve">на институционалната защитна схема </w:t>
            </w:r>
            <w:r w:rsidR="00701F36">
              <w:rPr>
                <w:lang w:val="bg-BG"/>
              </w:rPr>
              <w:t>в колона</w:t>
            </w:r>
            <w:r>
              <w:t> 050.</w:t>
            </w:r>
          </w:p>
          <w:p w14:paraId="7FE1B864" w14:textId="77777777" w:rsidR="00FE5D64" w:rsidRDefault="00E40776">
            <w:pPr>
              <w:pStyle w:val="P68B1DB1-TableParagraph17"/>
              <w:spacing w:before="108"/>
              <w:ind w:left="85"/>
              <w:jc w:val="both"/>
            </w:pPr>
            <w:r>
              <w:t>СГД се избира измежду посочените по-долу според държавата на учредяване на субекта:</w:t>
            </w:r>
          </w:p>
          <w:p w14:paraId="7FE1B865" w14:textId="77777777" w:rsidR="00FE5D64" w:rsidRDefault="00E40776">
            <w:pPr>
              <w:pStyle w:val="P68B1DB1-TableParagraph28"/>
              <w:spacing w:before="108"/>
              <w:ind w:left="85"/>
              <w:jc w:val="both"/>
            </w:pPr>
            <w:r>
              <w:t>За Австрия</w:t>
            </w:r>
          </w:p>
          <w:p w14:paraId="7FE1B866" w14:textId="7AF21273" w:rsidR="00FE5D64" w:rsidRDefault="00E40776">
            <w:pPr>
              <w:pStyle w:val="P68B1DB1-TableParagraph17"/>
              <w:numPr>
                <w:ilvl w:val="0"/>
                <w:numId w:val="70"/>
              </w:numPr>
              <w:spacing w:before="108"/>
              <w:jc w:val="both"/>
            </w:pPr>
            <w:r>
              <w:t xml:space="preserve">Einlagensicherung AUSTRIA Ges.m.b.H.“ </w:t>
            </w:r>
          </w:p>
          <w:p w14:paraId="7FE1B867" w14:textId="77777777" w:rsidR="00FE5D64" w:rsidRDefault="00E40776">
            <w:pPr>
              <w:pStyle w:val="P68B1DB1-TableParagraph17"/>
              <w:numPr>
                <w:ilvl w:val="0"/>
                <w:numId w:val="70"/>
              </w:numPr>
              <w:spacing w:before="108"/>
              <w:jc w:val="both"/>
            </w:pPr>
            <w:r>
              <w:t>Sparkassen-Haftungs GmbH</w:t>
            </w:r>
          </w:p>
          <w:p w14:paraId="7FE1B868" w14:textId="77777777" w:rsidR="00FE5D64" w:rsidRDefault="00E40776">
            <w:pPr>
              <w:pStyle w:val="P68B1DB1-TableParagraph17"/>
              <w:numPr>
                <w:ilvl w:val="0"/>
                <w:numId w:val="70"/>
              </w:numPr>
              <w:spacing w:before="108"/>
              <w:jc w:val="both"/>
            </w:pPr>
            <w:r>
              <w:t>Österreichische Raiffeisen-Sicherungseinrichtung eGen</w:t>
            </w:r>
          </w:p>
          <w:p w14:paraId="7FE1B869" w14:textId="77777777" w:rsidR="00FE5D64" w:rsidRDefault="00E40776">
            <w:pPr>
              <w:pStyle w:val="P68B1DB1-TableParagraph28"/>
              <w:spacing w:before="108"/>
              <w:ind w:left="85"/>
              <w:jc w:val="both"/>
            </w:pPr>
            <w:r>
              <w:t>Белгия</w:t>
            </w:r>
          </w:p>
          <w:p w14:paraId="7FE1B86A" w14:textId="77777777" w:rsidR="00FE5D64" w:rsidRDefault="00E40776">
            <w:pPr>
              <w:pStyle w:val="P68B1DB1-TableParagraph17"/>
              <w:numPr>
                <w:ilvl w:val="0"/>
                <w:numId w:val="70"/>
              </w:numPr>
              <w:spacing w:before="108"/>
              <w:jc w:val="both"/>
            </w:pPr>
            <w:r>
              <w:t>Garantiefonds voor financiële diensten/Fonds de garantie pour les services financiers</w:t>
            </w:r>
          </w:p>
          <w:p w14:paraId="7FE1B86B" w14:textId="77777777" w:rsidR="00FE5D64" w:rsidRDefault="00E40776">
            <w:pPr>
              <w:pStyle w:val="P68B1DB1-TableParagraph28"/>
              <w:spacing w:before="108"/>
              <w:ind w:left="85"/>
              <w:jc w:val="both"/>
            </w:pPr>
            <w:r>
              <w:t>България</w:t>
            </w:r>
          </w:p>
          <w:p w14:paraId="7FE1B86C" w14:textId="33BABCB1" w:rsidR="00FE5D64" w:rsidRDefault="00E40776">
            <w:pPr>
              <w:pStyle w:val="P68B1DB1-TableParagraph17"/>
              <w:numPr>
                <w:ilvl w:val="0"/>
                <w:numId w:val="70"/>
              </w:numPr>
              <w:spacing w:before="108"/>
              <w:jc w:val="both"/>
            </w:pPr>
            <w:r>
              <w:t>Фонд за гарантиране на влоговете в банките</w:t>
            </w:r>
          </w:p>
          <w:p w14:paraId="7FE1B86D" w14:textId="77777777" w:rsidR="00FE5D64" w:rsidRDefault="00E40776">
            <w:pPr>
              <w:pStyle w:val="P68B1DB1-TableParagraph28"/>
              <w:spacing w:before="108"/>
              <w:ind w:left="85"/>
              <w:jc w:val="both"/>
            </w:pPr>
            <w:r>
              <w:t>Хърватия</w:t>
            </w:r>
          </w:p>
          <w:p w14:paraId="7FE1B86E" w14:textId="77777777" w:rsidR="00FE5D64" w:rsidRDefault="00E40776">
            <w:pPr>
              <w:pStyle w:val="P68B1DB1-TableParagraph17"/>
              <w:numPr>
                <w:ilvl w:val="0"/>
                <w:numId w:val="70"/>
              </w:numPr>
              <w:spacing w:before="108"/>
              <w:jc w:val="both"/>
            </w:pPr>
            <w:r>
              <w:t>„Hrvatska agencija za osiguranje depozita“</w:t>
            </w:r>
          </w:p>
          <w:p w14:paraId="7FE1B86F" w14:textId="77777777" w:rsidR="00FE5D64" w:rsidRDefault="00E40776">
            <w:pPr>
              <w:pStyle w:val="P68B1DB1-TableParagraph28"/>
              <w:spacing w:before="108"/>
              <w:ind w:left="85"/>
              <w:jc w:val="both"/>
            </w:pPr>
            <w:r>
              <w:t>Кипър</w:t>
            </w:r>
          </w:p>
          <w:p w14:paraId="7FE1B870" w14:textId="77777777" w:rsidR="00FE5D64" w:rsidRDefault="00E40776">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691572B6" w14:textId="03560C5A" w:rsidR="00FE5D64" w:rsidRPr="00701F36" w:rsidRDefault="00C120E2">
            <w:pPr>
              <w:pStyle w:val="P68B1DB1-TableParagraph28"/>
              <w:spacing w:before="108"/>
              <w:ind w:left="85"/>
              <w:jc w:val="both"/>
              <w:rPr>
                <w:lang w:val="bg-BG"/>
              </w:rPr>
            </w:pPr>
            <w:r>
              <w:rPr>
                <w:lang w:val="bg-BG"/>
              </w:rPr>
              <w:t>Чехия</w:t>
            </w:r>
          </w:p>
          <w:p w14:paraId="7FE1B872" w14:textId="77777777" w:rsidR="00FE5D64" w:rsidRDefault="00E40776">
            <w:pPr>
              <w:pStyle w:val="P68B1DB1-TableParagraph17"/>
              <w:numPr>
                <w:ilvl w:val="0"/>
                <w:numId w:val="70"/>
              </w:numPr>
              <w:spacing w:before="108"/>
              <w:jc w:val="both"/>
            </w:pPr>
            <w:r>
              <w:t>Garanční systém finančního trhu</w:t>
            </w:r>
          </w:p>
          <w:p w14:paraId="7FE1B873" w14:textId="77777777" w:rsidR="00FE5D64" w:rsidRDefault="00E40776">
            <w:pPr>
              <w:pStyle w:val="P68B1DB1-TableParagraph28"/>
              <w:spacing w:before="108"/>
              <w:ind w:left="85"/>
              <w:jc w:val="both"/>
            </w:pPr>
            <w:r>
              <w:t>Дания</w:t>
            </w:r>
          </w:p>
          <w:p w14:paraId="7FE1B874" w14:textId="77777777" w:rsidR="00FE5D64" w:rsidRDefault="00E40776">
            <w:pPr>
              <w:pStyle w:val="P68B1DB1-TableParagraph17"/>
              <w:numPr>
                <w:ilvl w:val="0"/>
                <w:numId w:val="70"/>
              </w:numPr>
              <w:spacing w:before="108"/>
              <w:jc w:val="both"/>
            </w:pPr>
            <w:r>
              <w:t>Garantiformuen</w:t>
            </w:r>
          </w:p>
          <w:p w14:paraId="7FE1B875" w14:textId="77777777" w:rsidR="00FE5D64" w:rsidRDefault="00E40776">
            <w:pPr>
              <w:pStyle w:val="P68B1DB1-TableParagraph28"/>
              <w:spacing w:before="108"/>
              <w:ind w:left="85"/>
              <w:jc w:val="both"/>
            </w:pPr>
            <w:r>
              <w:t xml:space="preserve">Естония </w:t>
            </w:r>
          </w:p>
          <w:p w14:paraId="7FE1B876" w14:textId="77777777" w:rsidR="00FE5D64" w:rsidRDefault="00E40776">
            <w:pPr>
              <w:pStyle w:val="P68B1DB1-TableParagraph17"/>
              <w:numPr>
                <w:ilvl w:val="0"/>
                <w:numId w:val="70"/>
              </w:numPr>
              <w:spacing w:before="108"/>
              <w:jc w:val="both"/>
            </w:pPr>
            <w:r>
              <w:t>Tagastisfond</w:t>
            </w:r>
          </w:p>
          <w:p w14:paraId="7FE1B877" w14:textId="77777777" w:rsidR="00FE5D64" w:rsidRDefault="00E40776">
            <w:pPr>
              <w:pStyle w:val="P68B1DB1-TableParagraph28"/>
              <w:spacing w:before="108"/>
              <w:ind w:left="85"/>
              <w:jc w:val="both"/>
            </w:pPr>
            <w:r>
              <w:t xml:space="preserve">Финландия </w:t>
            </w:r>
          </w:p>
          <w:p w14:paraId="7FE1B878" w14:textId="77777777" w:rsidR="00FE5D64" w:rsidRDefault="00E40776">
            <w:pPr>
              <w:pStyle w:val="P68B1DB1-TableParagraph17"/>
              <w:numPr>
                <w:ilvl w:val="0"/>
                <w:numId w:val="70"/>
              </w:numPr>
              <w:spacing w:before="108"/>
              <w:jc w:val="both"/>
            </w:pPr>
            <w:r>
              <w:t>Talletussuojarahasto</w:t>
            </w:r>
          </w:p>
          <w:p w14:paraId="7FE1B879" w14:textId="77777777" w:rsidR="00FE5D64" w:rsidRDefault="00E40776">
            <w:pPr>
              <w:pStyle w:val="P68B1DB1-TableParagraph28"/>
              <w:spacing w:before="108"/>
              <w:ind w:left="85"/>
              <w:jc w:val="both"/>
            </w:pPr>
            <w:r>
              <w:t>Франция</w:t>
            </w:r>
          </w:p>
          <w:p w14:paraId="7FE1B87A" w14:textId="77777777" w:rsidR="00FE5D64" w:rsidRDefault="00E40776">
            <w:pPr>
              <w:pStyle w:val="P68B1DB1-TableParagraph17"/>
              <w:numPr>
                <w:ilvl w:val="0"/>
                <w:numId w:val="70"/>
              </w:numPr>
              <w:spacing w:before="108"/>
              <w:jc w:val="both"/>
            </w:pPr>
            <w:r>
              <w:t>Fonds de Garantie des Dépôts et de Résolution</w:t>
            </w:r>
          </w:p>
          <w:p w14:paraId="7FE1B87B" w14:textId="77777777" w:rsidR="00FE5D64" w:rsidRDefault="00E40776">
            <w:pPr>
              <w:pStyle w:val="P68B1DB1-TableParagraph28"/>
              <w:spacing w:before="108"/>
              <w:ind w:left="85"/>
              <w:jc w:val="both"/>
            </w:pPr>
            <w:r>
              <w:t xml:space="preserve">Германия </w:t>
            </w:r>
          </w:p>
          <w:p w14:paraId="7FE1B87C" w14:textId="77777777" w:rsidR="00FE5D64" w:rsidRDefault="00E40776">
            <w:pPr>
              <w:pStyle w:val="P68B1DB1-TableParagraph17"/>
              <w:numPr>
                <w:ilvl w:val="0"/>
                <w:numId w:val="70"/>
              </w:numPr>
              <w:spacing w:before="108"/>
              <w:jc w:val="both"/>
            </w:pPr>
            <w:r>
              <w:t>Entschädigungseinrichtung deutscher Banken GmbH</w:t>
            </w:r>
          </w:p>
          <w:p w14:paraId="7FE1B87D" w14:textId="77777777" w:rsidR="00FE5D64" w:rsidRDefault="00E40776">
            <w:pPr>
              <w:pStyle w:val="P68B1DB1-TableParagraph17"/>
              <w:numPr>
                <w:ilvl w:val="0"/>
                <w:numId w:val="70"/>
              </w:numPr>
              <w:spacing w:before="108"/>
              <w:jc w:val="both"/>
            </w:pPr>
            <w:r>
              <w:lastRenderedPageBreak/>
              <w:t>Entschädigungseinrichtung des Bundesverbandes Öffentlicher Banken Deutschlands GmbH</w:t>
            </w:r>
          </w:p>
          <w:p w14:paraId="7FE1B87E" w14:textId="77777777" w:rsidR="00FE5D64" w:rsidRDefault="00E40776">
            <w:pPr>
              <w:pStyle w:val="P68B1DB1-TableParagraph17"/>
              <w:numPr>
                <w:ilvl w:val="0"/>
                <w:numId w:val="70"/>
              </w:numPr>
              <w:spacing w:before="108"/>
              <w:jc w:val="both"/>
            </w:pPr>
            <w:r>
              <w:t>Sicherungseinrichtung des Deutschen Sparkassen- und Giroverbandes (DSGV-Haftungsverbund)</w:t>
            </w:r>
          </w:p>
          <w:p w14:paraId="7FE1B87F" w14:textId="77777777" w:rsidR="00FE5D64" w:rsidRDefault="00E40776">
            <w:pPr>
              <w:pStyle w:val="P68B1DB1-TableParagraph17"/>
              <w:numPr>
                <w:ilvl w:val="0"/>
                <w:numId w:val="70"/>
              </w:numPr>
              <w:spacing w:before="108"/>
              <w:jc w:val="both"/>
            </w:pPr>
            <w:r>
              <w:t>BVR Institutssicherung GmbH</w:t>
            </w:r>
          </w:p>
          <w:p w14:paraId="7FE1B882" w14:textId="77777777" w:rsidR="00FE5D64" w:rsidRDefault="00E40776">
            <w:pPr>
              <w:pStyle w:val="P68B1DB1-TableParagraph28"/>
              <w:spacing w:before="108"/>
              <w:ind w:left="85"/>
              <w:jc w:val="both"/>
            </w:pPr>
            <w:r>
              <w:t xml:space="preserve">Гърция </w:t>
            </w:r>
          </w:p>
          <w:p w14:paraId="7FE1B883" w14:textId="77777777" w:rsidR="00FE5D64" w:rsidRDefault="00E40776">
            <w:pPr>
              <w:pStyle w:val="P68B1DB1-TableParagraph17"/>
              <w:numPr>
                <w:ilvl w:val="0"/>
                <w:numId w:val="70"/>
              </w:numPr>
              <w:spacing w:before="108"/>
              <w:jc w:val="both"/>
            </w:pPr>
            <w:r>
              <w:t>Ταμείο Εγγύησης Καταθέσεων και Επενδύσεων</w:t>
            </w:r>
          </w:p>
          <w:p w14:paraId="7FE1B884" w14:textId="77777777" w:rsidR="00FE5D64" w:rsidRDefault="00E40776">
            <w:pPr>
              <w:pStyle w:val="P68B1DB1-TableParagraph28"/>
              <w:spacing w:before="108"/>
              <w:ind w:left="85"/>
              <w:jc w:val="both"/>
            </w:pPr>
            <w:r>
              <w:t xml:space="preserve">Унгария </w:t>
            </w:r>
          </w:p>
          <w:p w14:paraId="7FE1B885" w14:textId="77777777" w:rsidR="00FE5D64" w:rsidRDefault="00E40776">
            <w:pPr>
              <w:pStyle w:val="P68B1DB1-TableParagraph17"/>
              <w:numPr>
                <w:ilvl w:val="0"/>
                <w:numId w:val="70"/>
              </w:numPr>
              <w:spacing w:before="108"/>
              <w:jc w:val="both"/>
            </w:pPr>
            <w:r>
              <w:t>Országos Betétbiztosítási Alap</w:t>
            </w:r>
          </w:p>
          <w:p w14:paraId="7FE1B886" w14:textId="77777777" w:rsidR="00FE5D64" w:rsidRDefault="00E40776">
            <w:pPr>
              <w:pStyle w:val="P68B1DB1-TableParagraph28"/>
              <w:spacing w:before="108"/>
              <w:ind w:left="85"/>
              <w:jc w:val="both"/>
            </w:pPr>
            <w:r>
              <w:t>Исландия</w:t>
            </w:r>
          </w:p>
          <w:p w14:paraId="7FE1B887" w14:textId="44E06D46" w:rsidR="00FE5D64" w:rsidRDefault="00E40776">
            <w:pPr>
              <w:pStyle w:val="P68B1DB1-TableParagraph17"/>
              <w:numPr>
                <w:ilvl w:val="0"/>
                <w:numId w:val="70"/>
              </w:numPr>
              <w:spacing w:before="108"/>
              <w:jc w:val="both"/>
            </w:pPr>
            <w:r>
              <w:t>„Tryggingarsjóður vegna fjármálafyrirtækja“</w:t>
            </w:r>
          </w:p>
          <w:p w14:paraId="7FE1B888" w14:textId="77777777" w:rsidR="00FE5D64" w:rsidRDefault="00E40776">
            <w:pPr>
              <w:pStyle w:val="P68B1DB1-TableParagraph28"/>
              <w:spacing w:before="108"/>
              <w:ind w:left="85"/>
              <w:jc w:val="both"/>
            </w:pPr>
            <w:r>
              <w:t>Ирландия</w:t>
            </w:r>
          </w:p>
          <w:p w14:paraId="7FE1B889" w14:textId="77777777" w:rsidR="00FE5D64" w:rsidRDefault="00E40776">
            <w:pPr>
              <w:pStyle w:val="P68B1DB1-TableParagraph17"/>
              <w:numPr>
                <w:ilvl w:val="0"/>
                <w:numId w:val="70"/>
              </w:numPr>
              <w:spacing w:before="108"/>
              <w:jc w:val="both"/>
            </w:pPr>
            <w:r>
              <w:t>Irish Deposit Protection Scheme</w:t>
            </w:r>
          </w:p>
          <w:p w14:paraId="7FE1B88A" w14:textId="77777777" w:rsidR="00FE5D64" w:rsidRDefault="00E40776">
            <w:pPr>
              <w:pStyle w:val="P68B1DB1-TableParagraph28"/>
              <w:spacing w:before="108"/>
              <w:ind w:left="85"/>
              <w:jc w:val="both"/>
            </w:pPr>
            <w:r>
              <w:t xml:space="preserve">Италия </w:t>
            </w:r>
          </w:p>
          <w:p w14:paraId="7FE1B88B" w14:textId="77777777" w:rsidR="00FE5D64" w:rsidRDefault="00E40776">
            <w:pPr>
              <w:pStyle w:val="P68B1DB1-TableParagraph17"/>
              <w:numPr>
                <w:ilvl w:val="0"/>
                <w:numId w:val="70"/>
              </w:numPr>
              <w:spacing w:before="108"/>
              <w:jc w:val="both"/>
            </w:pPr>
            <w:r>
              <w:t>Fondo Interbancario di Tutela dei Depositi</w:t>
            </w:r>
          </w:p>
          <w:p w14:paraId="7FE1B88C" w14:textId="77777777" w:rsidR="00FE5D64" w:rsidRDefault="00E40776">
            <w:pPr>
              <w:pStyle w:val="P68B1DB1-TableParagraph17"/>
              <w:numPr>
                <w:ilvl w:val="0"/>
                <w:numId w:val="70"/>
              </w:numPr>
              <w:spacing w:before="108"/>
              <w:jc w:val="both"/>
            </w:pPr>
            <w:r>
              <w:t>Fondo di Garanzia dei Depositanti del Credito Cooperativo</w:t>
            </w:r>
          </w:p>
          <w:p w14:paraId="7FE1B88D" w14:textId="77777777" w:rsidR="00FE5D64" w:rsidRDefault="00E40776">
            <w:pPr>
              <w:pStyle w:val="P68B1DB1-TableParagraph28"/>
              <w:spacing w:before="108"/>
              <w:ind w:left="85"/>
              <w:jc w:val="both"/>
            </w:pPr>
            <w:r>
              <w:t>Латвия</w:t>
            </w:r>
          </w:p>
          <w:p w14:paraId="7FE1B88E" w14:textId="77777777" w:rsidR="00FE5D64" w:rsidRDefault="00E40776">
            <w:pPr>
              <w:pStyle w:val="P68B1DB1-TableParagraph17"/>
              <w:numPr>
                <w:ilvl w:val="0"/>
                <w:numId w:val="70"/>
              </w:numPr>
              <w:spacing w:before="108"/>
              <w:jc w:val="both"/>
            </w:pPr>
            <w:r>
              <w:t>Latvijas Noguldījumu garantiju fonds</w:t>
            </w:r>
          </w:p>
          <w:p w14:paraId="7FE1B88F" w14:textId="77777777" w:rsidR="00FE5D64" w:rsidRDefault="00E40776">
            <w:pPr>
              <w:pStyle w:val="P68B1DB1-TableParagraph28"/>
              <w:spacing w:before="108"/>
              <w:ind w:left="85"/>
              <w:jc w:val="both"/>
            </w:pPr>
            <w:r>
              <w:t xml:space="preserve">Лихтенщайн </w:t>
            </w:r>
          </w:p>
          <w:p w14:paraId="7FE1B890" w14:textId="77777777" w:rsidR="00FE5D64" w:rsidRDefault="00E40776">
            <w:pPr>
              <w:pStyle w:val="P68B1DB1-TableParagraph17"/>
              <w:numPr>
                <w:ilvl w:val="0"/>
                <w:numId w:val="70"/>
              </w:numPr>
              <w:spacing w:before="108"/>
              <w:jc w:val="both"/>
            </w:pPr>
            <w:r>
              <w:t>Einlagensicherungs- und Anlegerentschädigungs-Stiftung SV</w:t>
            </w:r>
          </w:p>
          <w:p w14:paraId="7FE1B891" w14:textId="77777777" w:rsidR="00FE5D64" w:rsidRDefault="00E40776">
            <w:pPr>
              <w:pStyle w:val="P68B1DB1-TableParagraph28"/>
              <w:spacing w:before="108"/>
              <w:ind w:left="85"/>
              <w:jc w:val="both"/>
            </w:pPr>
            <w:r>
              <w:t>Литва</w:t>
            </w:r>
          </w:p>
          <w:p w14:paraId="7FE1B892" w14:textId="77777777" w:rsidR="00FE5D64" w:rsidRDefault="00E40776">
            <w:pPr>
              <w:pStyle w:val="P68B1DB1-TableParagraph17"/>
              <w:numPr>
                <w:ilvl w:val="0"/>
                <w:numId w:val="70"/>
              </w:numPr>
              <w:spacing w:before="108"/>
              <w:jc w:val="both"/>
            </w:pPr>
            <w:r>
              <w:t>Indėlių ir investicijų draudimas</w:t>
            </w:r>
          </w:p>
          <w:p w14:paraId="7FE1B893" w14:textId="77777777" w:rsidR="00FE5D64" w:rsidRDefault="00E40776">
            <w:pPr>
              <w:pStyle w:val="P68B1DB1-TableParagraph28"/>
              <w:spacing w:before="108"/>
              <w:ind w:left="85"/>
              <w:jc w:val="both"/>
            </w:pPr>
            <w:r>
              <w:t>Люксембург</w:t>
            </w:r>
          </w:p>
          <w:p w14:paraId="7FE1B894" w14:textId="59F3019A" w:rsidR="00FE5D64" w:rsidRDefault="00E40776">
            <w:pPr>
              <w:pStyle w:val="P68B1DB1-TableParagraph17"/>
              <w:numPr>
                <w:ilvl w:val="0"/>
                <w:numId w:val="70"/>
              </w:numPr>
              <w:spacing w:before="108"/>
              <w:jc w:val="both"/>
            </w:pPr>
            <w:r>
              <w:t>Fonds de garantie des Dépôts Luxembourg</w:t>
            </w:r>
          </w:p>
          <w:p w14:paraId="7FE1B895" w14:textId="77777777" w:rsidR="00FE5D64" w:rsidRDefault="00E40776">
            <w:pPr>
              <w:pStyle w:val="P68B1DB1-TableParagraph28"/>
              <w:spacing w:before="108"/>
              <w:ind w:left="85"/>
              <w:jc w:val="both"/>
            </w:pPr>
            <w:r>
              <w:t>Малта</w:t>
            </w:r>
          </w:p>
          <w:p w14:paraId="7FE1B896" w14:textId="77777777" w:rsidR="00FE5D64" w:rsidRDefault="00E40776">
            <w:pPr>
              <w:pStyle w:val="P68B1DB1-TableParagraph17"/>
              <w:numPr>
                <w:ilvl w:val="0"/>
                <w:numId w:val="70"/>
              </w:numPr>
              <w:spacing w:before="108"/>
              <w:jc w:val="both"/>
            </w:pPr>
            <w:r>
              <w:t>Depositor Compensation Scheme</w:t>
            </w:r>
          </w:p>
          <w:p w14:paraId="7FE1B897" w14:textId="77777777" w:rsidR="00FE5D64" w:rsidRDefault="00E40776">
            <w:pPr>
              <w:pStyle w:val="P68B1DB1-TableParagraph28"/>
              <w:spacing w:before="108"/>
              <w:ind w:left="85"/>
              <w:jc w:val="both"/>
            </w:pPr>
            <w:r>
              <w:t xml:space="preserve">Нидерландия </w:t>
            </w:r>
          </w:p>
          <w:p w14:paraId="7FE1B898" w14:textId="77777777" w:rsidR="00FE5D64" w:rsidRDefault="00E40776">
            <w:pPr>
              <w:pStyle w:val="P68B1DB1-TableParagraph17"/>
              <w:numPr>
                <w:ilvl w:val="0"/>
                <w:numId w:val="70"/>
              </w:numPr>
              <w:spacing w:before="108"/>
              <w:jc w:val="both"/>
            </w:pPr>
            <w:r>
              <w:t>De Nederlandsche Bank, Depositogarantiestelsel</w:t>
            </w:r>
          </w:p>
          <w:p w14:paraId="7FE1B899" w14:textId="77777777" w:rsidR="00FE5D64" w:rsidRDefault="00E40776">
            <w:pPr>
              <w:pStyle w:val="P68B1DB1-TableParagraph28"/>
              <w:spacing w:before="108"/>
              <w:ind w:left="85"/>
              <w:jc w:val="both"/>
            </w:pPr>
            <w:r>
              <w:t>Норвегия</w:t>
            </w:r>
          </w:p>
          <w:p w14:paraId="7FE1B89A" w14:textId="77777777" w:rsidR="00FE5D64" w:rsidRDefault="00E40776">
            <w:pPr>
              <w:pStyle w:val="P68B1DB1-TableParagraph17"/>
              <w:numPr>
                <w:ilvl w:val="0"/>
                <w:numId w:val="70"/>
              </w:numPr>
              <w:spacing w:before="108"/>
              <w:jc w:val="both"/>
            </w:pPr>
            <w:r>
              <w:t>Bankenes sikringsfond</w:t>
            </w:r>
          </w:p>
          <w:p w14:paraId="7FE1B89B" w14:textId="77777777" w:rsidR="00FE5D64" w:rsidRDefault="00E40776">
            <w:pPr>
              <w:pStyle w:val="P68B1DB1-TableParagraph28"/>
              <w:spacing w:before="108"/>
              <w:ind w:left="85"/>
              <w:jc w:val="both"/>
            </w:pPr>
            <w:r>
              <w:t>Полша</w:t>
            </w:r>
          </w:p>
          <w:p w14:paraId="7FE1B89C" w14:textId="77777777" w:rsidR="00FE5D64" w:rsidRDefault="00E40776">
            <w:pPr>
              <w:pStyle w:val="P68B1DB1-TableParagraph17"/>
              <w:numPr>
                <w:ilvl w:val="0"/>
                <w:numId w:val="70"/>
              </w:numPr>
              <w:spacing w:before="108"/>
              <w:jc w:val="both"/>
            </w:pPr>
            <w:r>
              <w:t>Bankowy Fundusz Gwarancyjny</w:t>
            </w:r>
          </w:p>
          <w:p w14:paraId="7FE1B89D" w14:textId="77777777" w:rsidR="00FE5D64" w:rsidRDefault="00E40776">
            <w:pPr>
              <w:pStyle w:val="P68B1DB1-TableParagraph28"/>
              <w:spacing w:before="108"/>
              <w:ind w:left="85"/>
              <w:jc w:val="both"/>
            </w:pPr>
            <w:r>
              <w:t>Португалия</w:t>
            </w:r>
          </w:p>
          <w:p w14:paraId="7FE1B89E" w14:textId="77777777" w:rsidR="00FE5D64" w:rsidRDefault="00E40776">
            <w:pPr>
              <w:pStyle w:val="P68B1DB1-TableParagraph17"/>
              <w:numPr>
                <w:ilvl w:val="0"/>
                <w:numId w:val="70"/>
              </w:numPr>
              <w:spacing w:before="108"/>
              <w:jc w:val="both"/>
            </w:pPr>
            <w:r>
              <w:t>Fundo de Garantia de Depósitos</w:t>
            </w:r>
          </w:p>
          <w:p w14:paraId="7FE1B89F" w14:textId="77777777" w:rsidR="00FE5D64" w:rsidRDefault="00E40776">
            <w:pPr>
              <w:pStyle w:val="P68B1DB1-TableParagraph17"/>
              <w:numPr>
                <w:ilvl w:val="0"/>
                <w:numId w:val="70"/>
              </w:numPr>
              <w:spacing w:before="108"/>
              <w:jc w:val="both"/>
            </w:pPr>
            <w:r>
              <w:t>Fundo de Garantia do Crédito Agrícola Mútuo</w:t>
            </w:r>
          </w:p>
          <w:p w14:paraId="7FE1B8A0" w14:textId="77777777" w:rsidR="00FE5D64" w:rsidRDefault="00E40776">
            <w:pPr>
              <w:pStyle w:val="P68B1DB1-TableParagraph28"/>
              <w:spacing w:before="108"/>
              <w:ind w:left="85"/>
              <w:jc w:val="both"/>
            </w:pPr>
            <w:r>
              <w:t>Румъния</w:t>
            </w:r>
          </w:p>
          <w:p w14:paraId="7FE1B8A1" w14:textId="77777777" w:rsidR="00FE5D64" w:rsidRDefault="00E40776">
            <w:pPr>
              <w:pStyle w:val="P68B1DB1-TableParagraph17"/>
              <w:numPr>
                <w:ilvl w:val="0"/>
                <w:numId w:val="70"/>
              </w:numPr>
              <w:spacing w:before="108"/>
              <w:jc w:val="both"/>
            </w:pPr>
            <w:r>
              <w:t>Fondul de Garantare a Depozitelor in Sistemul Bancar</w:t>
            </w:r>
          </w:p>
          <w:p w14:paraId="7FE1B8A2" w14:textId="77777777" w:rsidR="00FE5D64" w:rsidRDefault="00E40776">
            <w:pPr>
              <w:pStyle w:val="P68B1DB1-TableParagraph28"/>
              <w:spacing w:before="108"/>
              <w:ind w:left="85"/>
              <w:jc w:val="both"/>
            </w:pPr>
            <w:r>
              <w:t>Словакия</w:t>
            </w:r>
          </w:p>
          <w:p w14:paraId="7FE1B8A3" w14:textId="77777777" w:rsidR="00FE5D64" w:rsidRDefault="00E40776">
            <w:pPr>
              <w:pStyle w:val="P68B1DB1-TableParagraph17"/>
              <w:numPr>
                <w:ilvl w:val="0"/>
                <w:numId w:val="70"/>
              </w:numPr>
              <w:spacing w:before="108"/>
              <w:jc w:val="both"/>
            </w:pPr>
            <w:r>
              <w:t>Fond ochrany vkladov</w:t>
            </w:r>
          </w:p>
          <w:p w14:paraId="7FE1B8A4" w14:textId="77777777" w:rsidR="00FE5D64" w:rsidRDefault="00E40776">
            <w:pPr>
              <w:pStyle w:val="P68B1DB1-TableParagraph28"/>
              <w:spacing w:before="108"/>
              <w:ind w:left="85"/>
              <w:jc w:val="both"/>
            </w:pPr>
            <w:r>
              <w:t xml:space="preserve">Словения </w:t>
            </w:r>
          </w:p>
          <w:p w14:paraId="7FE1B8A5" w14:textId="77777777" w:rsidR="00FE5D64" w:rsidRDefault="00E40776">
            <w:pPr>
              <w:pStyle w:val="P68B1DB1-TableParagraph17"/>
              <w:numPr>
                <w:ilvl w:val="0"/>
                <w:numId w:val="70"/>
              </w:numPr>
              <w:spacing w:before="108"/>
              <w:jc w:val="both"/>
            </w:pPr>
            <w:r>
              <w:t>Banka Slovenije</w:t>
            </w:r>
          </w:p>
          <w:p w14:paraId="7FE1B8A6" w14:textId="77777777" w:rsidR="00FE5D64" w:rsidRDefault="00E40776">
            <w:pPr>
              <w:pStyle w:val="P68B1DB1-TableParagraph28"/>
              <w:spacing w:before="108"/>
              <w:ind w:left="85"/>
              <w:jc w:val="both"/>
            </w:pPr>
            <w:r>
              <w:lastRenderedPageBreak/>
              <w:t>Испания</w:t>
            </w:r>
          </w:p>
          <w:p w14:paraId="7FE1B8A7" w14:textId="77777777" w:rsidR="00FE5D64" w:rsidRDefault="00E40776">
            <w:pPr>
              <w:pStyle w:val="P68B1DB1-TableParagraph17"/>
              <w:numPr>
                <w:ilvl w:val="0"/>
                <w:numId w:val="70"/>
              </w:numPr>
              <w:spacing w:before="108"/>
              <w:jc w:val="both"/>
            </w:pPr>
            <w:r>
              <w:t>Fondo de Garantía de Depósitos de Entidades de Crédito</w:t>
            </w:r>
          </w:p>
          <w:p w14:paraId="7FE1B8A8" w14:textId="77777777" w:rsidR="00FE5D64" w:rsidRDefault="00E40776">
            <w:pPr>
              <w:pStyle w:val="P68B1DB1-TableParagraph28"/>
              <w:spacing w:before="108"/>
              <w:ind w:left="85"/>
              <w:jc w:val="both"/>
            </w:pPr>
            <w:r>
              <w:t>Швеция</w:t>
            </w:r>
          </w:p>
          <w:p w14:paraId="7FE1B8A9" w14:textId="77777777" w:rsidR="00FE5D64" w:rsidRDefault="00E40776">
            <w:pPr>
              <w:pStyle w:val="P68B1DB1-TableParagraph17"/>
              <w:numPr>
                <w:ilvl w:val="0"/>
                <w:numId w:val="70"/>
              </w:numPr>
              <w:spacing w:before="108"/>
              <w:jc w:val="both"/>
            </w:pPr>
            <w:r>
              <w:t>Riksgälden</w:t>
            </w:r>
          </w:p>
          <w:p w14:paraId="7FE1B8AC" w14:textId="77777777" w:rsidR="00FE5D64" w:rsidRDefault="00FE5D64">
            <w:pPr>
              <w:pStyle w:val="TableParagraph"/>
              <w:spacing w:before="108"/>
              <w:ind w:left="85"/>
              <w:jc w:val="both"/>
              <w:rPr>
                <w:rFonts w:ascii="Times New Roman" w:eastAsia="Cambria" w:hAnsi="Times New Roman" w:cs="Times New Roman"/>
                <w:color w:val="000000" w:themeColor="text1"/>
                <w:sz w:val="20"/>
                <w:szCs w:val="20"/>
              </w:rPr>
            </w:pPr>
          </w:p>
          <w:p w14:paraId="7FE1B8AD" w14:textId="172490AB" w:rsidR="00FE5D64" w:rsidRDefault="00E40776">
            <w:pPr>
              <w:pStyle w:val="P68B1DB1-TableParagraph17"/>
              <w:spacing w:before="108"/>
              <w:ind w:left="85"/>
              <w:jc w:val="both"/>
            </w:pPr>
            <w:r>
              <w:t xml:space="preserve">Ако официално признатата СГД, в която субектът участва, не е посочена по-горе, се </w:t>
            </w:r>
            <w:r w:rsidR="00701F36">
              <w:rPr>
                <w:lang w:val="bg-BG"/>
              </w:rPr>
              <w:t>посочва</w:t>
            </w:r>
            <w:r w:rsidR="00701F36">
              <w:t xml:space="preserve"> </w:t>
            </w:r>
            <w:r>
              <w:t>„друга“.</w:t>
            </w:r>
          </w:p>
        </w:tc>
      </w:tr>
      <w:tr w:rsidR="00FE5D6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FE5D64" w:rsidRDefault="00E40776">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FE5D64" w:rsidRDefault="00E40776">
            <w:pPr>
              <w:pStyle w:val="P68B1DB1-TableParagraph14"/>
              <w:spacing w:before="108"/>
              <w:ind w:left="85"/>
              <w:jc w:val="both"/>
              <w:rPr>
                <w:bCs/>
              </w:rPr>
            </w:pPr>
            <w:r>
              <w:t>Размер на гарантираните депозити</w:t>
            </w:r>
          </w:p>
          <w:p w14:paraId="7FE1B8B1" w14:textId="4657E8DC" w:rsidR="00FE5D64" w:rsidRDefault="00E40776">
            <w:pPr>
              <w:pStyle w:val="P68B1DB1-TableParagraph17"/>
              <w:spacing w:before="108"/>
              <w:ind w:left="85"/>
            </w:pPr>
            <w:r>
              <w:t>Член 2, параграф 1</w:t>
            </w:r>
            <w:r w:rsidR="00701F36">
              <w:rPr>
                <w:lang w:val="bg-BG"/>
              </w:rPr>
              <w:t>,</w:t>
            </w:r>
            <w:r>
              <w:t xml:space="preserve"> </w:t>
            </w:r>
            <w:r w:rsidR="00701F36">
              <w:rPr>
                <w:lang w:val="bg-BG"/>
              </w:rPr>
              <w:t>точка</w:t>
            </w:r>
            <w:r>
              <w:t xml:space="preserve"> 5 и член 6, параграф 2 от Директива 2014/49/ЕС</w:t>
            </w:r>
          </w:p>
          <w:p w14:paraId="7FE1B8B2" w14:textId="02C5CCA2" w:rsidR="00FE5D64" w:rsidRDefault="00E40776">
            <w:pPr>
              <w:pStyle w:val="P68B1DB1-TableParagraph17"/>
              <w:spacing w:before="108"/>
              <w:ind w:left="85"/>
              <w:jc w:val="both"/>
            </w:pPr>
            <w:r>
              <w:t xml:space="preserve">Сумата на гарантираните депозити съгласно определението в член 2, параграф 1, точка 5, във връзка с член 6 от Директива 2014/49/ЕС, гарантирани </w:t>
            </w:r>
            <w:r w:rsidR="00701F36">
              <w:rPr>
                <w:lang w:val="bg-BG"/>
              </w:rPr>
              <w:t>от</w:t>
            </w:r>
            <w:r w:rsidR="00701F36">
              <w:t xml:space="preserve"> </w:t>
            </w:r>
            <w:r>
              <w:t>СГД</w:t>
            </w:r>
            <w:r w:rsidR="00701F36">
              <w:rPr>
                <w:lang w:val="bg-BG"/>
              </w:rPr>
              <w:t>,</w:t>
            </w:r>
            <w:r>
              <w:t xml:space="preserve"> </w:t>
            </w:r>
            <w:r w:rsidR="00701F36">
              <w:rPr>
                <w:lang w:val="bg-BG"/>
              </w:rPr>
              <w:t xml:space="preserve">посочена </w:t>
            </w:r>
            <w:r>
              <w:t xml:space="preserve">в </w:t>
            </w:r>
            <w:r w:rsidR="00701F36">
              <w:rPr>
                <w:lang w:val="bg-BG"/>
              </w:rPr>
              <w:t>колона</w:t>
            </w:r>
            <w:r w:rsidR="00701F36">
              <w:t> </w:t>
            </w:r>
            <w:r>
              <w:t>00030, като се изключат временно високите салда по смисъла на определението в член 6, параграф 2 от същата директива.</w:t>
            </w:r>
          </w:p>
        </w:tc>
      </w:tr>
      <w:tr w:rsidR="00FE5D6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FE5D64" w:rsidRDefault="00E40776">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FE5D64" w:rsidRDefault="00E40776">
            <w:pPr>
              <w:pStyle w:val="P68B1DB1-TableParagraph14"/>
              <w:spacing w:before="108"/>
              <w:ind w:left="85"/>
              <w:jc w:val="both"/>
              <w:rPr>
                <w:bCs/>
              </w:rPr>
            </w:pPr>
            <w:r>
              <w:t>Институционална защитна схема</w:t>
            </w:r>
          </w:p>
          <w:p w14:paraId="7FE1B8B6" w14:textId="77777777" w:rsidR="00FE5D64" w:rsidRDefault="00E40776">
            <w:pPr>
              <w:pStyle w:val="P68B1DB1-TableParagraph17"/>
              <w:spacing w:before="108"/>
              <w:ind w:left="85"/>
            </w:pPr>
            <w:r>
              <w:t>Член 113, параграф 7 от Регламент (ЕС) № 575/2013</w:t>
            </w:r>
          </w:p>
          <w:p w14:paraId="7FE1B8B7" w14:textId="5F4DD203" w:rsidR="00FE5D64" w:rsidRDefault="00E40776">
            <w:pPr>
              <w:pStyle w:val="P68B1DB1-TableParagraph17"/>
              <w:spacing w:before="108"/>
              <w:ind w:left="85"/>
              <w:jc w:val="both"/>
            </w:pPr>
            <w:r>
              <w:t>Наименование на институционалната защитна схема съгласно посоченото в член 113, параграф 7 от Регламент № 575/2013, в която субектът участва. Ако субектът не участва в институционална защитна схема</w:t>
            </w:r>
            <w:r w:rsidR="00701F36">
              <w:rPr>
                <w:lang w:val="bg-BG"/>
              </w:rPr>
              <w:t xml:space="preserve"> (ИЗС)</w:t>
            </w:r>
            <w:r>
              <w:t xml:space="preserve">, полето се оставя празно. Ако субектът участва в ИЗС, официално призната като СГД съгласно член 4, параграф 2 от Директива 2014/49/ЕС, </w:t>
            </w:r>
            <w:r w:rsidR="00701F36">
              <w:rPr>
                <w:lang w:val="bg-BG"/>
              </w:rPr>
              <w:t>наименованието</w:t>
            </w:r>
            <w:r w:rsidR="00701F36">
              <w:t xml:space="preserve"> </w:t>
            </w:r>
            <w:r>
              <w:t xml:space="preserve">на ИЗС е същото като на СГД в </w:t>
            </w:r>
            <w:r w:rsidR="00701F36">
              <w:rPr>
                <w:lang w:val="bg-BG"/>
              </w:rPr>
              <w:t>колона</w:t>
            </w:r>
            <w:r w:rsidR="00701F36">
              <w:t> </w:t>
            </w:r>
            <w:r>
              <w:t>030.</w:t>
            </w:r>
          </w:p>
          <w:p w14:paraId="7FE1B8B8" w14:textId="77777777" w:rsidR="00FE5D64" w:rsidRDefault="00FE5D64">
            <w:pPr>
              <w:pStyle w:val="TableParagraph"/>
              <w:spacing w:before="108"/>
              <w:ind w:left="85"/>
              <w:jc w:val="both"/>
              <w:rPr>
                <w:rFonts w:ascii="Times New Roman" w:eastAsia="Cambria" w:hAnsi="Times New Roman" w:cs="Times New Roman"/>
                <w:color w:val="000000" w:themeColor="text1"/>
                <w:sz w:val="20"/>
                <w:szCs w:val="20"/>
              </w:rPr>
            </w:pPr>
          </w:p>
        </w:tc>
      </w:tr>
      <w:tr w:rsidR="00FE5D6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FE5D64" w:rsidRDefault="00E40776">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FE5D64" w:rsidRDefault="00E40776">
            <w:pPr>
              <w:pStyle w:val="P68B1DB1-TableParagraph14"/>
              <w:spacing w:before="108"/>
              <w:ind w:left="85"/>
              <w:jc w:val="both"/>
              <w:rPr>
                <w:bCs/>
              </w:rPr>
            </w:pPr>
            <w:r>
              <w:t>Допълнителна защита съгласно договорно установена схема</w:t>
            </w:r>
          </w:p>
          <w:p w14:paraId="7FE1B8BC" w14:textId="77777777" w:rsidR="00FE5D64" w:rsidRDefault="00E40776">
            <w:pPr>
              <w:pStyle w:val="P68B1DB1-TableParagraph17"/>
              <w:spacing w:before="108"/>
              <w:ind w:left="85"/>
            </w:pPr>
            <w:r>
              <w:t>Член 1, параграф 3, буква а) от Директива 2014/49/ЕС.</w:t>
            </w:r>
          </w:p>
          <w:p w14:paraId="7FE1B8BD" w14:textId="77777777" w:rsidR="00FE5D64" w:rsidRDefault="00E40776">
            <w:pPr>
              <w:pStyle w:val="P68B1DB1-TableParagraph17"/>
              <w:spacing w:before="108"/>
              <w:ind w:left="85"/>
              <w:jc w:val="both"/>
            </w:pPr>
            <w:r>
              <w:t>Сума на депозитите, обхваната от договорно установена схема в рамките на субекта.</w:t>
            </w:r>
          </w:p>
        </w:tc>
      </w:tr>
    </w:tbl>
    <w:p w14:paraId="7FE1B8BF" w14:textId="77777777" w:rsidR="00FE5D64" w:rsidRDefault="00FE5D64">
      <w:pPr>
        <w:rPr>
          <w:rFonts w:ascii="Times New Roman" w:hAnsi="Times New Roman" w:cs="Times New Roman"/>
          <w:b/>
          <w:color w:val="000000" w:themeColor="text1"/>
          <w:sz w:val="20"/>
          <w:szCs w:val="20"/>
          <w:u w:val="single"/>
        </w:rPr>
      </w:pPr>
    </w:p>
    <w:p w14:paraId="7FE1B8C0" w14:textId="726022D5" w:rsidR="00FE5D64" w:rsidRDefault="00E40776">
      <w:pPr>
        <w:pStyle w:val="P68B1DB1-Instructionsberschrift25"/>
        <w:numPr>
          <w:ilvl w:val="1"/>
          <w:numId w:val="49"/>
        </w:numPr>
        <w:ind w:left="357" w:hanging="357"/>
      </w:pPr>
      <w:bookmarkStart w:id="104" w:name="_Toc208244461"/>
      <w:bookmarkStart w:id="105" w:name="_Toc492542327"/>
      <w:bookmarkStart w:id="106" w:name="_Toc81454186"/>
      <w:r>
        <w:t xml:space="preserve">Критични функции и основни </w:t>
      </w:r>
      <w:bookmarkEnd w:id="104"/>
      <w:r>
        <w:t>стопански дейности</w:t>
      </w:r>
      <w:bookmarkEnd w:id="105"/>
      <w:bookmarkEnd w:id="106"/>
    </w:p>
    <w:p w14:paraId="7FE1B8C2" w14:textId="77777777" w:rsidR="00FE5D64" w:rsidRDefault="00E40776">
      <w:pPr>
        <w:pStyle w:val="Instructionsberschrift3"/>
      </w:pPr>
      <w:bookmarkStart w:id="107" w:name="_Toc189492773"/>
      <w:bookmarkStart w:id="108" w:name="_Toc192249050"/>
      <w:bookmarkEnd w:id="107"/>
      <w:bookmarkEnd w:id="108"/>
      <w:r>
        <w:t>Общи бележки</w:t>
      </w:r>
    </w:p>
    <w:p w14:paraId="7FE1B8C3" w14:textId="0253CD7D" w:rsidR="00FE5D64" w:rsidRDefault="00E40776">
      <w:pPr>
        <w:pStyle w:val="P68B1DB1-InstructionsText26"/>
        <w:numPr>
          <w:ilvl w:val="0"/>
          <w:numId w:val="232"/>
        </w:numPr>
        <w:spacing w:before="0"/>
      </w:pPr>
      <w:r>
        <w:t>В четирите образ</w:t>
      </w:r>
      <w:r w:rsidR="00CF746E">
        <w:rPr>
          <w:lang w:val="bg-BG"/>
        </w:rPr>
        <w:t>е</w:t>
      </w:r>
      <w:r>
        <w:t>ц</w:t>
      </w:r>
      <w:r w:rsidR="00CF746E">
        <w:rPr>
          <w:lang w:val="bg-BG"/>
        </w:rPr>
        <w:t>а</w:t>
      </w:r>
      <w:r>
        <w:t xml:space="preserve"> от този раздел се предоставят ключови данни и качествени оценки на въздействието, заменяемостта и критичността на икономическите функции, изпълнявани от групата, допълнени </w:t>
      </w:r>
      <w:r w:rsidR="00CF746E">
        <w:rPr>
          <w:lang w:val="bg-BG"/>
        </w:rPr>
        <w:t>с онагледяване</w:t>
      </w:r>
      <w:r>
        <w:t xml:space="preserve"> на тези критични функции </w:t>
      </w:r>
      <w:r w:rsidR="00CF746E">
        <w:rPr>
          <w:lang w:val="bg-BG"/>
        </w:rPr>
        <w:t>по</w:t>
      </w:r>
      <w:r w:rsidR="00CF746E">
        <w:t xml:space="preserve"> </w:t>
      </w:r>
      <w:r>
        <w:t xml:space="preserve">основни стопански дейности и </w:t>
      </w:r>
      <w:r w:rsidR="00CF746E">
        <w:rPr>
          <w:lang w:val="bg-BG"/>
        </w:rPr>
        <w:t>правни субекти</w:t>
      </w:r>
      <w:r>
        <w:t xml:space="preserve"> и </w:t>
      </w:r>
      <w:r w:rsidR="00CF746E">
        <w:rPr>
          <w:lang w:val="bg-BG"/>
        </w:rPr>
        <w:t>с онагледяване</w:t>
      </w:r>
      <w:r>
        <w:t xml:space="preserve"> на основни стопански дейности </w:t>
      </w:r>
      <w:r w:rsidR="00CF746E">
        <w:rPr>
          <w:lang w:val="bg-BG"/>
        </w:rPr>
        <w:t>по правни субекти</w:t>
      </w:r>
      <w:r>
        <w:t>.</w:t>
      </w:r>
    </w:p>
    <w:p w14:paraId="7FE1B8C4" w14:textId="77777777" w:rsidR="00FE5D64" w:rsidRDefault="00E40776">
      <w:pPr>
        <w:pStyle w:val="P68B1DB1-InstructionsText26"/>
        <w:numPr>
          <w:ilvl w:val="0"/>
          <w:numId w:val="232"/>
        </w:numPr>
        <w:spacing w:before="0"/>
      </w:pPr>
      <w:r>
        <w:t>Образците се отнасят по-специално за следното:</w:t>
      </w:r>
    </w:p>
    <w:p w14:paraId="7FE1B8C5" w14:textId="12063582" w:rsidR="00FE5D64" w:rsidRDefault="00E40776" w:rsidP="00CE2B25">
      <w:pPr>
        <w:pStyle w:val="P68B1DB1-InstructionsText26"/>
        <w:numPr>
          <w:ilvl w:val="0"/>
          <w:numId w:val="153"/>
        </w:numPr>
        <w:spacing w:before="0"/>
      </w:pPr>
      <w:r>
        <w:t xml:space="preserve">Образец Z 07.01 — Оценка на критичността на икономическите функции (FUNC 1) представя резултатите от оценката на критичността на икономическите функции, изпълнявани от групата, въз основа на количествени и качествени показатели, изпълняваните некритични и критични функции. </w:t>
      </w:r>
      <w:r w:rsidR="0068749C">
        <w:rPr>
          <w:lang w:val="bg-BG"/>
        </w:rPr>
        <w:t xml:space="preserve">Групата представя </w:t>
      </w:r>
      <w:r>
        <w:t>отделен образец за всяка държава членка, в която извършва дейност. За целите на докладването</w:t>
      </w:r>
      <w:r w:rsidR="0007795B">
        <w:t xml:space="preserve"> </w:t>
      </w:r>
      <w:r>
        <w:t>са определени следните категории икономически функции:</w:t>
      </w:r>
    </w:p>
    <w:p w14:paraId="7FE1B8C6" w14:textId="43527C6F" w:rsidR="00FE5D64" w:rsidRDefault="00E40776">
      <w:pPr>
        <w:pStyle w:val="P68B1DB1-InstructionsText26"/>
        <w:numPr>
          <w:ilvl w:val="1"/>
          <w:numId w:val="153"/>
        </w:numPr>
        <w:spacing w:before="0"/>
      </w:pPr>
      <w:r>
        <w:t>Z 07.01.1 Депозити</w:t>
      </w:r>
    </w:p>
    <w:p w14:paraId="24B8E71C" w14:textId="034B6277" w:rsidR="001A22F9" w:rsidRDefault="001A22F9" w:rsidP="001A22F9">
      <w:pPr>
        <w:pStyle w:val="P68B1DB1-InstructionsText26"/>
        <w:numPr>
          <w:ilvl w:val="1"/>
          <w:numId w:val="153"/>
        </w:numPr>
        <w:spacing w:before="0"/>
      </w:pPr>
      <w:r>
        <w:t xml:space="preserve">Z </w:t>
      </w:r>
      <w:r w:rsidR="00462603">
        <w:rPr>
          <w:lang w:val="bg-BG"/>
        </w:rPr>
        <w:t>0</w:t>
      </w:r>
      <w:r>
        <w:t>7.</w:t>
      </w:r>
      <w:r w:rsidR="00462603">
        <w:rPr>
          <w:lang w:val="bg-BG"/>
        </w:rPr>
        <w:t>0</w:t>
      </w:r>
      <w:r>
        <w:t>1.</w:t>
      </w:r>
      <w:r w:rsidR="00462603">
        <w:rPr>
          <w:lang w:val="bg-BG"/>
        </w:rPr>
        <w:t>2</w:t>
      </w:r>
      <w:r>
        <w:t xml:space="preserve"> </w:t>
      </w:r>
      <w:r w:rsidR="00462603">
        <w:rPr>
          <w:lang w:val="bg-BG"/>
        </w:rPr>
        <w:t>Кредитиране</w:t>
      </w:r>
    </w:p>
    <w:p w14:paraId="7FE1B8C8" w14:textId="56E86339" w:rsidR="00FE5D64" w:rsidRDefault="00E40776">
      <w:pPr>
        <w:pStyle w:val="P68B1DB1-InstructionsText26"/>
        <w:numPr>
          <w:ilvl w:val="1"/>
          <w:numId w:val="153"/>
        </w:numPr>
        <w:spacing w:before="0"/>
      </w:pPr>
      <w:r>
        <w:t xml:space="preserve">Z 07.01.3 </w:t>
      </w:r>
      <w:r w:rsidR="00462603">
        <w:rPr>
          <w:lang w:val="bg-BG"/>
        </w:rPr>
        <w:t>Платежни услуги</w:t>
      </w:r>
      <w:r>
        <w:t xml:space="preserve">, </w:t>
      </w:r>
      <w:r w:rsidR="00462603">
        <w:rPr>
          <w:lang w:val="bg-BG"/>
        </w:rPr>
        <w:t>касови услуги</w:t>
      </w:r>
      <w:r>
        <w:t>, сетълмент, клиринг, попечителство</w:t>
      </w:r>
    </w:p>
    <w:p w14:paraId="7FE1B8C9" w14:textId="12E4110D" w:rsidR="00FE5D64" w:rsidRDefault="00E40776">
      <w:pPr>
        <w:pStyle w:val="P68B1DB1-InstructionsText26"/>
        <w:numPr>
          <w:ilvl w:val="1"/>
          <w:numId w:val="153"/>
        </w:numPr>
        <w:spacing w:before="0"/>
      </w:pPr>
      <w:r>
        <w:lastRenderedPageBreak/>
        <w:t>Z 07.01.4 Капиталови пазари</w:t>
      </w:r>
    </w:p>
    <w:p w14:paraId="7FE1B8CA" w14:textId="02162CC7" w:rsidR="00FE5D64" w:rsidRDefault="00E40776">
      <w:pPr>
        <w:pStyle w:val="P68B1DB1-InstructionsText26"/>
        <w:numPr>
          <w:ilvl w:val="1"/>
          <w:numId w:val="153"/>
        </w:numPr>
        <w:spacing w:before="0"/>
      </w:pPr>
      <w:r>
        <w:t>Z 07.01.5 Финансиране на едро</w:t>
      </w:r>
    </w:p>
    <w:p w14:paraId="7FE1B8CB" w14:textId="2F586A3D" w:rsidR="00FE5D64" w:rsidRDefault="00E40776" w:rsidP="0007795B">
      <w:pPr>
        <w:pStyle w:val="P68B1DB1-InstructionsText26"/>
        <w:numPr>
          <w:ilvl w:val="0"/>
          <w:numId w:val="153"/>
        </w:numPr>
        <w:spacing w:before="0"/>
      </w:pPr>
      <w:r>
        <w:t xml:space="preserve">Образец Z 07.02 — Онагледяване на икономическите функции по правни субекти (FUNC 2) </w:t>
      </w:r>
      <w:r w:rsidR="00462603">
        <w:rPr>
          <w:lang w:val="bg-BG"/>
        </w:rPr>
        <w:t>представя</w:t>
      </w:r>
      <w:r w:rsidR="00462603">
        <w:t xml:space="preserve"> </w:t>
      </w:r>
      <w:r>
        <w:t xml:space="preserve">икономическите функции, оценени в Z 07.01, </w:t>
      </w:r>
      <w:r w:rsidR="00462603">
        <w:rPr>
          <w:lang w:val="bg-BG"/>
        </w:rPr>
        <w:t>по</w:t>
      </w:r>
      <w:r w:rsidR="00462603">
        <w:t xml:space="preserve"> </w:t>
      </w:r>
      <w:r>
        <w:t xml:space="preserve">правни субекти или международни клонове, както </w:t>
      </w:r>
      <w:r w:rsidR="0007795B">
        <w:rPr>
          <w:lang w:val="bg-BG"/>
        </w:rPr>
        <w:t>са</w:t>
      </w:r>
      <w:r w:rsidR="0007795B">
        <w:t xml:space="preserve"> </w:t>
      </w:r>
      <w:r>
        <w:t>посочен</w:t>
      </w:r>
      <w:r w:rsidR="0007795B">
        <w:rPr>
          <w:lang w:val="bg-BG"/>
        </w:rPr>
        <w:t>и</w:t>
      </w:r>
      <w:r>
        <w:t xml:space="preserve"> в Z 01.01.</w:t>
      </w:r>
    </w:p>
    <w:p w14:paraId="7FE1B8CC" w14:textId="64D912EE" w:rsidR="00FE5D64" w:rsidRDefault="00E40776">
      <w:pPr>
        <w:pStyle w:val="P68B1DB1-InstructionsText26"/>
        <w:numPr>
          <w:ilvl w:val="0"/>
          <w:numId w:val="153"/>
        </w:numPr>
        <w:spacing w:before="0"/>
      </w:pPr>
      <w:r>
        <w:t>Образец Z 07.03 — Онагледяване на основните стопански дейности по правни субекти (FUNC 3) представя пълен списък на основните стопански дейности и разпределението им по правни субекти;</w:t>
      </w:r>
    </w:p>
    <w:p w14:paraId="7FE1B8CD" w14:textId="7915275E" w:rsidR="00FE5D64" w:rsidRDefault="00E40776">
      <w:pPr>
        <w:pStyle w:val="P68B1DB1-InstructionsText26"/>
        <w:numPr>
          <w:ilvl w:val="0"/>
          <w:numId w:val="153"/>
        </w:numPr>
        <w:spacing w:before="0"/>
      </w:pPr>
      <w:r>
        <w:t xml:space="preserve">Образец Z 07.04 — Онагледяване на икономическите функции по основни </w:t>
      </w:r>
      <w:r w:rsidR="00826FE9">
        <w:t>бизнес линии</w:t>
      </w:r>
      <w:r>
        <w:t xml:space="preserve"> (FUNC 4) представя разпределението на определените икономически функции по </w:t>
      </w:r>
      <w:r w:rsidR="00DB6D44">
        <w:rPr>
          <w:lang w:val="bg-BG"/>
        </w:rPr>
        <w:t xml:space="preserve">основни </w:t>
      </w:r>
      <w:r>
        <w:t xml:space="preserve">стопански дейности. </w:t>
      </w:r>
    </w:p>
    <w:p w14:paraId="7FE1B8CE" w14:textId="6DF07D26" w:rsidR="00FE5D64" w:rsidRDefault="00E40776">
      <w:pPr>
        <w:pStyle w:val="P68B1DB1-InstructionsText26"/>
        <w:numPr>
          <w:ilvl w:val="0"/>
          <w:numId w:val="232"/>
        </w:numPr>
        <w:spacing w:before="0"/>
      </w:pPr>
      <w:r>
        <w:t xml:space="preserve">Съгласно член 2, параграф 1, точка 35 от Директива 2014/59/ЕС критичните функции включват всички дейности, услуги или операции, чието прекъсване може да доведе в една или повече държави членки до срив в предоставянето на услуги от важно значение за реалната икономика или да наруши финансовата стабилност поради размера, пазарния дял, външната и вътрешната взаимосвързаност, сложността или трансграничните дейности на институцията или групата, от гледна точка по-специално на заменяемостта на тези дейности, услуги или операции. </w:t>
      </w:r>
    </w:p>
    <w:p w14:paraId="7FE1B8D0" w14:textId="77777777" w:rsidR="00FE5D64" w:rsidRDefault="00E40776">
      <w:pPr>
        <w:pStyle w:val="P68B1DB1-InstructionsText26"/>
        <w:numPr>
          <w:ilvl w:val="0"/>
          <w:numId w:val="232"/>
        </w:numPr>
        <w:spacing w:before="0"/>
      </w:pPr>
      <w:r>
        <w:t>Съгласно член 6, параграф 1 от Регламент (ЕС) 2016/778 на Комисията</w:t>
      </w:r>
      <w:r w:rsidRPr="001118F2">
        <w:rPr>
          <w:vertAlign w:val="superscript"/>
        </w:rPr>
        <w:footnoteReference w:id="18"/>
      </w:r>
      <w:r>
        <w:t>дадена функция се приема за критична, ако удовлетворява следните две условия:</w:t>
      </w:r>
    </w:p>
    <w:p w14:paraId="7FE1B8D1" w14:textId="77777777" w:rsidR="00FE5D64" w:rsidRDefault="00E40776">
      <w:pPr>
        <w:pStyle w:val="P68B1DB1-Normal3"/>
        <w:numPr>
          <w:ilvl w:val="0"/>
          <w:numId w:val="56"/>
        </w:numPr>
        <w:spacing w:line="276" w:lineRule="auto"/>
        <w:contextualSpacing/>
        <w:jc w:val="both"/>
      </w:pPr>
      <w:r>
        <w:t>функцията се изпълнява от дадена институция за трети лица, които не са свързани с нея или групата; както и</w:t>
      </w:r>
    </w:p>
    <w:p w14:paraId="7FE1B8D2" w14:textId="77777777" w:rsidR="00FE5D64" w:rsidRDefault="00E40776">
      <w:pPr>
        <w:pStyle w:val="P68B1DB1-Normal3"/>
        <w:numPr>
          <w:ilvl w:val="0"/>
          <w:numId w:val="56"/>
        </w:numPr>
        <w:spacing w:line="276" w:lineRule="auto"/>
        <w:contextualSpacing/>
        <w:jc w:val="both"/>
        <w:rPr>
          <w:i/>
        </w:rPr>
      </w:pPr>
      <w:r>
        <w:t>поради системното значение на тази функция за третите лица и системното значение на изпълняващата я институция или група, внезапното прекъсване на функцията би имало съществено неблагоприятно въздействие върху третите лица, би оказало верижен ефект или би подкопало общото доверие на пазарните участници.</w:t>
      </w:r>
    </w:p>
    <w:p w14:paraId="7FE1B8D3" w14:textId="241BE9CA" w:rsidR="00FE5D64" w:rsidRDefault="00E40776">
      <w:pPr>
        <w:pStyle w:val="P68B1DB1-InstructionsText26"/>
        <w:numPr>
          <w:ilvl w:val="0"/>
          <w:numId w:val="232"/>
        </w:numPr>
        <w:spacing w:before="0"/>
      </w:pPr>
      <w:r>
        <w:t>Съгласно член 2, параграф 1, точка 36 от Директива 2014/59/ЕС „основни стопански дейности“ означава стопански дейности и свързани с тях услуги, които представляват съществени източници на доходи или печалба или които имат стойност за целите на франчайзинг за дадена институция или за групата, от която е част дадена институция.</w:t>
      </w:r>
    </w:p>
    <w:p w14:paraId="7FE1B8D4" w14:textId="77777777" w:rsidR="00FE5D64" w:rsidRDefault="00E40776">
      <w:pPr>
        <w:pStyle w:val="P68B1DB1-InstructionsText26"/>
        <w:numPr>
          <w:ilvl w:val="0"/>
          <w:numId w:val="232"/>
        </w:numPr>
        <w:spacing w:before="0"/>
      </w:pPr>
      <w:r>
        <w:t>За целите на този образец икономическите функции се отнасят за функциите, изброени в таблицата по-долу.</w:t>
      </w:r>
    </w:p>
    <w:p w14:paraId="7FE1B8D5" w14:textId="3DFE1696" w:rsidR="00FE5D64" w:rsidRDefault="00E40776">
      <w:pPr>
        <w:pStyle w:val="P68B1DB1-InstructionsText26"/>
        <w:numPr>
          <w:ilvl w:val="0"/>
          <w:numId w:val="232"/>
        </w:numPr>
        <w:spacing w:before="0"/>
      </w:pPr>
      <w:r>
        <w:t xml:space="preserve">За всяка категория икономически функции може да се посочи икономическа функция „други“, ако тя не е обхваната от останалите предварително </w:t>
      </w:r>
      <w:r w:rsidR="006C38A3">
        <w:rPr>
          <w:lang w:val="bg-BG"/>
        </w:rPr>
        <w:t>дефинирани</w:t>
      </w:r>
      <w:r w:rsidR="006C38A3">
        <w:t xml:space="preserve"> </w:t>
      </w:r>
      <w:r>
        <w:t>функции.</w:t>
      </w:r>
    </w:p>
    <w:p w14:paraId="7FE1B8D6" w14:textId="628BD3E5" w:rsidR="00FE5D64" w:rsidRDefault="00E40776">
      <w:pPr>
        <w:pStyle w:val="P68B1DB1-InstructionsText26"/>
        <w:numPr>
          <w:ilvl w:val="0"/>
          <w:numId w:val="232"/>
        </w:numPr>
        <w:spacing w:before="0"/>
      </w:pPr>
      <w:r>
        <w:t>Контрагентите, посочени на редове 0010 до 0070 и редове 0080 до 0150, се определят по същия начин както секторите на контрагентите, както е предвидено във FINREP, приложение V, част 1, глава 6. „МСП“ означава малки и средни предприятия съгласно определението в FINREP, приложение V, част 1, параграф 5, буква и).</w:t>
      </w:r>
    </w:p>
    <w:p w14:paraId="072982A7" w14:textId="03D48690" w:rsidR="00FE5D64" w:rsidRDefault="00E40776" w:rsidP="001118F2">
      <w:pPr>
        <w:pStyle w:val="P68B1DB1-InstructionsText229"/>
        <w:numPr>
          <w:ilvl w:val="0"/>
          <w:numId w:val="0"/>
        </w:numPr>
      </w:pPr>
      <w:r>
        <w:rPr>
          <w:sz w:val="20"/>
          <w:szCs w:val="20"/>
        </w:rPr>
        <w:t xml:space="preserve">За всяка от категориите икономически функции се очаква отделен </w:t>
      </w:r>
      <w:r w:rsidR="00FD6BFC">
        <w:rPr>
          <w:sz w:val="20"/>
          <w:szCs w:val="20"/>
          <w:lang w:val="bg-BG"/>
        </w:rPr>
        <w:t>образец</w:t>
      </w:r>
      <w:r>
        <w:rPr>
          <w:sz w:val="20"/>
          <w:szCs w:val="20"/>
        </w:rPr>
        <w:t>.</w:t>
      </w:r>
      <w:r>
        <w:t xml:space="preserve"> </w:t>
      </w:r>
      <w:r>
        <w:br w:type="page"/>
      </w:r>
    </w:p>
    <w:p w14:paraId="7FE1B95D" w14:textId="634EB818" w:rsidR="00FE5D64" w:rsidRDefault="00FE5D64">
      <w:pPr>
        <w:pStyle w:val="InstructionsText2"/>
        <w:numPr>
          <w:ilvl w:val="0"/>
          <w:numId w:val="0"/>
        </w:numPr>
        <w:rPr>
          <w:rFonts w:ascii="Times New Roman" w:hAnsi="Times New Roman" w:cs="Times New Roman"/>
          <w:color w:val="000000" w:themeColor="text1"/>
        </w:rPr>
      </w:pPr>
    </w:p>
    <w:p w14:paraId="7FE1B95E" w14:textId="77777777" w:rsidR="00FE5D64" w:rsidRDefault="00E40776">
      <w:pPr>
        <w:pStyle w:val="P68B1DB1-Instructionsberschrift25"/>
        <w:numPr>
          <w:ilvl w:val="1"/>
          <w:numId w:val="49"/>
        </w:numPr>
        <w:ind w:left="357" w:hanging="357"/>
      </w:pPr>
      <w:bookmarkStart w:id="109" w:name="_Toc208244462"/>
      <w:r>
        <w:t>Z 07.01 — Оценка на критичността на икономическите функции (FUNC 1)</w:t>
      </w:r>
      <w:bookmarkEnd w:id="109"/>
    </w:p>
    <w:p w14:paraId="7FE1B960" w14:textId="7174EDC4" w:rsidR="00FE5D64" w:rsidRDefault="00E40776">
      <w:pPr>
        <w:pStyle w:val="P68B1DB1-Instructionsberschrift25"/>
      </w:pPr>
      <w:r>
        <w:t xml:space="preserve"> </w:t>
      </w:r>
      <w:bookmarkStart w:id="110" w:name="_Toc172723210"/>
      <w:bookmarkEnd w:id="110"/>
    </w:p>
    <w:p w14:paraId="7FE1B961" w14:textId="77777777" w:rsidR="00FE5D64" w:rsidRDefault="00E40776">
      <w:pPr>
        <w:pStyle w:val="P68B1DB1-body30"/>
      </w:pPr>
      <w:bookmarkStart w:id="111" w:name="_Toc164263845"/>
      <w:r>
        <w:t>Указания относно определени позиции</w:t>
      </w:r>
      <w:bookmarkEnd w:id="111"/>
    </w:p>
    <w:p w14:paraId="7FE1B963" w14:textId="55EC7AAF" w:rsidR="00FE5D64" w:rsidRDefault="00E40776" w:rsidP="009B7542">
      <w:pPr>
        <w:pStyle w:val="P68B1DB1-InstructionsText26"/>
        <w:numPr>
          <w:ilvl w:val="0"/>
          <w:numId w:val="232"/>
        </w:numPr>
        <w:spacing w:before="0"/>
      </w:pPr>
      <w:r>
        <w:t xml:space="preserve">Информацията в настоящия образец се предоставя веднъж за всяка държава членка (посочена като „държава“), в която групата </w:t>
      </w:r>
      <w:r w:rsidR="009B7542">
        <w:rPr>
          <w:lang w:val="bg-BG"/>
        </w:rPr>
        <w:t>осъществ</w:t>
      </w:r>
      <w:r w:rsidR="00FF1589">
        <w:rPr>
          <w:lang w:val="bg-BG"/>
        </w:rPr>
        <w:t>я</w:t>
      </w:r>
      <w:r w:rsidR="009B7542">
        <w:rPr>
          <w:lang w:val="bg-BG"/>
        </w:rPr>
        <w:t>ва</w:t>
      </w:r>
      <w:r w:rsidR="009B7542">
        <w:t xml:space="preserve"> </w:t>
      </w:r>
      <w:r>
        <w:t xml:space="preserve">дейност. Във всички случаи (независимо от </w:t>
      </w:r>
      <w:r w:rsidR="009B7542">
        <w:rPr>
          <w:lang w:val="bg-BG"/>
        </w:rPr>
        <w:t>входната точка</w:t>
      </w:r>
      <w:r>
        <w:t xml:space="preserve">) клоновете се </w:t>
      </w:r>
      <w:r w:rsidR="009B7542">
        <w:rPr>
          <w:lang w:val="bg-BG"/>
        </w:rPr>
        <w:t>включват</w:t>
      </w:r>
      <w:r w:rsidR="009B7542">
        <w:t xml:space="preserve"> </w:t>
      </w:r>
      <w:r>
        <w:t xml:space="preserve">в отчета </w:t>
      </w:r>
      <w:r w:rsidR="00FF1589">
        <w:rPr>
          <w:lang w:val="bg-BG"/>
        </w:rPr>
        <w:t>за</w:t>
      </w:r>
      <w:r>
        <w:t xml:space="preserve"> държавата, в която предоставят услуги.</w:t>
      </w:r>
    </w:p>
    <w:p w14:paraId="7FE1B964" w14:textId="6C2B7479" w:rsidR="00FE5D64" w:rsidRDefault="009B7542">
      <w:pPr>
        <w:pStyle w:val="P68B1DB1-InstructionsText26"/>
        <w:numPr>
          <w:ilvl w:val="0"/>
          <w:numId w:val="232"/>
        </w:numPr>
        <w:spacing w:before="0"/>
      </w:pPr>
      <w:r>
        <w:rPr>
          <w:lang w:val="bg-BG"/>
        </w:rPr>
        <w:t>Информацията</w:t>
      </w:r>
      <w:r w:rsidRPr="00FF1589">
        <w:rPr>
          <w:lang w:val="bg-BG"/>
        </w:rPr>
        <w:t xml:space="preserve"> </w:t>
      </w:r>
      <w:r w:rsidR="00E40776">
        <w:t>обхваща всички икономически функции, упражнявани в тази държава членка от всеки субект от групата, независимо дали са критични или не.</w:t>
      </w:r>
    </w:p>
    <w:p w14:paraId="7FE1B965" w14:textId="5A202B2F" w:rsidR="00FE5D64" w:rsidRDefault="00E40776">
      <w:pPr>
        <w:pStyle w:val="P68B1DB1-InstructionsText26"/>
        <w:numPr>
          <w:ilvl w:val="0"/>
          <w:numId w:val="232"/>
        </w:numPr>
      </w:pPr>
      <w:r>
        <w:t xml:space="preserve">Регионално </w:t>
      </w:r>
      <w:r w:rsidR="009B7542">
        <w:rPr>
          <w:lang w:val="bg-BG"/>
        </w:rPr>
        <w:t>отчитане</w:t>
      </w:r>
      <w:r w:rsidR="009B7542">
        <w:t xml:space="preserve"> </w:t>
      </w:r>
      <w:r>
        <w:t>(само когато е приложимо)</w:t>
      </w:r>
    </w:p>
    <w:p w14:paraId="7FE1B966" w14:textId="72C6A770" w:rsidR="00FE5D64" w:rsidRDefault="00E40776">
      <w:pPr>
        <w:pStyle w:val="P68B1DB1-InstructionsText26"/>
        <w:numPr>
          <w:ilvl w:val="0"/>
          <w:numId w:val="0"/>
        </w:numPr>
        <w:ind w:left="1440"/>
      </w:pPr>
      <w:r>
        <w:t xml:space="preserve">За информация на </w:t>
      </w:r>
      <w:r w:rsidR="00C22E4D">
        <w:rPr>
          <w:lang w:val="bg-BG"/>
        </w:rPr>
        <w:t>ниво</w:t>
      </w:r>
      <w:r w:rsidR="00C22E4D">
        <w:t xml:space="preserve"> </w:t>
      </w:r>
      <w:r>
        <w:t xml:space="preserve">регион се определя регионът. </w:t>
      </w:r>
      <w:r w:rsidR="00C22E4D">
        <w:rPr>
          <w:lang w:val="bg-BG"/>
        </w:rPr>
        <w:t>Посочва</w:t>
      </w:r>
      <w:r w:rsidR="009B7542">
        <w:rPr>
          <w:lang w:val="bg-BG"/>
        </w:rPr>
        <w:t xml:space="preserve"> се</w:t>
      </w:r>
      <w:r>
        <w:t xml:space="preserve"> наименованието на региона в свободен текст</w:t>
      </w:r>
      <w:r w:rsidR="00C22E4D">
        <w:rPr>
          <w:lang w:val="bg-BG"/>
        </w:rPr>
        <w:t xml:space="preserve"> съобразно</w:t>
      </w:r>
      <w:r>
        <w:t xml:space="preserve"> следната конвенция:</w:t>
      </w:r>
    </w:p>
    <w:p w14:paraId="7FE1B967" w14:textId="4A1279CF" w:rsidR="00FE5D64" w:rsidRDefault="00E40776">
      <w:pPr>
        <w:pStyle w:val="P68B1DB1-InstructionsText26"/>
        <w:numPr>
          <w:ilvl w:val="0"/>
          <w:numId w:val="0"/>
        </w:numPr>
        <w:ind w:left="1440" w:firstLine="18"/>
      </w:pPr>
      <w:r>
        <w:t xml:space="preserve">Държава членка — наименование на региона. За името на държавите членки </w:t>
      </w:r>
      <w:r w:rsidR="009B7542">
        <w:rPr>
          <w:lang w:val="bg-BG"/>
        </w:rPr>
        <w:t xml:space="preserve">се </w:t>
      </w:r>
      <w:r>
        <w:t xml:space="preserve">използва </w:t>
      </w:r>
      <w:r w:rsidR="009B7542">
        <w:t>съответна</w:t>
      </w:r>
      <w:r w:rsidR="009B7542">
        <w:rPr>
          <w:lang w:val="bg-BG"/>
        </w:rPr>
        <w:t>та двубукв</w:t>
      </w:r>
      <w:r w:rsidR="00C22E4D">
        <w:rPr>
          <w:lang w:val="bg-BG"/>
        </w:rPr>
        <w:t>е</w:t>
      </w:r>
      <w:r w:rsidR="009B7542">
        <w:rPr>
          <w:lang w:val="bg-BG"/>
        </w:rPr>
        <w:t>на абревиатура</w:t>
      </w:r>
      <w:r>
        <w:t xml:space="preserve">. За наименованието на региона се използва кодът или кодовете от класификацията </w:t>
      </w:r>
      <w:r w:rsidR="00C22E4D">
        <w:rPr>
          <w:lang w:val="bg-BG"/>
        </w:rPr>
        <w:t>на териториалните единици за статистически цели (</w:t>
      </w:r>
      <w:r>
        <w:t>NUTS 2021</w:t>
      </w:r>
      <w:r w:rsidR="00C22E4D">
        <w:rPr>
          <w:lang w:val="bg-BG"/>
        </w:rPr>
        <w:t>)</w:t>
      </w:r>
      <w:r>
        <w:t>.</w:t>
      </w:r>
    </w:p>
    <w:p w14:paraId="7FE1B968" w14:textId="77777777" w:rsidR="00FE5D64" w:rsidRDefault="00FE5D64">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E5D64"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FE5D64" w:rsidRDefault="00E40776">
            <w:pPr>
              <w:pStyle w:val="P68B1DB1-TableParagraph17"/>
              <w:spacing w:before="108"/>
              <w:ind w:left="85"/>
              <w:jc w:val="both"/>
            </w:pPr>
            <w:r>
              <w:t>Редове</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FE5D64" w:rsidRDefault="00E40776">
            <w:pPr>
              <w:pStyle w:val="P68B1DB1-TableParagraph17"/>
              <w:spacing w:before="108"/>
              <w:ind w:left="85" w:right="1"/>
              <w:jc w:val="both"/>
            </w:pPr>
            <w:r>
              <w:t>Икономическа функция</w:t>
            </w:r>
          </w:p>
        </w:tc>
      </w:tr>
      <w:tr w:rsidR="00FE5D64" w14:paraId="7FE1B970" w14:textId="77777777">
        <w:tc>
          <w:tcPr>
            <w:tcW w:w="9083" w:type="dxa"/>
            <w:gridSpan w:val="2"/>
            <w:tcBorders>
              <w:top w:val="single" w:sz="4" w:space="0" w:color="1A171C"/>
              <w:left w:val="nil"/>
              <w:bottom w:val="single" w:sz="4" w:space="0" w:color="1A171C"/>
            </w:tcBorders>
          </w:tcPr>
          <w:p w14:paraId="7FE1B96C" w14:textId="6E695AC0" w:rsidR="00FE5D64" w:rsidRPr="00FF1589" w:rsidRDefault="00E40776">
            <w:pPr>
              <w:pStyle w:val="P68B1DB1-TableParagraph16"/>
              <w:spacing w:before="108"/>
              <w:ind w:left="85"/>
              <w:jc w:val="both"/>
              <w:rPr>
                <w:b/>
                <w:color w:val="000000" w:themeColor="text1"/>
                <w:sz w:val="20"/>
                <w:lang w:val="bg-BG"/>
              </w:rPr>
            </w:pPr>
            <w:r>
              <w:t>Z 07.01.1 FUNC 1 DEP</w:t>
            </w:r>
          </w:p>
          <w:p w14:paraId="7FE1B96D" w14:textId="10BD4BFF" w:rsidR="00FE5D64" w:rsidRDefault="002C63AD">
            <w:pPr>
              <w:pStyle w:val="P68B1DB1-TableParagraph17"/>
              <w:spacing w:before="108"/>
              <w:ind w:left="85"/>
            </w:pPr>
            <w:r>
              <w:rPr>
                <w:lang w:val="bg-BG"/>
              </w:rPr>
              <w:t xml:space="preserve">Функцията </w:t>
            </w:r>
            <w:r w:rsidR="00E40776">
              <w:t xml:space="preserve">„Набиране на депозити“ </w:t>
            </w:r>
            <w:r>
              <w:rPr>
                <w:lang w:val="bg-BG"/>
              </w:rPr>
              <w:t>се отнася до</w:t>
            </w:r>
            <w:r>
              <w:t xml:space="preserve"> </w:t>
            </w:r>
            <w:r w:rsidR="00E40776">
              <w:t>приемане на депозити от нефинансови контрагенти. То</w:t>
            </w:r>
            <w:r w:rsidR="007A2444">
              <w:rPr>
                <w:lang w:val="bg-BG"/>
              </w:rPr>
              <w:t>ва</w:t>
            </w:r>
            <w:r w:rsidR="00E40776">
              <w:t xml:space="preserve"> не включва заем</w:t>
            </w:r>
            <w:r w:rsidR="007A2444">
              <w:rPr>
                <w:lang w:val="bg-BG"/>
              </w:rPr>
              <w:t>ане</w:t>
            </w:r>
            <w:r w:rsidR="00E40776">
              <w:t xml:space="preserve"> от други финансови посредници, което се третира отделно в частта „финансиране на едро“. </w:t>
            </w:r>
          </w:p>
          <w:p w14:paraId="7FE1B96E" w14:textId="491932DA" w:rsidR="00FE5D64" w:rsidRDefault="00E40776">
            <w:pPr>
              <w:pStyle w:val="P68B1DB1-TableParagraph17"/>
              <w:spacing w:before="108"/>
              <w:ind w:left="85"/>
            </w:pPr>
            <w:r>
              <w:t xml:space="preserve">Депозитите включват: i) </w:t>
            </w:r>
            <w:r w:rsidR="007A2444">
              <w:rPr>
                <w:lang w:val="bg-BG"/>
              </w:rPr>
              <w:t>разплащателни</w:t>
            </w:r>
            <w:r w:rsidR="007A2444">
              <w:t xml:space="preserve"> </w:t>
            </w:r>
            <w:r>
              <w:t>сметки/овърнайт депозити, ii) срочни влогове и iii) депозити, договорени за ползване след предизвестие, и изключва споразумения за обратно изкупуване.</w:t>
            </w:r>
          </w:p>
          <w:p w14:paraId="7FE1B96F" w14:textId="00E404A2" w:rsidR="00FE5D64" w:rsidRDefault="00E40776">
            <w:pPr>
              <w:pStyle w:val="P68B1DB1-TableParagraph13"/>
              <w:spacing w:before="108"/>
              <w:ind w:left="85"/>
              <w:rPr>
                <w:rFonts w:eastAsia="Cambria"/>
              </w:rPr>
            </w:pPr>
            <w:r>
              <w:t>Референтни документи: FSB Guidance on Identification of Critical Functions and Critical Shared Services (2013) p.14 (Насоки на Съвета за финансова стабилност относно определянето на критични функции и критични споделени услуги, 2013 г., стр. 14); Приложение II, част 2, точки 9.1, 9.2 и 9.3 от Регламент (ЕС) 2021/379.</w:t>
            </w:r>
          </w:p>
        </w:tc>
      </w:tr>
      <w:tr w:rsidR="00FE5D64"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FE5D64" w:rsidRDefault="00E40776">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FE5D64" w:rsidRDefault="00E40776">
            <w:pPr>
              <w:pStyle w:val="P68B1DB1-TableParagraph14"/>
              <w:spacing w:before="108"/>
              <w:ind w:left="85"/>
              <w:jc w:val="both"/>
              <w:rPr>
                <w:rFonts w:eastAsia="Cambria"/>
              </w:rPr>
            </w:pPr>
            <w:r>
              <w:t>Домакинства</w:t>
            </w:r>
          </w:p>
        </w:tc>
      </w:tr>
      <w:tr w:rsidR="00FE5D64"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FE5D64" w:rsidRDefault="00E40776">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FE5D64" w:rsidRDefault="00E40776">
            <w:pPr>
              <w:pStyle w:val="P68B1DB1-TableParagraph14"/>
              <w:spacing w:before="108"/>
              <w:ind w:left="85"/>
              <w:jc w:val="both"/>
              <w:rPr>
                <w:rFonts w:eastAsia="Cambria"/>
              </w:rPr>
            </w:pPr>
            <w:r>
              <w:t>Нефинансови предприятия (МСП)</w:t>
            </w:r>
          </w:p>
        </w:tc>
      </w:tr>
      <w:tr w:rsidR="00FE5D64"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FE5D64" w:rsidRDefault="00E40776">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FE5D64" w:rsidRDefault="00E40776">
            <w:pPr>
              <w:pStyle w:val="P68B1DB1-TableParagraph14"/>
              <w:spacing w:before="108"/>
              <w:ind w:left="85"/>
              <w:jc w:val="both"/>
              <w:rPr>
                <w:rFonts w:eastAsia="Cambria"/>
              </w:rPr>
            </w:pPr>
            <w:r>
              <w:t>Нефинансови предприятия (различни от МСП)</w:t>
            </w:r>
          </w:p>
        </w:tc>
      </w:tr>
      <w:tr w:rsidR="00FE5D64"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FE5D64" w:rsidRDefault="00E40776">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FE5D64" w:rsidRDefault="00E40776">
            <w:pPr>
              <w:pStyle w:val="P68B1DB1-TableParagraph14"/>
              <w:spacing w:before="108"/>
              <w:ind w:left="85"/>
              <w:jc w:val="both"/>
              <w:rPr>
                <w:rFonts w:eastAsia="Cambria"/>
              </w:rPr>
            </w:pPr>
            <w:r>
              <w:t>Сектор „Държавно управление“</w:t>
            </w:r>
          </w:p>
        </w:tc>
      </w:tr>
      <w:tr w:rsidR="00FE5D64"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FE5D64" w:rsidRDefault="00E40776">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FE5D64" w:rsidRDefault="00E40776">
            <w:pPr>
              <w:pStyle w:val="P68B1DB1-TableParagraph14"/>
              <w:spacing w:before="108"/>
              <w:ind w:left="85"/>
              <w:jc w:val="both"/>
              <w:rPr>
                <w:rFonts w:eastAsia="Cambria"/>
              </w:rPr>
            </w:pPr>
            <w:r>
              <w:t>Други сектори/контрагенти (1), (2) и (3)</w:t>
            </w:r>
          </w:p>
        </w:tc>
      </w:tr>
      <w:tr w:rsidR="00FE5D64" w14:paraId="7FE1B983" w14:textId="77777777">
        <w:tc>
          <w:tcPr>
            <w:tcW w:w="9083" w:type="dxa"/>
            <w:gridSpan w:val="2"/>
            <w:tcBorders>
              <w:top w:val="single" w:sz="4" w:space="0" w:color="1A171C"/>
              <w:left w:val="nil"/>
              <w:bottom w:val="single" w:sz="4" w:space="0" w:color="1A171C"/>
            </w:tcBorders>
          </w:tcPr>
          <w:p w14:paraId="7FE1B981" w14:textId="6E264FC9" w:rsidR="00FE5D64" w:rsidRDefault="00E40776">
            <w:pPr>
              <w:pStyle w:val="P68B1DB1-TableParagraph17"/>
              <w:spacing w:before="108"/>
              <w:ind w:left="85"/>
            </w:pPr>
            <w:r>
              <w:t xml:space="preserve">Z 07.01.2 FUNC 1 LEN </w:t>
            </w:r>
            <w:r w:rsidR="002C63AD">
              <w:rPr>
                <w:lang w:val="bg-BG"/>
              </w:rPr>
              <w:t xml:space="preserve">Функцията </w:t>
            </w:r>
            <w:r>
              <w:t xml:space="preserve">„Кредитиране“ </w:t>
            </w:r>
            <w:r w:rsidR="002C63AD">
              <w:rPr>
                <w:lang w:val="bg-BG"/>
              </w:rPr>
              <w:t>се отнася до</w:t>
            </w:r>
            <w:r w:rsidR="002C63AD">
              <w:t xml:space="preserve"> </w:t>
            </w:r>
            <w:r>
              <w:t xml:space="preserve">предоставяне на средства на нефинансови контрагенти, например корпоративни или </w:t>
            </w:r>
            <w:r w:rsidR="002C63AD">
              <w:rPr>
                <w:lang w:val="bg-BG"/>
              </w:rPr>
              <w:t>индивидуални</w:t>
            </w:r>
            <w:r w:rsidR="002C63AD">
              <w:t xml:space="preserve"> </w:t>
            </w:r>
            <w:r>
              <w:t xml:space="preserve">клиенти. Кредитиране на финансови контрагенти е различна дейност и се оценява в частта „финансиране на едро“. Понятието „кредит“ включва дългови инструменти, държани от институциите, но изключва дългови инструменти, които са ценни книжа, независимо от </w:t>
            </w:r>
            <w:r w:rsidR="00514365">
              <w:t>тяхн</w:t>
            </w:r>
            <w:r w:rsidR="00514365">
              <w:rPr>
                <w:lang w:val="bg-BG"/>
              </w:rPr>
              <w:t>ата</w:t>
            </w:r>
            <w:r w:rsidR="00514365">
              <w:t xml:space="preserve"> </w:t>
            </w:r>
            <w:r>
              <w:t>счетоводн</w:t>
            </w:r>
            <w:r w:rsidR="00514365">
              <w:rPr>
                <w:lang w:val="bg-BG"/>
              </w:rPr>
              <w:t>а</w:t>
            </w:r>
            <w:r>
              <w:t xml:space="preserve"> </w:t>
            </w:r>
            <w:r w:rsidR="00514365">
              <w:t>класифи</w:t>
            </w:r>
            <w:r w:rsidR="00514365">
              <w:rPr>
                <w:lang w:val="bg-BG"/>
              </w:rPr>
              <w:t>кация</w:t>
            </w:r>
            <w:r w:rsidR="00514365">
              <w:t xml:space="preserve"> </w:t>
            </w:r>
            <w:r>
              <w:t>(например държани до падежа или на разположение за продажба).</w:t>
            </w:r>
          </w:p>
          <w:p w14:paraId="7FE1B982" w14:textId="146D75B8" w:rsidR="00FE5D64" w:rsidRDefault="00E40776">
            <w:pPr>
              <w:pStyle w:val="P68B1DB1-TableParagraph13"/>
              <w:spacing w:before="108"/>
              <w:ind w:left="85"/>
              <w:rPr>
                <w:rFonts w:eastAsia="Cambria"/>
              </w:rPr>
            </w:pPr>
            <w:r>
              <w:t>Референтни документи: FSB Guidance on Identification of Critical Functions and Critical Shared Services (2013) p.17 (Насоки на Съвета за финансова стабилност относно определянето на критични функции и критични споделени услуги, 2013 г., стр. 17); Приложение II, част 2, точка 2 от Регламент (ЕС) 2021/379.</w:t>
            </w:r>
          </w:p>
        </w:tc>
      </w:tr>
      <w:tr w:rsidR="00FE5D64"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FE5D64" w:rsidRDefault="00E40776">
            <w:pPr>
              <w:pStyle w:val="P68B1DB1-TableParagraph17"/>
              <w:spacing w:before="108"/>
              <w:ind w:left="85"/>
              <w:jc w:val="both"/>
            </w:pPr>
            <w:r>
              <w:t>0080</w:t>
            </w:r>
          </w:p>
        </w:tc>
        <w:tc>
          <w:tcPr>
            <w:tcW w:w="7892" w:type="dxa"/>
            <w:tcBorders>
              <w:top w:val="single" w:sz="4" w:space="0" w:color="1A171C"/>
              <w:left w:val="single" w:sz="4" w:space="0" w:color="1A171C"/>
              <w:bottom w:val="single" w:sz="4" w:space="0" w:color="1A171C"/>
              <w:right w:val="nil"/>
            </w:tcBorders>
          </w:tcPr>
          <w:p w14:paraId="7FE1B985" w14:textId="77777777" w:rsidR="00FE5D64" w:rsidRDefault="00E40776">
            <w:pPr>
              <w:pStyle w:val="P68B1DB1-TableParagraph14"/>
              <w:spacing w:before="108"/>
              <w:ind w:left="85"/>
              <w:jc w:val="both"/>
              <w:rPr>
                <w:bCs/>
              </w:rPr>
            </w:pPr>
            <w:r>
              <w:t>Домакинства — кредитиране за закупуване на жилище</w:t>
            </w:r>
          </w:p>
          <w:p w14:paraId="7FE1B986" w14:textId="77777777" w:rsidR="00FE5D64" w:rsidRDefault="00E40776">
            <w:pPr>
              <w:pStyle w:val="P68B1DB1-TableParagraph17"/>
              <w:spacing w:before="108"/>
              <w:ind w:left="85"/>
            </w:pPr>
            <w:r>
              <w:t>Обезпечени заеми, отпуснати на домакинства с недвижим имот като обезпечение</w:t>
            </w:r>
          </w:p>
        </w:tc>
      </w:tr>
      <w:tr w:rsidR="00FE5D64"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FE5D64" w:rsidRDefault="00E40776">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FE5D64" w:rsidRDefault="00E40776">
            <w:pPr>
              <w:pStyle w:val="P68B1DB1-TableParagraph14"/>
              <w:spacing w:before="108"/>
              <w:ind w:left="85"/>
              <w:jc w:val="both"/>
              <w:rPr>
                <w:bCs/>
              </w:rPr>
            </w:pPr>
            <w:r>
              <w:t>Домакинства — друго кредитиране</w:t>
            </w:r>
          </w:p>
        </w:tc>
      </w:tr>
      <w:tr w:rsidR="00FE5D64"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FE5D64" w:rsidRDefault="00E40776">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FE5D64" w:rsidRDefault="00E40776">
            <w:pPr>
              <w:pStyle w:val="P68B1DB1-TableParagraph14"/>
              <w:spacing w:before="108"/>
              <w:ind w:left="85"/>
              <w:jc w:val="both"/>
              <w:rPr>
                <w:bCs/>
              </w:rPr>
            </w:pPr>
            <w:r>
              <w:t>Нефинансови предприятия — МСП</w:t>
            </w:r>
          </w:p>
        </w:tc>
      </w:tr>
      <w:tr w:rsidR="00FE5D64"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FE5D64" w:rsidRDefault="00E40776">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FE5D64" w:rsidRDefault="00E40776">
            <w:pPr>
              <w:pStyle w:val="P68B1DB1-TableParagraph14"/>
              <w:spacing w:before="108"/>
              <w:ind w:left="85"/>
              <w:jc w:val="both"/>
              <w:rPr>
                <w:bCs/>
              </w:rPr>
            </w:pPr>
            <w:r>
              <w:t>Нефинансови предприятия — различни от МСП</w:t>
            </w:r>
          </w:p>
        </w:tc>
      </w:tr>
      <w:tr w:rsidR="00FE5D64"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FE5D64" w:rsidRDefault="00E40776">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FE5D64" w:rsidRDefault="00E40776">
            <w:pPr>
              <w:pStyle w:val="P68B1DB1-TableParagraph14"/>
              <w:spacing w:before="108"/>
              <w:ind w:left="85"/>
              <w:jc w:val="both"/>
              <w:rPr>
                <w:bCs/>
              </w:rPr>
            </w:pPr>
            <w:r>
              <w:t>Сектор „Държавно управление“</w:t>
            </w:r>
          </w:p>
        </w:tc>
      </w:tr>
      <w:tr w:rsidR="00FE5D64"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FE5D64" w:rsidRDefault="00E40776">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FE5D64" w:rsidRDefault="00E40776">
            <w:pPr>
              <w:pStyle w:val="P68B1DB1-TableParagraph14"/>
              <w:spacing w:before="108"/>
              <w:ind w:left="85"/>
              <w:jc w:val="both"/>
              <w:rPr>
                <w:rFonts w:eastAsia="Cambria"/>
              </w:rPr>
            </w:pPr>
            <w:r>
              <w:t>Други сектори/контрагенти (1), (2) и (3)</w:t>
            </w:r>
          </w:p>
        </w:tc>
      </w:tr>
      <w:tr w:rsidR="00FE5D64" w14:paraId="7FE1B99C" w14:textId="77777777">
        <w:tc>
          <w:tcPr>
            <w:tcW w:w="9083" w:type="dxa"/>
            <w:gridSpan w:val="2"/>
            <w:tcBorders>
              <w:top w:val="single" w:sz="4" w:space="0" w:color="1A171C"/>
              <w:left w:val="nil"/>
              <w:bottom w:val="single" w:sz="4" w:space="0" w:color="1A171C"/>
            </w:tcBorders>
          </w:tcPr>
          <w:p w14:paraId="7FE1B997" w14:textId="168D50AE" w:rsidR="00FE5D64" w:rsidRDefault="00E40776">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07.01.3 FUNC 1 </w:t>
            </w:r>
            <w:r w:rsidR="00447285">
              <w:rPr>
                <w:rFonts w:ascii="Times New Roman" w:hAnsi="Times New Roman" w:cs="Times New Roman"/>
                <w:lang w:val="en-US"/>
              </w:rPr>
              <w:t>PAY</w:t>
            </w:r>
          </w:p>
          <w:p w14:paraId="7FE1B998" w14:textId="465CE8E5" w:rsidR="00FE5D64" w:rsidRDefault="00447285">
            <w:pPr>
              <w:pStyle w:val="P68B1DB1-TableParagraph13"/>
              <w:spacing w:before="108"/>
              <w:ind w:left="85"/>
              <w:jc w:val="both"/>
              <w:rPr>
                <w:rFonts w:eastAsia="Cambria"/>
              </w:rPr>
            </w:pPr>
            <w:r>
              <w:t>Референтни документи</w:t>
            </w:r>
            <w:r w:rsidR="00E40776">
              <w:t>: FSB Guidance on Identification of Critical Functions and Critical Shared Services (2013) p.20 (Насоки на Съвета за финансова стабилност относно определянето на критични функции и критични споделени услуги, 2013 г., стр. 20).</w:t>
            </w:r>
          </w:p>
          <w:p w14:paraId="7FE1B999" w14:textId="0DAF3E29" w:rsidR="00FE5D64" w:rsidRDefault="00E40776">
            <w:pPr>
              <w:pStyle w:val="P68B1DB1-TableParagraph13"/>
              <w:spacing w:before="108"/>
              <w:ind w:left="85"/>
              <w:jc w:val="both"/>
              <w:rPr>
                <w:rFonts w:eastAsia="Cambria"/>
              </w:rPr>
            </w:pPr>
            <w:r>
              <w:t xml:space="preserve">Икономическите функции, включени в настоящата рубрика, обхващат предоставянето на платежни услуги, касови услуги, услуги по сетълмент, клиринг и попечителство от страна на кредитна институция като посредник между собствени клиенти или </w:t>
            </w:r>
            <w:r w:rsidR="00AB56BE">
              <w:rPr>
                <w:lang w:val="bg-BG"/>
              </w:rPr>
              <w:t xml:space="preserve">като посредник </w:t>
            </w:r>
            <w:r>
              <w:t>между клиент и една или няколко съответни инфраструктури на финансовия пазар (ИФП), или предоставянето на (непряк) достъп до ИФП за други банки. В съответствие с Насоките на Съвета за финансова стабилност относно определянето на критични функции и критични споделени услуги</w:t>
            </w:r>
            <w:r w:rsidR="00AB56BE">
              <w:rPr>
                <w:lang w:val="bg-BG"/>
              </w:rPr>
              <w:t>,</w:t>
            </w:r>
            <w:r>
              <w:t xml:space="preserve"> функцията за плащания, клиринг и сетълмент се ограничава до услуги, предоставяни от банките на техни клиенти. </w:t>
            </w:r>
            <w:r w:rsidR="00447285">
              <w:rPr>
                <w:lang w:val="bg-BG"/>
              </w:rPr>
              <w:t>Тази категория</w:t>
            </w:r>
            <w:r w:rsidR="00447285" w:rsidRPr="00AB56BE">
              <w:rPr>
                <w:lang w:val="bg-BG"/>
              </w:rPr>
              <w:t xml:space="preserve"> не </w:t>
            </w:r>
            <w:r w:rsidR="00447285">
              <w:rPr>
                <w:lang w:val="bg-BG"/>
              </w:rPr>
              <w:t>включва</w:t>
            </w:r>
            <w:r>
              <w:t xml:space="preserve"> услугите, предоставяни от доставчици на ИФП. За целите на настоящия образец ИФП включват платежните системи, системите за сетълмент на ценни книжа, централните депозитари на ценни книжа и централните контрагенти</w:t>
            </w:r>
            <w:r w:rsidR="00B91D2A">
              <w:rPr>
                <w:lang w:val="bg-BG"/>
              </w:rPr>
              <w:t xml:space="preserve"> (не се включват</w:t>
            </w:r>
            <w:r w:rsidR="00447285" w:rsidRPr="00AB56BE">
              <w:rPr>
                <w:lang w:val="bg-BG"/>
              </w:rPr>
              <w:t xml:space="preserve"> </w:t>
            </w:r>
            <w:r>
              <w:t>регистрите на трансакции</w:t>
            </w:r>
            <w:r w:rsidR="00B91D2A">
              <w:rPr>
                <w:lang w:val="bg-BG"/>
              </w:rPr>
              <w:t>)</w:t>
            </w:r>
            <w:r>
              <w:t>.</w:t>
            </w:r>
          </w:p>
          <w:p w14:paraId="7FE1B99A" w14:textId="201EC024" w:rsidR="00FE5D64" w:rsidRDefault="00E40776">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Понятията „платежна услуга</w:t>
            </w:r>
            <w:r w:rsidR="00E57ED3">
              <w:rPr>
                <w:rFonts w:ascii="Times New Roman" w:eastAsia="Cambria" w:hAnsi="Times New Roman" w:cs="Times New Roman"/>
                <w:color w:val="000000" w:themeColor="text1"/>
                <w:sz w:val="20"/>
                <w:szCs w:val="20"/>
                <w:lang w:val="bg-BG"/>
              </w:rPr>
              <w:t>“</w:t>
            </w:r>
            <w:r w:rsidR="00E57ED3">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„платежна операция“ и „платежна система“ имат значението, определено в член 4, параграфи 3, 5 и 7 от Директива (ЕС) 2015/2366 за платежните услуги във вътрешния пазар</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FE5D64" w:rsidRDefault="00FE5D64">
            <w:pPr>
              <w:pStyle w:val="TableParagraph"/>
              <w:spacing w:before="108"/>
              <w:ind w:left="85"/>
              <w:jc w:val="both"/>
              <w:rPr>
                <w:rFonts w:ascii="Times New Roman" w:eastAsia="Cambria" w:hAnsi="Times New Roman" w:cs="Times New Roman"/>
                <w:color w:val="000000" w:themeColor="text1"/>
                <w:sz w:val="20"/>
                <w:szCs w:val="20"/>
              </w:rPr>
            </w:pPr>
          </w:p>
        </w:tc>
      </w:tr>
      <w:tr w:rsidR="00FE5D64"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FE5D64" w:rsidRDefault="00E40776">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FE5D64" w:rsidRDefault="00E40776">
            <w:pPr>
              <w:pStyle w:val="P68B1DB1-TableParagraph14"/>
              <w:spacing w:before="108"/>
              <w:ind w:left="85"/>
              <w:jc w:val="both"/>
              <w:rPr>
                <w:bCs/>
              </w:rPr>
            </w:pPr>
            <w:r>
              <w:t>Платежни услуги към парично-финансови институции (ПФИ)</w:t>
            </w:r>
          </w:p>
          <w:p w14:paraId="7FE1B99F" w14:textId="01AAEDC3" w:rsidR="00FE5D64" w:rsidRDefault="00E40776">
            <w:pPr>
              <w:pStyle w:val="P68B1DB1-TableParagraph17"/>
              <w:spacing w:before="108"/>
              <w:ind w:left="85"/>
              <w:jc w:val="both"/>
            </w:pPr>
            <w:r>
              <w:t xml:space="preserve">Този ред включва платежните услуги, предоставяни на парично-финансовите институции (ПФИ), със или без използване на външни системи за плащане. Това включва също и (плащания, свързани със) съответни банкови услуги. ПФИ са всички институционални единици, включени в следните подсектори: </w:t>
            </w:r>
            <w:r w:rsidR="00D033D5">
              <w:rPr>
                <w:lang w:val="en-US"/>
              </w:rPr>
              <w:t>i</w:t>
            </w:r>
            <w:r w:rsidR="00D033D5" w:rsidRPr="001118F2">
              <w:t xml:space="preserve">) </w:t>
            </w:r>
            <w:r>
              <w:t>централна банка; ii) депозитни институции без централната банка; и iii) фондове на паричния пазар.</w:t>
            </w:r>
          </w:p>
        </w:tc>
      </w:tr>
      <w:tr w:rsidR="00FE5D64"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FE5D64" w:rsidRDefault="00E40776">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FE5D64" w:rsidRDefault="00E40776">
            <w:pPr>
              <w:pStyle w:val="P68B1DB1-TableParagraph14"/>
              <w:spacing w:before="108"/>
              <w:ind w:left="85"/>
              <w:jc w:val="both"/>
              <w:rPr>
                <w:bCs/>
              </w:rPr>
            </w:pPr>
            <w:r>
              <w:t>Платежни услуги към различни от ПФИ</w:t>
            </w:r>
          </w:p>
          <w:p w14:paraId="7FE1B9A3" w14:textId="77777777" w:rsidR="00FE5D64" w:rsidRDefault="00E40776">
            <w:pPr>
              <w:pStyle w:val="P68B1DB1-TableParagraph17"/>
              <w:spacing w:before="108"/>
              <w:ind w:left="85"/>
            </w:pPr>
            <w:r>
              <w:t>Платежни услуги, предлагани на клиенти, със или без използване на външни системи за плащане. Включва само физически или юридически лица, които не спадат към сектора на ПФИ. Доставчиците на платежни услуги също се изключват от сектора „различни от ПФИ“.</w:t>
            </w:r>
          </w:p>
          <w:p w14:paraId="7FE1B9A4" w14:textId="77777777" w:rsidR="00FE5D64" w:rsidRDefault="00E40776">
            <w:pPr>
              <w:pStyle w:val="P68B1DB1-TableParagraph17"/>
              <w:spacing w:before="108"/>
              <w:ind w:left="85"/>
            </w:pPr>
            <w:r>
              <w:t>Функцията е разделена допълнително на 3 подфункции:</w:t>
            </w:r>
          </w:p>
          <w:p w14:paraId="7FE1B9A5" w14:textId="77777777" w:rsidR="00FE5D64" w:rsidRDefault="00E40776">
            <w:pPr>
              <w:pStyle w:val="P68B1DB1-TableParagraph17"/>
              <w:spacing w:before="108"/>
              <w:ind w:left="85"/>
            </w:pPr>
            <w:r>
              <w:t>(1) Домакинства</w:t>
            </w:r>
          </w:p>
          <w:p w14:paraId="7FE1B9A6" w14:textId="77777777" w:rsidR="00FE5D64" w:rsidRDefault="00E40776">
            <w:pPr>
              <w:pStyle w:val="P68B1DB1-TableParagraph17"/>
              <w:spacing w:before="108"/>
              <w:ind w:left="85"/>
            </w:pPr>
            <w:r>
              <w:t>(2) Нефинансови предприятия — МСП</w:t>
            </w:r>
          </w:p>
          <w:p w14:paraId="7FE1B9A7" w14:textId="77777777" w:rsidR="00FE5D64" w:rsidRDefault="00E40776">
            <w:pPr>
              <w:pStyle w:val="P68B1DB1-TableParagraph17"/>
              <w:spacing w:before="108"/>
              <w:ind w:left="85"/>
            </w:pPr>
            <w:r>
              <w:t>(3) Нефинансови предприятия — различни от МСП</w:t>
            </w:r>
          </w:p>
        </w:tc>
      </w:tr>
      <w:tr w:rsidR="00FE5D64"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FE5D64" w:rsidRDefault="00E40776">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FE5D64" w:rsidRDefault="00E40776">
            <w:pPr>
              <w:pStyle w:val="P68B1DB1-TableParagraph14"/>
              <w:spacing w:before="108"/>
              <w:ind w:left="85"/>
              <w:jc w:val="both"/>
              <w:rPr>
                <w:bCs/>
              </w:rPr>
            </w:pPr>
            <w:r>
              <w:t>Касови услуги</w:t>
            </w:r>
          </w:p>
          <w:p w14:paraId="7FE1B9AB" w14:textId="3427CD4C" w:rsidR="00FE5D64" w:rsidRDefault="00E40776">
            <w:pPr>
              <w:pStyle w:val="P68B1DB1-TableParagraph17"/>
              <w:spacing w:before="108"/>
              <w:ind w:left="85"/>
            </w:pPr>
            <w:r>
              <w:t xml:space="preserve">Касовите услуги, предоставяни на клиенти </w:t>
            </w:r>
            <w:r w:rsidR="00D033D5">
              <w:rPr>
                <w:lang w:val="bg-BG"/>
              </w:rPr>
              <w:t>(</w:t>
            </w:r>
            <w:r>
              <w:t xml:space="preserve">физически лица и </w:t>
            </w:r>
            <w:r w:rsidR="00D033D5">
              <w:rPr>
                <w:lang w:val="bg-BG"/>
              </w:rPr>
              <w:t>юридически лица</w:t>
            </w:r>
            <w:r>
              <w:t xml:space="preserve">, различни от ПФИ. Тези услуги </w:t>
            </w:r>
            <w:r w:rsidR="00D033D5">
              <w:rPr>
                <w:lang w:val="bg-BG"/>
              </w:rPr>
              <w:t>се отнасят до</w:t>
            </w:r>
            <w:r>
              <w:t xml:space="preserve"> теглен</w:t>
            </w:r>
            <w:r w:rsidR="00D033D5">
              <w:rPr>
                <w:lang w:val="bg-BG"/>
              </w:rPr>
              <w:t>ия</w:t>
            </w:r>
            <w:r>
              <w:t xml:space="preserve"> на пари от </w:t>
            </w:r>
            <w:r w:rsidR="00D033D5">
              <w:rPr>
                <w:lang w:val="bg-BG"/>
              </w:rPr>
              <w:t>собствени банкомати (АТМ</w:t>
            </w:r>
            <w:r>
              <w:t xml:space="preserve"> устройства</w:t>
            </w:r>
            <w:r w:rsidR="00D033D5">
              <w:rPr>
                <w:lang w:val="bg-BG"/>
              </w:rPr>
              <w:t>)</w:t>
            </w:r>
            <w:r>
              <w:t xml:space="preserve"> и на гишета в клонове</w:t>
            </w:r>
            <w:r w:rsidR="00D033D5">
              <w:rPr>
                <w:lang w:val="bg-BG"/>
              </w:rPr>
              <w:t xml:space="preserve"> на инст</w:t>
            </w:r>
            <w:r w:rsidR="006F1C4E">
              <w:rPr>
                <w:lang w:val="bg-BG"/>
              </w:rPr>
              <w:t>ит</w:t>
            </w:r>
            <w:r w:rsidR="00D033D5">
              <w:rPr>
                <w:lang w:val="bg-BG"/>
              </w:rPr>
              <w:t>уцията</w:t>
            </w:r>
            <w:r>
              <w:t xml:space="preserve"> и не </w:t>
            </w:r>
            <w:r w:rsidR="006F1C4E">
              <w:rPr>
                <w:lang w:val="bg-BG"/>
              </w:rPr>
              <w:t xml:space="preserve">се </w:t>
            </w:r>
            <w:r>
              <w:t xml:space="preserve">включват други касови услуги (като </w:t>
            </w:r>
            <w:r w:rsidR="006F1C4E">
              <w:rPr>
                <w:lang w:val="bg-BG"/>
              </w:rPr>
              <w:t xml:space="preserve">инкасо </w:t>
            </w:r>
            <w:r>
              <w:t>услуги). Включва</w:t>
            </w:r>
            <w:r w:rsidR="006F1C4E">
              <w:rPr>
                <w:lang w:val="bg-BG"/>
              </w:rPr>
              <w:t>т</w:t>
            </w:r>
            <w:r>
              <w:t xml:space="preserve"> се теглен</w:t>
            </w:r>
            <w:r w:rsidR="006F1C4E">
              <w:rPr>
                <w:lang w:val="bg-BG"/>
              </w:rPr>
              <w:t>ия</w:t>
            </w:r>
            <w:r>
              <w:t xml:space="preserve"> на пари в брой с чекове и на гишета в клонове с банкови </w:t>
            </w:r>
            <w:r w:rsidR="007C6830">
              <w:rPr>
                <w:lang w:val="bg-BG"/>
              </w:rPr>
              <w:t>карти</w:t>
            </w:r>
            <w:r w:rsidR="007C6830">
              <w:t xml:space="preserve"> </w:t>
            </w:r>
            <w:r>
              <w:t>(където карти могат да се използват като средство за удостоверяване на самоличност).</w:t>
            </w:r>
          </w:p>
        </w:tc>
      </w:tr>
      <w:tr w:rsidR="00FE5D64"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FE5D64" w:rsidRDefault="00E40776">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FE5D64" w:rsidRDefault="00E40776">
            <w:pPr>
              <w:pStyle w:val="P68B1DB1-TableParagraph14"/>
              <w:spacing w:before="108"/>
              <w:ind w:left="85"/>
              <w:jc w:val="both"/>
              <w:rPr>
                <w:bCs/>
              </w:rPr>
            </w:pPr>
            <w:r>
              <w:t>Услуги по сетълмент на ценни книжа</w:t>
            </w:r>
          </w:p>
          <w:p w14:paraId="7FE1B9AF" w14:textId="52CFDFC1" w:rsidR="00FE5D64" w:rsidRDefault="00E40776">
            <w:pPr>
              <w:pStyle w:val="P68B1DB1-TableParagraph17"/>
              <w:spacing w:before="108"/>
              <w:ind w:left="85"/>
            </w:pPr>
            <w:r>
              <w:t>Услугите, предоставяни на клиенти за потвърждаване, клиринг и сетълмент на</w:t>
            </w:r>
            <w:r w:rsidR="007C6830">
              <w:rPr>
                <w:lang w:val="bg-BG"/>
              </w:rPr>
              <w:t xml:space="preserve"> сделки с</w:t>
            </w:r>
            <w:r>
              <w:t xml:space="preserve"> ценни книжа, със или без използването на системи за сетълмент на ценни книжа. „Сетълмент“ означава приключване на сделка с ценни книжа, без оглед на мястото на сключването ѝ, с цел изпълнение на задълженията на страните по тази сделка чрез прехвърляне на парични средства и/или ценни книжа.</w:t>
            </w:r>
          </w:p>
        </w:tc>
      </w:tr>
      <w:tr w:rsidR="00FE5D64"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FE5D64" w:rsidRDefault="00E40776">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FE5D64" w:rsidRDefault="00E40776">
            <w:pPr>
              <w:pStyle w:val="P68B1DB1-TableParagraph14"/>
              <w:spacing w:before="108"/>
              <w:ind w:left="85"/>
              <w:jc w:val="both"/>
              <w:rPr>
                <w:bCs/>
              </w:rPr>
            </w:pPr>
            <w:r>
              <w:t>Услуги по клиринг към централни контрагенти</w:t>
            </w:r>
          </w:p>
          <w:p w14:paraId="7FE1B9B3" w14:textId="41B6B58E" w:rsidR="00FE5D64" w:rsidRDefault="00E40776">
            <w:pPr>
              <w:pStyle w:val="P68B1DB1-TableParagraph17"/>
              <w:spacing w:before="108"/>
              <w:ind w:left="85"/>
            </w:pPr>
            <w:r>
              <w:t>Услугите по клиринг на ценни книжа и деривати, предоставяни на клиенти. Тук спада осигуряването на непряк достъп до централен контрагент.</w:t>
            </w:r>
          </w:p>
        </w:tc>
      </w:tr>
      <w:tr w:rsidR="00FE5D64"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FE5D64" w:rsidRDefault="00E40776">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FE5D64" w:rsidRDefault="00E40776">
            <w:pPr>
              <w:pStyle w:val="P68B1DB1-TableParagraph14"/>
              <w:spacing w:before="108"/>
              <w:ind w:left="85"/>
              <w:jc w:val="both"/>
              <w:rPr>
                <w:bCs/>
              </w:rPr>
            </w:pPr>
            <w:r>
              <w:t>Попечителски услуги</w:t>
            </w:r>
          </w:p>
          <w:p w14:paraId="7FE1B9B7" w14:textId="77777777" w:rsidR="00FE5D64" w:rsidRDefault="00E40776">
            <w:pPr>
              <w:pStyle w:val="P68B1DB1-TableParagraph17"/>
              <w:spacing w:before="108"/>
              <w:ind w:left="85"/>
            </w:pPr>
            <w:r>
              <w:t>Отговорно пазене и администриране на финансови инструменти за клиенти и услуги, свързани с попечителство, например управление на парични средства и обезпечения.</w:t>
            </w:r>
          </w:p>
        </w:tc>
      </w:tr>
      <w:tr w:rsidR="00FE5D64"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FE5D64" w:rsidRDefault="00E40776">
            <w:pPr>
              <w:pStyle w:val="P68B1DB1-TableParagraph17"/>
              <w:spacing w:before="108"/>
              <w:ind w:left="85"/>
              <w:jc w:val="both"/>
            </w:pPr>
            <w:r>
              <w:t>0220 Г. — 0240 Г.</w:t>
            </w:r>
          </w:p>
        </w:tc>
        <w:tc>
          <w:tcPr>
            <w:tcW w:w="7892" w:type="dxa"/>
            <w:tcBorders>
              <w:top w:val="single" w:sz="4" w:space="0" w:color="1A171C"/>
              <w:left w:val="single" w:sz="4" w:space="0" w:color="1A171C"/>
              <w:bottom w:val="single" w:sz="4" w:space="0" w:color="1A171C"/>
              <w:right w:val="nil"/>
            </w:tcBorders>
          </w:tcPr>
          <w:p w14:paraId="7FE1B9BA" w14:textId="77777777" w:rsidR="00FE5D64" w:rsidRDefault="00E40776">
            <w:pPr>
              <w:pStyle w:val="P68B1DB1-TableParagraph14"/>
              <w:spacing w:before="108"/>
              <w:ind w:left="85"/>
              <w:jc w:val="both"/>
              <w:rPr>
                <w:rFonts w:eastAsia="Cambria"/>
              </w:rPr>
            </w:pPr>
            <w:r>
              <w:t>Други услуги/дейности/функции (1), (2) и (3)</w:t>
            </w:r>
          </w:p>
        </w:tc>
      </w:tr>
      <w:tr w:rsidR="00FE5D64" w14:paraId="7FE1B9BE" w14:textId="77777777">
        <w:tc>
          <w:tcPr>
            <w:tcW w:w="9083" w:type="dxa"/>
            <w:gridSpan w:val="2"/>
            <w:tcBorders>
              <w:top w:val="single" w:sz="4" w:space="0" w:color="1A171C"/>
              <w:left w:val="nil"/>
              <w:bottom w:val="single" w:sz="4" w:space="0" w:color="1A171C"/>
            </w:tcBorders>
          </w:tcPr>
          <w:p w14:paraId="7FE1B9BC" w14:textId="0BC7C369" w:rsidR="00FE5D64" w:rsidRPr="007C6830" w:rsidRDefault="00E40776">
            <w:pPr>
              <w:pStyle w:val="TableParagraph"/>
              <w:spacing w:before="108"/>
              <w:ind w:left="85"/>
              <w:jc w:val="both"/>
              <w:rPr>
                <w:rFonts w:ascii="Times New Roman" w:hAnsi="Times New Roman"/>
                <w:color w:val="000000" w:themeColor="text1"/>
                <w:sz w:val="20"/>
                <w:lang w:val="bg-BG"/>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FE5D64" w:rsidRDefault="00E40776">
            <w:pPr>
              <w:pStyle w:val="P68B1DB1-TableParagraph17"/>
              <w:spacing w:before="108"/>
              <w:ind w:left="85"/>
              <w:jc w:val="both"/>
            </w:pPr>
            <w:r>
              <w:t xml:space="preserve">Дейностите на капиталовите пазари се отнасят до емитирането на и търговията с ценни книжа, съответни консултантски услуги и свързани с това услуги като основни брокерски услуги и поддържане на пазара. </w:t>
            </w:r>
          </w:p>
        </w:tc>
      </w:tr>
      <w:tr w:rsidR="00FE5D64"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FE5D64" w:rsidRDefault="00E40776">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0B64E4F8" w:rsidR="00FE5D64" w:rsidRDefault="00E40776">
            <w:pPr>
              <w:pStyle w:val="P68B1DB1-TableParagraph14"/>
              <w:spacing w:before="108"/>
              <w:ind w:left="85"/>
              <w:jc w:val="both"/>
              <w:rPr>
                <w:bCs/>
              </w:rPr>
            </w:pPr>
            <w:bookmarkStart w:id="112" w:name="_Hlk210146186"/>
            <w:r>
              <w:t>Деривати, държани за търгуване (извънборсово)</w:t>
            </w:r>
          </w:p>
          <w:bookmarkEnd w:id="112"/>
          <w:p w14:paraId="7FE1B9C1" w14:textId="2FDAA405" w:rsidR="00FE5D64" w:rsidRDefault="00E40776">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Член 2, параграфи 5 и 7 от Регламент (ЕС) №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09A053E3" w:rsidR="00FE5D64" w:rsidRDefault="00E40776">
            <w:pPr>
              <w:pStyle w:val="P68B1DB1-TableParagraph17"/>
              <w:spacing w:before="108"/>
              <w:ind w:left="85"/>
            </w:pPr>
            <w:r>
              <w:t>„Дериват</w:t>
            </w:r>
            <w:r w:rsidR="007C6830">
              <w:rPr>
                <w:lang w:val="bg-BG"/>
              </w:rPr>
              <w:t xml:space="preserve">“ </w:t>
            </w:r>
            <w:r>
              <w:t>или „договор за деривати“ означава финансов инструмент, както е определен в точки 4—10 от раздел В на приложение I към Директива 2014/65/ЕС и се прилага съгласно членове 38 и 39 от Регламент (ЕО) № 1287/2006.</w:t>
            </w:r>
          </w:p>
          <w:p w14:paraId="7FE1B9C3" w14:textId="66BEDC8A" w:rsidR="00FE5D64" w:rsidRDefault="00E40776">
            <w:pPr>
              <w:pStyle w:val="P68B1DB1-TableParagraph17"/>
              <w:spacing w:before="108"/>
              <w:ind w:left="85"/>
            </w:pPr>
            <w:r>
              <w:t>„Извънборсов дериват</w:t>
            </w:r>
            <w:r w:rsidR="007C6830">
              <w:rPr>
                <w:lang w:val="bg-BG"/>
              </w:rPr>
              <w:t xml:space="preserve">“ </w:t>
            </w:r>
            <w:r>
              <w:t>или „извънборсов договор за дериват“ означава договор за дериват, чието изпълнение не се извършва на регулиран пазар по смисъла на член 4, параграф 1, точка 21 от Директива 2014/65/ЕС или на пазар в трета държава, считан за еквивалентен на регулиран пазар съгласно член 2а от Регламент (ЕС) № 648/2012.</w:t>
            </w:r>
          </w:p>
          <w:p w14:paraId="7FE1B9C4" w14:textId="431F995C" w:rsidR="00FE5D64" w:rsidRDefault="00854030">
            <w:pPr>
              <w:pStyle w:val="P68B1DB1-TableParagraph17"/>
              <w:spacing w:before="108"/>
              <w:ind w:left="85"/>
            </w:pPr>
            <w:r>
              <w:rPr>
                <w:lang w:val="bg-BG"/>
              </w:rPr>
              <w:t xml:space="preserve">По позицията се включват само </w:t>
            </w:r>
            <w:r w:rsidR="00E40776">
              <w:t xml:space="preserve">дериватите, търгувани на извънборсовия пазар. </w:t>
            </w:r>
          </w:p>
        </w:tc>
      </w:tr>
      <w:tr w:rsidR="00FE5D64"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FE5D64" w:rsidRDefault="00E40776">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1930AA7B" w:rsidR="00FE5D64" w:rsidRDefault="00E40776">
            <w:pPr>
              <w:pStyle w:val="P68B1DB1-TableParagraph14"/>
              <w:spacing w:before="108"/>
              <w:ind w:left="85"/>
              <w:jc w:val="both"/>
              <w:rPr>
                <w:bCs/>
              </w:rPr>
            </w:pPr>
            <w:bookmarkStart w:id="113" w:name="_Hlk210146192"/>
            <w:r>
              <w:t>Деривати, държани за търгуване (различни от извънборсови)</w:t>
            </w:r>
          </w:p>
          <w:bookmarkEnd w:id="113"/>
          <w:p w14:paraId="7FE1B9C8" w14:textId="373910FE" w:rsidR="00FE5D64" w:rsidRDefault="00E40776">
            <w:pPr>
              <w:pStyle w:val="P68B1DB1-TableParagraph17"/>
              <w:spacing w:before="108"/>
              <w:ind w:left="85"/>
            </w:pPr>
            <w:r>
              <w:t xml:space="preserve">Всички деривати, държани за търгуване, с изключение на извънборсовите деривати, държани за търгуване. </w:t>
            </w:r>
          </w:p>
        </w:tc>
      </w:tr>
      <w:tr w:rsidR="00FE5D64"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FE5D64" w:rsidRDefault="00E40776">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2E4B4899" w:rsidR="00FE5D64" w:rsidRPr="00854030" w:rsidRDefault="00E40776">
            <w:pPr>
              <w:pStyle w:val="P68B1DB1-TableParagraph14"/>
              <w:spacing w:before="108"/>
              <w:ind w:left="85"/>
              <w:jc w:val="both"/>
              <w:rPr>
                <w:bCs/>
                <w:lang w:val="bg-BG"/>
              </w:rPr>
            </w:pPr>
            <w:bookmarkStart w:id="114" w:name="_Hlk210146201"/>
            <w:r>
              <w:t>Вторични пазари/</w:t>
            </w:r>
            <w:r w:rsidR="00854030">
              <w:rPr>
                <w:lang w:val="bg-BG"/>
              </w:rPr>
              <w:t>търговия</w:t>
            </w:r>
          </w:p>
          <w:bookmarkEnd w:id="114"/>
          <w:p w14:paraId="7FE1B9CC" w14:textId="71DB1911" w:rsidR="00FE5D64" w:rsidRDefault="00E40776">
            <w:pPr>
              <w:pStyle w:val="P68B1DB1-TableParagraph17"/>
              <w:spacing w:before="108"/>
              <w:ind w:left="85"/>
            </w:pPr>
            <w:r>
              <w:t xml:space="preserve">Вторичните пазари са мястото, където инвеститорите купуват и продават ценни книжа. Тази функция се отнася за целия търговски портфейл (т.е. </w:t>
            </w:r>
            <w:r w:rsidR="00854030">
              <w:rPr>
                <w:lang w:val="bg-BG"/>
              </w:rPr>
              <w:t>капиталови инструменти</w:t>
            </w:r>
            <w:r>
              <w:t xml:space="preserve">, </w:t>
            </w:r>
            <w:r w:rsidR="00854030">
              <w:rPr>
                <w:lang w:val="bg-BG"/>
              </w:rPr>
              <w:t>корпоративни и държавни дългови ценни книжа</w:t>
            </w:r>
            <w:r>
              <w:t>).</w:t>
            </w:r>
          </w:p>
          <w:p w14:paraId="7FE1B9CD" w14:textId="329D70E7" w:rsidR="00FE5D64" w:rsidRDefault="00854030">
            <w:pPr>
              <w:pStyle w:val="P68B1DB1-TableParagraph17"/>
              <w:spacing w:before="108"/>
              <w:ind w:left="85"/>
            </w:pPr>
            <w:r>
              <w:rPr>
                <w:lang w:val="bg-BG"/>
              </w:rPr>
              <w:t xml:space="preserve">По позицията се </w:t>
            </w:r>
            <w:r w:rsidR="00B03F8C">
              <w:rPr>
                <w:lang w:val="bg-BG"/>
              </w:rPr>
              <w:t>включва</w:t>
            </w:r>
            <w:r w:rsidR="00B03F8C">
              <w:t xml:space="preserve"> </w:t>
            </w:r>
            <w:r w:rsidR="00E40776">
              <w:t xml:space="preserve">стойността на ценните книжа, изчислена като общата сума на ценните книжа, държани за търгуване. Ценните книжа се </w:t>
            </w:r>
            <w:r w:rsidR="00B03F8C">
              <w:rPr>
                <w:lang w:val="bg-BG"/>
              </w:rPr>
              <w:t>отчитат</w:t>
            </w:r>
            <w:r w:rsidR="00B03F8C">
              <w:t xml:space="preserve"> </w:t>
            </w:r>
            <w:r w:rsidR="00E40776">
              <w:t xml:space="preserve">по справедлива стойност към датата на </w:t>
            </w:r>
            <w:r w:rsidR="00B03F8C">
              <w:rPr>
                <w:lang w:val="bg-BG"/>
              </w:rPr>
              <w:t>отчитане</w:t>
            </w:r>
            <w:r w:rsidR="00E40776">
              <w:t>.</w:t>
            </w:r>
          </w:p>
          <w:p w14:paraId="7FE1B9CE" w14:textId="5BAE52DB" w:rsidR="00854030" w:rsidRDefault="001E4108" w:rsidP="001E4108">
            <w:pPr>
              <w:pStyle w:val="P68B1DB1-TableParagraph17"/>
              <w:spacing w:before="108"/>
              <w:ind w:left="85"/>
            </w:pPr>
            <w:r>
              <w:rPr>
                <w:lang w:val="bg-BG"/>
              </w:rPr>
              <w:t>Не се</w:t>
            </w:r>
            <w:r w:rsidR="00E40776">
              <w:t xml:space="preserve"> включват </w:t>
            </w:r>
            <w:r>
              <w:rPr>
                <w:lang w:val="bg-BG"/>
              </w:rPr>
              <w:t>кредити</w:t>
            </w:r>
            <w:r w:rsidR="00E40776">
              <w:t xml:space="preserve">, деривати и </w:t>
            </w:r>
            <w:r>
              <w:rPr>
                <w:lang w:val="bg-BG"/>
              </w:rPr>
              <w:t xml:space="preserve">нетъргуеми </w:t>
            </w:r>
            <w:r w:rsidR="00E40776">
              <w:t>активи (например вземания).</w:t>
            </w:r>
          </w:p>
        </w:tc>
      </w:tr>
      <w:tr w:rsidR="00FE5D64"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FE5D64" w:rsidRDefault="00E40776">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0980833C" w:rsidR="00FE5D64" w:rsidRPr="008321D5" w:rsidRDefault="00E40776">
            <w:pPr>
              <w:pStyle w:val="P68B1DB1-TableParagraph14"/>
              <w:spacing w:before="108"/>
              <w:ind w:left="85"/>
              <w:jc w:val="both"/>
              <w:rPr>
                <w:bCs/>
                <w:lang w:val="bg-BG"/>
              </w:rPr>
            </w:pPr>
            <w:bookmarkStart w:id="115" w:name="_Hlk210146207"/>
            <w:r>
              <w:t>Първични пазари/поемане</w:t>
            </w:r>
            <w:r w:rsidR="008321D5">
              <w:rPr>
                <w:lang w:val="bg-BG"/>
              </w:rPr>
              <w:t xml:space="preserve"> на емисии</w:t>
            </w:r>
          </w:p>
          <w:bookmarkEnd w:id="115"/>
          <w:p w14:paraId="7FE1B9D2" w14:textId="37229CB7" w:rsidR="00FE5D64" w:rsidRDefault="00E40776">
            <w:pPr>
              <w:pStyle w:val="P68B1DB1-TableParagraph17"/>
              <w:spacing w:before="108"/>
              <w:ind w:left="85"/>
            </w:pPr>
            <w:r>
              <w:t>Първичните пазари са мястото, където дружества, правителства и други групи емитират нови ценни книжа, за да получат финансиране чрез ценни книжа, базирани на дълг или на собствен капитал (като обикновени и привилегировани акции, корпоративни облигации, ценни книжа, полици, държавни ценни книжа). Първичните пазари се подпомагат от групи</w:t>
            </w:r>
            <w:r w:rsidR="008321D5">
              <w:rPr>
                <w:lang w:val="bg-BG"/>
              </w:rPr>
              <w:t xml:space="preserve"> за поемане на емисии</w:t>
            </w:r>
            <w:r>
              <w:t>.</w:t>
            </w:r>
          </w:p>
        </w:tc>
      </w:tr>
      <w:tr w:rsidR="00FE5D64" w14:paraId="7FE1B9D6" w14:textId="77777777">
        <w:tc>
          <w:tcPr>
            <w:tcW w:w="1191" w:type="dxa"/>
            <w:tcBorders>
              <w:top w:val="single" w:sz="4" w:space="0" w:color="1A171C"/>
              <w:left w:val="nil"/>
              <w:bottom w:val="single" w:sz="4" w:space="0" w:color="1A171C"/>
              <w:right w:val="single" w:sz="4" w:space="0" w:color="1A171C"/>
            </w:tcBorders>
          </w:tcPr>
          <w:p w14:paraId="7FE1B9D4" w14:textId="2E09CA60" w:rsidR="00FE5D64" w:rsidRDefault="00E40776">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FE5D64" w:rsidRDefault="00E40776">
            <w:pPr>
              <w:pStyle w:val="P68B1DB1-TableParagraph14"/>
              <w:spacing w:before="108"/>
              <w:ind w:left="85"/>
              <w:jc w:val="both"/>
              <w:rPr>
                <w:rFonts w:eastAsia="Cambria"/>
              </w:rPr>
            </w:pPr>
            <w:bookmarkStart w:id="116" w:name="_Hlk210146212"/>
            <w:r>
              <w:t>Други услуги/дейности/функции (1), (2) и (3)</w:t>
            </w:r>
            <w:bookmarkEnd w:id="116"/>
          </w:p>
        </w:tc>
      </w:tr>
      <w:tr w:rsidR="00FE5D64" w14:paraId="7FE1B9D9" w14:textId="77777777">
        <w:tc>
          <w:tcPr>
            <w:tcW w:w="9083" w:type="dxa"/>
            <w:gridSpan w:val="2"/>
            <w:tcBorders>
              <w:top w:val="single" w:sz="4" w:space="0" w:color="1A171C"/>
              <w:left w:val="nil"/>
              <w:bottom w:val="single" w:sz="4" w:space="0" w:color="1A171C"/>
            </w:tcBorders>
          </w:tcPr>
          <w:p w14:paraId="7FE1B9D7" w14:textId="1DCC31B9" w:rsidR="00FE5D64" w:rsidRDefault="00E40776">
            <w:pPr>
              <w:pStyle w:val="P68B1DB1-TableParagraph16"/>
              <w:spacing w:before="108"/>
              <w:ind w:left="85"/>
              <w:jc w:val="both"/>
              <w:rPr>
                <w:b/>
                <w:bCs/>
                <w:color w:val="000000" w:themeColor="text1"/>
                <w:sz w:val="20"/>
                <w:szCs w:val="20"/>
              </w:rPr>
            </w:pPr>
            <w:r>
              <w:t>Z 07.01.5 FUNC 1 WF</w:t>
            </w:r>
          </w:p>
          <w:p w14:paraId="7FE1B9D8" w14:textId="48A5A169" w:rsidR="00FE5D64" w:rsidRDefault="00052047" w:rsidP="00052047">
            <w:pPr>
              <w:pStyle w:val="P68B1DB1-TableParagraph17"/>
              <w:spacing w:before="108"/>
              <w:ind w:left="85"/>
              <w:jc w:val="both"/>
            </w:pPr>
            <w:r>
              <w:t>Функцията „Финансиране на едро“ се отнася до отпускане на кредити на и заемане на</w:t>
            </w:r>
            <w:r>
              <w:rPr>
                <w:lang w:val="bg-BG"/>
              </w:rPr>
              <w:t xml:space="preserve"> </w:t>
            </w:r>
            <w:r>
              <w:t>средства от финансовите контрагенти (кредитни институции и други финансови</w:t>
            </w:r>
            <w:r>
              <w:rPr>
                <w:lang w:val="bg-BG"/>
              </w:rPr>
              <w:t xml:space="preserve"> </w:t>
            </w:r>
            <w:r>
              <w:t>предприятия) на пазара на едро.</w:t>
            </w:r>
          </w:p>
        </w:tc>
      </w:tr>
      <w:tr w:rsidR="00FE5D64"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FE5D64" w:rsidRDefault="00E40776">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FE5D64" w:rsidRDefault="00E40776">
            <w:pPr>
              <w:pStyle w:val="P68B1DB1-TableParagraph14"/>
              <w:spacing w:before="108"/>
              <w:ind w:left="85"/>
              <w:jc w:val="both"/>
              <w:rPr>
                <w:bCs/>
              </w:rPr>
            </w:pPr>
            <w:r>
              <w:t>Получени заеми</w:t>
            </w:r>
          </w:p>
          <w:p w14:paraId="7FE1B9DC" w14:textId="00F8947A" w:rsidR="00FE5D64" w:rsidRDefault="006E45A2">
            <w:pPr>
              <w:pStyle w:val="P68B1DB1-TableParagraph17"/>
              <w:spacing w:before="108"/>
              <w:ind w:left="85"/>
            </w:pPr>
            <w:r>
              <w:rPr>
                <w:lang w:val="bg-BG"/>
              </w:rPr>
              <w:t xml:space="preserve">Заемане на средства </w:t>
            </w:r>
            <w:r w:rsidR="00E40776">
              <w:t xml:space="preserve">от финансови контрагенти </w:t>
            </w:r>
            <w:r>
              <w:t xml:space="preserve">на пазарите на едро </w:t>
            </w:r>
            <w:r w:rsidR="00E40776">
              <w:t>(включително чрез споразумения за обратно изкупуване, междубанкови заеми, търговски ценни книжа, депозитни сертификати, фондове на паричния пазар, кредитни линии,</w:t>
            </w:r>
            <w:r>
              <w:rPr>
                <w:lang w:val="bg-BG"/>
              </w:rPr>
              <w:t xml:space="preserve"> ценни книжа,</w:t>
            </w:r>
            <w:r w:rsidR="00E40776">
              <w:t xml:space="preserve"> обезпечени с активи и депозити</w:t>
            </w:r>
            <w:r w:rsidR="00557032">
              <w:rPr>
                <w:lang w:val="bg-BG"/>
              </w:rPr>
              <w:t xml:space="preserve"> на доверително управление</w:t>
            </w:r>
            <w:r w:rsidR="00E40776">
              <w:t>).</w:t>
            </w:r>
          </w:p>
        </w:tc>
      </w:tr>
      <w:tr w:rsidR="00FE5D64"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FE5D64" w:rsidRDefault="00E40776">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5B64CC62" w:rsidR="00FE5D64" w:rsidRDefault="00E40776">
            <w:pPr>
              <w:pStyle w:val="P68B1DB1-TableParagraph14"/>
              <w:spacing w:before="108"/>
              <w:ind w:left="85"/>
              <w:jc w:val="both"/>
              <w:rPr>
                <w:bCs/>
              </w:rPr>
            </w:pPr>
            <w:r>
              <w:t>Деривати (актив)</w:t>
            </w:r>
          </w:p>
          <w:p w14:paraId="7FE1B9E0" w14:textId="5380BE76" w:rsidR="00FE5D64" w:rsidRDefault="00E40776">
            <w:pPr>
              <w:pStyle w:val="P68B1DB1-TableParagraph17"/>
              <w:spacing w:before="108"/>
              <w:ind w:left="85"/>
            </w:pPr>
            <w:r>
              <w:t>Всички</w:t>
            </w:r>
            <w:r w:rsidR="00557032">
              <w:rPr>
                <w:lang w:val="bg-BG"/>
              </w:rPr>
              <w:t xml:space="preserve"> сделки с</w:t>
            </w:r>
            <w:r>
              <w:t xml:space="preserve"> деривати</w:t>
            </w:r>
            <w:r w:rsidR="00557032">
              <w:rPr>
                <w:lang w:val="bg-BG"/>
              </w:rPr>
              <w:t>, сключени</w:t>
            </w:r>
            <w:r>
              <w:t xml:space="preserve"> с финансови контрагенти, </w:t>
            </w:r>
            <w:r w:rsidR="00557032">
              <w:rPr>
                <w:lang w:val="bg-BG"/>
              </w:rPr>
              <w:t>отчетени като</w:t>
            </w:r>
            <w:r>
              <w:t xml:space="preserve"> актив</w:t>
            </w:r>
            <w:r w:rsidR="00557032">
              <w:rPr>
                <w:lang w:val="bg-BG"/>
              </w:rPr>
              <w:t xml:space="preserve"> в</w:t>
            </w:r>
            <w:r>
              <w:t xml:space="preserve"> баланс</w:t>
            </w:r>
            <w:r w:rsidR="00557032">
              <w:rPr>
                <w:lang w:val="bg-BG"/>
              </w:rPr>
              <w:t>а</w:t>
            </w:r>
            <w:r>
              <w:t>. За разлика от</w:t>
            </w:r>
            <w:r w:rsidR="00557032">
              <w:rPr>
                <w:lang w:val="bg-BG"/>
              </w:rPr>
              <w:t xml:space="preserve"> функцията</w:t>
            </w:r>
            <w:r>
              <w:t xml:space="preserve"> „Капиталови пазари</w:t>
            </w:r>
            <w:r w:rsidR="00557032">
              <w:rPr>
                <w:lang w:val="bg-BG"/>
              </w:rPr>
              <w:t>„</w:t>
            </w:r>
            <w:r w:rsidR="00557032">
              <w:t xml:space="preserve">, </w:t>
            </w:r>
            <w:r>
              <w:t xml:space="preserve">при </w:t>
            </w:r>
            <w:r w:rsidR="00557032">
              <w:rPr>
                <w:lang w:val="bg-BG"/>
              </w:rPr>
              <w:t>функцията</w:t>
            </w:r>
            <w:r>
              <w:t xml:space="preserve">„Финансиране на едро“ </w:t>
            </w:r>
            <w:r w:rsidR="00557032">
              <w:rPr>
                <w:lang w:val="bg-BG"/>
              </w:rPr>
              <w:t xml:space="preserve">се </w:t>
            </w:r>
            <w:r>
              <w:t xml:space="preserve">включват всички договори </w:t>
            </w:r>
            <w:r w:rsidR="00557032">
              <w:rPr>
                <w:lang w:val="bg-BG"/>
              </w:rPr>
              <w:t>с</w:t>
            </w:r>
            <w:r>
              <w:t xml:space="preserve"> деривати с финансови контрагенти (не се ограничават до </w:t>
            </w:r>
            <w:r w:rsidR="00557032">
              <w:rPr>
                <w:lang w:val="bg-BG"/>
              </w:rPr>
              <w:t>категорията „държани за търгуване“</w:t>
            </w:r>
            <w:r>
              <w:t>).</w:t>
            </w:r>
          </w:p>
        </w:tc>
      </w:tr>
      <w:tr w:rsidR="00FE5D64"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FE5D64" w:rsidRDefault="00E40776">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43CC6001" w:rsidR="00FE5D64" w:rsidRPr="00C42DA9" w:rsidRDefault="00B03F8C">
            <w:pPr>
              <w:pStyle w:val="P68B1DB1-TableParagraph14"/>
              <w:spacing w:before="108"/>
              <w:ind w:left="85"/>
              <w:jc w:val="both"/>
              <w:rPr>
                <w:lang w:val="bg-BG"/>
              </w:rPr>
            </w:pPr>
            <w:r w:rsidRPr="00C42DA9">
              <w:rPr>
                <w:lang w:val="bg-BG"/>
              </w:rPr>
              <w:t>Кредит</w:t>
            </w:r>
            <w:r>
              <w:rPr>
                <w:lang w:val="bg-BG"/>
              </w:rPr>
              <w:t>иране</w:t>
            </w:r>
          </w:p>
          <w:p w14:paraId="7FE1B9E4" w14:textId="5F2600C1" w:rsidR="00FE5D64" w:rsidRDefault="00E40776">
            <w:pPr>
              <w:pStyle w:val="P68B1DB1-TableParagraph17"/>
              <w:spacing w:before="108"/>
              <w:ind w:left="85"/>
            </w:pPr>
            <w:r>
              <w:t>Предоставени заеми на пазарите на едро на финансови контрагенти (включително чрез кредити по обратни репо споразумения, търговски ценни книжа, депозитни сертификати, фондове на паричния пазар, кредитни линии, ценни книжа</w:t>
            </w:r>
            <w:r w:rsidR="00694D43">
              <w:rPr>
                <w:lang w:val="bg-BG"/>
              </w:rPr>
              <w:t>, обезпечени с активи</w:t>
            </w:r>
            <w:r>
              <w:t xml:space="preserve"> и депозити</w:t>
            </w:r>
            <w:r w:rsidR="00694D43">
              <w:rPr>
                <w:lang w:val="bg-BG"/>
              </w:rPr>
              <w:t xml:space="preserve"> на доверително управление</w:t>
            </w:r>
            <w:r>
              <w:t>).</w:t>
            </w:r>
          </w:p>
        </w:tc>
      </w:tr>
      <w:tr w:rsidR="00FE5D64"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FE5D64" w:rsidRDefault="00E40776">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4FF7E74B" w:rsidR="00FE5D64" w:rsidRDefault="00E40776">
            <w:pPr>
              <w:pStyle w:val="P68B1DB1-TableParagraph14"/>
              <w:spacing w:before="108"/>
              <w:ind w:left="85"/>
              <w:jc w:val="both"/>
              <w:rPr>
                <w:bCs/>
              </w:rPr>
            </w:pPr>
            <w:r>
              <w:t>Деривати (пасив)</w:t>
            </w:r>
          </w:p>
          <w:p w14:paraId="7FE1B9E8" w14:textId="4C6E23BF" w:rsidR="00FE5D64" w:rsidRDefault="00E40776">
            <w:pPr>
              <w:pStyle w:val="P68B1DB1-TableParagraph17"/>
              <w:spacing w:before="108"/>
              <w:ind w:left="85"/>
              <w:jc w:val="both"/>
            </w:pPr>
            <w:r>
              <w:t xml:space="preserve">Всички </w:t>
            </w:r>
            <w:r w:rsidR="005F676F">
              <w:rPr>
                <w:lang w:val="bg-BG"/>
              </w:rPr>
              <w:t xml:space="preserve">сделки с </w:t>
            </w:r>
            <w:r>
              <w:t>деривати</w:t>
            </w:r>
            <w:r w:rsidR="005F676F">
              <w:rPr>
                <w:lang w:val="bg-BG"/>
              </w:rPr>
              <w:t>, сключени</w:t>
            </w:r>
            <w:r>
              <w:t xml:space="preserve"> с финансови контрагенти, </w:t>
            </w:r>
            <w:r w:rsidR="005F676F">
              <w:rPr>
                <w:lang w:val="bg-BG"/>
              </w:rPr>
              <w:t xml:space="preserve">отчетени като </w:t>
            </w:r>
            <w:r>
              <w:t>пасив</w:t>
            </w:r>
            <w:r w:rsidR="005F676F">
              <w:rPr>
                <w:lang w:val="bg-BG"/>
              </w:rPr>
              <w:t xml:space="preserve"> в</w:t>
            </w:r>
            <w:r>
              <w:t xml:space="preserve"> баланса. </w:t>
            </w:r>
          </w:p>
        </w:tc>
      </w:tr>
      <w:tr w:rsidR="00FE5D64"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FE5D64" w:rsidRDefault="00E40776">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FE5D64" w:rsidRDefault="00E40776">
            <w:pPr>
              <w:pStyle w:val="P68B1DB1-TableParagraph14"/>
              <w:spacing w:before="108"/>
              <w:ind w:left="85"/>
              <w:jc w:val="both"/>
              <w:rPr>
                <w:bCs/>
              </w:rPr>
            </w:pPr>
            <w:r>
              <w:t>Други видове продукти (1), (2) и (3)</w:t>
            </w:r>
          </w:p>
          <w:p w14:paraId="7FE1B9EC" w14:textId="77777777" w:rsidR="00FE5D64" w:rsidRDefault="00E40776">
            <w:pPr>
              <w:pStyle w:val="P68B1DB1-TableParagraph17"/>
              <w:spacing w:before="108"/>
              <w:ind w:left="85"/>
            </w:pPr>
            <w:r>
              <w:t>Всички функции на икономическата функция „Финансиране на едро“, които не са включени по-горе.</w:t>
            </w:r>
          </w:p>
        </w:tc>
      </w:tr>
    </w:tbl>
    <w:p w14:paraId="7FE1B9EE" w14:textId="77777777" w:rsidR="00FE5D64" w:rsidRDefault="00FE5D64">
      <w:pPr>
        <w:pStyle w:val="InstructionsText2"/>
        <w:numPr>
          <w:ilvl w:val="0"/>
          <w:numId w:val="0"/>
        </w:numPr>
        <w:ind w:left="1440" w:firstLine="18"/>
        <w:rPr>
          <w:rFonts w:ascii="Times New Roman" w:hAnsi="Times New Roman" w:cs="Times New Roman"/>
          <w:sz w:val="20"/>
          <w:szCs w:val="20"/>
        </w:rPr>
      </w:pPr>
    </w:p>
    <w:p w14:paraId="7FE1B9EF" w14:textId="25FBC278" w:rsidR="00FE5D64" w:rsidRDefault="00E40776">
      <w:pPr>
        <w:pStyle w:val="P68B1DB1-Instructionsberschrift25"/>
        <w:numPr>
          <w:ilvl w:val="1"/>
          <w:numId w:val="49"/>
        </w:numPr>
        <w:ind w:left="357" w:hanging="357"/>
      </w:pPr>
      <w:bookmarkStart w:id="117" w:name="_Toc208244463"/>
      <w:bookmarkStart w:id="118" w:name="_Hlk210811512"/>
      <w:r>
        <w:t>Z 07.01.1 FUNC 1 DEP</w:t>
      </w:r>
      <w:bookmarkEnd w:id="117"/>
    </w:p>
    <w:p w14:paraId="7FE1B9F9" w14:textId="77777777" w:rsidR="00FE5D64" w:rsidRDefault="00FE5D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E5D64"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FE5D64" w:rsidRDefault="00E40776">
            <w:pPr>
              <w:pStyle w:val="P68B1DB1-TableParagraph17"/>
              <w:spacing w:before="108"/>
              <w:ind w:left="85"/>
              <w:jc w:val="both"/>
            </w:pPr>
            <w:r>
              <w:t>Колони</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FE5D64" w:rsidRDefault="00E40776">
            <w:pPr>
              <w:pStyle w:val="P68B1DB1-TableParagraph17"/>
              <w:spacing w:before="108"/>
              <w:ind w:left="85" w:right="1"/>
              <w:jc w:val="both"/>
            </w:pPr>
            <w:r>
              <w:t>Указания</w:t>
            </w:r>
          </w:p>
        </w:tc>
      </w:tr>
      <w:tr w:rsidR="00FE5D64"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FE5D64" w:rsidRDefault="00E40776">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FE5D64" w:rsidRDefault="00E40776">
            <w:pPr>
              <w:pStyle w:val="P68B1DB1-TableParagraph14"/>
              <w:spacing w:before="108"/>
              <w:ind w:left="85"/>
              <w:jc w:val="both"/>
              <w:rPr>
                <w:bCs/>
              </w:rPr>
            </w:pPr>
            <w:r>
              <w:t>Описание на икономическата функция</w:t>
            </w:r>
          </w:p>
          <w:p w14:paraId="7FE1B9FF" w14:textId="128BDE42" w:rsidR="00FE5D64" w:rsidRDefault="00E40776">
            <w:pPr>
              <w:pStyle w:val="P68B1DB1-TableParagraph17"/>
              <w:spacing w:before="108"/>
              <w:ind w:left="85"/>
            </w:pPr>
            <w:r>
              <w:t>Когато икономическата функция е от вида „Други“ (функции</w:t>
            </w:r>
            <w:r w:rsidR="004B2D45" w:rsidRPr="00B57F54">
              <w:rPr>
                <w:lang w:val="bg-BG"/>
              </w:rPr>
              <w:t xml:space="preserve"> </w:t>
            </w:r>
            <w:r w:rsidR="004B2D45">
              <w:rPr>
                <w:lang w:val="bg-BG"/>
              </w:rPr>
              <w:t xml:space="preserve">в редове </w:t>
            </w:r>
            <w:r w:rsidR="004B2D45" w:rsidRPr="00B57F54">
              <w:rPr>
                <w:lang w:val="bg-BG"/>
              </w:rPr>
              <w:t xml:space="preserve">от </w:t>
            </w:r>
            <w:r>
              <w:t xml:space="preserve">r0050 до r0070), се предоставя описание на тази функция. </w:t>
            </w:r>
          </w:p>
        </w:tc>
      </w:tr>
      <w:tr w:rsidR="00FE5D64"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FE5D64" w:rsidRDefault="00E40776">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FE5D64" w:rsidRDefault="00E40776">
            <w:pPr>
              <w:pStyle w:val="P68B1DB1-TableParagraph14"/>
              <w:spacing w:before="108"/>
              <w:ind w:left="85"/>
              <w:jc w:val="both"/>
              <w:rPr>
                <w:bCs/>
              </w:rPr>
            </w:pPr>
            <w:r>
              <w:t xml:space="preserve">Пазарен дял </w:t>
            </w:r>
          </w:p>
          <w:p w14:paraId="7FE1BA03" w14:textId="0D4A4237" w:rsidR="00FE5D64" w:rsidRDefault="00E40776" w:rsidP="0038221B">
            <w:pPr>
              <w:pStyle w:val="P68B1DB1-TableParagraph17"/>
              <w:spacing w:before="108"/>
              <w:ind w:left="85"/>
            </w:pPr>
            <w:r>
              <w:t>Приблизителна оценка на пазарния дял на институцията или групата за икономическата функция в съответната държава или географска област. Процент</w:t>
            </w:r>
            <w:r w:rsidR="0038221B" w:rsidRPr="00B57F54">
              <w:rPr>
                <w:lang w:val="bg-BG"/>
              </w:rPr>
              <w:t xml:space="preserve"> </w:t>
            </w:r>
            <w:r w:rsidR="0038221B">
              <w:rPr>
                <w:lang w:val="bg-BG"/>
              </w:rPr>
              <w:t>спрямо</w:t>
            </w:r>
            <w:r>
              <w:t xml:space="preserve"> общия </w:t>
            </w:r>
            <w:r w:rsidR="0038221B">
              <w:rPr>
                <w:lang w:val="bg-BG"/>
              </w:rPr>
              <w:t>размер на депозити</w:t>
            </w:r>
            <w:r w:rsidR="00806652">
              <w:rPr>
                <w:lang w:val="bg-BG"/>
              </w:rPr>
              <w:t>те</w:t>
            </w:r>
            <w:r w:rsidR="00FA650B">
              <w:rPr>
                <w:lang w:val="bg-BG"/>
              </w:rPr>
              <w:t>,</w:t>
            </w:r>
            <w:r w:rsidR="0038221B">
              <w:rPr>
                <w:lang w:val="bg-BG"/>
              </w:rPr>
              <w:t xml:space="preserve"> изчислен</w:t>
            </w:r>
            <w:r w:rsidR="0038221B">
              <w:t xml:space="preserve"> </w:t>
            </w:r>
            <w:r>
              <w:t xml:space="preserve">от гледна точка на </w:t>
            </w:r>
            <w:r w:rsidR="0038221B">
              <w:rPr>
                <w:lang w:val="bg-BG"/>
              </w:rPr>
              <w:t>баланс по сметки</w:t>
            </w:r>
            <w:r>
              <w:t>.</w:t>
            </w:r>
          </w:p>
        </w:tc>
      </w:tr>
      <w:tr w:rsidR="00FE5D64"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FE5D64" w:rsidRDefault="00E40776">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4DAFBF0" w:rsidR="00FE5D64" w:rsidRDefault="0038221B">
            <w:pPr>
              <w:pStyle w:val="P68B1DB1-TableParagraph14"/>
              <w:spacing w:before="108"/>
              <w:jc w:val="both"/>
              <w:rPr>
                <w:bCs/>
              </w:rPr>
            </w:pPr>
            <w:r>
              <w:rPr>
                <w:lang w:val="bg-BG"/>
              </w:rPr>
              <w:t>Баланс</w:t>
            </w:r>
            <w:r>
              <w:t xml:space="preserve"> </w:t>
            </w:r>
            <w:r w:rsidR="00E40776">
              <w:t>по сметки</w:t>
            </w:r>
          </w:p>
          <w:p w14:paraId="7FE1BA07" w14:textId="77777777" w:rsidR="00FE5D64" w:rsidRDefault="00E40776">
            <w:pPr>
              <w:pStyle w:val="P68B1DB1-TableParagraph17"/>
              <w:spacing w:before="108"/>
            </w:pPr>
            <w:r>
              <w:t>Балансова стойност (включително начислената лихва) на приетите депозити.</w:t>
            </w:r>
          </w:p>
          <w:p w14:paraId="7FE1BA08" w14:textId="0970E93D" w:rsidR="00FE5D64" w:rsidRDefault="0038221B">
            <w:pPr>
              <w:pStyle w:val="P68B1DB1-TableParagraph17"/>
              <w:spacing w:before="108"/>
            </w:pPr>
            <w:r>
              <w:rPr>
                <w:lang w:val="bg-BG"/>
              </w:rPr>
              <w:t>Справка</w:t>
            </w:r>
            <w:r w:rsidR="00E40776">
              <w:t>: FINREP, приложения III и IV, образец F 08.01 и приложение V, част 2, параграф 97.</w:t>
            </w:r>
          </w:p>
        </w:tc>
      </w:tr>
      <w:tr w:rsidR="00FE5D64"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FE5D64" w:rsidRDefault="00E40776">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4BB08554" w:rsidR="00FE5D64" w:rsidRPr="00B57F54" w:rsidRDefault="00E40776">
            <w:pPr>
              <w:pStyle w:val="P68B1DB1-TableParagraph14"/>
              <w:spacing w:before="108"/>
              <w:jc w:val="both"/>
              <w:rPr>
                <w:bCs/>
                <w:lang w:val="bg-BG"/>
              </w:rPr>
            </w:pPr>
            <w:bookmarkStart w:id="119" w:name="_Hlk162030772"/>
            <w:r>
              <w:t xml:space="preserve">От които </w:t>
            </w:r>
            <w:r w:rsidR="00B57F54">
              <w:rPr>
                <w:lang w:val="bg-BG"/>
              </w:rPr>
              <w:t>негарантирани</w:t>
            </w:r>
          </w:p>
          <w:p w14:paraId="7FE1BA0C" w14:textId="73675D0D" w:rsidR="00FE5D64" w:rsidRDefault="00E40776" w:rsidP="0038221B">
            <w:pPr>
              <w:pStyle w:val="P68B1DB1-TableParagraph13"/>
              <w:spacing w:before="108"/>
              <w:rPr>
                <w:rFonts w:eastAsia="Cambria"/>
              </w:rPr>
            </w:pPr>
            <w:r>
              <w:t xml:space="preserve">Балансова стойност (включително начислената лихва) на </w:t>
            </w:r>
            <w:r w:rsidR="0038221B">
              <w:rPr>
                <w:lang w:val="bg-BG"/>
              </w:rPr>
              <w:t xml:space="preserve">приети </w:t>
            </w:r>
            <w:r>
              <w:t xml:space="preserve">депозити, </w:t>
            </w:r>
            <w:r w:rsidR="0038221B">
              <w:rPr>
                <w:lang w:val="bg-BG"/>
              </w:rPr>
              <w:t>с</w:t>
            </w:r>
            <w:r>
              <w:t xml:space="preserve"> </w:t>
            </w:r>
            <w:r w:rsidR="0038221B">
              <w:rPr>
                <w:lang w:val="bg-BG"/>
              </w:rPr>
              <w:t>баланс</w:t>
            </w:r>
            <w:r w:rsidR="0038221B" w:rsidRPr="00806652">
              <w:rPr>
                <w:lang w:val="bg-BG"/>
              </w:rPr>
              <w:t xml:space="preserve"> </w:t>
            </w:r>
            <w:r>
              <w:t>по сметка над</w:t>
            </w:r>
            <w:bookmarkEnd w:id="119"/>
            <w:r w:rsidR="0038221B">
              <w:rPr>
                <w:lang w:val="bg-BG"/>
              </w:rPr>
              <w:t xml:space="preserve"> </w:t>
            </w:r>
            <w:r>
              <w:t>100 000,00 </w:t>
            </w:r>
            <w:r w:rsidR="00806652">
              <w:rPr>
                <w:lang w:val="bg-BG"/>
              </w:rPr>
              <w:t>евро</w:t>
            </w:r>
            <w:r>
              <w:t>. Посочва се само сумата, надвишаваща 100</w:t>
            </w:r>
            <w:r w:rsidR="0038221B">
              <w:t> </w:t>
            </w:r>
            <w:r w:rsidR="0038221B">
              <w:rPr>
                <w:lang w:val="bg-BG"/>
              </w:rPr>
              <w:t xml:space="preserve">000 </w:t>
            </w:r>
            <w:r w:rsidR="00806652">
              <w:rPr>
                <w:lang w:val="bg-BG"/>
              </w:rPr>
              <w:t>евро</w:t>
            </w:r>
            <w:r>
              <w:t>.</w:t>
            </w:r>
          </w:p>
        </w:tc>
      </w:tr>
      <w:tr w:rsidR="00FE5D64"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FE5D64" w:rsidRDefault="00E40776">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5F69B614" w:rsidR="00FE5D64" w:rsidRPr="00FA650B" w:rsidRDefault="00E40776">
            <w:pPr>
              <w:pStyle w:val="P68B1DB1-TableParagraph14"/>
              <w:spacing w:before="108"/>
              <w:ind w:left="85"/>
              <w:jc w:val="both"/>
              <w:rPr>
                <w:bCs/>
                <w:lang w:val="bg-BG"/>
              </w:rPr>
            </w:pPr>
            <w:bookmarkStart w:id="120" w:name="_Hlk162030782"/>
            <w:r>
              <w:t xml:space="preserve">От които </w:t>
            </w:r>
            <w:r w:rsidR="00FA650B">
              <w:rPr>
                <w:lang w:val="bg-BG"/>
              </w:rPr>
              <w:t>сметки за трансакции</w:t>
            </w:r>
          </w:p>
          <w:p w14:paraId="7FE1BA12" w14:textId="37CF7015" w:rsidR="00FE5D64" w:rsidRDefault="00E40776">
            <w:pPr>
              <w:pStyle w:val="P68B1DB1-TableParagraph13"/>
              <w:spacing w:before="108"/>
              <w:ind w:left="85"/>
              <w:jc w:val="both"/>
            </w:pPr>
            <w:bookmarkStart w:id="121" w:name="_Hlk170377814"/>
            <w:bookmarkStart w:id="122" w:name="_Hlk162030851"/>
            <w:r>
              <w:t xml:space="preserve">Балансовата стойност (включително начислената лихва) на приетите депозити, които се държат по </w:t>
            </w:r>
            <w:r w:rsidR="00FA650B">
              <w:rPr>
                <w:lang w:val="bg-BG"/>
              </w:rPr>
              <w:t>сметки за трансакции</w:t>
            </w:r>
            <w:r>
              <w:t xml:space="preserve">. </w:t>
            </w:r>
            <w:r w:rsidR="00FA650B">
              <w:rPr>
                <w:lang w:val="bg-BG"/>
              </w:rPr>
              <w:t>Сметките за трансакции</w:t>
            </w:r>
            <w:r>
              <w:t xml:space="preserve"> са депозитни сметки, </w:t>
            </w:r>
            <w:r w:rsidR="00FA650B">
              <w:rPr>
                <w:lang w:val="bg-BG"/>
              </w:rPr>
              <w:t>при</w:t>
            </w:r>
            <w:r w:rsidR="00FA650B">
              <w:t xml:space="preserve"> </w:t>
            </w:r>
            <w:r>
              <w:t xml:space="preserve">които сметката е била дебитирана или кредитирана с поне 5 месечни трансакции средно през 6-те месеца, предхождащи крайната дата, с изключение на годишните такси, другите такси и лихвените плащания, свързани със сметката. </w:t>
            </w:r>
            <w:bookmarkEnd w:id="121"/>
          </w:p>
          <w:bookmarkEnd w:id="120"/>
          <w:bookmarkEnd w:id="122"/>
          <w:p w14:paraId="7FE1BA13" w14:textId="0C63C868" w:rsidR="00FE5D64" w:rsidRDefault="00FE5D64">
            <w:pPr>
              <w:pStyle w:val="TableParagraph"/>
              <w:spacing w:before="108"/>
              <w:ind w:left="85"/>
              <w:jc w:val="both"/>
              <w:rPr>
                <w:rFonts w:ascii="Times New Roman" w:hAnsi="Times New Roman" w:cs="Times New Roman"/>
                <w:color w:val="000000" w:themeColor="text1"/>
                <w:sz w:val="20"/>
                <w:szCs w:val="20"/>
              </w:rPr>
            </w:pPr>
          </w:p>
        </w:tc>
      </w:tr>
      <w:tr w:rsidR="00FE5D64"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FE5D64" w:rsidRDefault="00E40776">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FE5D64" w:rsidRDefault="00E40776">
            <w:pPr>
              <w:pStyle w:val="P68B1DB1-TableParagraph14"/>
              <w:spacing w:before="108"/>
              <w:ind w:left="85"/>
              <w:jc w:val="both"/>
              <w:rPr>
                <w:bCs/>
              </w:rPr>
            </w:pPr>
            <w:r>
              <w:t>Брой клиенти</w:t>
            </w:r>
          </w:p>
          <w:p w14:paraId="7FE1BA17" w14:textId="0E52040B" w:rsidR="00FE5D64" w:rsidRPr="00210B0C" w:rsidRDefault="00E40776" w:rsidP="00BB6330">
            <w:pPr>
              <w:pStyle w:val="P68B1DB1-TableParagraph13"/>
              <w:spacing w:before="108"/>
              <w:ind w:left="85"/>
              <w:jc w:val="both"/>
              <w:rPr>
                <w:lang w:val="bg-BG"/>
              </w:rPr>
            </w:pPr>
            <w:r>
              <w:t xml:space="preserve">Общ брой клиенти, </w:t>
            </w:r>
            <w:r w:rsidR="00BB6330">
              <w:rPr>
                <w:lang w:val="bg-BG"/>
              </w:rPr>
              <w:t>въз основа на</w:t>
            </w:r>
            <w:r w:rsidR="00210B0C">
              <w:rPr>
                <w:lang w:val="bg-BG"/>
              </w:rPr>
              <w:t xml:space="preserve"> който са посочени </w:t>
            </w:r>
            <w:r>
              <w:t>стойностите, отчетени в c0030 „</w:t>
            </w:r>
            <w:r w:rsidR="00BB6330">
              <w:rPr>
                <w:lang w:val="bg-BG"/>
              </w:rPr>
              <w:t>Баланс</w:t>
            </w:r>
            <w:r w:rsidR="00BB6330">
              <w:t xml:space="preserve"> </w:t>
            </w:r>
            <w:r>
              <w:t>по сметки“. Ако един клиент използва повече от един депозитен продукт/депозитна сметка, клиентът се брои само веднъж.</w:t>
            </w:r>
          </w:p>
        </w:tc>
      </w:tr>
      <w:tr w:rsidR="00FE5D64"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FE5D64" w:rsidRDefault="00E40776">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FE5D64" w:rsidRDefault="00E40776">
            <w:pPr>
              <w:pStyle w:val="P68B1DB1-TableParagraph14"/>
              <w:spacing w:before="108"/>
              <w:ind w:left="85"/>
              <w:jc w:val="both"/>
              <w:rPr>
                <w:bCs/>
              </w:rPr>
            </w:pPr>
            <w:r>
              <w:t>Брой сметки</w:t>
            </w:r>
          </w:p>
          <w:p w14:paraId="7FE1BA1E" w14:textId="01AE9ACB" w:rsidR="00FE5D64" w:rsidRPr="00BC38BE" w:rsidRDefault="00E40776" w:rsidP="00001032">
            <w:pPr>
              <w:pStyle w:val="P68B1DB1-TableParagraph13"/>
              <w:spacing w:before="108"/>
              <w:ind w:left="85"/>
              <w:jc w:val="both"/>
              <w:rPr>
                <w:b/>
                <w:lang w:val="bg-BG"/>
              </w:rPr>
            </w:pPr>
            <w:r>
              <w:t xml:space="preserve">Общ брой </w:t>
            </w:r>
            <w:r w:rsidR="00001032">
              <w:rPr>
                <w:lang w:val="bg-BG"/>
              </w:rPr>
              <w:t>разплащателни</w:t>
            </w:r>
            <w:r w:rsidR="00001032">
              <w:t xml:space="preserve"> </w:t>
            </w:r>
            <w:r>
              <w:t>сметки/овърнайт депозити, депозити с договорен матуритет и</w:t>
            </w:r>
            <w:r w:rsidR="00001032">
              <w:rPr>
                <w:lang w:val="bg-BG"/>
              </w:rPr>
              <w:t xml:space="preserve"> </w:t>
            </w:r>
            <w:r w:rsidR="00BC38BE">
              <w:rPr>
                <w:lang w:val="bg-BG"/>
              </w:rPr>
              <w:t>д</w:t>
            </w:r>
            <w:r w:rsidR="00BC38BE">
              <w:t>епозити</w:t>
            </w:r>
            <w:r>
              <w:t xml:space="preserve">, договорени за ползване след предизвестие Съвместните сметки се отчитат само веднъж. Общият брой на сметките в тази колона </w:t>
            </w:r>
            <w:r w:rsidR="00210B38">
              <w:rPr>
                <w:lang w:val="bg-BG"/>
              </w:rPr>
              <w:t xml:space="preserve">трябва да </w:t>
            </w:r>
            <w:r>
              <w:t xml:space="preserve">съответства </w:t>
            </w:r>
            <w:r w:rsidR="00210B38" w:rsidRPr="00BC38BE">
              <w:rPr>
                <w:lang w:val="bg-BG"/>
              </w:rPr>
              <w:t>на</w:t>
            </w:r>
            <w:r w:rsidR="00BC38BE">
              <w:rPr>
                <w:lang w:val="bg-BG"/>
              </w:rPr>
              <w:t xml:space="preserve"> базата, използвана при формиране на </w:t>
            </w:r>
            <w:r>
              <w:t>стойността, отчетена в c0030</w:t>
            </w:r>
            <w:r w:rsidR="00210B38">
              <w:rPr>
                <w:lang w:val="bg-BG"/>
              </w:rPr>
              <w:t xml:space="preserve"> </w:t>
            </w:r>
            <w:r>
              <w:t>„</w:t>
            </w:r>
            <w:r w:rsidR="00210B38">
              <w:rPr>
                <w:lang w:val="bg-BG"/>
              </w:rPr>
              <w:t>Баланс</w:t>
            </w:r>
            <w:r>
              <w:t xml:space="preserve"> по сметки“.</w:t>
            </w:r>
          </w:p>
        </w:tc>
      </w:tr>
      <w:tr w:rsidR="00FE5D64"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FE5D64" w:rsidRDefault="00E40776">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3F8D103E" w14:textId="22750430" w:rsidR="00FE5D64" w:rsidRPr="00BC38BE" w:rsidRDefault="00E40776">
            <w:pPr>
              <w:pStyle w:val="P68B1DB1-TableParagraph14"/>
              <w:spacing w:before="108"/>
              <w:ind w:left="85"/>
              <w:jc w:val="both"/>
              <w:rPr>
                <w:bCs/>
                <w:lang w:val="bg-BG"/>
              </w:rPr>
            </w:pPr>
            <w:r>
              <w:t xml:space="preserve">От които </w:t>
            </w:r>
            <w:r w:rsidR="00BC38BE">
              <w:rPr>
                <w:lang w:val="bg-BG"/>
              </w:rPr>
              <w:t>сметки за трансакции</w:t>
            </w:r>
          </w:p>
          <w:p w14:paraId="7FE1BA22" w14:textId="3499A734" w:rsidR="00FE5D64" w:rsidRDefault="00E40776" w:rsidP="007F285A">
            <w:pPr>
              <w:pStyle w:val="P68B1DB1-TableParagraph13"/>
              <w:spacing w:before="108"/>
              <w:ind w:left="85"/>
              <w:jc w:val="both"/>
            </w:pPr>
            <w:r>
              <w:t>Общ брой сметки</w:t>
            </w:r>
            <w:r w:rsidR="00BC38BE">
              <w:rPr>
                <w:lang w:val="bg-BG"/>
              </w:rPr>
              <w:t xml:space="preserve"> за трансакции</w:t>
            </w:r>
            <w:r>
              <w:t xml:space="preserve">, </w:t>
            </w:r>
            <w:r w:rsidR="00BC38BE">
              <w:rPr>
                <w:lang w:val="bg-BG"/>
              </w:rPr>
              <w:t xml:space="preserve">съгласно определението </w:t>
            </w:r>
            <w:r>
              <w:t xml:space="preserve"> в c0036</w:t>
            </w:r>
          </w:p>
        </w:tc>
      </w:tr>
      <w:tr w:rsidR="00FE5D64"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FE5D64" w:rsidRDefault="00E40776">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FE5D64" w:rsidRDefault="00E40776">
            <w:pPr>
              <w:pStyle w:val="P68B1DB1-TableParagraph14"/>
              <w:spacing w:before="108"/>
              <w:ind w:left="85"/>
              <w:jc w:val="both"/>
              <w:rPr>
                <w:bCs/>
              </w:rPr>
            </w:pPr>
            <w:r>
              <w:t>Трансгранична стойност</w:t>
            </w:r>
          </w:p>
          <w:p w14:paraId="7FE1BA29" w14:textId="573D529F" w:rsidR="00FE5D64" w:rsidRPr="007F4C38" w:rsidRDefault="00E40776" w:rsidP="007F285A">
            <w:pPr>
              <w:pStyle w:val="P68B1DB1-TableParagraph13"/>
              <w:spacing w:before="108"/>
              <w:ind w:left="85"/>
              <w:jc w:val="both"/>
            </w:pPr>
            <w:r>
              <w:t xml:space="preserve">Стойност по сметки на нерезиденти (чуждестранни лица). </w:t>
            </w:r>
            <w:r w:rsidR="007F285A">
              <w:rPr>
                <w:lang w:val="bg-BG"/>
              </w:rPr>
              <w:t>Местните лица</w:t>
            </w:r>
            <w:r>
              <w:t xml:space="preserve"> включват: i)</w:t>
            </w:r>
            <w:r w:rsidR="007F285A">
              <w:rPr>
                <w:lang w:val="bg-BG"/>
              </w:rPr>
              <w:t xml:space="preserve"> </w:t>
            </w:r>
            <w:r>
              <w:t>лица, които имат основен икономически интерес (икономически дейности в продължение на най-малко една година;</w:t>
            </w:r>
            <w:r w:rsidR="007F285A">
              <w:rPr>
                <w:lang w:val="bg-BG"/>
              </w:rPr>
              <w:t xml:space="preserve"> собствеността върху</w:t>
            </w:r>
            <w:r>
              <w:t xml:space="preserve"> материални активи се счита за достатъчно доказателство) в рамките на държавата на</w:t>
            </w:r>
            <w:r w:rsidR="007F4C38">
              <w:rPr>
                <w:lang w:val="bg-BG"/>
              </w:rPr>
              <w:t xml:space="preserve"> </w:t>
            </w:r>
            <w:r w:rsidR="00C54591">
              <w:rPr>
                <w:lang w:val="bg-BG"/>
              </w:rPr>
              <w:t>отчитащия</w:t>
            </w:r>
            <w:r>
              <w:t xml:space="preserve"> </w:t>
            </w:r>
            <w:r w:rsidR="00C54591">
              <w:rPr>
                <w:lang w:val="bg-BG"/>
              </w:rPr>
              <w:t xml:space="preserve">субект </w:t>
            </w:r>
            <w:r>
              <w:t xml:space="preserve">и ii) чуждестранни клонове на клиентите на отчитащото се </w:t>
            </w:r>
            <w:r w:rsidR="007F4C38">
              <w:rPr>
                <w:lang w:val="bg-BG"/>
              </w:rPr>
              <w:t>лице</w:t>
            </w:r>
            <w:r>
              <w:t>.</w:t>
            </w:r>
          </w:p>
          <w:p w14:paraId="7FE1BA2A" w14:textId="3F78E4ED" w:rsidR="00FE5D64" w:rsidRDefault="00C54591">
            <w:pPr>
              <w:pStyle w:val="P68B1DB1-TableParagraph13"/>
              <w:spacing w:before="108"/>
              <w:ind w:left="85"/>
              <w:jc w:val="both"/>
              <w:rPr>
                <w:b/>
                <w:bCs/>
              </w:rPr>
            </w:pPr>
            <w:r>
              <w:rPr>
                <w:lang w:val="bg-BG"/>
              </w:rPr>
              <w:t>Референция</w:t>
            </w:r>
            <w:r w:rsidR="00E40776">
              <w:t xml:space="preserve">: </w:t>
            </w:r>
          </w:p>
        </w:tc>
      </w:tr>
      <w:tr w:rsidR="00FE5D64"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FE5D64" w:rsidRDefault="00E40776">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FE5D64" w:rsidRDefault="00E40776">
            <w:pPr>
              <w:pStyle w:val="P68B1DB1-TableParagraph14"/>
              <w:spacing w:before="108"/>
              <w:jc w:val="both"/>
              <w:rPr>
                <w:bCs/>
              </w:rPr>
            </w:pPr>
            <w:r>
              <w:t>Анализи на въздействието и заменяемостта</w:t>
            </w:r>
          </w:p>
          <w:p w14:paraId="7FE1BA2E" w14:textId="1BF337EF" w:rsidR="00FE5D64" w:rsidRDefault="00E40776">
            <w:pPr>
              <w:pStyle w:val="P68B1DB1-Normal31"/>
              <w:spacing w:line="276" w:lineRule="auto"/>
              <w:jc w:val="both"/>
            </w:pPr>
            <w:r>
              <w:t xml:space="preserve">Критериите за оценка на въздействието върху трети страни </w:t>
            </w:r>
            <w:r w:rsidR="00BB0CA3">
              <w:rPr>
                <w:lang w:val="bg-BG"/>
              </w:rPr>
              <w:t>следва да</w:t>
            </w:r>
            <w:r w:rsidR="00BB0CA3" w:rsidRPr="00C54591">
              <w:rPr>
                <w:lang w:val="bg-BG"/>
              </w:rPr>
              <w:t xml:space="preserve"> </w:t>
            </w:r>
            <w:r>
              <w:t xml:space="preserve">включват следните елементи в съответствие с </w:t>
            </w:r>
            <w:r w:rsidR="00C54591">
              <w:rPr>
                <w:lang w:val="bg-BG"/>
              </w:rPr>
              <w:t>Д</w:t>
            </w:r>
            <w:r>
              <w:t>елегиран регламент (ЕС) 2016/778 на Комисията:</w:t>
            </w:r>
          </w:p>
          <w:p w14:paraId="7FE1BA2F" w14:textId="5199C582" w:rsidR="00FE5D64" w:rsidRPr="00C54591" w:rsidRDefault="00E40776" w:rsidP="009E31F3">
            <w:pPr>
              <w:pStyle w:val="P68B1DB1-ListParagraph32"/>
              <w:numPr>
                <w:ilvl w:val="0"/>
                <w:numId w:val="131"/>
              </w:numPr>
              <w:spacing w:line="276" w:lineRule="auto"/>
              <w:rPr>
                <w:bCs/>
              </w:rPr>
            </w:pPr>
            <w:r>
              <w:rPr>
                <w:b/>
              </w:rPr>
              <w:t xml:space="preserve">естеството и </w:t>
            </w:r>
            <w:r w:rsidR="009E31F3">
              <w:rPr>
                <w:b/>
                <w:lang w:val="bg-BG"/>
              </w:rPr>
              <w:t xml:space="preserve">обхватът на дейността, </w:t>
            </w:r>
            <w:r w:rsidRPr="00C54591">
              <w:t>глобалния, националния или регионалния обхват на дейността, обема и броя на трансакциите; броя на клиентите и контрагентите; броя на клиентите, за които институцията е единственият или основ</w:t>
            </w:r>
            <w:r w:rsidR="00B50DF9" w:rsidRPr="00C54591">
              <w:rPr>
                <w:lang w:val="bg-BG"/>
              </w:rPr>
              <w:t>е</w:t>
            </w:r>
            <w:r w:rsidRPr="00C54591">
              <w:t>н банков партньор;</w:t>
            </w:r>
          </w:p>
          <w:p w14:paraId="7FE1BA30" w14:textId="455277EA" w:rsidR="00FE5D64" w:rsidRDefault="00E40776" w:rsidP="002F0B38">
            <w:pPr>
              <w:pStyle w:val="P68B1DB1-ListParagraph32"/>
              <w:numPr>
                <w:ilvl w:val="0"/>
                <w:numId w:val="131"/>
              </w:numPr>
              <w:spacing w:line="276" w:lineRule="auto"/>
              <w:rPr>
                <w:b/>
                <w:bCs/>
              </w:rPr>
            </w:pPr>
            <w:r>
              <w:rPr>
                <w:b/>
              </w:rPr>
              <w:t>значението на институцията на</w:t>
            </w:r>
            <w:r>
              <w:t xml:space="preserve">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A31" w14:textId="27357915" w:rsidR="00FE5D64" w:rsidRDefault="00E40776">
            <w:pPr>
              <w:pStyle w:val="P68B1DB1-ListParagraph32"/>
              <w:numPr>
                <w:ilvl w:val="0"/>
                <w:numId w:val="131"/>
              </w:numPr>
              <w:spacing w:line="276" w:lineRule="auto"/>
              <w:rPr>
                <w:b/>
                <w:bCs/>
              </w:rPr>
            </w:pPr>
            <w:r>
              <w:rPr>
                <w:b/>
              </w:rPr>
              <w:t>естеството на клиентите и заинтересованите страни, обхванати от функцията</w:t>
            </w:r>
            <w:r>
              <w:t xml:space="preserve"> — например, но не само, индивидуални клиенти, корпоративни клиенти, междубанкови клиенти, централни клирингови къщи и публични субекти; </w:t>
            </w:r>
          </w:p>
          <w:p w14:paraId="7FE1BA32" w14:textId="133AF128" w:rsidR="00FE5D64" w:rsidRDefault="00E40776" w:rsidP="002F0B38">
            <w:pPr>
              <w:pStyle w:val="P68B1DB1-ListParagraph32"/>
              <w:numPr>
                <w:ilvl w:val="0"/>
                <w:numId w:val="131"/>
              </w:numPr>
              <w:spacing w:line="276" w:lineRule="auto"/>
              <w:rPr>
                <w:b/>
                <w:bCs/>
              </w:rPr>
            </w:pPr>
            <w:r>
              <w:rPr>
                <w:b/>
              </w:rPr>
              <w:t>потенциалното сътресение</w:t>
            </w:r>
            <w:r w:rsidR="002F0B38">
              <w:rPr>
                <w:b/>
              </w:rPr>
              <w:t xml:space="preserve"> </w:t>
            </w:r>
            <w:r>
              <w:rPr>
                <w:b/>
              </w:rPr>
              <w:t>на функционирането на пазарите, инфраструктурите, клиентите и публичните услуги</w:t>
            </w:r>
            <w:r>
              <w:t xml:space="preserve">. По-конкретно, оценката може да обхване въздействието върху ликвидността на съответните пазари, въздействието и обхвата на сътресенията </w:t>
            </w:r>
            <w:r w:rsidR="00BB0CA3">
              <w:rPr>
                <w:lang w:val="bg-BG"/>
              </w:rPr>
              <w:t>по отношение на бизнеса на</w:t>
            </w:r>
            <w:r>
              <w:t xml:space="preserve"> клиентите, както и </w:t>
            </w:r>
            <w:r w:rsidR="00BB0CA3">
              <w:rPr>
                <w:lang w:val="bg-BG"/>
              </w:rPr>
              <w:t>по отношение на</w:t>
            </w:r>
            <w:r w:rsidR="00BB0CA3" w:rsidRPr="00556044">
              <w:rPr>
                <w:lang w:val="bg-BG"/>
              </w:rPr>
              <w:t xml:space="preserve"> </w:t>
            </w:r>
            <w:r>
              <w:t>краткосрочните потребности от ликвидност; осезаемостта за контрагентите, клиентите и обществеността; капацитета и бързината на реакция на клиентите; значението за функционирането на други пазари; въздействието върху ликвидността, операциите, структурата на друг пазар; въздействието върху други контрагенти, свързани с основните клиенти, и взаимовръзките на функцията с други услуги.</w:t>
            </w:r>
          </w:p>
          <w:p w14:paraId="7FE1BA33" w14:textId="77777777" w:rsidR="00FE5D64" w:rsidRDefault="00FE5D64">
            <w:pPr>
              <w:pStyle w:val="TableParagraph"/>
              <w:spacing w:before="108"/>
              <w:ind w:left="85"/>
              <w:jc w:val="both"/>
              <w:rPr>
                <w:rFonts w:ascii="Times New Roman" w:hAnsi="Times New Roman" w:cs="Times New Roman"/>
                <w:b/>
                <w:bCs/>
                <w:color w:val="000000" w:themeColor="text1"/>
                <w:sz w:val="20"/>
                <w:szCs w:val="20"/>
              </w:rPr>
            </w:pPr>
          </w:p>
        </w:tc>
      </w:tr>
      <w:tr w:rsidR="00FE5D64"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FE5D64" w:rsidRDefault="00E40776">
            <w:pPr>
              <w:pStyle w:val="P68B1DB1-TableParagraph17"/>
              <w:spacing w:before="108"/>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A36" w14:textId="0E325FF2" w:rsidR="00FE5D64" w:rsidRPr="00556044" w:rsidRDefault="00556044">
            <w:pPr>
              <w:pStyle w:val="P68B1DB1-TableParagraph14"/>
              <w:spacing w:before="108"/>
              <w:ind w:left="85"/>
              <w:jc w:val="both"/>
              <w:rPr>
                <w:lang w:val="bg-BG"/>
              </w:rPr>
            </w:pPr>
            <w:r>
              <w:rPr>
                <w:lang w:val="bg-BG"/>
              </w:rPr>
              <w:t>Същност и обхват</w:t>
            </w:r>
          </w:p>
          <w:p w14:paraId="7FE1BA37" w14:textId="3B608B1A" w:rsidR="00FE5D64" w:rsidRDefault="00E40776" w:rsidP="00FC1571">
            <w:pPr>
              <w:pStyle w:val="P68B1DB1-TableParagraph33"/>
              <w:spacing w:before="108"/>
              <w:ind w:left="85"/>
              <w:jc w:val="both"/>
              <w:rPr>
                <w:rFonts w:cs="Times New Roman"/>
                <w:b/>
                <w:bCs/>
                <w:color w:val="000000" w:themeColor="text1"/>
              </w:rPr>
            </w:pPr>
            <w:r>
              <w:t>Глобалния</w:t>
            </w:r>
            <w:r w:rsidR="00BB0CA3">
              <w:rPr>
                <w:lang w:val="bg-BG"/>
              </w:rPr>
              <w:t>т</w:t>
            </w:r>
            <w:r>
              <w:t>, националния</w:t>
            </w:r>
            <w:r w:rsidR="00BB0CA3">
              <w:rPr>
                <w:lang w:val="bg-BG"/>
              </w:rPr>
              <w:t>т</w:t>
            </w:r>
            <w:r>
              <w:t xml:space="preserve"> или регионалния</w:t>
            </w:r>
            <w:r w:rsidR="00BB0CA3">
              <w:rPr>
                <w:lang w:val="bg-BG"/>
              </w:rPr>
              <w:t>т</w:t>
            </w:r>
            <w:r>
              <w:t xml:space="preserve"> обхват, обем</w:t>
            </w:r>
            <w:r w:rsidR="00BB0CA3">
              <w:rPr>
                <w:lang w:val="bg-BG"/>
              </w:rPr>
              <w:t>ът</w:t>
            </w:r>
            <w:r>
              <w:t xml:space="preserve"> и брой на сделките; броя</w:t>
            </w:r>
            <w:r w:rsidR="00BB0CA3">
              <w:rPr>
                <w:lang w:val="bg-BG"/>
              </w:rPr>
              <w:t>т</w:t>
            </w:r>
            <w:r>
              <w:t xml:space="preserve"> на клиентите и контрагентите; броя</w:t>
            </w:r>
            <w:r w:rsidR="00BB0CA3">
              <w:rPr>
                <w:lang w:val="bg-BG"/>
              </w:rPr>
              <w:t>т</w:t>
            </w:r>
            <w:r>
              <w:t xml:space="preserve"> на клиентите, за които институцията е единствен или </w:t>
            </w:r>
            <w:r w:rsidR="00FC1571">
              <w:t>основен</w:t>
            </w:r>
            <w:r>
              <w:t xml:space="preserve"> банков партньор;</w:t>
            </w:r>
          </w:p>
        </w:tc>
      </w:tr>
      <w:tr w:rsidR="00FE5D64"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FE5D64" w:rsidRDefault="00E40776">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2B70337" w:rsidR="00FE5D64" w:rsidRDefault="00E40776">
            <w:pPr>
              <w:pStyle w:val="P68B1DB1-TableParagraph14"/>
              <w:spacing w:before="108"/>
              <w:ind w:left="85"/>
              <w:jc w:val="both"/>
              <w:rPr>
                <w:bCs/>
              </w:rPr>
            </w:pPr>
            <w:r>
              <w:t>Показател за размера 1</w:t>
            </w:r>
          </w:p>
          <w:p w14:paraId="7FE1BA3B" w14:textId="1F26EE4A" w:rsidR="00FE5D64" w:rsidRDefault="00924DFF">
            <w:pPr>
              <w:pStyle w:val="P68B1DB1-Normal31"/>
              <w:spacing w:line="276" w:lineRule="auto"/>
              <w:jc w:val="both"/>
            </w:pPr>
            <w:r>
              <w:rPr>
                <w:lang w:val="bg-BG"/>
              </w:rPr>
              <w:t>Оценява се</w:t>
            </w:r>
            <w:r w:rsidR="003B5031">
              <w:t xml:space="preserve"> </w:t>
            </w:r>
            <w:r w:rsidR="00E40776">
              <w:t xml:space="preserve">колко </w:t>
            </w:r>
            <w:r w:rsidR="003B5031">
              <w:rPr>
                <w:lang w:val="bg-BG"/>
              </w:rPr>
              <w:t>значима</w:t>
            </w:r>
            <w:r w:rsidR="00E40776">
              <w:t xml:space="preserve"> е банката за тези дейности. Тази оценка </w:t>
            </w:r>
            <w:r w:rsidR="003B5031">
              <w:rPr>
                <w:lang w:val="bg-BG"/>
              </w:rPr>
              <w:t>се изразява</w:t>
            </w:r>
            <w:r w:rsidR="003B5031" w:rsidRPr="00316D31">
              <w:rPr>
                <w:lang w:val="bg-BG"/>
              </w:rPr>
              <w:t xml:space="preserve"> </w:t>
            </w:r>
            <w:r w:rsidR="00E40776">
              <w:t xml:space="preserve">качествено като </w:t>
            </w:r>
            <w:r w:rsidR="003B5031">
              <w:t>„висока“, „средновисока“, „среднониска“ или „ниска“</w:t>
            </w:r>
            <w:r w:rsidR="00E40776">
              <w:t xml:space="preserve">. </w:t>
            </w:r>
            <w:r>
              <w:rPr>
                <w:lang w:val="bg-BG"/>
              </w:rPr>
              <w:t>Посочва се</w:t>
            </w:r>
            <w:r w:rsidR="00E40776">
              <w:t xml:space="preserve"> „висок</w:t>
            </w:r>
            <w:r w:rsidR="003B5031">
              <w:rPr>
                <w:lang w:val="bg-BG"/>
              </w:rPr>
              <w:t>а“</w:t>
            </w:r>
            <w:r w:rsidR="00E40776">
              <w:t xml:space="preserve"> ако размерът на функцията е </w:t>
            </w:r>
            <w:r w:rsidR="003B5031">
              <w:rPr>
                <w:lang w:val="bg-BG"/>
              </w:rPr>
              <w:t>значим</w:t>
            </w:r>
            <w:r w:rsidR="00E40776">
              <w:t>, „</w:t>
            </w:r>
            <w:r w:rsidR="003B5031">
              <w:rPr>
                <w:lang w:val="bg-BG"/>
              </w:rPr>
              <w:t>с</w:t>
            </w:r>
            <w:r w:rsidR="00E40776">
              <w:t>редновисок</w:t>
            </w:r>
            <w:r w:rsidR="003B5031">
              <w:rPr>
                <w:lang w:val="bg-BG"/>
              </w:rPr>
              <w:t>а“</w:t>
            </w:r>
            <w:r w:rsidR="00E40776">
              <w:t xml:space="preserve"> ако е среден, „</w:t>
            </w:r>
            <w:r w:rsidR="003B5031">
              <w:rPr>
                <w:lang w:val="bg-BG"/>
              </w:rPr>
              <w:t>с</w:t>
            </w:r>
            <w:r w:rsidR="00E40776">
              <w:t>реднониск</w:t>
            </w:r>
            <w:r w:rsidR="003B5031">
              <w:rPr>
                <w:lang w:val="bg-BG"/>
              </w:rPr>
              <w:t>а“</w:t>
            </w:r>
            <w:r w:rsidR="00E40776">
              <w:t xml:space="preserve"> ако е малък, и „нис</w:t>
            </w:r>
            <w:r w:rsidR="003B5031">
              <w:rPr>
                <w:lang w:val="bg-BG"/>
              </w:rPr>
              <w:t>ка</w:t>
            </w:r>
            <w:r w:rsidR="00E40776">
              <w:t xml:space="preserve">“, ако е незначителен. </w:t>
            </w:r>
            <w:r>
              <w:rPr>
                <w:lang w:val="bg-BG"/>
              </w:rPr>
              <w:t>Могат да се използват</w:t>
            </w:r>
            <w:r w:rsidR="003B5031" w:rsidRPr="00316D31">
              <w:rPr>
                <w:lang w:val="bg-BG"/>
              </w:rPr>
              <w:t xml:space="preserve"> </w:t>
            </w:r>
            <w:r w:rsidR="00E40776">
              <w:t xml:space="preserve">макроикономически променливи като БВП, население (за депозити, </w:t>
            </w:r>
            <w:r w:rsidR="00CD1B1F">
              <w:rPr>
                <w:lang w:val="bg-BG"/>
              </w:rPr>
              <w:t>кредити</w:t>
            </w:r>
            <w:r w:rsidR="00B95554">
              <w:rPr>
                <w:lang w:val="bg-BG"/>
              </w:rPr>
              <w:t>ране</w:t>
            </w:r>
            <w:r w:rsidR="00E40776">
              <w:t xml:space="preserve">, </w:t>
            </w:r>
            <w:r w:rsidR="00B95554">
              <w:rPr>
                <w:lang w:val="bg-BG"/>
              </w:rPr>
              <w:t>платежни</w:t>
            </w:r>
            <w:r w:rsidR="00E40776">
              <w:t xml:space="preserve">, </w:t>
            </w:r>
            <w:r>
              <w:rPr>
                <w:lang w:val="bg-BG"/>
              </w:rPr>
              <w:t>касови</w:t>
            </w:r>
            <w:r w:rsidR="00E40776">
              <w:t xml:space="preserve">, сетълмент, клиринг и </w:t>
            </w:r>
            <w:r>
              <w:t>попечител</w:t>
            </w:r>
            <w:r>
              <w:rPr>
                <w:lang w:val="bg-BG"/>
              </w:rPr>
              <w:t>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A3C" w14:textId="448846FA" w:rsidR="00FE5D64" w:rsidRDefault="00E40776">
            <w:pPr>
              <w:pStyle w:val="P68B1DB1-ListParagraph32"/>
              <w:numPr>
                <w:ilvl w:val="0"/>
                <w:numId w:val="130"/>
              </w:numPr>
              <w:spacing w:line="276" w:lineRule="auto"/>
            </w:pPr>
            <w:r>
              <w:t xml:space="preserve">Експертна оценка на размера на </w:t>
            </w:r>
            <w:r>
              <w:rPr>
                <w:b/>
              </w:rPr>
              <w:t>стойността</w:t>
            </w:r>
            <w:r>
              <w:t xml:space="preserve"> по сметките (c0030) от гледна точка на </w:t>
            </w:r>
            <w:r>
              <w:rPr>
                <w:b/>
              </w:rPr>
              <w:t>ЕС</w:t>
            </w:r>
            <w:r>
              <w:t xml:space="preserve"> </w:t>
            </w:r>
            <w:r>
              <w:rPr>
                <w:i/>
              </w:rPr>
              <w:t>[</w:t>
            </w:r>
            <w:r w:rsidR="00CD1B1F">
              <w:rPr>
                <w:i/>
                <w:lang w:val="bg-BG"/>
              </w:rPr>
              <w:t>едно ниво</w:t>
            </w:r>
            <w:r>
              <w:rPr>
                <w:i/>
              </w:rPr>
              <w:t xml:space="preserve"> по-високо от съответния пазар. Това означава, че когато съответният пазар е регионален, размер 1 = национален; когато е национал</w:t>
            </w:r>
            <w:r w:rsidR="00CD1B1F">
              <w:rPr>
                <w:i/>
                <w:lang w:val="bg-BG"/>
              </w:rPr>
              <w:t>ен</w:t>
            </w:r>
            <w:r>
              <w:rPr>
                <w:i/>
              </w:rPr>
              <w:t>, размер 1 = ЕС; когато е ЕС, размер 1 = глобален]</w:t>
            </w:r>
            <w:r>
              <w:t>:</w:t>
            </w:r>
          </w:p>
          <w:p w14:paraId="7FE1BA3E" w14:textId="205A2220" w:rsidR="00FE5D64" w:rsidRPr="001A79CE" w:rsidRDefault="00E40776" w:rsidP="001D6ABC">
            <w:pPr>
              <w:pStyle w:val="P68B1DB1-ListParagraph32"/>
              <w:numPr>
                <w:ilvl w:val="1"/>
                <w:numId w:val="129"/>
              </w:numPr>
              <w:spacing w:line="276" w:lineRule="auto"/>
              <w:rPr>
                <w:b/>
                <w:color w:val="000000" w:themeColor="text1"/>
              </w:rPr>
            </w:pPr>
            <w:r>
              <w:t>От гледна точка на ЕС</w:t>
            </w:r>
            <w:r w:rsidR="00E8647E">
              <w:rPr>
                <w:lang w:val="bg-BG"/>
              </w:rPr>
              <w:t>,</w:t>
            </w:r>
            <w:r>
              <w:t xml:space="preserve"> колко </w:t>
            </w:r>
            <w:r w:rsidR="00CD1B1F">
              <w:rPr>
                <w:lang w:val="bg-BG"/>
              </w:rPr>
              <w:t>съществена</w:t>
            </w:r>
            <w:r w:rsidR="00CD1B1F">
              <w:t xml:space="preserve"> </w:t>
            </w:r>
            <w:r>
              <w:t xml:space="preserve">според Вас е общата </w:t>
            </w:r>
            <w:r w:rsidR="00E8647E">
              <w:rPr>
                <w:lang w:val="bg-BG"/>
              </w:rPr>
              <w:t>балансова</w:t>
            </w:r>
            <w:r w:rsidR="00E8647E" w:rsidRPr="001118F2">
              <w:t xml:space="preserve"> </w:t>
            </w:r>
            <w:r>
              <w:t xml:space="preserve">стойност </w:t>
            </w:r>
            <w:r w:rsidR="00E8647E">
              <w:rPr>
                <w:lang w:val="bg-BG"/>
              </w:rPr>
              <w:t>по</w:t>
            </w:r>
            <w:r w:rsidR="00E8647E">
              <w:t xml:space="preserve"> </w:t>
            </w:r>
            <w:r>
              <w:t xml:space="preserve">сметките </w:t>
            </w:r>
            <w:r w:rsidR="001B73DB">
              <w:rPr>
                <w:lang w:val="bg-BG"/>
              </w:rPr>
              <w:t xml:space="preserve">на </w:t>
            </w:r>
            <w:r w:rsidR="00E8647E" w:rsidRPr="00DA7FA9">
              <w:rPr>
                <w:lang w:val="bg-BG"/>
              </w:rPr>
              <w:t>институция</w:t>
            </w:r>
            <w:r w:rsidR="001B73DB">
              <w:rPr>
                <w:lang w:val="bg-BG"/>
              </w:rPr>
              <w:t>та</w:t>
            </w:r>
            <w:r w:rsidR="00E8647E">
              <w:rPr>
                <w:lang w:val="bg-BG"/>
              </w:rPr>
              <w:t xml:space="preserve"> на съответния пазар? </w:t>
            </w:r>
          </w:p>
        </w:tc>
      </w:tr>
      <w:tr w:rsidR="00FE5D64"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FE5D64" w:rsidRDefault="00E40776">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244CA3D9" w:rsidR="00FE5D64" w:rsidRDefault="00E40776">
            <w:pPr>
              <w:pStyle w:val="P68B1DB1-TableParagraph14"/>
              <w:spacing w:before="108"/>
              <w:ind w:left="85"/>
              <w:jc w:val="both"/>
              <w:rPr>
                <w:bCs/>
              </w:rPr>
            </w:pPr>
            <w:r>
              <w:t>Показател за размера 2</w:t>
            </w:r>
          </w:p>
          <w:p w14:paraId="3B32AD4C" w14:textId="383BC8DE" w:rsidR="00FE5D64" w:rsidRDefault="00DA7FA9">
            <w:pPr>
              <w:pStyle w:val="P68B1DB1-Normal31"/>
              <w:spacing w:line="276" w:lineRule="auto"/>
              <w:jc w:val="both"/>
            </w:pPr>
            <w:r>
              <w:rPr>
                <w:lang w:val="bg-BG"/>
              </w:rPr>
              <w:t>Оценява се</w:t>
            </w:r>
            <w:r w:rsidR="00E8647E">
              <w:t xml:space="preserve"> </w:t>
            </w:r>
            <w:r w:rsidR="00E40776">
              <w:t xml:space="preserve">колко </w:t>
            </w:r>
            <w:r w:rsidR="00E8647E">
              <w:rPr>
                <w:lang w:val="bg-BG"/>
              </w:rPr>
              <w:t>значима</w:t>
            </w:r>
            <w:r w:rsidR="00E8647E">
              <w:t xml:space="preserve"> </w:t>
            </w:r>
            <w:r w:rsidR="00E40776">
              <w:t xml:space="preserve">е банката за тези дейности. Тази оценка </w:t>
            </w:r>
            <w:r w:rsidR="00E8647E">
              <w:rPr>
                <w:lang w:val="bg-BG"/>
              </w:rPr>
              <w:t>се изразява</w:t>
            </w:r>
            <w:r w:rsidR="00E8647E" w:rsidRPr="00DA7FA9">
              <w:rPr>
                <w:lang w:val="bg-BG"/>
              </w:rPr>
              <w:t xml:space="preserve"> </w:t>
            </w:r>
            <w:r w:rsidR="00E40776">
              <w:t xml:space="preserve">качествено като </w:t>
            </w:r>
            <w:r w:rsidR="00E8647E">
              <w:t xml:space="preserve">„висока“, „средновисока“, „среднониска“ или „ниска“. </w:t>
            </w:r>
            <w:r>
              <w:rPr>
                <w:lang w:val="bg-BG"/>
              </w:rPr>
              <w:t>Посочва се</w:t>
            </w:r>
            <w:r w:rsidR="00E40776">
              <w:t xml:space="preserve"> „висок</w:t>
            </w:r>
            <w:r w:rsidR="00E8647E">
              <w:rPr>
                <w:lang w:val="bg-BG"/>
              </w:rPr>
              <w:t>а“</w:t>
            </w:r>
            <w:r w:rsidR="00E40776">
              <w:t xml:space="preserve"> ако размерът на функцията е </w:t>
            </w:r>
            <w:r w:rsidR="00E8647E">
              <w:rPr>
                <w:lang w:val="bg-BG"/>
              </w:rPr>
              <w:t>значим</w:t>
            </w:r>
            <w:r w:rsidR="00E40776">
              <w:t>, „</w:t>
            </w:r>
            <w:r w:rsidR="00E8647E">
              <w:rPr>
                <w:lang w:val="bg-BG"/>
              </w:rPr>
              <w:t>с</w:t>
            </w:r>
            <w:r w:rsidR="00E40776">
              <w:t>редновисок</w:t>
            </w:r>
            <w:r w:rsidR="00E8647E">
              <w:rPr>
                <w:lang w:val="bg-BG"/>
              </w:rPr>
              <w:t>а“</w:t>
            </w:r>
            <w:r w:rsidR="00E40776">
              <w:t xml:space="preserve"> ако е среден, „</w:t>
            </w:r>
            <w:r w:rsidR="00E8647E">
              <w:rPr>
                <w:lang w:val="bg-BG"/>
              </w:rPr>
              <w:t>с</w:t>
            </w:r>
            <w:r w:rsidR="00E40776">
              <w:t>реднонис</w:t>
            </w:r>
            <w:r w:rsidR="00E8647E">
              <w:rPr>
                <w:lang w:val="bg-BG"/>
              </w:rPr>
              <w:t>ка“</w:t>
            </w:r>
            <w:r w:rsidR="00E40776">
              <w:t xml:space="preserve"> ако е малък, и „ниск</w:t>
            </w:r>
            <w:r w:rsidR="00E8647E">
              <w:rPr>
                <w:lang w:val="bg-BG"/>
              </w:rPr>
              <w:t>а</w:t>
            </w:r>
            <w:r w:rsidR="00E40776">
              <w:t xml:space="preserve">“, ако е незначителен. </w:t>
            </w:r>
            <w:r w:rsidR="00465166">
              <w:rPr>
                <w:lang w:val="bg-BG"/>
              </w:rPr>
              <w:t>Могат да се използват</w:t>
            </w:r>
            <w:r w:rsidR="00E40776">
              <w:t xml:space="preserve"> макроикономически променливи като БВП, население (за депозити, </w:t>
            </w:r>
            <w:r w:rsidR="00E8647E">
              <w:rPr>
                <w:lang w:val="bg-BG"/>
              </w:rPr>
              <w:t>кредитиране</w:t>
            </w:r>
            <w:r w:rsidR="00E40776">
              <w:t xml:space="preserve">, </w:t>
            </w:r>
            <w:r w:rsidR="00E8647E">
              <w:rPr>
                <w:lang w:val="bg-BG"/>
              </w:rPr>
              <w:t>платежни</w:t>
            </w:r>
            <w:r w:rsidR="00E40776">
              <w:t xml:space="preserve">, </w:t>
            </w:r>
            <w:r w:rsidR="00465166">
              <w:rPr>
                <w:lang w:val="bg-BG"/>
              </w:rPr>
              <w:t>касови</w:t>
            </w:r>
            <w:r w:rsidR="00E40776">
              <w:t xml:space="preserve">, сетълмент, клиринг и </w:t>
            </w:r>
            <w:r w:rsidR="00465166">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A42" w14:textId="7FE1DE6A" w:rsidR="00FE5D64" w:rsidRDefault="00FE5D64">
            <w:pPr>
              <w:spacing w:line="276" w:lineRule="auto"/>
              <w:jc w:val="both"/>
              <w:rPr>
                <w:rFonts w:ascii="Times New Roman" w:eastAsia="Times New Roman" w:hAnsi="Times New Roman" w:cs="Times New Roman"/>
                <w:sz w:val="20"/>
                <w:szCs w:val="20"/>
              </w:rPr>
            </w:pPr>
          </w:p>
          <w:p w14:paraId="7FE1BA43" w14:textId="77777777" w:rsidR="00FE5D64" w:rsidRDefault="00E40776">
            <w:pPr>
              <w:pStyle w:val="P68B1DB1-ListParagraph32"/>
              <w:numPr>
                <w:ilvl w:val="0"/>
                <w:numId w:val="124"/>
              </w:numPr>
              <w:spacing w:line="276" w:lineRule="auto"/>
            </w:pPr>
            <w:r>
              <w:t xml:space="preserve">Експертна оценка на размера на </w:t>
            </w:r>
            <w:r>
              <w:rPr>
                <w:b/>
              </w:rPr>
              <w:t>броя</w:t>
            </w:r>
            <w:r>
              <w:t xml:space="preserve"> клиенти (c0040) от </w:t>
            </w:r>
            <w:r>
              <w:rPr>
                <w:b/>
              </w:rPr>
              <w:t>национална</w:t>
            </w:r>
            <w:r>
              <w:t xml:space="preserve"> гледна точка [</w:t>
            </w:r>
            <w:r>
              <w:rPr>
                <w:i/>
              </w:rPr>
              <w:t>на равнището на съответния пазар</w:t>
            </w:r>
            <w:r>
              <w:t>]:</w:t>
            </w:r>
          </w:p>
          <w:p w14:paraId="7FE1BA44" w14:textId="3A53EA8F" w:rsidR="00FE5D64" w:rsidRDefault="00E8647E">
            <w:pPr>
              <w:pStyle w:val="P68B1DB1-ListParagraph32"/>
              <w:numPr>
                <w:ilvl w:val="1"/>
                <w:numId w:val="122"/>
              </w:numPr>
              <w:spacing w:line="276" w:lineRule="auto"/>
            </w:pPr>
            <w:r>
              <w:rPr>
                <w:lang w:val="bg-BG"/>
              </w:rPr>
              <w:t xml:space="preserve">Колко значителен </w:t>
            </w:r>
            <w:r w:rsidR="00E9486C">
              <w:rPr>
                <w:lang w:val="bg-BG"/>
              </w:rPr>
              <w:t>смятате</w:t>
            </w:r>
            <w:r>
              <w:rPr>
                <w:lang w:val="bg-BG"/>
              </w:rPr>
              <w:t>, че е общият брой на клиентите на институция</w:t>
            </w:r>
            <w:r w:rsidR="00465166">
              <w:rPr>
                <w:lang w:val="bg-BG"/>
              </w:rPr>
              <w:t>та</w:t>
            </w:r>
            <w:r>
              <w:rPr>
                <w:lang w:val="bg-BG"/>
              </w:rPr>
              <w:t xml:space="preserve"> на национално равнище</w:t>
            </w:r>
            <w:r w:rsidR="00E40776">
              <w:t>?</w:t>
            </w:r>
          </w:p>
          <w:p w14:paraId="7FE1BA45" w14:textId="77777777" w:rsidR="00FE5D64" w:rsidRDefault="00FE5D64">
            <w:pPr>
              <w:pStyle w:val="TableParagraph"/>
              <w:spacing w:before="108"/>
              <w:ind w:left="85"/>
              <w:jc w:val="both"/>
              <w:rPr>
                <w:rFonts w:ascii="Times New Roman" w:hAnsi="Times New Roman" w:cs="Times New Roman"/>
                <w:b/>
                <w:bCs/>
                <w:color w:val="000000" w:themeColor="text1"/>
                <w:sz w:val="20"/>
                <w:szCs w:val="20"/>
              </w:rPr>
            </w:pPr>
          </w:p>
        </w:tc>
      </w:tr>
      <w:tr w:rsidR="00FE5D64"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FE5D64" w:rsidRDefault="00E40776">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FE5D64" w:rsidRDefault="00E40776">
            <w:pPr>
              <w:pStyle w:val="P68B1DB1-TableParagraph14"/>
              <w:spacing w:before="108"/>
              <w:ind w:left="85"/>
              <w:jc w:val="both"/>
              <w:rPr>
                <w:bCs/>
              </w:rPr>
            </w:pPr>
            <w:r>
              <w:t>Трансграничен показател</w:t>
            </w:r>
          </w:p>
          <w:p w14:paraId="7FE1BA49" w14:textId="77777777" w:rsidR="00FE5D64" w:rsidRDefault="00E40776">
            <w:pPr>
              <w:pStyle w:val="P68B1DB1-Normal31"/>
              <w:spacing w:line="276" w:lineRule="auto"/>
              <w:jc w:val="both"/>
            </w:pPr>
            <w:r>
              <w:t>Оценка на относителното значение на трансграничните дейности за различните икономически функции.</w:t>
            </w:r>
          </w:p>
          <w:p w14:paraId="7FE1BA4A" w14:textId="6C87A603" w:rsidR="00FE5D64" w:rsidRDefault="00F97E44">
            <w:pPr>
              <w:pStyle w:val="P68B1DB1-Normal31"/>
              <w:spacing w:line="276" w:lineRule="auto"/>
              <w:jc w:val="both"/>
            </w:pPr>
            <w:r>
              <w:rPr>
                <w:lang w:val="bg-BG"/>
              </w:rPr>
              <w:t>Н</w:t>
            </w:r>
            <w:r w:rsidR="00E40776">
              <w:t>е е необходимо да се оценява в случа</w:t>
            </w:r>
            <w:r>
              <w:rPr>
                <w:lang w:val="bg-BG"/>
              </w:rPr>
              <w:t>ите</w:t>
            </w:r>
            <w:r w:rsidR="00432493">
              <w:rPr>
                <w:lang w:val="bg-BG"/>
              </w:rPr>
              <w:t>,</w:t>
            </w:r>
            <w:r>
              <w:rPr>
                <w:lang w:val="bg-BG"/>
              </w:rPr>
              <w:t xml:space="preserve"> когато</w:t>
            </w:r>
            <w:r w:rsidR="00E40776">
              <w:t xml:space="preserve"> съответният пазар се </w:t>
            </w:r>
            <w:r w:rsidR="00432493">
              <w:rPr>
                <w:lang w:val="bg-BG"/>
              </w:rPr>
              <w:t>смята</w:t>
            </w:r>
            <w:r w:rsidR="00432493">
              <w:t xml:space="preserve"> </w:t>
            </w:r>
            <w:r w:rsidR="00E40776">
              <w:t xml:space="preserve">за регионален. </w:t>
            </w:r>
          </w:p>
          <w:p w14:paraId="7FE1BA4B" w14:textId="1DCB4CEF" w:rsidR="00FE5D64" w:rsidRDefault="00E40776">
            <w:pPr>
              <w:pStyle w:val="P68B1DB1-ListParagraph32"/>
              <w:numPr>
                <w:ilvl w:val="0"/>
                <w:numId w:val="118"/>
              </w:numPr>
              <w:rPr>
                <w:i/>
                <w:iCs/>
              </w:rPr>
            </w:pPr>
            <w:r>
              <w:t xml:space="preserve">Брой на държавите от ЕС, в които </w:t>
            </w:r>
            <w:r w:rsidR="008D71D6">
              <w:rPr>
                <w:lang w:val="bg-BG"/>
              </w:rPr>
              <w:t>отчетната институция смята</w:t>
            </w:r>
            <w:r w:rsidR="008D71D6" w:rsidRPr="00465166">
              <w:rPr>
                <w:lang w:val="bg-BG"/>
              </w:rPr>
              <w:t xml:space="preserve"> че</w:t>
            </w:r>
            <w:r>
              <w:t xml:space="preserve"> има национален пазарен дял над 2%. </w:t>
            </w:r>
            <w:r w:rsidR="00037EFB">
              <w:rPr>
                <w:lang w:val="bg-BG"/>
              </w:rPr>
              <w:t>Посочва се</w:t>
            </w:r>
            <w:r>
              <w:t xml:space="preserve">: </w:t>
            </w:r>
          </w:p>
          <w:p w14:paraId="7FE1BA4C" w14:textId="1B5327CC" w:rsidR="00FE5D64" w:rsidRDefault="00E40776">
            <w:pPr>
              <w:pStyle w:val="P68B1DB1-ListParagraph32"/>
              <w:numPr>
                <w:ilvl w:val="1"/>
                <w:numId w:val="118"/>
              </w:numPr>
              <w:rPr>
                <w:i/>
                <w:iCs/>
              </w:rPr>
            </w:pPr>
            <w:r>
              <w:t xml:space="preserve">≤ 1 държава; </w:t>
            </w:r>
          </w:p>
          <w:p w14:paraId="7FE1BA4D" w14:textId="7AE708B6" w:rsidR="00FE5D64" w:rsidRDefault="00E40776">
            <w:pPr>
              <w:pStyle w:val="P68B1DB1-ListParagraph32"/>
              <w:numPr>
                <w:ilvl w:val="1"/>
                <w:numId w:val="118"/>
              </w:numPr>
              <w:rPr>
                <w:i/>
                <w:iCs/>
              </w:rPr>
            </w:pPr>
            <w:r>
              <w:t>2—3 държави</w:t>
            </w:r>
            <w:r w:rsidR="00591C4E">
              <w:rPr>
                <w:lang w:val="bg-BG"/>
              </w:rPr>
              <w:t>;</w:t>
            </w:r>
          </w:p>
          <w:p w14:paraId="7FE1BA4E" w14:textId="602A6EB6" w:rsidR="00FE5D64" w:rsidRDefault="00E40776">
            <w:pPr>
              <w:pStyle w:val="P68B1DB1-ListParagraph32"/>
              <w:numPr>
                <w:ilvl w:val="1"/>
                <w:numId w:val="118"/>
              </w:numPr>
              <w:rPr>
                <w:i/>
                <w:iCs/>
              </w:rPr>
            </w:pPr>
            <w:r>
              <w:t xml:space="preserve">4—5 </w:t>
            </w:r>
            <w:r w:rsidR="00591C4E">
              <w:rPr>
                <w:lang w:val="bg-BG"/>
              </w:rPr>
              <w:t>държави;</w:t>
            </w:r>
          </w:p>
          <w:p w14:paraId="7FE1BA4F" w14:textId="744AB982" w:rsidR="00FE5D64" w:rsidRDefault="00E40776">
            <w:pPr>
              <w:pStyle w:val="P68B1DB1-ListParagraph32"/>
              <w:numPr>
                <w:ilvl w:val="1"/>
                <w:numId w:val="118"/>
              </w:numPr>
              <w:rPr>
                <w:i/>
                <w:iCs/>
              </w:rPr>
            </w:pPr>
            <w:r>
              <w:t>&gt; 5 държави.</w:t>
            </w:r>
          </w:p>
          <w:p w14:paraId="7FE1BA50" w14:textId="77777777" w:rsidR="00FE5D64" w:rsidRDefault="00FE5D64">
            <w:pPr>
              <w:pStyle w:val="TableParagraph"/>
              <w:spacing w:before="108"/>
              <w:jc w:val="both"/>
              <w:rPr>
                <w:rFonts w:ascii="Times New Roman" w:hAnsi="Times New Roman" w:cs="Times New Roman"/>
                <w:b/>
                <w:bCs/>
                <w:color w:val="000000" w:themeColor="text1"/>
                <w:sz w:val="20"/>
                <w:szCs w:val="20"/>
              </w:rPr>
            </w:pPr>
          </w:p>
        </w:tc>
      </w:tr>
      <w:tr w:rsidR="00FE5D64"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FE5D64" w:rsidRDefault="00E40776">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56E61F65" w:rsidR="00FE5D64" w:rsidRDefault="00D31A73">
            <w:pPr>
              <w:pStyle w:val="P68B1DB1-TableParagraph14"/>
              <w:spacing w:before="108"/>
              <w:ind w:left="85"/>
              <w:jc w:val="both"/>
              <w:rPr>
                <w:bCs/>
              </w:rPr>
            </w:pPr>
            <w:r>
              <w:rPr>
                <w:lang w:val="bg-BG"/>
              </w:rPr>
              <w:t>Значимост</w:t>
            </w:r>
            <w:r w:rsidR="004E5C2A">
              <w:t xml:space="preserve"> </w:t>
            </w:r>
            <w:r w:rsidR="00E40776">
              <w:t xml:space="preserve">— </w:t>
            </w:r>
          </w:p>
          <w:p w14:paraId="7FE1BA54" w14:textId="5FF0657A" w:rsidR="00FE5D64" w:rsidRPr="00D31A73" w:rsidRDefault="00E40776">
            <w:pPr>
              <w:pStyle w:val="P68B1DB1-TableParagraph33"/>
              <w:spacing w:before="108"/>
              <w:ind w:left="85"/>
              <w:jc w:val="both"/>
              <w:rPr>
                <w:lang w:val="bg-BG"/>
              </w:rPr>
            </w:pPr>
            <w:r>
              <w:t>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w:t>
            </w:r>
            <w:r w:rsidR="004E5C2A" w:rsidRPr="00D31A73">
              <w:rPr>
                <w:lang w:val="bg-BG"/>
              </w:rPr>
              <w:t xml:space="preserve"> </w:t>
            </w:r>
            <w:r>
              <w:t>сложността и трансграничните дейности;</w:t>
            </w:r>
          </w:p>
          <w:p w14:paraId="7FE1BA55" w14:textId="77777777" w:rsidR="00FE5D64" w:rsidRDefault="00E40776">
            <w:pPr>
              <w:pStyle w:val="P68B1DB1-TableParagraph14"/>
              <w:spacing w:before="108"/>
              <w:ind w:left="85"/>
              <w:jc w:val="both"/>
              <w:rPr>
                <w:bCs/>
              </w:rPr>
            </w:pPr>
            <w:r>
              <w:t>Пазарен дял</w:t>
            </w:r>
          </w:p>
          <w:p w14:paraId="7FE1BA56" w14:textId="194BCF37" w:rsidR="00FE5D64" w:rsidRDefault="00591C4E">
            <w:pPr>
              <w:pStyle w:val="P68B1DB1-Normal31"/>
              <w:spacing w:line="276" w:lineRule="auto"/>
              <w:jc w:val="both"/>
            </w:pPr>
            <w:r>
              <w:rPr>
                <w:lang w:val="bg-BG"/>
              </w:rPr>
              <w:t xml:space="preserve">Оценява се значимостта на </w:t>
            </w:r>
            <w:r w:rsidR="00E40776">
              <w:t xml:space="preserve">пазарния дял на отчитащия се субект в сравнение с националния или друг съответен пазар, както е посочено в образеца. Тази оценка </w:t>
            </w:r>
            <w:r w:rsidR="004E5C2A">
              <w:rPr>
                <w:lang w:val="bg-BG"/>
              </w:rPr>
              <w:t>се изразява</w:t>
            </w:r>
            <w:r w:rsidR="00E40776">
              <w:t xml:space="preserve"> качествено по следния начин: </w:t>
            </w:r>
          </w:p>
          <w:p w14:paraId="7FE1BA57" w14:textId="0C59231C" w:rsidR="00FE5D64" w:rsidRDefault="00E40776">
            <w:pPr>
              <w:pStyle w:val="P68B1DB1-ListParagraph32"/>
              <w:numPr>
                <w:ilvl w:val="0"/>
                <w:numId w:val="276"/>
              </w:numPr>
              <w:spacing w:line="276" w:lineRule="auto"/>
              <w:jc w:val="both"/>
            </w:pPr>
            <w:r>
              <w:t xml:space="preserve">Висок, ако пазарният дял е </w:t>
            </w:r>
            <w:r w:rsidR="004E5C2A">
              <w:rPr>
                <w:lang w:val="bg-BG"/>
              </w:rPr>
              <w:t>значителен</w:t>
            </w:r>
          </w:p>
          <w:p w14:paraId="7FE1BA58" w14:textId="52A4B081" w:rsidR="00FE5D64" w:rsidRDefault="00E40776">
            <w:pPr>
              <w:pStyle w:val="P68B1DB1-ListParagraph32"/>
              <w:numPr>
                <w:ilvl w:val="0"/>
                <w:numId w:val="276"/>
              </w:numPr>
              <w:spacing w:line="276" w:lineRule="auto"/>
              <w:jc w:val="both"/>
            </w:pPr>
            <w:r>
              <w:t>Средновисок, ако пазарният дял е среден</w:t>
            </w:r>
          </w:p>
          <w:p w14:paraId="7FE1BA59" w14:textId="13141BB5" w:rsidR="00FE5D64" w:rsidRDefault="00591C4E">
            <w:pPr>
              <w:pStyle w:val="P68B1DB1-ListParagraph32"/>
              <w:numPr>
                <w:ilvl w:val="0"/>
                <w:numId w:val="276"/>
              </w:numPr>
              <w:spacing w:line="276" w:lineRule="auto"/>
              <w:jc w:val="both"/>
            </w:pPr>
            <w:r>
              <w:t>Средно</w:t>
            </w:r>
            <w:r w:rsidR="00E40776">
              <w:t xml:space="preserve">нисък, ако пазарният дял е малък или </w:t>
            </w:r>
          </w:p>
          <w:p w14:paraId="7FE1BA5A" w14:textId="3DD284B5" w:rsidR="00FE5D64" w:rsidRDefault="00E40776">
            <w:pPr>
              <w:pStyle w:val="P68B1DB1-ListParagraph32"/>
              <w:numPr>
                <w:ilvl w:val="0"/>
                <w:numId w:val="276"/>
              </w:numPr>
              <w:spacing w:line="276" w:lineRule="auto"/>
              <w:jc w:val="both"/>
            </w:pPr>
            <w:r>
              <w:t xml:space="preserve">Нисък, ако пазарният дял е незначителен. </w:t>
            </w:r>
          </w:p>
          <w:p w14:paraId="59DCB62B" w14:textId="0FE61D64" w:rsidR="00FE5D64" w:rsidRDefault="00E40776">
            <w:pPr>
              <w:pStyle w:val="P68B1DB1-Normal31"/>
              <w:spacing w:line="276" w:lineRule="auto"/>
              <w:jc w:val="both"/>
            </w:pPr>
            <w:r>
              <w:t>При тази оценка се взема предвид пазарната структура на държавата на отчитащ</w:t>
            </w:r>
            <w:r w:rsidR="00591C4E">
              <w:rPr>
                <w:lang w:val="bg-BG"/>
              </w:rPr>
              <w:t>ия</w:t>
            </w:r>
            <w:r>
              <w:t xml:space="preserve"> се </w:t>
            </w:r>
            <w:r w:rsidR="00591C4E">
              <w:rPr>
                <w:lang w:val="bg-BG"/>
              </w:rPr>
              <w:t>субект</w:t>
            </w:r>
            <w:r w:rsidR="00591C4E">
              <w:t xml:space="preserve"> </w:t>
            </w:r>
            <w:r>
              <w:t xml:space="preserve">(или друг съответен пазар) и пазарните дялове, отчетени </w:t>
            </w:r>
            <w:r w:rsidR="00112CCD">
              <w:rPr>
                <w:lang w:val="bg-BG"/>
              </w:rPr>
              <w:t xml:space="preserve">в част </w:t>
            </w:r>
            <w:r>
              <w:t>2.</w:t>
            </w:r>
            <w:r w:rsidR="005867A4">
              <w:rPr>
                <w:lang w:val="bg-BG"/>
              </w:rPr>
              <w:t xml:space="preserve"> </w:t>
            </w:r>
            <w:r>
              <w:t>Количествени данни:</w:t>
            </w:r>
          </w:p>
          <w:p w14:paraId="7FE1BA5E" w14:textId="139D3940" w:rsidR="00FE5D64" w:rsidRPr="00591C4E" w:rsidRDefault="00E40776" w:rsidP="003220B9">
            <w:pPr>
              <w:pStyle w:val="P68B1DB1-ListParagraph32"/>
              <w:numPr>
                <w:ilvl w:val="0"/>
                <w:numId w:val="117"/>
              </w:numPr>
              <w:spacing w:line="276" w:lineRule="auto"/>
              <w:jc w:val="both"/>
            </w:pPr>
            <w:r>
              <w:t xml:space="preserve">Експертна оценка на размера на </w:t>
            </w:r>
            <w:r w:rsidRPr="00F01047">
              <w:rPr>
                <w:b/>
              </w:rPr>
              <w:t xml:space="preserve">националния </w:t>
            </w:r>
            <w:r>
              <w:t>пазарен дял (</w:t>
            </w:r>
            <w:r w:rsidR="00112CCD" w:rsidRPr="00F01047">
              <w:rPr>
                <w:lang w:val="bg-BG"/>
              </w:rPr>
              <w:t>отчетена</w:t>
            </w:r>
            <w:r w:rsidR="00112CCD">
              <w:t xml:space="preserve"> </w:t>
            </w:r>
            <w:r>
              <w:t xml:space="preserve">в c0020, освен в случаите, когато </w:t>
            </w:r>
            <w:r w:rsidR="00112CCD" w:rsidRPr="00F01047">
              <w:rPr>
                <w:lang w:val="bg-BG"/>
              </w:rPr>
              <w:t>отчетът</w:t>
            </w:r>
            <w:r w:rsidR="00112CCD">
              <w:t xml:space="preserve"> </w:t>
            </w:r>
            <w:r>
              <w:t>е предоставен за различно съответно пазарно равнище, в който случай се очаква оценка на съответния пазарен дял).</w:t>
            </w:r>
          </w:p>
          <w:p w14:paraId="7FE1BA5F" w14:textId="77777777" w:rsidR="00FE5D64" w:rsidRDefault="00FE5D64">
            <w:pPr>
              <w:pStyle w:val="TableParagraph"/>
              <w:spacing w:before="108"/>
              <w:ind w:left="85"/>
              <w:jc w:val="both"/>
              <w:rPr>
                <w:rFonts w:ascii="Times New Roman" w:hAnsi="Times New Roman" w:cs="Times New Roman"/>
                <w:b/>
                <w:bCs/>
                <w:color w:val="000000" w:themeColor="text1"/>
                <w:sz w:val="20"/>
                <w:szCs w:val="20"/>
              </w:rPr>
            </w:pPr>
          </w:p>
        </w:tc>
      </w:tr>
      <w:tr w:rsidR="00FE5D64"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FE5D64" w:rsidRDefault="00E40776">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FE5D64" w:rsidRDefault="00E40776">
            <w:pPr>
              <w:pStyle w:val="P68B1DB1-TableParagraph14"/>
              <w:spacing w:before="108"/>
              <w:ind w:left="85"/>
              <w:jc w:val="both"/>
              <w:rPr>
                <w:bCs/>
              </w:rPr>
            </w:pPr>
            <w:r>
              <w:t>Пазарна структура — концентрация на пазара</w:t>
            </w:r>
          </w:p>
          <w:p w14:paraId="7FE1BA66" w14:textId="5398A15C" w:rsidR="00FE5D64" w:rsidRDefault="00E40776">
            <w:pPr>
              <w:pStyle w:val="P68B1DB1-Normal31"/>
              <w:jc w:val="both"/>
            </w:pPr>
            <w:r>
              <w:t xml:space="preserve">Концентрацията на пазара, измерена </w:t>
            </w:r>
            <w:r w:rsidR="00F01047">
              <w:rPr>
                <w:lang w:val="bg-BG"/>
              </w:rPr>
              <w:t>според</w:t>
            </w:r>
            <w:r w:rsidR="00F01047">
              <w:t xml:space="preserve"> </w:t>
            </w:r>
            <w:r>
              <w:t xml:space="preserve">броя на конкурентите, които понастоящем </w:t>
            </w:r>
            <w:r w:rsidR="00F01047">
              <w:rPr>
                <w:lang w:val="bg-BG"/>
              </w:rPr>
              <w:t>изпълняват</w:t>
            </w:r>
            <w:r w:rsidR="00F01047">
              <w:t xml:space="preserve"> </w:t>
            </w:r>
            <w:r>
              <w:t>сходни икономически функции и/или предлага</w:t>
            </w:r>
            <w:r w:rsidR="00F01047">
              <w:rPr>
                <w:lang w:val="bg-BG"/>
              </w:rPr>
              <w:t>т</w:t>
            </w:r>
            <w:r>
              <w:t xml:space="preserve"> сходни услуги при равни условия (т.е.</w:t>
            </w:r>
            <w:r w:rsidR="00E65FF1">
              <w:rPr>
                <w:lang w:val="bg-BG"/>
              </w:rPr>
              <w:t xml:space="preserve"> </w:t>
            </w:r>
            <w:r w:rsidR="00F01047">
              <w:rPr>
                <w:lang w:val="bg-BG"/>
              </w:rPr>
              <w:t xml:space="preserve">в </w:t>
            </w:r>
            <w:r>
              <w:t xml:space="preserve">съпоставима степен и качество и на сравнима цена), които потенциално </w:t>
            </w:r>
            <w:r w:rsidR="00F01047">
              <w:rPr>
                <w:lang w:val="bg-BG"/>
              </w:rPr>
              <w:t>могат да</w:t>
            </w:r>
            <w:r w:rsidR="00F01047">
              <w:t xml:space="preserve"> </w:t>
            </w:r>
            <w:r>
              <w:t>поемат (част от) клиентите и/или дейност</w:t>
            </w:r>
            <w:r w:rsidR="00F01047">
              <w:rPr>
                <w:lang w:val="bg-BG"/>
              </w:rPr>
              <w:t>та</w:t>
            </w:r>
            <w:r>
              <w:t xml:space="preserve"> на отчитащ</w:t>
            </w:r>
            <w:r w:rsidR="00E65FF1">
              <w:rPr>
                <w:lang w:val="bg-BG"/>
              </w:rPr>
              <w:t>ия</w:t>
            </w:r>
            <w:r>
              <w:t xml:space="preserve"> се </w:t>
            </w:r>
            <w:r w:rsidR="00E65FF1">
              <w:rPr>
                <w:lang w:val="bg-BG"/>
              </w:rPr>
              <w:t>субект</w:t>
            </w:r>
            <w:r w:rsidR="00E65FF1">
              <w:t xml:space="preserve"> </w:t>
            </w:r>
            <w:r>
              <w:t xml:space="preserve">в разумен срок. </w:t>
            </w:r>
          </w:p>
          <w:p w14:paraId="7FE1BA67" w14:textId="59D46E8F" w:rsidR="00FE5D64" w:rsidRDefault="00F01047">
            <w:pPr>
              <w:pStyle w:val="P68B1DB1-Normal31"/>
              <w:jc w:val="both"/>
            </w:pPr>
            <w:r>
              <w:rPr>
                <w:lang w:val="bg-BG"/>
              </w:rPr>
              <w:t>Концентрацията на пазара</w:t>
            </w:r>
            <w:r>
              <w:t xml:space="preserve"> </w:t>
            </w:r>
            <w:r w:rsidR="00E40776">
              <w:t xml:space="preserve">се отчита в </w:t>
            </w:r>
            <w:r>
              <w:rPr>
                <w:lang w:val="bg-BG"/>
              </w:rPr>
              <w:t>категории</w:t>
            </w:r>
            <w:r w:rsidR="00E40776">
              <w:t xml:space="preserve">, които са еднакви за всяка подфункция. </w:t>
            </w:r>
          </w:p>
          <w:p w14:paraId="7FE1BA68" w14:textId="45A25D1C" w:rsidR="00FE5D64" w:rsidRDefault="00E40776">
            <w:pPr>
              <w:pStyle w:val="P68B1DB1-ListParagraph32"/>
              <w:numPr>
                <w:ilvl w:val="0"/>
                <w:numId w:val="277"/>
              </w:numPr>
              <w:jc w:val="both"/>
            </w:pPr>
            <w:bookmarkStart w:id="123" w:name="_Hlk194417513"/>
            <w:r>
              <w:t>&gt; 20 конкурент</w:t>
            </w:r>
            <w:r w:rsidR="00E65FF1">
              <w:rPr>
                <w:lang w:val="bg-BG"/>
              </w:rPr>
              <w:t>а</w:t>
            </w:r>
            <w:r>
              <w:t xml:space="preserve">; </w:t>
            </w:r>
          </w:p>
          <w:p w14:paraId="7FE1BA69" w14:textId="648418C5" w:rsidR="00FE5D64" w:rsidRDefault="009F5AEF">
            <w:pPr>
              <w:pStyle w:val="P68B1DB1-ListParagraph32"/>
              <w:numPr>
                <w:ilvl w:val="0"/>
                <w:numId w:val="277"/>
              </w:numPr>
              <w:jc w:val="both"/>
            </w:pPr>
            <w:r>
              <w:rPr>
                <w:lang w:val="bg-BG"/>
              </w:rPr>
              <w:t xml:space="preserve">От </w:t>
            </w:r>
            <w:r w:rsidR="00E40776">
              <w:t>11</w:t>
            </w:r>
            <w:r>
              <w:rPr>
                <w:lang w:val="bg-BG"/>
              </w:rPr>
              <w:t xml:space="preserve"> до </w:t>
            </w:r>
            <w:r w:rsidR="00E40776">
              <w:t>20 конкурент</w:t>
            </w:r>
            <w:r w:rsidR="00E65FF1">
              <w:rPr>
                <w:lang w:val="bg-BG"/>
              </w:rPr>
              <w:t>а</w:t>
            </w:r>
            <w:r w:rsidR="00E40776">
              <w:t xml:space="preserve">; </w:t>
            </w:r>
          </w:p>
          <w:p w14:paraId="7FE1BA6A" w14:textId="2184BA51" w:rsidR="00FE5D64" w:rsidRDefault="00E40776">
            <w:pPr>
              <w:pStyle w:val="P68B1DB1-ListParagraph32"/>
              <w:numPr>
                <w:ilvl w:val="0"/>
                <w:numId w:val="277"/>
              </w:numPr>
              <w:jc w:val="both"/>
            </w:pPr>
            <w:r>
              <w:t xml:space="preserve">От 5 до 10 </w:t>
            </w:r>
            <w:r w:rsidR="00E65FF1">
              <w:rPr>
                <w:lang w:val="bg-BG"/>
              </w:rPr>
              <w:t>конкурента;</w:t>
            </w:r>
            <w:r>
              <w:t xml:space="preserve"> </w:t>
            </w:r>
          </w:p>
          <w:p w14:paraId="7FE1BA6B" w14:textId="6884DDDB" w:rsidR="00FE5D64" w:rsidRDefault="009F5AEF">
            <w:pPr>
              <w:pStyle w:val="P68B1DB1-ListParagraph32"/>
              <w:numPr>
                <w:ilvl w:val="0"/>
                <w:numId w:val="277"/>
              </w:numPr>
              <w:jc w:val="both"/>
              <w:rPr>
                <w:b/>
                <w:bCs/>
                <w:color w:val="000000" w:themeColor="text1"/>
              </w:rPr>
            </w:pPr>
            <w:r>
              <w:rPr>
                <w:lang w:val="bg-BG"/>
              </w:rPr>
              <w:t xml:space="preserve">&lt; </w:t>
            </w:r>
            <w:r w:rsidR="00E40776">
              <w:t>5</w:t>
            </w:r>
            <w:bookmarkEnd w:id="123"/>
            <w:r w:rsidR="00E40776">
              <w:t xml:space="preserve"> конкурент</w:t>
            </w:r>
            <w:r w:rsidR="00E65FF1">
              <w:rPr>
                <w:lang w:val="bg-BG"/>
              </w:rPr>
              <w:t>а</w:t>
            </w:r>
            <w:r w:rsidR="00DE2F45">
              <w:rPr>
                <w:lang w:val="bg-BG"/>
              </w:rPr>
              <w:t>.</w:t>
            </w:r>
          </w:p>
          <w:p w14:paraId="7FE1BA6C" w14:textId="14038CE4" w:rsidR="00FE5D64" w:rsidRDefault="00E40776" w:rsidP="00F01047">
            <w:pPr>
              <w:pStyle w:val="P68B1DB1-Normal34"/>
              <w:ind w:left="360"/>
              <w:jc w:val="both"/>
              <w:rPr>
                <w:i/>
                <w:iCs/>
              </w:rPr>
            </w:pPr>
            <w:r>
              <w:t xml:space="preserve">Експертна оценка на размера на </w:t>
            </w:r>
            <w:r>
              <w:rPr>
                <w:b/>
              </w:rPr>
              <w:t xml:space="preserve">националния </w:t>
            </w:r>
            <w:r>
              <w:t>пазарен дял (</w:t>
            </w:r>
            <w:r w:rsidR="009F5AEF">
              <w:rPr>
                <w:lang w:val="bg-BG"/>
              </w:rPr>
              <w:t>отчетен</w:t>
            </w:r>
            <w:r w:rsidR="009F5AEF">
              <w:t xml:space="preserve"> </w:t>
            </w:r>
            <w:r>
              <w:t xml:space="preserve">в c0020, освен в случаите, когато </w:t>
            </w:r>
            <w:r w:rsidR="009F5AEF">
              <w:rPr>
                <w:lang w:val="bg-BG"/>
              </w:rPr>
              <w:t>отчетът</w:t>
            </w:r>
            <w:r w:rsidR="009F5AEF">
              <w:t xml:space="preserve"> </w:t>
            </w:r>
            <w:r>
              <w:t xml:space="preserve">е предоставен за различно съответно пазарно </w:t>
            </w:r>
            <w:r w:rsidR="009F5AEF">
              <w:rPr>
                <w:lang w:val="bg-BG"/>
              </w:rPr>
              <w:t>ниво</w:t>
            </w:r>
            <w:r>
              <w:t>, в който случай се очаква оценка на съответния пазарен дял).</w:t>
            </w:r>
          </w:p>
          <w:p w14:paraId="7FE1BA6D" w14:textId="77777777" w:rsidR="00FE5D64" w:rsidRDefault="00FE5D64">
            <w:pPr>
              <w:jc w:val="both"/>
              <w:rPr>
                <w:rFonts w:ascii="Times New Roman" w:hAnsi="Times New Roman"/>
                <w:b/>
                <w:bCs/>
                <w:color w:val="000000" w:themeColor="text1"/>
                <w:sz w:val="20"/>
                <w:szCs w:val="20"/>
              </w:rPr>
            </w:pPr>
          </w:p>
        </w:tc>
      </w:tr>
      <w:tr w:rsidR="00FE5D64"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FE5D64" w:rsidRDefault="00E40776">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39FB8B37" w:rsidR="00FE5D64" w:rsidRPr="00AB72D1" w:rsidRDefault="00E65FF1">
            <w:pPr>
              <w:pStyle w:val="P68B1DB1-TableParagraph14"/>
              <w:spacing w:before="108"/>
              <w:ind w:left="85"/>
              <w:jc w:val="both"/>
              <w:rPr>
                <w:bCs/>
                <w:lang w:val="bg-BG"/>
              </w:rPr>
            </w:pPr>
            <w:r>
              <w:rPr>
                <w:lang w:val="bg-BG"/>
              </w:rPr>
              <w:t>Времева рамка</w:t>
            </w:r>
            <w:r>
              <w:t xml:space="preserve"> </w:t>
            </w:r>
            <w:r w:rsidR="00E40776">
              <w:t xml:space="preserve">— очаквано време за </w:t>
            </w:r>
            <w:r w:rsidR="00AB72D1">
              <w:rPr>
                <w:lang w:val="bg-BG"/>
              </w:rPr>
              <w:t>заменяемост</w:t>
            </w:r>
          </w:p>
          <w:p w14:paraId="7FE1BA72" w14:textId="34BFE6D1" w:rsidR="00FE5D64" w:rsidRDefault="00AB72D1">
            <w:pPr>
              <w:pStyle w:val="P68B1DB1-Normal31"/>
              <w:jc w:val="both"/>
            </w:pPr>
            <w:r>
              <w:rPr>
                <w:lang w:val="bg-BG"/>
              </w:rPr>
              <w:t>Оценява се необходимото</w:t>
            </w:r>
            <w:r w:rsidR="00DC4CDF">
              <w:rPr>
                <w:lang w:val="bg-BG"/>
              </w:rPr>
              <w:t xml:space="preserve"> време</w:t>
            </w:r>
            <w:r w:rsidR="00E40776">
              <w:t>, за</w:t>
            </w:r>
            <w:r>
              <w:rPr>
                <w:lang w:val="bg-BG"/>
              </w:rPr>
              <w:t xml:space="preserve"> което</w:t>
            </w:r>
            <w:r w:rsidR="00E40776">
              <w:t xml:space="preserve"> икономическата функция, предоставена от </w:t>
            </w:r>
            <w:r>
              <w:rPr>
                <w:lang w:val="bg-BG"/>
              </w:rPr>
              <w:t xml:space="preserve">отчитащия се </w:t>
            </w:r>
            <w:r w:rsidR="00E40776">
              <w:t xml:space="preserve">субект, </w:t>
            </w:r>
            <w:r>
              <w:rPr>
                <w:lang w:val="bg-BG"/>
              </w:rPr>
              <w:t xml:space="preserve">може </w:t>
            </w:r>
            <w:r w:rsidR="00E40776">
              <w:t>да бъде поет</w:t>
            </w:r>
            <w:r w:rsidR="009F5AEF">
              <w:rPr>
                <w:lang w:val="bg-BG"/>
              </w:rPr>
              <w:t>а</w:t>
            </w:r>
            <w:r w:rsidR="00E40776">
              <w:t xml:space="preserve"> от пазара в кризисна ситуация. Това включва:</w:t>
            </w:r>
          </w:p>
          <w:p w14:paraId="7FE1BA73" w14:textId="3AB81E60" w:rsidR="00FE5D64" w:rsidRDefault="00E40776">
            <w:pPr>
              <w:pStyle w:val="P68B1DB1-ListParagraph32"/>
              <w:numPr>
                <w:ilvl w:val="0"/>
                <w:numId w:val="274"/>
              </w:numPr>
              <w:jc w:val="both"/>
            </w:pPr>
            <w:r>
              <w:t>очакваното време, необходимо на един или няколко конкурента (и) за изпълнение на правните и техническите стъпки за поемане на функцията; както и</w:t>
            </w:r>
          </w:p>
          <w:p w14:paraId="7FE1BA74" w14:textId="68462830" w:rsidR="00FE5D64" w:rsidRDefault="00E40776">
            <w:pPr>
              <w:pStyle w:val="P68B1DB1-ListParagraph32"/>
              <w:numPr>
                <w:ilvl w:val="0"/>
                <w:numId w:val="274"/>
              </w:numPr>
              <w:jc w:val="both"/>
            </w:pPr>
            <w:r>
              <w:t xml:space="preserve">времето, необходимо на ползвателите на услугата </w:t>
            </w:r>
            <w:r w:rsidR="009F5AEF" w:rsidRPr="00AB72D1">
              <w:rPr>
                <w:lang w:val="bg-BG"/>
              </w:rPr>
              <w:t xml:space="preserve">да </w:t>
            </w:r>
            <w:r w:rsidR="009F5AEF">
              <w:rPr>
                <w:lang w:val="bg-BG"/>
              </w:rPr>
              <w:t>преминат към</w:t>
            </w:r>
            <w:r>
              <w:t xml:space="preserve"> друг доставчик на услуги.</w:t>
            </w:r>
          </w:p>
          <w:p w14:paraId="7FE1BA75" w14:textId="77777777" w:rsidR="00FE5D64" w:rsidRDefault="00FE5D64">
            <w:pPr>
              <w:jc w:val="both"/>
              <w:rPr>
                <w:rFonts w:ascii="Times New Roman" w:eastAsia="Times New Roman" w:hAnsi="Times New Roman" w:cs="Times New Roman"/>
                <w:sz w:val="20"/>
                <w:szCs w:val="20"/>
              </w:rPr>
            </w:pPr>
          </w:p>
          <w:p w14:paraId="7FE1BA76" w14:textId="5635E8D5" w:rsidR="00FE5D64" w:rsidRDefault="00AB72D1">
            <w:pPr>
              <w:pStyle w:val="P68B1DB1-Normal31"/>
              <w:jc w:val="both"/>
            </w:pPr>
            <w:r>
              <w:rPr>
                <w:lang w:val="bg-BG"/>
              </w:rPr>
              <w:t>По отношение на</w:t>
            </w:r>
            <w:r w:rsidR="00E40776">
              <w:t xml:space="preserve"> депозитите, </w:t>
            </w:r>
            <w:r w:rsidR="009F5AEF">
              <w:rPr>
                <w:lang w:val="bg-BG"/>
              </w:rPr>
              <w:t>това</w:t>
            </w:r>
            <w:r w:rsidR="009F5AEF" w:rsidRPr="00AB72D1">
              <w:rPr>
                <w:lang w:val="bg-BG"/>
              </w:rPr>
              <w:t xml:space="preserve"> се </w:t>
            </w:r>
            <w:r w:rsidR="00E40776">
              <w:t xml:space="preserve">отнася </w:t>
            </w:r>
            <w:r>
              <w:rPr>
                <w:lang w:val="bg-BG"/>
              </w:rPr>
              <w:t>предимно</w:t>
            </w:r>
            <w:r>
              <w:t xml:space="preserve"> </w:t>
            </w:r>
            <w:r w:rsidR="00E40776">
              <w:t xml:space="preserve">до финансовия, оперативния и техническия капацитет на алтернативните доставчици да </w:t>
            </w:r>
            <w:r>
              <w:rPr>
                <w:lang w:val="bg-BG"/>
              </w:rPr>
              <w:t>предоставят</w:t>
            </w:r>
            <w:r>
              <w:t xml:space="preserve"> </w:t>
            </w:r>
            <w:r w:rsidR="00E40776">
              <w:t xml:space="preserve">услуги по приемане на депозити на клиентите на отчитащата се банка, а не до прехвърлянето на депозитите </w:t>
            </w:r>
            <w:r w:rsidR="00AF79EB">
              <w:rPr>
                <w:lang w:val="bg-BG"/>
              </w:rPr>
              <w:t>към</w:t>
            </w:r>
            <w:r w:rsidR="00AF79EB">
              <w:t xml:space="preserve"> </w:t>
            </w:r>
            <w:r w:rsidR="00E40776">
              <w:t>друг доставчик вследствие на действие на орган или получаването на компенсация от СГД.</w:t>
            </w:r>
          </w:p>
          <w:p w14:paraId="7FE1BA77" w14:textId="77777777" w:rsidR="00FE5D64" w:rsidRDefault="00FE5D64">
            <w:pPr>
              <w:jc w:val="both"/>
              <w:rPr>
                <w:rFonts w:ascii="Times New Roman" w:eastAsia="Times New Roman" w:hAnsi="Times New Roman" w:cs="Times New Roman"/>
                <w:sz w:val="20"/>
                <w:szCs w:val="20"/>
              </w:rPr>
            </w:pPr>
          </w:p>
          <w:p w14:paraId="7FE1BA78" w14:textId="0A56F898" w:rsidR="00FE5D64" w:rsidRDefault="00E40776">
            <w:pPr>
              <w:pStyle w:val="P68B1DB1-Normal31"/>
              <w:jc w:val="both"/>
            </w:pPr>
            <w:r>
              <w:t>Като</w:t>
            </w:r>
            <w:r w:rsidR="00FD54B4">
              <w:rPr>
                <w:lang w:val="bg-BG"/>
              </w:rPr>
              <w:t xml:space="preserve"> ориентир за горното</w:t>
            </w:r>
            <w:r>
              <w:t xml:space="preserve">, </w:t>
            </w:r>
            <w:r w:rsidR="00D32DEF">
              <w:rPr>
                <w:lang w:val="bg-BG"/>
              </w:rPr>
              <w:t>посочва</w:t>
            </w:r>
            <w:r w:rsidR="00FD54B4">
              <w:rPr>
                <w:lang w:val="bg-BG"/>
              </w:rPr>
              <w:t xml:space="preserve"> се</w:t>
            </w:r>
            <w:r w:rsidR="00D32DEF">
              <w:t xml:space="preserve"> </w:t>
            </w:r>
            <w:r>
              <w:t xml:space="preserve">приблизителна оценка на времето, необходимо на отчитащия се субект да поеме в собствената си стопанска дейност (част от) услугата, предоставяна от друга институция, на разумна цена в кризисна ситуация. </w:t>
            </w:r>
            <w:r w:rsidR="00D32DEF">
              <w:rPr>
                <w:lang w:val="bg-BG"/>
              </w:rPr>
              <w:t>Посочва се</w:t>
            </w:r>
            <w:r w:rsidR="00AF79EB">
              <w:t xml:space="preserve"> </w:t>
            </w:r>
            <w:r>
              <w:t xml:space="preserve">очакваното време за </w:t>
            </w:r>
            <w:r w:rsidR="0001187F">
              <w:rPr>
                <w:lang w:val="bg-BG"/>
              </w:rPr>
              <w:t>заменяемост</w:t>
            </w:r>
            <w:r w:rsidR="0001187F">
              <w:t xml:space="preserve"> </w:t>
            </w:r>
            <w:r>
              <w:t xml:space="preserve">в </w:t>
            </w:r>
            <w:r w:rsidR="00AC6333">
              <w:rPr>
                <w:lang w:val="bg-BG"/>
              </w:rPr>
              <w:t>категориите</w:t>
            </w:r>
            <w:r>
              <w:t xml:space="preserve">, </w:t>
            </w:r>
            <w:r w:rsidR="00AF79EB">
              <w:rPr>
                <w:lang w:val="bg-BG"/>
              </w:rPr>
              <w:t>предвидени</w:t>
            </w:r>
            <w:r w:rsidR="00AF79EB">
              <w:t xml:space="preserve"> </w:t>
            </w:r>
            <w:r>
              <w:t>в образеца:</w:t>
            </w:r>
          </w:p>
          <w:p w14:paraId="4F871ED3" w14:textId="0F606045" w:rsidR="009F5AEF" w:rsidRDefault="009F5AEF">
            <w:pPr>
              <w:jc w:val="both"/>
              <w:rPr>
                <w:rFonts w:ascii="Times New Roman" w:hAnsi="Times New Roman" w:cs="Times New Roman"/>
                <w:color w:val="000000" w:themeColor="text1"/>
                <w:sz w:val="20"/>
                <w:szCs w:val="20"/>
              </w:rPr>
            </w:pPr>
          </w:p>
          <w:p w14:paraId="7FE1BA7A" w14:textId="458BA3C7" w:rsidR="00FE5D64" w:rsidRDefault="0001187F">
            <w:pPr>
              <w:pStyle w:val="P68B1DB1-Normal31"/>
              <w:jc w:val="both"/>
            </w:pPr>
            <w:bookmarkStart w:id="124" w:name="_Hlk194476514"/>
            <w:r>
              <w:rPr>
                <w:lang w:val="bg-BG"/>
              </w:rPr>
              <w:t>Категории</w:t>
            </w:r>
            <w:r w:rsidR="00E40776">
              <w:t>:</w:t>
            </w:r>
          </w:p>
          <w:p w14:paraId="7FE1BA7B" w14:textId="1916EADA" w:rsidR="00FE5D64" w:rsidRDefault="0001187F">
            <w:pPr>
              <w:pStyle w:val="P68B1DB1-ListParagraph32"/>
              <w:numPr>
                <w:ilvl w:val="0"/>
                <w:numId w:val="280"/>
              </w:numPr>
              <w:jc w:val="both"/>
            </w:pPr>
            <w:r>
              <w:rPr>
                <w:lang w:val="en-US"/>
              </w:rPr>
              <w:t xml:space="preserve">&lt; </w:t>
            </w:r>
            <w:r w:rsidR="00E40776">
              <w:t>1 седмица;</w:t>
            </w:r>
          </w:p>
          <w:p w14:paraId="7FE1BA7C" w14:textId="0641ED46" w:rsidR="00FE5D64" w:rsidRDefault="00E40776">
            <w:pPr>
              <w:pStyle w:val="P68B1DB1-ListParagraph32"/>
              <w:numPr>
                <w:ilvl w:val="0"/>
                <w:numId w:val="280"/>
              </w:numPr>
              <w:jc w:val="both"/>
            </w:pPr>
            <w:r>
              <w:t>1 седмица — 1 месец;</w:t>
            </w:r>
          </w:p>
          <w:p w14:paraId="7FE1BA7D" w14:textId="6D2F974E" w:rsidR="00FE5D64" w:rsidRDefault="00E40776">
            <w:pPr>
              <w:pStyle w:val="P68B1DB1-ListParagraph32"/>
              <w:numPr>
                <w:ilvl w:val="0"/>
                <w:numId w:val="280"/>
              </w:numPr>
              <w:jc w:val="both"/>
            </w:pPr>
            <w:r>
              <w:t>&gt; 1 месец — 6 месеца</w:t>
            </w:r>
            <w:r w:rsidR="00232661">
              <w:rPr>
                <w:lang w:val="bg-BG"/>
              </w:rPr>
              <w:t>;</w:t>
            </w:r>
          </w:p>
          <w:p w14:paraId="7FE1BA7E" w14:textId="5E58F1F4" w:rsidR="00FE5D64" w:rsidRDefault="00E40776">
            <w:pPr>
              <w:pStyle w:val="P68B1DB1-ListParagraph32"/>
              <w:numPr>
                <w:ilvl w:val="0"/>
                <w:numId w:val="280"/>
              </w:numPr>
              <w:jc w:val="both"/>
            </w:pPr>
            <w:r>
              <w:t>&gt; 6 месеца</w:t>
            </w:r>
            <w:r w:rsidR="00DE2F45">
              <w:rPr>
                <w:lang w:val="bg-BG"/>
              </w:rPr>
              <w:t>.</w:t>
            </w:r>
          </w:p>
          <w:bookmarkEnd w:id="124"/>
          <w:p w14:paraId="7FE1BA80" w14:textId="77777777" w:rsidR="00FE5D64" w:rsidRDefault="00FE5D64">
            <w:pPr>
              <w:jc w:val="both"/>
              <w:rPr>
                <w:rFonts w:ascii="Times New Roman" w:hAnsi="Times New Roman" w:cs="Times New Roman"/>
                <w:color w:val="000000" w:themeColor="text1"/>
                <w:sz w:val="20"/>
                <w:szCs w:val="20"/>
              </w:rPr>
            </w:pPr>
          </w:p>
        </w:tc>
      </w:tr>
      <w:tr w:rsidR="00FE5D64"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FE5D64" w:rsidRDefault="00E40776">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55CC8026" w:rsidR="00FE5D64" w:rsidRPr="0001187F" w:rsidRDefault="0001187F">
            <w:pPr>
              <w:pStyle w:val="P68B1DB1-TableParagraph14"/>
              <w:spacing w:before="108"/>
              <w:ind w:left="85"/>
              <w:jc w:val="both"/>
              <w:rPr>
                <w:lang w:val="bg-BG"/>
              </w:rPr>
            </w:pPr>
            <w:r>
              <w:rPr>
                <w:lang w:val="bg-BG"/>
              </w:rPr>
              <w:t>Възможност за з</w:t>
            </w:r>
            <w:r w:rsidR="00D61D32">
              <w:rPr>
                <w:lang w:val="bg-BG"/>
              </w:rPr>
              <w:t>аменяемост</w:t>
            </w:r>
          </w:p>
        </w:tc>
      </w:tr>
      <w:tr w:rsidR="00FE5D64"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FE5D64" w:rsidRDefault="00E40776">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FE5D64" w:rsidRDefault="00E40776">
            <w:pPr>
              <w:pStyle w:val="P68B1DB1-Normal35"/>
              <w:jc w:val="both"/>
              <w:rPr>
                <w:bCs/>
              </w:rPr>
            </w:pPr>
            <w:r>
              <w:t>Правни пречки за навлизане на пазара или разрастване</w:t>
            </w:r>
          </w:p>
          <w:p w14:paraId="7FE1BA87" w14:textId="77777777" w:rsidR="00FE5D64" w:rsidRDefault="00FE5D64">
            <w:pPr>
              <w:jc w:val="both"/>
              <w:rPr>
                <w:rFonts w:ascii="Times New Roman" w:eastAsia="Times New Roman" w:hAnsi="Times New Roman" w:cs="Times New Roman"/>
                <w:b/>
                <w:bCs/>
                <w:color w:val="000000" w:themeColor="text1"/>
                <w:sz w:val="20"/>
                <w:szCs w:val="20"/>
              </w:rPr>
            </w:pPr>
          </w:p>
          <w:p w14:paraId="7FE1BA88" w14:textId="0A9CFEB8" w:rsidR="00FE5D64" w:rsidRDefault="00E40776">
            <w:pPr>
              <w:pStyle w:val="P68B1DB1-Normal36"/>
              <w:jc w:val="both"/>
            </w:pPr>
            <w:r>
              <w:t xml:space="preserve">Правни пречки за конкурентите да предлагат услугата. Правните изисквания за извършване на дейността на кредитните институции (напр. банкови лицензи или капиталови изисквания) не следва да се </w:t>
            </w:r>
            <w:r w:rsidR="00C510E8">
              <w:rPr>
                <w:lang w:val="bg-BG"/>
              </w:rPr>
              <w:t>разглеждат като</w:t>
            </w:r>
            <w:r>
              <w:t xml:space="preserve"> непреодолими пречки при наличието на алтернативни доставчици. Този показател трябва да се отчита в </w:t>
            </w:r>
            <w:r w:rsidR="009B5B13">
              <w:rPr>
                <w:lang w:val="bg-BG"/>
              </w:rPr>
              <w:t>категории</w:t>
            </w:r>
            <w:r>
              <w:t>, които са еднакви за всяка подфункция:</w:t>
            </w:r>
          </w:p>
          <w:p w14:paraId="7FE1BA89" w14:textId="50C74843" w:rsidR="00FE5D64" w:rsidRDefault="00E40776">
            <w:pPr>
              <w:pStyle w:val="P68B1DB1-ListParagraph37"/>
              <w:numPr>
                <w:ilvl w:val="0"/>
                <w:numId w:val="275"/>
              </w:numPr>
              <w:jc w:val="both"/>
            </w:pPr>
            <w:r>
              <w:t>няма големи пречки,</w:t>
            </w:r>
          </w:p>
          <w:p w14:paraId="7FE1BA8A" w14:textId="082C11E1" w:rsidR="00FE5D64" w:rsidRDefault="00D61D32">
            <w:pPr>
              <w:pStyle w:val="P68B1DB1-ListParagraph37"/>
              <w:numPr>
                <w:ilvl w:val="0"/>
                <w:numId w:val="275"/>
              </w:numPr>
              <w:jc w:val="both"/>
            </w:pPr>
            <w:r>
              <w:rPr>
                <w:lang w:val="bg-BG"/>
              </w:rPr>
              <w:t xml:space="preserve">съществуват </w:t>
            </w:r>
            <w:r w:rsidR="00E40776">
              <w:t>някои пречки,</w:t>
            </w:r>
          </w:p>
          <w:p w14:paraId="7FE1BA8B" w14:textId="3283307A" w:rsidR="00FE5D64" w:rsidRDefault="00E40776">
            <w:pPr>
              <w:pStyle w:val="P68B1DB1-ListParagraph37"/>
              <w:numPr>
                <w:ilvl w:val="0"/>
                <w:numId w:val="275"/>
              </w:numPr>
              <w:jc w:val="both"/>
            </w:pPr>
            <w:r>
              <w:t xml:space="preserve">значителни (но преодолими) </w:t>
            </w:r>
            <w:r w:rsidR="00F70B9C">
              <w:rPr>
                <w:lang w:val="bg-BG"/>
              </w:rPr>
              <w:t>пречки</w:t>
            </w:r>
            <w:r>
              <w:t>,</w:t>
            </w:r>
          </w:p>
          <w:p w14:paraId="7FE1BA8D" w14:textId="6DE7995A" w:rsidR="00FE5D64" w:rsidRDefault="00E40776">
            <w:pPr>
              <w:pStyle w:val="P68B1DB1-ListParagraph37"/>
              <w:numPr>
                <w:ilvl w:val="0"/>
                <w:numId w:val="275"/>
              </w:numPr>
              <w:jc w:val="both"/>
              <w:rPr>
                <w:b/>
                <w:bCs/>
              </w:rPr>
            </w:pPr>
            <w:r>
              <w:t xml:space="preserve">критични (трудни за преодоляване) </w:t>
            </w:r>
            <w:r w:rsidR="00F70B9C">
              <w:rPr>
                <w:lang w:val="bg-BG"/>
              </w:rPr>
              <w:t>пречки</w:t>
            </w:r>
            <w:r>
              <w:t>.</w:t>
            </w:r>
          </w:p>
        </w:tc>
      </w:tr>
      <w:tr w:rsidR="00FE5D64"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FE5D64" w:rsidRDefault="00E40776">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4B8D49B8" w:rsidR="00FE5D64" w:rsidRPr="00533D8F" w:rsidRDefault="00C06FEB">
            <w:pPr>
              <w:pStyle w:val="P68B1DB1-Normal35"/>
              <w:jc w:val="both"/>
              <w:rPr>
                <w:lang w:val="bg-BG"/>
              </w:rPr>
            </w:pPr>
            <w:r>
              <w:rPr>
                <w:lang w:val="bg-BG"/>
              </w:rPr>
              <w:t>Оперативни</w:t>
            </w:r>
            <w:r>
              <w:t xml:space="preserve"> </w:t>
            </w:r>
            <w:r w:rsidR="00E40776">
              <w:t xml:space="preserve">изисквания за навлизане </w:t>
            </w:r>
            <w:r>
              <w:rPr>
                <w:lang w:val="bg-BG"/>
              </w:rPr>
              <w:t xml:space="preserve">на пазара </w:t>
            </w:r>
            <w:r w:rsidR="00E40776">
              <w:t xml:space="preserve">или </w:t>
            </w:r>
            <w:r w:rsidR="003D5851">
              <w:rPr>
                <w:lang w:val="bg-BG"/>
              </w:rPr>
              <w:t>разрастване</w:t>
            </w:r>
          </w:p>
          <w:p w14:paraId="7FE1BA91" w14:textId="77777777" w:rsidR="00FE5D64" w:rsidRDefault="00FE5D64">
            <w:pPr>
              <w:jc w:val="both"/>
              <w:rPr>
                <w:rFonts w:ascii="Times New Roman" w:eastAsia="Times New Roman" w:hAnsi="Times New Roman" w:cs="Times New Roman"/>
                <w:b/>
                <w:bCs/>
                <w:color w:val="000000" w:themeColor="text1"/>
                <w:sz w:val="20"/>
                <w:szCs w:val="20"/>
              </w:rPr>
            </w:pPr>
          </w:p>
          <w:p w14:paraId="7FE1BA92" w14:textId="6708122E" w:rsidR="00FE5D64" w:rsidRDefault="00E40776">
            <w:pPr>
              <w:pStyle w:val="P68B1DB1-Normal36"/>
              <w:jc w:val="both"/>
            </w:pPr>
            <w:r>
              <w:t xml:space="preserve">Организационни, технически и инфраструктурни изисквания </w:t>
            </w:r>
            <w:r w:rsidR="00C06FEB">
              <w:rPr>
                <w:lang w:val="bg-BG"/>
              </w:rPr>
              <w:t>към</w:t>
            </w:r>
            <w:r w:rsidR="00C06FEB">
              <w:t xml:space="preserve"> </w:t>
            </w:r>
            <w:r>
              <w:t>конкурентите да предлагат услугата. Предлагането на услуги, свързани с (под) функцията, изисква доставчиците да инвестират в (нова или допълнителна) инфраструктура или да</w:t>
            </w:r>
            <w:r w:rsidR="00C06FEB" w:rsidRPr="00533D8F">
              <w:rPr>
                <w:lang w:val="bg-BG"/>
              </w:rPr>
              <w:t xml:space="preserve"> </w:t>
            </w:r>
            <w:r w:rsidR="00C06FEB">
              <w:rPr>
                <w:lang w:val="bg-BG"/>
              </w:rPr>
              <w:t>направят</w:t>
            </w:r>
            <w:r>
              <w:t xml:space="preserve"> промен</w:t>
            </w:r>
            <w:r w:rsidR="00C06FEB">
              <w:rPr>
                <w:lang w:val="bg-BG"/>
              </w:rPr>
              <w:t>и в</w:t>
            </w:r>
            <w:r>
              <w:t xml:space="preserve"> организаци</w:t>
            </w:r>
            <w:r w:rsidR="00C06FEB">
              <w:rPr>
                <w:lang w:val="bg-BG"/>
              </w:rPr>
              <w:t>ята си</w:t>
            </w:r>
            <w:r>
              <w:t xml:space="preserve">. Оценява </w:t>
            </w:r>
            <w:r w:rsidR="00C06FEB">
              <w:rPr>
                <w:lang w:val="bg-BG"/>
              </w:rPr>
              <w:t xml:space="preserve"> се</w:t>
            </w:r>
            <w:r w:rsidR="00C06FEB" w:rsidRPr="00533D8F">
              <w:rPr>
                <w:lang w:val="bg-BG"/>
              </w:rPr>
              <w:t xml:space="preserve"> </w:t>
            </w:r>
            <w:r>
              <w:t>способността на пазара да поеме дадена</w:t>
            </w:r>
            <w:r w:rsidR="00514D91">
              <w:rPr>
                <w:lang w:val="bg-BG"/>
              </w:rPr>
              <w:t xml:space="preserve"> </w:t>
            </w:r>
            <w:r>
              <w:t xml:space="preserve">дейност, например по отношение на капиталовите изисквания. По отношение на </w:t>
            </w:r>
            <w:r w:rsidR="00AC6333">
              <w:rPr>
                <w:lang w:val="bg-BG"/>
              </w:rPr>
              <w:t>възможностите за кредитиране</w:t>
            </w:r>
            <w:r w:rsidR="00AC6333" w:rsidRPr="00533D8F">
              <w:rPr>
                <w:lang w:val="bg-BG"/>
              </w:rPr>
              <w:t xml:space="preserve"> </w:t>
            </w:r>
            <w:r w:rsidR="00514D91">
              <w:rPr>
                <w:lang w:val="bg-BG"/>
              </w:rPr>
              <w:t xml:space="preserve">следва </w:t>
            </w:r>
            <w:r>
              <w:t xml:space="preserve">да се вземат предвид съответните </w:t>
            </w:r>
            <w:r w:rsidR="00AC6333">
              <w:rPr>
                <w:lang w:val="bg-BG"/>
              </w:rPr>
              <w:t xml:space="preserve">рисково претеглени активи </w:t>
            </w:r>
            <w:r w:rsidR="00AC6333">
              <w:rPr>
                <w:lang w:val="en-US"/>
              </w:rPr>
              <w:t>RWA</w:t>
            </w:r>
            <w:r w:rsidR="00AC6333">
              <w:t xml:space="preserve"> </w:t>
            </w:r>
            <w:r>
              <w:t>(</w:t>
            </w:r>
            <w:r w:rsidR="00AC6333">
              <w:rPr>
                <w:lang w:val="bg-BG"/>
              </w:rPr>
              <w:t>отчетени</w:t>
            </w:r>
            <w:r w:rsidR="00AC6333" w:rsidRPr="00533D8F">
              <w:rPr>
                <w:lang w:val="bg-BG"/>
              </w:rPr>
              <w:t xml:space="preserve"> </w:t>
            </w:r>
            <w:r>
              <w:t>във въпрос 17).</w:t>
            </w:r>
          </w:p>
          <w:p w14:paraId="7FE1BA93" w14:textId="3BAE54D7" w:rsidR="00FE5D64" w:rsidRDefault="00E40776">
            <w:pPr>
              <w:pStyle w:val="P68B1DB1-Normal36"/>
              <w:jc w:val="both"/>
            </w:pPr>
            <w:r>
              <w:t xml:space="preserve">Този показател трябва да се отчита в </w:t>
            </w:r>
            <w:r w:rsidR="00AC6333">
              <w:rPr>
                <w:lang w:val="bg-BG"/>
              </w:rPr>
              <w:t>категории</w:t>
            </w:r>
            <w:r>
              <w:t>, които са еднакви за всяка подфункция:</w:t>
            </w:r>
          </w:p>
          <w:p w14:paraId="7FE1BA94" w14:textId="1DCED578" w:rsidR="00FE5D64" w:rsidRDefault="00E40776">
            <w:pPr>
              <w:pStyle w:val="P68B1DB1-ListParagraph37"/>
              <w:numPr>
                <w:ilvl w:val="0"/>
                <w:numId w:val="278"/>
              </w:numPr>
              <w:jc w:val="both"/>
            </w:pPr>
            <w:r>
              <w:t>няма съществени изисквания,</w:t>
            </w:r>
          </w:p>
          <w:p w14:paraId="7FE1BA95" w14:textId="22E01996" w:rsidR="00FE5D64" w:rsidRDefault="00AC6333">
            <w:pPr>
              <w:pStyle w:val="P68B1DB1-ListParagraph37"/>
              <w:numPr>
                <w:ilvl w:val="0"/>
                <w:numId w:val="278"/>
              </w:numPr>
              <w:jc w:val="both"/>
            </w:pPr>
            <w:r>
              <w:rPr>
                <w:lang w:val="bg-BG"/>
              </w:rPr>
              <w:t xml:space="preserve">съществуват </w:t>
            </w:r>
            <w:r w:rsidR="00E40776">
              <w:t>някои изисквания,</w:t>
            </w:r>
          </w:p>
          <w:p w14:paraId="7FE1BA96" w14:textId="29F985B0" w:rsidR="00FE5D64" w:rsidRDefault="00E40776">
            <w:pPr>
              <w:pStyle w:val="P68B1DB1-ListParagraph37"/>
              <w:numPr>
                <w:ilvl w:val="0"/>
                <w:numId w:val="278"/>
              </w:numPr>
              <w:jc w:val="both"/>
            </w:pPr>
            <w:r>
              <w:t>съществени (но преодолими) изисквания,</w:t>
            </w:r>
          </w:p>
          <w:p w14:paraId="7FE1BA97" w14:textId="648A72A6" w:rsidR="00FE5D64" w:rsidRDefault="00E40776">
            <w:pPr>
              <w:pStyle w:val="P68B1DB1-ListParagraph37"/>
              <w:numPr>
                <w:ilvl w:val="0"/>
                <w:numId w:val="278"/>
              </w:numPr>
              <w:jc w:val="both"/>
            </w:pPr>
            <w:r>
              <w:t xml:space="preserve">критични (трудни за </w:t>
            </w:r>
            <w:r w:rsidR="00AC6333">
              <w:rPr>
                <w:lang w:val="bg-BG"/>
              </w:rPr>
              <w:t>преодоляване</w:t>
            </w:r>
            <w:r>
              <w:t>) изисквания.</w:t>
            </w:r>
          </w:p>
          <w:p w14:paraId="7FE1BA9D" w14:textId="77777777" w:rsidR="00FE5D64" w:rsidRDefault="00FE5D64">
            <w:pPr>
              <w:pStyle w:val="ListParagraph"/>
              <w:jc w:val="both"/>
              <w:rPr>
                <w:rFonts w:ascii="Times New Roman" w:hAnsi="Times New Roman"/>
                <w:b/>
                <w:bCs/>
                <w:color w:val="000000" w:themeColor="text1"/>
                <w:sz w:val="20"/>
                <w:szCs w:val="20"/>
              </w:rPr>
            </w:pPr>
          </w:p>
        </w:tc>
      </w:tr>
      <w:tr w:rsidR="00FE5D64"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FE5D64" w:rsidRDefault="00E40776">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47F83D54" w:rsidR="00FE5D64" w:rsidRDefault="00E40776">
            <w:pPr>
              <w:pStyle w:val="P68B1DB1-TableParagraph14"/>
              <w:spacing w:before="108"/>
              <w:jc w:val="both"/>
              <w:rPr>
                <w:bCs/>
              </w:rPr>
            </w:pPr>
            <w:r>
              <w:t xml:space="preserve">Капацитет за </w:t>
            </w:r>
            <w:r w:rsidR="007333D6">
              <w:rPr>
                <w:lang w:val="bg-BG"/>
              </w:rPr>
              <w:t>поемане</w:t>
            </w:r>
            <w:r w:rsidR="007333D6">
              <w:t xml:space="preserve"> </w:t>
            </w:r>
            <w:r>
              <w:t xml:space="preserve">— Брой заявления от нови клиенти </w:t>
            </w:r>
            <w:r w:rsidR="007333D6">
              <w:rPr>
                <w:lang w:val="bg-BG"/>
              </w:rPr>
              <w:t>в рамките на</w:t>
            </w:r>
            <w:r w:rsidR="007333D6">
              <w:t xml:space="preserve"> </w:t>
            </w:r>
            <w:r>
              <w:t xml:space="preserve">1 работен ден (брой </w:t>
            </w:r>
            <w:r w:rsidR="007333D6">
              <w:rPr>
                <w:lang w:val="bg-BG"/>
              </w:rPr>
              <w:t>сметки</w:t>
            </w:r>
            <w:r>
              <w:t>)</w:t>
            </w:r>
          </w:p>
          <w:p w14:paraId="7FE1BAA4" w14:textId="0156C75A" w:rsidR="00FE5D64" w:rsidRDefault="00E40776">
            <w:pPr>
              <w:pStyle w:val="P68B1DB1-TableParagraph13"/>
              <w:spacing w:before="108"/>
              <w:jc w:val="both"/>
            </w:pPr>
            <w:r>
              <w:t xml:space="preserve">От институциите се изисква да предоставят най-голям брой заявления, </w:t>
            </w:r>
            <w:r w:rsidR="007333D6">
              <w:rPr>
                <w:lang w:val="bg-BG"/>
              </w:rPr>
              <w:t>при които</w:t>
            </w:r>
            <w:r w:rsidR="007333D6">
              <w:t xml:space="preserve"> </w:t>
            </w:r>
            <w:r>
              <w:t xml:space="preserve">институцията е </w:t>
            </w:r>
            <w:r w:rsidR="007333D6">
              <w:rPr>
                <w:lang w:val="bg-BG"/>
              </w:rPr>
              <w:t>потвърдила</w:t>
            </w:r>
            <w:r>
              <w:t xml:space="preserve"> </w:t>
            </w:r>
            <w:r w:rsidR="007333D6">
              <w:rPr>
                <w:lang w:val="bg-BG"/>
              </w:rPr>
              <w:t>заявлението</w:t>
            </w:r>
            <w:r w:rsidR="007333D6">
              <w:t xml:space="preserve"> </w:t>
            </w:r>
            <w:r>
              <w:t xml:space="preserve">за </w:t>
            </w:r>
            <w:r w:rsidR="007333D6">
              <w:rPr>
                <w:lang w:val="bg-BG"/>
              </w:rPr>
              <w:t xml:space="preserve">предоставяне на </w:t>
            </w:r>
            <w:r>
              <w:t>банкова услуга.</w:t>
            </w:r>
          </w:p>
          <w:p w14:paraId="1312271B" w14:textId="070EAF1D" w:rsidR="00FE5D64" w:rsidRDefault="002E4A16">
            <w:pPr>
              <w:pStyle w:val="P68B1DB1-TableParagraph13"/>
              <w:spacing w:before="108"/>
              <w:jc w:val="both"/>
            </w:pPr>
            <w:r>
              <w:rPr>
                <w:lang w:val="bg-BG"/>
              </w:rPr>
              <w:t>Посочва се к</w:t>
            </w:r>
            <w:r w:rsidR="00E40776">
              <w:t xml:space="preserve">апацитетът за </w:t>
            </w:r>
            <w:r w:rsidR="007333D6">
              <w:rPr>
                <w:lang w:val="bg-BG"/>
              </w:rPr>
              <w:t xml:space="preserve">поемане </w:t>
            </w:r>
            <w:r w:rsidR="007333D6" w:rsidRPr="00514D91">
              <w:rPr>
                <w:lang w:val="bg-BG"/>
              </w:rPr>
              <w:t xml:space="preserve"> по отношение на </w:t>
            </w:r>
            <w:r w:rsidR="00E40776">
              <w:t xml:space="preserve">броя </w:t>
            </w:r>
            <w:r w:rsidR="007333D6">
              <w:rPr>
                <w:lang w:val="bg-BG"/>
              </w:rPr>
              <w:t>новооткрити</w:t>
            </w:r>
            <w:r w:rsidR="007333D6" w:rsidRPr="00514D91">
              <w:rPr>
                <w:lang w:val="bg-BG"/>
              </w:rPr>
              <w:t xml:space="preserve"> </w:t>
            </w:r>
            <w:r w:rsidR="007333D6">
              <w:rPr>
                <w:lang w:val="bg-BG"/>
              </w:rPr>
              <w:t>сметки</w:t>
            </w:r>
            <w:r w:rsidR="007333D6" w:rsidRPr="00514D91">
              <w:rPr>
                <w:lang w:val="bg-BG"/>
              </w:rPr>
              <w:t xml:space="preserve"> в </w:t>
            </w:r>
            <w:r w:rsidR="007333D6">
              <w:rPr>
                <w:lang w:val="bg-BG"/>
              </w:rPr>
              <w:t>рамките на</w:t>
            </w:r>
            <w:r w:rsidR="007333D6" w:rsidRPr="00514D91">
              <w:rPr>
                <w:lang w:val="bg-BG"/>
              </w:rPr>
              <w:t xml:space="preserve"> </w:t>
            </w:r>
            <w:r w:rsidR="00E40776">
              <w:t>1 работен ден.</w:t>
            </w:r>
          </w:p>
          <w:p w14:paraId="7FE1BAA8" w14:textId="1D439DCA" w:rsidR="00FE5D64" w:rsidRDefault="00E40776" w:rsidP="007333D6">
            <w:pPr>
              <w:pStyle w:val="P68B1DB1-TableParagraph13"/>
              <w:spacing w:before="108"/>
              <w:jc w:val="both"/>
              <w:rPr>
                <w:b/>
                <w:bCs/>
              </w:rPr>
            </w:pPr>
            <w:r>
              <w:t xml:space="preserve">От институциите се очаква да вземат предвид </w:t>
            </w:r>
            <w:r w:rsidR="002E4A16">
              <w:rPr>
                <w:lang w:val="bg-BG"/>
              </w:rPr>
              <w:t>времето</w:t>
            </w:r>
            <w:r w:rsidR="002E4A16">
              <w:t xml:space="preserve"> </w:t>
            </w:r>
            <w:r>
              <w:t xml:space="preserve">за </w:t>
            </w:r>
            <w:r w:rsidR="002E4A16">
              <w:rPr>
                <w:lang w:val="bg-BG"/>
              </w:rPr>
              <w:t>поемане</w:t>
            </w:r>
            <w:r w:rsidR="002E4A16">
              <w:t xml:space="preserve"> </w:t>
            </w:r>
            <w:r>
              <w:t xml:space="preserve">на нови клиенти, </w:t>
            </w:r>
            <w:r w:rsidR="002E4A16">
              <w:rPr>
                <w:lang w:val="bg-BG"/>
              </w:rPr>
              <w:t xml:space="preserve">след подаването на заявление за банкова услуга от страна на </w:t>
            </w:r>
            <w:r>
              <w:t>нов клиент.</w:t>
            </w:r>
          </w:p>
        </w:tc>
      </w:tr>
      <w:tr w:rsidR="00FE5D64"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FE5D64" w:rsidRDefault="00E40776">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FE5D64" w:rsidRDefault="00E40776">
            <w:pPr>
              <w:pStyle w:val="P68B1DB1-TableParagraph14"/>
              <w:spacing w:before="108"/>
              <w:jc w:val="both"/>
              <w:rPr>
                <w:bCs/>
              </w:rPr>
            </w:pPr>
            <w:r>
              <w:t>Оценка на критичността</w:t>
            </w:r>
          </w:p>
        </w:tc>
      </w:tr>
      <w:tr w:rsidR="00FE5D64"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FE5D64" w:rsidRDefault="00E40776">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FE5D64" w:rsidRDefault="00E40776">
            <w:pPr>
              <w:pStyle w:val="P68B1DB1-TableParagraph14"/>
              <w:spacing w:before="108"/>
              <w:jc w:val="both"/>
              <w:rPr>
                <w:bCs/>
              </w:rPr>
            </w:pPr>
            <w:r>
              <w:t xml:space="preserve">Въздействие върху пазара </w:t>
            </w:r>
          </w:p>
          <w:p w14:paraId="7FE1BAAF" w14:textId="46091770" w:rsidR="00FE5D64" w:rsidRDefault="00E40776">
            <w:pPr>
              <w:pStyle w:val="P68B1DB1-TableParagraph13"/>
              <w:spacing w:before="108"/>
              <w:jc w:val="both"/>
            </w:pPr>
            <w:r>
              <w:t xml:space="preserve">Очакваното въздействие </w:t>
            </w:r>
            <w:r w:rsidR="00540767">
              <w:rPr>
                <w:lang w:val="bg-BG"/>
              </w:rPr>
              <w:t>от</w:t>
            </w:r>
            <w:r w:rsidR="00540767">
              <w:t xml:space="preserve"> </w:t>
            </w:r>
            <w:r>
              <w:t>внезапно прекъсване на функцията върху трети страни, финансовите пазари и реалната икономика, като се вземат предвид размерът, пазарният дял в дадената държава, външните и вътрешните взаимовръзки, сложността и трансграничната дейност на институцията.</w:t>
            </w:r>
          </w:p>
          <w:p w14:paraId="7FE1BAB0" w14:textId="65D50159" w:rsidR="00FE5D64" w:rsidRDefault="00E40776">
            <w:pPr>
              <w:pStyle w:val="P68B1DB1-TableParagraph13"/>
              <w:spacing w:before="108"/>
              <w:jc w:val="both"/>
            </w:pPr>
            <w:r>
              <w:t>Тази оценка се изразява качествено като „висок</w:t>
            </w:r>
            <w:r w:rsidR="00540767">
              <w:rPr>
                <w:lang w:val="bg-BG"/>
              </w:rPr>
              <w:t xml:space="preserve">о“, </w:t>
            </w:r>
            <w:r>
              <w:t>„средн</w:t>
            </w:r>
            <w:r w:rsidR="00540767">
              <w:rPr>
                <w:lang w:val="bg-BG"/>
              </w:rPr>
              <w:t>овисоко“,</w:t>
            </w:r>
            <w:r>
              <w:t xml:space="preserve"> „средн</w:t>
            </w:r>
            <w:r w:rsidR="00540767">
              <w:rPr>
                <w:lang w:val="bg-BG"/>
              </w:rPr>
              <w:t>ониско“</w:t>
            </w:r>
            <w:r>
              <w:t xml:space="preserve"> или </w:t>
            </w:r>
            <w:r w:rsidR="00540767">
              <w:rPr>
                <w:lang w:val="bg-BG"/>
              </w:rPr>
              <w:t>„</w:t>
            </w:r>
            <w:r>
              <w:t>ниск</w:t>
            </w:r>
            <w:r w:rsidR="00540767">
              <w:rPr>
                <w:lang w:val="bg-BG"/>
              </w:rPr>
              <w:t>о“</w:t>
            </w:r>
            <w:r>
              <w:t>.</w:t>
            </w:r>
          </w:p>
          <w:p w14:paraId="7FE1BAB1" w14:textId="7BE2C24E" w:rsidR="00FE5D64" w:rsidRDefault="00E40776" w:rsidP="00540767">
            <w:pPr>
              <w:pStyle w:val="P68B1DB1-TableParagraph13"/>
              <w:spacing w:before="108"/>
              <w:jc w:val="both"/>
              <w:rPr>
                <w:b/>
                <w:bCs/>
              </w:rPr>
            </w:pPr>
            <w:r>
              <w:t>„Висок</w:t>
            </w:r>
            <w:r w:rsidR="00540767">
              <w:rPr>
                <w:lang w:val="bg-BG"/>
              </w:rPr>
              <w:t>о</w:t>
            </w:r>
            <w:r>
              <w:t>“ се избира, ако прекъсването би оказало</w:t>
            </w:r>
            <w:r w:rsidR="00540767" w:rsidRPr="002E4A16">
              <w:rPr>
                <w:lang w:val="bg-BG"/>
              </w:rPr>
              <w:t xml:space="preserve"> </w:t>
            </w:r>
            <w:r>
              <w:t>силно</w:t>
            </w:r>
            <w:r w:rsidR="00540767">
              <w:t xml:space="preserve"> </w:t>
            </w:r>
            <w:r>
              <w:t>въздействие върху националния пазар; „</w:t>
            </w:r>
            <w:r w:rsidR="00540767">
              <w:rPr>
                <w:lang w:val="bg-BG"/>
              </w:rPr>
              <w:t>с</w:t>
            </w:r>
            <w:r>
              <w:t>редно</w:t>
            </w:r>
            <w:r w:rsidR="00540767">
              <w:rPr>
                <w:lang w:val="bg-BG"/>
              </w:rPr>
              <w:t>в</w:t>
            </w:r>
            <w:r>
              <w:t>исоко“</w:t>
            </w:r>
            <w:r w:rsidR="00540767">
              <w:rPr>
                <w:lang w:val="bg-BG"/>
              </w:rPr>
              <w:t>,</w:t>
            </w:r>
            <w:r>
              <w:t xml:space="preserve"> ако въздействието е значително; „</w:t>
            </w:r>
            <w:r w:rsidR="00624C45">
              <w:rPr>
                <w:lang w:val="bg-BG"/>
              </w:rPr>
              <w:t>среднониско</w:t>
            </w:r>
            <w:r>
              <w:t>“</w:t>
            </w:r>
            <w:r w:rsidR="00624C45">
              <w:rPr>
                <w:lang w:val="bg-BG"/>
              </w:rPr>
              <w:t>,</w:t>
            </w:r>
            <w:r w:rsidR="00624C45" w:rsidRPr="005D5854">
              <w:rPr>
                <w:lang w:val="bg-BG"/>
              </w:rPr>
              <w:t xml:space="preserve"> </w:t>
            </w:r>
            <w:r>
              <w:t>ако въздействието е съществено, но ограничено; „</w:t>
            </w:r>
            <w:r w:rsidR="00624C45">
              <w:rPr>
                <w:lang w:val="bg-BG"/>
              </w:rPr>
              <w:t>ниско</w:t>
            </w:r>
            <w:r>
              <w:t>“</w:t>
            </w:r>
            <w:r w:rsidR="00624C45">
              <w:rPr>
                <w:lang w:val="bg-BG"/>
              </w:rPr>
              <w:t>,</w:t>
            </w:r>
            <w:r>
              <w:t xml:space="preserve"> ако въздействието е слабо.</w:t>
            </w:r>
          </w:p>
        </w:tc>
      </w:tr>
      <w:tr w:rsidR="00FE5D64"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FE5D64" w:rsidRDefault="00E40776">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FE5D64" w:rsidRDefault="00E40776">
            <w:pPr>
              <w:pStyle w:val="P68B1DB1-TableParagraph14"/>
              <w:spacing w:before="108"/>
              <w:jc w:val="both"/>
              <w:rPr>
                <w:bCs/>
              </w:rPr>
            </w:pPr>
            <w:r>
              <w:t>Заменяемост</w:t>
            </w:r>
          </w:p>
          <w:p w14:paraId="7FE1BAB5" w14:textId="4545158F" w:rsidR="00FE5D64" w:rsidRDefault="00E40776">
            <w:pPr>
              <w:pStyle w:val="P68B1DB1-TableParagraph13"/>
              <w:spacing w:before="108"/>
              <w:jc w:val="both"/>
            </w:pPr>
            <w:r>
              <w:t>Член 6, параграф 3 от Делегиран регламент (ЕС) 2016/778</w:t>
            </w:r>
          </w:p>
          <w:p w14:paraId="7FE1BAB6" w14:textId="1B7FE3B7" w:rsidR="00FE5D64" w:rsidRDefault="00E40776">
            <w:pPr>
              <w:pStyle w:val="P68B1DB1-TableParagraph13"/>
              <w:spacing w:before="108"/>
              <w:jc w:val="both"/>
            </w:pPr>
            <w:r>
              <w:t xml:space="preserve">Дадена функция се приема за заменяема, ако може да бъде заменена по приемлив начин и в </w:t>
            </w:r>
            <w:r w:rsidR="00624C45">
              <w:rPr>
                <w:lang w:val="bg-BG"/>
              </w:rPr>
              <w:t>разумен</w:t>
            </w:r>
            <w:r w:rsidR="00624C45">
              <w:t xml:space="preserve"> </w:t>
            </w:r>
            <w:r>
              <w:t xml:space="preserve">срок, </w:t>
            </w:r>
            <w:r w:rsidR="00895F11">
              <w:rPr>
                <w:lang w:val="bg-BG"/>
              </w:rPr>
              <w:t>като по този начин</w:t>
            </w:r>
            <w:r>
              <w:t xml:space="preserve"> се избегнат системни проблеми за реалната икономика и финансовите пазари. Взема се предвид следното:</w:t>
            </w:r>
          </w:p>
          <w:p w14:paraId="7FE1BAB7" w14:textId="75FD4403" w:rsidR="00FE5D64" w:rsidRDefault="00E40776">
            <w:pPr>
              <w:pStyle w:val="P68B1DB1-TableParagraph13"/>
              <w:spacing w:before="108"/>
              <w:jc w:val="both"/>
            </w:pPr>
            <w:r>
              <w:t>(a) структурата на пазара за тази функция и наличието на алтернативни доставчици;</w:t>
            </w:r>
          </w:p>
          <w:p w14:paraId="7FE1BAB8" w14:textId="1027269F" w:rsidR="00FE5D64" w:rsidRDefault="00E40776">
            <w:pPr>
              <w:pStyle w:val="P68B1DB1-TableParagraph13"/>
              <w:spacing w:before="108"/>
              <w:jc w:val="both"/>
            </w:pPr>
            <w:r>
              <w:t>(</w:t>
            </w:r>
            <w:r w:rsidR="00B56CFC">
              <w:rPr>
                <w:lang w:val="bg-BG"/>
              </w:rPr>
              <w:t>б</w:t>
            </w:r>
            <w:r>
              <w:t xml:space="preserve">) възможностите на останалите доставчици по отношение на капацитета, изискванията за изпълняване на функцията и потенциалните пречки за навлизане на пазара или разрастване; </w:t>
            </w:r>
          </w:p>
          <w:p w14:paraId="7FE1BAB9" w14:textId="49015B3B" w:rsidR="00FE5D64" w:rsidRDefault="00E40776">
            <w:pPr>
              <w:pStyle w:val="P68B1DB1-TableParagraph13"/>
              <w:spacing w:before="108"/>
              <w:jc w:val="both"/>
            </w:pPr>
            <w:r>
              <w:t>(</w:t>
            </w:r>
            <w:r w:rsidR="00B56CFC">
              <w:rPr>
                <w:lang w:val="bg-BG"/>
              </w:rPr>
              <w:t>в</w:t>
            </w:r>
            <w:r>
              <w:t xml:space="preserve">) стимулът за други доставчици да поемат тези дейности; </w:t>
            </w:r>
          </w:p>
          <w:p w14:paraId="7FE1BABA" w14:textId="38392B12" w:rsidR="00FE5D64" w:rsidRDefault="00E40776">
            <w:pPr>
              <w:pStyle w:val="P68B1DB1-TableParagraph13"/>
              <w:spacing w:before="108"/>
              <w:jc w:val="both"/>
            </w:pPr>
            <w:r>
              <w:t>(</w:t>
            </w:r>
            <w:r w:rsidR="00B56CFC">
              <w:rPr>
                <w:lang w:val="bg-BG"/>
              </w:rPr>
              <w:t>г</w:t>
            </w:r>
            <w:r>
              <w:t>) необходимото време за преминаване на ползвателите на услугата към нов доставчик на услуги и свързаните с този преход разходи;</w:t>
            </w:r>
            <w:r w:rsidR="0063285F">
              <w:rPr>
                <w:lang w:val="bg-BG"/>
              </w:rPr>
              <w:t xml:space="preserve"> </w:t>
            </w:r>
            <w:r>
              <w:t>необходимото време за поемане на функцията от другите конкуренти и дали този срок е достатъчен, за да се предотвратят сериозни сътресения в зависимост от вида услуга.</w:t>
            </w:r>
          </w:p>
          <w:p w14:paraId="7FE1BABB" w14:textId="7FDD4ABE" w:rsidR="00FE5D64" w:rsidRDefault="00E40776">
            <w:pPr>
              <w:pStyle w:val="P68B1DB1-TableParagraph13"/>
              <w:spacing w:before="108"/>
              <w:jc w:val="both"/>
            </w:pPr>
            <w:r>
              <w:t xml:space="preserve">Предоставяне на цялостна оценка на очакваната степен на заменяемост за всяка функция, като се вземат предвид различните </w:t>
            </w:r>
            <w:r w:rsidR="006C5602">
              <w:rPr>
                <w:lang w:val="bg-BG"/>
              </w:rPr>
              <w:t>аспекти</w:t>
            </w:r>
            <w:r w:rsidR="0063285F">
              <w:rPr>
                <w:lang w:val="bg-BG"/>
              </w:rPr>
              <w:t>,</w:t>
            </w:r>
            <w:r w:rsidR="006C5602">
              <w:rPr>
                <w:lang w:val="bg-BG"/>
              </w:rPr>
              <w:t xml:space="preserve"> </w:t>
            </w:r>
            <w:r>
              <w:t>оцен</w:t>
            </w:r>
            <w:r w:rsidR="006C5602">
              <w:rPr>
                <w:lang w:val="bg-BG"/>
              </w:rPr>
              <w:t>е</w:t>
            </w:r>
            <w:r>
              <w:t>ни по-рано (пазарен дял, концентрация</w:t>
            </w:r>
            <w:r w:rsidR="0063285F">
              <w:rPr>
                <w:lang w:val="bg-BG"/>
              </w:rPr>
              <w:t xml:space="preserve"> на пазара</w:t>
            </w:r>
            <w:r>
              <w:t xml:space="preserve">, време за </w:t>
            </w:r>
            <w:r w:rsidR="0063285F">
              <w:rPr>
                <w:lang w:val="bg-BG"/>
              </w:rPr>
              <w:t>заменяемост</w:t>
            </w:r>
            <w:r>
              <w:t>, правни пречки и оперативни изисквания за навлизане</w:t>
            </w:r>
            <w:r w:rsidR="0063285F">
              <w:rPr>
                <w:lang w:val="bg-BG"/>
              </w:rPr>
              <w:t xml:space="preserve"> на пазара</w:t>
            </w:r>
            <w:r>
              <w:t xml:space="preserve"> или </w:t>
            </w:r>
            <w:r w:rsidR="006C5602">
              <w:rPr>
                <w:lang w:val="bg-BG"/>
              </w:rPr>
              <w:t>разрастване</w:t>
            </w:r>
            <w:r>
              <w:t>). Тази оценка се изразява качествено като „висока</w:t>
            </w:r>
            <w:r w:rsidR="006C5602">
              <w:rPr>
                <w:lang w:val="bg-BG"/>
              </w:rPr>
              <w:t xml:space="preserve">“, </w:t>
            </w:r>
            <w:r>
              <w:t>„средн</w:t>
            </w:r>
            <w:r w:rsidR="006C5602">
              <w:rPr>
                <w:lang w:val="bg-BG"/>
              </w:rPr>
              <w:t>овисока“</w:t>
            </w:r>
            <w:r>
              <w:t>, „средн</w:t>
            </w:r>
            <w:r w:rsidR="006C5602">
              <w:rPr>
                <w:lang w:val="bg-BG"/>
              </w:rPr>
              <w:t>ониска</w:t>
            </w:r>
            <w:r w:rsidR="006C5602" w:rsidRPr="00895F11">
              <w:rPr>
                <w:lang w:val="bg-BG"/>
              </w:rPr>
              <w:t>“</w:t>
            </w:r>
            <w:r>
              <w:t xml:space="preserve"> или </w:t>
            </w:r>
            <w:r w:rsidR="00451C75">
              <w:rPr>
                <w:lang w:val="bg-BG"/>
              </w:rPr>
              <w:t>„</w:t>
            </w:r>
            <w:r>
              <w:t>ниска</w:t>
            </w:r>
            <w:r w:rsidR="00451C75">
              <w:rPr>
                <w:lang w:val="bg-BG"/>
              </w:rPr>
              <w:t>“</w:t>
            </w:r>
            <w:r>
              <w:t xml:space="preserve">. </w:t>
            </w:r>
          </w:p>
          <w:p w14:paraId="7FE1BABC" w14:textId="2CA0D104" w:rsidR="00FE5D64" w:rsidRDefault="00E40776">
            <w:pPr>
              <w:pStyle w:val="P68B1DB1-TableParagraph13"/>
              <w:spacing w:before="108"/>
              <w:jc w:val="both"/>
            </w:pPr>
            <w:r>
              <w:t>„Висок</w:t>
            </w:r>
            <w:r w:rsidR="006C5602">
              <w:rPr>
                <w:lang w:val="bg-BG"/>
              </w:rPr>
              <w:t>а</w:t>
            </w:r>
            <w:r>
              <w:t xml:space="preserve">“ се избира, ако </w:t>
            </w:r>
            <w:r w:rsidR="006C5602">
              <w:rPr>
                <w:lang w:val="bg-BG"/>
              </w:rPr>
              <w:t>дадена</w:t>
            </w:r>
            <w:r w:rsidR="006C5602">
              <w:t xml:space="preserve"> </w:t>
            </w:r>
            <w:r>
              <w:t xml:space="preserve">функция може лесно да </w:t>
            </w:r>
            <w:r w:rsidR="006C5602">
              <w:rPr>
                <w:lang w:val="bg-BG"/>
              </w:rPr>
              <w:t xml:space="preserve">бъде </w:t>
            </w:r>
            <w:r w:rsidR="00140914">
              <w:rPr>
                <w:lang w:val="bg-BG"/>
              </w:rPr>
              <w:t>поета</w:t>
            </w:r>
            <w:r>
              <w:t xml:space="preserve"> от друга банка при </w:t>
            </w:r>
            <w:r w:rsidR="00140914">
              <w:rPr>
                <w:lang w:val="bg-BG"/>
              </w:rPr>
              <w:t>съпоставими</w:t>
            </w:r>
            <w:r w:rsidR="00140914">
              <w:t xml:space="preserve"> </w:t>
            </w:r>
            <w:r>
              <w:t>условия и в разумен срок;</w:t>
            </w:r>
          </w:p>
          <w:p w14:paraId="7FE1BABD" w14:textId="1F440471" w:rsidR="00FE5D64" w:rsidRDefault="00E40776">
            <w:pPr>
              <w:pStyle w:val="P68B1DB1-TableParagraph13"/>
              <w:spacing w:before="108"/>
              <w:jc w:val="both"/>
            </w:pPr>
            <w:r>
              <w:t>„Ни</w:t>
            </w:r>
            <w:r w:rsidR="006C5602">
              <w:rPr>
                <w:lang w:val="bg-BG"/>
              </w:rPr>
              <w:t>ска</w:t>
            </w:r>
            <w:r>
              <w:t>“</w:t>
            </w:r>
            <w:r w:rsidR="006C5602">
              <w:rPr>
                <w:lang w:val="bg-BG"/>
              </w:rPr>
              <w:t xml:space="preserve"> -</w:t>
            </w:r>
            <w:r w:rsidR="006C5602" w:rsidRPr="00895F11">
              <w:rPr>
                <w:lang w:val="bg-BG"/>
              </w:rPr>
              <w:t xml:space="preserve"> </w:t>
            </w:r>
            <w:r>
              <w:t xml:space="preserve">ако </w:t>
            </w:r>
            <w:r w:rsidR="006C5602">
              <w:rPr>
                <w:lang w:val="bg-BG"/>
              </w:rPr>
              <w:t>дадена</w:t>
            </w:r>
            <w:r w:rsidR="006C5602">
              <w:t xml:space="preserve"> </w:t>
            </w:r>
            <w:r>
              <w:t xml:space="preserve">функция не може лесно или бързо да бъде заменена; </w:t>
            </w:r>
          </w:p>
          <w:p w14:paraId="7FE1BABE" w14:textId="58B55F49" w:rsidR="00FE5D64" w:rsidRPr="00140914" w:rsidRDefault="006C5602" w:rsidP="006C5602">
            <w:pPr>
              <w:pStyle w:val="P68B1DB1-TableParagraph13"/>
              <w:spacing w:before="108"/>
              <w:jc w:val="both"/>
              <w:rPr>
                <w:lang w:val="bg-BG"/>
              </w:rPr>
            </w:pPr>
            <w:r w:rsidRPr="00140914">
              <w:rPr>
                <w:lang w:val="bg-BG"/>
              </w:rPr>
              <w:t>„</w:t>
            </w:r>
            <w:r w:rsidRPr="006C5602">
              <w:rPr>
                <w:lang w:val="bg-BG"/>
              </w:rPr>
              <w:t xml:space="preserve">Средновисока“ </w:t>
            </w:r>
            <w:r w:rsidR="00E40776">
              <w:t>и</w:t>
            </w:r>
            <w:r w:rsidR="006E32CE">
              <w:rPr>
                <w:lang w:val="bg-BG"/>
              </w:rPr>
              <w:t xml:space="preserve"> </w:t>
            </w:r>
            <w:r w:rsidRPr="00140914">
              <w:rPr>
                <w:lang w:val="bg-BG"/>
              </w:rPr>
              <w:t>„</w:t>
            </w:r>
            <w:r w:rsidR="00DC579B">
              <w:rPr>
                <w:lang w:val="bg-BG"/>
              </w:rPr>
              <w:t>с</w:t>
            </w:r>
            <w:r w:rsidRPr="006C5602">
              <w:rPr>
                <w:lang w:val="bg-BG"/>
              </w:rPr>
              <w:t>реднониска</w:t>
            </w:r>
            <w:r w:rsidRPr="00140914">
              <w:rPr>
                <w:lang w:val="bg-BG"/>
              </w:rPr>
              <w:t xml:space="preserve">“ </w:t>
            </w:r>
            <w:r w:rsidR="00E40776">
              <w:t xml:space="preserve">— за междинни случаи, </w:t>
            </w:r>
            <w:r>
              <w:rPr>
                <w:lang w:val="bg-BG"/>
              </w:rPr>
              <w:t xml:space="preserve">като се вземат </w:t>
            </w:r>
            <w:r w:rsidR="00E40776">
              <w:t xml:space="preserve">предвид различните </w:t>
            </w:r>
            <w:r>
              <w:rPr>
                <w:lang w:val="bg-BG"/>
              </w:rPr>
              <w:t>аспекти</w:t>
            </w:r>
            <w:r>
              <w:t xml:space="preserve"> </w:t>
            </w:r>
            <w:r w:rsidR="00E40776">
              <w:t xml:space="preserve">(например пазарен дял, концентрация на пазара, време за </w:t>
            </w:r>
            <w:r w:rsidR="00140914">
              <w:rPr>
                <w:lang w:val="bg-BG"/>
              </w:rPr>
              <w:t>заменяемост</w:t>
            </w:r>
            <w:r w:rsidR="00E40776">
              <w:t>, както и правни пречки и оперативни изисквания за навлизане на пазара или разрастване).</w:t>
            </w:r>
          </w:p>
        </w:tc>
      </w:tr>
      <w:tr w:rsidR="00FE5D64"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FE5D64" w:rsidRDefault="00E40776">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FE5D64" w:rsidRDefault="00E40776">
            <w:pPr>
              <w:pStyle w:val="P68B1DB1-TableParagraph14"/>
              <w:spacing w:before="108"/>
              <w:jc w:val="both"/>
              <w:rPr>
                <w:bCs/>
              </w:rPr>
            </w:pPr>
            <w:r>
              <w:t>Критична функция</w:t>
            </w:r>
          </w:p>
          <w:p w14:paraId="7FE1BAC2" w14:textId="6D89E2F3" w:rsidR="00FE5D64" w:rsidRDefault="00E40776">
            <w:pPr>
              <w:pStyle w:val="P68B1DB1-TableParagraph13"/>
              <w:spacing w:before="108"/>
              <w:jc w:val="both"/>
            </w:pPr>
            <w:r>
              <w:t xml:space="preserve">В тази колона се посочва дали икономическата функция се </w:t>
            </w:r>
            <w:r w:rsidR="00140914">
              <w:rPr>
                <w:lang w:val="bg-BG"/>
              </w:rPr>
              <w:t>смята</w:t>
            </w:r>
            <w:r w:rsidR="00140914">
              <w:t xml:space="preserve"> </w:t>
            </w:r>
            <w:r>
              <w:t xml:space="preserve">за критична на пазара на съответната държава, като се вземат под внимание анализите за въздействие и </w:t>
            </w:r>
            <w:r w:rsidR="00140914">
              <w:rPr>
                <w:lang w:val="bg-BG"/>
              </w:rPr>
              <w:t>заменяемост</w:t>
            </w:r>
            <w:r>
              <w:t>, извършени от институцията.</w:t>
            </w:r>
          </w:p>
          <w:p w14:paraId="7FE1BAC3" w14:textId="5DD4648F" w:rsidR="00FE5D64" w:rsidRDefault="00E40776">
            <w:pPr>
              <w:pStyle w:val="P68B1DB1-TableParagraph13"/>
              <w:spacing w:before="108"/>
              <w:jc w:val="both"/>
            </w:pPr>
            <w:r>
              <w:t>Посочва се „Да</w:t>
            </w:r>
            <w:r w:rsidR="00140914">
              <w:rPr>
                <w:lang w:val="bg-BG"/>
              </w:rPr>
              <w:t xml:space="preserve">“ </w:t>
            </w:r>
            <w:r>
              <w:t>или „Не“.</w:t>
            </w:r>
          </w:p>
        </w:tc>
      </w:tr>
      <w:tr w:rsidR="00FE5D64"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FE5D64" w:rsidRDefault="00E40776">
            <w:pPr>
              <w:pStyle w:val="P68B1DB1-TableParagraph17"/>
              <w:spacing w:before="108"/>
              <w:jc w:val="both"/>
            </w:pPr>
            <w:bookmarkStart w:id="125" w:name="_Hlk210808791"/>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FE5D64" w:rsidRDefault="00E40776">
            <w:pPr>
              <w:pStyle w:val="P68B1DB1-TableParagraph14"/>
              <w:spacing w:before="108"/>
              <w:jc w:val="both"/>
              <w:rPr>
                <w:bCs/>
              </w:rPr>
            </w:pPr>
            <w:r>
              <w:t>Коментари на групата</w:t>
            </w:r>
          </w:p>
          <w:p w14:paraId="7FE1BAC7" w14:textId="251B0AE6" w:rsidR="00FE5D64" w:rsidRDefault="00E40776" w:rsidP="006C5602">
            <w:pPr>
              <w:pStyle w:val="P68B1DB1-TableParagraph13"/>
              <w:spacing w:before="108"/>
              <w:jc w:val="both"/>
            </w:pPr>
            <w:r>
              <w:t xml:space="preserve">Това поле дава възможност на </w:t>
            </w:r>
            <w:r w:rsidR="00140914">
              <w:rPr>
                <w:lang w:val="bg-BG"/>
              </w:rPr>
              <w:t>отчитащия</w:t>
            </w:r>
            <w:r w:rsidR="00447BFA">
              <w:rPr>
                <w:lang w:val="bg-BG"/>
              </w:rPr>
              <w:t xml:space="preserve"> се</w:t>
            </w:r>
            <w:r w:rsidR="00140914">
              <w:t xml:space="preserve"> </w:t>
            </w:r>
            <w:r>
              <w:t>субект да обясни всички допускания, използвани при оценката на критичността на докладваната (ите) функция (и).</w:t>
            </w:r>
          </w:p>
        </w:tc>
      </w:tr>
      <w:bookmarkEnd w:id="125"/>
    </w:tbl>
    <w:p w14:paraId="7FE1BAC9" w14:textId="77777777" w:rsidR="00FE5D64" w:rsidRDefault="00FE5D64">
      <w:pPr>
        <w:rPr>
          <w:rFonts w:ascii="Times New Roman" w:hAnsi="Times New Roman" w:cs="Times New Roman"/>
          <w:color w:val="000000" w:themeColor="text1"/>
          <w:sz w:val="20"/>
          <w:szCs w:val="20"/>
        </w:rPr>
      </w:pPr>
    </w:p>
    <w:bookmarkEnd w:id="118"/>
    <w:p w14:paraId="7FE1BACA" w14:textId="77777777" w:rsidR="00FE5D64" w:rsidRDefault="00FE5D64">
      <w:pPr>
        <w:rPr>
          <w:rFonts w:ascii="Times New Roman" w:hAnsi="Times New Roman" w:cs="Times New Roman"/>
          <w:color w:val="000000" w:themeColor="text1"/>
          <w:sz w:val="20"/>
          <w:szCs w:val="20"/>
        </w:rPr>
      </w:pPr>
    </w:p>
    <w:p w14:paraId="7FE1BACB" w14:textId="46D9172C" w:rsidR="00FE5D64" w:rsidRDefault="00E40776">
      <w:pPr>
        <w:pStyle w:val="P68B1DB1-Instructionsberschrift25"/>
        <w:numPr>
          <w:ilvl w:val="1"/>
          <w:numId w:val="49"/>
        </w:numPr>
        <w:ind w:left="357" w:hanging="357"/>
      </w:pPr>
      <w:bookmarkStart w:id="126" w:name="_Toc208244464"/>
      <w:r>
        <w:t>Z 07.01.2 FUNC 1 LEN</w:t>
      </w:r>
      <w:bookmarkEnd w:id="126"/>
    </w:p>
    <w:p w14:paraId="7FE1BAD5" w14:textId="77777777" w:rsidR="00FE5D64" w:rsidRDefault="00FE5D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E5D64"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FE5D64" w:rsidRDefault="00E40776">
            <w:pPr>
              <w:pStyle w:val="P68B1DB1-TableParagraph17"/>
              <w:spacing w:before="108"/>
              <w:ind w:left="85"/>
              <w:jc w:val="both"/>
            </w:pPr>
            <w:bookmarkStart w:id="127" w:name="_Hlk162013303"/>
            <w:r>
              <w:t>Колони</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FE5D64" w:rsidRDefault="00E40776">
            <w:pPr>
              <w:pStyle w:val="P68B1DB1-TableParagraph17"/>
              <w:spacing w:before="108"/>
              <w:ind w:left="85" w:right="1"/>
              <w:jc w:val="both"/>
            </w:pPr>
            <w:r>
              <w:t>Указания</w:t>
            </w:r>
          </w:p>
        </w:tc>
      </w:tr>
      <w:tr w:rsidR="00FE5D64"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FE5D64" w:rsidRDefault="00E40776">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FE5D64" w:rsidRDefault="00E40776">
            <w:pPr>
              <w:pStyle w:val="P68B1DB1-TableParagraph14"/>
              <w:spacing w:before="108"/>
              <w:ind w:left="85"/>
              <w:jc w:val="both"/>
              <w:rPr>
                <w:bCs/>
              </w:rPr>
            </w:pPr>
            <w:r>
              <w:t>Описание на икономическата функция</w:t>
            </w:r>
          </w:p>
          <w:p w14:paraId="7FE1BADB" w14:textId="5B063B85" w:rsidR="00FE5D64" w:rsidRDefault="00E40776" w:rsidP="00E60071">
            <w:pPr>
              <w:pStyle w:val="P68B1DB1-TableParagraph17"/>
              <w:spacing w:before="108"/>
              <w:ind w:left="85"/>
            </w:pPr>
            <w:r>
              <w:t xml:space="preserve">Когато икономическата функция е от </w:t>
            </w:r>
            <w:r w:rsidR="00E60071">
              <w:rPr>
                <w:lang w:val="bg-BG"/>
              </w:rPr>
              <w:t>вида</w:t>
            </w:r>
            <w:r w:rsidR="00E60071">
              <w:t xml:space="preserve"> </w:t>
            </w:r>
            <w:r>
              <w:t>„Други“ (Z 07.01.2</w:t>
            </w:r>
            <w:r w:rsidR="00E60071">
              <w:rPr>
                <w:lang w:val="bg-BG"/>
              </w:rPr>
              <w:t>;</w:t>
            </w:r>
            <w:r w:rsidR="00E60071" w:rsidRPr="004E3CCA">
              <w:rPr>
                <w:lang w:val="bg-BG"/>
              </w:rPr>
              <w:t xml:space="preserve"> </w:t>
            </w:r>
            <w:r>
              <w:t>FUNC 1 LEN</w:t>
            </w:r>
            <w:r w:rsidR="00E60071">
              <w:rPr>
                <w:lang w:val="bg-BG"/>
              </w:rPr>
              <w:t>;</w:t>
            </w:r>
            <w:r w:rsidR="00EE6D6A">
              <w:rPr>
                <w:lang w:val="bg-BG"/>
              </w:rPr>
              <w:t xml:space="preserve"> редове от</w:t>
            </w:r>
            <w:r>
              <w:t xml:space="preserve"> r0130 </w:t>
            </w:r>
            <w:r w:rsidR="00EE6D6A">
              <w:rPr>
                <w:lang w:val="bg-BG"/>
              </w:rPr>
              <w:t>до</w:t>
            </w:r>
            <w:r>
              <w:t xml:space="preserve"> r0150), се предоставя описание на тази функция. </w:t>
            </w:r>
          </w:p>
        </w:tc>
      </w:tr>
      <w:tr w:rsidR="00FE5D64"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FE5D64" w:rsidRDefault="00E40776">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19263F53" w:rsidR="00FE5D64" w:rsidRDefault="00E40776">
            <w:pPr>
              <w:pStyle w:val="P68B1DB1-TableParagraph14"/>
              <w:spacing w:before="108"/>
              <w:ind w:left="85"/>
              <w:jc w:val="both"/>
              <w:rPr>
                <w:bCs/>
              </w:rPr>
            </w:pPr>
            <w:r>
              <w:t>Пазарен дял</w:t>
            </w:r>
          </w:p>
          <w:p w14:paraId="7FE1BADF" w14:textId="6C79B5A1" w:rsidR="00FE5D64" w:rsidRDefault="00E40776" w:rsidP="00E60071">
            <w:pPr>
              <w:pStyle w:val="P68B1DB1-TableParagraph17"/>
              <w:spacing w:before="108"/>
              <w:ind w:left="85"/>
            </w:pPr>
            <w:r>
              <w:t xml:space="preserve">Приблизителна оценка на пазарния дял на институцията или групата за икономическата функция в съответната държава или географска област. Процент </w:t>
            </w:r>
            <w:r w:rsidR="00E60071">
              <w:rPr>
                <w:lang w:val="bg-BG"/>
              </w:rPr>
              <w:t>спрямо</w:t>
            </w:r>
            <w:r w:rsidR="00E60071" w:rsidRPr="004E3CCA">
              <w:rPr>
                <w:lang w:val="bg-BG"/>
              </w:rPr>
              <w:t xml:space="preserve"> </w:t>
            </w:r>
            <w:r>
              <w:t xml:space="preserve">общия пазар по отношение на </w:t>
            </w:r>
            <w:r w:rsidR="00162E91">
              <w:rPr>
                <w:lang w:val="bg-BG"/>
              </w:rPr>
              <w:t>текущата</w:t>
            </w:r>
            <w:r w:rsidR="00162E91">
              <w:t xml:space="preserve"> </w:t>
            </w:r>
            <w:r>
              <w:t>стойност.</w:t>
            </w:r>
          </w:p>
        </w:tc>
      </w:tr>
      <w:tr w:rsidR="00FE5D64"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FE5D64" w:rsidRDefault="00E40776">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0B85B5C6" w:rsidR="00FE5D64" w:rsidRDefault="00162E91">
            <w:pPr>
              <w:pStyle w:val="P68B1DB1-TableParagraph14"/>
              <w:spacing w:before="108"/>
              <w:rPr>
                <w:bCs/>
              </w:rPr>
            </w:pPr>
            <w:r>
              <w:rPr>
                <w:lang w:val="bg-BG"/>
              </w:rPr>
              <w:t>Текуща</w:t>
            </w:r>
            <w:r>
              <w:t xml:space="preserve"> </w:t>
            </w:r>
            <w:r w:rsidR="00E40776">
              <w:t>стойност</w:t>
            </w:r>
          </w:p>
          <w:p w14:paraId="7FE1BAE4" w14:textId="0FB34F7E" w:rsidR="00FE5D64" w:rsidRDefault="00E40776" w:rsidP="00E802CE">
            <w:pPr>
              <w:pStyle w:val="P68B1DB1-TableParagraph17"/>
              <w:spacing w:before="108"/>
            </w:pPr>
            <w:r>
              <w:t>Брутна</w:t>
            </w:r>
            <w:r w:rsidR="00E802CE">
              <w:rPr>
                <w:lang w:val="bg-BG"/>
              </w:rPr>
              <w:t>та</w:t>
            </w:r>
            <w:r>
              <w:t xml:space="preserve"> балансова стойност на обслужваните и необслужваните </w:t>
            </w:r>
            <w:r w:rsidR="007279AB">
              <w:rPr>
                <w:lang w:val="bg-BG"/>
              </w:rPr>
              <w:t>кредити</w:t>
            </w:r>
            <w:r w:rsidR="007279AB">
              <w:t xml:space="preserve"> </w:t>
            </w:r>
            <w:r>
              <w:t xml:space="preserve">и аванси (включително начислената лихва). </w:t>
            </w:r>
            <w:r w:rsidR="00E802CE">
              <w:rPr>
                <w:lang w:val="bg-BG"/>
              </w:rPr>
              <w:t>Наличният кредитен портфейл</w:t>
            </w:r>
            <w:r w:rsidR="00E802CE" w:rsidRPr="004E3CCA">
              <w:rPr>
                <w:lang w:val="bg-BG"/>
              </w:rPr>
              <w:t xml:space="preserve"> се </w:t>
            </w:r>
            <w:r w:rsidR="00E802CE">
              <w:rPr>
                <w:lang w:val="bg-BG"/>
              </w:rPr>
              <w:t xml:space="preserve">използва като </w:t>
            </w:r>
            <w:r w:rsidR="004172C5">
              <w:rPr>
                <w:lang w:val="bg-BG"/>
              </w:rPr>
              <w:t>ориентир</w:t>
            </w:r>
            <w:r w:rsidR="00E802CE" w:rsidRPr="004E3CCA">
              <w:rPr>
                <w:lang w:val="bg-BG"/>
              </w:rPr>
              <w:t xml:space="preserve"> за </w:t>
            </w:r>
            <w:r>
              <w:t xml:space="preserve">очаквано </w:t>
            </w:r>
            <w:r w:rsidR="00E802CE" w:rsidRPr="004E3CCA">
              <w:rPr>
                <w:lang w:val="bg-BG"/>
              </w:rPr>
              <w:t>бъдещо кредитиране.</w:t>
            </w:r>
          </w:p>
        </w:tc>
      </w:tr>
      <w:tr w:rsidR="00FE5D64"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FE5D64" w:rsidRDefault="00E40776">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FE5D64" w:rsidRDefault="00E40776">
            <w:pPr>
              <w:pStyle w:val="P68B1DB1-TableParagraph14"/>
              <w:spacing w:before="108"/>
              <w:rPr>
                <w:bCs/>
              </w:rPr>
            </w:pPr>
            <w:r>
              <w:t>Брой клиенти</w:t>
            </w:r>
          </w:p>
          <w:p w14:paraId="7FE1BAEA" w14:textId="0D6C3C4D" w:rsidR="00FE5D64" w:rsidRDefault="00E40776" w:rsidP="008B0709">
            <w:pPr>
              <w:pStyle w:val="P68B1DB1-TableParagraph17"/>
              <w:spacing w:before="108"/>
            </w:pPr>
            <w:r>
              <w:t>Общ брой клиенти,</w:t>
            </w:r>
            <w:r w:rsidR="007279AB">
              <w:rPr>
                <w:lang w:val="bg-BG"/>
              </w:rPr>
              <w:t xml:space="preserve"> въз основа на който са</w:t>
            </w:r>
            <w:r>
              <w:t xml:space="preserve"> </w:t>
            </w:r>
            <w:r w:rsidR="007279AB">
              <w:rPr>
                <w:lang w:val="bg-BG"/>
              </w:rPr>
              <w:t>посочени</w:t>
            </w:r>
            <w:r>
              <w:t xml:space="preserve"> стойностите, отчетени в c0030</w:t>
            </w:r>
            <w:r w:rsidR="00E802CE">
              <w:rPr>
                <w:lang w:val="bg-BG"/>
              </w:rPr>
              <w:t xml:space="preserve"> „</w:t>
            </w:r>
            <w:r w:rsidR="008B0709">
              <w:rPr>
                <w:lang w:val="bg-BG"/>
              </w:rPr>
              <w:t xml:space="preserve">Текуща </w:t>
            </w:r>
            <w:r w:rsidR="00E802CE">
              <w:rPr>
                <w:lang w:val="bg-BG"/>
              </w:rPr>
              <w:t>стойност</w:t>
            </w:r>
            <w:r w:rsidR="008A5C32" w:rsidRPr="004E3CCA">
              <w:rPr>
                <w:lang w:val="bg-BG"/>
              </w:rPr>
              <w:t>“</w:t>
            </w:r>
            <w:r>
              <w:t>. Ако един клиент използва повече от един кредитен продукт/кредитна сметка, клиентът се брои</w:t>
            </w:r>
            <w:r w:rsidR="00E802CE">
              <w:rPr>
                <w:lang w:val="bg-BG"/>
              </w:rPr>
              <w:t xml:space="preserve"> </w:t>
            </w:r>
            <w:r>
              <w:t>само веднъж.</w:t>
            </w:r>
          </w:p>
        </w:tc>
      </w:tr>
      <w:tr w:rsidR="00FE5D64"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FE5D64" w:rsidRPr="00305939" w:rsidRDefault="00E40776">
            <w:pPr>
              <w:pStyle w:val="P68B1DB1-TableParagraph17"/>
              <w:spacing w:before="108"/>
              <w:jc w:val="both"/>
            </w:pPr>
            <w:r w:rsidRPr="00305939">
              <w:t>0060</w:t>
            </w:r>
          </w:p>
        </w:tc>
        <w:tc>
          <w:tcPr>
            <w:tcW w:w="8003" w:type="dxa"/>
            <w:tcBorders>
              <w:top w:val="single" w:sz="4" w:space="0" w:color="1A171C"/>
              <w:left w:val="single" w:sz="4" w:space="0" w:color="1A171C"/>
              <w:bottom w:val="single" w:sz="4" w:space="0" w:color="1A171C"/>
              <w:right w:val="nil"/>
            </w:tcBorders>
            <w:vAlign w:val="center"/>
          </w:tcPr>
          <w:p w14:paraId="7FE1BAF2" w14:textId="2442896E" w:rsidR="00FE5D64" w:rsidRPr="00305939" w:rsidRDefault="008A5C32">
            <w:pPr>
              <w:pStyle w:val="P68B1DB1-TableParagraph14"/>
              <w:spacing w:before="108"/>
              <w:ind w:left="85"/>
              <w:jc w:val="both"/>
              <w:rPr>
                <w:lang w:val="bg-BG"/>
              </w:rPr>
            </w:pPr>
            <w:r w:rsidRPr="00305939">
              <w:rPr>
                <w:lang w:val="bg-BG"/>
              </w:rPr>
              <w:t>Текуща</w:t>
            </w:r>
            <w:r w:rsidRPr="00305939">
              <w:t xml:space="preserve"> </w:t>
            </w:r>
            <w:r w:rsidR="00E40776" w:rsidRPr="00305939">
              <w:t>стойност — трансгранична стойност</w:t>
            </w:r>
          </w:p>
          <w:p w14:paraId="7FE1BAF4" w14:textId="563A6B3D" w:rsidR="00FE5D64" w:rsidRDefault="008A5C32" w:rsidP="006E18FD">
            <w:pPr>
              <w:pStyle w:val="P68B1DB1-TableParagraph13"/>
              <w:spacing w:before="108"/>
              <w:ind w:left="85"/>
              <w:jc w:val="both"/>
              <w:rPr>
                <w:b/>
                <w:bCs/>
              </w:rPr>
            </w:pPr>
            <w:r w:rsidRPr="00305939">
              <w:rPr>
                <w:lang w:val="bg-BG"/>
              </w:rPr>
              <w:t>Текуща</w:t>
            </w:r>
            <w:r w:rsidRPr="00305939">
              <w:t xml:space="preserve"> </w:t>
            </w:r>
            <w:r w:rsidR="00E40776" w:rsidRPr="00305939">
              <w:t xml:space="preserve">стойност (c0030) на </w:t>
            </w:r>
            <w:r w:rsidR="00305939">
              <w:rPr>
                <w:lang w:val="bg-BG"/>
              </w:rPr>
              <w:t>кредити, отпуснати на</w:t>
            </w:r>
            <w:r w:rsidR="00E40776" w:rsidRPr="00305939">
              <w:t xml:space="preserve"> нерезиденти, вж. Депозити (c0060) „</w:t>
            </w:r>
            <w:r w:rsidR="00305939">
              <w:rPr>
                <w:lang w:val="bg-BG"/>
              </w:rPr>
              <w:t>Т</w:t>
            </w:r>
            <w:r w:rsidR="00305939" w:rsidRPr="00305939">
              <w:t>рансграничн</w:t>
            </w:r>
            <w:r w:rsidR="00305939" w:rsidRPr="00305939">
              <w:rPr>
                <w:lang w:val="bg-BG"/>
              </w:rPr>
              <w:t>а</w:t>
            </w:r>
            <w:r w:rsidR="00305939">
              <w:rPr>
                <w:lang w:val="bg-BG"/>
              </w:rPr>
              <w:t xml:space="preserve"> </w:t>
            </w:r>
            <w:r w:rsidR="00305939" w:rsidRPr="00305939">
              <w:t>стойност</w:t>
            </w:r>
            <w:r w:rsidR="00E40776" w:rsidRPr="00305939">
              <w:t>“.</w:t>
            </w:r>
          </w:p>
        </w:tc>
      </w:tr>
      <w:bookmarkEnd w:id="127"/>
      <w:tr w:rsidR="00FE5D64"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FE5D64" w:rsidRDefault="00E40776">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FE5D64" w:rsidRDefault="00E40776">
            <w:pPr>
              <w:pStyle w:val="P68B1DB1-TableParagraph14"/>
              <w:spacing w:before="108"/>
              <w:jc w:val="both"/>
              <w:rPr>
                <w:bCs/>
              </w:rPr>
            </w:pPr>
            <w:r>
              <w:t>Анализи на въздействието и заменяемостта</w:t>
            </w:r>
          </w:p>
          <w:p w14:paraId="7FE1BAFB" w14:textId="260BACD8" w:rsidR="00FE5D64" w:rsidRDefault="00E40776">
            <w:pPr>
              <w:pStyle w:val="P68B1DB1-TableParagraph13"/>
              <w:spacing w:before="108"/>
            </w:pPr>
            <w:r>
              <w:t xml:space="preserve">Критериите за оценка на въздействието върху трети страни включват следните елементи в съответствие с </w:t>
            </w:r>
            <w:r w:rsidR="008B0709">
              <w:rPr>
                <w:lang w:val="bg-BG"/>
              </w:rPr>
              <w:t xml:space="preserve">Делегиран </w:t>
            </w:r>
            <w:r>
              <w:t>регламент (ЕС) 2016/778 на Комисията относно</w:t>
            </w:r>
            <w:r w:rsidR="00722396">
              <w:t xml:space="preserve"> </w:t>
            </w:r>
            <w:r>
              <w:t>критичните функции:</w:t>
            </w:r>
          </w:p>
          <w:p w14:paraId="7FE1BAFC" w14:textId="266286EC" w:rsidR="00FE5D64" w:rsidRDefault="00E40776">
            <w:pPr>
              <w:pStyle w:val="P68B1DB1-ListParagraph38"/>
              <w:numPr>
                <w:ilvl w:val="0"/>
                <w:numId w:val="131"/>
              </w:numPr>
              <w:spacing w:line="276" w:lineRule="auto"/>
            </w:pPr>
            <w:r>
              <w:t>естеството и</w:t>
            </w:r>
            <w:r w:rsidR="00722396" w:rsidRPr="008B0709">
              <w:rPr>
                <w:lang w:val="bg-BG"/>
              </w:rPr>
              <w:t xml:space="preserve"> </w:t>
            </w:r>
            <w:r w:rsidR="00722396">
              <w:rPr>
                <w:lang w:val="bg-BG"/>
              </w:rPr>
              <w:t>обхватът</w:t>
            </w:r>
            <w:r>
              <w:t xml:space="preserve"> </w:t>
            </w:r>
            <w:r w:rsidR="00722396">
              <w:t>на дейността</w:t>
            </w:r>
            <w:r w:rsidR="00722396" w:rsidRPr="008B0709">
              <w:rPr>
                <w:lang w:val="bg-BG"/>
              </w:rPr>
              <w:t>,</w:t>
            </w:r>
            <w:r w:rsidR="00722396">
              <w:t xml:space="preserve"> </w:t>
            </w:r>
            <w:r>
              <w:t>глобалния, националния или регионалния обхват,  и обема и броя на трансакциите; броя на клиентите и контрагентите; броя на клиентите, за които институцията е единственият или основ</w:t>
            </w:r>
            <w:r w:rsidR="00A27E87">
              <w:rPr>
                <w:lang w:val="bg-BG"/>
              </w:rPr>
              <w:t>е</w:t>
            </w:r>
            <w:r>
              <w:t>н банков партньор;</w:t>
            </w:r>
          </w:p>
          <w:p w14:paraId="7FE1BAFD" w14:textId="77777777" w:rsidR="00FE5D64" w:rsidRDefault="00E40776">
            <w:pPr>
              <w:pStyle w:val="P68B1DB1-ListParagraph38"/>
              <w:numPr>
                <w:ilvl w:val="0"/>
                <w:numId w:val="131"/>
              </w:numPr>
              <w:spacing w:line="276" w:lineRule="auto"/>
            </w:pPr>
            <w:r>
              <w:t>значението на институцията 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AFE" w14:textId="77777777" w:rsidR="00FE5D64" w:rsidRDefault="00E40776">
            <w:pPr>
              <w:pStyle w:val="P68B1DB1-ListParagraph38"/>
              <w:numPr>
                <w:ilvl w:val="0"/>
                <w:numId w:val="131"/>
              </w:numPr>
              <w:spacing w:line="276" w:lineRule="auto"/>
            </w:pPr>
            <w:r>
              <w:t xml:space="preserve">естеството на клиентите и заинтересованите страни, обхванати от функцията — например, но не само, индивидуални клиенти, корпоративни клиенти, междубанкови клиенти, централни клирингови къщи и публични субекти; </w:t>
            </w:r>
          </w:p>
          <w:p w14:paraId="7FE1BAFF" w14:textId="2CDEDBFC" w:rsidR="00FE5D64" w:rsidRDefault="00E40776">
            <w:pPr>
              <w:pStyle w:val="P68B1DB1-ListParagraph38"/>
              <w:numPr>
                <w:ilvl w:val="0"/>
                <w:numId w:val="131"/>
              </w:numPr>
              <w:spacing w:line="276" w:lineRule="auto"/>
            </w:pPr>
            <w:r>
              <w:t>потенциалното сътресение</w:t>
            </w:r>
            <w:r w:rsidR="00A27E87">
              <w:t xml:space="preserve"> </w:t>
            </w:r>
            <w:r>
              <w:t xml:space="preserve">на функционирането на пазарите, инфраструктурите, клиентите и публичните услуги. По-конкретно, оценката може да обхване въздействието върху ликвидността на съответните пазари, въздействието и обхвата на сътресенията </w:t>
            </w:r>
            <w:r w:rsidR="00A27E87">
              <w:rPr>
                <w:lang w:val="bg-BG"/>
              </w:rPr>
              <w:t>по отношение на бизнеса на</w:t>
            </w:r>
            <w:r>
              <w:t xml:space="preserve"> клиентите, както и </w:t>
            </w:r>
            <w:r w:rsidR="00A27E87">
              <w:rPr>
                <w:lang w:val="bg-BG"/>
              </w:rPr>
              <w:t>по отношение на</w:t>
            </w:r>
            <w:r w:rsidR="00A27E87" w:rsidRPr="008B0709">
              <w:rPr>
                <w:lang w:val="bg-BG"/>
              </w:rPr>
              <w:t xml:space="preserve"> </w:t>
            </w:r>
            <w:r>
              <w:t>краткосрочните потребности от ликвидност; осезаемостта за контрагентите, клиентите и обществеността; капацитета и бързината на реакция на клиентите; значението за функционирането на други пазари; въздействието върху ликвидността, операциите, структурата на друг пазар; въздействието върху други контрагенти, свързани с основните клиенти, и взаимовръзките на функцията с други услуги.</w:t>
            </w:r>
          </w:p>
          <w:p w14:paraId="7FE1BB00"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FE5D64" w:rsidRDefault="00E40776">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19B1D514" w14:textId="64231159" w:rsidR="00FE5D64" w:rsidRPr="008B0709" w:rsidRDefault="008B0709">
            <w:pPr>
              <w:pStyle w:val="P68B1DB1-TableParagraph14"/>
              <w:spacing w:before="108"/>
              <w:jc w:val="both"/>
              <w:rPr>
                <w:bCs/>
                <w:lang w:val="bg-BG"/>
              </w:rPr>
            </w:pPr>
            <w:r>
              <w:rPr>
                <w:lang w:val="bg-BG"/>
              </w:rPr>
              <w:t>Същност и обхват</w:t>
            </w:r>
          </w:p>
          <w:p w14:paraId="7FE1BB04" w14:textId="742FD7A7" w:rsidR="00FE5D64" w:rsidRDefault="00E40776" w:rsidP="00FC1571">
            <w:pPr>
              <w:pStyle w:val="P68B1DB1-TableParagraph13"/>
              <w:spacing w:before="108"/>
              <w:jc w:val="both"/>
            </w:pPr>
            <w:r>
              <w:t>Глобалния</w:t>
            </w:r>
            <w:r w:rsidR="00846A67">
              <w:rPr>
                <w:lang w:val="bg-BG"/>
              </w:rPr>
              <w:t>т</w:t>
            </w:r>
            <w:r>
              <w:t>, националния</w:t>
            </w:r>
            <w:r w:rsidR="00846A67">
              <w:rPr>
                <w:lang w:val="bg-BG"/>
              </w:rPr>
              <w:t>т</w:t>
            </w:r>
            <w:r>
              <w:t xml:space="preserve"> или регионалния</w:t>
            </w:r>
            <w:r w:rsidR="00846A67">
              <w:rPr>
                <w:lang w:val="bg-BG"/>
              </w:rPr>
              <w:t>т</w:t>
            </w:r>
            <w:r>
              <w:t xml:space="preserve"> обхват, обем</w:t>
            </w:r>
            <w:r w:rsidR="00846A67">
              <w:rPr>
                <w:lang w:val="bg-BG"/>
              </w:rPr>
              <w:t>ът</w:t>
            </w:r>
            <w:r>
              <w:t xml:space="preserve"> и брой на сделките; броя</w:t>
            </w:r>
            <w:r w:rsidR="00846A67">
              <w:rPr>
                <w:lang w:val="bg-BG"/>
              </w:rPr>
              <w:t>т</w:t>
            </w:r>
            <w:r>
              <w:t xml:space="preserve"> на клиентите и контрагентите; броя</w:t>
            </w:r>
            <w:r w:rsidR="00846A67">
              <w:rPr>
                <w:lang w:val="bg-BG"/>
              </w:rPr>
              <w:t>т</w:t>
            </w:r>
            <w:r>
              <w:t xml:space="preserve"> на клиентите, за които институцията е единствен или </w:t>
            </w:r>
            <w:r w:rsidR="00FC1571">
              <w:t>основен</w:t>
            </w:r>
            <w:r w:rsidR="00846A67">
              <w:t xml:space="preserve"> </w:t>
            </w:r>
            <w:r>
              <w:t>банков партньор;</w:t>
            </w:r>
          </w:p>
        </w:tc>
      </w:tr>
      <w:tr w:rsidR="00FE5D64"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FE5D64" w:rsidRDefault="00E40776">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FE5D64" w:rsidRDefault="00E40776">
            <w:pPr>
              <w:pStyle w:val="P68B1DB1-TableParagraph14"/>
              <w:spacing w:before="108"/>
              <w:jc w:val="both"/>
              <w:rPr>
                <w:bCs/>
              </w:rPr>
            </w:pPr>
            <w:r>
              <w:t>Показател за размера 1</w:t>
            </w:r>
          </w:p>
          <w:p w14:paraId="50B226E0" w14:textId="089CC3DB" w:rsidR="00FE5D64" w:rsidRDefault="008B0709">
            <w:pPr>
              <w:pStyle w:val="P68B1DB1-Normal31"/>
              <w:spacing w:line="276" w:lineRule="auto"/>
              <w:jc w:val="both"/>
            </w:pPr>
            <w:r>
              <w:rPr>
                <w:lang w:val="bg-BG"/>
              </w:rPr>
              <w:t>Оценява се</w:t>
            </w:r>
            <w:r w:rsidR="00FC1571">
              <w:t xml:space="preserve"> </w:t>
            </w:r>
            <w:r w:rsidR="00E40776">
              <w:t xml:space="preserve">колко </w:t>
            </w:r>
            <w:r w:rsidR="00FC1571">
              <w:rPr>
                <w:lang w:val="bg-BG"/>
              </w:rPr>
              <w:t>значима</w:t>
            </w:r>
            <w:r w:rsidR="00E40776">
              <w:t xml:space="preserve"> е банката за тези дейности. Тази оценка </w:t>
            </w:r>
            <w:r w:rsidR="00FC1571">
              <w:rPr>
                <w:lang w:val="bg-BG"/>
              </w:rPr>
              <w:t>се</w:t>
            </w:r>
            <w:r w:rsidR="00E40776">
              <w:t xml:space="preserve"> израз</w:t>
            </w:r>
            <w:r w:rsidR="00FC1571">
              <w:rPr>
                <w:lang w:val="bg-BG"/>
              </w:rPr>
              <w:t>ява</w:t>
            </w:r>
            <w:r w:rsidR="00E40776">
              <w:t xml:space="preserve"> </w:t>
            </w:r>
            <w:r w:rsidR="00FC1571">
              <w:t xml:space="preserve">качествено като „висока“, „средновисока“, „среднониска“ или „ниска“. </w:t>
            </w:r>
            <w:r w:rsidRPr="00305939">
              <w:rPr>
                <w:lang w:val="bg-BG"/>
              </w:rPr>
              <w:t>Посочва се</w:t>
            </w:r>
            <w:r w:rsidR="00FC1571" w:rsidRPr="00305939">
              <w:t xml:space="preserve"> „висок</w:t>
            </w:r>
            <w:r w:rsidR="00FC1571" w:rsidRPr="00305939">
              <w:rPr>
                <w:lang w:val="bg-BG"/>
              </w:rPr>
              <w:t>а“</w:t>
            </w:r>
            <w:r w:rsidRPr="00305939">
              <w:rPr>
                <w:lang w:val="bg-BG"/>
              </w:rPr>
              <w:t>,</w:t>
            </w:r>
            <w:r w:rsidR="00FC1571" w:rsidRPr="00305939">
              <w:t xml:space="preserve"> ако размерът на функцията е </w:t>
            </w:r>
            <w:r w:rsidR="000735DA" w:rsidRPr="00305939">
              <w:rPr>
                <w:lang w:val="bg-BG"/>
              </w:rPr>
              <w:t>значителен</w:t>
            </w:r>
            <w:r w:rsidR="00FC1571" w:rsidRPr="00305939">
              <w:t>, „</w:t>
            </w:r>
            <w:r w:rsidR="00FC1571" w:rsidRPr="00305939">
              <w:rPr>
                <w:lang w:val="bg-BG"/>
              </w:rPr>
              <w:t>с</w:t>
            </w:r>
            <w:r w:rsidR="00FC1571" w:rsidRPr="00305939">
              <w:t>редновисок</w:t>
            </w:r>
            <w:r w:rsidR="00FC1571" w:rsidRPr="00305939">
              <w:rPr>
                <w:lang w:val="bg-BG"/>
              </w:rPr>
              <w:t>а</w:t>
            </w:r>
            <w:r w:rsidR="00FC1571">
              <w:rPr>
                <w:lang w:val="bg-BG"/>
              </w:rPr>
              <w:t>“</w:t>
            </w:r>
            <w:r w:rsidR="00FC1571">
              <w:t xml:space="preserve"> ако е среден, „</w:t>
            </w:r>
            <w:r w:rsidR="00FC1571">
              <w:rPr>
                <w:lang w:val="bg-BG"/>
              </w:rPr>
              <w:t>с</w:t>
            </w:r>
            <w:r w:rsidR="00FC1571">
              <w:t>реднониск</w:t>
            </w:r>
            <w:r w:rsidR="00FC1571">
              <w:rPr>
                <w:lang w:val="bg-BG"/>
              </w:rPr>
              <w:t>а“</w:t>
            </w:r>
            <w:r w:rsidR="00FC1571">
              <w:t xml:space="preserve"> ако е малък, и „нис</w:t>
            </w:r>
            <w:r w:rsidR="00FC1571">
              <w:rPr>
                <w:lang w:val="bg-BG"/>
              </w:rPr>
              <w:t>ка</w:t>
            </w:r>
            <w:r w:rsidR="00FC1571">
              <w:t xml:space="preserve">“, ако е незначителен. </w:t>
            </w:r>
            <w:r w:rsidR="00F74C0A">
              <w:rPr>
                <w:lang w:val="bg-BG"/>
              </w:rPr>
              <w:t>Могат да</w:t>
            </w:r>
            <w:r w:rsidR="00E40776">
              <w:t xml:space="preserve"> се използват</w:t>
            </w:r>
            <w:r w:rsidR="00FC1571" w:rsidRPr="008B0709">
              <w:rPr>
                <w:lang w:val="bg-BG"/>
              </w:rPr>
              <w:t xml:space="preserve"> </w:t>
            </w:r>
            <w:r w:rsidR="00FC1571">
              <w:t xml:space="preserve">макроикономически променливи като БВП, население (за депозити, </w:t>
            </w:r>
            <w:r w:rsidR="00FC1571">
              <w:rPr>
                <w:lang w:val="bg-BG"/>
              </w:rPr>
              <w:t>кредитиране</w:t>
            </w:r>
            <w:r w:rsidR="00FC1571">
              <w:t xml:space="preserve">, </w:t>
            </w:r>
            <w:r w:rsidR="00FC1571">
              <w:rPr>
                <w:lang w:val="bg-BG"/>
              </w:rPr>
              <w:t>платежни</w:t>
            </w:r>
            <w:r w:rsidR="00FC1571">
              <w:t xml:space="preserve">, </w:t>
            </w:r>
            <w:r w:rsidR="00F74C0A">
              <w:rPr>
                <w:lang w:val="bg-BG"/>
              </w:rPr>
              <w:t>касови</w:t>
            </w:r>
            <w:r w:rsidR="00FC1571">
              <w:t xml:space="preserve">, сетълмент, клиринг и </w:t>
            </w:r>
            <w:r w:rsidR="00F74C0A">
              <w:rPr>
                <w:lang w:val="bg-BG"/>
              </w:rPr>
              <w:t>попечителски услуги</w:t>
            </w:r>
            <w:r w:rsidR="00FC1571">
              <w:t xml:space="preserve">) или размер на пазара (за капиталовите пазари и финансирането на едро) като </w:t>
            </w:r>
            <w:r w:rsidR="00E40776">
              <w:t>референтен показател</w:t>
            </w:r>
            <w:r w:rsidR="00FC1571">
              <w:t xml:space="preserve"> за тази качествена оценка.</w:t>
            </w:r>
          </w:p>
          <w:p w14:paraId="7FE1BB08" w14:textId="658E0B92" w:rsidR="00FE5D64" w:rsidRDefault="00FE5D64">
            <w:pPr>
              <w:pStyle w:val="TableParagraph"/>
              <w:spacing w:before="108"/>
              <w:rPr>
                <w:rFonts w:ascii="Times New Roman" w:hAnsi="Times New Roman" w:cs="Times New Roman"/>
                <w:color w:val="000000" w:themeColor="text1"/>
                <w:sz w:val="20"/>
                <w:szCs w:val="20"/>
              </w:rPr>
            </w:pPr>
          </w:p>
          <w:p w14:paraId="7FE1BB09" w14:textId="430D391A" w:rsidR="00FE5D64" w:rsidRDefault="00E40776">
            <w:pPr>
              <w:pStyle w:val="P68B1DB1-ListParagraph32"/>
              <w:numPr>
                <w:ilvl w:val="0"/>
                <w:numId w:val="130"/>
              </w:numPr>
              <w:spacing w:line="276" w:lineRule="auto"/>
            </w:pPr>
            <w:r>
              <w:t xml:space="preserve">Експертна оценка на размера на </w:t>
            </w:r>
            <w:r w:rsidR="004172C5" w:rsidRPr="004172C5">
              <w:rPr>
                <w:lang w:val="bg-BG"/>
              </w:rPr>
              <w:t>текущите кредити</w:t>
            </w:r>
            <w:r>
              <w:t xml:space="preserve"> (c0030) от гледна точка на ЕС </w:t>
            </w:r>
            <w:r>
              <w:rPr>
                <w:i/>
              </w:rPr>
              <w:t>[</w:t>
            </w:r>
            <w:r w:rsidR="00EA5C9F">
              <w:rPr>
                <w:i/>
                <w:lang w:val="bg-BG"/>
              </w:rPr>
              <w:t>е</w:t>
            </w:r>
            <w:r w:rsidR="004172C5">
              <w:rPr>
                <w:i/>
                <w:lang w:val="bg-BG"/>
              </w:rPr>
              <w:t>д</w:t>
            </w:r>
            <w:r w:rsidR="00EA5C9F">
              <w:rPr>
                <w:i/>
                <w:lang w:val="bg-BG"/>
              </w:rPr>
              <w:t>но ниво</w:t>
            </w:r>
            <w:r>
              <w:rPr>
                <w:i/>
              </w:rPr>
              <w:t xml:space="preserve"> по-високо от съответния пазар].</w:t>
            </w:r>
            <w:r>
              <w:t xml:space="preserve"> При оценката на този показател за размер </w:t>
            </w:r>
            <w:r w:rsidR="00EA5C9F">
              <w:rPr>
                <w:lang w:val="bg-BG"/>
              </w:rPr>
              <w:t>се вземат</w:t>
            </w:r>
            <w:r w:rsidR="00EA5C9F">
              <w:t xml:space="preserve"> </w:t>
            </w:r>
            <w:r>
              <w:t>предвид и потенциалн</w:t>
            </w:r>
            <w:r w:rsidR="004172C5">
              <w:rPr>
                <w:lang w:val="bg-BG"/>
              </w:rPr>
              <w:t>о</w:t>
            </w:r>
            <w:r>
              <w:t>т</w:t>
            </w:r>
            <w:r w:rsidR="004172C5">
              <w:rPr>
                <w:lang w:val="bg-BG"/>
              </w:rPr>
              <w:t>о</w:t>
            </w:r>
            <w:r>
              <w:t xml:space="preserve"> бъдещ</w:t>
            </w:r>
            <w:r w:rsidR="004172C5">
              <w:rPr>
                <w:lang w:val="bg-BG"/>
              </w:rPr>
              <w:t>о</w:t>
            </w:r>
            <w:r>
              <w:t xml:space="preserve"> </w:t>
            </w:r>
            <w:r w:rsidR="004172C5">
              <w:rPr>
                <w:lang w:val="bg-BG"/>
              </w:rPr>
              <w:t>кредитиране</w:t>
            </w:r>
            <w:r>
              <w:t xml:space="preserve">. Може да </w:t>
            </w:r>
            <w:r w:rsidR="00EA5C9F">
              <w:rPr>
                <w:lang w:val="bg-BG"/>
              </w:rPr>
              <w:t xml:space="preserve">се </w:t>
            </w:r>
            <w:r>
              <w:t xml:space="preserve">използва наличния кредитен </w:t>
            </w:r>
            <w:r w:rsidR="00EA5C9F">
              <w:rPr>
                <w:lang w:val="bg-BG"/>
              </w:rPr>
              <w:t>портфейл</w:t>
            </w:r>
            <w:r w:rsidR="00EA5C9F">
              <w:t xml:space="preserve"> </w:t>
            </w:r>
            <w:r>
              <w:t xml:space="preserve">като </w:t>
            </w:r>
            <w:r w:rsidR="004172C5">
              <w:rPr>
                <w:lang w:val="bg-BG"/>
              </w:rPr>
              <w:t>ориентир</w:t>
            </w:r>
            <w:r w:rsidR="00EA5C9F">
              <w:rPr>
                <w:lang w:val="bg-BG"/>
              </w:rPr>
              <w:t xml:space="preserve"> за бъдещо кредитиране</w:t>
            </w:r>
            <w:r>
              <w:t xml:space="preserve">, ако </w:t>
            </w:r>
            <w:r w:rsidR="00EA5C9F">
              <w:rPr>
                <w:lang w:val="bg-BG"/>
              </w:rPr>
              <w:t>може да се приеме</w:t>
            </w:r>
            <w:r>
              <w:t>, че</w:t>
            </w:r>
            <w:r w:rsidR="009125C2">
              <w:rPr>
                <w:lang w:val="bg-BG"/>
              </w:rPr>
              <w:t xml:space="preserve"> за минал период</w:t>
            </w:r>
            <w:r>
              <w:t xml:space="preserve"> </w:t>
            </w:r>
            <w:r w:rsidR="009125C2">
              <w:rPr>
                <w:lang w:val="bg-BG"/>
              </w:rPr>
              <w:t>тази</w:t>
            </w:r>
            <w:r w:rsidR="009125C2">
              <w:t xml:space="preserve"> </w:t>
            </w:r>
            <w:r>
              <w:t>дейност отразява точно</w:t>
            </w:r>
            <w:r w:rsidR="00EA5C9F">
              <w:t xml:space="preserve"> </w:t>
            </w:r>
            <w:r>
              <w:t>планираната кредитна дейност в краткосрочен до средносрочен план.</w:t>
            </w:r>
          </w:p>
          <w:p w14:paraId="7FE1BB0B" w14:textId="3CD44DCB" w:rsidR="00FE5D64" w:rsidRPr="001A79CE" w:rsidRDefault="00E40776" w:rsidP="001118F2">
            <w:pPr>
              <w:pStyle w:val="P68B1DB1-ListParagraph32"/>
              <w:numPr>
                <w:ilvl w:val="1"/>
                <w:numId w:val="127"/>
              </w:numPr>
              <w:spacing w:line="276" w:lineRule="auto"/>
              <w:rPr>
                <w:color w:val="000000" w:themeColor="text1"/>
              </w:rPr>
            </w:pPr>
            <w:r>
              <w:t xml:space="preserve">От гледна точка на ЕС колко </w:t>
            </w:r>
            <w:r w:rsidR="00E7720F">
              <w:rPr>
                <w:lang w:val="bg-BG"/>
              </w:rPr>
              <w:t>значителна</w:t>
            </w:r>
            <w:r w:rsidR="00EA5C9F">
              <w:t xml:space="preserve"> </w:t>
            </w:r>
            <w:r>
              <w:t xml:space="preserve">според Вас е стойността на </w:t>
            </w:r>
            <w:r w:rsidR="00EA5C9F">
              <w:rPr>
                <w:lang w:val="bg-BG"/>
              </w:rPr>
              <w:t>текущите кредити</w:t>
            </w:r>
            <w:r>
              <w:t xml:space="preserve"> и поети </w:t>
            </w:r>
            <w:r w:rsidR="00EA5C9F">
              <w:rPr>
                <w:lang w:val="bg-BG"/>
              </w:rPr>
              <w:t>кредитни ангажименти</w:t>
            </w:r>
            <w:r>
              <w:t xml:space="preserve">, като </w:t>
            </w:r>
            <w:r w:rsidR="00E7720F">
              <w:rPr>
                <w:lang w:val="bg-BG"/>
              </w:rPr>
              <w:t>ориентир</w:t>
            </w:r>
            <w:r w:rsidR="00EA5C9F">
              <w:rPr>
                <w:lang w:val="bg-BG"/>
              </w:rPr>
              <w:t xml:space="preserve"> за бъдещо кредитиране</w:t>
            </w:r>
            <w:r>
              <w:t>?</w:t>
            </w:r>
          </w:p>
        </w:tc>
      </w:tr>
      <w:tr w:rsidR="00FE5D64"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FE5D64" w:rsidRDefault="00E40776">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FE5D64" w:rsidRDefault="00E40776">
            <w:pPr>
              <w:pStyle w:val="P68B1DB1-TableParagraph14"/>
              <w:spacing w:before="108"/>
              <w:jc w:val="both"/>
              <w:rPr>
                <w:bCs/>
              </w:rPr>
            </w:pPr>
            <w:r>
              <w:t>Показател за размера 2</w:t>
            </w:r>
          </w:p>
          <w:p w14:paraId="68B7FEDE" w14:textId="272CB0A3" w:rsidR="00FE5D64" w:rsidRDefault="00E7720F">
            <w:pPr>
              <w:pStyle w:val="P68B1DB1-Normal31"/>
              <w:spacing w:line="276" w:lineRule="auto"/>
              <w:jc w:val="both"/>
            </w:pPr>
            <w:r>
              <w:rPr>
                <w:lang w:val="bg-BG"/>
              </w:rPr>
              <w:t>Оценява се</w:t>
            </w:r>
            <w:r w:rsidR="00EA5C9F">
              <w:t xml:space="preserve"> </w:t>
            </w:r>
            <w:r w:rsidR="00E40776">
              <w:t xml:space="preserve">колко </w:t>
            </w:r>
            <w:r w:rsidR="00EA5C9F">
              <w:rPr>
                <w:lang w:val="bg-BG"/>
              </w:rPr>
              <w:t>значима</w:t>
            </w:r>
            <w:r w:rsidR="00E40776">
              <w:t xml:space="preserve"> е банката за тези дейности. </w:t>
            </w:r>
            <w:r w:rsidR="00EA5C9F">
              <w:t xml:space="preserve">Тази оценка </w:t>
            </w:r>
            <w:r w:rsidR="00EA5C9F">
              <w:rPr>
                <w:lang w:val="bg-BG"/>
              </w:rPr>
              <w:t>се</w:t>
            </w:r>
            <w:r w:rsidR="00EA5C9F">
              <w:t xml:space="preserve"> израз</w:t>
            </w:r>
            <w:r w:rsidR="00EA5C9F">
              <w:rPr>
                <w:lang w:val="bg-BG"/>
              </w:rPr>
              <w:t>ява</w:t>
            </w:r>
            <w:r w:rsidR="00EA5C9F">
              <w:t xml:space="preserve"> качествено като „висока“, „средновисока“, „среднониска“ или „ниска“. </w:t>
            </w:r>
            <w:r>
              <w:rPr>
                <w:lang w:val="bg-BG"/>
              </w:rPr>
              <w:t>Посочва</w:t>
            </w:r>
            <w:r>
              <w:t xml:space="preserve"> </w:t>
            </w:r>
            <w:r w:rsidR="00E40776">
              <w:t xml:space="preserve">се </w:t>
            </w:r>
            <w:r w:rsidR="00EA5C9F">
              <w:t>„висок</w:t>
            </w:r>
            <w:r w:rsidR="00EA5C9F">
              <w:rPr>
                <w:lang w:val="bg-BG"/>
              </w:rPr>
              <w:t>а“</w:t>
            </w:r>
            <w:r w:rsidR="00EA5C9F">
              <w:t xml:space="preserve"> ако размерът на функцията е </w:t>
            </w:r>
            <w:r>
              <w:rPr>
                <w:lang w:val="bg-BG"/>
              </w:rPr>
              <w:t>значителен</w:t>
            </w:r>
            <w:r w:rsidR="00EA5C9F">
              <w:t>, „</w:t>
            </w:r>
            <w:r w:rsidR="00EA5C9F">
              <w:rPr>
                <w:lang w:val="bg-BG"/>
              </w:rPr>
              <w:t>с</w:t>
            </w:r>
            <w:r w:rsidR="00EA5C9F">
              <w:t>редновисок</w:t>
            </w:r>
            <w:r w:rsidR="00EA5C9F">
              <w:rPr>
                <w:lang w:val="bg-BG"/>
              </w:rPr>
              <w:t>а“</w:t>
            </w:r>
            <w:r w:rsidR="00EA5C9F">
              <w:t xml:space="preserve"> ако е среден, „</w:t>
            </w:r>
            <w:r w:rsidR="00EA5C9F">
              <w:rPr>
                <w:lang w:val="bg-BG"/>
              </w:rPr>
              <w:t>с</w:t>
            </w:r>
            <w:r w:rsidR="00EA5C9F">
              <w:t>реднониск</w:t>
            </w:r>
            <w:r w:rsidR="00EA5C9F">
              <w:rPr>
                <w:lang w:val="bg-BG"/>
              </w:rPr>
              <w:t>а“</w:t>
            </w:r>
            <w:r w:rsidR="00EA5C9F">
              <w:t xml:space="preserve"> ако е малък, и „нис</w:t>
            </w:r>
            <w:r w:rsidR="00EA5C9F">
              <w:rPr>
                <w:lang w:val="bg-BG"/>
              </w:rPr>
              <w:t>ка</w:t>
            </w:r>
            <w:r w:rsidR="00EA5C9F">
              <w:t xml:space="preserve">“, ако е незначителен. </w:t>
            </w:r>
            <w:r>
              <w:rPr>
                <w:lang w:val="bg-BG"/>
              </w:rPr>
              <w:t>Могат да</w:t>
            </w:r>
            <w:r w:rsidR="00E40776">
              <w:t xml:space="preserve"> се използват</w:t>
            </w:r>
            <w:r w:rsidR="00EA5C9F" w:rsidRPr="00E7720F">
              <w:rPr>
                <w:lang w:val="bg-BG"/>
              </w:rPr>
              <w:t xml:space="preserve"> </w:t>
            </w:r>
            <w:r w:rsidR="00EA5C9F">
              <w:t xml:space="preserve">макроикономически променливи като БВП, население (за депозити, </w:t>
            </w:r>
            <w:r w:rsidR="00EA5C9F">
              <w:rPr>
                <w:lang w:val="bg-BG"/>
              </w:rPr>
              <w:t>кредитиране</w:t>
            </w:r>
            <w:r w:rsidR="00EA5C9F">
              <w:t xml:space="preserve">, </w:t>
            </w:r>
            <w:r w:rsidR="00EA5C9F">
              <w:rPr>
                <w:lang w:val="bg-BG"/>
              </w:rPr>
              <w:t>платежни</w:t>
            </w:r>
            <w:r w:rsidR="00EA5C9F">
              <w:t xml:space="preserve">, </w:t>
            </w:r>
            <w:r>
              <w:rPr>
                <w:lang w:val="bg-BG"/>
              </w:rPr>
              <w:t>касови</w:t>
            </w:r>
            <w:r w:rsidR="00EA5C9F">
              <w:t xml:space="preserve">, сетълмент, клиринг и </w:t>
            </w:r>
            <w:r>
              <w:rPr>
                <w:lang w:val="bg-BG"/>
              </w:rPr>
              <w:t>попечителски услуги</w:t>
            </w:r>
            <w:r w:rsidR="00EA5C9F">
              <w:t xml:space="preserve">) или размер на пазара (за капиталовите пазари и финансирането на едро) като </w:t>
            </w:r>
            <w:r w:rsidR="00E40776">
              <w:t>референтен показател</w:t>
            </w:r>
            <w:r w:rsidR="00EA5C9F">
              <w:t xml:space="preserve"> за тази качествена оценка.</w:t>
            </w:r>
          </w:p>
          <w:p w14:paraId="7FE1BB0F" w14:textId="40E27EAB" w:rsidR="00FE5D64" w:rsidRDefault="00FE5D64">
            <w:pPr>
              <w:pStyle w:val="TableParagraph"/>
              <w:spacing w:before="108"/>
              <w:rPr>
                <w:rFonts w:ascii="Times New Roman" w:hAnsi="Times New Roman" w:cs="Times New Roman"/>
                <w:color w:val="000000" w:themeColor="text1"/>
                <w:sz w:val="20"/>
                <w:szCs w:val="20"/>
              </w:rPr>
            </w:pPr>
          </w:p>
          <w:p w14:paraId="7FE1BB10" w14:textId="4C225025" w:rsidR="00FE5D64" w:rsidRDefault="00E40776">
            <w:pPr>
              <w:pStyle w:val="P68B1DB1-ListParagraph32"/>
              <w:numPr>
                <w:ilvl w:val="0"/>
                <w:numId w:val="121"/>
              </w:numPr>
              <w:spacing w:line="276" w:lineRule="auto"/>
            </w:pPr>
            <w:r>
              <w:t xml:space="preserve">Експертна оценка на размера на </w:t>
            </w:r>
            <w:r>
              <w:rPr>
                <w:b/>
              </w:rPr>
              <w:t>броя</w:t>
            </w:r>
            <w:r>
              <w:t xml:space="preserve"> клиенти (c0040) от </w:t>
            </w:r>
            <w:r>
              <w:rPr>
                <w:b/>
              </w:rPr>
              <w:t>национална</w:t>
            </w:r>
            <w:r>
              <w:t xml:space="preserve"> гледна точка </w:t>
            </w:r>
            <w:r>
              <w:rPr>
                <w:i/>
              </w:rPr>
              <w:t>[на равнището на съответния пазар]</w:t>
            </w:r>
            <w:r>
              <w:t>:</w:t>
            </w:r>
          </w:p>
          <w:p w14:paraId="7FE1BB11" w14:textId="54B10295" w:rsidR="00FE5D64" w:rsidRDefault="00EA5C9F">
            <w:pPr>
              <w:pStyle w:val="P68B1DB1-ListParagraph32"/>
              <w:numPr>
                <w:ilvl w:val="1"/>
                <w:numId w:val="121"/>
              </w:numPr>
              <w:spacing w:line="276" w:lineRule="auto"/>
            </w:pPr>
            <w:r>
              <w:rPr>
                <w:lang w:val="bg-BG"/>
              </w:rPr>
              <w:t xml:space="preserve">Колко значителен </w:t>
            </w:r>
            <w:r w:rsidR="00E9486C">
              <w:rPr>
                <w:lang w:val="bg-BG"/>
              </w:rPr>
              <w:t>смятате</w:t>
            </w:r>
            <w:r>
              <w:rPr>
                <w:lang w:val="bg-BG"/>
              </w:rPr>
              <w:t>, че е общият брой на клиентите на отчетната институция</w:t>
            </w:r>
            <w:r w:rsidR="00954BF8">
              <w:rPr>
                <w:lang w:val="bg-BG"/>
              </w:rPr>
              <w:t xml:space="preserve"> на национално равнище</w:t>
            </w:r>
            <w:r w:rsidR="00E40776">
              <w:t>?</w:t>
            </w:r>
          </w:p>
          <w:p w14:paraId="7FE1BB17" w14:textId="77777777" w:rsidR="00FE5D64" w:rsidRDefault="00FE5D64">
            <w:pPr>
              <w:rPr>
                <w:rFonts w:ascii="Times New Roman" w:hAnsi="Times New Roman"/>
                <w:color w:val="000000" w:themeColor="text1"/>
                <w:sz w:val="20"/>
                <w:szCs w:val="20"/>
              </w:rPr>
            </w:pPr>
          </w:p>
        </w:tc>
      </w:tr>
      <w:tr w:rsidR="00FE5D64"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FE5D64" w:rsidRDefault="00E40776">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FE5D64" w:rsidRDefault="00E40776">
            <w:pPr>
              <w:pStyle w:val="P68B1DB1-TableParagraph14"/>
              <w:spacing w:before="108"/>
              <w:jc w:val="both"/>
              <w:rPr>
                <w:bCs/>
              </w:rPr>
            </w:pPr>
            <w:r>
              <w:t>Трансграничен показател</w:t>
            </w:r>
          </w:p>
          <w:p w14:paraId="7FE1BB1B" w14:textId="083DB715" w:rsidR="00FE5D64" w:rsidRDefault="00E40776">
            <w:pPr>
              <w:pStyle w:val="P68B1DB1-TableParagraph13"/>
              <w:spacing w:before="108"/>
            </w:pPr>
            <w:r>
              <w:t>Оценка на относителното значение на трансграничните</w:t>
            </w:r>
            <w:r w:rsidR="007A50E2">
              <w:t xml:space="preserve"> </w:t>
            </w:r>
            <w:r>
              <w:t>дейности за различните икономически функции.</w:t>
            </w:r>
          </w:p>
          <w:p w14:paraId="7FE1BB1C" w14:textId="0B9B8E2D" w:rsidR="00FE5D64" w:rsidRDefault="007A50E2">
            <w:pPr>
              <w:pStyle w:val="P68B1DB1-TableParagraph13"/>
              <w:spacing w:before="108"/>
            </w:pPr>
            <w:r>
              <w:rPr>
                <w:lang w:val="bg-BG"/>
              </w:rPr>
              <w:t>Н</w:t>
            </w:r>
            <w:r w:rsidR="00E40776">
              <w:t>е е необходимо да се оценява в случа</w:t>
            </w:r>
            <w:r>
              <w:rPr>
                <w:lang w:val="bg-BG"/>
              </w:rPr>
              <w:t>ите</w:t>
            </w:r>
            <w:r w:rsidR="00432493">
              <w:rPr>
                <w:lang w:val="bg-BG"/>
              </w:rPr>
              <w:t>,</w:t>
            </w:r>
            <w:r>
              <w:rPr>
                <w:lang w:val="bg-BG"/>
              </w:rPr>
              <w:t xml:space="preserve"> когато</w:t>
            </w:r>
            <w:r w:rsidRPr="00E7720F">
              <w:rPr>
                <w:lang w:val="bg-BG"/>
              </w:rPr>
              <w:t xml:space="preserve"> </w:t>
            </w:r>
            <w:r w:rsidR="00E40776">
              <w:t xml:space="preserve">съответният пазар се </w:t>
            </w:r>
            <w:r w:rsidR="00432493">
              <w:rPr>
                <w:lang w:val="bg-BG"/>
              </w:rPr>
              <w:t>смята</w:t>
            </w:r>
            <w:r w:rsidR="00432493">
              <w:t xml:space="preserve"> </w:t>
            </w:r>
            <w:r w:rsidR="00E40776">
              <w:t xml:space="preserve">за регионален. </w:t>
            </w:r>
          </w:p>
          <w:p w14:paraId="7FE1BB1D" w14:textId="55300B23" w:rsidR="00FE5D64" w:rsidRDefault="00E40776">
            <w:pPr>
              <w:pStyle w:val="P68B1DB1-TableParagraph33"/>
              <w:spacing w:before="108"/>
              <w:jc w:val="both"/>
            </w:pPr>
            <w:r>
              <w:t xml:space="preserve">Брой </w:t>
            </w:r>
            <w:r w:rsidR="0049464F">
              <w:rPr>
                <w:lang w:val="bg-BG"/>
              </w:rPr>
              <w:t>страни</w:t>
            </w:r>
            <w:r>
              <w:t xml:space="preserve"> от ЕС, в които отчитащият се субект има пазарен дял над 2% (изразен като стойност на </w:t>
            </w:r>
            <w:r w:rsidR="007A50E2">
              <w:rPr>
                <w:lang w:val="bg-BG"/>
              </w:rPr>
              <w:t>текущи</w:t>
            </w:r>
            <w:r w:rsidR="0049464F">
              <w:rPr>
                <w:lang w:val="bg-BG"/>
              </w:rPr>
              <w:t>те</w:t>
            </w:r>
            <w:r w:rsidR="007A50E2">
              <w:rPr>
                <w:lang w:val="bg-BG"/>
              </w:rPr>
              <w:t xml:space="preserve"> кредити</w:t>
            </w:r>
            <w:r>
              <w:t xml:space="preserve">). </w:t>
            </w:r>
            <w:r w:rsidR="0049464F">
              <w:rPr>
                <w:lang w:val="bg-BG"/>
              </w:rPr>
              <w:t>Посочва се</w:t>
            </w:r>
            <w:r>
              <w:t>:</w:t>
            </w:r>
          </w:p>
          <w:p w14:paraId="7FE1BB1E" w14:textId="2F282C29" w:rsidR="00FE5D64" w:rsidRDefault="00E40776">
            <w:pPr>
              <w:pStyle w:val="P68B1DB1-TableParagraph33"/>
              <w:numPr>
                <w:ilvl w:val="0"/>
                <w:numId w:val="282"/>
              </w:numPr>
              <w:spacing w:before="108"/>
              <w:jc w:val="both"/>
            </w:pPr>
            <w:r>
              <w:t>≤ 1 държава;</w:t>
            </w:r>
          </w:p>
          <w:p w14:paraId="7FE1BB1F" w14:textId="3332F0B2" w:rsidR="00FE5D64" w:rsidRDefault="00E40776">
            <w:pPr>
              <w:pStyle w:val="P68B1DB1-TableParagraph33"/>
              <w:numPr>
                <w:ilvl w:val="0"/>
                <w:numId w:val="282"/>
              </w:numPr>
              <w:spacing w:before="108"/>
              <w:jc w:val="both"/>
            </w:pPr>
            <w:r>
              <w:t>2—3 държави</w:t>
            </w:r>
          </w:p>
          <w:p w14:paraId="7FE1BB20" w14:textId="4448A14C" w:rsidR="00FE5D64" w:rsidRDefault="00E40776">
            <w:pPr>
              <w:pStyle w:val="P68B1DB1-TableParagraph33"/>
              <w:numPr>
                <w:ilvl w:val="0"/>
                <w:numId w:val="282"/>
              </w:numPr>
              <w:spacing w:before="108"/>
              <w:jc w:val="both"/>
            </w:pPr>
            <w:r>
              <w:t xml:space="preserve">4—5 </w:t>
            </w:r>
            <w:r w:rsidR="00E7720F">
              <w:rPr>
                <w:lang w:val="bg-BG"/>
              </w:rPr>
              <w:t>държави;</w:t>
            </w:r>
          </w:p>
          <w:p w14:paraId="7FE1BB21" w14:textId="15470E56" w:rsidR="00FE5D64" w:rsidRDefault="00E40776">
            <w:pPr>
              <w:pStyle w:val="P68B1DB1-TableParagraph33"/>
              <w:numPr>
                <w:ilvl w:val="0"/>
                <w:numId w:val="282"/>
              </w:numPr>
              <w:spacing w:before="108"/>
              <w:jc w:val="both"/>
              <w:rPr>
                <w:rFonts w:cs="Times New Roman"/>
                <w:color w:val="000000" w:themeColor="text1"/>
              </w:rPr>
            </w:pPr>
            <w:r>
              <w:t>&gt; 5 държави</w:t>
            </w:r>
            <w:r w:rsidR="00DE2F45">
              <w:rPr>
                <w:lang w:val="bg-BG"/>
              </w:rPr>
              <w:t>.</w:t>
            </w:r>
          </w:p>
        </w:tc>
      </w:tr>
      <w:tr w:rsidR="00FE5D64"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FE5D64" w:rsidRDefault="00E40776">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69110619" w:rsidR="00FE5D64" w:rsidRDefault="00E60206">
            <w:pPr>
              <w:pStyle w:val="P68B1DB1-TableParagraph13"/>
              <w:spacing w:before="108"/>
              <w:jc w:val="both"/>
            </w:pPr>
            <w:r>
              <w:rPr>
                <w:b/>
                <w:lang w:val="bg-BG"/>
              </w:rPr>
              <w:t>Значимост</w:t>
            </w:r>
            <w:r>
              <w:rPr>
                <w:b/>
              </w:rPr>
              <w:t xml:space="preserve"> </w:t>
            </w:r>
            <w:r w:rsidR="00E40776">
              <w:t xml:space="preserve">— </w:t>
            </w:r>
          </w:p>
          <w:p w14:paraId="7FE1BB25" w14:textId="77777777" w:rsidR="00FE5D64" w:rsidRDefault="00E40776">
            <w:pPr>
              <w:pStyle w:val="P68B1DB1-TableParagraph13"/>
              <w:spacing w:before="108"/>
              <w:jc w:val="both"/>
            </w:pPr>
            <w:r>
              <w:t>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B26" w14:textId="77777777" w:rsidR="00FE5D64" w:rsidRDefault="00E40776">
            <w:pPr>
              <w:pStyle w:val="P68B1DB1-TableParagraph14"/>
              <w:spacing w:before="108"/>
              <w:jc w:val="both"/>
              <w:rPr>
                <w:bCs/>
              </w:rPr>
            </w:pPr>
            <w:r>
              <w:t>Пазарен дял</w:t>
            </w:r>
          </w:p>
          <w:p w14:paraId="4A7FDA65" w14:textId="3E55AFE8" w:rsidR="00FE5D64" w:rsidRDefault="00E60206">
            <w:pPr>
              <w:pStyle w:val="P68B1DB1-Normal31"/>
              <w:spacing w:line="276" w:lineRule="auto"/>
              <w:jc w:val="both"/>
            </w:pPr>
            <w:r>
              <w:rPr>
                <w:lang w:val="bg-BG"/>
              </w:rPr>
              <w:t xml:space="preserve">Оценява се значимостта на </w:t>
            </w:r>
            <w:r w:rsidR="00E40776">
              <w:t xml:space="preserve">пазарния дял на отчитащия се субект в сравнение с националния или друг съответен пазар, както е посочено в образеца. Тази оценка </w:t>
            </w:r>
            <w:r w:rsidR="005D0F83">
              <w:rPr>
                <w:lang w:val="bg-BG"/>
              </w:rPr>
              <w:t xml:space="preserve">се </w:t>
            </w:r>
            <w:r w:rsidR="005D0F83">
              <w:t>израз</w:t>
            </w:r>
            <w:r w:rsidR="005D0F83">
              <w:rPr>
                <w:lang w:val="bg-BG"/>
              </w:rPr>
              <w:t>ява</w:t>
            </w:r>
            <w:r w:rsidR="005D0F83">
              <w:t xml:space="preserve"> </w:t>
            </w:r>
            <w:r w:rsidR="00E40776">
              <w:t xml:space="preserve">качествено по следния начин: </w:t>
            </w:r>
          </w:p>
          <w:p w14:paraId="25EA33C7" w14:textId="784A3F34" w:rsidR="00FE5D64" w:rsidRDefault="00E40776">
            <w:pPr>
              <w:pStyle w:val="P68B1DB1-ListParagraph32"/>
              <w:numPr>
                <w:ilvl w:val="0"/>
                <w:numId w:val="276"/>
              </w:numPr>
              <w:spacing w:line="276" w:lineRule="auto"/>
              <w:jc w:val="both"/>
            </w:pPr>
            <w:r>
              <w:t xml:space="preserve">Висок, ако пазарният дял е </w:t>
            </w:r>
            <w:r w:rsidR="00765B62">
              <w:rPr>
                <w:lang w:val="bg-BG"/>
              </w:rPr>
              <w:t>значителен</w:t>
            </w:r>
          </w:p>
          <w:p w14:paraId="24D12007" w14:textId="5367AB9F" w:rsidR="00FE5D64" w:rsidRDefault="00E40776">
            <w:pPr>
              <w:pStyle w:val="P68B1DB1-ListParagraph32"/>
              <w:numPr>
                <w:ilvl w:val="0"/>
                <w:numId w:val="276"/>
              </w:numPr>
              <w:spacing w:line="276" w:lineRule="auto"/>
              <w:jc w:val="both"/>
            </w:pPr>
            <w:r>
              <w:t>Средновисок, ако пазарният дял е среден</w:t>
            </w:r>
          </w:p>
          <w:p w14:paraId="05C67201" w14:textId="4B2FC4CF" w:rsidR="00FE5D64" w:rsidRDefault="00E40776">
            <w:pPr>
              <w:pStyle w:val="P68B1DB1-ListParagraph32"/>
              <w:numPr>
                <w:ilvl w:val="0"/>
                <w:numId w:val="276"/>
              </w:numPr>
              <w:spacing w:line="276" w:lineRule="auto"/>
              <w:jc w:val="both"/>
            </w:pPr>
            <w:r>
              <w:t xml:space="preserve">Среднонисък, ако пазарният дял е малък или </w:t>
            </w:r>
          </w:p>
          <w:p w14:paraId="29105274" w14:textId="77777777" w:rsidR="00FE5D64" w:rsidRDefault="00E40776">
            <w:pPr>
              <w:pStyle w:val="P68B1DB1-ListParagraph32"/>
              <w:numPr>
                <w:ilvl w:val="0"/>
                <w:numId w:val="276"/>
              </w:numPr>
              <w:spacing w:line="276" w:lineRule="auto"/>
              <w:jc w:val="both"/>
            </w:pPr>
            <w:r>
              <w:t xml:space="preserve">Нисък, ако пазарният дял е незначителен. </w:t>
            </w:r>
          </w:p>
          <w:p w14:paraId="7FE1BB2B" w14:textId="586F4387" w:rsidR="00FE5D64" w:rsidRDefault="00FE5D64">
            <w:pPr>
              <w:pStyle w:val="ListParagraph"/>
              <w:spacing w:line="276" w:lineRule="auto"/>
              <w:jc w:val="both"/>
              <w:rPr>
                <w:rFonts w:ascii="Times New Roman" w:eastAsiaTheme="minorHAnsi" w:hAnsi="Times New Roman"/>
                <w:color w:val="000000" w:themeColor="text1"/>
                <w:sz w:val="20"/>
                <w:szCs w:val="20"/>
              </w:rPr>
            </w:pPr>
          </w:p>
          <w:p w14:paraId="7FE1BB2D" w14:textId="6DCEC8E2" w:rsidR="00FE5D64" w:rsidRDefault="00E40776">
            <w:pPr>
              <w:pStyle w:val="P68B1DB1-TableParagraph13"/>
              <w:spacing w:before="108"/>
            </w:pPr>
            <w:r>
              <w:t>При тази оценка се взема предвид пазарната структура на държавата на отчитащ</w:t>
            </w:r>
            <w:r w:rsidR="005D0F83">
              <w:rPr>
                <w:lang w:val="bg-BG"/>
              </w:rPr>
              <w:t>ия</w:t>
            </w:r>
            <w:r>
              <w:t xml:space="preserve"> се </w:t>
            </w:r>
            <w:r w:rsidR="005D0F83">
              <w:rPr>
                <w:lang w:val="bg-BG"/>
              </w:rPr>
              <w:t>субект</w:t>
            </w:r>
            <w:r w:rsidR="005D0F83">
              <w:t xml:space="preserve"> </w:t>
            </w:r>
            <w:r>
              <w:t xml:space="preserve">(или друг съответен пазар) и пазарните дялове, отчетени </w:t>
            </w:r>
            <w:r w:rsidR="00765B62">
              <w:rPr>
                <w:lang w:val="bg-BG"/>
              </w:rPr>
              <w:t xml:space="preserve">в част </w:t>
            </w:r>
            <w:r>
              <w:t>2.</w:t>
            </w:r>
            <w:r w:rsidR="00765B62">
              <w:rPr>
                <w:lang w:val="bg-BG"/>
              </w:rPr>
              <w:t xml:space="preserve"> </w:t>
            </w:r>
            <w:r>
              <w:t>Количествени данни:</w:t>
            </w:r>
          </w:p>
          <w:p w14:paraId="7FE1BB2F" w14:textId="4C845A6F" w:rsidR="00FE5D64" w:rsidRPr="005D0F83" w:rsidRDefault="00E40776" w:rsidP="005D0F83">
            <w:pPr>
              <w:pStyle w:val="P68B1DB1-ListParagraph32"/>
              <w:numPr>
                <w:ilvl w:val="0"/>
                <w:numId w:val="117"/>
              </w:numPr>
              <w:spacing w:before="108" w:line="276" w:lineRule="auto"/>
              <w:jc w:val="both"/>
              <w:rPr>
                <w:i/>
              </w:rPr>
            </w:pPr>
            <w:r>
              <w:t xml:space="preserve">Експертна оценка на размера на </w:t>
            </w:r>
            <w:r w:rsidRPr="000C3F46">
              <w:rPr>
                <w:b/>
              </w:rPr>
              <w:t xml:space="preserve">националния </w:t>
            </w:r>
            <w:r>
              <w:t>пазарен дял (</w:t>
            </w:r>
            <w:r w:rsidR="00765B62" w:rsidRPr="000C3F46">
              <w:rPr>
                <w:lang w:val="bg-BG"/>
              </w:rPr>
              <w:t>отчетен</w:t>
            </w:r>
            <w:r w:rsidR="00765B62">
              <w:t xml:space="preserve"> </w:t>
            </w:r>
            <w:r>
              <w:t xml:space="preserve">в c0020, освен в случаите, когато </w:t>
            </w:r>
            <w:r w:rsidR="00765B62" w:rsidRPr="000C3F46">
              <w:rPr>
                <w:lang w:val="bg-BG"/>
              </w:rPr>
              <w:t>отчетът</w:t>
            </w:r>
            <w:r w:rsidR="00765B62">
              <w:t xml:space="preserve"> </w:t>
            </w:r>
            <w:r>
              <w:t>е предоставен за различно съответно пазарно равнище, в който случай се очаква оценка на съответния пазарен дял).</w:t>
            </w:r>
          </w:p>
          <w:p w14:paraId="7FE1BB30"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FE5D64" w:rsidRDefault="00E40776">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FE5D64" w:rsidRDefault="00E40776">
            <w:pPr>
              <w:pStyle w:val="P68B1DB1-TableParagraph14"/>
              <w:spacing w:before="108"/>
              <w:jc w:val="both"/>
              <w:rPr>
                <w:bCs/>
              </w:rPr>
            </w:pPr>
            <w:r>
              <w:t>Пазарна структура — концентрация на пазара</w:t>
            </w:r>
          </w:p>
          <w:p w14:paraId="31ED512D" w14:textId="11DA6345" w:rsidR="0037274F" w:rsidRDefault="0037274F" w:rsidP="005D0F83">
            <w:pPr>
              <w:pStyle w:val="P68B1DB1-Normal31"/>
              <w:jc w:val="both"/>
            </w:pPr>
            <w:r>
              <w:t xml:space="preserve">Концентрацията на пазара, измерена </w:t>
            </w:r>
            <w:r>
              <w:rPr>
                <w:lang w:val="bg-BG"/>
              </w:rPr>
              <w:t>според</w:t>
            </w:r>
            <w:r>
              <w:t xml:space="preserve"> броя на конкурентите, които понастоящем </w:t>
            </w:r>
            <w:r>
              <w:rPr>
                <w:lang w:val="bg-BG"/>
              </w:rPr>
              <w:t>изпълняват</w:t>
            </w:r>
            <w:r>
              <w:t xml:space="preserve"> сходни икономически функции и/или предлага</w:t>
            </w:r>
            <w:r>
              <w:rPr>
                <w:lang w:val="bg-BG"/>
              </w:rPr>
              <w:t>т</w:t>
            </w:r>
            <w:r>
              <w:t xml:space="preserve"> сходни услуги при равни условия (т.е.</w:t>
            </w:r>
            <w:r w:rsidR="005D0F83">
              <w:rPr>
                <w:lang w:val="bg-BG"/>
              </w:rPr>
              <w:t xml:space="preserve"> </w:t>
            </w:r>
            <w:r>
              <w:rPr>
                <w:lang w:val="bg-BG"/>
              </w:rPr>
              <w:t xml:space="preserve">в </w:t>
            </w:r>
            <w:r>
              <w:t xml:space="preserve">съпоставима степен и качество и на сравнима цена), които потенциално </w:t>
            </w:r>
            <w:r>
              <w:rPr>
                <w:lang w:val="bg-BG"/>
              </w:rPr>
              <w:t>могат да</w:t>
            </w:r>
            <w:r>
              <w:t xml:space="preserve"> поемат (част от) клиентите и/или дейност</w:t>
            </w:r>
            <w:r>
              <w:rPr>
                <w:lang w:val="bg-BG"/>
              </w:rPr>
              <w:t>та</w:t>
            </w:r>
            <w:r>
              <w:t xml:space="preserve"> на отчитащ</w:t>
            </w:r>
            <w:r w:rsidR="005D0F83">
              <w:rPr>
                <w:lang w:val="bg-BG"/>
              </w:rPr>
              <w:t>ия</w:t>
            </w:r>
            <w:r>
              <w:t xml:space="preserve"> се </w:t>
            </w:r>
            <w:r w:rsidR="005D0F83">
              <w:rPr>
                <w:lang w:val="bg-BG"/>
              </w:rPr>
              <w:t>субек</w:t>
            </w:r>
            <w:r w:rsidR="00665069">
              <w:rPr>
                <w:lang w:val="bg-BG"/>
              </w:rPr>
              <w:t>т</w:t>
            </w:r>
            <w:r w:rsidR="005D0F83">
              <w:t xml:space="preserve"> </w:t>
            </w:r>
            <w:r>
              <w:t xml:space="preserve">в разумен срок. </w:t>
            </w:r>
          </w:p>
          <w:p w14:paraId="78500ABA" w14:textId="7A7CA3D0" w:rsidR="0037274F" w:rsidRDefault="0037274F" w:rsidP="005D0F83">
            <w:pPr>
              <w:pStyle w:val="P68B1DB1-Normal31"/>
              <w:jc w:val="both"/>
            </w:pPr>
            <w:r>
              <w:rPr>
                <w:lang w:val="bg-BG"/>
              </w:rPr>
              <w:t>Концентрацията на пазара</w:t>
            </w:r>
            <w:r>
              <w:t xml:space="preserve"> се отчита в </w:t>
            </w:r>
            <w:r>
              <w:rPr>
                <w:lang w:val="bg-BG"/>
              </w:rPr>
              <w:t>категории</w:t>
            </w:r>
            <w:r>
              <w:t xml:space="preserve">, които са еднакви за всяка подфункция. </w:t>
            </w:r>
          </w:p>
          <w:p w14:paraId="31B88A8A" w14:textId="1AA55090" w:rsidR="0037274F" w:rsidRDefault="0037274F" w:rsidP="0037274F">
            <w:pPr>
              <w:pStyle w:val="P68B1DB1-ListParagraph32"/>
              <w:numPr>
                <w:ilvl w:val="0"/>
                <w:numId w:val="277"/>
              </w:numPr>
              <w:jc w:val="both"/>
            </w:pPr>
            <w:r>
              <w:t>&gt; 20 конкурент</w:t>
            </w:r>
            <w:r w:rsidR="005D0F83">
              <w:rPr>
                <w:lang w:val="bg-BG"/>
              </w:rPr>
              <w:t>а</w:t>
            </w:r>
            <w:r>
              <w:t xml:space="preserve">; </w:t>
            </w:r>
          </w:p>
          <w:p w14:paraId="0FA7AB79" w14:textId="3674A180" w:rsidR="0037274F" w:rsidRDefault="0037274F" w:rsidP="0037274F">
            <w:pPr>
              <w:pStyle w:val="P68B1DB1-ListParagraph32"/>
              <w:numPr>
                <w:ilvl w:val="0"/>
                <w:numId w:val="277"/>
              </w:numPr>
              <w:jc w:val="both"/>
            </w:pPr>
            <w:r>
              <w:rPr>
                <w:lang w:val="bg-BG"/>
              </w:rPr>
              <w:t xml:space="preserve">От </w:t>
            </w:r>
            <w:r>
              <w:t>11</w:t>
            </w:r>
            <w:r>
              <w:rPr>
                <w:lang w:val="bg-BG"/>
              </w:rPr>
              <w:t xml:space="preserve"> до </w:t>
            </w:r>
            <w:r>
              <w:t>20 конкурент</w:t>
            </w:r>
            <w:r w:rsidR="005D0F83">
              <w:rPr>
                <w:lang w:val="bg-BG"/>
              </w:rPr>
              <w:t>а</w:t>
            </w:r>
            <w:r>
              <w:t xml:space="preserve">; </w:t>
            </w:r>
          </w:p>
          <w:p w14:paraId="2E6A048B" w14:textId="33BADC80" w:rsidR="0037274F" w:rsidRDefault="0037274F" w:rsidP="0037274F">
            <w:pPr>
              <w:pStyle w:val="P68B1DB1-ListParagraph32"/>
              <w:numPr>
                <w:ilvl w:val="0"/>
                <w:numId w:val="277"/>
              </w:numPr>
              <w:jc w:val="both"/>
            </w:pPr>
            <w:r>
              <w:t xml:space="preserve">От 5 до 10 </w:t>
            </w:r>
            <w:r w:rsidR="005D0F83">
              <w:rPr>
                <w:lang w:val="bg-BG"/>
              </w:rPr>
              <w:t>конкурента;</w:t>
            </w:r>
          </w:p>
          <w:p w14:paraId="343D1C31" w14:textId="22A9EFD8" w:rsidR="0037274F" w:rsidRDefault="0037274F" w:rsidP="0037274F">
            <w:pPr>
              <w:pStyle w:val="P68B1DB1-ListParagraph32"/>
              <w:numPr>
                <w:ilvl w:val="0"/>
                <w:numId w:val="277"/>
              </w:numPr>
              <w:jc w:val="both"/>
              <w:rPr>
                <w:b/>
                <w:bCs/>
                <w:color w:val="000000" w:themeColor="text1"/>
              </w:rPr>
            </w:pPr>
            <w:r w:rsidRPr="005D0F83">
              <w:rPr>
                <w:lang w:val="bg-BG"/>
              </w:rPr>
              <w:t>&lt;</w:t>
            </w:r>
            <w:r>
              <w:rPr>
                <w:lang w:val="bg-BG"/>
              </w:rPr>
              <w:t xml:space="preserve"> </w:t>
            </w:r>
            <w:r>
              <w:t>5 конкурент</w:t>
            </w:r>
            <w:r w:rsidR="005D0F83">
              <w:rPr>
                <w:lang w:val="bg-BG"/>
              </w:rPr>
              <w:t>а</w:t>
            </w:r>
            <w:r w:rsidR="00DE2F45">
              <w:rPr>
                <w:lang w:val="bg-BG"/>
              </w:rPr>
              <w:t>.</w:t>
            </w:r>
          </w:p>
          <w:p w14:paraId="7FE1BB3C" w14:textId="356BF98D" w:rsidR="00FE5D64" w:rsidRDefault="00FE5D64">
            <w:pPr>
              <w:jc w:val="both"/>
              <w:rPr>
                <w:rFonts w:ascii="Times New Roman" w:hAnsi="Times New Roman"/>
                <w:color w:val="000000" w:themeColor="text1"/>
                <w:sz w:val="20"/>
                <w:szCs w:val="20"/>
              </w:rPr>
            </w:pPr>
          </w:p>
        </w:tc>
      </w:tr>
      <w:tr w:rsidR="00FE5D64"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FE5D64" w:rsidRDefault="00E40776">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2E11CEBE" w:rsidR="00FE5D64" w:rsidRPr="005D0F83" w:rsidRDefault="005D0F83">
            <w:pPr>
              <w:pStyle w:val="P68B1DB1-TableParagraph14"/>
              <w:spacing w:before="108"/>
              <w:jc w:val="both"/>
              <w:rPr>
                <w:bCs/>
                <w:lang w:val="bg-BG"/>
              </w:rPr>
            </w:pPr>
            <w:r>
              <w:rPr>
                <w:lang w:val="bg-BG"/>
              </w:rPr>
              <w:t>Времева рамка</w:t>
            </w:r>
            <w:r>
              <w:t xml:space="preserve"> </w:t>
            </w:r>
            <w:r w:rsidR="00E40776">
              <w:t xml:space="preserve">— очаквано време за </w:t>
            </w:r>
            <w:r>
              <w:rPr>
                <w:lang w:val="bg-BG"/>
              </w:rPr>
              <w:t>заменяемост</w:t>
            </w:r>
          </w:p>
          <w:p w14:paraId="7FE1BB40" w14:textId="6493C90D" w:rsidR="00FE5D64" w:rsidRPr="005D0F83" w:rsidRDefault="005D0F83">
            <w:pPr>
              <w:pStyle w:val="P68B1DB1-TableParagraph13"/>
              <w:spacing w:before="108"/>
              <w:rPr>
                <w:lang w:val="bg-BG"/>
              </w:rPr>
            </w:pPr>
            <w:r>
              <w:rPr>
                <w:lang w:val="bg-BG"/>
              </w:rPr>
              <w:t xml:space="preserve">Оценява се необходимото време, за което </w:t>
            </w:r>
            <w:r w:rsidR="00E40776">
              <w:t xml:space="preserve">икономическата функция, предоставена от </w:t>
            </w:r>
            <w:r w:rsidR="003D5851">
              <w:rPr>
                <w:lang w:val="bg-BG"/>
              </w:rPr>
              <w:t>отчитащия се</w:t>
            </w:r>
          </w:p>
          <w:p w14:paraId="7FE1BB41" w14:textId="641A9D2F" w:rsidR="00FE5D64" w:rsidRDefault="00E40776">
            <w:pPr>
              <w:pStyle w:val="P68B1DB1-TableParagraph13"/>
              <w:spacing w:before="108"/>
            </w:pPr>
            <w:r>
              <w:t xml:space="preserve">субект, </w:t>
            </w:r>
            <w:r w:rsidR="005D0F83">
              <w:rPr>
                <w:lang w:val="bg-BG"/>
              </w:rPr>
              <w:t xml:space="preserve">може </w:t>
            </w:r>
            <w:r w:rsidR="003D5851">
              <w:rPr>
                <w:lang w:val="bg-BG"/>
              </w:rPr>
              <w:t>да бъде поета</w:t>
            </w:r>
            <w:r>
              <w:t xml:space="preserve"> от пазара в кризисна ситуация. Това включва: </w:t>
            </w:r>
          </w:p>
          <w:p w14:paraId="7FE1BB42" w14:textId="1494DBAE" w:rsidR="00FE5D64" w:rsidRDefault="00E40776">
            <w:pPr>
              <w:pStyle w:val="P68B1DB1-ListParagraph38"/>
              <w:numPr>
                <w:ilvl w:val="0"/>
                <w:numId w:val="274"/>
              </w:numPr>
              <w:jc w:val="both"/>
            </w:pPr>
            <w:r>
              <w:t xml:space="preserve">очакваното време, необходимо на един или няколко конкурента (и) за изпълнение на правните и техническите стъпки за поемане на функцията; както и  </w:t>
            </w:r>
          </w:p>
          <w:p w14:paraId="7FE1BB43" w14:textId="2EF63E2D" w:rsidR="00FE5D64" w:rsidRDefault="00E40776">
            <w:pPr>
              <w:pStyle w:val="P68B1DB1-ListParagraph38"/>
              <w:numPr>
                <w:ilvl w:val="0"/>
                <w:numId w:val="274"/>
              </w:numPr>
              <w:jc w:val="both"/>
            </w:pPr>
            <w:r>
              <w:t xml:space="preserve">времето, необходимо на ползвателите на услугата да </w:t>
            </w:r>
            <w:r w:rsidR="003D5851">
              <w:rPr>
                <w:lang w:val="bg-BG"/>
              </w:rPr>
              <w:t>преминат към</w:t>
            </w:r>
            <w:r>
              <w:t xml:space="preserve"> друг доставчик на услуги.</w:t>
            </w:r>
          </w:p>
          <w:p w14:paraId="7FE1BB44" w14:textId="77777777" w:rsidR="00FE5D64" w:rsidRDefault="00FE5D64">
            <w:pPr>
              <w:pStyle w:val="TableParagraph"/>
              <w:spacing w:before="108"/>
              <w:rPr>
                <w:rFonts w:ascii="Times New Roman" w:hAnsi="Times New Roman" w:cs="Times New Roman"/>
                <w:color w:val="000000" w:themeColor="text1"/>
                <w:sz w:val="20"/>
                <w:szCs w:val="20"/>
              </w:rPr>
            </w:pPr>
          </w:p>
          <w:p w14:paraId="7FE1BB45" w14:textId="3D4EFC2B" w:rsidR="00FE5D64" w:rsidRDefault="00E40776" w:rsidP="00660714">
            <w:pPr>
              <w:pStyle w:val="P68B1DB1-TableParagraph13"/>
              <w:spacing w:before="108"/>
            </w:pPr>
            <w:r>
              <w:t xml:space="preserve">По отношение на кредитирането например това не се отнася до </w:t>
            </w:r>
            <w:r w:rsidR="00660714">
              <w:rPr>
                <w:lang w:val="bg-BG"/>
              </w:rPr>
              <w:t>изплащането</w:t>
            </w:r>
            <w:r w:rsidR="00660714">
              <w:t xml:space="preserve"> </w:t>
            </w:r>
            <w:r>
              <w:t xml:space="preserve">на </w:t>
            </w:r>
            <w:r w:rsidR="00660714">
              <w:rPr>
                <w:lang w:val="bg-BG"/>
              </w:rPr>
              <w:t>текущия</w:t>
            </w:r>
            <w:r w:rsidR="00660714">
              <w:t xml:space="preserve"> </w:t>
            </w:r>
            <w:r>
              <w:t xml:space="preserve">портфейл или прехвърлянето на този портфейл на потенциален купувач, а по-скоро до </w:t>
            </w:r>
            <w:r w:rsidR="00E260EE">
              <w:rPr>
                <w:lang w:val="bg-BG"/>
              </w:rPr>
              <w:t>възможността</w:t>
            </w:r>
            <w:r>
              <w:t xml:space="preserve"> домакинствата, корпоративни</w:t>
            </w:r>
            <w:r w:rsidR="00660714">
              <w:rPr>
                <w:lang w:val="bg-BG"/>
              </w:rPr>
              <w:t>те клиенти</w:t>
            </w:r>
            <w:r>
              <w:t xml:space="preserve"> и </w:t>
            </w:r>
            <w:r w:rsidR="00E260EE">
              <w:rPr>
                <w:lang w:val="bg-BG"/>
              </w:rPr>
              <w:t>държавния сектор</w:t>
            </w:r>
            <w:r>
              <w:t xml:space="preserve"> да получат подобни </w:t>
            </w:r>
            <w:r w:rsidR="00660714">
              <w:rPr>
                <w:lang w:val="bg-BG"/>
              </w:rPr>
              <w:t>кредити</w:t>
            </w:r>
            <w:r w:rsidR="00660714">
              <w:t xml:space="preserve"> </w:t>
            </w:r>
            <w:r>
              <w:t>от други доставчици.</w:t>
            </w:r>
          </w:p>
          <w:p w14:paraId="7FE1BB46" w14:textId="77777777" w:rsidR="00FE5D64" w:rsidRDefault="00FE5D64">
            <w:pPr>
              <w:pStyle w:val="TableParagraph"/>
              <w:spacing w:before="108"/>
              <w:rPr>
                <w:rFonts w:ascii="Times New Roman" w:hAnsi="Times New Roman" w:cs="Times New Roman"/>
                <w:color w:val="000000" w:themeColor="text1"/>
                <w:sz w:val="20"/>
                <w:szCs w:val="20"/>
              </w:rPr>
            </w:pPr>
          </w:p>
          <w:p w14:paraId="7FE1BB47" w14:textId="5E0D6F2C" w:rsidR="00FE5D64" w:rsidRDefault="00E40776">
            <w:pPr>
              <w:pStyle w:val="P68B1DB1-TableParagraph13"/>
              <w:spacing w:before="108"/>
            </w:pPr>
            <w:r>
              <w:t>Като</w:t>
            </w:r>
            <w:r w:rsidR="00E260EE">
              <w:rPr>
                <w:lang w:val="bg-BG"/>
              </w:rPr>
              <w:t xml:space="preserve"> ориентир за горното</w:t>
            </w:r>
            <w:r>
              <w:t xml:space="preserve">, </w:t>
            </w:r>
            <w:r w:rsidR="00FD54B4">
              <w:rPr>
                <w:lang w:val="bg-BG"/>
              </w:rPr>
              <w:t>посочва се</w:t>
            </w:r>
            <w:r w:rsidR="00FD54B4">
              <w:t xml:space="preserve"> </w:t>
            </w:r>
            <w:r>
              <w:t xml:space="preserve">приблизителна оценка на времето, необходимо на отчитащия се субект да поеме в собствената си дейност (част от) услугата, предоставяна от друга институция, на разумна цена в кризисна ситуация. </w:t>
            </w:r>
            <w:r w:rsidR="00FD54B4">
              <w:rPr>
                <w:lang w:val="bg-BG"/>
              </w:rPr>
              <w:t>Посочва се</w:t>
            </w:r>
            <w:r w:rsidR="00660714">
              <w:t xml:space="preserve"> </w:t>
            </w:r>
            <w:r>
              <w:t xml:space="preserve">очакваното време за </w:t>
            </w:r>
            <w:r w:rsidR="00FD54B4">
              <w:rPr>
                <w:lang w:val="bg-BG"/>
              </w:rPr>
              <w:t>заменяемост</w:t>
            </w:r>
            <w:r w:rsidR="00FD54B4">
              <w:t xml:space="preserve"> </w:t>
            </w:r>
            <w:r>
              <w:t xml:space="preserve">в </w:t>
            </w:r>
            <w:r w:rsidR="00660714">
              <w:rPr>
                <w:lang w:val="bg-BG"/>
              </w:rPr>
              <w:t>категориите</w:t>
            </w:r>
            <w:r>
              <w:t xml:space="preserve">, </w:t>
            </w:r>
            <w:r w:rsidR="00660714">
              <w:rPr>
                <w:lang w:val="bg-BG"/>
              </w:rPr>
              <w:t>предвидени</w:t>
            </w:r>
            <w:r>
              <w:t xml:space="preserve"> в образеца:</w:t>
            </w:r>
          </w:p>
          <w:p w14:paraId="7FE1BB48" w14:textId="77777777" w:rsidR="00FE5D64" w:rsidRDefault="00FE5D64">
            <w:pPr>
              <w:pStyle w:val="TableParagraph"/>
              <w:spacing w:before="108"/>
              <w:rPr>
                <w:rFonts w:ascii="Times New Roman" w:hAnsi="Times New Roman" w:cs="Times New Roman"/>
                <w:color w:val="000000" w:themeColor="text1"/>
                <w:sz w:val="20"/>
                <w:szCs w:val="20"/>
              </w:rPr>
            </w:pPr>
          </w:p>
        </w:tc>
      </w:tr>
      <w:tr w:rsidR="00FE5D64"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FE5D64" w:rsidRDefault="00E40776">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446EC1C0" w:rsidR="00FE5D64" w:rsidRPr="00F70B9C" w:rsidRDefault="00F70B9C">
            <w:pPr>
              <w:pStyle w:val="P68B1DB1-TableParagraph14"/>
              <w:spacing w:before="108"/>
              <w:jc w:val="both"/>
              <w:rPr>
                <w:lang w:val="bg-BG"/>
              </w:rPr>
            </w:pPr>
            <w:r>
              <w:rPr>
                <w:lang w:val="bg-BG"/>
              </w:rPr>
              <w:t>Възможност за з</w:t>
            </w:r>
            <w:r w:rsidR="005F51FC">
              <w:rPr>
                <w:lang w:val="bg-BG"/>
              </w:rPr>
              <w:t>аменяемост</w:t>
            </w:r>
          </w:p>
        </w:tc>
      </w:tr>
      <w:tr w:rsidR="00FE5D64"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FE5D64" w:rsidRDefault="00E40776">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FE5D64" w:rsidRDefault="00E40776">
            <w:pPr>
              <w:pStyle w:val="P68B1DB1-TableParagraph14"/>
              <w:spacing w:before="108"/>
              <w:rPr>
                <w:bCs/>
              </w:rPr>
            </w:pPr>
            <w:r>
              <w:t>Правни пречки за навлизане на пазара или разрастване</w:t>
            </w:r>
          </w:p>
          <w:p w14:paraId="7FE1BB4F" w14:textId="77777777" w:rsidR="00FE5D64" w:rsidRDefault="00FE5D64">
            <w:pPr>
              <w:pStyle w:val="TableParagraph"/>
              <w:spacing w:before="108"/>
              <w:rPr>
                <w:rFonts w:ascii="Times New Roman" w:hAnsi="Times New Roman" w:cs="Times New Roman"/>
                <w:color w:val="000000" w:themeColor="text1"/>
                <w:sz w:val="20"/>
                <w:szCs w:val="20"/>
              </w:rPr>
            </w:pPr>
          </w:p>
          <w:p w14:paraId="7FE1BB50" w14:textId="4CCC1368" w:rsidR="00FE5D64" w:rsidRDefault="00E40776">
            <w:pPr>
              <w:pStyle w:val="P68B1DB1-TableParagraph13"/>
              <w:spacing w:before="108"/>
            </w:pPr>
            <w:r>
              <w:t xml:space="preserve">Правни пречки за конкурентите да предлагат услугата. Правните изисквания за извършване на дейността на кредитните институции (напр. банкови лицензи или капиталови изисквания) не следва да се </w:t>
            </w:r>
            <w:r w:rsidR="00F70B9C">
              <w:rPr>
                <w:lang w:val="bg-BG"/>
              </w:rPr>
              <w:t>разглеждат като</w:t>
            </w:r>
            <w:r>
              <w:t xml:space="preserve"> непреодолими пречки при наличието на алтернативни доставчици. Този показател трябва да се отчита в </w:t>
            </w:r>
            <w:r w:rsidR="005A7AC4">
              <w:rPr>
                <w:lang w:val="bg-BG"/>
              </w:rPr>
              <w:t>категории</w:t>
            </w:r>
            <w:r>
              <w:t>, които са еднакви за всяка подфункция:</w:t>
            </w:r>
          </w:p>
          <w:p w14:paraId="7FE1BB51" w14:textId="4C1165D5" w:rsidR="00FE5D64" w:rsidRDefault="00E40776">
            <w:pPr>
              <w:pStyle w:val="P68B1DB1-ListParagraph39"/>
              <w:numPr>
                <w:ilvl w:val="0"/>
                <w:numId w:val="275"/>
              </w:numPr>
              <w:jc w:val="both"/>
            </w:pPr>
            <w:r>
              <w:t>няма големи пречки,</w:t>
            </w:r>
          </w:p>
          <w:p w14:paraId="7FE1BB52" w14:textId="527C692E" w:rsidR="00FE5D64" w:rsidRDefault="005A7AC4">
            <w:pPr>
              <w:pStyle w:val="P68B1DB1-ListParagraph39"/>
              <w:numPr>
                <w:ilvl w:val="0"/>
                <w:numId w:val="275"/>
              </w:numPr>
              <w:jc w:val="both"/>
            </w:pPr>
            <w:r>
              <w:rPr>
                <w:lang w:val="bg-BG"/>
              </w:rPr>
              <w:t xml:space="preserve">съществуват </w:t>
            </w:r>
            <w:r w:rsidR="00E40776">
              <w:t>някои пречки,</w:t>
            </w:r>
          </w:p>
          <w:p w14:paraId="7FE1BB53" w14:textId="0140C76B" w:rsidR="00FE5D64" w:rsidRDefault="00E40776">
            <w:pPr>
              <w:pStyle w:val="P68B1DB1-ListParagraph39"/>
              <w:numPr>
                <w:ilvl w:val="0"/>
                <w:numId w:val="275"/>
              </w:numPr>
              <w:jc w:val="both"/>
            </w:pPr>
            <w:r>
              <w:t xml:space="preserve">значителни (но преодолими) </w:t>
            </w:r>
            <w:r w:rsidR="00F70B9C">
              <w:rPr>
                <w:lang w:val="bg-BG"/>
              </w:rPr>
              <w:t>пречки</w:t>
            </w:r>
            <w:r>
              <w:t>,</w:t>
            </w:r>
          </w:p>
          <w:p w14:paraId="7FE1BB55" w14:textId="2D2EF836" w:rsidR="00FE5D64" w:rsidRDefault="00E40776">
            <w:pPr>
              <w:pStyle w:val="P68B1DB1-ListParagraph8"/>
              <w:numPr>
                <w:ilvl w:val="0"/>
                <w:numId w:val="275"/>
              </w:numPr>
              <w:jc w:val="both"/>
            </w:pPr>
            <w:r>
              <w:t xml:space="preserve">критични (трудни за преодоляване) </w:t>
            </w:r>
            <w:r w:rsidR="00F70B9C">
              <w:rPr>
                <w:lang w:val="bg-BG"/>
              </w:rPr>
              <w:t>пречки</w:t>
            </w:r>
            <w:r>
              <w:t>.</w:t>
            </w:r>
          </w:p>
        </w:tc>
      </w:tr>
      <w:tr w:rsidR="00FE5D64"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FE5D64" w:rsidRDefault="00E40776">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3D058457" w:rsidR="00FE5D64" w:rsidRPr="00F70B9C" w:rsidRDefault="005F51FC">
            <w:pPr>
              <w:pStyle w:val="P68B1DB1-TableParagraph14"/>
              <w:spacing w:before="108"/>
              <w:rPr>
                <w:lang w:val="bg-BG"/>
              </w:rPr>
            </w:pPr>
            <w:r>
              <w:rPr>
                <w:lang w:val="bg-BG"/>
              </w:rPr>
              <w:t>Оперативни</w:t>
            </w:r>
            <w:r>
              <w:t xml:space="preserve"> </w:t>
            </w:r>
            <w:r w:rsidR="00E40776">
              <w:t>изисквания за навлизане</w:t>
            </w:r>
            <w:r w:rsidR="001E3F27">
              <w:rPr>
                <w:lang w:val="bg-BG"/>
              </w:rPr>
              <w:t xml:space="preserve"> на пазари</w:t>
            </w:r>
            <w:r w:rsidR="00E40776">
              <w:t xml:space="preserve"> или </w:t>
            </w:r>
            <w:r>
              <w:rPr>
                <w:lang w:val="bg-BG"/>
              </w:rPr>
              <w:t>разрастване</w:t>
            </w:r>
          </w:p>
          <w:p w14:paraId="7FE1BB59" w14:textId="77777777" w:rsidR="00FE5D64" w:rsidRDefault="00FE5D64">
            <w:pPr>
              <w:pStyle w:val="TableParagraph"/>
              <w:spacing w:before="108"/>
              <w:rPr>
                <w:rFonts w:ascii="Times New Roman" w:hAnsi="Times New Roman" w:cs="Times New Roman"/>
                <w:color w:val="000000" w:themeColor="text1"/>
                <w:sz w:val="20"/>
                <w:szCs w:val="20"/>
              </w:rPr>
            </w:pPr>
          </w:p>
          <w:p w14:paraId="7FE1BB5A" w14:textId="11C40943" w:rsidR="00FE5D64" w:rsidRDefault="00E40776">
            <w:pPr>
              <w:pStyle w:val="P68B1DB1-TableParagraph13"/>
              <w:spacing w:before="108"/>
            </w:pPr>
            <w:r>
              <w:t xml:space="preserve">Организационни, технически и инфраструктурни изисквания </w:t>
            </w:r>
            <w:r w:rsidR="000E2EF2">
              <w:rPr>
                <w:lang w:val="bg-BG"/>
              </w:rPr>
              <w:t>към</w:t>
            </w:r>
            <w:r w:rsidR="000E2EF2">
              <w:t xml:space="preserve"> </w:t>
            </w:r>
            <w:r>
              <w:t xml:space="preserve">конкурентите да предлагат услугата. Предлагането на услуги, свързани с (под) функцията, изисква доставчиците да инвестират в (нова или допълнителна) инфраструктура или да </w:t>
            </w:r>
            <w:r w:rsidR="003F155B">
              <w:rPr>
                <w:lang w:val="bg-BG"/>
              </w:rPr>
              <w:t xml:space="preserve">направят </w:t>
            </w:r>
            <w:r>
              <w:t>промен</w:t>
            </w:r>
            <w:r w:rsidR="003F155B">
              <w:rPr>
                <w:lang w:val="bg-BG"/>
              </w:rPr>
              <w:t>и в</w:t>
            </w:r>
            <w:r>
              <w:t xml:space="preserve"> организаци</w:t>
            </w:r>
            <w:r w:rsidR="003F155B">
              <w:rPr>
                <w:lang w:val="bg-BG"/>
              </w:rPr>
              <w:t>ята си</w:t>
            </w:r>
            <w:r>
              <w:t>. Оцен</w:t>
            </w:r>
            <w:r w:rsidR="003F155B">
              <w:rPr>
                <w:lang w:val="bg-BG"/>
              </w:rPr>
              <w:t>ява</w:t>
            </w:r>
            <w:r>
              <w:t xml:space="preserve"> </w:t>
            </w:r>
            <w:r w:rsidR="003F155B">
              <w:rPr>
                <w:lang w:val="bg-BG"/>
              </w:rPr>
              <w:t>се</w:t>
            </w:r>
            <w:r>
              <w:t xml:space="preserve"> способността на пазара да поеме даден</w:t>
            </w:r>
            <w:r w:rsidR="003F155B">
              <w:rPr>
                <w:lang w:val="bg-BG"/>
              </w:rPr>
              <w:t>а</w:t>
            </w:r>
            <w:r>
              <w:t xml:space="preserve"> </w:t>
            </w:r>
            <w:r w:rsidR="003F155B">
              <w:rPr>
                <w:lang w:val="bg-BG"/>
              </w:rPr>
              <w:t>дейност</w:t>
            </w:r>
            <w:r>
              <w:t xml:space="preserve">. </w:t>
            </w:r>
          </w:p>
          <w:p w14:paraId="7FE1BB5B" w14:textId="28A40C2F" w:rsidR="00FE5D64" w:rsidRDefault="00E40776">
            <w:pPr>
              <w:pStyle w:val="P68B1DB1-TableParagraph13"/>
              <w:spacing w:before="108"/>
            </w:pPr>
            <w:r>
              <w:t xml:space="preserve">Този показател трябва да се отчита в </w:t>
            </w:r>
            <w:r w:rsidR="003F155B">
              <w:rPr>
                <w:lang w:val="bg-BG"/>
              </w:rPr>
              <w:t>категории</w:t>
            </w:r>
            <w:r>
              <w:t xml:space="preserve">, които са еднакви за всяка подфункция: </w:t>
            </w:r>
          </w:p>
          <w:p w14:paraId="7FE1BB5C" w14:textId="7C8E68F5" w:rsidR="00FE5D64" w:rsidRDefault="00E40776">
            <w:pPr>
              <w:pStyle w:val="P68B1DB1-ListParagraph39"/>
              <w:numPr>
                <w:ilvl w:val="0"/>
                <w:numId w:val="278"/>
              </w:numPr>
              <w:jc w:val="both"/>
            </w:pPr>
            <w:r>
              <w:t xml:space="preserve">няма съществени изисквания, </w:t>
            </w:r>
          </w:p>
          <w:p w14:paraId="7FE1BB5D" w14:textId="523C55F7" w:rsidR="00FE5D64" w:rsidRDefault="003F155B">
            <w:pPr>
              <w:pStyle w:val="P68B1DB1-ListParagraph39"/>
              <w:numPr>
                <w:ilvl w:val="0"/>
                <w:numId w:val="278"/>
              </w:numPr>
              <w:jc w:val="both"/>
            </w:pPr>
            <w:r>
              <w:rPr>
                <w:lang w:val="bg-BG"/>
              </w:rPr>
              <w:t xml:space="preserve">съществуват </w:t>
            </w:r>
            <w:r w:rsidR="00E40776">
              <w:t xml:space="preserve">някои изисквания, </w:t>
            </w:r>
          </w:p>
          <w:p w14:paraId="7FE1BB5E" w14:textId="38742D6F" w:rsidR="00FE5D64" w:rsidRDefault="00E40776">
            <w:pPr>
              <w:pStyle w:val="P68B1DB1-ListParagraph39"/>
              <w:numPr>
                <w:ilvl w:val="0"/>
                <w:numId w:val="278"/>
              </w:numPr>
              <w:jc w:val="both"/>
            </w:pPr>
            <w:r>
              <w:t xml:space="preserve">съществени (но преодолими) изисквания, </w:t>
            </w:r>
          </w:p>
          <w:p w14:paraId="7FE1BB5F" w14:textId="5BFFC44E" w:rsidR="00FE5D64" w:rsidRDefault="00E40776">
            <w:pPr>
              <w:pStyle w:val="P68B1DB1-ListParagraph39"/>
              <w:numPr>
                <w:ilvl w:val="0"/>
                <w:numId w:val="278"/>
              </w:numPr>
              <w:jc w:val="both"/>
            </w:pPr>
            <w:r>
              <w:t xml:space="preserve">критични (трудни за </w:t>
            </w:r>
            <w:r w:rsidR="003F155B">
              <w:rPr>
                <w:lang w:val="bg-BG"/>
              </w:rPr>
              <w:t>преодоляване</w:t>
            </w:r>
            <w:r>
              <w:t>) изисквания.</w:t>
            </w:r>
          </w:p>
          <w:p w14:paraId="7FE1BB64" w14:textId="7064EEB7" w:rsidR="00FE5D64" w:rsidRDefault="00E40776">
            <w:pPr>
              <w:pStyle w:val="P68B1DB1-TableParagraph40"/>
              <w:spacing w:before="108"/>
              <w:ind w:left="720"/>
              <w:jc w:val="both"/>
              <w:rPr>
                <w:color w:val="000000" w:themeColor="text1"/>
              </w:rPr>
            </w:pPr>
            <w:r>
              <w:t xml:space="preserve"> </w:t>
            </w:r>
          </w:p>
        </w:tc>
      </w:tr>
      <w:tr w:rsidR="00FE5D64"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FE5D64" w:rsidRDefault="00E40776">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FE5D64" w:rsidRDefault="00E40776">
            <w:pPr>
              <w:pStyle w:val="P68B1DB1-TableParagraph14"/>
              <w:spacing w:before="108"/>
              <w:rPr>
                <w:bCs/>
              </w:rPr>
            </w:pPr>
            <w:r>
              <w:t>Оценка на критичността</w:t>
            </w:r>
          </w:p>
        </w:tc>
      </w:tr>
      <w:tr w:rsidR="00FE5D64"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FE5D64" w:rsidRDefault="00E40776">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FE5D64" w:rsidRDefault="00E40776">
            <w:pPr>
              <w:pStyle w:val="P68B1DB1-TableParagraph14"/>
              <w:spacing w:before="108"/>
              <w:rPr>
                <w:bCs/>
              </w:rPr>
            </w:pPr>
            <w:r>
              <w:t xml:space="preserve">Въздействие върху пазара </w:t>
            </w:r>
          </w:p>
          <w:p w14:paraId="7FE1BB6B" w14:textId="7E1ABB06" w:rsidR="00FE5D64" w:rsidRDefault="00E40776">
            <w:pPr>
              <w:pStyle w:val="P68B1DB1-TableParagraph13"/>
              <w:spacing w:before="108"/>
            </w:pPr>
            <w:r>
              <w:t xml:space="preserve">Очакваното въздействие </w:t>
            </w:r>
            <w:r w:rsidR="000735DA">
              <w:rPr>
                <w:lang w:val="bg-BG"/>
              </w:rPr>
              <w:t>от</w:t>
            </w:r>
            <w:r w:rsidR="000735DA">
              <w:t xml:space="preserve"> </w:t>
            </w:r>
            <w:r>
              <w:t>внезапно прекъсване на функцията върху трети страни, финансовите пазари и реалната икономика, като се вземат предвид размерът, пазарният дял в дадената държава, външните и вътрешните взаимовръзки, сложността и трансграничната дейност на институцията.</w:t>
            </w:r>
          </w:p>
          <w:p w14:paraId="7FE1BB6C" w14:textId="4440B7CC" w:rsidR="00FE5D64" w:rsidRDefault="00E40776">
            <w:pPr>
              <w:pStyle w:val="P68B1DB1-TableParagraph13"/>
              <w:spacing w:before="108"/>
            </w:pPr>
            <w:r>
              <w:t>Тази оценка се изразява качествено като „висок</w:t>
            </w:r>
            <w:r w:rsidR="000E2EF2">
              <w:rPr>
                <w:lang w:val="bg-BG"/>
              </w:rPr>
              <w:t>о</w:t>
            </w:r>
            <w:r w:rsidR="000735DA">
              <w:rPr>
                <w:lang w:val="bg-BG"/>
              </w:rPr>
              <w:t>“</w:t>
            </w:r>
            <w:r>
              <w:t>, „средн</w:t>
            </w:r>
            <w:r w:rsidR="000735DA">
              <w:rPr>
                <w:lang w:val="bg-BG"/>
              </w:rPr>
              <w:t>овисок</w:t>
            </w:r>
            <w:r w:rsidR="000E2EF2">
              <w:rPr>
                <w:lang w:val="bg-BG"/>
              </w:rPr>
              <w:t>о</w:t>
            </w:r>
            <w:r w:rsidR="000735DA">
              <w:rPr>
                <w:lang w:val="bg-BG"/>
              </w:rPr>
              <w:t>“</w:t>
            </w:r>
            <w:r>
              <w:t>, „средн</w:t>
            </w:r>
            <w:r w:rsidR="000735DA">
              <w:rPr>
                <w:lang w:val="bg-BG"/>
              </w:rPr>
              <w:t>ониск</w:t>
            </w:r>
            <w:r w:rsidR="000E2EF2">
              <w:rPr>
                <w:lang w:val="bg-BG"/>
              </w:rPr>
              <w:t>о</w:t>
            </w:r>
            <w:r w:rsidR="000735DA">
              <w:rPr>
                <w:lang w:val="bg-BG"/>
              </w:rPr>
              <w:t xml:space="preserve">“ </w:t>
            </w:r>
            <w:r>
              <w:t xml:space="preserve">или </w:t>
            </w:r>
            <w:r w:rsidR="000735DA">
              <w:rPr>
                <w:lang w:val="bg-BG"/>
              </w:rPr>
              <w:t>„</w:t>
            </w:r>
            <w:r>
              <w:t>ниск</w:t>
            </w:r>
            <w:r w:rsidR="000E2EF2">
              <w:rPr>
                <w:lang w:val="bg-BG"/>
              </w:rPr>
              <w:t>о</w:t>
            </w:r>
            <w:r w:rsidR="000735DA">
              <w:rPr>
                <w:lang w:val="bg-BG"/>
              </w:rPr>
              <w:t>“</w:t>
            </w:r>
            <w:r>
              <w:t>.</w:t>
            </w:r>
          </w:p>
          <w:p w14:paraId="7FE1BB6D" w14:textId="073B8AEF" w:rsidR="00FE5D64" w:rsidRDefault="00E40776" w:rsidP="002D03EC">
            <w:pPr>
              <w:pStyle w:val="P68B1DB1-TableParagraph13"/>
              <w:spacing w:before="108"/>
            </w:pPr>
            <w:r>
              <w:t>„Висок</w:t>
            </w:r>
            <w:r w:rsidR="000E2EF2">
              <w:rPr>
                <w:lang w:val="bg-BG"/>
              </w:rPr>
              <w:t>о</w:t>
            </w:r>
            <w:r>
              <w:t>“ се избира, ако прекъсването би оказало силно</w:t>
            </w:r>
            <w:r w:rsidR="002D03EC">
              <w:t xml:space="preserve"> </w:t>
            </w:r>
            <w:r>
              <w:t>въздействие върху националния пазар; „</w:t>
            </w:r>
            <w:r w:rsidR="002D03EC">
              <w:rPr>
                <w:lang w:val="bg-BG"/>
              </w:rPr>
              <w:t>с</w:t>
            </w:r>
            <w:r>
              <w:t>редно</w:t>
            </w:r>
            <w:r w:rsidR="002D03EC">
              <w:rPr>
                <w:lang w:val="bg-BG"/>
              </w:rPr>
              <w:t>в</w:t>
            </w:r>
            <w:r>
              <w:t>исок</w:t>
            </w:r>
            <w:r w:rsidR="000E2EF2">
              <w:rPr>
                <w:lang w:val="bg-BG"/>
              </w:rPr>
              <w:t>о</w:t>
            </w:r>
            <w:r>
              <w:t>“</w:t>
            </w:r>
            <w:r w:rsidR="000E2EF2">
              <w:rPr>
                <w:lang w:val="bg-BG"/>
              </w:rPr>
              <w:t>,</w:t>
            </w:r>
            <w:r>
              <w:t xml:space="preserve"> ако въздействието е значително; „</w:t>
            </w:r>
            <w:r w:rsidR="002D03EC">
              <w:t>средн</w:t>
            </w:r>
            <w:r w:rsidR="002D03EC">
              <w:rPr>
                <w:lang w:val="bg-BG"/>
              </w:rPr>
              <w:t>ониск</w:t>
            </w:r>
            <w:r w:rsidR="000E2EF2">
              <w:rPr>
                <w:lang w:val="bg-BG"/>
              </w:rPr>
              <w:t>о</w:t>
            </w:r>
            <w:r>
              <w:t>“</w:t>
            </w:r>
            <w:r w:rsidR="000E2EF2">
              <w:rPr>
                <w:lang w:val="bg-BG"/>
              </w:rPr>
              <w:t>,</w:t>
            </w:r>
            <w:r>
              <w:t xml:space="preserve"> ако въздействието е съществено, но ограничено; „</w:t>
            </w:r>
            <w:r w:rsidR="002D03EC">
              <w:rPr>
                <w:lang w:val="bg-BG"/>
              </w:rPr>
              <w:t>ниск</w:t>
            </w:r>
            <w:r w:rsidR="000E2EF2">
              <w:rPr>
                <w:lang w:val="bg-BG"/>
              </w:rPr>
              <w:t>о</w:t>
            </w:r>
            <w:r>
              <w:t>“</w:t>
            </w:r>
            <w:r w:rsidR="000E2EF2">
              <w:rPr>
                <w:lang w:val="bg-BG"/>
              </w:rPr>
              <w:t>,</w:t>
            </w:r>
            <w:r>
              <w:t xml:space="preserve"> ако въздействието е слабо.</w:t>
            </w:r>
          </w:p>
        </w:tc>
      </w:tr>
      <w:tr w:rsidR="00FE5D64"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FE5D64" w:rsidRPr="000E2EF2" w:rsidRDefault="00E40776">
            <w:pPr>
              <w:pStyle w:val="P68B1DB1-TableParagraph17"/>
              <w:spacing w:before="108"/>
              <w:jc w:val="both"/>
              <w:rPr>
                <w:lang w:val="bg-BG"/>
              </w:rPr>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FE5D64" w:rsidRDefault="00E40776">
            <w:pPr>
              <w:pStyle w:val="P68B1DB1-TableParagraph14"/>
              <w:spacing w:before="108"/>
              <w:rPr>
                <w:bCs/>
              </w:rPr>
            </w:pPr>
            <w:r>
              <w:t>Заменяемост</w:t>
            </w:r>
          </w:p>
          <w:p w14:paraId="7FE1BB71" w14:textId="77777777" w:rsidR="00FE5D64" w:rsidRDefault="00E40776">
            <w:pPr>
              <w:pStyle w:val="P68B1DB1-TableParagraph13"/>
              <w:spacing w:before="108"/>
            </w:pPr>
            <w:r>
              <w:t>Член 6, параграф 3 от Делегиран регламент (ЕС) 2016/778.</w:t>
            </w:r>
          </w:p>
          <w:p w14:paraId="7FE1BB72" w14:textId="49253BCE" w:rsidR="00FE5D64" w:rsidRDefault="00E40776">
            <w:pPr>
              <w:pStyle w:val="P68B1DB1-TableParagraph13"/>
              <w:spacing w:before="108"/>
            </w:pPr>
            <w:r>
              <w:t xml:space="preserve">Дадена функция се приема за заменяема, ако може да бъде заменена по приемлив начин и в </w:t>
            </w:r>
            <w:r w:rsidR="000E7694">
              <w:rPr>
                <w:lang w:val="bg-BG"/>
              </w:rPr>
              <w:t>разумен</w:t>
            </w:r>
            <w:r w:rsidR="000E7694">
              <w:t xml:space="preserve"> </w:t>
            </w:r>
            <w:r>
              <w:t xml:space="preserve">срок, </w:t>
            </w:r>
            <w:r w:rsidR="00B02713">
              <w:rPr>
                <w:lang w:val="bg-BG"/>
              </w:rPr>
              <w:t>като по този начин</w:t>
            </w:r>
            <w:r>
              <w:t xml:space="preserve"> се избегнат системни проблеми за реалната икономика и финансовите пазари. Взема се предвид следното:</w:t>
            </w:r>
          </w:p>
          <w:p w14:paraId="7FE1BB73" w14:textId="77777777" w:rsidR="00FE5D64" w:rsidRDefault="00E40776">
            <w:pPr>
              <w:pStyle w:val="P68B1DB1-TableParagraph13"/>
              <w:spacing w:before="108"/>
            </w:pPr>
            <w:r>
              <w:t xml:space="preserve">(a) структурата на пазара за тази функция и наличието на алтернативни доставчици; </w:t>
            </w:r>
          </w:p>
          <w:p w14:paraId="7FE1BB74" w14:textId="34743AA2" w:rsidR="00FE5D64" w:rsidRDefault="00E40776">
            <w:pPr>
              <w:pStyle w:val="P68B1DB1-TableParagraph13"/>
              <w:spacing w:before="108"/>
            </w:pPr>
            <w:r>
              <w:t>(</w:t>
            </w:r>
            <w:r w:rsidR="000E2EF2">
              <w:rPr>
                <w:lang w:val="bg-BG"/>
              </w:rPr>
              <w:t>б</w:t>
            </w:r>
            <w:r>
              <w:t xml:space="preserve">) възможностите на останалите доставчици по отношение на капацитета, изискванията за изпълняване на функцията и потенциалните пречки за навлизане на пазара или разрастване; </w:t>
            </w:r>
          </w:p>
          <w:p w14:paraId="7FE1BB75" w14:textId="69FA28CC" w:rsidR="00FE5D64" w:rsidRDefault="00E40776">
            <w:pPr>
              <w:pStyle w:val="P68B1DB1-TableParagraph13"/>
              <w:spacing w:before="108"/>
            </w:pPr>
            <w:r>
              <w:t>(</w:t>
            </w:r>
            <w:r w:rsidR="000E2EF2">
              <w:rPr>
                <w:lang w:val="bg-BG"/>
              </w:rPr>
              <w:t>в</w:t>
            </w:r>
            <w:r>
              <w:t xml:space="preserve">) стимулът за други доставчици да поемат тези дейности; </w:t>
            </w:r>
          </w:p>
          <w:p w14:paraId="7FE1BB76" w14:textId="3CFC130B" w:rsidR="00FE5D64" w:rsidRDefault="00E40776">
            <w:pPr>
              <w:pStyle w:val="P68B1DB1-TableParagraph13"/>
              <w:spacing w:before="108"/>
            </w:pPr>
            <w:r>
              <w:t>(</w:t>
            </w:r>
            <w:r w:rsidR="000E2EF2">
              <w:rPr>
                <w:lang w:val="bg-BG"/>
              </w:rPr>
              <w:t>г</w:t>
            </w:r>
            <w:r>
              <w:t>) необходимото време за преминаване на ползвателите на услугата към нов доставчик на услуги и свързаните с този преход разходи;</w:t>
            </w:r>
            <w:r w:rsidR="00B02713">
              <w:rPr>
                <w:lang w:val="bg-BG"/>
              </w:rPr>
              <w:t xml:space="preserve"> </w:t>
            </w:r>
            <w:r>
              <w:t>необходимото време за поемане на функцията от другите конкуренти и дали този срок е достатъчен, за да се предотвратят сериозни сътресения в зависимост от вида услуга.</w:t>
            </w:r>
          </w:p>
          <w:p w14:paraId="7FE1BB77" w14:textId="3E85CB13" w:rsidR="00FE5D64" w:rsidRDefault="00E40776">
            <w:pPr>
              <w:pStyle w:val="P68B1DB1-TableParagraph13"/>
              <w:spacing w:before="108"/>
            </w:pPr>
            <w:r>
              <w:t xml:space="preserve">Предоставяне на цялостна оценка на очакваната степен на заменяемост за всяка функция, като се вземат предвид различните </w:t>
            </w:r>
            <w:r w:rsidR="0089794A">
              <w:rPr>
                <w:lang w:val="bg-BG"/>
              </w:rPr>
              <w:t>аспекти,</w:t>
            </w:r>
            <w:r w:rsidR="00B02713">
              <w:t xml:space="preserve"> </w:t>
            </w:r>
            <w:r>
              <w:t>оцен</w:t>
            </w:r>
            <w:r w:rsidR="0089794A">
              <w:rPr>
                <w:lang w:val="bg-BG"/>
              </w:rPr>
              <w:t>е</w:t>
            </w:r>
            <w:r>
              <w:t>ни по-рано (пазарен дял, концентрация</w:t>
            </w:r>
            <w:r w:rsidR="0089794A">
              <w:rPr>
                <w:lang w:val="bg-BG"/>
              </w:rPr>
              <w:t xml:space="preserve"> на пазара</w:t>
            </w:r>
            <w:r>
              <w:t xml:space="preserve">, време за </w:t>
            </w:r>
            <w:r w:rsidR="0089794A">
              <w:rPr>
                <w:lang w:val="bg-BG"/>
              </w:rPr>
              <w:t>заменяемост</w:t>
            </w:r>
            <w:r>
              <w:t>, правни пречки и оперативни изисквания за навлизане</w:t>
            </w:r>
            <w:r w:rsidR="0089794A">
              <w:rPr>
                <w:lang w:val="bg-BG"/>
              </w:rPr>
              <w:t xml:space="preserve"> на пазара</w:t>
            </w:r>
            <w:r>
              <w:t xml:space="preserve"> или </w:t>
            </w:r>
            <w:r w:rsidR="0089794A">
              <w:rPr>
                <w:lang w:val="bg-BG"/>
              </w:rPr>
              <w:t>разрастване</w:t>
            </w:r>
            <w:r>
              <w:t>). Тази оценка се изразява качествено като „висока</w:t>
            </w:r>
            <w:r w:rsidR="00B02713">
              <w:rPr>
                <w:lang w:val="bg-BG"/>
              </w:rPr>
              <w:t>“</w:t>
            </w:r>
            <w:r>
              <w:t>, „средн</w:t>
            </w:r>
            <w:r w:rsidR="00B02713">
              <w:rPr>
                <w:lang w:val="bg-BG"/>
              </w:rPr>
              <w:t>овис</w:t>
            </w:r>
            <w:r w:rsidR="00665069">
              <w:rPr>
                <w:lang w:val="bg-BG"/>
              </w:rPr>
              <w:t>о</w:t>
            </w:r>
            <w:r w:rsidR="00B02713">
              <w:rPr>
                <w:lang w:val="bg-BG"/>
              </w:rPr>
              <w:t>ка“</w:t>
            </w:r>
            <w:r>
              <w:t>, „средн</w:t>
            </w:r>
            <w:r w:rsidR="00B02713">
              <w:rPr>
                <w:lang w:val="bg-BG"/>
              </w:rPr>
              <w:t>ониска</w:t>
            </w:r>
            <w:r w:rsidR="00B02713" w:rsidRPr="0089794A">
              <w:rPr>
                <w:lang w:val="bg-BG"/>
              </w:rPr>
              <w:t>“</w:t>
            </w:r>
            <w:r>
              <w:t xml:space="preserve"> или </w:t>
            </w:r>
            <w:r w:rsidR="00451C75">
              <w:rPr>
                <w:lang w:val="bg-BG"/>
              </w:rPr>
              <w:t>„</w:t>
            </w:r>
            <w:r>
              <w:t>ниска</w:t>
            </w:r>
            <w:r w:rsidR="00451C75">
              <w:rPr>
                <w:lang w:val="bg-BG"/>
              </w:rPr>
              <w:t>“</w:t>
            </w:r>
            <w:r>
              <w:t xml:space="preserve">. </w:t>
            </w:r>
          </w:p>
          <w:p w14:paraId="7FE1BB78" w14:textId="3BFE33A0" w:rsidR="00FE5D64" w:rsidRDefault="00E40776">
            <w:pPr>
              <w:pStyle w:val="P68B1DB1-TableParagraph13"/>
              <w:spacing w:before="108"/>
            </w:pPr>
            <w:r>
              <w:t>„Висок</w:t>
            </w:r>
            <w:r w:rsidR="00B02713">
              <w:rPr>
                <w:lang w:val="bg-BG"/>
              </w:rPr>
              <w:t>а</w:t>
            </w:r>
            <w:r>
              <w:t xml:space="preserve">“ се избира, ако една функция може лесно да </w:t>
            </w:r>
            <w:r w:rsidR="0089794A">
              <w:rPr>
                <w:lang w:val="bg-BG"/>
              </w:rPr>
              <w:t>бъде поета</w:t>
            </w:r>
            <w:r>
              <w:t xml:space="preserve"> от друга банка при </w:t>
            </w:r>
            <w:r w:rsidR="0089794A">
              <w:rPr>
                <w:lang w:val="bg-BG"/>
              </w:rPr>
              <w:t>съпоставими</w:t>
            </w:r>
            <w:r w:rsidR="0089794A">
              <w:t xml:space="preserve"> </w:t>
            </w:r>
            <w:r>
              <w:t>условия и в разумен срок;</w:t>
            </w:r>
          </w:p>
          <w:p w14:paraId="7FE1BB79" w14:textId="62980390" w:rsidR="00FE5D64" w:rsidRDefault="00E40776">
            <w:pPr>
              <w:pStyle w:val="P68B1DB1-TableParagraph13"/>
              <w:spacing w:before="108"/>
            </w:pPr>
            <w:r>
              <w:t>„Ни</w:t>
            </w:r>
            <w:r w:rsidR="00B02713">
              <w:rPr>
                <w:lang w:val="bg-BG"/>
              </w:rPr>
              <w:t>с</w:t>
            </w:r>
            <w:r>
              <w:t>к</w:t>
            </w:r>
            <w:r w:rsidR="00B02713">
              <w:rPr>
                <w:lang w:val="bg-BG"/>
              </w:rPr>
              <w:t>а</w:t>
            </w:r>
            <w:r>
              <w:t xml:space="preserve">“ ако една функция не може лесно или бързо да бъде заменена; </w:t>
            </w:r>
          </w:p>
          <w:p w14:paraId="7FE1BB7A" w14:textId="20342EC5" w:rsidR="00FE5D64" w:rsidRDefault="00E40776" w:rsidP="00B02713">
            <w:pPr>
              <w:pStyle w:val="P68B1DB1-TableParagraph13"/>
              <w:spacing w:before="108"/>
            </w:pPr>
            <w:r>
              <w:t>„</w:t>
            </w:r>
            <w:r w:rsidR="00B02713">
              <w:rPr>
                <w:lang w:val="bg-BG"/>
              </w:rPr>
              <w:t>Средновисока</w:t>
            </w:r>
            <w:r w:rsidR="00665069">
              <w:rPr>
                <w:lang w:val="bg-BG"/>
              </w:rPr>
              <w:t xml:space="preserve">“ </w:t>
            </w:r>
            <w:r>
              <w:t>и „</w:t>
            </w:r>
            <w:r w:rsidR="00B02713">
              <w:rPr>
                <w:lang w:val="bg-BG"/>
              </w:rPr>
              <w:t>среднониска</w:t>
            </w:r>
            <w:r>
              <w:t xml:space="preserve">“ — за междинните случаи, </w:t>
            </w:r>
            <w:r w:rsidR="0089794A">
              <w:rPr>
                <w:lang w:val="bg-BG"/>
              </w:rPr>
              <w:t xml:space="preserve">като се вземат </w:t>
            </w:r>
            <w:r>
              <w:t xml:space="preserve">предвид различните </w:t>
            </w:r>
            <w:r w:rsidR="0089794A">
              <w:rPr>
                <w:lang w:val="bg-BG"/>
              </w:rPr>
              <w:t>аспекти</w:t>
            </w:r>
            <w:r w:rsidR="0089794A">
              <w:t xml:space="preserve"> </w:t>
            </w:r>
            <w:r>
              <w:t xml:space="preserve">(например пазарен дял, концентрация на пазара, време за </w:t>
            </w:r>
            <w:r w:rsidR="0089794A">
              <w:rPr>
                <w:lang w:val="bg-BG"/>
              </w:rPr>
              <w:t>заменяемост</w:t>
            </w:r>
            <w:r>
              <w:t>, както и правните пречки и оперативните изисквания за навлизане на пазара или разрастване).</w:t>
            </w:r>
          </w:p>
        </w:tc>
      </w:tr>
      <w:tr w:rsidR="00FE5D64"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FE5D64" w:rsidRDefault="00E40776">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FE5D64" w:rsidRDefault="00E40776">
            <w:pPr>
              <w:pStyle w:val="P68B1DB1-TableParagraph14"/>
              <w:spacing w:before="108"/>
              <w:rPr>
                <w:bCs/>
              </w:rPr>
            </w:pPr>
            <w:r>
              <w:t>Критична функция</w:t>
            </w:r>
          </w:p>
          <w:p w14:paraId="7FE1BB7E" w14:textId="624D0230" w:rsidR="00FE5D64" w:rsidRDefault="00E40776">
            <w:pPr>
              <w:pStyle w:val="P68B1DB1-TableParagraph13"/>
              <w:spacing w:before="108"/>
            </w:pPr>
            <w:r>
              <w:t xml:space="preserve">В тази колона се посочва дали икономическата функция се </w:t>
            </w:r>
            <w:r w:rsidR="0089794A">
              <w:rPr>
                <w:lang w:val="bg-BG"/>
              </w:rPr>
              <w:t>смята</w:t>
            </w:r>
            <w:r w:rsidR="0089794A">
              <w:t xml:space="preserve"> </w:t>
            </w:r>
            <w:r>
              <w:t xml:space="preserve">за критична на пазара на съответната държава, като се вземат под внимание извършените от институцията анализи за въздействие и </w:t>
            </w:r>
            <w:r w:rsidR="00B02713">
              <w:rPr>
                <w:lang w:val="bg-BG"/>
              </w:rPr>
              <w:t>заменяемост</w:t>
            </w:r>
            <w:r>
              <w:t>.</w:t>
            </w:r>
          </w:p>
          <w:p w14:paraId="7FE1BB7F" w14:textId="3F59D34A" w:rsidR="00FE5D64" w:rsidRDefault="00E40776">
            <w:pPr>
              <w:pStyle w:val="P68B1DB1-TableParagraph13"/>
              <w:spacing w:before="108"/>
            </w:pPr>
            <w:r>
              <w:t>Посочва</w:t>
            </w:r>
            <w:r w:rsidR="00B02713">
              <w:t xml:space="preserve"> </w:t>
            </w:r>
            <w:r>
              <w:t>се „Да</w:t>
            </w:r>
            <w:r w:rsidR="00665069">
              <w:rPr>
                <w:lang w:val="bg-BG"/>
              </w:rPr>
              <w:t xml:space="preserve">“ </w:t>
            </w:r>
            <w:r>
              <w:t>или „Не“.</w:t>
            </w:r>
          </w:p>
        </w:tc>
      </w:tr>
      <w:tr w:rsidR="00FE5D64"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FE5D64" w:rsidRDefault="00E40776">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FE5D64" w:rsidRDefault="00E40776">
            <w:pPr>
              <w:pStyle w:val="P68B1DB1-TableParagraph14"/>
              <w:spacing w:before="108"/>
              <w:rPr>
                <w:bCs/>
              </w:rPr>
            </w:pPr>
            <w:r>
              <w:t>Коментари на групата</w:t>
            </w:r>
          </w:p>
          <w:p w14:paraId="7FE1BB83" w14:textId="740B8E47" w:rsidR="00FE5D64" w:rsidRDefault="00E40776" w:rsidP="00F77CEB">
            <w:pPr>
              <w:pStyle w:val="P68B1DB1-TableParagraph13"/>
              <w:spacing w:before="108"/>
            </w:pPr>
            <w:r>
              <w:t xml:space="preserve">Това поле дава възможност на </w:t>
            </w:r>
            <w:r w:rsidR="00F77CEB">
              <w:rPr>
                <w:lang w:val="bg-BG"/>
              </w:rPr>
              <w:t>отчитащия</w:t>
            </w:r>
            <w:r w:rsidR="00EE6D6A">
              <w:rPr>
                <w:lang w:val="bg-BG"/>
              </w:rPr>
              <w:t xml:space="preserve"> се</w:t>
            </w:r>
            <w:r w:rsidR="00F77CEB">
              <w:t xml:space="preserve"> </w:t>
            </w:r>
            <w:r>
              <w:t>субект да обясни всички допускания, използвани при оценката на критичността на докладваната</w:t>
            </w:r>
            <w:r w:rsidR="00F77CEB">
              <w:t xml:space="preserve"> </w:t>
            </w:r>
            <w:r>
              <w:t>(ите) функция (и).</w:t>
            </w:r>
          </w:p>
        </w:tc>
      </w:tr>
    </w:tbl>
    <w:p w14:paraId="7FE1BB85" w14:textId="77777777" w:rsidR="00FE5D64" w:rsidRDefault="00FE5D64">
      <w:pPr>
        <w:rPr>
          <w:rFonts w:ascii="Times New Roman" w:hAnsi="Times New Roman" w:cs="Times New Roman"/>
          <w:color w:val="000000" w:themeColor="text1"/>
          <w:sz w:val="20"/>
          <w:szCs w:val="20"/>
        </w:rPr>
      </w:pPr>
    </w:p>
    <w:p w14:paraId="7FE1BB86" w14:textId="7A5E362C" w:rsidR="00FE5D64" w:rsidRDefault="00E40776">
      <w:pPr>
        <w:pStyle w:val="P68B1DB1-Instructionsberschrift25"/>
        <w:numPr>
          <w:ilvl w:val="1"/>
          <w:numId w:val="49"/>
        </w:numPr>
        <w:ind w:left="357" w:hanging="357"/>
      </w:pPr>
      <w:bookmarkStart w:id="128" w:name="_Toc208244465"/>
      <w:r>
        <w:t xml:space="preserve">Z 07.01.3 FUNC 1 </w:t>
      </w:r>
      <w:bookmarkEnd w:id="128"/>
      <w:r w:rsidR="00800575">
        <w:rPr>
          <w:lang w:val="en-US"/>
        </w:rPr>
        <w:t xml:space="preserve">PAY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E5D64"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FE5D64" w:rsidRDefault="00E40776">
            <w:pPr>
              <w:pStyle w:val="P68B1DB1-TableParagraph17"/>
              <w:spacing w:before="108"/>
              <w:ind w:left="85"/>
              <w:jc w:val="both"/>
            </w:pPr>
            <w:r>
              <w:t>Колони</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FE5D64" w:rsidRDefault="00E40776">
            <w:pPr>
              <w:pStyle w:val="P68B1DB1-TableParagraph17"/>
              <w:spacing w:before="108"/>
              <w:ind w:left="85" w:right="1"/>
              <w:jc w:val="both"/>
            </w:pPr>
            <w:r>
              <w:t>Указания</w:t>
            </w:r>
          </w:p>
        </w:tc>
      </w:tr>
      <w:tr w:rsidR="00FE5D64"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FE5D64" w:rsidRDefault="00E40776">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FE5D64" w:rsidRPr="00EE6D6A" w:rsidRDefault="00E40776">
            <w:pPr>
              <w:pStyle w:val="P68B1DB1-TableParagraph14"/>
              <w:spacing w:before="108"/>
              <w:ind w:left="85"/>
              <w:jc w:val="both"/>
              <w:rPr>
                <w:bCs/>
              </w:rPr>
            </w:pPr>
            <w:r w:rsidRPr="00EE6D6A">
              <w:t>Описание на икономическата функция</w:t>
            </w:r>
          </w:p>
          <w:p w14:paraId="7FE1BB94" w14:textId="0B5123E8" w:rsidR="00FE5D64" w:rsidRPr="00EE6D6A" w:rsidRDefault="00E40776" w:rsidP="00C5727A">
            <w:pPr>
              <w:pStyle w:val="TableParagraph"/>
              <w:spacing w:before="108"/>
              <w:ind w:left="85"/>
              <w:rPr>
                <w:rFonts w:ascii="Times New Roman" w:eastAsia="Cambria" w:hAnsi="Times New Roman" w:cs="Times New Roman"/>
                <w:color w:val="000000" w:themeColor="text1"/>
                <w:sz w:val="20"/>
                <w:szCs w:val="20"/>
              </w:rPr>
            </w:pPr>
            <w:r w:rsidRPr="00EE6D6A">
              <w:rPr>
                <w:rFonts w:ascii="Times New Roman" w:eastAsia="Cambria" w:hAnsi="Times New Roman" w:cs="Times New Roman"/>
                <w:color w:val="000000" w:themeColor="text1"/>
                <w:sz w:val="20"/>
                <w:szCs w:val="20"/>
              </w:rPr>
              <w:t>Когато икономическата функция е от вида „Други“ (</w:t>
            </w:r>
            <w:r w:rsidRPr="001118F2">
              <w:rPr>
                <w:rFonts w:ascii="Times New Roman" w:hAnsi="Times New Roman" w:cs="Times New Roman"/>
                <w:sz w:val="20"/>
                <w:szCs w:val="20"/>
              </w:rPr>
              <w:t>Z 07.01.3 FUNC 1 PAY</w:t>
            </w:r>
            <w:r w:rsidR="00C5727A" w:rsidRPr="001118F2">
              <w:rPr>
                <w:rFonts w:ascii="Times New Roman" w:hAnsi="Times New Roman" w:cs="Times New Roman"/>
                <w:sz w:val="20"/>
                <w:szCs w:val="20"/>
                <w:lang w:val="bg-BG"/>
              </w:rPr>
              <w:t xml:space="preserve"> редове от</w:t>
            </w:r>
            <w:r w:rsidRPr="001118F2">
              <w:rPr>
                <w:rFonts w:ascii="Times New Roman" w:hAnsi="Times New Roman" w:cs="Times New Roman"/>
                <w:sz w:val="20"/>
                <w:szCs w:val="20"/>
              </w:rPr>
              <w:t xml:space="preserve"> r0220 </w:t>
            </w:r>
            <w:r w:rsidR="00C5727A" w:rsidRPr="001118F2">
              <w:rPr>
                <w:rFonts w:ascii="Times New Roman" w:hAnsi="Times New Roman" w:cs="Times New Roman"/>
                <w:sz w:val="20"/>
                <w:szCs w:val="20"/>
                <w:lang w:val="bg-BG"/>
              </w:rPr>
              <w:t>до</w:t>
            </w:r>
            <w:r w:rsidR="00C5727A" w:rsidRPr="001118F2">
              <w:rPr>
                <w:rFonts w:ascii="Times New Roman" w:hAnsi="Times New Roman" w:cs="Times New Roman"/>
                <w:sz w:val="20"/>
                <w:szCs w:val="20"/>
              </w:rPr>
              <w:t xml:space="preserve"> </w:t>
            </w:r>
            <w:r w:rsidRPr="001118F2">
              <w:rPr>
                <w:rFonts w:ascii="Times New Roman" w:hAnsi="Times New Roman" w:cs="Times New Roman"/>
                <w:sz w:val="20"/>
                <w:szCs w:val="20"/>
              </w:rPr>
              <w:t>r0240)</w:t>
            </w:r>
            <w:r w:rsidRPr="00EE6D6A">
              <w:rPr>
                <w:rFonts w:ascii="Times New Roman" w:eastAsia="Cambria" w:hAnsi="Times New Roman" w:cs="Times New Roman"/>
                <w:color w:val="000000" w:themeColor="text1"/>
                <w:sz w:val="20"/>
                <w:szCs w:val="20"/>
              </w:rPr>
              <w:t xml:space="preserve">, се предоставя описание на тази функция. </w:t>
            </w:r>
          </w:p>
        </w:tc>
      </w:tr>
      <w:tr w:rsidR="00FE5D64"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FE5D64" w:rsidRDefault="00E40776">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FE5D64" w:rsidRDefault="00E40776">
            <w:pPr>
              <w:pStyle w:val="P68B1DB1-TableParagraph14"/>
              <w:spacing w:before="108"/>
              <w:ind w:left="85"/>
              <w:jc w:val="both"/>
              <w:rPr>
                <w:bCs/>
              </w:rPr>
            </w:pPr>
            <w:r>
              <w:t xml:space="preserve">Пазарен дял </w:t>
            </w:r>
          </w:p>
          <w:p w14:paraId="7FE1BB98" w14:textId="1A6DE621" w:rsidR="00FE5D64" w:rsidRDefault="00E40776" w:rsidP="00C5727A">
            <w:pPr>
              <w:pStyle w:val="P68B1DB1-TableParagraph17"/>
              <w:spacing w:before="108"/>
              <w:ind w:left="85"/>
            </w:pPr>
            <w:r>
              <w:t xml:space="preserve">Приблизителна оценка на пазарния дял на институцията или групата за икономическата функция в съответната държава или географска област. Процент от общия пазар от гледна точка на паричната стойност. Това съответства на стойността на </w:t>
            </w:r>
            <w:r w:rsidR="00C5727A">
              <w:rPr>
                <w:lang w:val="bg-BG"/>
              </w:rPr>
              <w:t>трансакциите</w:t>
            </w:r>
            <w:r w:rsidR="00C5727A" w:rsidRPr="00EE6D6A">
              <w:rPr>
                <w:lang w:val="bg-BG"/>
              </w:rPr>
              <w:t xml:space="preserve"> </w:t>
            </w:r>
            <w:r w:rsidR="00F03749">
              <w:rPr>
                <w:lang w:val="bg-BG"/>
              </w:rPr>
              <w:t>във връзка с</w:t>
            </w:r>
            <w:r w:rsidR="00F03749">
              <w:t xml:space="preserve"> </w:t>
            </w:r>
            <w:r>
              <w:t xml:space="preserve">платежните услуги към ПФИ и НПФИ, стойността на </w:t>
            </w:r>
            <w:r w:rsidR="00337A15">
              <w:rPr>
                <w:lang w:val="bg-BG"/>
              </w:rPr>
              <w:t>отворените</w:t>
            </w:r>
            <w:r w:rsidR="00337A15">
              <w:t xml:space="preserve"> </w:t>
            </w:r>
            <w:r>
              <w:t xml:space="preserve">позиции за клирингови услуги </w:t>
            </w:r>
            <w:r w:rsidR="00C5727A">
              <w:rPr>
                <w:lang w:val="bg-BG"/>
              </w:rPr>
              <w:t>към</w:t>
            </w:r>
            <w:r w:rsidR="00C5727A">
              <w:t xml:space="preserve"> </w:t>
            </w:r>
            <w:r>
              <w:t>ЦК и стойността на активите под попечителство за попечителски услуги.</w:t>
            </w:r>
          </w:p>
        </w:tc>
      </w:tr>
      <w:tr w:rsidR="00FE5D64"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FE5D64" w:rsidRDefault="00E40776">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A5EFA04" w:rsidR="00FE5D64" w:rsidRPr="00800575" w:rsidRDefault="00E40776">
            <w:pPr>
              <w:pStyle w:val="P68B1DB1-TableParagraph14"/>
              <w:spacing w:before="108"/>
              <w:rPr>
                <w:bCs/>
                <w:lang w:val="bg-BG"/>
              </w:rPr>
            </w:pPr>
            <w:r>
              <w:t>Стойност на трансакции</w:t>
            </w:r>
            <w:r w:rsidR="00800575">
              <w:rPr>
                <w:lang w:val="bg-BG"/>
              </w:rPr>
              <w:t>те</w:t>
            </w:r>
          </w:p>
          <w:p w14:paraId="7FE1BB9C" w14:textId="464DCB2C" w:rsidR="00FE5D64" w:rsidRDefault="00E40776">
            <w:pPr>
              <w:pStyle w:val="P68B1DB1-TableParagraph17"/>
              <w:spacing w:before="108"/>
            </w:pPr>
            <w:r>
              <w:t>По правило се отчита средната дневна стойност на сделките през годината. Ако тя не е налична, може да се отчете средната стойност за по-кратък период (например няколко месеца).</w:t>
            </w:r>
          </w:p>
          <w:p w14:paraId="7FE1BB9D" w14:textId="12C2AE77" w:rsidR="00FE5D64" w:rsidRDefault="00E40776">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Платежни услуги (функция 3.1 и 3.2): Стойност на </w:t>
            </w:r>
            <w:r w:rsidR="00800575">
              <w:rPr>
                <w:rFonts w:ascii="Times New Roman" w:eastAsia="Cambria" w:hAnsi="Times New Roman" w:cs="Times New Roman"/>
                <w:color w:val="000000" w:themeColor="text1"/>
                <w:sz w:val="20"/>
                <w:szCs w:val="20"/>
                <w:lang w:val="bg-BG"/>
              </w:rPr>
              <w:t>наредените трансакции</w:t>
            </w:r>
            <w:r>
              <w:rPr>
                <w:rFonts w:ascii="Times New Roman" w:eastAsia="Cambria" w:hAnsi="Times New Roman" w:cs="Times New Roman"/>
                <w:color w:val="000000" w:themeColor="text1"/>
                <w:sz w:val="20"/>
                <w:szCs w:val="20"/>
              </w:rPr>
              <w:t>.</w:t>
            </w:r>
            <w:r>
              <w:t xml:space="preserve"> </w:t>
            </w:r>
            <w:r>
              <w:rPr>
                <w:rFonts w:ascii="Times New Roman" w:eastAsia="Cambria" w:hAnsi="Times New Roman" w:cs="Times New Roman"/>
                <w:color w:val="000000" w:themeColor="text1"/>
                <w:sz w:val="20"/>
                <w:szCs w:val="20"/>
              </w:rPr>
              <w:t>Източници: Директива (ЕС) 2015/2366 относно платежните услуги във вътрешния пазар, член 4, параграф 5; Регламент (ЕС) 2020/2011 на Европейската централна банка за изменение на Регламент (ЕС) № 1409/2013 относно статистиката на плащанията (ECB/2020/59)</w:t>
            </w:r>
          </w:p>
          <w:p w14:paraId="23D692FD" w14:textId="44EAE7E0" w:rsidR="00C46522" w:rsidRDefault="00E40776">
            <w:pPr>
              <w:pStyle w:val="P68B1DB1-TableParagraph17"/>
              <w:spacing w:before="108"/>
            </w:pPr>
            <w:r>
              <w:t>Касови услуги (</w:t>
            </w:r>
            <w:r w:rsidR="00A63E85">
              <w:rPr>
                <w:lang w:val="bg-BG"/>
              </w:rPr>
              <w:t>функция</w:t>
            </w:r>
            <w:r w:rsidR="00A63E85">
              <w:t xml:space="preserve"> </w:t>
            </w:r>
            <w:r>
              <w:t xml:space="preserve">3.3): Стойност на </w:t>
            </w:r>
            <w:r w:rsidR="00F04D16">
              <w:rPr>
                <w:lang w:val="bg-BG"/>
              </w:rPr>
              <w:t xml:space="preserve">теглене на собствени </w:t>
            </w:r>
            <w:r>
              <w:t>банкомати</w:t>
            </w:r>
            <w:r w:rsidR="004742D0" w:rsidRPr="00F04D16">
              <w:rPr>
                <w:lang w:val="bg-BG"/>
              </w:rPr>
              <w:t xml:space="preserve"> </w:t>
            </w:r>
            <w:r w:rsidR="004742D0">
              <w:rPr>
                <w:lang w:val="bg-BG"/>
              </w:rPr>
              <w:t>(АТМ устройства)</w:t>
            </w:r>
            <w:r>
              <w:t xml:space="preserve"> на </w:t>
            </w:r>
            <w:r w:rsidR="004742D0">
              <w:rPr>
                <w:lang w:val="bg-BG"/>
              </w:rPr>
              <w:t>отчитащата се</w:t>
            </w:r>
            <w:r w:rsidR="00A63E85">
              <w:rPr>
                <w:lang w:val="bg-BG"/>
              </w:rPr>
              <w:t xml:space="preserve"> </w:t>
            </w:r>
            <w:r>
              <w:t xml:space="preserve">институция съгласно определението в Регламент (ЕС) № 1409/2013 на Европейската централна банка </w:t>
            </w:r>
            <w:r w:rsidR="004742D0">
              <w:rPr>
                <w:lang w:val="bg-BG"/>
              </w:rPr>
              <w:t>относно</w:t>
            </w:r>
            <w:r w:rsidR="004742D0" w:rsidRPr="00F04D16">
              <w:rPr>
                <w:lang w:val="bg-BG"/>
              </w:rPr>
              <w:t xml:space="preserve"> </w:t>
            </w:r>
            <w:r>
              <w:t xml:space="preserve">статистиката на плащанията ( ECB/2013/43), таблица 5а, както и </w:t>
            </w:r>
            <w:r w:rsidR="004742D0">
              <w:rPr>
                <w:lang w:val="bg-BG"/>
              </w:rPr>
              <w:t xml:space="preserve">тегленето на пари в брой на </w:t>
            </w:r>
            <w:r w:rsidR="00F04D16">
              <w:rPr>
                <w:lang w:val="bg-BG"/>
              </w:rPr>
              <w:t>каса</w:t>
            </w:r>
            <w:r>
              <w:t xml:space="preserve"> в клонове на отчитащ</w:t>
            </w:r>
            <w:r w:rsidR="004742D0">
              <w:rPr>
                <w:lang w:val="bg-BG"/>
              </w:rPr>
              <w:t>ата</w:t>
            </w:r>
            <w:r>
              <w:t xml:space="preserve"> се </w:t>
            </w:r>
            <w:r w:rsidR="004742D0">
              <w:rPr>
                <w:lang w:val="bg-BG"/>
              </w:rPr>
              <w:t>институция</w:t>
            </w:r>
            <w:r>
              <w:t xml:space="preserve">, </w:t>
            </w:r>
            <w:r w:rsidR="00C46522">
              <w:rPr>
                <w:lang w:val="bg-BG"/>
              </w:rPr>
              <w:t>съгласно</w:t>
            </w:r>
            <w:r w:rsidR="00C46522">
              <w:t xml:space="preserve"> </w:t>
            </w:r>
            <w:r w:rsidRPr="00176568">
              <w:rPr>
                <w:lang w:val="bg-BG"/>
              </w:rPr>
              <w:t>опреде</w:t>
            </w:r>
            <w:r w:rsidR="0015559B">
              <w:rPr>
                <w:lang w:val="bg-BG"/>
              </w:rPr>
              <w:t>ле</w:t>
            </w:r>
            <w:r w:rsidR="0015559B" w:rsidRPr="00176568">
              <w:rPr>
                <w:lang w:val="bg-BG"/>
              </w:rPr>
              <w:t>н</w:t>
            </w:r>
            <w:r w:rsidR="00C46522" w:rsidRPr="00176568">
              <w:rPr>
                <w:lang w:val="bg-BG"/>
              </w:rPr>
              <w:t>ието</w:t>
            </w:r>
            <w:r>
              <w:t xml:space="preserve"> в</w:t>
            </w:r>
            <w:r w:rsidR="00C46522">
              <w:rPr>
                <w:lang w:val="bg-BG"/>
              </w:rPr>
              <w:t xml:space="preserve"> таблица 4 от Насоки на ЕЦБ </w:t>
            </w:r>
            <w:r w:rsidR="00C46522">
              <w:rPr>
                <w:lang w:val="en-US"/>
              </w:rPr>
              <w:t>ECB</w:t>
            </w:r>
            <w:r w:rsidR="00C46522" w:rsidRPr="001118F2">
              <w:t>/2014/15</w:t>
            </w:r>
            <w:r>
              <w:rPr>
                <w:rStyle w:val="FootnoteReference"/>
              </w:rPr>
              <w:footnoteReference w:id="21"/>
            </w:r>
          </w:p>
          <w:p w14:paraId="7FE1BBA4" w14:textId="43B2303F" w:rsidR="00FE5D64" w:rsidRDefault="00E40776" w:rsidP="00176568">
            <w:pPr>
              <w:pStyle w:val="P68B1DB1-TableParagraph17"/>
              <w:spacing w:before="108"/>
            </w:pPr>
            <w:r>
              <w:t xml:space="preserve">Услуги по сетълмент на ценни книжа (функция 3.4): Стойност на </w:t>
            </w:r>
            <w:r w:rsidR="00176568">
              <w:rPr>
                <w:lang w:val="bg-BG"/>
              </w:rPr>
              <w:t xml:space="preserve"> извършените от името на клиенти </w:t>
            </w:r>
            <w:r>
              <w:t>прехвърляния</w:t>
            </w:r>
            <w:r w:rsidR="004D3E4C">
              <w:rPr>
                <w:lang w:val="bg-BG"/>
              </w:rPr>
              <w:t>та</w:t>
            </w:r>
            <w:r>
              <w:t xml:space="preserve"> на ценни книжа</w:t>
            </w:r>
            <w:r w:rsidR="00176568">
              <w:rPr>
                <w:lang w:val="bg-BG"/>
              </w:rPr>
              <w:t>.</w:t>
            </w:r>
            <w:r>
              <w:t xml:space="preserve"> Това включва </w:t>
            </w:r>
            <w:r w:rsidR="004D3E4C">
              <w:rPr>
                <w:lang w:val="bg-BG"/>
              </w:rPr>
              <w:t>трансакции</w:t>
            </w:r>
            <w:r>
              <w:t xml:space="preserve">, </w:t>
            </w:r>
            <w:r w:rsidR="00176568">
              <w:rPr>
                <w:lang w:val="bg-BG"/>
              </w:rPr>
              <w:t xml:space="preserve">чийто сетълмент е </w:t>
            </w:r>
            <w:r>
              <w:t xml:space="preserve">извършен </w:t>
            </w:r>
            <w:r w:rsidR="00176568">
              <w:rPr>
                <w:lang w:val="bg-BG"/>
              </w:rPr>
              <w:t xml:space="preserve">чрез система за </w:t>
            </w:r>
            <w:r>
              <w:t xml:space="preserve">сетълмент на ценни книжа или </w:t>
            </w:r>
            <w:r w:rsidR="00176568">
              <w:rPr>
                <w:lang w:val="bg-BG"/>
              </w:rPr>
              <w:t xml:space="preserve">извършени </w:t>
            </w:r>
            <w:r w:rsidR="00BB55F2">
              <w:t>вътрешно</w:t>
            </w:r>
            <w:r w:rsidR="00176568">
              <w:rPr>
                <w:lang w:val="bg-BG"/>
              </w:rPr>
              <w:t xml:space="preserve"> </w:t>
            </w:r>
            <w:r>
              <w:t>от отчитащите се субекти</w:t>
            </w:r>
            <w:r w:rsidR="00176568">
              <w:rPr>
                <w:lang w:val="bg-BG"/>
              </w:rPr>
              <w:t>,</w:t>
            </w:r>
            <w:r>
              <w:t xml:space="preserve"> </w:t>
            </w:r>
            <w:r w:rsidR="00BB55F2">
              <w:rPr>
                <w:lang w:val="bg-BG"/>
              </w:rPr>
              <w:t xml:space="preserve">както </w:t>
            </w:r>
            <w:r>
              <w:t>и</w:t>
            </w:r>
            <w:r w:rsidR="00176568">
              <w:rPr>
                <w:lang w:val="bg-BG"/>
              </w:rPr>
              <w:t xml:space="preserve"> чрез операции по прехвърляне на ценни книжа „без движение на парични средства“</w:t>
            </w:r>
            <w:r>
              <w:t xml:space="preserve"> </w:t>
            </w:r>
            <w:r w:rsidR="00176568">
              <w:rPr>
                <w:lang w:val="bg-BG"/>
              </w:rPr>
              <w:t>(</w:t>
            </w:r>
            <w:r>
              <w:t>„</w:t>
            </w:r>
            <w:r w:rsidR="00176568">
              <w:rPr>
                <w:lang w:val="en-US"/>
              </w:rPr>
              <w:t>free</w:t>
            </w:r>
            <w:r w:rsidR="00176568" w:rsidRPr="001118F2">
              <w:t>-</w:t>
            </w:r>
            <w:r w:rsidR="00176568">
              <w:rPr>
                <w:lang w:val="en-US"/>
              </w:rPr>
              <w:t>of</w:t>
            </w:r>
            <w:r w:rsidR="00176568" w:rsidRPr="001118F2">
              <w:t>-</w:t>
            </w:r>
            <w:r w:rsidR="00176568">
              <w:rPr>
                <w:lang w:val="en-US"/>
              </w:rPr>
              <w:t>payment</w:t>
            </w:r>
            <w:r>
              <w:t>“</w:t>
            </w:r>
            <w:r w:rsidR="00176568">
              <w:rPr>
                <w:lang w:val="bg-BG"/>
              </w:rPr>
              <w:t xml:space="preserve">). </w:t>
            </w:r>
            <w:r>
              <w:t xml:space="preserve">Отчита се само стойността на </w:t>
            </w:r>
            <w:r w:rsidR="00176568">
              <w:rPr>
                <w:lang w:val="bg-BG"/>
              </w:rPr>
              <w:t>наредените</w:t>
            </w:r>
            <w:r w:rsidR="00176568">
              <w:t xml:space="preserve"> </w:t>
            </w:r>
            <w:r>
              <w:t>трансакции.</w:t>
            </w:r>
          </w:p>
        </w:tc>
      </w:tr>
      <w:tr w:rsidR="00FE5D64"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FE5D64" w:rsidRDefault="00E40776">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45F41EF9" w:rsidR="00FE5D64" w:rsidRPr="00E5786B" w:rsidRDefault="00E40776">
            <w:pPr>
              <w:pStyle w:val="P68B1DB1-TableParagraph14"/>
              <w:spacing w:before="108"/>
              <w:rPr>
                <w:lang w:val="bg-BG"/>
              </w:rPr>
            </w:pPr>
            <w:r>
              <w:t xml:space="preserve">Стойност на </w:t>
            </w:r>
            <w:r w:rsidR="00953F62">
              <w:rPr>
                <w:lang w:val="bg-BG"/>
              </w:rPr>
              <w:t>трансакциите</w:t>
            </w:r>
            <w:r>
              <w:t xml:space="preserve">, от които </w:t>
            </w:r>
            <w:r w:rsidR="00E5786B">
              <w:rPr>
                <w:lang w:val="bg-BG"/>
              </w:rPr>
              <w:t xml:space="preserve">извършени </w:t>
            </w:r>
            <w:r w:rsidR="00DF4E14">
              <w:rPr>
                <w:lang w:val="bg-BG"/>
              </w:rPr>
              <w:t>по</w:t>
            </w:r>
            <w:r w:rsidR="004303DA">
              <w:rPr>
                <w:lang w:val="bg-BG"/>
              </w:rPr>
              <w:t xml:space="preserve"> </w:t>
            </w:r>
            <w:r w:rsidR="00E5786B">
              <w:rPr>
                <w:lang w:val="bg-BG"/>
              </w:rPr>
              <w:t>сметки</w:t>
            </w:r>
            <w:r w:rsidR="00322F3E">
              <w:rPr>
                <w:lang w:val="bg-BG"/>
              </w:rPr>
              <w:t xml:space="preserve"> за трансакции</w:t>
            </w:r>
          </w:p>
          <w:p w14:paraId="7FE1BBA8" w14:textId="336520F8" w:rsidR="00FE5D64" w:rsidRDefault="00E40776" w:rsidP="00AB30CF">
            <w:pPr>
              <w:pStyle w:val="P68B1DB1-TableParagraph17"/>
              <w:spacing w:before="108"/>
            </w:pPr>
            <w:r>
              <w:t>Стойност на трансакциите, отчетени в (c0030), които се извършват по сметка</w:t>
            </w:r>
            <w:r w:rsidR="00322F3E">
              <w:rPr>
                <w:lang w:val="bg-BG"/>
              </w:rPr>
              <w:t xml:space="preserve"> за трансакции при</w:t>
            </w:r>
            <w:r>
              <w:t xml:space="preserve"> платежни услуги.  </w:t>
            </w:r>
            <w:r w:rsidR="00322F3E">
              <w:rPr>
                <w:lang w:val="bg-BG"/>
              </w:rPr>
              <w:t>Сметки за трансакции при</w:t>
            </w:r>
            <w:r>
              <w:t xml:space="preserve"> платежни услуги са сметки за платежни услуги, при които сметката е била дебитирана или </w:t>
            </w:r>
            <w:r w:rsidR="0091139C">
              <w:rPr>
                <w:lang w:val="bg-BG"/>
              </w:rPr>
              <w:t>кредитирана</w:t>
            </w:r>
            <w:r w:rsidR="0091139C">
              <w:t xml:space="preserve"> </w:t>
            </w:r>
            <w:r>
              <w:t>с поне 5 месечни трансакции средно през 6-те месеца, предхождащи крайната дата, с изключение на годишните такси, другите такси и лихвените плащания, свързани със сметката.</w:t>
            </w:r>
          </w:p>
        </w:tc>
      </w:tr>
      <w:tr w:rsidR="00FE5D64"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FE5D64" w:rsidRDefault="00E40776">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49AE88BC" w:rsidR="00FE5D64" w:rsidRDefault="00E40776">
            <w:pPr>
              <w:pStyle w:val="P68B1DB1-Normal42"/>
              <w:rPr>
                <w:bCs/>
              </w:rPr>
            </w:pPr>
            <w:r>
              <w:t xml:space="preserve">Стойност на </w:t>
            </w:r>
            <w:r w:rsidR="00AB30CF">
              <w:rPr>
                <w:lang w:val="bg-BG"/>
              </w:rPr>
              <w:t>отворените</w:t>
            </w:r>
            <w:r w:rsidR="00AB30CF">
              <w:t xml:space="preserve"> </w:t>
            </w:r>
            <w:r>
              <w:t>позиции</w:t>
            </w:r>
          </w:p>
          <w:p w14:paraId="7FE1BBB0" w14:textId="28D088DF" w:rsidR="00FE5D64" w:rsidRDefault="00AB30CF" w:rsidP="00AB30CF">
            <w:pPr>
              <w:pStyle w:val="P68B1DB1-TableParagraph17"/>
              <w:spacing w:before="108"/>
              <w:jc w:val="both"/>
            </w:pPr>
            <w:r>
              <w:rPr>
                <w:lang w:val="bg-BG"/>
              </w:rPr>
              <w:t>Отчита</w:t>
            </w:r>
            <w:r>
              <w:t xml:space="preserve"> </w:t>
            </w:r>
            <w:r w:rsidR="00E40776">
              <w:t>се само за функция 3.5 „</w:t>
            </w:r>
            <w:r w:rsidR="00322F3E">
              <w:rPr>
                <w:lang w:val="bg-BG"/>
              </w:rPr>
              <w:t>К</w:t>
            </w:r>
            <w:r w:rsidR="00E40776">
              <w:t xml:space="preserve">лирингови услуги </w:t>
            </w:r>
            <w:r>
              <w:rPr>
                <w:lang w:val="bg-BG"/>
              </w:rPr>
              <w:t>към</w:t>
            </w:r>
            <w:r>
              <w:t xml:space="preserve"> </w:t>
            </w:r>
            <w:r w:rsidR="00E40776">
              <w:t>ЦК“: позициите (експозицията), които</w:t>
            </w:r>
            <w:r w:rsidRPr="00322F3E">
              <w:rPr>
                <w:lang w:val="bg-BG"/>
              </w:rPr>
              <w:t xml:space="preserve"> </w:t>
            </w:r>
            <w:r w:rsidR="00E40776">
              <w:t xml:space="preserve">ЦК, </w:t>
            </w:r>
            <w:r>
              <w:rPr>
                <w:lang w:val="bg-BG"/>
              </w:rPr>
              <w:t>при</w:t>
            </w:r>
            <w:r>
              <w:t xml:space="preserve"> </w:t>
            </w:r>
            <w:r w:rsidR="00E40776">
              <w:t>ко</w:t>
            </w:r>
            <w:r w:rsidR="00322F3E">
              <w:rPr>
                <w:lang w:val="bg-BG"/>
              </w:rPr>
              <w:t>й</w:t>
            </w:r>
            <w:r w:rsidR="00E40776">
              <w:t xml:space="preserve">то </w:t>
            </w:r>
            <w:r>
              <w:rPr>
                <w:lang w:val="bg-BG"/>
              </w:rPr>
              <w:t xml:space="preserve">членува </w:t>
            </w:r>
            <w:r w:rsidR="00E40776">
              <w:t>институцията, поема</w:t>
            </w:r>
            <w:r>
              <w:rPr>
                <w:lang w:val="bg-BG"/>
              </w:rPr>
              <w:t xml:space="preserve"> наравно</w:t>
            </w:r>
            <w:r w:rsidRPr="00322F3E">
              <w:rPr>
                <w:lang w:val="bg-BG"/>
              </w:rPr>
              <w:t xml:space="preserve"> с </w:t>
            </w:r>
            <w:r>
              <w:rPr>
                <w:lang w:val="bg-BG"/>
              </w:rPr>
              <w:t>нея</w:t>
            </w:r>
            <w:r w:rsidRPr="00322F3E">
              <w:rPr>
                <w:lang w:val="bg-BG"/>
              </w:rPr>
              <w:t xml:space="preserve"> </w:t>
            </w:r>
            <w:r w:rsidR="00E40776">
              <w:t>от името на нейн</w:t>
            </w:r>
            <w:r>
              <w:rPr>
                <w:lang w:val="bg-BG"/>
              </w:rPr>
              <w:t xml:space="preserve">ите </w:t>
            </w:r>
            <w:r w:rsidR="00E40776">
              <w:t>клиенти. Отчита се средната</w:t>
            </w:r>
            <w:r>
              <w:t xml:space="preserve"> </w:t>
            </w:r>
            <w:r w:rsidR="00E40776">
              <w:t xml:space="preserve">дневна стойност на </w:t>
            </w:r>
            <w:r>
              <w:rPr>
                <w:lang w:val="bg-BG"/>
              </w:rPr>
              <w:t>отворените</w:t>
            </w:r>
            <w:r>
              <w:t xml:space="preserve"> </w:t>
            </w:r>
            <w:r w:rsidR="00E40776">
              <w:t>позиции, свързани с дейността на клиент</w:t>
            </w:r>
            <w:r>
              <w:rPr>
                <w:lang w:val="bg-BG"/>
              </w:rPr>
              <w:t>ите</w:t>
            </w:r>
            <w:r w:rsidR="00E40776">
              <w:t xml:space="preserve">, </w:t>
            </w:r>
            <w:r>
              <w:rPr>
                <w:lang w:val="bg-BG"/>
              </w:rPr>
              <w:t xml:space="preserve">при </w:t>
            </w:r>
            <w:r w:rsidR="00E40776">
              <w:t xml:space="preserve">ЦК. Ако тя не е налична, може да </w:t>
            </w:r>
            <w:r>
              <w:rPr>
                <w:lang w:val="bg-BG"/>
              </w:rPr>
              <w:t xml:space="preserve">се </w:t>
            </w:r>
            <w:r w:rsidR="00E40776">
              <w:t>отчете средна</w:t>
            </w:r>
            <w:r w:rsidR="00BA2D6C">
              <w:rPr>
                <w:lang w:val="bg-BG"/>
              </w:rPr>
              <w:t xml:space="preserve"> дневна</w:t>
            </w:r>
            <w:r w:rsidR="00E40776">
              <w:t xml:space="preserve"> стойност за по-кратък период (например няколко месеца)</w:t>
            </w:r>
            <w:r>
              <w:rPr>
                <w:lang w:val="bg-BG"/>
              </w:rPr>
              <w:t xml:space="preserve"> </w:t>
            </w:r>
            <w:r w:rsidR="00E40776">
              <w:t xml:space="preserve">или </w:t>
            </w:r>
            <w:r>
              <w:rPr>
                <w:lang w:val="bg-BG"/>
              </w:rPr>
              <w:t>отворените</w:t>
            </w:r>
            <w:r>
              <w:t xml:space="preserve"> </w:t>
            </w:r>
            <w:r w:rsidR="00E40776">
              <w:t xml:space="preserve">позиции </w:t>
            </w:r>
            <w:r w:rsidR="00BA2D6C">
              <w:rPr>
                <w:lang w:val="bg-BG"/>
              </w:rPr>
              <w:t>към</w:t>
            </w:r>
            <w:r w:rsidR="00E40776">
              <w:t xml:space="preserve"> края на годината.</w:t>
            </w:r>
          </w:p>
        </w:tc>
      </w:tr>
      <w:tr w:rsidR="00FE5D64"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FE5D64" w:rsidRDefault="00E40776">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FE5D64" w:rsidRDefault="00E40776">
            <w:pPr>
              <w:pStyle w:val="P68B1DB1-Normal42"/>
              <w:rPr>
                <w:bCs/>
              </w:rPr>
            </w:pPr>
            <w:r>
              <w:t>Стойност на активите под попечителство</w:t>
            </w:r>
          </w:p>
          <w:p w14:paraId="7FE1BBB8" w14:textId="0DE73CD4" w:rsidR="00FE5D64" w:rsidRDefault="00BA2D6C">
            <w:pPr>
              <w:pStyle w:val="P68B1DB1-TableParagraph13"/>
              <w:spacing w:before="108"/>
              <w:jc w:val="both"/>
            </w:pPr>
            <w:r>
              <w:rPr>
                <w:lang w:val="bg-BG"/>
              </w:rPr>
              <w:t>Отчита се</w:t>
            </w:r>
            <w:r>
              <w:t xml:space="preserve"> </w:t>
            </w:r>
            <w:r w:rsidR="00E40776">
              <w:t>само за функция 3.6 „</w:t>
            </w:r>
            <w:r>
              <w:rPr>
                <w:lang w:val="bg-BG"/>
              </w:rPr>
              <w:t>Попечителски у</w:t>
            </w:r>
            <w:r w:rsidRPr="00322F3E">
              <w:rPr>
                <w:lang w:val="bg-BG"/>
              </w:rPr>
              <w:t>слуги</w:t>
            </w:r>
            <w:r w:rsidR="00E40776">
              <w:t xml:space="preserve">“: </w:t>
            </w:r>
            <w:r>
              <w:rPr>
                <w:lang w:val="bg-BG"/>
              </w:rPr>
              <w:t xml:space="preserve">Посочва се справедливата стойност на </w:t>
            </w:r>
            <w:r w:rsidR="00E40776">
              <w:t>сумата на активите под попечителство</w:t>
            </w:r>
            <w:r>
              <w:rPr>
                <w:lang w:val="bg-BG"/>
              </w:rPr>
              <w:t>.</w:t>
            </w:r>
            <w:r w:rsidR="00E40776">
              <w:t xml:space="preserve"> </w:t>
            </w:r>
            <w:r>
              <w:rPr>
                <w:lang w:val="bg-BG"/>
              </w:rPr>
              <w:t>А</w:t>
            </w:r>
            <w:r>
              <w:t xml:space="preserve">ко справедливата стойност не е </w:t>
            </w:r>
            <w:r w:rsidR="00322F3E">
              <w:rPr>
                <w:lang w:val="bg-BG"/>
              </w:rPr>
              <w:t>приложима</w:t>
            </w:r>
            <w:r>
              <w:rPr>
                <w:lang w:val="bg-BG"/>
              </w:rPr>
              <w:t>,</w:t>
            </w:r>
            <w:r>
              <w:t xml:space="preserve"> </w:t>
            </w:r>
            <w:r>
              <w:rPr>
                <w:lang w:val="bg-BG"/>
              </w:rPr>
              <w:t>м</w:t>
            </w:r>
            <w:r w:rsidR="00E40776">
              <w:t xml:space="preserve">огат да се </w:t>
            </w:r>
            <w:r w:rsidR="00322F3E">
              <w:rPr>
                <w:lang w:val="bg-BG"/>
              </w:rPr>
              <w:t>използват</w:t>
            </w:r>
            <w:r w:rsidR="00322F3E">
              <w:t xml:space="preserve"> </w:t>
            </w:r>
            <w:r w:rsidR="00E40776">
              <w:t xml:space="preserve">други бази за </w:t>
            </w:r>
            <w:r w:rsidR="00322F3E">
              <w:rPr>
                <w:lang w:val="bg-BG"/>
              </w:rPr>
              <w:t>определяне на стойността</w:t>
            </w:r>
            <w:r w:rsidR="00E40776">
              <w:t xml:space="preserve">, включително номинална стойност. В случаите, когато институцията предоставя услуги на </w:t>
            </w:r>
            <w:r w:rsidR="00796159">
              <w:rPr>
                <w:lang w:val="bg-BG"/>
              </w:rPr>
              <w:t>дружества</w:t>
            </w:r>
            <w:r w:rsidR="00E45B7E">
              <w:rPr>
                <w:lang w:val="bg-BG"/>
              </w:rPr>
              <w:t>,</w:t>
            </w:r>
            <w:r w:rsidR="00796159">
              <w:rPr>
                <w:lang w:val="bg-BG"/>
              </w:rPr>
              <w:t xml:space="preserve"> </w:t>
            </w:r>
            <w:r w:rsidR="00E40776">
              <w:t>като например колективн</w:t>
            </w:r>
            <w:r>
              <w:rPr>
                <w:lang w:val="bg-BG"/>
              </w:rPr>
              <w:t>и</w:t>
            </w:r>
            <w:r w:rsidR="00E40776">
              <w:t xml:space="preserve"> </w:t>
            </w:r>
            <w:r>
              <w:rPr>
                <w:lang w:val="bg-BG"/>
              </w:rPr>
              <w:t>инвестиционни схеми</w:t>
            </w:r>
            <w:r>
              <w:t xml:space="preserve"> </w:t>
            </w:r>
            <w:r w:rsidR="00E40776">
              <w:t>или пенсионни фондове, съответните активи могат</w:t>
            </w:r>
            <w:r>
              <w:rPr>
                <w:lang w:val="bg-BG"/>
              </w:rPr>
              <w:t xml:space="preserve"> да бъдат отчетени</w:t>
            </w:r>
            <w:r w:rsidR="00E40776">
              <w:t xml:space="preserve"> по стойността, по която тези субекти отчитат активите в собствения си баланс.</w:t>
            </w:r>
          </w:p>
          <w:p w14:paraId="7FE1BBB9" w14:textId="77777777" w:rsidR="00FE5D64" w:rsidRDefault="00E40776">
            <w:pPr>
              <w:pStyle w:val="P68B1DB1-TableParagraph13"/>
              <w:spacing w:before="108"/>
              <w:jc w:val="both"/>
              <w:rPr>
                <w:b/>
                <w:bCs/>
              </w:rPr>
            </w:pPr>
            <w:r>
              <w:t>Отчетените суми включват начислената лихва, ако е целесъобразно.</w:t>
            </w:r>
          </w:p>
        </w:tc>
      </w:tr>
      <w:tr w:rsidR="00FE5D64"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FE5D64" w:rsidRDefault="00E40776">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20FB4F57" w14:textId="77777777" w:rsidR="00FE5D64" w:rsidRDefault="00E40776">
            <w:pPr>
              <w:pStyle w:val="P68B1DB1-TableParagraph14"/>
              <w:spacing w:before="108"/>
              <w:ind w:left="85"/>
              <w:jc w:val="both"/>
              <w:rPr>
                <w:bCs/>
              </w:rPr>
            </w:pPr>
            <w:r>
              <w:t>Трансгранична стойност</w:t>
            </w:r>
          </w:p>
          <w:p w14:paraId="7FE1BBBE" w14:textId="04D89770" w:rsidR="00FE5D64" w:rsidRPr="00DF0F7A" w:rsidRDefault="00A81314" w:rsidP="00DF0F7A">
            <w:pPr>
              <w:pStyle w:val="P68B1DB1-TableParagraph14"/>
              <w:spacing w:before="108"/>
              <w:ind w:left="85"/>
              <w:jc w:val="both"/>
              <w:rPr>
                <w:b w:val="0"/>
                <w:bCs/>
              </w:rPr>
            </w:pPr>
            <w:r w:rsidRPr="00DF0F7A">
              <w:rPr>
                <w:b w:val="0"/>
                <w:lang w:val="bg-BG"/>
              </w:rPr>
              <w:t>При наредени трансакции</w:t>
            </w:r>
            <w:r w:rsidR="00E40776" w:rsidRPr="00DF0F7A">
              <w:rPr>
                <w:b w:val="0"/>
              </w:rPr>
              <w:t xml:space="preserve">, за да се избегне двойното отчитане, трансграничните </w:t>
            </w:r>
            <w:r w:rsidRPr="00DF0F7A">
              <w:rPr>
                <w:b w:val="0"/>
                <w:lang w:val="bg-BG"/>
              </w:rPr>
              <w:t>трансакции</w:t>
            </w:r>
            <w:r w:rsidRPr="00DF0F7A">
              <w:rPr>
                <w:b w:val="0"/>
              </w:rPr>
              <w:t xml:space="preserve"> </w:t>
            </w:r>
            <w:r w:rsidRPr="00DF0F7A">
              <w:rPr>
                <w:b w:val="0"/>
                <w:lang w:val="bg-BG"/>
              </w:rPr>
              <w:t xml:space="preserve">се отчитат </w:t>
            </w:r>
            <w:r w:rsidR="00E40776" w:rsidRPr="00DF0F7A">
              <w:rPr>
                <w:b w:val="0"/>
              </w:rPr>
              <w:t xml:space="preserve">в държавата, </w:t>
            </w:r>
            <w:r w:rsidRPr="00DF0F7A">
              <w:rPr>
                <w:b w:val="0"/>
                <w:lang w:val="bg-BG"/>
              </w:rPr>
              <w:t>в</w:t>
            </w:r>
            <w:r w:rsidRPr="00DF0F7A">
              <w:rPr>
                <w:b w:val="0"/>
              </w:rPr>
              <w:t xml:space="preserve"> </w:t>
            </w:r>
            <w:r w:rsidR="00E40776" w:rsidRPr="00DF0F7A">
              <w:rPr>
                <w:b w:val="0"/>
              </w:rPr>
              <w:t xml:space="preserve">която </w:t>
            </w:r>
            <w:r w:rsidRPr="00DF0F7A">
              <w:rPr>
                <w:b w:val="0"/>
                <w:lang w:val="bg-BG"/>
              </w:rPr>
              <w:t>възникват</w:t>
            </w:r>
            <w:r w:rsidR="00E40776" w:rsidRPr="00DF0F7A">
              <w:rPr>
                <w:b w:val="0"/>
              </w:rPr>
              <w:t>.</w:t>
            </w:r>
          </w:p>
        </w:tc>
      </w:tr>
      <w:tr w:rsidR="00FE5D64"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FE5D64" w:rsidRDefault="00E40776">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043667E0" w:rsidR="00FE5D64" w:rsidRPr="00DF0F7A" w:rsidRDefault="00E40776">
            <w:pPr>
              <w:pStyle w:val="P68B1DB1-Normal42"/>
              <w:rPr>
                <w:bCs/>
                <w:lang w:val="bg-BG"/>
              </w:rPr>
            </w:pPr>
            <w:r>
              <w:t xml:space="preserve">Брой </w:t>
            </w:r>
            <w:r w:rsidR="00DF0F7A">
              <w:rPr>
                <w:lang w:val="bg-BG"/>
              </w:rPr>
              <w:t>трансакции</w:t>
            </w:r>
          </w:p>
          <w:p w14:paraId="7FE1BBC2" w14:textId="254DC707" w:rsidR="00FE5D64" w:rsidRDefault="00617798">
            <w:pPr>
              <w:pStyle w:val="P68B1DB1-TableParagraph16"/>
              <w:spacing w:before="108"/>
              <w:jc w:val="both"/>
            </w:pPr>
            <w:r>
              <w:rPr>
                <w:lang w:val="bg-BG"/>
              </w:rPr>
              <w:t>По</w:t>
            </w:r>
            <w:r w:rsidR="00E40776">
              <w:t xml:space="preserve"> правило се </w:t>
            </w:r>
            <w:r w:rsidR="00C757A7">
              <w:rPr>
                <w:lang w:val="bg-BG"/>
              </w:rPr>
              <w:t>отчита</w:t>
            </w:r>
            <w:r w:rsidR="00C757A7">
              <w:t xml:space="preserve"> </w:t>
            </w:r>
            <w:r w:rsidR="00E40776">
              <w:t xml:space="preserve">средният брой </w:t>
            </w:r>
            <w:r>
              <w:rPr>
                <w:lang w:val="bg-BG"/>
              </w:rPr>
              <w:t>трансакции</w:t>
            </w:r>
            <w:r>
              <w:t xml:space="preserve"> </w:t>
            </w:r>
            <w:r w:rsidR="00E40776">
              <w:t xml:space="preserve">на ден през годината, съответстващ на стойностите, </w:t>
            </w:r>
            <w:r>
              <w:rPr>
                <w:lang w:val="bg-BG"/>
              </w:rPr>
              <w:t>посочени</w:t>
            </w:r>
            <w:r w:rsidR="00FC78C2">
              <w:t xml:space="preserve"> </w:t>
            </w:r>
            <w:r w:rsidR="00E40776">
              <w:t xml:space="preserve">по функции с идентификационен номер 3.1—3.4, редове 0160—0190, колона 0030. Ако те не са налични, може да се даде средната стойност </w:t>
            </w:r>
            <w:r w:rsidR="00FC78C2">
              <w:rPr>
                <w:lang w:val="bg-BG"/>
              </w:rPr>
              <w:t xml:space="preserve">на ден </w:t>
            </w:r>
            <w:r w:rsidR="00E40776">
              <w:t>за по-кратък период (например няколко месеца). Конкретно по отношение на различните функции се използват следните оценки:</w:t>
            </w:r>
          </w:p>
          <w:p w14:paraId="7FE1BBC3" w14:textId="33D90DCB" w:rsidR="00FE5D64" w:rsidRDefault="00E40776">
            <w:pPr>
              <w:pStyle w:val="P68B1DB1-TableParagraph16"/>
              <w:spacing w:before="108"/>
              <w:jc w:val="both"/>
            </w:pPr>
            <w:r>
              <w:t xml:space="preserve">Платежни услуги (ID 3.1—3.2): </w:t>
            </w:r>
            <w:r w:rsidR="00FC78C2">
              <w:rPr>
                <w:lang w:val="bg-BG"/>
              </w:rPr>
              <w:t>Среднодневен брой на наредени трансакции</w:t>
            </w:r>
            <w:r w:rsidR="00FC78C2" w:rsidRPr="00617798">
              <w:rPr>
                <w:lang w:val="bg-BG"/>
              </w:rPr>
              <w:t>.</w:t>
            </w:r>
            <w:r>
              <w:t xml:space="preserve"> Източници: Директива на ЕС за платежните услуги във вътрешния пазар (2015/2366) член 4, параграф 5; Регламент на ЕЦБ относно статистиката на плащанията (ECB/2013/43). </w:t>
            </w:r>
          </w:p>
          <w:p w14:paraId="7FE1BBC4" w14:textId="1854716F" w:rsidR="00FE5D64" w:rsidRDefault="00E40776">
            <w:pPr>
              <w:pStyle w:val="P68B1DB1-TableParagraph16"/>
              <w:spacing w:before="108"/>
              <w:jc w:val="both"/>
            </w:pPr>
            <w:r>
              <w:t xml:space="preserve">Касови услуги (ID 3.3): Брой на </w:t>
            </w:r>
            <w:r w:rsidR="004137DC">
              <w:rPr>
                <w:lang w:val="bg-BG"/>
              </w:rPr>
              <w:t>трансакциите</w:t>
            </w:r>
            <w:r w:rsidR="004137DC">
              <w:t xml:space="preserve"> </w:t>
            </w:r>
            <w:r>
              <w:t xml:space="preserve">на </w:t>
            </w:r>
            <w:r w:rsidR="004137DC">
              <w:rPr>
                <w:lang w:val="bg-BG"/>
              </w:rPr>
              <w:t>АТ</w:t>
            </w:r>
            <w:r w:rsidR="00665069">
              <w:rPr>
                <w:lang w:val="bg-BG"/>
              </w:rPr>
              <w:t>М</w:t>
            </w:r>
            <w:r w:rsidR="004137DC">
              <w:rPr>
                <w:lang w:val="bg-BG"/>
              </w:rPr>
              <w:t xml:space="preserve"> </w:t>
            </w:r>
            <w:r>
              <w:t xml:space="preserve">устройство съгласно определението в ECB/2021/16, таблица 5а, както и  тегления на пари в брой </w:t>
            </w:r>
            <w:r w:rsidR="00340DEF">
              <w:rPr>
                <w:lang w:val="bg-BG"/>
              </w:rPr>
              <w:t>на каса</w:t>
            </w:r>
            <w:r w:rsidR="00340DEF" w:rsidRPr="00617798">
              <w:rPr>
                <w:lang w:val="bg-BG"/>
              </w:rPr>
              <w:t xml:space="preserve"> </w:t>
            </w:r>
            <w:r>
              <w:t xml:space="preserve">съгласно определението в ECB/2014/15, таблица 4. </w:t>
            </w:r>
          </w:p>
          <w:p w14:paraId="7FE1BBC5" w14:textId="29BC298D" w:rsidR="00FE5D64" w:rsidRDefault="00E40776">
            <w:pPr>
              <w:pStyle w:val="P68B1DB1-TableParagraph16"/>
              <w:spacing w:before="108"/>
              <w:jc w:val="both"/>
              <w:rPr>
                <w:b/>
                <w:bCs/>
                <w:color w:val="000000" w:themeColor="text1"/>
                <w:sz w:val="20"/>
                <w:szCs w:val="20"/>
              </w:rPr>
            </w:pPr>
            <w:r>
              <w:t xml:space="preserve">Услуги по сетълмент на ценни книжа (ID 3.4): Брой </w:t>
            </w:r>
            <w:r w:rsidR="004137DC">
              <w:rPr>
                <w:lang w:val="bg-BG"/>
              </w:rPr>
              <w:t xml:space="preserve">на прехвърляния на ценни книжа, извършени </w:t>
            </w:r>
            <w:r>
              <w:t xml:space="preserve">от името на клиенти. </w:t>
            </w:r>
            <w:r w:rsidR="004137DC">
              <w:rPr>
                <w:lang w:val="bg-BG"/>
              </w:rPr>
              <w:t>Това включва</w:t>
            </w:r>
            <w:r>
              <w:t xml:space="preserve"> операциите, </w:t>
            </w:r>
            <w:r w:rsidR="004137DC">
              <w:rPr>
                <w:lang w:val="bg-BG"/>
              </w:rPr>
              <w:t xml:space="preserve">чийто сетълмент е извършен </w:t>
            </w:r>
            <w:r>
              <w:t xml:space="preserve">чрез система за сетълмент на ценни книжа или </w:t>
            </w:r>
            <w:r w:rsidR="004137DC">
              <w:rPr>
                <w:lang w:val="bg-BG"/>
              </w:rPr>
              <w:t>извършени</w:t>
            </w:r>
            <w:r w:rsidR="004137DC">
              <w:t xml:space="preserve"> </w:t>
            </w:r>
            <w:r>
              <w:t>вътрешно от отчитащите институции, както и</w:t>
            </w:r>
            <w:r w:rsidR="004137DC">
              <w:rPr>
                <w:lang w:val="bg-BG"/>
              </w:rPr>
              <w:t xml:space="preserve"> чрез</w:t>
            </w:r>
            <w:r>
              <w:t xml:space="preserve"> операции</w:t>
            </w:r>
            <w:r w:rsidR="004137DC">
              <w:rPr>
                <w:lang w:val="bg-BG"/>
              </w:rPr>
              <w:t xml:space="preserve"> по прехвърляне на ценни книжа</w:t>
            </w:r>
            <w:r>
              <w:t xml:space="preserve"> „без </w:t>
            </w:r>
            <w:r w:rsidR="004137DC">
              <w:rPr>
                <w:lang w:val="bg-BG"/>
              </w:rPr>
              <w:t>движение на парични средства</w:t>
            </w:r>
            <w:r>
              <w:t>“</w:t>
            </w:r>
            <w:r w:rsidR="004137DC">
              <w:rPr>
                <w:lang w:val="bg-BG"/>
              </w:rPr>
              <w:t xml:space="preserve"> (</w:t>
            </w:r>
            <w:r w:rsidR="004137DC" w:rsidRPr="001118F2">
              <w:t>“</w:t>
            </w:r>
            <w:r w:rsidR="004137DC">
              <w:rPr>
                <w:lang w:val="en-US"/>
              </w:rPr>
              <w:t>free</w:t>
            </w:r>
            <w:r w:rsidR="004137DC" w:rsidRPr="001118F2">
              <w:t>-</w:t>
            </w:r>
            <w:r w:rsidR="004137DC">
              <w:rPr>
                <w:lang w:val="en-US"/>
              </w:rPr>
              <w:t>of</w:t>
            </w:r>
            <w:r w:rsidR="004137DC" w:rsidRPr="001118F2">
              <w:t>-</w:t>
            </w:r>
            <w:r w:rsidR="004137DC">
              <w:rPr>
                <w:lang w:val="en-US"/>
              </w:rPr>
              <w:t>payment</w:t>
            </w:r>
            <w:r w:rsidR="004137DC" w:rsidRPr="001118F2">
              <w:t>”</w:t>
            </w:r>
            <w:r w:rsidR="004137DC">
              <w:rPr>
                <w:lang w:val="bg-BG"/>
              </w:rPr>
              <w:t>)</w:t>
            </w:r>
            <w:r>
              <w:t>.</w:t>
            </w:r>
          </w:p>
        </w:tc>
      </w:tr>
      <w:tr w:rsidR="00FE5D64"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FE5D64" w:rsidRDefault="00E40776">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FE5D64" w:rsidRDefault="00E40776">
            <w:pPr>
              <w:pStyle w:val="P68B1DB1-TableParagraph14"/>
              <w:spacing w:before="108"/>
              <w:ind w:left="85"/>
              <w:jc w:val="both"/>
              <w:rPr>
                <w:bCs/>
              </w:rPr>
            </w:pPr>
            <w:r>
              <w:t>Брой клиенти</w:t>
            </w:r>
          </w:p>
          <w:p w14:paraId="7FE1BBC9" w14:textId="5C934B58" w:rsidR="00FE5D64" w:rsidRDefault="00E40776">
            <w:pPr>
              <w:pStyle w:val="P68B1DB1-TableParagraph13"/>
              <w:spacing w:before="108"/>
              <w:ind w:left="85"/>
              <w:jc w:val="both"/>
            </w:pPr>
            <w:r>
              <w:t>Брой (резидентни и нерезидентни) клиенти, на които се предоставя услугата. Ако един клиент използва услуга в рамките на дадена подфункция повече от веднъж, клиентът се брои само веднъж.</w:t>
            </w:r>
          </w:p>
        </w:tc>
      </w:tr>
      <w:tr w:rsidR="00FE5D64"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FE5D64" w:rsidRDefault="00E40776">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FE5D64" w:rsidRDefault="00E40776">
            <w:pPr>
              <w:pStyle w:val="P68B1DB1-TableParagraph14"/>
              <w:spacing w:before="108"/>
              <w:jc w:val="both"/>
              <w:rPr>
                <w:bCs/>
              </w:rPr>
            </w:pPr>
            <w:r>
              <w:t>Анализи на въздействието и заменяемостта</w:t>
            </w:r>
          </w:p>
          <w:p w14:paraId="7FE1BBD0" w14:textId="46E72047" w:rsidR="00FE5D64" w:rsidRDefault="00E40776">
            <w:pPr>
              <w:pStyle w:val="P68B1DB1-TableParagraph13"/>
              <w:spacing w:before="108"/>
              <w:jc w:val="both"/>
            </w:pPr>
            <w:r>
              <w:t xml:space="preserve">Критериите за оценка на въздействието върху трети страни включват следните елементи в съответствие с </w:t>
            </w:r>
            <w:r w:rsidR="00F54B22">
              <w:rPr>
                <w:lang w:val="bg-BG"/>
              </w:rPr>
              <w:t>Д</w:t>
            </w:r>
            <w:r w:rsidR="00F54B22">
              <w:t xml:space="preserve">елегиран </w:t>
            </w:r>
            <w:r>
              <w:t>регламент (ЕС) 2016/778 на Комисията относно критичните функции:</w:t>
            </w:r>
          </w:p>
          <w:p w14:paraId="7FE1BBD1" w14:textId="2BCE28DF" w:rsidR="00FE5D64" w:rsidRDefault="00E40776">
            <w:pPr>
              <w:pStyle w:val="P68B1DB1-ListParagraph38"/>
              <w:numPr>
                <w:ilvl w:val="0"/>
                <w:numId w:val="131"/>
              </w:numPr>
              <w:spacing w:line="276" w:lineRule="auto"/>
            </w:pPr>
            <w:r>
              <w:t xml:space="preserve">естеството и </w:t>
            </w:r>
            <w:r w:rsidR="003F288C">
              <w:t>обхват</w:t>
            </w:r>
            <w:r w:rsidR="003F288C">
              <w:rPr>
                <w:lang w:val="bg-BG"/>
              </w:rPr>
              <w:t>ът</w:t>
            </w:r>
            <w:r w:rsidR="003F288C">
              <w:t xml:space="preserve"> на дейността</w:t>
            </w:r>
            <w:r w:rsidR="00F54B22">
              <w:rPr>
                <w:lang w:val="bg-BG"/>
              </w:rPr>
              <w:t>,</w:t>
            </w:r>
            <w:r w:rsidR="003F288C">
              <w:t xml:space="preserve"> </w:t>
            </w:r>
            <w:r>
              <w:t>глобалния, националния или регионалния</w:t>
            </w:r>
            <w:r w:rsidR="003F288C" w:rsidRPr="00F54B22">
              <w:rPr>
                <w:lang w:val="bg-BG"/>
              </w:rPr>
              <w:t xml:space="preserve"> обхват на дейността</w:t>
            </w:r>
            <w:r>
              <w:t>, както и обема и броя на трансакциите; броя на клиентите и контрагентите; броя на клиентите, за които институцията е единственият или основният банков партньор;</w:t>
            </w:r>
          </w:p>
          <w:p w14:paraId="7FE1BBD2" w14:textId="77777777" w:rsidR="00FE5D64" w:rsidRDefault="00E40776">
            <w:pPr>
              <w:pStyle w:val="P68B1DB1-ListParagraph38"/>
              <w:numPr>
                <w:ilvl w:val="0"/>
                <w:numId w:val="131"/>
              </w:numPr>
              <w:spacing w:line="276" w:lineRule="auto"/>
            </w:pPr>
            <w:r>
              <w:t>значението на институцията 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BD3" w14:textId="77777777" w:rsidR="00FE5D64" w:rsidRDefault="00E40776">
            <w:pPr>
              <w:pStyle w:val="P68B1DB1-ListParagraph38"/>
              <w:numPr>
                <w:ilvl w:val="0"/>
                <w:numId w:val="131"/>
              </w:numPr>
              <w:spacing w:line="276" w:lineRule="auto"/>
            </w:pPr>
            <w:r>
              <w:t xml:space="preserve">естеството на клиентите и заинтересованите страни, обхванати от функцията — например, но не само, индивидуални клиенти, корпоративни клиенти, междубанкови клиенти, централни клирингови къщи и публични субекти; </w:t>
            </w:r>
          </w:p>
          <w:p w14:paraId="7FE1BBD4" w14:textId="1F02CE20" w:rsidR="00FE5D64" w:rsidRDefault="00E40776">
            <w:pPr>
              <w:pStyle w:val="P68B1DB1-ListParagraph38"/>
              <w:numPr>
                <w:ilvl w:val="0"/>
                <w:numId w:val="131"/>
              </w:numPr>
              <w:spacing w:line="276" w:lineRule="auto"/>
            </w:pPr>
            <w:r>
              <w:t>потенциалното сътресение</w:t>
            </w:r>
            <w:r w:rsidR="003F288C">
              <w:t xml:space="preserve"> </w:t>
            </w:r>
            <w:r>
              <w:t xml:space="preserve">на функционирането на пазарите, инфраструктурите, клиентите и публичните услуги. По-конкретно, оценката може да обхване въздействието върху ликвидността на съответните пазари, въздействието и обхвата на сътресенията </w:t>
            </w:r>
            <w:r w:rsidR="002F1021">
              <w:rPr>
                <w:lang w:val="bg-BG"/>
              </w:rPr>
              <w:t>по отношение на бизнеса на</w:t>
            </w:r>
            <w:r>
              <w:t xml:space="preserve"> клиентите, както и </w:t>
            </w:r>
            <w:r w:rsidR="002F1021">
              <w:rPr>
                <w:lang w:val="bg-BG"/>
              </w:rPr>
              <w:t xml:space="preserve">по отношение на </w:t>
            </w:r>
            <w:r>
              <w:t>краткосрочните потребности от ликвидност; осезаемостта за контрагентите, клиентите и обществеността; капацитета и бързината на реакция на клиентите; значението за функционирането на други пазари; въздействието върху ликвидността, операциите, структурата на друг пазар; въздействието върху други контрагенти, свързани с основните клиенти, и взаимовръзките на функцията с други услуги.</w:t>
            </w:r>
          </w:p>
          <w:p w14:paraId="7FE1BBD5"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FE5D64" w:rsidRDefault="00E40776">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AF78FF2" w:rsidR="00FE5D64" w:rsidRPr="002F1021" w:rsidRDefault="002F1021">
            <w:pPr>
              <w:pStyle w:val="P68B1DB1-TableParagraph14"/>
              <w:spacing w:before="108"/>
              <w:jc w:val="both"/>
              <w:rPr>
                <w:bCs/>
                <w:lang w:val="bg-BG"/>
              </w:rPr>
            </w:pPr>
            <w:r>
              <w:rPr>
                <w:lang w:val="bg-BG"/>
              </w:rPr>
              <w:t>Същност и обхват</w:t>
            </w:r>
          </w:p>
          <w:p w14:paraId="7FE1BBD9" w14:textId="5BE0AF68" w:rsidR="00FE5D64" w:rsidRDefault="00E40776">
            <w:pPr>
              <w:pStyle w:val="P68B1DB1-TableParagraph13"/>
              <w:spacing w:before="108"/>
              <w:jc w:val="both"/>
            </w:pPr>
            <w:r>
              <w:t>Глобалния</w:t>
            </w:r>
            <w:r w:rsidR="003F288C">
              <w:rPr>
                <w:lang w:val="bg-BG"/>
              </w:rPr>
              <w:t>т</w:t>
            </w:r>
            <w:r>
              <w:t>, националния</w:t>
            </w:r>
            <w:r w:rsidR="003F288C">
              <w:rPr>
                <w:lang w:val="bg-BG"/>
              </w:rPr>
              <w:t>т</w:t>
            </w:r>
            <w:r>
              <w:t xml:space="preserve"> или регионалния</w:t>
            </w:r>
            <w:r w:rsidR="003F288C">
              <w:rPr>
                <w:lang w:val="bg-BG"/>
              </w:rPr>
              <w:t>т</w:t>
            </w:r>
            <w:r>
              <w:t xml:space="preserve"> обхват, обем и брой на сделките; броя</w:t>
            </w:r>
            <w:r w:rsidR="003F288C">
              <w:rPr>
                <w:lang w:val="bg-BG"/>
              </w:rPr>
              <w:t>т</w:t>
            </w:r>
            <w:r>
              <w:t xml:space="preserve"> на клиентите и контрагентите; броя</w:t>
            </w:r>
            <w:r w:rsidR="003F288C">
              <w:rPr>
                <w:lang w:val="bg-BG"/>
              </w:rPr>
              <w:t>т</w:t>
            </w:r>
            <w:r>
              <w:t xml:space="preserve"> на клиентите, за които институцията е единственият или основ</w:t>
            </w:r>
            <w:r w:rsidR="002F1021">
              <w:rPr>
                <w:lang w:val="bg-BG"/>
              </w:rPr>
              <w:t>е</w:t>
            </w:r>
            <w:r>
              <w:t>н банков партньор;</w:t>
            </w:r>
          </w:p>
        </w:tc>
      </w:tr>
      <w:tr w:rsidR="00FE5D64"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FE5D64" w:rsidRDefault="00E40776">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FE5D64" w:rsidRDefault="00E40776">
            <w:pPr>
              <w:pStyle w:val="P68B1DB1-TableParagraph14"/>
              <w:spacing w:before="108"/>
              <w:jc w:val="both"/>
              <w:rPr>
                <w:bCs/>
              </w:rPr>
            </w:pPr>
            <w:r>
              <w:t>Показател за размера 1</w:t>
            </w:r>
          </w:p>
          <w:p w14:paraId="0D530995" w14:textId="631A9F5B" w:rsidR="00FE5D64" w:rsidRDefault="00CA651E">
            <w:pPr>
              <w:pStyle w:val="P68B1DB1-Normal31"/>
              <w:spacing w:line="276" w:lineRule="auto"/>
              <w:jc w:val="both"/>
            </w:pPr>
            <w:r>
              <w:rPr>
                <w:lang w:val="bg-BG"/>
              </w:rPr>
              <w:t>Оценява се</w:t>
            </w:r>
            <w:r>
              <w:t xml:space="preserve"> </w:t>
            </w:r>
            <w:r w:rsidR="00E40776">
              <w:t xml:space="preserve">колко </w:t>
            </w:r>
            <w:r>
              <w:rPr>
                <w:lang w:val="bg-BG"/>
              </w:rPr>
              <w:t>значима</w:t>
            </w:r>
            <w:r>
              <w:t xml:space="preserve"> </w:t>
            </w:r>
            <w:r w:rsidR="00E40776">
              <w:t xml:space="preserve">е банката за тези дейности. Тази оценка </w:t>
            </w:r>
            <w:r>
              <w:rPr>
                <w:lang w:val="bg-BG"/>
              </w:rPr>
              <w:t>се изразява</w:t>
            </w:r>
            <w:r w:rsidR="00E40776">
              <w:t xml:space="preserve"> качествено като „</w:t>
            </w:r>
            <w:r w:rsidR="003F288C">
              <w:t>висока</w:t>
            </w:r>
            <w:r w:rsidR="003F288C">
              <w:rPr>
                <w:lang w:val="bg-BG"/>
              </w:rPr>
              <w:t>“</w:t>
            </w:r>
            <w:r w:rsidR="00E40776">
              <w:t>, „средн</w:t>
            </w:r>
            <w:r w:rsidR="003F288C">
              <w:rPr>
                <w:lang w:val="bg-BG"/>
              </w:rPr>
              <w:t>овисока“</w:t>
            </w:r>
            <w:r w:rsidR="00E40776">
              <w:t>, „средн</w:t>
            </w:r>
            <w:r w:rsidR="003F288C">
              <w:rPr>
                <w:lang w:val="bg-BG"/>
              </w:rPr>
              <w:t>ониска</w:t>
            </w:r>
            <w:r w:rsidR="00E40776">
              <w:t xml:space="preserve">“ или „ниска“. </w:t>
            </w:r>
            <w:r>
              <w:rPr>
                <w:lang w:val="bg-BG"/>
              </w:rPr>
              <w:t>Посочва</w:t>
            </w:r>
            <w:r w:rsidR="003F288C">
              <w:t xml:space="preserve"> </w:t>
            </w:r>
            <w:r w:rsidR="00E40776">
              <w:t>се „висок</w:t>
            </w:r>
            <w:r w:rsidR="003F288C">
              <w:rPr>
                <w:lang w:val="bg-BG"/>
              </w:rPr>
              <w:t>а</w:t>
            </w:r>
            <w:r>
              <w:rPr>
                <w:lang w:val="bg-BG"/>
              </w:rPr>
              <w:t>“</w:t>
            </w:r>
            <w:r w:rsidR="00E40776">
              <w:t xml:space="preserve">, ако размерът на функцията е </w:t>
            </w:r>
            <w:r w:rsidR="003F288C">
              <w:rPr>
                <w:lang w:val="bg-BG"/>
              </w:rPr>
              <w:t>значим</w:t>
            </w:r>
            <w:r w:rsidR="00E40776">
              <w:t>, „</w:t>
            </w:r>
            <w:r w:rsidR="003F288C">
              <w:rPr>
                <w:lang w:val="bg-BG"/>
              </w:rPr>
              <w:t>с</w:t>
            </w:r>
            <w:r w:rsidR="00E40776">
              <w:t>редновисок</w:t>
            </w:r>
            <w:r w:rsidR="003F288C">
              <w:rPr>
                <w:lang w:val="bg-BG"/>
              </w:rPr>
              <w:t>а“</w:t>
            </w:r>
            <w:r w:rsidR="00E40776">
              <w:t>, ако е среден, „</w:t>
            </w:r>
            <w:r w:rsidR="003F288C">
              <w:rPr>
                <w:lang w:val="bg-BG"/>
              </w:rPr>
              <w:t>с</w:t>
            </w:r>
            <w:r w:rsidR="00E40776">
              <w:t>реднониск</w:t>
            </w:r>
            <w:r w:rsidR="003F288C">
              <w:rPr>
                <w:lang w:val="bg-BG"/>
              </w:rPr>
              <w:t>а“</w:t>
            </w:r>
            <w:r w:rsidR="00E40776">
              <w:t>, ако е малък, и „нис</w:t>
            </w:r>
            <w:r w:rsidR="003F288C">
              <w:rPr>
                <w:lang w:val="bg-BG"/>
              </w:rPr>
              <w:t>ка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sidR="003F288C">
              <w:rPr>
                <w:lang w:val="bg-BG"/>
              </w:rPr>
              <w:t>кредитиране</w:t>
            </w:r>
            <w:r w:rsidR="00E40776">
              <w:t xml:space="preserve">, </w:t>
            </w:r>
            <w:r w:rsidR="003F288C">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BDD" w14:textId="31D8226E" w:rsidR="00FE5D64" w:rsidRDefault="00FE5D64">
            <w:pPr>
              <w:pStyle w:val="TableParagraph"/>
              <w:spacing w:before="108"/>
              <w:jc w:val="both"/>
              <w:rPr>
                <w:rFonts w:ascii="Times New Roman" w:hAnsi="Times New Roman" w:cs="Times New Roman"/>
                <w:color w:val="000000" w:themeColor="text1"/>
                <w:sz w:val="20"/>
                <w:szCs w:val="20"/>
              </w:rPr>
            </w:pPr>
          </w:p>
          <w:p w14:paraId="7FE1BBDE" w14:textId="2202C534" w:rsidR="00FE5D64" w:rsidRDefault="00E40776">
            <w:pPr>
              <w:pStyle w:val="P68B1DB1-ListParagraph32"/>
              <w:numPr>
                <w:ilvl w:val="0"/>
                <w:numId w:val="300"/>
              </w:numPr>
              <w:spacing w:line="276" w:lineRule="auto"/>
            </w:pPr>
            <w:r>
              <w:t xml:space="preserve">Експертна оценка на размера на </w:t>
            </w:r>
            <w:r>
              <w:rPr>
                <w:b/>
              </w:rPr>
              <w:t>стойността</w:t>
            </w:r>
            <w:r>
              <w:t xml:space="preserve"> на </w:t>
            </w:r>
            <w:r w:rsidR="00AC74D6">
              <w:rPr>
                <w:lang w:val="bg-BG"/>
              </w:rPr>
              <w:t>трансакциите</w:t>
            </w:r>
            <w:r w:rsidR="00AC74D6">
              <w:t xml:space="preserve"> </w:t>
            </w:r>
            <w:r>
              <w:t xml:space="preserve">(c0030 за функции с идентификатор 3.1, 3.2, 3.3 и 3.4); </w:t>
            </w:r>
            <w:r w:rsidR="00AC74D6">
              <w:rPr>
                <w:lang w:val="bg-BG"/>
              </w:rPr>
              <w:t>отворени</w:t>
            </w:r>
            <w:r w:rsidR="00AC74D6">
              <w:t xml:space="preserve"> </w:t>
            </w:r>
            <w:r>
              <w:t xml:space="preserve">позиции (c0050 за </w:t>
            </w:r>
            <w:r w:rsidR="003F288C">
              <w:rPr>
                <w:lang w:val="bg-BG"/>
              </w:rPr>
              <w:t xml:space="preserve">функция </w:t>
            </w:r>
            <w:r w:rsidR="00AC74D6">
              <w:rPr>
                <w:lang w:val="bg-BG"/>
              </w:rPr>
              <w:t>с идентификатор</w:t>
            </w:r>
            <w:r>
              <w:t xml:space="preserve"> 3.5); или общо активи под попечителство (c0060 за</w:t>
            </w:r>
            <w:r w:rsidR="00C13B6E" w:rsidRPr="00CA651E">
              <w:rPr>
                <w:lang w:val="bg-BG"/>
              </w:rPr>
              <w:t xml:space="preserve"> </w:t>
            </w:r>
            <w:r w:rsidR="00C13B6E">
              <w:rPr>
                <w:lang w:val="bg-BG"/>
              </w:rPr>
              <w:t>функция с идентифика</w:t>
            </w:r>
            <w:r w:rsidR="00AC74D6">
              <w:rPr>
                <w:lang w:val="bg-BG"/>
              </w:rPr>
              <w:t>тор</w:t>
            </w:r>
            <w:r>
              <w:t xml:space="preserve"> 3.6) от гледна точка на </w:t>
            </w:r>
            <w:r>
              <w:rPr>
                <w:b/>
              </w:rPr>
              <w:t>ЕС</w:t>
            </w:r>
            <w:r>
              <w:t xml:space="preserve"> [с</w:t>
            </w:r>
            <w:r w:rsidR="0037786D">
              <w:rPr>
                <w:lang w:val="bg-BG"/>
              </w:rPr>
              <w:t xml:space="preserve"> </w:t>
            </w:r>
            <w:r>
              <w:rPr>
                <w:i/>
              </w:rPr>
              <w:t>едно ниво по-високо от съответния пазар]</w:t>
            </w:r>
            <w:r>
              <w:t xml:space="preserve">: </w:t>
            </w:r>
          </w:p>
          <w:p w14:paraId="7FE1BBDF" w14:textId="0672778A" w:rsidR="00FE5D64" w:rsidRDefault="00E40776" w:rsidP="00162A23">
            <w:pPr>
              <w:pStyle w:val="P68B1DB1-ListParagraph32"/>
              <w:numPr>
                <w:ilvl w:val="0"/>
                <w:numId w:val="126"/>
              </w:numPr>
              <w:spacing w:line="276" w:lineRule="auto"/>
            </w:pPr>
            <w:r>
              <w:t xml:space="preserve">От гледна точка на ЕС колко </w:t>
            </w:r>
            <w:r w:rsidR="0037786D">
              <w:rPr>
                <w:lang w:val="bg-BG"/>
              </w:rPr>
              <w:t xml:space="preserve">значителни </w:t>
            </w:r>
            <w:r w:rsidR="00162A23">
              <w:rPr>
                <w:lang w:val="bg-BG"/>
              </w:rPr>
              <w:t>смятате</w:t>
            </w:r>
            <w:r>
              <w:t xml:space="preserve">, че </w:t>
            </w:r>
            <w:r w:rsidR="0037786D">
              <w:rPr>
                <w:lang w:val="bg-BG"/>
              </w:rPr>
              <w:t>са сумите</w:t>
            </w:r>
            <w:r w:rsidR="0037786D" w:rsidRPr="00CA651E">
              <w:rPr>
                <w:lang w:val="bg-BG"/>
              </w:rPr>
              <w:t xml:space="preserve"> на </w:t>
            </w:r>
            <w:r w:rsidR="0037786D">
              <w:rPr>
                <w:lang w:val="bg-BG"/>
              </w:rPr>
              <w:t>трансакциите</w:t>
            </w:r>
            <w:r>
              <w:t xml:space="preserve">, </w:t>
            </w:r>
            <w:r w:rsidR="0037786D">
              <w:rPr>
                <w:lang w:val="bg-BG"/>
              </w:rPr>
              <w:t>извършвани</w:t>
            </w:r>
            <w:r w:rsidR="0037786D" w:rsidRPr="00CA651E">
              <w:rPr>
                <w:lang w:val="bg-BG"/>
              </w:rPr>
              <w:t xml:space="preserve"> от </w:t>
            </w:r>
            <w:r w:rsidR="0037786D">
              <w:rPr>
                <w:lang w:val="bg-BG"/>
              </w:rPr>
              <w:t>отчетната институция</w:t>
            </w:r>
            <w:r>
              <w:t xml:space="preserve">, </w:t>
            </w:r>
            <w:r>
              <w:rPr>
                <w:i/>
              </w:rPr>
              <w:t>или</w:t>
            </w:r>
            <w:r>
              <w:t xml:space="preserve"> </w:t>
            </w:r>
            <w:r w:rsidR="0037786D">
              <w:rPr>
                <w:lang w:val="bg-BG"/>
              </w:rPr>
              <w:t>на отворените</w:t>
            </w:r>
            <w:r w:rsidR="0037786D">
              <w:t xml:space="preserve"> </w:t>
            </w:r>
            <w:r>
              <w:t xml:space="preserve">позиции на клиентите на </w:t>
            </w:r>
            <w:r w:rsidR="0037786D">
              <w:rPr>
                <w:lang w:val="bg-BG"/>
              </w:rPr>
              <w:t>отчетната институция</w:t>
            </w:r>
            <w:r>
              <w:t xml:space="preserve"> </w:t>
            </w:r>
            <w:r w:rsidR="0037786D">
              <w:rPr>
                <w:lang w:val="bg-BG"/>
              </w:rPr>
              <w:t>при</w:t>
            </w:r>
            <w:r>
              <w:t xml:space="preserve"> ЦК, </w:t>
            </w:r>
            <w:r>
              <w:rPr>
                <w:i/>
              </w:rPr>
              <w:t>или</w:t>
            </w:r>
            <w:r>
              <w:t xml:space="preserve"> </w:t>
            </w:r>
            <w:r w:rsidR="0037786D">
              <w:rPr>
                <w:lang w:val="bg-BG"/>
              </w:rPr>
              <w:t>на</w:t>
            </w:r>
            <w:r w:rsidR="0037786D">
              <w:t xml:space="preserve"> </w:t>
            </w:r>
            <w:r>
              <w:t>активи</w:t>
            </w:r>
            <w:r w:rsidR="0037786D">
              <w:rPr>
                <w:lang w:val="bg-BG"/>
              </w:rPr>
              <w:t>те</w:t>
            </w:r>
            <w:r w:rsidR="0037786D" w:rsidRPr="00CA651E">
              <w:rPr>
                <w:lang w:val="bg-BG"/>
              </w:rPr>
              <w:t xml:space="preserve"> </w:t>
            </w:r>
            <w:r>
              <w:t>под попечителство</w:t>
            </w:r>
            <w:r w:rsidR="0037786D">
              <w:rPr>
                <w:lang w:val="bg-BG"/>
              </w:rPr>
              <w:t>?</w:t>
            </w:r>
          </w:p>
        </w:tc>
      </w:tr>
      <w:tr w:rsidR="00FE5D64"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FE5D64" w:rsidRDefault="00E40776">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FE5D64" w:rsidRDefault="00E40776">
            <w:pPr>
              <w:pStyle w:val="P68B1DB1-TableParagraph14"/>
              <w:spacing w:before="108"/>
              <w:jc w:val="both"/>
              <w:rPr>
                <w:bCs/>
              </w:rPr>
            </w:pPr>
            <w:r>
              <w:t>Показател за размера 2</w:t>
            </w:r>
          </w:p>
          <w:p w14:paraId="7D6A05E9" w14:textId="65E25136" w:rsidR="00FE5D64" w:rsidRDefault="00E6106F">
            <w:pPr>
              <w:pStyle w:val="P68B1DB1-Normal31"/>
              <w:spacing w:line="276" w:lineRule="auto"/>
              <w:jc w:val="both"/>
            </w:pPr>
            <w:r>
              <w:rPr>
                <w:lang w:val="bg-BG"/>
              </w:rPr>
              <w:t>Оценява се</w:t>
            </w:r>
            <w:r w:rsidR="0037786D" w:rsidRPr="00E6106F">
              <w:rPr>
                <w:lang w:val="bg-BG"/>
              </w:rPr>
              <w:t xml:space="preserve"> колко </w:t>
            </w:r>
            <w:r w:rsidR="0037786D">
              <w:rPr>
                <w:lang w:val="bg-BG"/>
              </w:rPr>
              <w:t>значима</w:t>
            </w:r>
            <w:r w:rsidR="00E40776">
              <w:t xml:space="preserve"> е банката за тези дейности. Тази оценка </w:t>
            </w:r>
            <w:r w:rsidR="0037786D">
              <w:rPr>
                <w:lang w:val="bg-BG"/>
              </w:rPr>
              <w:t>с</w:t>
            </w:r>
            <w:r w:rsidR="00E40776">
              <w:t xml:space="preserve">е </w:t>
            </w:r>
            <w:r w:rsidR="0037786D">
              <w:t>израз</w:t>
            </w:r>
            <w:r w:rsidR="0037786D">
              <w:rPr>
                <w:lang w:val="bg-BG"/>
              </w:rPr>
              <w:t>ява</w:t>
            </w:r>
            <w:r w:rsidR="0037786D">
              <w:t xml:space="preserve"> </w:t>
            </w:r>
            <w:r w:rsidR="00E40776">
              <w:t>качествено като „висока</w:t>
            </w:r>
            <w:r w:rsidR="0037786D">
              <w:rPr>
                <w:lang w:val="bg-BG"/>
              </w:rPr>
              <w:t>“</w:t>
            </w:r>
            <w:r w:rsidR="00E40776">
              <w:t>, „средн</w:t>
            </w:r>
            <w:r w:rsidR="00C13B6E">
              <w:rPr>
                <w:lang w:val="bg-BG"/>
              </w:rPr>
              <w:t>овисока“</w:t>
            </w:r>
            <w:r w:rsidR="00E40776">
              <w:t>, „средн</w:t>
            </w:r>
            <w:r w:rsidR="00C13B6E">
              <w:rPr>
                <w:lang w:val="bg-BG"/>
              </w:rPr>
              <w:t>ониска</w:t>
            </w:r>
            <w:r w:rsidR="00C13B6E" w:rsidRPr="00E6106F">
              <w:rPr>
                <w:lang w:val="bg-BG"/>
              </w:rPr>
              <w:t>“</w:t>
            </w:r>
            <w:r w:rsidR="00E40776">
              <w:t xml:space="preserve"> или „ниска“. </w:t>
            </w:r>
            <w:r>
              <w:rPr>
                <w:lang w:val="bg-BG"/>
              </w:rPr>
              <w:t>Посочва</w:t>
            </w:r>
            <w:r w:rsidR="00C13B6E">
              <w:t xml:space="preserve"> </w:t>
            </w:r>
            <w:r w:rsidR="00E40776">
              <w:t>се „висок</w:t>
            </w:r>
            <w:r w:rsidR="00C13B6E">
              <w:rPr>
                <w:lang w:val="bg-BG"/>
              </w:rPr>
              <w:t>а“</w:t>
            </w:r>
            <w:r w:rsidR="00E40776">
              <w:t xml:space="preserve">, ако размерът на функцията е </w:t>
            </w:r>
            <w:r w:rsidR="00C13B6E">
              <w:rPr>
                <w:lang w:val="bg-BG"/>
              </w:rPr>
              <w:t>значим</w:t>
            </w:r>
            <w:r w:rsidR="00E40776">
              <w:t>, „</w:t>
            </w:r>
            <w:r w:rsidR="00C13B6E">
              <w:rPr>
                <w:lang w:val="bg-BG"/>
              </w:rPr>
              <w:t>с</w:t>
            </w:r>
            <w:r w:rsidR="00E40776">
              <w:t>редновисок</w:t>
            </w:r>
            <w:r w:rsidR="00C13B6E">
              <w:rPr>
                <w:lang w:val="bg-BG"/>
              </w:rPr>
              <w:t>а“</w:t>
            </w:r>
            <w:r w:rsidR="00E40776">
              <w:t>, ако е среден, „</w:t>
            </w:r>
            <w:r w:rsidR="00C13B6E">
              <w:rPr>
                <w:lang w:val="bg-BG"/>
              </w:rPr>
              <w:t>с</w:t>
            </w:r>
            <w:r w:rsidR="00E40776">
              <w:t>реднониск</w:t>
            </w:r>
            <w:r w:rsidR="00C13B6E">
              <w:rPr>
                <w:lang w:val="bg-BG"/>
              </w:rPr>
              <w:t>а“</w:t>
            </w:r>
            <w:r w:rsidR="00E40776">
              <w:t>, ако е малък, и „ниск</w:t>
            </w:r>
            <w:r w:rsidR="00C13B6E">
              <w:rPr>
                <w:lang w:val="bg-BG"/>
              </w:rPr>
              <w:t>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sidR="00C13B6E">
              <w:rPr>
                <w:lang w:val="bg-BG"/>
              </w:rPr>
              <w:t>кредитиране</w:t>
            </w:r>
            <w:r w:rsidR="00E40776">
              <w:t xml:space="preserve">, </w:t>
            </w:r>
            <w:r w:rsidR="00C13B6E">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BE3" w14:textId="27BCCC99" w:rsidR="00FE5D64" w:rsidRDefault="00E40776">
            <w:pPr>
              <w:pStyle w:val="P68B1DB1-TableParagraph13"/>
              <w:spacing w:before="108"/>
              <w:jc w:val="both"/>
            </w:pPr>
            <w:r>
              <w:t xml:space="preserve"> </w:t>
            </w:r>
          </w:p>
          <w:p w14:paraId="7FE1BBE4" w14:textId="58BCD8F3" w:rsidR="00FE5D64" w:rsidRDefault="00E40776">
            <w:pPr>
              <w:pStyle w:val="P68B1DB1-ListParagraph32"/>
              <w:numPr>
                <w:ilvl w:val="0"/>
                <w:numId w:val="120"/>
              </w:numPr>
              <w:spacing w:line="276" w:lineRule="auto"/>
            </w:pPr>
            <w:r>
              <w:t xml:space="preserve">Експертна преценка на </w:t>
            </w:r>
            <w:r>
              <w:rPr>
                <w:b/>
              </w:rPr>
              <w:t>броя</w:t>
            </w:r>
            <w:r>
              <w:t xml:space="preserve"> на </w:t>
            </w:r>
            <w:r w:rsidR="0096588D">
              <w:rPr>
                <w:lang w:val="bg-BG"/>
              </w:rPr>
              <w:t>трансакциите</w:t>
            </w:r>
            <w:r w:rsidR="0096588D">
              <w:t xml:space="preserve"> </w:t>
            </w:r>
            <w:r>
              <w:t>(c0100 за функци</w:t>
            </w:r>
            <w:r w:rsidR="00C13B6E">
              <w:rPr>
                <w:lang w:val="bg-BG"/>
              </w:rPr>
              <w:t>и</w:t>
            </w:r>
            <w:r>
              <w:t xml:space="preserve"> с идентифика</w:t>
            </w:r>
            <w:r w:rsidR="0096588D">
              <w:rPr>
                <w:lang w:val="bg-BG"/>
              </w:rPr>
              <w:t>тор</w:t>
            </w:r>
            <w:r>
              <w:t xml:space="preserve"> 3.1, 3.2, 3.3 и 3.4); или брой клиенти (c0110 за </w:t>
            </w:r>
            <w:r w:rsidR="00162A23">
              <w:rPr>
                <w:lang w:val="bg-BG"/>
              </w:rPr>
              <w:t>функции</w:t>
            </w:r>
            <w:r w:rsidR="00C13B6E">
              <w:rPr>
                <w:lang w:val="bg-BG"/>
              </w:rPr>
              <w:t xml:space="preserve"> с идентифика</w:t>
            </w:r>
            <w:r w:rsidR="0096588D">
              <w:rPr>
                <w:lang w:val="bg-BG"/>
              </w:rPr>
              <w:t>тор</w:t>
            </w:r>
            <w:r w:rsidR="00C13B6E" w:rsidRPr="0096588D">
              <w:rPr>
                <w:lang w:val="bg-BG"/>
              </w:rPr>
              <w:t xml:space="preserve"> </w:t>
            </w:r>
            <w:r>
              <w:t xml:space="preserve">3.5 и 3.6) от </w:t>
            </w:r>
            <w:r>
              <w:rPr>
                <w:b/>
              </w:rPr>
              <w:t>национална</w:t>
            </w:r>
            <w:r>
              <w:t xml:space="preserve"> гледна точка [</w:t>
            </w:r>
            <w:r>
              <w:rPr>
                <w:i/>
              </w:rPr>
              <w:t>на равнището на съответния пазар</w:t>
            </w:r>
            <w:r>
              <w:t>]:</w:t>
            </w:r>
          </w:p>
          <w:p w14:paraId="7FE1BBE5" w14:textId="486D169F" w:rsidR="00FE5D64" w:rsidRDefault="00162A23">
            <w:pPr>
              <w:pStyle w:val="P68B1DB1-ListParagraph32"/>
              <w:numPr>
                <w:ilvl w:val="1"/>
                <w:numId w:val="124"/>
              </w:numPr>
              <w:spacing w:line="276" w:lineRule="auto"/>
            </w:pPr>
            <w:r>
              <w:rPr>
                <w:lang w:val="bg-BG"/>
              </w:rPr>
              <w:t>Колко значителен смятате, че</w:t>
            </w:r>
            <w:r w:rsidRPr="0096588D">
              <w:rPr>
                <w:lang w:val="bg-BG"/>
              </w:rPr>
              <w:t xml:space="preserve"> е </w:t>
            </w:r>
            <w:r w:rsidR="00E40776">
              <w:t>прогнозният общ</w:t>
            </w:r>
            <w:r w:rsidRPr="0096588D">
              <w:rPr>
                <w:lang w:val="bg-BG"/>
              </w:rPr>
              <w:t xml:space="preserve"> </w:t>
            </w:r>
            <w:r w:rsidR="00E40776">
              <w:t xml:space="preserve">брой </w:t>
            </w:r>
            <w:r w:rsidR="00C51509">
              <w:rPr>
                <w:lang w:val="bg-BG"/>
              </w:rPr>
              <w:t>трансакции</w:t>
            </w:r>
            <w:r w:rsidR="00C51509">
              <w:rPr>
                <w:i/>
              </w:rPr>
              <w:t xml:space="preserve"> </w:t>
            </w:r>
            <w:r w:rsidR="00E40776">
              <w:rPr>
                <w:i/>
              </w:rPr>
              <w:t>или</w:t>
            </w:r>
            <w:r w:rsidR="00E40776">
              <w:t xml:space="preserve"> приблизителният брой клиенти на </w:t>
            </w:r>
            <w:r>
              <w:rPr>
                <w:lang w:val="bg-BG"/>
              </w:rPr>
              <w:t>отчетната</w:t>
            </w:r>
            <w:r>
              <w:t xml:space="preserve"> </w:t>
            </w:r>
            <w:r w:rsidR="00E40776">
              <w:t>институция</w:t>
            </w:r>
            <w:r>
              <w:rPr>
                <w:lang w:val="bg-BG"/>
              </w:rPr>
              <w:t xml:space="preserve"> на национално равнище</w:t>
            </w:r>
            <w:r w:rsidR="00E40776">
              <w:t>?</w:t>
            </w:r>
          </w:p>
          <w:p w14:paraId="7FE1BBE6" w14:textId="77777777" w:rsidR="00FE5D64" w:rsidRDefault="00FE5D64">
            <w:pPr>
              <w:spacing w:line="276" w:lineRule="auto"/>
              <w:rPr>
                <w:rFonts w:ascii="Times New Roman" w:hAnsi="Times New Roman"/>
                <w:color w:val="000000" w:themeColor="text1"/>
                <w:sz w:val="20"/>
                <w:szCs w:val="20"/>
              </w:rPr>
            </w:pPr>
          </w:p>
        </w:tc>
      </w:tr>
      <w:tr w:rsidR="00FE5D64"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FE5D64" w:rsidRDefault="00E40776">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FE5D64" w:rsidRDefault="00E40776">
            <w:pPr>
              <w:pStyle w:val="P68B1DB1-TableParagraph14"/>
              <w:spacing w:before="108"/>
              <w:jc w:val="both"/>
              <w:rPr>
                <w:bCs/>
              </w:rPr>
            </w:pPr>
            <w:r>
              <w:t>Трансграничен показател</w:t>
            </w:r>
          </w:p>
          <w:p w14:paraId="7FE1BBEA" w14:textId="77777777" w:rsidR="00FE5D64" w:rsidRDefault="00E40776">
            <w:pPr>
              <w:pStyle w:val="P68B1DB1-TableParagraph13"/>
              <w:spacing w:before="108"/>
              <w:jc w:val="both"/>
            </w:pPr>
            <w:r>
              <w:t>Оценка на относителното значение на трансграничните дейности за различните икономически функции.</w:t>
            </w:r>
          </w:p>
          <w:p w14:paraId="7FE1BBEB" w14:textId="08098D43" w:rsidR="00FE5D64" w:rsidRDefault="006971C2">
            <w:pPr>
              <w:pStyle w:val="P68B1DB1-TableParagraph13"/>
              <w:spacing w:before="108"/>
              <w:jc w:val="both"/>
            </w:pPr>
            <w:r>
              <w:rPr>
                <w:lang w:val="bg-BG"/>
              </w:rPr>
              <w:t>Н</w:t>
            </w:r>
            <w:r w:rsidR="00E40776">
              <w:t>е е необходимо да се оценява в случа</w:t>
            </w:r>
            <w:r>
              <w:rPr>
                <w:lang w:val="bg-BG"/>
              </w:rPr>
              <w:t>ите</w:t>
            </w:r>
            <w:r w:rsidR="00E40776">
              <w:t xml:space="preserve">, </w:t>
            </w:r>
            <w:r w:rsidR="00C51509">
              <w:rPr>
                <w:lang w:val="bg-BG"/>
              </w:rPr>
              <w:t>когато</w:t>
            </w:r>
            <w:r w:rsidR="00E40776">
              <w:t xml:space="preserve"> съответният пазар се </w:t>
            </w:r>
            <w:r w:rsidR="00C51509">
              <w:rPr>
                <w:lang w:val="bg-BG"/>
              </w:rPr>
              <w:t>смята</w:t>
            </w:r>
            <w:r w:rsidR="00C51509">
              <w:t xml:space="preserve"> </w:t>
            </w:r>
            <w:r w:rsidR="00E40776">
              <w:t xml:space="preserve">за регионален. </w:t>
            </w:r>
          </w:p>
          <w:p w14:paraId="31893031" w14:textId="6E3155ED" w:rsidR="00FE5D64" w:rsidRDefault="00E40776">
            <w:pPr>
              <w:pStyle w:val="P68B1DB1-TableParagraph33"/>
              <w:spacing w:before="108"/>
              <w:jc w:val="both"/>
            </w:pPr>
            <w:r>
              <w:t xml:space="preserve">Брой на държавите от ЕС, в които </w:t>
            </w:r>
            <w:r w:rsidR="006971C2">
              <w:rPr>
                <w:lang w:val="bg-BG"/>
              </w:rPr>
              <w:t>отчетната институция смята че</w:t>
            </w:r>
            <w:r>
              <w:t xml:space="preserve"> има пазарен дял над 2% (изразен като </w:t>
            </w:r>
            <w:r w:rsidR="006971C2">
              <w:rPr>
                <w:lang w:val="bg-BG"/>
              </w:rPr>
              <w:t>сума</w:t>
            </w:r>
            <w:r w:rsidR="006971C2">
              <w:t xml:space="preserve"> </w:t>
            </w:r>
            <w:r>
              <w:t>на пла</w:t>
            </w:r>
            <w:r w:rsidR="006971C2">
              <w:rPr>
                <w:lang w:val="bg-BG"/>
              </w:rPr>
              <w:t>тежните операции</w:t>
            </w:r>
            <w:r>
              <w:t xml:space="preserve">, ценни книжа или парични сделки, </w:t>
            </w:r>
            <w:r w:rsidR="00C51509">
              <w:rPr>
                <w:lang w:val="bg-BG"/>
              </w:rPr>
              <w:t>отворени</w:t>
            </w:r>
            <w:r w:rsidR="00C51509">
              <w:t xml:space="preserve"> </w:t>
            </w:r>
            <w:r>
              <w:t xml:space="preserve">позиции на клиенти </w:t>
            </w:r>
            <w:r w:rsidR="006971C2">
              <w:rPr>
                <w:lang w:val="bg-BG"/>
              </w:rPr>
              <w:t>при</w:t>
            </w:r>
            <w:r>
              <w:t xml:space="preserve"> ЦК или общо активи под попечителство). </w:t>
            </w:r>
            <w:r w:rsidR="00C51509">
              <w:rPr>
                <w:lang w:val="bg-BG"/>
              </w:rPr>
              <w:t>Посочва се</w:t>
            </w:r>
            <w:r>
              <w:t xml:space="preserve">: </w:t>
            </w:r>
          </w:p>
          <w:p w14:paraId="58BCAA6E" w14:textId="75BA5BC8" w:rsidR="00FE5D64" w:rsidRDefault="00E40776">
            <w:pPr>
              <w:pStyle w:val="P68B1DB1-TableParagraph33"/>
              <w:numPr>
                <w:ilvl w:val="0"/>
                <w:numId w:val="282"/>
              </w:numPr>
              <w:spacing w:before="108"/>
              <w:jc w:val="both"/>
            </w:pPr>
            <w:r>
              <w:t xml:space="preserve">≤ 1 държава; </w:t>
            </w:r>
          </w:p>
          <w:p w14:paraId="5B55A7F9" w14:textId="095FFD13" w:rsidR="00FE5D64" w:rsidRDefault="00E40776">
            <w:pPr>
              <w:pStyle w:val="P68B1DB1-TableParagraph33"/>
              <w:numPr>
                <w:ilvl w:val="0"/>
                <w:numId w:val="282"/>
              </w:numPr>
              <w:spacing w:before="108"/>
              <w:jc w:val="both"/>
            </w:pPr>
            <w:r>
              <w:t>2—3 държави</w:t>
            </w:r>
          </w:p>
          <w:p w14:paraId="6A334CED" w14:textId="427C674B" w:rsidR="00FE5D64" w:rsidRDefault="00E40776">
            <w:pPr>
              <w:pStyle w:val="P68B1DB1-TableParagraph33"/>
              <w:numPr>
                <w:ilvl w:val="0"/>
                <w:numId w:val="282"/>
              </w:numPr>
              <w:spacing w:before="108"/>
              <w:jc w:val="both"/>
            </w:pPr>
            <w:r>
              <w:t xml:space="preserve">4—5 </w:t>
            </w:r>
            <w:r w:rsidR="00C51509">
              <w:rPr>
                <w:lang w:val="bg-BG"/>
              </w:rPr>
              <w:t>държави</w:t>
            </w:r>
            <w:r>
              <w:t xml:space="preserve">; </w:t>
            </w:r>
          </w:p>
          <w:p w14:paraId="4D1B0AB8" w14:textId="39937439" w:rsidR="00FE5D64" w:rsidRDefault="00E40776">
            <w:pPr>
              <w:pStyle w:val="P68B1DB1-TableParagraph33"/>
              <w:numPr>
                <w:ilvl w:val="0"/>
                <w:numId w:val="282"/>
              </w:numPr>
              <w:spacing w:before="108"/>
              <w:jc w:val="both"/>
            </w:pPr>
            <w:r>
              <w:t>&gt; 5 държави</w:t>
            </w:r>
            <w:r w:rsidR="00DE2F45">
              <w:rPr>
                <w:lang w:val="bg-BG"/>
              </w:rPr>
              <w:t>.</w:t>
            </w:r>
          </w:p>
          <w:p w14:paraId="7FE1BBED" w14:textId="6A2A41A1" w:rsidR="00FE5D64" w:rsidRDefault="00E40776">
            <w:pPr>
              <w:pStyle w:val="P68B1DB1-TableParagraph33"/>
              <w:spacing w:before="108"/>
              <w:jc w:val="both"/>
              <w:rPr>
                <w:rFonts w:cs="Times New Roman"/>
                <w:color w:val="000000" w:themeColor="text1"/>
              </w:rPr>
            </w:pPr>
            <w:r>
              <w:t xml:space="preserve"> </w:t>
            </w:r>
          </w:p>
        </w:tc>
      </w:tr>
      <w:tr w:rsidR="00FE5D64"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FE5D64" w:rsidRDefault="00E40776">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3D376860" w:rsidR="00FE5D64" w:rsidRDefault="00C51509">
            <w:pPr>
              <w:pStyle w:val="P68B1DB1-TableParagraph14"/>
              <w:spacing w:before="108"/>
              <w:jc w:val="both"/>
              <w:rPr>
                <w:bCs/>
              </w:rPr>
            </w:pPr>
            <w:r>
              <w:rPr>
                <w:lang w:val="bg-BG"/>
              </w:rPr>
              <w:t>Значимост</w:t>
            </w:r>
            <w:r>
              <w:t xml:space="preserve"> </w:t>
            </w:r>
            <w:r w:rsidR="00E40776">
              <w:t xml:space="preserve">— </w:t>
            </w:r>
          </w:p>
          <w:p w14:paraId="7FE1BBF1" w14:textId="77777777" w:rsidR="00FE5D64" w:rsidRDefault="00E40776">
            <w:pPr>
              <w:pStyle w:val="P68B1DB1-TableParagraph13"/>
              <w:spacing w:before="108"/>
              <w:jc w:val="both"/>
            </w:pPr>
            <w:r>
              <w:t>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BF2" w14:textId="77777777" w:rsidR="00FE5D64" w:rsidRDefault="00E40776">
            <w:pPr>
              <w:pStyle w:val="P68B1DB1-TableParagraph14"/>
              <w:spacing w:before="108"/>
              <w:jc w:val="both"/>
              <w:rPr>
                <w:bCs/>
              </w:rPr>
            </w:pPr>
            <w:r>
              <w:t>Пазарен дял</w:t>
            </w:r>
          </w:p>
          <w:p w14:paraId="30AC503F" w14:textId="2D8131AF" w:rsidR="00FE5D64" w:rsidRDefault="005B152A">
            <w:pPr>
              <w:pStyle w:val="P68B1DB1-Normal31"/>
              <w:spacing w:line="276" w:lineRule="auto"/>
              <w:jc w:val="both"/>
            </w:pPr>
            <w:r>
              <w:rPr>
                <w:lang w:val="bg-BG"/>
              </w:rPr>
              <w:t>Оценява се значимостта на</w:t>
            </w:r>
            <w:r w:rsidR="00E40776">
              <w:t xml:space="preserve"> пазарния дял на отчитащия се субект в сравнение с националния или друг съответен пазар, както е посочено в образеца. Тази оценка </w:t>
            </w:r>
            <w:r w:rsidR="008D71D6">
              <w:rPr>
                <w:lang w:val="bg-BG"/>
              </w:rPr>
              <w:t>с</w:t>
            </w:r>
            <w:r w:rsidR="00E40776">
              <w:t>е израз</w:t>
            </w:r>
            <w:r w:rsidR="008D71D6">
              <w:rPr>
                <w:lang w:val="bg-BG"/>
              </w:rPr>
              <w:t>ява</w:t>
            </w:r>
            <w:r w:rsidR="00E40776">
              <w:t xml:space="preserve"> качествено по следния начин: </w:t>
            </w:r>
          </w:p>
          <w:p w14:paraId="5D8F45F8" w14:textId="505BBFD2" w:rsidR="00FE5D64" w:rsidRDefault="00E40776">
            <w:pPr>
              <w:pStyle w:val="P68B1DB1-ListParagraph32"/>
              <w:numPr>
                <w:ilvl w:val="0"/>
                <w:numId w:val="276"/>
              </w:numPr>
              <w:spacing w:line="276" w:lineRule="auto"/>
              <w:jc w:val="both"/>
            </w:pPr>
            <w:r>
              <w:t xml:space="preserve">Висок, ако пазарният дял е </w:t>
            </w:r>
            <w:r w:rsidR="00F10B61">
              <w:rPr>
                <w:lang w:val="bg-BG"/>
              </w:rPr>
              <w:t>значителен</w:t>
            </w:r>
          </w:p>
          <w:p w14:paraId="5C7C2710" w14:textId="6ADAAC6F" w:rsidR="00FE5D64" w:rsidRDefault="00E40776">
            <w:pPr>
              <w:pStyle w:val="P68B1DB1-ListParagraph32"/>
              <w:numPr>
                <w:ilvl w:val="0"/>
                <w:numId w:val="276"/>
              </w:numPr>
              <w:spacing w:line="276" w:lineRule="auto"/>
              <w:jc w:val="both"/>
            </w:pPr>
            <w:r>
              <w:t>Средновисок, ако пазарният дял е среден</w:t>
            </w:r>
          </w:p>
          <w:p w14:paraId="21F38734" w14:textId="621613A9" w:rsidR="00FE5D64" w:rsidRDefault="00E40776">
            <w:pPr>
              <w:pStyle w:val="P68B1DB1-ListParagraph32"/>
              <w:numPr>
                <w:ilvl w:val="0"/>
                <w:numId w:val="276"/>
              </w:numPr>
              <w:spacing w:line="276" w:lineRule="auto"/>
              <w:jc w:val="both"/>
            </w:pPr>
            <w:r>
              <w:t xml:space="preserve">Среднонисък, ако пазарният дял е малък или </w:t>
            </w:r>
          </w:p>
          <w:p w14:paraId="16968912" w14:textId="77777777" w:rsidR="00FE5D64" w:rsidRDefault="00E40776">
            <w:pPr>
              <w:pStyle w:val="P68B1DB1-ListParagraph32"/>
              <w:numPr>
                <w:ilvl w:val="0"/>
                <w:numId w:val="276"/>
              </w:numPr>
              <w:spacing w:line="276" w:lineRule="auto"/>
              <w:jc w:val="both"/>
            </w:pPr>
            <w:r>
              <w:t xml:space="preserve">Нисък, ако пазарният дял е незначителен. </w:t>
            </w:r>
          </w:p>
          <w:p w14:paraId="7FE1BBF7" w14:textId="3931B1D9" w:rsidR="00FE5D64" w:rsidRDefault="00FE5D64">
            <w:pPr>
              <w:pStyle w:val="ListParagraph"/>
              <w:spacing w:line="276" w:lineRule="auto"/>
              <w:jc w:val="both"/>
              <w:rPr>
                <w:rFonts w:ascii="Times New Roman" w:eastAsiaTheme="minorHAnsi" w:hAnsi="Times New Roman"/>
                <w:color w:val="000000" w:themeColor="text1"/>
                <w:sz w:val="20"/>
                <w:szCs w:val="20"/>
              </w:rPr>
            </w:pPr>
          </w:p>
          <w:p w14:paraId="7FE1BBF9" w14:textId="040DB29F" w:rsidR="00FE5D64" w:rsidRDefault="00E40776">
            <w:pPr>
              <w:pStyle w:val="P68B1DB1-TableParagraph13"/>
              <w:spacing w:before="108"/>
              <w:jc w:val="both"/>
            </w:pPr>
            <w:r>
              <w:t>При тази оценка се взема предвид пазарната структура на държавата на отчитащ</w:t>
            </w:r>
            <w:r w:rsidR="005B152A">
              <w:rPr>
                <w:lang w:val="bg-BG"/>
              </w:rPr>
              <w:t>ия</w:t>
            </w:r>
            <w:r>
              <w:t xml:space="preserve"> се </w:t>
            </w:r>
            <w:r w:rsidR="005B152A">
              <w:rPr>
                <w:lang w:val="bg-BG"/>
              </w:rPr>
              <w:t>субект</w:t>
            </w:r>
            <w:r>
              <w:t xml:space="preserve"> (или друг съответен пазар) и пазарните дялове, отчетени </w:t>
            </w:r>
            <w:r w:rsidR="00F10B61">
              <w:rPr>
                <w:lang w:val="bg-BG"/>
              </w:rPr>
              <w:t xml:space="preserve">в част </w:t>
            </w:r>
            <w:r>
              <w:t>2</w:t>
            </w:r>
            <w:r w:rsidR="00F10B61">
              <w:rPr>
                <w:lang w:val="bg-BG"/>
              </w:rPr>
              <w:t xml:space="preserve"> </w:t>
            </w:r>
            <w:r>
              <w:t>Количествени данни:</w:t>
            </w:r>
          </w:p>
          <w:p w14:paraId="7FE1BBFA" w14:textId="02F862DA" w:rsidR="00FE5D64" w:rsidRDefault="00E40776">
            <w:pPr>
              <w:pStyle w:val="P68B1DB1-ListParagraph32"/>
              <w:numPr>
                <w:ilvl w:val="0"/>
                <w:numId w:val="117"/>
              </w:numPr>
              <w:jc w:val="both"/>
              <w:rPr>
                <w:i/>
                <w:iCs/>
              </w:rPr>
            </w:pPr>
            <w:r>
              <w:t xml:space="preserve">Експертна оценка на размера на </w:t>
            </w:r>
            <w:r>
              <w:rPr>
                <w:b/>
              </w:rPr>
              <w:t xml:space="preserve">националния </w:t>
            </w:r>
            <w:r>
              <w:t>пазарен дял (</w:t>
            </w:r>
            <w:r w:rsidR="00F10B61">
              <w:rPr>
                <w:lang w:val="bg-BG"/>
              </w:rPr>
              <w:t>отчетена</w:t>
            </w:r>
            <w:r w:rsidR="00F10B61">
              <w:t xml:space="preserve"> </w:t>
            </w:r>
            <w:r>
              <w:t xml:space="preserve">в c0020, освен в случаите, когато </w:t>
            </w:r>
            <w:r w:rsidR="00F10B61">
              <w:rPr>
                <w:lang w:val="bg-BG"/>
              </w:rPr>
              <w:t>отчетът</w:t>
            </w:r>
            <w:r w:rsidR="00F10B61">
              <w:t xml:space="preserve"> </w:t>
            </w:r>
            <w:r>
              <w:t>е предоставен за различно съответно пазарно равнище, в който случай се очаква оценка на съответния пазарен дял).</w:t>
            </w:r>
          </w:p>
          <w:p w14:paraId="7FE1BBFB"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BFC"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FE5D64" w:rsidRDefault="00E40776">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FE5D64" w:rsidRDefault="00E40776">
            <w:pPr>
              <w:pStyle w:val="P68B1DB1-TableParagraph14"/>
              <w:spacing w:before="108"/>
              <w:jc w:val="both"/>
              <w:rPr>
                <w:bCs/>
              </w:rPr>
            </w:pPr>
            <w:r>
              <w:t>Пазарна структура — концентрация на пазара</w:t>
            </w:r>
          </w:p>
          <w:p w14:paraId="7FE1BC03" w14:textId="0AEF3119" w:rsidR="00FE5D64" w:rsidRDefault="00E40776">
            <w:pPr>
              <w:pStyle w:val="P68B1DB1-TableParagraph13"/>
              <w:spacing w:before="108"/>
              <w:jc w:val="both"/>
            </w:pPr>
            <w:r>
              <w:t xml:space="preserve">Концентрацията на пазара, измерена </w:t>
            </w:r>
            <w:r w:rsidR="00F10B61">
              <w:rPr>
                <w:lang w:val="bg-BG"/>
              </w:rPr>
              <w:t>според</w:t>
            </w:r>
            <w:r w:rsidR="00F10B61">
              <w:t xml:space="preserve"> </w:t>
            </w:r>
            <w:r>
              <w:t xml:space="preserve">броя на конкурентите, които понастоящем </w:t>
            </w:r>
            <w:r w:rsidR="00F10B61">
              <w:rPr>
                <w:lang w:val="bg-BG"/>
              </w:rPr>
              <w:t>изпълняват</w:t>
            </w:r>
            <w:r w:rsidR="00F10B61" w:rsidRPr="005B152A">
              <w:rPr>
                <w:lang w:val="bg-BG"/>
              </w:rPr>
              <w:t xml:space="preserve"> </w:t>
            </w:r>
            <w:r>
              <w:t>сходни икономически функции и/или предлага</w:t>
            </w:r>
            <w:r w:rsidR="00F10B61">
              <w:rPr>
                <w:lang w:val="bg-BG"/>
              </w:rPr>
              <w:t>т</w:t>
            </w:r>
            <w:r w:rsidR="00F10B61" w:rsidRPr="005B152A">
              <w:rPr>
                <w:lang w:val="bg-BG"/>
              </w:rPr>
              <w:t xml:space="preserve"> </w:t>
            </w:r>
            <w:r>
              <w:t xml:space="preserve">сходни услуги при равни условия (т.е. </w:t>
            </w:r>
            <w:r w:rsidR="005B152A">
              <w:rPr>
                <w:lang w:val="bg-BG"/>
              </w:rPr>
              <w:t>в</w:t>
            </w:r>
            <w:r w:rsidR="00F10B61">
              <w:rPr>
                <w:lang w:val="bg-BG"/>
              </w:rPr>
              <w:t xml:space="preserve"> </w:t>
            </w:r>
            <w:r>
              <w:t xml:space="preserve">съпоставима степен и качество и на сравнима цена), които потенциално ще поемат </w:t>
            </w:r>
            <w:r w:rsidR="00F10B61">
              <w:rPr>
                <w:lang w:val="bg-BG"/>
              </w:rPr>
              <w:t xml:space="preserve"> </w:t>
            </w:r>
            <w:r>
              <w:t>(част от) клиентите и/или дейност</w:t>
            </w:r>
            <w:r w:rsidR="00D15169">
              <w:rPr>
                <w:lang w:val="bg-BG"/>
              </w:rPr>
              <w:t>та</w:t>
            </w:r>
            <w:r>
              <w:t xml:space="preserve"> на отчитащ</w:t>
            </w:r>
            <w:r w:rsidR="005B152A">
              <w:rPr>
                <w:lang w:val="bg-BG"/>
              </w:rPr>
              <w:t>ия</w:t>
            </w:r>
            <w:r>
              <w:t xml:space="preserve"> се </w:t>
            </w:r>
            <w:r w:rsidR="005B152A">
              <w:rPr>
                <w:lang w:val="bg-BG"/>
              </w:rPr>
              <w:t>субект</w:t>
            </w:r>
            <w:r w:rsidR="005B152A">
              <w:t xml:space="preserve"> </w:t>
            </w:r>
            <w:r>
              <w:t xml:space="preserve">в разумен срок. </w:t>
            </w:r>
          </w:p>
          <w:p w14:paraId="7FE1BC04" w14:textId="1CE2840C" w:rsidR="00FE5D64" w:rsidRDefault="00F10B61">
            <w:pPr>
              <w:pStyle w:val="P68B1DB1-TableParagraph13"/>
              <w:spacing w:before="108"/>
              <w:jc w:val="both"/>
            </w:pPr>
            <w:r>
              <w:rPr>
                <w:lang w:val="bg-BG"/>
              </w:rPr>
              <w:t>Концентрацията на пазара</w:t>
            </w:r>
            <w:r w:rsidRPr="005B152A">
              <w:rPr>
                <w:lang w:val="bg-BG"/>
              </w:rPr>
              <w:t xml:space="preserve"> </w:t>
            </w:r>
            <w:r w:rsidR="00E40776">
              <w:t xml:space="preserve">се отчита в </w:t>
            </w:r>
            <w:r w:rsidR="005B152A">
              <w:rPr>
                <w:lang w:val="bg-BG"/>
              </w:rPr>
              <w:t>категории</w:t>
            </w:r>
            <w:r w:rsidR="00E40776">
              <w:t xml:space="preserve">, които са еднакви за всяка подфункция. </w:t>
            </w:r>
          </w:p>
          <w:p w14:paraId="4C2F14CB" w14:textId="38F07A5B" w:rsidR="00FE5D64" w:rsidRDefault="00E40776">
            <w:pPr>
              <w:pStyle w:val="P68B1DB1-ListParagraph32"/>
              <w:numPr>
                <w:ilvl w:val="0"/>
                <w:numId w:val="277"/>
              </w:numPr>
              <w:jc w:val="both"/>
            </w:pPr>
            <w:r>
              <w:t>&gt; 20 конкурент</w:t>
            </w:r>
            <w:r w:rsidR="00D15169">
              <w:rPr>
                <w:lang w:val="bg-BG"/>
              </w:rPr>
              <w:t>а</w:t>
            </w:r>
            <w:r>
              <w:t xml:space="preserve">; </w:t>
            </w:r>
          </w:p>
          <w:p w14:paraId="453D853E" w14:textId="24BC7A63" w:rsidR="00FE5D64" w:rsidRDefault="00D15169">
            <w:pPr>
              <w:pStyle w:val="P68B1DB1-ListParagraph32"/>
              <w:numPr>
                <w:ilvl w:val="0"/>
                <w:numId w:val="277"/>
              </w:numPr>
              <w:jc w:val="both"/>
            </w:pPr>
            <w:r>
              <w:rPr>
                <w:lang w:val="bg-BG"/>
              </w:rPr>
              <w:t xml:space="preserve">От </w:t>
            </w:r>
            <w:r w:rsidR="00E40776">
              <w:t>11</w:t>
            </w:r>
            <w:r>
              <w:rPr>
                <w:lang w:val="bg-BG"/>
              </w:rPr>
              <w:t xml:space="preserve"> до </w:t>
            </w:r>
            <w:r w:rsidR="00E40776">
              <w:t>20 конкурент</w:t>
            </w:r>
            <w:r>
              <w:rPr>
                <w:lang w:val="bg-BG"/>
              </w:rPr>
              <w:t>а</w:t>
            </w:r>
            <w:r w:rsidR="00E40776">
              <w:t xml:space="preserve">; </w:t>
            </w:r>
          </w:p>
          <w:p w14:paraId="642D6421" w14:textId="6DAFF06B" w:rsidR="00FE5D64" w:rsidRDefault="00E40776">
            <w:pPr>
              <w:pStyle w:val="P68B1DB1-ListParagraph32"/>
              <w:numPr>
                <w:ilvl w:val="0"/>
                <w:numId w:val="277"/>
              </w:numPr>
              <w:jc w:val="both"/>
            </w:pPr>
            <w:r>
              <w:t xml:space="preserve">От 5 до 10 </w:t>
            </w:r>
            <w:r w:rsidR="00D15169">
              <w:rPr>
                <w:lang w:val="bg-BG"/>
              </w:rPr>
              <w:t>конкурента;</w:t>
            </w:r>
            <w:r>
              <w:t xml:space="preserve"> </w:t>
            </w:r>
          </w:p>
          <w:p w14:paraId="3C672034" w14:textId="23AD4553" w:rsidR="00FE5D64" w:rsidRDefault="00D15169">
            <w:pPr>
              <w:pStyle w:val="P68B1DB1-ListParagraph32"/>
              <w:numPr>
                <w:ilvl w:val="0"/>
                <w:numId w:val="277"/>
              </w:numPr>
              <w:jc w:val="both"/>
              <w:rPr>
                <w:b/>
                <w:bCs/>
                <w:color w:val="000000" w:themeColor="text1"/>
              </w:rPr>
            </w:pPr>
            <w:r>
              <w:rPr>
                <w:lang w:val="en-US"/>
              </w:rPr>
              <w:t xml:space="preserve">&lt; </w:t>
            </w:r>
            <w:r w:rsidR="00E40776">
              <w:t>5 конкурент</w:t>
            </w:r>
            <w:r>
              <w:rPr>
                <w:lang w:val="bg-BG"/>
              </w:rPr>
              <w:t>а</w:t>
            </w:r>
            <w:r w:rsidR="00DE2F45">
              <w:rPr>
                <w:lang w:val="bg-BG"/>
              </w:rPr>
              <w:t>.</w:t>
            </w:r>
          </w:p>
          <w:p w14:paraId="7FE1BC08" w14:textId="3B09659F" w:rsidR="00FE5D64" w:rsidRDefault="00FE5D64">
            <w:pPr>
              <w:jc w:val="both"/>
              <w:rPr>
                <w:rFonts w:ascii="Times New Roman" w:hAnsi="Times New Roman"/>
                <w:color w:val="000000" w:themeColor="text1"/>
                <w:sz w:val="20"/>
                <w:szCs w:val="20"/>
              </w:rPr>
            </w:pPr>
          </w:p>
        </w:tc>
      </w:tr>
      <w:tr w:rsidR="00FE5D64"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FE5D64" w:rsidRDefault="00E40776">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1C90E6D4" w:rsidR="00FE5D64" w:rsidRPr="00D15169" w:rsidRDefault="00D15169">
            <w:pPr>
              <w:pStyle w:val="P68B1DB1-TableParagraph14"/>
              <w:spacing w:before="108"/>
              <w:jc w:val="both"/>
              <w:rPr>
                <w:bCs/>
              </w:rPr>
            </w:pPr>
            <w:r>
              <w:rPr>
                <w:lang w:val="bg-BG"/>
              </w:rPr>
              <w:t>Времева рамка</w:t>
            </w:r>
            <w:r>
              <w:t xml:space="preserve"> </w:t>
            </w:r>
            <w:r w:rsidR="00E40776">
              <w:t xml:space="preserve">— очаквано време за </w:t>
            </w:r>
            <w:r>
              <w:rPr>
                <w:lang w:val="bg-BG"/>
              </w:rPr>
              <w:t>заменяемост</w:t>
            </w:r>
          </w:p>
          <w:p w14:paraId="7FE1BC0D" w14:textId="216F518E" w:rsidR="00FE5D64" w:rsidRDefault="00D15169">
            <w:pPr>
              <w:pStyle w:val="P68B1DB1-TableParagraph13"/>
              <w:spacing w:before="108"/>
              <w:jc w:val="both"/>
            </w:pPr>
            <w:r>
              <w:rPr>
                <w:lang w:val="bg-BG"/>
              </w:rPr>
              <w:t>Оценява се необходимото време, за което</w:t>
            </w:r>
            <w:r w:rsidR="00E40776">
              <w:t xml:space="preserve"> икономическата функция, предоставена от </w:t>
            </w:r>
            <w:r w:rsidR="00106D24">
              <w:rPr>
                <w:lang w:val="bg-BG"/>
              </w:rPr>
              <w:t xml:space="preserve">отчитащия се </w:t>
            </w:r>
            <w:r w:rsidR="00E40776">
              <w:t xml:space="preserve">субект, </w:t>
            </w:r>
            <w:r>
              <w:rPr>
                <w:lang w:val="bg-BG"/>
              </w:rPr>
              <w:t xml:space="preserve">може </w:t>
            </w:r>
            <w:r w:rsidR="00E40776">
              <w:t>да бъде поет</w:t>
            </w:r>
            <w:r w:rsidR="00106D24">
              <w:rPr>
                <w:lang w:val="bg-BG"/>
              </w:rPr>
              <w:t>а</w:t>
            </w:r>
            <w:r w:rsidR="00E40776">
              <w:t xml:space="preserve"> от пазара в кризисна ситуация. Това включва: </w:t>
            </w:r>
          </w:p>
          <w:p w14:paraId="7FE1BC0E" w14:textId="46988848" w:rsidR="00FE5D64" w:rsidRDefault="00E40776">
            <w:pPr>
              <w:pStyle w:val="P68B1DB1-ListParagraph38"/>
              <w:numPr>
                <w:ilvl w:val="0"/>
                <w:numId w:val="274"/>
              </w:numPr>
              <w:jc w:val="both"/>
            </w:pPr>
            <w:r>
              <w:t xml:space="preserve">очакваното време, необходимо на един или няколко конкурента (и) за изпълнение на правните и техническите стъпки за поемане на функцията; както и  </w:t>
            </w:r>
          </w:p>
          <w:p w14:paraId="7FE1BC0F" w14:textId="64B107DF" w:rsidR="00FE5D64" w:rsidRDefault="00E40776">
            <w:pPr>
              <w:pStyle w:val="P68B1DB1-ListParagraph38"/>
              <w:numPr>
                <w:ilvl w:val="0"/>
                <w:numId w:val="274"/>
              </w:numPr>
              <w:jc w:val="both"/>
            </w:pPr>
            <w:r>
              <w:t xml:space="preserve">времето, необходимо на ползвателите на услугата да </w:t>
            </w:r>
            <w:r w:rsidR="00106D24">
              <w:rPr>
                <w:lang w:val="bg-BG"/>
              </w:rPr>
              <w:t>преминат към</w:t>
            </w:r>
            <w:r>
              <w:t xml:space="preserve"> друг доставчик на услуги. </w:t>
            </w:r>
          </w:p>
          <w:p w14:paraId="7FE1BC10"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C11" w14:textId="028D624C" w:rsidR="00FE5D64" w:rsidRDefault="00E40776">
            <w:pPr>
              <w:pStyle w:val="P68B1DB1-TableParagraph13"/>
              <w:spacing w:before="108"/>
              <w:jc w:val="both"/>
            </w:pPr>
            <w:r>
              <w:t xml:space="preserve">Като </w:t>
            </w:r>
            <w:r w:rsidR="00D15169">
              <w:rPr>
                <w:lang w:val="bg-BG"/>
              </w:rPr>
              <w:t>ориентир за горното</w:t>
            </w:r>
            <w:r>
              <w:t xml:space="preserve">, </w:t>
            </w:r>
            <w:r w:rsidR="00D15169">
              <w:rPr>
                <w:lang w:val="bg-BG"/>
              </w:rPr>
              <w:t xml:space="preserve">посочва се </w:t>
            </w:r>
            <w:r>
              <w:t xml:space="preserve">приблизителна оценка на времето, необходимо на отчитащия се субект да поеме в собствената си стопанска дейност (част от) услугата, предоставяна от друга институция, на разумна цена в кризисна ситуация. </w:t>
            </w:r>
            <w:r w:rsidR="00D15169">
              <w:rPr>
                <w:lang w:val="bg-BG"/>
              </w:rPr>
              <w:t>Посочва се</w:t>
            </w:r>
            <w:r w:rsidR="000A4612">
              <w:t xml:space="preserve"> </w:t>
            </w:r>
            <w:r>
              <w:t xml:space="preserve">очакваното време за </w:t>
            </w:r>
            <w:r w:rsidR="00D15169">
              <w:rPr>
                <w:lang w:val="bg-BG"/>
              </w:rPr>
              <w:t>заменяемост</w:t>
            </w:r>
            <w:r w:rsidR="00D15169">
              <w:t xml:space="preserve"> </w:t>
            </w:r>
            <w:r>
              <w:t xml:space="preserve">в </w:t>
            </w:r>
            <w:r w:rsidR="000A4612">
              <w:rPr>
                <w:lang w:val="bg-BG"/>
              </w:rPr>
              <w:t>категориите</w:t>
            </w:r>
            <w:r>
              <w:t xml:space="preserve">, </w:t>
            </w:r>
            <w:r w:rsidR="000A4612">
              <w:rPr>
                <w:lang w:val="bg-BG"/>
              </w:rPr>
              <w:t>предвидени</w:t>
            </w:r>
            <w:r w:rsidR="000A4612">
              <w:t xml:space="preserve"> </w:t>
            </w:r>
            <w:r>
              <w:t>в образеца:</w:t>
            </w:r>
          </w:p>
          <w:p w14:paraId="7FE1BC12" w14:textId="77777777" w:rsidR="00FE5D64" w:rsidRDefault="00FE5D64">
            <w:pPr>
              <w:jc w:val="both"/>
              <w:rPr>
                <w:rFonts w:ascii="Times New Roman" w:eastAsia="Times New Roman" w:hAnsi="Times New Roman" w:cs="Times New Roman"/>
                <w:sz w:val="20"/>
                <w:szCs w:val="20"/>
              </w:rPr>
            </w:pPr>
          </w:p>
          <w:p w14:paraId="7FE1BC13" w14:textId="05009EBB" w:rsidR="00FE5D64" w:rsidRDefault="00D15169">
            <w:pPr>
              <w:pStyle w:val="P68B1DB1-Normal31"/>
              <w:jc w:val="both"/>
            </w:pPr>
            <w:bookmarkStart w:id="129" w:name="_Hlk194476081"/>
            <w:r>
              <w:rPr>
                <w:lang w:val="bg-BG"/>
              </w:rPr>
              <w:t>Категории</w:t>
            </w:r>
            <w:r w:rsidR="00E40776">
              <w:t xml:space="preserve">: </w:t>
            </w:r>
          </w:p>
          <w:p w14:paraId="7FE1BC14" w14:textId="4A2394EE" w:rsidR="00FE5D64" w:rsidRDefault="00D15169">
            <w:pPr>
              <w:pStyle w:val="P68B1DB1-ListParagraph32"/>
              <w:numPr>
                <w:ilvl w:val="0"/>
                <w:numId w:val="284"/>
              </w:numPr>
              <w:jc w:val="both"/>
            </w:pPr>
            <w:r>
              <w:rPr>
                <w:lang w:val="en-US"/>
              </w:rPr>
              <w:t>&lt;</w:t>
            </w:r>
            <w:r w:rsidR="000A4612" w:rsidRPr="00D15169">
              <w:rPr>
                <w:lang w:val="bg-BG"/>
              </w:rPr>
              <w:t xml:space="preserve"> </w:t>
            </w:r>
            <w:r w:rsidR="00E40776">
              <w:t xml:space="preserve">1 ден; </w:t>
            </w:r>
          </w:p>
          <w:p w14:paraId="7FE1BC15" w14:textId="15883A0D" w:rsidR="00FE5D64" w:rsidRDefault="00E40776">
            <w:pPr>
              <w:pStyle w:val="P68B1DB1-ListParagraph32"/>
              <w:numPr>
                <w:ilvl w:val="0"/>
                <w:numId w:val="284"/>
              </w:numPr>
              <w:jc w:val="both"/>
            </w:pPr>
            <w:r>
              <w:t xml:space="preserve">1—2 дни; </w:t>
            </w:r>
          </w:p>
          <w:p w14:paraId="7FE1BC16" w14:textId="139ECD77" w:rsidR="00FE5D64" w:rsidRDefault="00E40776">
            <w:pPr>
              <w:pStyle w:val="P68B1DB1-ListParagraph32"/>
              <w:numPr>
                <w:ilvl w:val="0"/>
                <w:numId w:val="284"/>
              </w:numPr>
              <w:jc w:val="both"/>
            </w:pPr>
            <w:r>
              <w:t>&gt; 2 дни ≤ 1 седмица</w:t>
            </w:r>
            <w:r w:rsidR="00D15169">
              <w:rPr>
                <w:lang w:val="bg-BG"/>
              </w:rPr>
              <w:t>;</w:t>
            </w:r>
          </w:p>
          <w:p w14:paraId="7FE1BC17" w14:textId="21232AE6" w:rsidR="00FE5D64" w:rsidRDefault="00E40776">
            <w:pPr>
              <w:pStyle w:val="P68B1DB1-ListParagraph32"/>
              <w:numPr>
                <w:ilvl w:val="0"/>
                <w:numId w:val="284"/>
              </w:numPr>
              <w:jc w:val="both"/>
            </w:pPr>
            <w:r>
              <w:t>&gt; 1 седмица</w:t>
            </w:r>
            <w:r w:rsidR="00DE2F45">
              <w:rPr>
                <w:lang w:val="bg-BG"/>
              </w:rPr>
              <w:t>.</w:t>
            </w:r>
          </w:p>
          <w:bookmarkEnd w:id="129"/>
          <w:p w14:paraId="7FE1BC18"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FE5D64" w:rsidRDefault="00E40776">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0B5AC1A8" w:rsidR="00FE5D64" w:rsidRPr="00D15169" w:rsidRDefault="00D15169">
            <w:pPr>
              <w:pStyle w:val="P68B1DB1-TableParagraph14"/>
              <w:spacing w:before="108"/>
              <w:jc w:val="both"/>
              <w:rPr>
                <w:lang w:val="bg-BG"/>
              </w:rPr>
            </w:pPr>
            <w:r>
              <w:rPr>
                <w:lang w:val="bg-BG"/>
              </w:rPr>
              <w:t>Възможност за з</w:t>
            </w:r>
            <w:r w:rsidR="00B56406">
              <w:rPr>
                <w:lang w:val="bg-BG"/>
              </w:rPr>
              <w:t>аменяемост</w:t>
            </w:r>
          </w:p>
        </w:tc>
      </w:tr>
      <w:tr w:rsidR="00FE5D64"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FE5D64" w:rsidRDefault="00E40776">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FE5D64" w:rsidRDefault="00E40776">
            <w:pPr>
              <w:pStyle w:val="P68B1DB1-TableParagraph14"/>
              <w:spacing w:before="108"/>
              <w:jc w:val="both"/>
              <w:rPr>
                <w:bCs/>
              </w:rPr>
            </w:pPr>
            <w:r>
              <w:t>Правни пречки за навлизане на пазара или разрастване</w:t>
            </w:r>
          </w:p>
          <w:p w14:paraId="7FE1BC1F"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C20" w14:textId="03C114CC" w:rsidR="00FE5D64" w:rsidRDefault="00E40776">
            <w:pPr>
              <w:pStyle w:val="P68B1DB1-TableParagraph13"/>
              <w:spacing w:before="108"/>
              <w:jc w:val="both"/>
            </w:pPr>
            <w:r>
              <w:t xml:space="preserve">Правни пречки за конкурентите да предлагат услугата. Правните изисквания за извършване на дейността на кредитните институции (напр. банкови лицензи или капиталови изисквания) не следва да се </w:t>
            </w:r>
            <w:r w:rsidR="00972976">
              <w:rPr>
                <w:lang w:val="bg-BG"/>
              </w:rPr>
              <w:t>разглеждат като</w:t>
            </w:r>
            <w:r>
              <w:t xml:space="preserve"> непреодолими пречки при наличието на алтернативни доставчици. Този показател трябва да се отчита в </w:t>
            </w:r>
            <w:r w:rsidR="002E0741">
              <w:rPr>
                <w:lang w:val="bg-BG"/>
              </w:rPr>
              <w:t>категории</w:t>
            </w:r>
            <w:r>
              <w:t xml:space="preserve">, които са еднакви за всяка подфункция: </w:t>
            </w:r>
          </w:p>
          <w:p w14:paraId="7FE1BC21" w14:textId="474C67C3" w:rsidR="00FE5D64" w:rsidRDefault="00E40776">
            <w:pPr>
              <w:pStyle w:val="P68B1DB1-ListParagraph39"/>
              <w:numPr>
                <w:ilvl w:val="0"/>
                <w:numId w:val="275"/>
              </w:numPr>
              <w:jc w:val="both"/>
            </w:pPr>
            <w:r>
              <w:t xml:space="preserve">няма големи пречки, </w:t>
            </w:r>
          </w:p>
          <w:p w14:paraId="7FE1BC22" w14:textId="6778927E" w:rsidR="00FE5D64" w:rsidRDefault="002E0741">
            <w:pPr>
              <w:pStyle w:val="P68B1DB1-ListParagraph39"/>
              <w:numPr>
                <w:ilvl w:val="0"/>
                <w:numId w:val="275"/>
              </w:numPr>
              <w:jc w:val="both"/>
            </w:pPr>
            <w:r>
              <w:rPr>
                <w:lang w:val="bg-BG"/>
              </w:rPr>
              <w:t xml:space="preserve">съществуват </w:t>
            </w:r>
            <w:r w:rsidR="00E40776">
              <w:t xml:space="preserve">някои пречки, </w:t>
            </w:r>
          </w:p>
          <w:p w14:paraId="7FE1BC23" w14:textId="4D84F30C" w:rsidR="00FE5D64" w:rsidRDefault="00E40776">
            <w:pPr>
              <w:pStyle w:val="P68B1DB1-ListParagraph39"/>
              <w:numPr>
                <w:ilvl w:val="0"/>
                <w:numId w:val="275"/>
              </w:numPr>
              <w:jc w:val="both"/>
            </w:pPr>
            <w:r>
              <w:t xml:space="preserve">значителни (но преодолими) </w:t>
            </w:r>
            <w:r w:rsidR="00CE083A">
              <w:rPr>
                <w:lang w:val="bg-BG"/>
              </w:rPr>
              <w:t>пречки</w:t>
            </w:r>
            <w:r>
              <w:t xml:space="preserve">, </w:t>
            </w:r>
          </w:p>
          <w:p w14:paraId="7FE1BC25" w14:textId="006CF24C" w:rsidR="00FE5D64" w:rsidRDefault="00E40776">
            <w:pPr>
              <w:pStyle w:val="P68B1DB1-ListParagraph8"/>
              <w:numPr>
                <w:ilvl w:val="0"/>
                <w:numId w:val="275"/>
              </w:numPr>
              <w:jc w:val="both"/>
            </w:pPr>
            <w:r>
              <w:t xml:space="preserve">критични (трудни за преодоляване) </w:t>
            </w:r>
            <w:r w:rsidR="00CE083A">
              <w:rPr>
                <w:lang w:val="bg-BG"/>
              </w:rPr>
              <w:t>пречки</w:t>
            </w:r>
            <w:r>
              <w:t>.</w:t>
            </w:r>
          </w:p>
        </w:tc>
      </w:tr>
      <w:tr w:rsidR="00FE5D64"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FE5D64" w:rsidRDefault="00E40776">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593A917B" w:rsidR="00FE5D64" w:rsidRPr="00CE083A" w:rsidRDefault="002E0741">
            <w:pPr>
              <w:pStyle w:val="P68B1DB1-TableParagraph14"/>
              <w:spacing w:before="108"/>
              <w:jc w:val="both"/>
              <w:rPr>
                <w:lang w:val="bg-BG"/>
              </w:rPr>
            </w:pPr>
            <w:r>
              <w:rPr>
                <w:lang w:val="bg-BG"/>
              </w:rPr>
              <w:t>Оперативни</w:t>
            </w:r>
            <w:r>
              <w:t xml:space="preserve"> </w:t>
            </w:r>
            <w:r w:rsidR="00E40776">
              <w:t>изисквания за навлизане</w:t>
            </w:r>
            <w:r w:rsidR="00CE083A">
              <w:rPr>
                <w:lang w:val="bg-BG"/>
              </w:rPr>
              <w:t xml:space="preserve"> на пазари</w:t>
            </w:r>
            <w:r w:rsidR="00E40776">
              <w:t xml:space="preserve"> или </w:t>
            </w:r>
            <w:r>
              <w:rPr>
                <w:lang w:val="bg-BG"/>
              </w:rPr>
              <w:t>разрастване</w:t>
            </w:r>
          </w:p>
          <w:p w14:paraId="7FE1BC29"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C2A" w14:textId="47663C28" w:rsidR="00FE5D64" w:rsidRDefault="00E40776">
            <w:pPr>
              <w:pStyle w:val="P68B1DB1-TableParagraph13"/>
              <w:spacing w:before="108"/>
              <w:jc w:val="both"/>
            </w:pPr>
            <w:r>
              <w:t xml:space="preserve">Организационни, технически и инфраструктурни изисквания </w:t>
            </w:r>
            <w:r w:rsidR="002E0741">
              <w:rPr>
                <w:lang w:val="bg-BG"/>
              </w:rPr>
              <w:t>към</w:t>
            </w:r>
            <w:r w:rsidR="002E0741">
              <w:t xml:space="preserve"> </w:t>
            </w:r>
            <w:r>
              <w:t xml:space="preserve">конкурентите да предлагат услугата. Предлагането на услуги, свързани с (под) функцията, изисква доставчиците да инвестират в (нова или допълнителна) инфраструктура или да </w:t>
            </w:r>
            <w:r w:rsidR="00CE083A">
              <w:rPr>
                <w:lang w:val="bg-BG"/>
              </w:rPr>
              <w:t xml:space="preserve">направят промени в </w:t>
            </w:r>
            <w:r>
              <w:t>организаци</w:t>
            </w:r>
            <w:r w:rsidR="00CE083A">
              <w:rPr>
                <w:lang w:val="bg-BG"/>
              </w:rPr>
              <w:t>ята си</w:t>
            </w:r>
            <w:r>
              <w:t>. Оценява</w:t>
            </w:r>
            <w:r w:rsidR="002E0741">
              <w:rPr>
                <w:lang w:val="bg-BG"/>
              </w:rPr>
              <w:t xml:space="preserve"> се</w:t>
            </w:r>
            <w:r>
              <w:t xml:space="preserve"> способността на пазара да поеме дадена дейност, например по отношение на капиталовите изисквания. </w:t>
            </w:r>
          </w:p>
          <w:p w14:paraId="7FE1BC2B" w14:textId="381EB48E" w:rsidR="00FE5D64" w:rsidRDefault="00E40776">
            <w:pPr>
              <w:pStyle w:val="P68B1DB1-TableParagraph13"/>
              <w:spacing w:before="108"/>
              <w:jc w:val="both"/>
            </w:pPr>
            <w:r>
              <w:t xml:space="preserve">Този показател трябва да се отчита в </w:t>
            </w:r>
            <w:r w:rsidR="002E0741">
              <w:rPr>
                <w:lang w:val="bg-BG"/>
              </w:rPr>
              <w:t>категории</w:t>
            </w:r>
            <w:r>
              <w:t xml:space="preserve">, които са еднакви за всяка подфункция: </w:t>
            </w:r>
          </w:p>
          <w:p w14:paraId="7FE1BC2C" w14:textId="59F4E6B2" w:rsidR="00FE5D64" w:rsidRDefault="00E40776">
            <w:pPr>
              <w:pStyle w:val="P68B1DB1-ListParagraph39"/>
              <w:numPr>
                <w:ilvl w:val="0"/>
                <w:numId w:val="278"/>
              </w:numPr>
              <w:jc w:val="both"/>
            </w:pPr>
            <w:r>
              <w:t xml:space="preserve">няма съществени изисквания, </w:t>
            </w:r>
          </w:p>
          <w:p w14:paraId="7FE1BC2D" w14:textId="02B7586B" w:rsidR="00FE5D64" w:rsidRDefault="002E0741">
            <w:pPr>
              <w:pStyle w:val="P68B1DB1-ListParagraph39"/>
              <w:numPr>
                <w:ilvl w:val="0"/>
                <w:numId w:val="278"/>
              </w:numPr>
              <w:jc w:val="both"/>
            </w:pPr>
            <w:r>
              <w:rPr>
                <w:lang w:val="bg-BG"/>
              </w:rPr>
              <w:t xml:space="preserve">съществуват </w:t>
            </w:r>
            <w:r w:rsidR="00E40776">
              <w:t xml:space="preserve">някои изисквания, </w:t>
            </w:r>
          </w:p>
          <w:p w14:paraId="7FE1BC2E" w14:textId="0D018641" w:rsidR="00FE5D64" w:rsidRDefault="00E40776">
            <w:pPr>
              <w:pStyle w:val="P68B1DB1-ListParagraph39"/>
              <w:numPr>
                <w:ilvl w:val="0"/>
                <w:numId w:val="278"/>
              </w:numPr>
              <w:jc w:val="both"/>
            </w:pPr>
            <w:r>
              <w:t xml:space="preserve">съществени (но преодолими) изисквания, </w:t>
            </w:r>
          </w:p>
          <w:p w14:paraId="7FE1BC2F" w14:textId="0E8816DA" w:rsidR="00FE5D64" w:rsidRDefault="00E40776">
            <w:pPr>
              <w:pStyle w:val="P68B1DB1-ListParagraph39"/>
              <w:numPr>
                <w:ilvl w:val="0"/>
                <w:numId w:val="278"/>
              </w:numPr>
              <w:jc w:val="both"/>
            </w:pPr>
            <w:r>
              <w:t xml:space="preserve">критични (трудни за </w:t>
            </w:r>
            <w:r w:rsidR="002E0741">
              <w:rPr>
                <w:lang w:val="bg-BG"/>
              </w:rPr>
              <w:t>преодоляване</w:t>
            </w:r>
            <w:r>
              <w:t>) изисквания.</w:t>
            </w:r>
          </w:p>
          <w:p w14:paraId="7FE1BC30"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15E15542" w:rsidR="00FE5D64" w:rsidRDefault="00E40776">
            <w:pPr>
              <w:pStyle w:val="P68B1DB1-TableParagraph17"/>
              <w:spacing w:before="108"/>
              <w:jc w:val="both"/>
            </w:pPr>
            <w:r>
              <w:t>0200— 0210</w:t>
            </w:r>
          </w:p>
        </w:tc>
        <w:tc>
          <w:tcPr>
            <w:tcW w:w="8003" w:type="dxa"/>
            <w:tcBorders>
              <w:top w:val="single" w:sz="4" w:space="0" w:color="1A171C"/>
              <w:left w:val="single" w:sz="4" w:space="0" w:color="1A171C"/>
              <w:bottom w:val="single" w:sz="4" w:space="0" w:color="1A171C"/>
              <w:right w:val="nil"/>
            </w:tcBorders>
            <w:vAlign w:val="center"/>
          </w:tcPr>
          <w:p w14:paraId="7FE1BC3B" w14:textId="009070F7" w:rsidR="00FE5D64" w:rsidRPr="00CE083A" w:rsidRDefault="00E40776" w:rsidP="002E0741">
            <w:pPr>
              <w:pStyle w:val="P68B1DB1-TableParagraph14"/>
              <w:spacing w:before="108"/>
              <w:jc w:val="both"/>
              <w:rPr>
                <w:lang w:val="bg-BG"/>
              </w:rPr>
            </w:pPr>
            <w:r>
              <w:t xml:space="preserve">Капацитет за </w:t>
            </w:r>
            <w:r w:rsidR="002E0741">
              <w:rPr>
                <w:lang w:val="bg-BG"/>
              </w:rPr>
              <w:t>поемане</w:t>
            </w:r>
          </w:p>
        </w:tc>
      </w:tr>
      <w:tr w:rsidR="00FE5D64"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FE5D64" w:rsidRDefault="00E40776">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24E6ED0E" w:rsidR="00FE5D64" w:rsidRDefault="00E40776">
            <w:pPr>
              <w:pStyle w:val="P68B1DB1-TableParagraph14"/>
              <w:spacing w:before="108"/>
              <w:rPr>
                <w:bCs/>
              </w:rPr>
            </w:pPr>
            <w:r>
              <w:t xml:space="preserve">Капацитет за </w:t>
            </w:r>
            <w:r w:rsidR="002E0741">
              <w:rPr>
                <w:lang w:val="bg-BG"/>
              </w:rPr>
              <w:t>поемане</w:t>
            </w:r>
            <w:r w:rsidR="002E0741">
              <w:t xml:space="preserve"> </w:t>
            </w:r>
            <w:r>
              <w:t xml:space="preserve">— </w:t>
            </w:r>
            <w:r w:rsidR="00CE083A">
              <w:rPr>
                <w:lang w:val="bg-BG"/>
              </w:rPr>
              <w:t>Б</w:t>
            </w:r>
            <w:r w:rsidR="00CE083A">
              <w:t xml:space="preserve">рой </w:t>
            </w:r>
            <w:r>
              <w:t>заявления от нов</w:t>
            </w:r>
            <w:r w:rsidR="00CD7809">
              <w:rPr>
                <w:lang w:val="bg-BG"/>
              </w:rPr>
              <w:t>и</w:t>
            </w:r>
            <w:r>
              <w:t xml:space="preserve"> клиент</w:t>
            </w:r>
            <w:r w:rsidR="00CD7809">
              <w:rPr>
                <w:lang w:val="bg-BG"/>
              </w:rPr>
              <w:t xml:space="preserve">и в рамките на </w:t>
            </w:r>
            <w:r>
              <w:t xml:space="preserve"> 1 работен ден (брой)</w:t>
            </w:r>
          </w:p>
          <w:p w14:paraId="2BBAFCB8" w14:textId="6E8EAEE4" w:rsidR="00FE5D64" w:rsidRDefault="00E40776">
            <w:pPr>
              <w:pStyle w:val="P68B1DB1-TableParagraph13"/>
              <w:spacing w:before="108"/>
            </w:pPr>
            <w:r>
              <w:t xml:space="preserve">От институциите се изисква да предоставят най-голям брой заявления, </w:t>
            </w:r>
            <w:r w:rsidR="00CE083A">
              <w:rPr>
                <w:lang w:val="bg-BG"/>
              </w:rPr>
              <w:t>при които</w:t>
            </w:r>
            <w:r w:rsidR="00CE083A">
              <w:t xml:space="preserve"> </w:t>
            </w:r>
            <w:r>
              <w:t xml:space="preserve">институцията е </w:t>
            </w:r>
            <w:r w:rsidR="00C8478E">
              <w:rPr>
                <w:lang w:val="bg-BG"/>
              </w:rPr>
              <w:t>потвърдила заявлението</w:t>
            </w:r>
            <w:r w:rsidR="00C8478E" w:rsidRPr="00CE083A">
              <w:rPr>
                <w:lang w:val="bg-BG"/>
              </w:rPr>
              <w:t xml:space="preserve"> за </w:t>
            </w:r>
            <w:r w:rsidR="00C8478E">
              <w:rPr>
                <w:lang w:val="bg-BG"/>
              </w:rPr>
              <w:t>предоставяне на</w:t>
            </w:r>
            <w:r>
              <w:t xml:space="preserve"> банкова услуга.</w:t>
            </w:r>
          </w:p>
          <w:p w14:paraId="3F7DDDEF"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5AB7F16A" w14:textId="604E53CA" w:rsidR="00FE5D64" w:rsidRDefault="00CE083A">
            <w:pPr>
              <w:pStyle w:val="P68B1DB1-TableParagraph13"/>
              <w:spacing w:before="108"/>
              <w:jc w:val="both"/>
              <w:rPr>
                <w:b/>
                <w:bCs/>
              </w:rPr>
            </w:pPr>
            <w:r>
              <w:rPr>
                <w:lang w:val="bg-BG"/>
              </w:rPr>
              <w:t>Посочва се к</w:t>
            </w:r>
            <w:r w:rsidR="00E40776">
              <w:t xml:space="preserve">апацитетът за </w:t>
            </w:r>
            <w:r w:rsidR="00C8478E">
              <w:rPr>
                <w:lang w:val="bg-BG"/>
              </w:rPr>
              <w:t>поемане</w:t>
            </w:r>
            <w:r w:rsidR="00C8478E" w:rsidRPr="00CE083A">
              <w:rPr>
                <w:lang w:val="bg-BG"/>
              </w:rPr>
              <w:t xml:space="preserve"> </w:t>
            </w:r>
            <w:r w:rsidR="00E40776">
              <w:t xml:space="preserve">на платежни услуги </w:t>
            </w:r>
            <w:r w:rsidR="00C8478E">
              <w:rPr>
                <w:lang w:val="bg-BG"/>
              </w:rPr>
              <w:t>към</w:t>
            </w:r>
            <w:r w:rsidR="00C8478E">
              <w:t xml:space="preserve"> </w:t>
            </w:r>
            <w:r w:rsidR="00E40776">
              <w:t xml:space="preserve">ПФИ, платежни услуги </w:t>
            </w:r>
            <w:r w:rsidR="00C8478E">
              <w:rPr>
                <w:lang w:val="bg-BG"/>
              </w:rPr>
              <w:t>към</w:t>
            </w:r>
            <w:r w:rsidR="00C8478E">
              <w:t xml:space="preserve"> </w:t>
            </w:r>
            <w:r w:rsidR="00E40776">
              <w:t xml:space="preserve">НПФИ и </w:t>
            </w:r>
            <w:r w:rsidR="00C8478E">
              <w:rPr>
                <w:lang w:val="bg-BG"/>
              </w:rPr>
              <w:t xml:space="preserve">касови </w:t>
            </w:r>
            <w:r w:rsidR="00E40776">
              <w:t xml:space="preserve">услуги </w:t>
            </w:r>
            <w:r>
              <w:rPr>
                <w:lang w:val="bg-BG"/>
              </w:rPr>
              <w:t>по отношение на</w:t>
            </w:r>
            <w:r w:rsidR="00E40776">
              <w:t xml:space="preserve"> брой нови сметки</w:t>
            </w:r>
            <w:r w:rsidR="00421462" w:rsidRPr="00CE083A">
              <w:rPr>
                <w:lang w:val="bg-BG"/>
              </w:rPr>
              <w:t xml:space="preserve"> </w:t>
            </w:r>
            <w:r>
              <w:rPr>
                <w:lang w:val="bg-BG"/>
              </w:rPr>
              <w:t xml:space="preserve">в рамките на </w:t>
            </w:r>
            <w:r w:rsidR="00E40776">
              <w:t xml:space="preserve">1 работен ден. </w:t>
            </w:r>
          </w:p>
          <w:p w14:paraId="10BCF6A2" w14:textId="22652A07" w:rsidR="00FE5D64" w:rsidRDefault="00E40776">
            <w:pPr>
              <w:pStyle w:val="P68B1DB1-TableParagraph13"/>
              <w:spacing w:before="108"/>
              <w:jc w:val="both"/>
              <w:rPr>
                <w:b/>
                <w:bCs/>
              </w:rPr>
            </w:pPr>
            <w:r>
              <w:t xml:space="preserve">От институциите се очаква да вземат предвид </w:t>
            </w:r>
            <w:r w:rsidR="00CE083A">
              <w:rPr>
                <w:lang w:val="bg-BG"/>
              </w:rPr>
              <w:t>времет</w:t>
            </w:r>
            <w:r w:rsidR="00C522C0">
              <w:rPr>
                <w:lang w:val="bg-BG"/>
              </w:rPr>
              <w:t>о</w:t>
            </w:r>
            <w:r w:rsidR="00CE083A">
              <w:rPr>
                <w:lang w:val="bg-BG"/>
              </w:rPr>
              <w:t xml:space="preserve"> за поемане</w:t>
            </w:r>
            <w:r w:rsidR="00421462" w:rsidRPr="00CE083A">
              <w:rPr>
                <w:lang w:val="bg-BG"/>
              </w:rPr>
              <w:t xml:space="preserve"> на</w:t>
            </w:r>
            <w:r>
              <w:t xml:space="preserve"> нови клиенти, </w:t>
            </w:r>
            <w:r w:rsidR="00CE083A">
              <w:rPr>
                <w:lang w:val="bg-BG"/>
              </w:rPr>
              <w:t xml:space="preserve">след </w:t>
            </w:r>
            <w:r w:rsidR="00C522C0">
              <w:rPr>
                <w:lang w:val="bg-BG"/>
              </w:rPr>
              <w:t xml:space="preserve">подаване на заявление за банкова услуга от страна на </w:t>
            </w:r>
            <w:r>
              <w:t>нов клиент.</w:t>
            </w:r>
          </w:p>
          <w:p w14:paraId="54138520" w14:textId="77777777" w:rsidR="00FE5D64" w:rsidRDefault="00FE5D64">
            <w:pPr>
              <w:pStyle w:val="TableParagraph"/>
              <w:spacing w:before="108"/>
              <w:rPr>
                <w:rFonts w:ascii="Times New Roman" w:hAnsi="Times New Roman" w:cs="Times New Roman"/>
                <w:b/>
                <w:bCs/>
                <w:color w:val="000000" w:themeColor="text1"/>
                <w:sz w:val="20"/>
                <w:szCs w:val="20"/>
              </w:rPr>
            </w:pPr>
          </w:p>
        </w:tc>
      </w:tr>
      <w:tr w:rsidR="00FE5D64"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FE5D64" w:rsidRDefault="00E40776">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096F1ACA" w:rsidR="00FE5D64" w:rsidRDefault="00E40776">
            <w:pPr>
              <w:pStyle w:val="P68B1DB1-TableParagraph14"/>
              <w:spacing w:before="108"/>
              <w:rPr>
                <w:bCs/>
              </w:rPr>
            </w:pPr>
            <w:r>
              <w:t xml:space="preserve">Капацитет за </w:t>
            </w:r>
            <w:r w:rsidR="0041066B">
              <w:rPr>
                <w:lang w:val="bg-BG"/>
              </w:rPr>
              <w:t>поемане</w:t>
            </w:r>
            <w:r w:rsidR="0041066B">
              <w:t xml:space="preserve"> </w:t>
            </w:r>
            <w:r>
              <w:t xml:space="preserve">— </w:t>
            </w:r>
            <w:r w:rsidR="00C522C0">
              <w:rPr>
                <w:lang w:val="bg-BG"/>
              </w:rPr>
              <w:t>Б</w:t>
            </w:r>
            <w:r w:rsidR="00C522C0">
              <w:t xml:space="preserve">рой </w:t>
            </w:r>
            <w:r>
              <w:t xml:space="preserve">заявления от нови клиенти </w:t>
            </w:r>
            <w:r w:rsidR="00C522C0">
              <w:rPr>
                <w:lang w:val="bg-BG"/>
              </w:rPr>
              <w:t>в рамките на</w:t>
            </w:r>
            <w:r w:rsidR="00C522C0">
              <w:t xml:space="preserve"> </w:t>
            </w:r>
            <w:r>
              <w:t>7 работни дни (брой)</w:t>
            </w:r>
          </w:p>
          <w:p w14:paraId="6C6045B8" w14:textId="2CC870F6" w:rsidR="00FE5D64" w:rsidRDefault="00E40776">
            <w:pPr>
              <w:pStyle w:val="P68B1DB1-TableParagraph13"/>
              <w:spacing w:before="108"/>
            </w:pPr>
            <w:r>
              <w:t xml:space="preserve">От институциите се изисква да предоставят най-голям брой заявления, </w:t>
            </w:r>
            <w:r w:rsidR="00C522C0">
              <w:rPr>
                <w:lang w:val="bg-BG"/>
              </w:rPr>
              <w:t>при които</w:t>
            </w:r>
            <w:r w:rsidR="00C522C0">
              <w:t xml:space="preserve"> </w:t>
            </w:r>
            <w:r>
              <w:t xml:space="preserve">институцията е </w:t>
            </w:r>
            <w:r w:rsidR="00C522C0">
              <w:rPr>
                <w:lang w:val="bg-BG"/>
              </w:rPr>
              <w:t>потвърдила заявлението за предоставяне на</w:t>
            </w:r>
            <w:r>
              <w:t xml:space="preserve"> банкова услуга.</w:t>
            </w:r>
          </w:p>
          <w:p w14:paraId="59CBAFC9" w14:textId="4D96E5A2" w:rsidR="00FE5D64" w:rsidRDefault="00C522C0">
            <w:pPr>
              <w:pStyle w:val="P68B1DB1-TableParagraph13"/>
              <w:spacing w:before="108"/>
              <w:jc w:val="both"/>
            </w:pPr>
            <w:r>
              <w:rPr>
                <w:lang w:val="bg-BG"/>
              </w:rPr>
              <w:t>Посочва се к</w:t>
            </w:r>
            <w:r w:rsidR="00E40776">
              <w:t xml:space="preserve">апацитетът за </w:t>
            </w:r>
            <w:r>
              <w:rPr>
                <w:lang w:val="bg-BG"/>
              </w:rPr>
              <w:t>поемане</w:t>
            </w:r>
            <w:r>
              <w:t xml:space="preserve"> </w:t>
            </w:r>
            <w:r w:rsidR="00E40776">
              <w:t xml:space="preserve">на услуги по сетълмент на ценни книжа, клирингови услуги на ЦК, попечителски услуги по отношение на броя на новите сметки </w:t>
            </w:r>
            <w:r>
              <w:rPr>
                <w:lang w:val="bg-BG"/>
              </w:rPr>
              <w:t>в рамките на</w:t>
            </w:r>
            <w:r w:rsidR="00E40776">
              <w:t xml:space="preserve"> 7 работни дни.</w:t>
            </w:r>
          </w:p>
          <w:p w14:paraId="7623A7E1" w14:textId="60C2849B" w:rsidR="00FE5D64" w:rsidRDefault="00E40776">
            <w:pPr>
              <w:pStyle w:val="P68B1DB1-TableParagraph13"/>
              <w:spacing w:before="108"/>
              <w:jc w:val="both"/>
              <w:rPr>
                <w:b/>
                <w:bCs/>
              </w:rPr>
            </w:pPr>
            <w:r>
              <w:t xml:space="preserve">От институциите се очаква да вземат предвид </w:t>
            </w:r>
            <w:r w:rsidR="00C522C0">
              <w:rPr>
                <w:lang w:val="bg-BG"/>
              </w:rPr>
              <w:t>времето за поемане</w:t>
            </w:r>
            <w:r>
              <w:t xml:space="preserve"> на нови клиенти, </w:t>
            </w:r>
            <w:r w:rsidR="00C522C0">
              <w:rPr>
                <w:lang w:val="bg-BG"/>
              </w:rPr>
              <w:t xml:space="preserve">след подаване на заявление за банкова услуга от страна на </w:t>
            </w:r>
            <w:r>
              <w:t>нов клиент.</w:t>
            </w:r>
          </w:p>
          <w:p w14:paraId="6541ECB8" w14:textId="7269F4A9" w:rsidR="00FE5D64" w:rsidRDefault="00FE5D64">
            <w:pPr>
              <w:pStyle w:val="TableParagraph"/>
              <w:spacing w:before="108"/>
              <w:rPr>
                <w:rFonts w:ascii="Times New Roman" w:hAnsi="Times New Roman" w:cs="Times New Roman"/>
                <w:b/>
                <w:bCs/>
                <w:color w:val="000000" w:themeColor="text1"/>
                <w:sz w:val="20"/>
                <w:szCs w:val="20"/>
              </w:rPr>
            </w:pPr>
          </w:p>
        </w:tc>
      </w:tr>
      <w:tr w:rsidR="00FE5D64"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FE5D64" w:rsidRDefault="00E40776">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FE5D64" w:rsidRDefault="00E40776">
            <w:pPr>
              <w:pStyle w:val="P68B1DB1-TableParagraph14"/>
              <w:spacing w:before="108"/>
              <w:rPr>
                <w:bCs/>
              </w:rPr>
            </w:pPr>
            <w:r>
              <w:t>Оценка на критичността</w:t>
            </w:r>
          </w:p>
        </w:tc>
      </w:tr>
      <w:tr w:rsidR="00FE5D64"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FE5D64" w:rsidRDefault="00E40776">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FE5D64" w:rsidRPr="001118F2" w:rsidRDefault="00E40776">
            <w:pPr>
              <w:pStyle w:val="P68B1DB1-TableParagraph13"/>
              <w:spacing w:before="108"/>
              <w:rPr>
                <w:b/>
              </w:rPr>
            </w:pPr>
            <w:r w:rsidRPr="001118F2">
              <w:rPr>
                <w:b/>
              </w:rPr>
              <w:t xml:space="preserve">Въздействие върху пазара </w:t>
            </w:r>
          </w:p>
          <w:p w14:paraId="7FE1BC42" w14:textId="21660BF9" w:rsidR="00FE5D64" w:rsidRDefault="00E40776">
            <w:pPr>
              <w:pStyle w:val="P68B1DB1-TableParagraph13"/>
              <w:spacing w:before="108"/>
            </w:pPr>
            <w:r>
              <w:t xml:space="preserve">Очакваното въздействие </w:t>
            </w:r>
            <w:r w:rsidR="006773D5">
              <w:rPr>
                <w:lang w:val="bg-BG"/>
              </w:rPr>
              <w:t>от</w:t>
            </w:r>
            <w:r w:rsidR="006773D5">
              <w:t xml:space="preserve"> </w:t>
            </w:r>
            <w:r>
              <w:t>внезапно прекъсване на функцията върху трети страни, финансовите пазари и реалната икономика, като се вземат предвид размерът, пазарният дял в дадената държава, външните и вътрешните взаимовръзки, сложността и трансграничната дейност на институцията.</w:t>
            </w:r>
          </w:p>
          <w:p w14:paraId="7FE1BC43" w14:textId="5300BC69" w:rsidR="00FE5D64" w:rsidRDefault="00E40776">
            <w:pPr>
              <w:pStyle w:val="P68B1DB1-TableParagraph13"/>
              <w:spacing w:before="108"/>
            </w:pPr>
            <w:r>
              <w:t>Тази оценка се изразява качествено като „висок</w:t>
            </w:r>
            <w:r w:rsidR="000E5960">
              <w:rPr>
                <w:lang w:val="bg-BG"/>
              </w:rPr>
              <w:t>о“,</w:t>
            </w:r>
            <w:r>
              <w:t xml:space="preserve"> „средн</w:t>
            </w:r>
            <w:r w:rsidR="000E5960">
              <w:rPr>
                <w:lang w:val="bg-BG"/>
              </w:rPr>
              <w:t>овисоко“</w:t>
            </w:r>
            <w:r>
              <w:t>, „средн</w:t>
            </w:r>
            <w:r w:rsidR="000E5960">
              <w:rPr>
                <w:lang w:val="bg-BG"/>
              </w:rPr>
              <w:t>ониско</w:t>
            </w:r>
            <w:r w:rsidR="000C55CA">
              <w:rPr>
                <w:lang w:val="bg-BG"/>
              </w:rPr>
              <w:t xml:space="preserve">“ </w:t>
            </w:r>
            <w:r>
              <w:t xml:space="preserve">или </w:t>
            </w:r>
            <w:r w:rsidR="000E5960">
              <w:rPr>
                <w:lang w:val="bg-BG"/>
              </w:rPr>
              <w:t>„</w:t>
            </w:r>
            <w:r>
              <w:t>ниск</w:t>
            </w:r>
            <w:r w:rsidR="000E5960">
              <w:rPr>
                <w:lang w:val="bg-BG"/>
              </w:rPr>
              <w:t>о“</w:t>
            </w:r>
            <w:r>
              <w:t>.</w:t>
            </w:r>
          </w:p>
          <w:p w14:paraId="7FE1BC44" w14:textId="3FA4471B" w:rsidR="00FE5D64" w:rsidRDefault="00E40776">
            <w:pPr>
              <w:pStyle w:val="P68B1DB1-TableParagraph13"/>
              <w:spacing w:before="108"/>
            </w:pPr>
            <w:r>
              <w:t>„Висок</w:t>
            </w:r>
            <w:r w:rsidR="000E5960">
              <w:rPr>
                <w:lang w:val="bg-BG"/>
              </w:rPr>
              <w:t>о</w:t>
            </w:r>
            <w:r>
              <w:t>“ се избира, ако прекъсването би оказало силно въздействие върху националния пазар; „</w:t>
            </w:r>
            <w:r w:rsidR="000E5960">
              <w:rPr>
                <w:lang w:val="bg-BG"/>
              </w:rPr>
              <w:t>с</w:t>
            </w:r>
            <w:r>
              <w:t>редно</w:t>
            </w:r>
            <w:r w:rsidR="000E5960">
              <w:rPr>
                <w:lang w:val="bg-BG"/>
              </w:rPr>
              <w:t>в</w:t>
            </w:r>
            <w:r>
              <w:t>исоко“ — ако въздействието е значително; „</w:t>
            </w:r>
            <w:r w:rsidR="000E5960">
              <w:rPr>
                <w:lang w:val="bg-BG"/>
              </w:rPr>
              <w:t>среднониско</w:t>
            </w:r>
            <w:r>
              <w:t>“ — ако въздействието е съществено, но ограничено; „</w:t>
            </w:r>
            <w:r w:rsidR="000E5960">
              <w:rPr>
                <w:lang w:val="bg-BG"/>
              </w:rPr>
              <w:t>ниско</w:t>
            </w:r>
            <w:r>
              <w:t>“ — ако въздействието е слабо.</w:t>
            </w:r>
          </w:p>
        </w:tc>
      </w:tr>
      <w:tr w:rsidR="00FE5D64"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FE5D64" w:rsidRDefault="00E40776">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FE5D64" w:rsidRDefault="00E40776">
            <w:pPr>
              <w:pStyle w:val="P68B1DB1-TableParagraph14"/>
              <w:spacing w:before="108"/>
              <w:rPr>
                <w:bCs/>
              </w:rPr>
            </w:pPr>
            <w:r>
              <w:t>Заменяемост</w:t>
            </w:r>
          </w:p>
          <w:p w14:paraId="7FE1BC48" w14:textId="77777777" w:rsidR="00FE5D64" w:rsidRDefault="00E40776">
            <w:pPr>
              <w:pStyle w:val="P68B1DB1-TableParagraph13"/>
              <w:spacing w:before="108"/>
            </w:pPr>
            <w:r>
              <w:t>Член 6, параграф 3 от Делегиран регламент (ЕС) 2016/778.</w:t>
            </w:r>
          </w:p>
          <w:p w14:paraId="7FE1BC49" w14:textId="1C48A8EF" w:rsidR="00FE5D64" w:rsidRDefault="00E40776">
            <w:pPr>
              <w:pStyle w:val="P68B1DB1-TableParagraph13"/>
              <w:spacing w:before="108"/>
            </w:pPr>
            <w:r>
              <w:t xml:space="preserve">Дадена функция се приема за заменяема, ако може да бъде заменена по приемлив начин и в приемлив срок, </w:t>
            </w:r>
            <w:r w:rsidR="006E32CE">
              <w:rPr>
                <w:lang w:val="bg-BG"/>
              </w:rPr>
              <w:t>като по този начин</w:t>
            </w:r>
            <w:r>
              <w:t xml:space="preserve"> се избегнат системни проблеми за реалната икономика и финансовите пазари. Взема се предвид следното:</w:t>
            </w:r>
          </w:p>
          <w:p w14:paraId="7FE1BC4A" w14:textId="77777777" w:rsidR="00FE5D64" w:rsidRDefault="00E40776">
            <w:pPr>
              <w:pStyle w:val="P68B1DB1-TableParagraph13"/>
              <w:spacing w:before="108"/>
            </w:pPr>
            <w:r>
              <w:t xml:space="preserve">(a) структурата на пазара за тази функция и наличието на алтернативни доставчици; </w:t>
            </w:r>
          </w:p>
          <w:p w14:paraId="7FE1BC4B" w14:textId="2A858F4C" w:rsidR="00FE5D64" w:rsidRDefault="00E40776">
            <w:pPr>
              <w:pStyle w:val="P68B1DB1-TableParagraph13"/>
              <w:spacing w:before="108"/>
            </w:pPr>
            <w:r>
              <w:t>(</w:t>
            </w:r>
            <w:r w:rsidR="006E32CE">
              <w:rPr>
                <w:lang w:val="bg-BG"/>
              </w:rPr>
              <w:t>б</w:t>
            </w:r>
            <w:r>
              <w:t xml:space="preserve">) възможностите на останалите доставчици по отношение на капацитета, изискванията за изпълняване на функцията и потенциалните пречки за навлизане на пазара или разрастване; </w:t>
            </w:r>
          </w:p>
          <w:p w14:paraId="7FE1BC4C" w14:textId="60D73278" w:rsidR="00FE5D64" w:rsidRDefault="00E40776">
            <w:pPr>
              <w:pStyle w:val="P68B1DB1-TableParagraph13"/>
              <w:spacing w:before="108"/>
            </w:pPr>
            <w:r>
              <w:t>(</w:t>
            </w:r>
            <w:r w:rsidR="006E32CE">
              <w:rPr>
                <w:lang w:val="bg-BG"/>
              </w:rPr>
              <w:t>в</w:t>
            </w:r>
            <w:r>
              <w:t xml:space="preserve">) стимулът за други доставчици да поемат тези дейности; </w:t>
            </w:r>
          </w:p>
          <w:p w14:paraId="7FE1BC4D" w14:textId="3AB819F5" w:rsidR="00FE5D64" w:rsidRDefault="00E40776">
            <w:pPr>
              <w:pStyle w:val="P68B1DB1-TableParagraph13"/>
              <w:spacing w:before="108"/>
            </w:pPr>
            <w:r>
              <w:t>(</w:t>
            </w:r>
            <w:r w:rsidR="006E32CE">
              <w:rPr>
                <w:lang w:val="bg-BG"/>
              </w:rPr>
              <w:t>г</w:t>
            </w:r>
            <w:r>
              <w:t>) необходимото време за преминаване на ползвателите на услугата към нов доставчик на услуги и свързаните с този преход разходи;</w:t>
            </w:r>
            <w:r w:rsidR="006E32CE">
              <w:rPr>
                <w:lang w:val="bg-BG"/>
              </w:rPr>
              <w:t xml:space="preserve"> </w:t>
            </w:r>
            <w:r>
              <w:t>необходимото време за поемане на функцията от другите конкуренти и дали този срок е достатъчен, за да се предотвратят сериозни сътресения в зависимост от вида услуга.</w:t>
            </w:r>
          </w:p>
          <w:p w14:paraId="7FE1BC4E" w14:textId="7395B62B" w:rsidR="00FE5D64" w:rsidRDefault="00E40776">
            <w:pPr>
              <w:pStyle w:val="P68B1DB1-TableParagraph13"/>
              <w:spacing w:before="108"/>
            </w:pPr>
            <w:r>
              <w:t>Предоставяне на цялостна оценка на очакваната степен на заменяемост за всяка функция, като се вземат предвид различните</w:t>
            </w:r>
            <w:r w:rsidR="006E32CE">
              <w:rPr>
                <w:lang w:val="bg-BG"/>
              </w:rPr>
              <w:t xml:space="preserve"> аспекти,</w:t>
            </w:r>
            <w:r>
              <w:t xml:space="preserve"> оцен</w:t>
            </w:r>
            <w:r w:rsidR="006E32CE">
              <w:rPr>
                <w:lang w:val="bg-BG"/>
              </w:rPr>
              <w:t>е</w:t>
            </w:r>
            <w:r>
              <w:t>ни по-рано (пазарен дял, концентрация</w:t>
            </w:r>
            <w:r w:rsidR="006E32CE">
              <w:rPr>
                <w:lang w:val="bg-BG"/>
              </w:rPr>
              <w:t xml:space="preserve"> на пазара</w:t>
            </w:r>
            <w:r>
              <w:t xml:space="preserve">, време за </w:t>
            </w:r>
            <w:r w:rsidR="006E32CE">
              <w:rPr>
                <w:lang w:val="bg-BG"/>
              </w:rPr>
              <w:t>заменяемост</w:t>
            </w:r>
            <w:r>
              <w:t>, правни пречки и оперативни изисквания за навлизане</w:t>
            </w:r>
            <w:r w:rsidR="006E32CE">
              <w:rPr>
                <w:lang w:val="bg-BG"/>
              </w:rPr>
              <w:t xml:space="preserve"> на пазари</w:t>
            </w:r>
            <w:r>
              <w:t xml:space="preserve"> или </w:t>
            </w:r>
            <w:r w:rsidR="006E32CE">
              <w:rPr>
                <w:lang w:val="bg-BG"/>
              </w:rPr>
              <w:t>разрастване</w:t>
            </w:r>
            <w:r>
              <w:t>). Тази оценка се изразява качествено като „висока</w:t>
            </w:r>
            <w:r w:rsidR="006E32CE">
              <w:rPr>
                <w:lang w:val="bg-BG"/>
              </w:rPr>
              <w:t>“</w:t>
            </w:r>
            <w:r>
              <w:t>, „средн</w:t>
            </w:r>
            <w:r w:rsidR="006E32CE">
              <w:rPr>
                <w:lang w:val="bg-BG"/>
              </w:rPr>
              <w:t>овисок</w:t>
            </w:r>
            <w:r>
              <w:t>а</w:t>
            </w:r>
            <w:r w:rsidR="006E32CE">
              <w:rPr>
                <w:lang w:val="bg-BG"/>
              </w:rPr>
              <w:t>“</w:t>
            </w:r>
            <w:r>
              <w:t>, „средн</w:t>
            </w:r>
            <w:r w:rsidR="006E32CE">
              <w:rPr>
                <w:lang w:val="bg-BG"/>
              </w:rPr>
              <w:t>ониска“</w:t>
            </w:r>
            <w:r>
              <w:t xml:space="preserve"> или </w:t>
            </w:r>
            <w:r w:rsidR="006E32CE">
              <w:rPr>
                <w:lang w:val="bg-BG"/>
              </w:rPr>
              <w:t>„</w:t>
            </w:r>
            <w:r>
              <w:t>ниска</w:t>
            </w:r>
            <w:r w:rsidR="006E32CE">
              <w:rPr>
                <w:lang w:val="bg-BG"/>
              </w:rPr>
              <w:t>“</w:t>
            </w:r>
            <w:r>
              <w:t xml:space="preserve">. </w:t>
            </w:r>
          </w:p>
          <w:p w14:paraId="7FE1BC4F" w14:textId="63A1FDC8" w:rsidR="00FE5D64" w:rsidRDefault="00E40776">
            <w:pPr>
              <w:pStyle w:val="P68B1DB1-TableParagraph13"/>
              <w:spacing w:before="108"/>
            </w:pPr>
            <w:r>
              <w:t>„Висок</w:t>
            </w:r>
            <w:r w:rsidR="006E32CE">
              <w:rPr>
                <w:lang w:val="bg-BG"/>
              </w:rPr>
              <w:t>а</w:t>
            </w:r>
            <w:r>
              <w:t xml:space="preserve">“ се избира, ако една функция може лесно да </w:t>
            </w:r>
            <w:r w:rsidR="006E32CE">
              <w:rPr>
                <w:lang w:val="bg-BG"/>
              </w:rPr>
              <w:t xml:space="preserve">бъде поета </w:t>
            </w:r>
            <w:r>
              <w:t xml:space="preserve">от друга банка при </w:t>
            </w:r>
            <w:r w:rsidR="006E32CE">
              <w:rPr>
                <w:lang w:val="bg-BG"/>
              </w:rPr>
              <w:t>съпоставими</w:t>
            </w:r>
            <w:r w:rsidR="006E32CE">
              <w:t xml:space="preserve"> </w:t>
            </w:r>
            <w:r>
              <w:t>условия и в разумен срок;</w:t>
            </w:r>
          </w:p>
          <w:p w14:paraId="7FE1BC50" w14:textId="5891BEB7" w:rsidR="00FE5D64" w:rsidRDefault="00E40776">
            <w:pPr>
              <w:pStyle w:val="P68B1DB1-TableParagraph13"/>
              <w:spacing w:before="108"/>
            </w:pPr>
            <w:r>
              <w:t>„</w:t>
            </w:r>
            <w:r w:rsidR="006E32CE">
              <w:rPr>
                <w:lang w:val="bg-BG"/>
              </w:rPr>
              <w:t>Ниско</w:t>
            </w:r>
            <w:r>
              <w:t xml:space="preserve">“ ако една функция не може лесно или бързо да бъде заменена; </w:t>
            </w:r>
          </w:p>
          <w:p w14:paraId="7FE1BC51" w14:textId="3A770AB5" w:rsidR="00FE5D64" w:rsidRDefault="00E40776">
            <w:pPr>
              <w:pStyle w:val="P68B1DB1-TableParagraph13"/>
              <w:spacing w:before="108"/>
            </w:pPr>
            <w:r>
              <w:t>„</w:t>
            </w:r>
            <w:r w:rsidR="006E32CE">
              <w:rPr>
                <w:lang w:val="bg-BG"/>
              </w:rPr>
              <w:t xml:space="preserve">Средновисока“ </w:t>
            </w:r>
            <w:r>
              <w:t>и „</w:t>
            </w:r>
            <w:r w:rsidR="006E32CE">
              <w:rPr>
                <w:lang w:val="bg-BG"/>
              </w:rPr>
              <w:t>среднониска</w:t>
            </w:r>
            <w:r>
              <w:t xml:space="preserve">“ — за междинните случаи, </w:t>
            </w:r>
            <w:r w:rsidR="006E32CE">
              <w:rPr>
                <w:lang w:val="bg-BG"/>
              </w:rPr>
              <w:t xml:space="preserve">като се вземат </w:t>
            </w:r>
            <w:r>
              <w:t xml:space="preserve">предвид различните </w:t>
            </w:r>
            <w:r w:rsidR="006E32CE">
              <w:rPr>
                <w:lang w:val="bg-BG"/>
              </w:rPr>
              <w:t>аспекти</w:t>
            </w:r>
            <w:r w:rsidR="006E32CE">
              <w:t xml:space="preserve"> </w:t>
            </w:r>
            <w:r>
              <w:t xml:space="preserve">(например пазарен дял, концентрация на пазара, време за </w:t>
            </w:r>
            <w:r w:rsidR="006E32CE">
              <w:rPr>
                <w:lang w:val="bg-BG"/>
              </w:rPr>
              <w:t>заменяемост</w:t>
            </w:r>
            <w:r>
              <w:t>, както и правните пречки и оперативните изисквания за навлизане на пазара или разрастване).</w:t>
            </w:r>
          </w:p>
        </w:tc>
      </w:tr>
      <w:tr w:rsidR="00FE5D64"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FE5D64" w:rsidRDefault="00E40776">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FE5D64" w:rsidRDefault="00E40776">
            <w:pPr>
              <w:pStyle w:val="P68B1DB1-TableParagraph14"/>
              <w:spacing w:before="108"/>
              <w:rPr>
                <w:bCs/>
              </w:rPr>
            </w:pPr>
            <w:r>
              <w:t>Критична функция</w:t>
            </w:r>
          </w:p>
          <w:p w14:paraId="7FE1BC55" w14:textId="03E28E09" w:rsidR="00FE5D64" w:rsidRDefault="00E40776">
            <w:pPr>
              <w:pStyle w:val="P68B1DB1-TableParagraph13"/>
              <w:spacing w:before="108"/>
            </w:pPr>
            <w:r>
              <w:t xml:space="preserve">В тази колона се посочва дали икономическата функция се счита за критична на пазара на съответната държава, като се вземат под внимание извършените от институцията анализи за въздействие и </w:t>
            </w:r>
            <w:r w:rsidR="00653633">
              <w:rPr>
                <w:lang w:val="bg-BG"/>
              </w:rPr>
              <w:t>заменяемост</w:t>
            </w:r>
            <w:r>
              <w:t>.</w:t>
            </w:r>
          </w:p>
          <w:p w14:paraId="7FE1BC56" w14:textId="256F9F4D" w:rsidR="00FE5D64" w:rsidRDefault="00E40776">
            <w:pPr>
              <w:pStyle w:val="P68B1DB1-TableParagraph13"/>
              <w:spacing w:before="108"/>
            </w:pPr>
            <w:r>
              <w:t>Посочва се „Да</w:t>
            </w:r>
            <w:r w:rsidR="00653633">
              <w:rPr>
                <w:lang w:val="bg-BG"/>
              </w:rPr>
              <w:t xml:space="preserve">“ </w:t>
            </w:r>
            <w:r>
              <w:t>или „Не“.</w:t>
            </w:r>
          </w:p>
        </w:tc>
      </w:tr>
      <w:tr w:rsidR="00FE5D64"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FE5D64" w:rsidRDefault="00E40776">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FE5D64" w:rsidRDefault="00E40776">
            <w:pPr>
              <w:pStyle w:val="P68B1DB1-TableParagraph14"/>
              <w:spacing w:before="108"/>
              <w:rPr>
                <w:bCs/>
              </w:rPr>
            </w:pPr>
            <w:r>
              <w:t>Коментари на групата</w:t>
            </w:r>
          </w:p>
          <w:p w14:paraId="7FE1BC5A" w14:textId="463F1102" w:rsidR="00FE5D64" w:rsidRDefault="00E40776">
            <w:pPr>
              <w:pStyle w:val="P68B1DB1-TableParagraph13"/>
              <w:spacing w:before="108"/>
            </w:pPr>
            <w:r>
              <w:t xml:space="preserve">Това поле дава възможност на </w:t>
            </w:r>
            <w:r w:rsidR="000C55CA">
              <w:rPr>
                <w:lang w:val="bg-BG"/>
              </w:rPr>
              <w:t>отчитащия се</w:t>
            </w:r>
            <w:r w:rsidR="000C55CA">
              <w:t xml:space="preserve"> </w:t>
            </w:r>
            <w:r>
              <w:t>субект да обясни всички допускания, използвани при оценката на критичността на докладваната (ите) функция (и).</w:t>
            </w:r>
          </w:p>
        </w:tc>
      </w:tr>
    </w:tbl>
    <w:p w14:paraId="7FE1BC5C" w14:textId="77777777" w:rsidR="00FE5D64" w:rsidRDefault="00FE5D64">
      <w:pPr>
        <w:pStyle w:val="Instructionsberschrift2"/>
        <w:rPr>
          <w:rFonts w:ascii="Times New Roman" w:hAnsi="Times New Roman" w:cs="Times New Roman"/>
        </w:rPr>
      </w:pPr>
    </w:p>
    <w:p w14:paraId="7FE1BC5D" w14:textId="5C971E12" w:rsidR="00FE5D64" w:rsidRDefault="00E40776">
      <w:pPr>
        <w:pStyle w:val="P68B1DB1-Instructionsberschrift25"/>
      </w:pPr>
      <w:bookmarkStart w:id="130" w:name="_Toc208244466"/>
      <w:r>
        <w:t>II.13</w:t>
      </w:r>
      <w:r>
        <w:tab/>
        <w:t>Z 07.01.4 FUNC 1 CM</w:t>
      </w:r>
      <w:bookmarkEnd w:id="130"/>
    </w:p>
    <w:p w14:paraId="7FE1BC65" w14:textId="77777777" w:rsidR="00FE5D64" w:rsidRDefault="00FE5D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E5D64"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FE5D64" w:rsidRDefault="00E40776">
            <w:pPr>
              <w:pStyle w:val="P68B1DB1-TableParagraph17"/>
              <w:spacing w:before="108"/>
              <w:ind w:left="85"/>
              <w:jc w:val="both"/>
            </w:pPr>
            <w:r>
              <w:t>Колони</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FE5D64" w:rsidRDefault="00E40776">
            <w:pPr>
              <w:pStyle w:val="P68B1DB1-TableParagraph17"/>
              <w:spacing w:before="108"/>
              <w:ind w:left="85" w:right="1"/>
              <w:jc w:val="both"/>
            </w:pPr>
            <w:r>
              <w:t>Указания</w:t>
            </w:r>
          </w:p>
        </w:tc>
      </w:tr>
      <w:tr w:rsidR="00FE5D64"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FE5D64" w:rsidRDefault="00E40776">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FE5D64" w:rsidRDefault="00E40776">
            <w:pPr>
              <w:pStyle w:val="P68B1DB1-TableParagraph14"/>
              <w:spacing w:before="108"/>
              <w:ind w:left="85"/>
              <w:jc w:val="both"/>
              <w:rPr>
                <w:bCs/>
              </w:rPr>
            </w:pPr>
            <w:r>
              <w:t>Описание на икономическата функция</w:t>
            </w:r>
          </w:p>
          <w:p w14:paraId="7FE1BC6B" w14:textId="7C7C50DD" w:rsidR="00FE5D64" w:rsidRPr="00DB5313" w:rsidRDefault="00E40776">
            <w:pPr>
              <w:pStyle w:val="TableParagraph"/>
              <w:spacing w:before="108"/>
              <w:ind w:left="85"/>
              <w:rPr>
                <w:rFonts w:ascii="Times New Roman" w:eastAsia="Cambria" w:hAnsi="Times New Roman" w:cs="Times New Roman"/>
                <w:color w:val="000000" w:themeColor="text1"/>
                <w:sz w:val="20"/>
                <w:szCs w:val="20"/>
              </w:rPr>
            </w:pPr>
            <w:r w:rsidRPr="00DB5313">
              <w:rPr>
                <w:rFonts w:ascii="Times New Roman" w:eastAsia="Cambria" w:hAnsi="Times New Roman" w:cs="Times New Roman"/>
                <w:color w:val="000000" w:themeColor="text1"/>
                <w:sz w:val="20"/>
                <w:szCs w:val="20"/>
              </w:rPr>
              <w:t>Когато икономическата функция е от вида „Други“ (</w:t>
            </w:r>
            <w:r w:rsidRPr="001118F2">
              <w:rPr>
                <w:rFonts w:ascii="Times New Roman" w:hAnsi="Times New Roman" w:cs="Times New Roman"/>
                <w:sz w:val="20"/>
                <w:szCs w:val="20"/>
              </w:rPr>
              <w:t>Z 07.01.4 FUNC 1 CM</w:t>
            </w:r>
            <w:r w:rsidR="00DB5313" w:rsidRPr="001118F2">
              <w:rPr>
                <w:rFonts w:ascii="Times New Roman" w:hAnsi="Times New Roman" w:cs="Times New Roman"/>
                <w:sz w:val="20"/>
                <w:szCs w:val="20"/>
                <w:lang w:val="bg-BG"/>
              </w:rPr>
              <w:t xml:space="preserve"> редове от</w:t>
            </w:r>
            <w:r w:rsidRPr="001118F2">
              <w:rPr>
                <w:rFonts w:ascii="Times New Roman" w:hAnsi="Times New Roman" w:cs="Times New Roman"/>
                <w:sz w:val="20"/>
                <w:szCs w:val="20"/>
              </w:rPr>
              <w:t xml:space="preserve"> </w:t>
            </w:r>
            <w:r w:rsidRPr="00DB5313">
              <w:rPr>
                <w:rFonts w:ascii="Times New Roman" w:eastAsia="Cambria" w:hAnsi="Times New Roman" w:cs="Times New Roman"/>
                <w:color w:val="000000" w:themeColor="text1"/>
                <w:sz w:val="20"/>
                <w:szCs w:val="20"/>
              </w:rPr>
              <w:t>r0290</w:t>
            </w:r>
            <w:r w:rsidR="00DB5313">
              <w:rPr>
                <w:rFonts w:ascii="Times New Roman" w:eastAsia="Cambria" w:hAnsi="Times New Roman" w:cs="Times New Roman"/>
                <w:color w:val="000000" w:themeColor="text1"/>
                <w:sz w:val="20"/>
                <w:szCs w:val="20"/>
                <w:lang w:val="bg-BG"/>
              </w:rPr>
              <w:t xml:space="preserve"> </w:t>
            </w:r>
            <w:r w:rsidR="00DB5313" w:rsidRPr="00DB5313">
              <w:rPr>
                <w:rFonts w:ascii="Times New Roman" w:eastAsia="Cambria" w:hAnsi="Times New Roman" w:cs="Times New Roman"/>
                <w:color w:val="000000" w:themeColor="text1"/>
                <w:sz w:val="20"/>
                <w:szCs w:val="20"/>
                <w:lang w:val="bg-BG"/>
              </w:rPr>
              <w:t>до</w:t>
            </w:r>
            <w:r w:rsidRPr="00DB5313">
              <w:rPr>
                <w:rFonts w:ascii="Times New Roman" w:eastAsia="Cambria" w:hAnsi="Times New Roman" w:cs="Times New Roman"/>
                <w:color w:val="000000" w:themeColor="text1"/>
                <w:sz w:val="20"/>
                <w:szCs w:val="20"/>
              </w:rPr>
              <w:t xml:space="preserve"> r0310), се предоставя описание на тази функция. </w:t>
            </w:r>
          </w:p>
        </w:tc>
      </w:tr>
      <w:tr w:rsidR="00FE5D64"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FE5D64" w:rsidRDefault="00E40776">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FE5D64" w:rsidRDefault="00E40776">
            <w:pPr>
              <w:pStyle w:val="P68B1DB1-TableParagraph14"/>
              <w:spacing w:before="108"/>
              <w:ind w:left="85"/>
              <w:jc w:val="both"/>
              <w:rPr>
                <w:bCs/>
              </w:rPr>
            </w:pPr>
            <w:r>
              <w:t xml:space="preserve">Пазарен дял </w:t>
            </w:r>
          </w:p>
          <w:p w14:paraId="7FE1BC6F" w14:textId="096C52D0" w:rsidR="00FE5D64" w:rsidRDefault="00E40776">
            <w:pPr>
              <w:pStyle w:val="P68B1DB1-TableParagraph17"/>
              <w:spacing w:before="108"/>
              <w:ind w:left="85"/>
            </w:pPr>
            <w:r>
              <w:t xml:space="preserve">Приблизителна оценка на пазарния дял на институцията или групата за икономическата функция в съответната държава или географска област. Процент от общия пазар по отношение на условната стойност на дериватите; балансовата стойност </w:t>
            </w:r>
            <w:r w:rsidR="00DB5313">
              <w:rPr>
                <w:lang w:val="bg-BG"/>
              </w:rPr>
              <w:t>при</w:t>
            </w:r>
            <w:r>
              <w:t xml:space="preserve"> вторичните пазари и приходите от такси </w:t>
            </w:r>
            <w:r w:rsidR="00DB5313">
              <w:rPr>
                <w:lang w:val="bg-BG"/>
              </w:rPr>
              <w:t>при</w:t>
            </w:r>
            <w:r w:rsidR="00DB5313">
              <w:t xml:space="preserve"> </w:t>
            </w:r>
            <w:r>
              <w:t>първичните пазари.</w:t>
            </w:r>
          </w:p>
        </w:tc>
      </w:tr>
      <w:tr w:rsidR="00FE5D64"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FE5D64" w:rsidRDefault="00E40776">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FE5D64" w:rsidRDefault="00E40776">
            <w:pPr>
              <w:pStyle w:val="P68B1DB1-TableParagraph14"/>
              <w:spacing w:before="108"/>
              <w:rPr>
                <w:bCs/>
              </w:rPr>
            </w:pPr>
            <w:r>
              <w:t>Условна стойност</w:t>
            </w:r>
          </w:p>
          <w:p w14:paraId="7FE1BC73" w14:textId="1BB19DE0" w:rsidR="00FE5D64" w:rsidRDefault="005F794D">
            <w:pPr>
              <w:pStyle w:val="P68B1DB1-TableParagraph17"/>
              <w:spacing w:before="108"/>
            </w:pPr>
            <w:r>
              <w:rPr>
                <w:lang w:val="bg-BG"/>
              </w:rPr>
              <w:t>Б</w:t>
            </w:r>
            <w:r w:rsidR="00E40776">
              <w:t>рутната номинална сума на всички сделки, сключени и все още неуредени към референтната дата</w:t>
            </w:r>
            <w:r>
              <w:rPr>
                <w:lang w:val="bg-BG"/>
              </w:rPr>
              <w:t xml:space="preserve"> (условна стойност)</w:t>
            </w:r>
            <w:r w:rsidR="00E40776">
              <w:t xml:space="preserve">. </w:t>
            </w:r>
          </w:p>
          <w:p w14:paraId="7FE1BC74" w14:textId="08026994" w:rsidR="00FE5D64" w:rsidRDefault="00DB5313">
            <w:pPr>
              <w:pStyle w:val="P68B1DB1-TableParagraph17"/>
              <w:spacing w:before="108"/>
            </w:pPr>
            <w:r>
              <w:rPr>
                <w:lang w:val="bg-BG"/>
              </w:rPr>
              <w:t>Референции</w:t>
            </w:r>
            <w:r w:rsidR="00E40776">
              <w:t>: За определението вж. FINREP, приложение V, част 2, параграф 133</w:t>
            </w:r>
            <w:r>
              <w:rPr>
                <w:lang w:val="bg-BG"/>
              </w:rPr>
              <w:t>;</w:t>
            </w:r>
            <w:r w:rsidR="00E40776">
              <w:t xml:space="preserve"> за данните вж. FINREP, приложение III; IV и V:</w:t>
            </w:r>
          </w:p>
          <w:p w14:paraId="7FE1BC75" w14:textId="03D2E8C4" w:rsidR="00FE5D64" w:rsidRDefault="00E40776">
            <w:pPr>
              <w:pStyle w:val="P68B1DB1-TableParagraph17"/>
              <w:spacing w:before="108"/>
            </w:pPr>
            <w:r>
              <w:t>— Деривати общо (4.1—4.2): Образец F 10.00 колона 030 ред 290.</w:t>
            </w:r>
          </w:p>
          <w:p w14:paraId="7FE1BC76" w14:textId="77777777" w:rsidR="00FE5D64" w:rsidRDefault="00E40776">
            <w:pPr>
              <w:pStyle w:val="P68B1DB1-TableParagraph17"/>
              <w:spacing w:before="108"/>
            </w:pPr>
            <w:r>
              <w:t>— Извънборсови деривативни инструменти (4.1): Образец F 10.00 колона 030 редове 300+ 310+ 320.</w:t>
            </w:r>
          </w:p>
        </w:tc>
      </w:tr>
      <w:tr w:rsidR="00FE5D64"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FE5D64" w:rsidRDefault="00E40776">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FE5D64" w:rsidRDefault="00E40776">
            <w:pPr>
              <w:pStyle w:val="P68B1DB1-TableParagraph14"/>
              <w:spacing w:before="108"/>
              <w:rPr>
                <w:bCs/>
              </w:rPr>
            </w:pPr>
            <w:r>
              <w:t>Балансова стойност</w:t>
            </w:r>
          </w:p>
          <w:p w14:paraId="7FE1BC7A" w14:textId="443FDA34" w:rsidR="00FE5D64" w:rsidRDefault="00E40776">
            <w:pPr>
              <w:pStyle w:val="P68B1DB1-TableParagraph17"/>
              <w:spacing w:before="108"/>
            </w:pPr>
            <w:r>
              <w:t>Балансова стойност на активи</w:t>
            </w:r>
            <w:r w:rsidR="0020455B">
              <w:rPr>
                <w:lang w:val="bg-BG"/>
              </w:rPr>
              <w:t>те</w:t>
            </w:r>
            <w:r>
              <w:t xml:space="preserve"> — балансовата стойност, която се отчита в актива на счетоводния баланс, включително начислената лихва [FINREP: Приложение V, част 1, параграф 27] за капиталови инструменти и дългови ценни книжа [FINREP: Приложение V, част 1, параграф 31], класифицирани като „</w:t>
            </w:r>
            <w:r w:rsidR="0020455B">
              <w:rPr>
                <w:lang w:val="bg-BG"/>
              </w:rPr>
              <w:t>д</w:t>
            </w:r>
            <w:r>
              <w:t>ържани за търгуване“ [FINREP: Приложение V, част 1, точка 15, буква а) и параграф 16, буква а)].</w:t>
            </w:r>
          </w:p>
          <w:p w14:paraId="7FE1BC7B" w14:textId="60A2D348" w:rsidR="00FE5D64" w:rsidRDefault="0020455B">
            <w:pPr>
              <w:pStyle w:val="P68B1DB1-TableParagraph17"/>
              <w:spacing w:before="108"/>
            </w:pPr>
            <w:r>
              <w:rPr>
                <w:lang w:val="bg-BG"/>
              </w:rPr>
              <w:t>Референция</w:t>
            </w:r>
            <w:r w:rsidR="00E40776">
              <w:t xml:space="preserve">: </w:t>
            </w:r>
            <w:r>
              <w:rPr>
                <w:lang w:val="en-US"/>
              </w:rPr>
              <w:t>F</w:t>
            </w:r>
            <w:r w:rsidR="00E40776">
              <w:t>INREP: Приложение III, образец F 04.01, колона 010, редове 010+ 060+ 120.</w:t>
            </w:r>
          </w:p>
        </w:tc>
      </w:tr>
      <w:tr w:rsidR="00FE5D64"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FE5D64" w:rsidRDefault="00E40776">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61905B8D" w:rsidR="00FE5D64" w:rsidRPr="0020455B" w:rsidRDefault="00E40776">
            <w:pPr>
              <w:pStyle w:val="P68B1DB1-TableParagraph14"/>
              <w:spacing w:before="108"/>
              <w:jc w:val="both"/>
              <w:rPr>
                <w:bCs/>
                <w:lang w:val="bg-BG"/>
              </w:rPr>
            </w:pPr>
            <w:r>
              <w:t xml:space="preserve">Приходи от </w:t>
            </w:r>
            <w:r w:rsidR="0020455B">
              <w:rPr>
                <w:lang w:val="bg-BG"/>
              </w:rPr>
              <w:t>такси</w:t>
            </w:r>
          </w:p>
          <w:p w14:paraId="7FE1BC7F" w14:textId="34562A53" w:rsidR="00FE5D64" w:rsidRDefault="00E40776">
            <w:pPr>
              <w:pStyle w:val="P68B1DB1-TableParagraph13"/>
              <w:spacing w:before="108"/>
              <w:jc w:val="both"/>
            </w:pPr>
            <w:r>
              <w:t>Такси и комисиони, получени за участие в поемането или емитирането на ценни книжа, които не са поети или емитирани от институцията.</w:t>
            </w:r>
          </w:p>
          <w:p w14:paraId="7FE1BC80" w14:textId="19881BEE" w:rsidR="00FE5D64" w:rsidRDefault="0020455B">
            <w:pPr>
              <w:pStyle w:val="P68B1DB1-TableParagraph13"/>
              <w:spacing w:before="108"/>
              <w:jc w:val="both"/>
            </w:pPr>
            <w:r>
              <w:rPr>
                <w:lang w:val="bg-BG"/>
              </w:rPr>
              <w:t>Референция</w:t>
            </w:r>
            <w:r w:rsidR="00E40776">
              <w:t xml:space="preserve">: </w:t>
            </w:r>
            <w:r>
              <w:rPr>
                <w:lang w:val="en-US"/>
              </w:rPr>
              <w:t>F</w:t>
            </w:r>
            <w:r w:rsidR="00E40776">
              <w:t>INREP: Приложения III и IV, образец F 22.01, колона 010, редове 030+180.</w:t>
            </w:r>
          </w:p>
        </w:tc>
      </w:tr>
      <w:tr w:rsidR="00FE5D64"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FE5D64" w:rsidRDefault="00E40776">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FE5D64" w:rsidRDefault="00E40776">
            <w:pPr>
              <w:pStyle w:val="P68B1DB1-TableParagraph14"/>
              <w:spacing w:before="108"/>
              <w:jc w:val="both"/>
              <w:rPr>
                <w:bCs/>
              </w:rPr>
            </w:pPr>
            <w:r>
              <w:t>Трансгранична стойност</w:t>
            </w:r>
          </w:p>
          <w:p w14:paraId="7FE1BC84" w14:textId="15A4278B" w:rsidR="00FE5D64" w:rsidRDefault="00E40776">
            <w:pPr>
              <w:pStyle w:val="P68B1DB1-TableParagraph13"/>
              <w:spacing w:before="108"/>
              <w:jc w:val="both"/>
            </w:pPr>
            <w:r>
              <w:t>Деривати: условна стойност</w:t>
            </w:r>
            <w:r w:rsidR="009E23BE">
              <w:rPr>
                <w:lang w:val="bg-BG"/>
              </w:rPr>
              <w:t xml:space="preserve"> на дериватите</w:t>
            </w:r>
            <w:r>
              <w:t xml:space="preserve"> извън държавата по произход или съответната държава. </w:t>
            </w:r>
          </w:p>
          <w:p w14:paraId="7FE1BC85" w14:textId="3C2B3D2F" w:rsidR="00FE5D64" w:rsidRDefault="00E40776">
            <w:pPr>
              <w:pStyle w:val="P68B1DB1-TableParagraph13"/>
              <w:spacing w:before="108"/>
              <w:jc w:val="both"/>
            </w:pPr>
            <w:r>
              <w:t xml:space="preserve">Вторични пазари: брутна балансова стойност извън държавата по произход или съответната държава. </w:t>
            </w:r>
            <w:r w:rsidR="0049768F">
              <w:rPr>
                <w:lang w:val="bg-BG"/>
              </w:rPr>
              <w:t>Препратка</w:t>
            </w:r>
            <w:r>
              <w:t>: FINREP приложение III, таблица 20.04, колона 011, редове 040 + 080, всички държави с изключение на държавата по произход или съответната държава.</w:t>
            </w:r>
          </w:p>
          <w:p w14:paraId="7FE1BC86" w14:textId="12988E19" w:rsidR="00FE5D64" w:rsidRDefault="00E40776">
            <w:pPr>
              <w:pStyle w:val="P68B1DB1-TableParagraph13"/>
              <w:spacing w:before="108"/>
              <w:jc w:val="both"/>
            </w:pPr>
            <w:r>
              <w:t>Първични пазари: приходите от такси, генерирани</w:t>
            </w:r>
            <w:r w:rsidR="0049768F">
              <w:rPr>
                <w:lang w:val="bg-BG"/>
              </w:rPr>
              <w:t xml:space="preserve"> от дейности</w:t>
            </w:r>
            <w:r>
              <w:t xml:space="preserve"> извън държавата по произход или съответната държава.</w:t>
            </w:r>
          </w:p>
        </w:tc>
      </w:tr>
      <w:tr w:rsidR="00FE5D64"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FE5D64" w:rsidRDefault="00E40776">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1234FC12" w:rsidR="00FE5D64" w:rsidRDefault="00E40776">
            <w:pPr>
              <w:pStyle w:val="P68B1DB1-TableParagraph14"/>
              <w:spacing w:before="108"/>
              <w:jc w:val="both"/>
              <w:rPr>
                <w:bCs/>
              </w:rPr>
            </w:pPr>
            <w:r>
              <w:t xml:space="preserve">Брой контрагенти </w:t>
            </w:r>
            <w:r w:rsidR="0049768F">
              <w:rPr>
                <w:lang w:val="bg-BG"/>
              </w:rPr>
              <w:t>или трансакции</w:t>
            </w:r>
            <w:r>
              <w:t>.</w:t>
            </w:r>
          </w:p>
          <w:p w14:paraId="7FE1BC8A" w14:textId="28386090" w:rsidR="00FE5D64" w:rsidRDefault="00E40776">
            <w:pPr>
              <w:pStyle w:val="P68B1DB1-TableParagraph13"/>
              <w:spacing w:before="108"/>
              <w:jc w:val="both"/>
              <w:rPr>
                <w:b/>
                <w:bCs/>
              </w:rPr>
            </w:pPr>
            <w:r>
              <w:t xml:space="preserve">За деривати и </w:t>
            </w:r>
            <w:r w:rsidR="0049768F">
              <w:rPr>
                <w:lang w:val="bg-BG"/>
              </w:rPr>
              <w:t xml:space="preserve">дейности на </w:t>
            </w:r>
            <w:r>
              <w:t xml:space="preserve">вторични пазари — общ брой контрагенти. За първични пазари — общ брой на </w:t>
            </w:r>
            <w:r w:rsidR="0049768F">
              <w:rPr>
                <w:lang w:val="bg-BG"/>
              </w:rPr>
              <w:t>трансакции</w:t>
            </w:r>
            <w:r w:rsidR="005F794D">
              <w:rPr>
                <w:lang w:val="bg-BG"/>
              </w:rPr>
              <w:t>те</w:t>
            </w:r>
            <w:r w:rsidR="0049768F">
              <w:rPr>
                <w:lang w:val="bg-BG"/>
              </w:rPr>
              <w:t xml:space="preserve"> по поемане</w:t>
            </w:r>
            <w:r>
              <w:t>.</w:t>
            </w:r>
          </w:p>
        </w:tc>
      </w:tr>
      <w:tr w:rsidR="00FE5D64"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FE5D64" w:rsidRDefault="00E40776">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FE5D64" w:rsidRDefault="00E40776">
            <w:pPr>
              <w:pStyle w:val="P68B1DB1-TableParagraph14"/>
              <w:spacing w:before="108"/>
              <w:jc w:val="both"/>
              <w:rPr>
                <w:bCs/>
              </w:rPr>
            </w:pPr>
            <w:r>
              <w:t>Анализи на въздействието и заменяемостта</w:t>
            </w:r>
          </w:p>
          <w:p w14:paraId="7FE1BC8E" w14:textId="15DD4AA2" w:rsidR="00FE5D64" w:rsidRDefault="00E40776">
            <w:pPr>
              <w:pStyle w:val="P68B1DB1-TableParagraph13"/>
              <w:spacing w:before="108"/>
              <w:jc w:val="both"/>
            </w:pPr>
            <w:r>
              <w:t xml:space="preserve">Критериите за оценка на въздействието върху трети страни включват следните елементи в съответствие с </w:t>
            </w:r>
            <w:r w:rsidR="0049768F">
              <w:rPr>
                <w:lang w:val="bg-BG"/>
              </w:rPr>
              <w:t>Д</w:t>
            </w:r>
            <w:r>
              <w:t>елегиран регламент (ЕС) 2016/778 на Комисията относно критичните функции:</w:t>
            </w:r>
          </w:p>
          <w:p w14:paraId="7FE1BC8F" w14:textId="6584E5EB" w:rsidR="00FE5D64" w:rsidRDefault="00E40776">
            <w:pPr>
              <w:pStyle w:val="P68B1DB1-ListParagraph38"/>
              <w:numPr>
                <w:ilvl w:val="0"/>
                <w:numId w:val="131"/>
              </w:numPr>
              <w:spacing w:line="276" w:lineRule="auto"/>
            </w:pPr>
            <w:r>
              <w:t>естеството и</w:t>
            </w:r>
            <w:r w:rsidR="0049768F">
              <w:rPr>
                <w:lang w:val="bg-BG"/>
              </w:rPr>
              <w:t xml:space="preserve"> обхватът на дейността,</w:t>
            </w:r>
            <w:r>
              <w:t xml:space="preserve"> глобалния, националния или регионалния обхват на дейността, както и обема и броя на трансакциите; броя на клиентите и контрагентите; броя на клиентите, за които институцията е единственият или основ</w:t>
            </w:r>
            <w:r w:rsidR="007961F7">
              <w:rPr>
                <w:lang w:val="bg-BG"/>
              </w:rPr>
              <w:t>е</w:t>
            </w:r>
            <w:r>
              <w:t>н банков партньор;</w:t>
            </w:r>
          </w:p>
          <w:p w14:paraId="7FE1BC90" w14:textId="77777777" w:rsidR="00FE5D64" w:rsidRDefault="00E40776">
            <w:pPr>
              <w:pStyle w:val="P68B1DB1-ListParagraph38"/>
              <w:numPr>
                <w:ilvl w:val="0"/>
                <w:numId w:val="131"/>
              </w:numPr>
              <w:spacing w:line="276" w:lineRule="auto"/>
            </w:pPr>
            <w:r>
              <w:t>значението на институцията 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C91" w14:textId="77777777" w:rsidR="00FE5D64" w:rsidRDefault="00E40776">
            <w:pPr>
              <w:pStyle w:val="P68B1DB1-ListParagraph38"/>
              <w:numPr>
                <w:ilvl w:val="0"/>
                <w:numId w:val="131"/>
              </w:numPr>
              <w:spacing w:line="276" w:lineRule="auto"/>
            </w:pPr>
            <w:r>
              <w:t xml:space="preserve">естеството на клиентите и заинтересованите страни, обхванати от функцията — например, но не само, индивидуални клиенти, корпоративни клиенти, междубанкови клиенти, централни клирингови къщи и публични субекти; </w:t>
            </w:r>
          </w:p>
          <w:p w14:paraId="7FE1BC92" w14:textId="4D4B4332" w:rsidR="00FE5D64" w:rsidRDefault="00E40776">
            <w:pPr>
              <w:pStyle w:val="P68B1DB1-ListParagraph38"/>
              <w:numPr>
                <w:ilvl w:val="0"/>
                <w:numId w:val="131"/>
              </w:numPr>
              <w:spacing w:line="276" w:lineRule="auto"/>
            </w:pPr>
            <w:r>
              <w:t xml:space="preserve">потенциалното сътресение на функционирането на пазарите, инфраструктурите, клиентите и публичните услуги. По-конкретно, оценката може да обхване въздействието върху ликвидността на съответните пазари, въздействието и обхвата на сътресенията </w:t>
            </w:r>
            <w:r w:rsidR="007961F7">
              <w:rPr>
                <w:lang w:val="bg-BG"/>
              </w:rPr>
              <w:t>по</w:t>
            </w:r>
            <w:r>
              <w:t xml:space="preserve"> отношения</w:t>
            </w:r>
            <w:r w:rsidR="007961F7">
              <w:rPr>
                <w:lang w:val="bg-BG"/>
              </w:rPr>
              <w:t xml:space="preserve"> на бизнеса на</w:t>
            </w:r>
            <w:r>
              <w:t xml:space="preserve"> клиентите, както и </w:t>
            </w:r>
            <w:r w:rsidR="007961F7">
              <w:rPr>
                <w:lang w:val="bg-BG"/>
              </w:rPr>
              <w:t xml:space="preserve">по отношение на </w:t>
            </w:r>
            <w:r>
              <w:t>краткосрочните потребности от ликвидност; осезаемостта за контрагентите, клиентите и обществеността; капацитета и бързината на реакция на клиентите; значението за функционирането на други пазари; въздействието върху ликвидността, операциите, структурата на друг пазар; въздействието върху други контрагенти, свързани с основните клиенти, и взаимовръзките на функцията с други услуги.</w:t>
            </w:r>
          </w:p>
          <w:p w14:paraId="7FE1BC93"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336312CC" w:rsidR="00FE5D64" w:rsidRDefault="00E40776">
            <w:pPr>
              <w:pStyle w:val="P68B1DB1-TableParagraph17"/>
              <w:spacing w:before="108"/>
              <w:ind w:left="85"/>
              <w:jc w:val="both"/>
            </w:pPr>
            <w:r>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AD4E037" w:rsidR="00FE5D64" w:rsidRPr="007961F7" w:rsidRDefault="007961F7">
            <w:pPr>
              <w:pStyle w:val="P68B1DB1-TableParagraph14"/>
              <w:spacing w:before="108"/>
              <w:jc w:val="both"/>
              <w:rPr>
                <w:bCs/>
                <w:lang w:val="bg-BG"/>
              </w:rPr>
            </w:pPr>
            <w:r>
              <w:rPr>
                <w:lang w:val="bg-BG"/>
              </w:rPr>
              <w:t>Същност и обхват</w:t>
            </w:r>
          </w:p>
          <w:p w14:paraId="7FE1BC97" w14:textId="53AAA274" w:rsidR="00FE5D64" w:rsidRDefault="00E40776">
            <w:pPr>
              <w:pStyle w:val="P68B1DB1-TableParagraph13"/>
              <w:spacing w:before="108"/>
              <w:jc w:val="both"/>
            </w:pPr>
            <w:r>
              <w:t>Глобалния</w:t>
            </w:r>
            <w:r w:rsidR="005F794D">
              <w:rPr>
                <w:lang w:val="bg-BG"/>
              </w:rPr>
              <w:t>т</w:t>
            </w:r>
            <w:r>
              <w:t>, националния</w:t>
            </w:r>
            <w:r w:rsidR="005F794D">
              <w:rPr>
                <w:lang w:val="bg-BG"/>
              </w:rPr>
              <w:t>т</w:t>
            </w:r>
            <w:r>
              <w:t xml:space="preserve"> или регионалния</w:t>
            </w:r>
            <w:r w:rsidR="005F794D">
              <w:rPr>
                <w:lang w:val="bg-BG"/>
              </w:rPr>
              <w:t>т</w:t>
            </w:r>
            <w:r>
              <w:t xml:space="preserve"> обхват, обем и брой на сделките; броя на клиентите и контрагентите; броя на клиентите, за които институцията е единственият или основ</w:t>
            </w:r>
            <w:r w:rsidR="007961F7">
              <w:rPr>
                <w:lang w:val="bg-BG"/>
              </w:rPr>
              <w:t>е</w:t>
            </w:r>
            <w:r>
              <w:t>н банков партньор;</w:t>
            </w:r>
          </w:p>
        </w:tc>
      </w:tr>
      <w:tr w:rsidR="00FE5D64"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FE5D64" w:rsidRDefault="00E40776">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FE5D64" w:rsidRDefault="00E40776">
            <w:pPr>
              <w:pStyle w:val="P68B1DB1-TableParagraph14"/>
              <w:spacing w:before="108"/>
              <w:jc w:val="both"/>
              <w:rPr>
                <w:bCs/>
              </w:rPr>
            </w:pPr>
            <w:r>
              <w:t>Показател за размера 1</w:t>
            </w:r>
          </w:p>
          <w:p w14:paraId="4965F0DF" w14:textId="1FFD0EEC" w:rsidR="00FE5D64" w:rsidRDefault="007961F7">
            <w:pPr>
              <w:pStyle w:val="P68B1DB1-Normal31"/>
              <w:spacing w:line="276" w:lineRule="auto"/>
              <w:jc w:val="both"/>
            </w:pPr>
            <w:r>
              <w:rPr>
                <w:lang w:val="bg-BG"/>
              </w:rPr>
              <w:t>Оценява се</w:t>
            </w:r>
            <w:r>
              <w:t xml:space="preserve"> </w:t>
            </w:r>
            <w:r w:rsidR="00E40776">
              <w:t xml:space="preserve">колко </w:t>
            </w:r>
            <w:r>
              <w:rPr>
                <w:lang w:val="bg-BG"/>
              </w:rPr>
              <w:t>значима</w:t>
            </w:r>
            <w:r>
              <w:t xml:space="preserve"> </w:t>
            </w:r>
            <w:r w:rsidR="00E40776">
              <w:t xml:space="preserve">е банката за тези дейности. Тази оценка </w:t>
            </w:r>
            <w:r>
              <w:rPr>
                <w:lang w:val="bg-BG"/>
              </w:rPr>
              <w:t>се изразява</w:t>
            </w:r>
            <w:r w:rsidR="00E40776">
              <w:t xml:space="preserve"> качествено като „висока</w:t>
            </w:r>
            <w:r>
              <w:rPr>
                <w:lang w:val="bg-BG"/>
              </w:rPr>
              <w:t>“</w:t>
            </w:r>
            <w:r w:rsidR="00E40776">
              <w:t>, „средн</w:t>
            </w:r>
            <w:r>
              <w:rPr>
                <w:lang w:val="bg-BG"/>
              </w:rPr>
              <w:t>овисока“</w:t>
            </w:r>
            <w:r w:rsidR="00E40776">
              <w:t>, „средн</w:t>
            </w:r>
            <w:r>
              <w:rPr>
                <w:lang w:val="bg-BG"/>
              </w:rPr>
              <w:t>ониска“</w:t>
            </w:r>
            <w:r w:rsidR="00E40776">
              <w:t xml:space="preserve"> или „ниска“. </w:t>
            </w:r>
            <w:r>
              <w:rPr>
                <w:lang w:val="bg-BG"/>
              </w:rPr>
              <w:t>Посочва</w:t>
            </w:r>
            <w:r w:rsidR="00E40776">
              <w:t xml:space="preserve"> се „висок</w:t>
            </w:r>
            <w:r>
              <w:rPr>
                <w:lang w:val="bg-BG"/>
              </w:rPr>
              <w:t>а“</w:t>
            </w:r>
            <w:r w:rsidR="00E40776">
              <w:t xml:space="preserve">, ако размерът на функцията е </w:t>
            </w:r>
            <w:r>
              <w:rPr>
                <w:lang w:val="bg-BG"/>
              </w:rPr>
              <w:t>значим</w:t>
            </w:r>
            <w:r w:rsidR="00E40776">
              <w:t>, „</w:t>
            </w:r>
            <w:r>
              <w:rPr>
                <w:lang w:val="bg-BG"/>
              </w:rPr>
              <w:t>с</w:t>
            </w:r>
            <w:r w:rsidR="00E40776">
              <w:t>редновисок</w:t>
            </w:r>
            <w:r>
              <w:rPr>
                <w:lang w:val="bg-BG"/>
              </w:rPr>
              <w:t>а</w:t>
            </w:r>
            <w:r w:rsidR="00D023F4">
              <w:rPr>
                <w:lang w:val="bg-BG"/>
              </w:rPr>
              <w:t>“</w:t>
            </w:r>
            <w:r>
              <w:t xml:space="preserve">, </w:t>
            </w:r>
            <w:r w:rsidR="00E40776">
              <w:t>ако е среден, „</w:t>
            </w:r>
            <w:r>
              <w:rPr>
                <w:lang w:val="bg-BG"/>
              </w:rPr>
              <w:t>с</w:t>
            </w:r>
            <w:r w:rsidR="00E40776">
              <w:t>реднониск</w:t>
            </w:r>
            <w:r>
              <w:rPr>
                <w:lang w:val="bg-BG"/>
              </w:rPr>
              <w:t>а“</w:t>
            </w:r>
            <w:r w:rsidR="00E40776">
              <w:t>, ако е малък, и „ниск</w:t>
            </w:r>
            <w:r>
              <w:rPr>
                <w:lang w:val="bg-BG"/>
              </w:rPr>
              <w:t>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Pr>
                <w:lang w:val="bg-BG"/>
              </w:rPr>
              <w:t>кредитиране</w:t>
            </w:r>
            <w:r w:rsidR="00E40776">
              <w:t xml:space="preserve">, </w:t>
            </w:r>
            <w:r>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C9B" w14:textId="478A7B58" w:rsidR="00FE5D64" w:rsidRDefault="00E40776">
            <w:pPr>
              <w:pStyle w:val="P68B1DB1-TableParagraph13"/>
              <w:spacing w:before="108"/>
              <w:jc w:val="both"/>
            </w:pPr>
            <w:r>
              <w:t xml:space="preserve"> </w:t>
            </w:r>
          </w:p>
          <w:p w14:paraId="7FE1BC9C" w14:textId="69EB4530" w:rsidR="00FE5D64" w:rsidRDefault="00E40776">
            <w:pPr>
              <w:pStyle w:val="P68B1DB1-ListParagraph32"/>
              <w:numPr>
                <w:ilvl w:val="0"/>
                <w:numId w:val="126"/>
              </w:numPr>
              <w:spacing w:line="276" w:lineRule="auto"/>
            </w:pPr>
            <w:r>
              <w:t xml:space="preserve">Експертна оценка на размера на условна </w:t>
            </w:r>
            <w:r>
              <w:rPr>
                <w:b/>
              </w:rPr>
              <w:t>стойност</w:t>
            </w:r>
            <w:r>
              <w:t xml:space="preserve"> (c0030 за </w:t>
            </w:r>
            <w:r w:rsidR="005F794D">
              <w:t>функци</w:t>
            </w:r>
            <w:r w:rsidR="005F794D">
              <w:rPr>
                <w:lang w:val="bg-BG"/>
              </w:rPr>
              <w:t>и</w:t>
            </w:r>
            <w:r w:rsidR="005F794D">
              <w:t xml:space="preserve"> </w:t>
            </w:r>
            <w:r>
              <w:t>с идентифика</w:t>
            </w:r>
            <w:r w:rsidR="007961F7">
              <w:rPr>
                <w:lang w:val="bg-BG"/>
              </w:rPr>
              <w:t>тор</w:t>
            </w:r>
            <w:r>
              <w:t xml:space="preserve"> 4.1 и 4.2); балансова стойност (c0040 за </w:t>
            </w:r>
            <w:r w:rsidR="007961F7">
              <w:rPr>
                <w:lang w:val="bg-BG"/>
              </w:rPr>
              <w:t xml:space="preserve">функция с </w:t>
            </w:r>
            <w:r>
              <w:t>идентифик</w:t>
            </w:r>
            <w:r w:rsidR="007961F7">
              <w:rPr>
                <w:lang w:val="bg-BG"/>
              </w:rPr>
              <w:t>тор</w:t>
            </w:r>
            <w:r>
              <w:t xml:space="preserve"> 4.3); или генерирани приходи от такси (c0050 за</w:t>
            </w:r>
            <w:r w:rsidR="007961F7">
              <w:rPr>
                <w:lang w:val="bg-BG"/>
              </w:rPr>
              <w:t xml:space="preserve"> функция с идентификатор</w:t>
            </w:r>
            <w:r>
              <w:t xml:space="preserve"> 4.4) от </w:t>
            </w:r>
            <w:r>
              <w:rPr>
                <w:b/>
              </w:rPr>
              <w:t>глобална</w:t>
            </w:r>
            <w:r>
              <w:t xml:space="preserve"> гледна точка</w:t>
            </w:r>
            <w:r>
              <w:rPr>
                <w:i/>
              </w:rPr>
              <w:t>[</w:t>
            </w:r>
            <w:r w:rsidR="007961F7">
              <w:rPr>
                <w:i/>
                <w:lang w:val="bg-BG"/>
              </w:rPr>
              <w:t>едно ниво</w:t>
            </w:r>
            <w:r>
              <w:rPr>
                <w:i/>
              </w:rPr>
              <w:t xml:space="preserve"> по-високо от съответния пазар. Ако съответният пазар е глобален, тогава размер 1 става излишен и не е необходимо да се </w:t>
            </w:r>
            <w:r w:rsidR="005F794D">
              <w:rPr>
                <w:i/>
                <w:lang w:val="bg-BG"/>
              </w:rPr>
              <w:t>отчита</w:t>
            </w:r>
            <w:r>
              <w:rPr>
                <w:i/>
              </w:rPr>
              <w:t>]</w:t>
            </w:r>
            <w:r>
              <w:t>:</w:t>
            </w:r>
          </w:p>
          <w:p w14:paraId="7FE1BC9D" w14:textId="5467728D" w:rsidR="00FE5D64" w:rsidRDefault="00E40776">
            <w:pPr>
              <w:pStyle w:val="P68B1DB1-TableParagraph33"/>
              <w:spacing w:before="108"/>
              <w:jc w:val="both"/>
              <w:rPr>
                <w:rFonts w:cs="Times New Roman"/>
                <w:color w:val="000000" w:themeColor="text1"/>
              </w:rPr>
            </w:pPr>
            <w:r>
              <w:t>В глобален план колко големи са общата условна стойност на</w:t>
            </w:r>
            <w:r w:rsidR="00606AC4">
              <w:rPr>
                <w:lang w:val="bg-BG"/>
              </w:rPr>
              <w:t xml:space="preserve"> дериватите </w:t>
            </w:r>
            <w:r>
              <w:t>или балансова</w:t>
            </w:r>
            <w:r w:rsidR="00606AC4">
              <w:rPr>
                <w:lang w:val="bg-BG"/>
              </w:rPr>
              <w:t>та</w:t>
            </w:r>
            <w:r>
              <w:t xml:space="preserve"> стойност</w:t>
            </w:r>
            <w:r w:rsidR="00606AC4">
              <w:rPr>
                <w:lang w:val="bg-BG"/>
              </w:rPr>
              <w:t xml:space="preserve"> на активите</w:t>
            </w:r>
            <w:r>
              <w:t xml:space="preserve"> или </w:t>
            </w:r>
            <w:r w:rsidR="00606AC4">
              <w:rPr>
                <w:lang w:val="bg-BG"/>
              </w:rPr>
              <w:t xml:space="preserve">генерираните </w:t>
            </w:r>
            <w:r>
              <w:t>приходи от такси?</w:t>
            </w:r>
          </w:p>
        </w:tc>
      </w:tr>
      <w:tr w:rsidR="00FE5D64"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FE5D64" w:rsidRDefault="00E40776">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FE5D64" w:rsidRDefault="00E40776">
            <w:pPr>
              <w:pStyle w:val="P68B1DB1-TableParagraph14"/>
              <w:spacing w:before="108"/>
              <w:jc w:val="both"/>
              <w:rPr>
                <w:bCs/>
              </w:rPr>
            </w:pPr>
            <w:r>
              <w:t>Показател за размера 2</w:t>
            </w:r>
          </w:p>
          <w:p w14:paraId="419C7762" w14:textId="175F1C57" w:rsidR="00FE5D64" w:rsidRDefault="00606AC4">
            <w:pPr>
              <w:pStyle w:val="P68B1DB1-Normal31"/>
              <w:spacing w:line="276" w:lineRule="auto"/>
              <w:jc w:val="both"/>
            </w:pPr>
            <w:r>
              <w:rPr>
                <w:lang w:val="bg-BG"/>
              </w:rPr>
              <w:t>Оценява се</w:t>
            </w:r>
            <w:r>
              <w:t xml:space="preserve"> </w:t>
            </w:r>
            <w:r w:rsidR="00E40776">
              <w:t xml:space="preserve">колко </w:t>
            </w:r>
            <w:r>
              <w:rPr>
                <w:lang w:val="bg-BG"/>
              </w:rPr>
              <w:t>значима</w:t>
            </w:r>
            <w:r>
              <w:t xml:space="preserve"> </w:t>
            </w:r>
            <w:r w:rsidR="00E40776">
              <w:t>е банката за тези дейности. Тази оценка е изразена качествено като „висока</w:t>
            </w:r>
            <w:r>
              <w:rPr>
                <w:lang w:val="bg-BG"/>
              </w:rPr>
              <w:t>“</w:t>
            </w:r>
            <w:r w:rsidR="00E40776">
              <w:t>, „средн</w:t>
            </w:r>
            <w:r>
              <w:rPr>
                <w:lang w:val="bg-BG"/>
              </w:rPr>
              <w:t>овисока“</w:t>
            </w:r>
            <w:r w:rsidR="00E40776">
              <w:t>, „средн</w:t>
            </w:r>
            <w:r>
              <w:rPr>
                <w:lang w:val="bg-BG"/>
              </w:rPr>
              <w:t>ониска“</w:t>
            </w:r>
            <w:r w:rsidR="00E40776">
              <w:t xml:space="preserve"> или „ниска“. </w:t>
            </w:r>
            <w:r>
              <w:rPr>
                <w:lang w:val="bg-BG"/>
              </w:rPr>
              <w:t>Посочва</w:t>
            </w:r>
            <w:r>
              <w:t xml:space="preserve"> </w:t>
            </w:r>
            <w:r w:rsidR="00E40776">
              <w:t>се „висок</w:t>
            </w:r>
            <w:r>
              <w:rPr>
                <w:lang w:val="bg-BG"/>
              </w:rPr>
              <w:t>а“</w:t>
            </w:r>
            <w:r w:rsidR="00E40776">
              <w:t xml:space="preserve">, ако размерът на функцията е </w:t>
            </w:r>
            <w:r>
              <w:rPr>
                <w:lang w:val="bg-BG"/>
              </w:rPr>
              <w:t>значителен</w:t>
            </w:r>
            <w:r w:rsidR="00E40776">
              <w:t>, „</w:t>
            </w:r>
            <w:r>
              <w:rPr>
                <w:lang w:val="bg-BG"/>
              </w:rPr>
              <w:t>с</w:t>
            </w:r>
            <w:r w:rsidR="00E40776">
              <w:t>редновисок</w:t>
            </w:r>
            <w:r>
              <w:rPr>
                <w:lang w:val="bg-BG"/>
              </w:rPr>
              <w:t>а</w:t>
            </w:r>
            <w:r w:rsidR="001710CB">
              <w:rPr>
                <w:lang w:val="bg-BG"/>
              </w:rPr>
              <w:t>“</w:t>
            </w:r>
            <w:r>
              <w:t xml:space="preserve">, </w:t>
            </w:r>
            <w:r w:rsidR="00E40776">
              <w:t>ако е среден, „</w:t>
            </w:r>
            <w:r>
              <w:rPr>
                <w:lang w:val="bg-BG"/>
              </w:rPr>
              <w:t>с</w:t>
            </w:r>
            <w:r w:rsidR="00E40776">
              <w:t>реднониск</w:t>
            </w:r>
            <w:r>
              <w:rPr>
                <w:lang w:val="bg-BG"/>
              </w:rPr>
              <w:t>а“</w:t>
            </w:r>
            <w:r w:rsidR="00E40776">
              <w:t>, ако е малък, и „ниск</w:t>
            </w:r>
            <w:r>
              <w:rPr>
                <w:lang w:val="bg-BG"/>
              </w:rPr>
              <w:t>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Pr>
                <w:lang w:val="bg-BG"/>
              </w:rPr>
              <w:t>кредитиране</w:t>
            </w:r>
            <w:r w:rsidR="00E40776">
              <w:t xml:space="preserve">, </w:t>
            </w:r>
            <w:r>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CA1" w14:textId="7FB998B3" w:rsidR="00FE5D64" w:rsidRDefault="00E40776">
            <w:pPr>
              <w:pStyle w:val="P68B1DB1-TableParagraph13"/>
              <w:spacing w:before="108"/>
              <w:jc w:val="both"/>
            </w:pPr>
            <w:r>
              <w:t xml:space="preserve"> </w:t>
            </w:r>
          </w:p>
          <w:p w14:paraId="3C42A32E" w14:textId="351776FD" w:rsidR="00FE5D64" w:rsidRDefault="00E40776">
            <w:pPr>
              <w:pStyle w:val="P68B1DB1-ListParagraph32"/>
              <w:numPr>
                <w:ilvl w:val="0"/>
                <w:numId w:val="124"/>
              </w:numPr>
              <w:spacing w:line="276" w:lineRule="auto"/>
            </w:pPr>
            <w:r>
              <w:t>Експертна преценка на броя на контрагентите (c0090 за функци</w:t>
            </w:r>
            <w:r w:rsidR="00606AC4">
              <w:rPr>
                <w:lang w:val="bg-BG"/>
              </w:rPr>
              <w:t>и</w:t>
            </w:r>
            <w:r>
              <w:t xml:space="preserve"> </w:t>
            </w:r>
            <w:r w:rsidR="00606AC4">
              <w:rPr>
                <w:lang w:val="bg-BG"/>
              </w:rPr>
              <w:t>с идентификатор</w:t>
            </w:r>
            <w:r w:rsidR="00606AC4">
              <w:t xml:space="preserve"> </w:t>
            </w:r>
            <w:r>
              <w:t>4</w:t>
            </w:r>
            <w:r w:rsidR="00606AC4">
              <w:rPr>
                <w:lang w:val="bg-BG"/>
              </w:rPr>
              <w:t>.</w:t>
            </w:r>
            <w:r>
              <w:t xml:space="preserve">1, 4.2, 4.3) или </w:t>
            </w:r>
            <w:r>
              <w:rPr>
                <w:b/>
              </w:rPr>
              <w:t>броя</w:t>
            </w:r>
            <w:r>
              <w:t xml:space="preserve"> на </w:t>
            </w:r>
            <w:r w:rsidR="00606AC4">
              <w:rPr>
                <w:lang w:val="bg-BG"/>
              </w:rPr>
              <w:t>трансакциите по поемане</w:t>
            </w:r>
            <w:r>
              <w:t xml:space="preserve"> (c0100 за</w:t>
            </w:r>
            <w:r w:rsidR="00606AC4">
              <w:rPr>
                <w:lang w:val="bg-BG"/>
              </w:rPr>
              <w:t xml:space="preserve"> функция с идентификатор</w:t>
            </w:r>
            <w:r>
              <w:t xml:space="preserve"> 4.4) от </w:t>
            </w:r>
            <w:r>
              <w:rPr>
                <w:b/>
              </w:rPr>
              <w:t>национална</w:t>
            </w:r>
            <w:r>
              <w:t xml:space="preserve"> гледна точка [</w:t>
            </w:r>
            <w:r>
              <w:rPr>
                <w:i/>
              </w:rPr>
              <w:t>на равнището на съответния пазар</w:t>
            </w:r>
            <w:r>
              <w:t>]:</w:t>
            </w:r>
          </w:p>
          <w:p w14:paraId="7FE1BCA3" w14:textId="0E19278B" w:rsidR="00FE5D64" w:rsidRDefault="00E40776">
            <w:pPr>
              <w:pStyle w:val="P68B1DB1-ListParagraph32"/>
              <w:numPr>
                <w:ilvl w:val="1"/>
                <w:numId w:val="124"/>
              </w:numPr>
              <w:spacing w:line="276" w:lineRule="auto"/>
            </w:pPr>
            <w:r>
              <w:t xml:space="preserve">От национална гледна точка колко </w:t>
            </w:r>
            <w:r w:rsidR="00606AC4">
              <w:rPr>
                <w:lang w:val="bg-BG"/>
              </w:rPr>
              <w:t>значителен</w:t>
            </w:r>
            <w:r w:rsidR="00606AC4">
              <w:t xml:space="preserve"> </w:t>
            </w:r>
            <w:r>
              <w:t>е приблизителният брой контрагенти</w:t>
            </w:r>
            <w:r>
              <w:rPr>
                <w:i/>
              </w:rPr>
              <w:t xml:space="preserve"> или</w:t>
            </w:r>
            <w:r>
              <w:t xml:space="preserve"> </w:t>
            </w:r>
            <w:r w:rsidR="00606AC4">
              <w:rPr>
                <w:lang w:val="bg-BG"/>
              </w:rPr>
              <w:t>трансакциите</w:t>
            </w:r>
            <w:r>
              <w:t xml:space="preserve"> </w:t>
            </w:r>
            <w:r w:rsidR="00F6765A">
              <w:rPr>
                <w:lang w:val="bg-BG"/>
              </w:rPr>
              <w:t>в</w:t>
            </w:r>
            <w:r>
              <w:t xml:space="preserve"> институция</w:t>
            </w:r>
            <w:r w:rsidR="00F6765A">
              <w:rPr>
                <w:lang w:val="bg-BG"/>
              </w:rPr>
              <w:t>та</w:t>
            </w:r>
            <w:r>
              <w:t>?</w:t>
            </w:r>
          </w:p>
          <w:p w14:paraId="7FE1BCA4"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FE5D64" w:rsidRDefault="00E40776">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FE5D64" w:rsidRDefault="00E40776">
            <w:pPr>
              <w:pStyle w:val="P68B1DB1-TableParagraph14"/>
              <w:spacing w:before="108"/>
              <w:jc w:val="both"/>
              <w:rPr>
                <w:bCs/>
              </w:rPr>
            </w:pPr>
            <w:r>
              <w:t>Трансграничен показател</w:t>
            </w:r>
          </w:p>
          <w:p w14:paraId="7FE1BCA8" w14:textId="77777777" w:rsidR="00FE5D64" w:rsidRDefault="00E40776">
            <w:pPr>
              <w:pStyle w:val="P68B1DB1-TableParagraph13"/>
              <w:spacing w:before="108"/>
              <w:jc w:val="both"/>
            </w:pPr>
            <w:r>
              <w:t>Оценка на относителното значение на трансграничните дейности за различните икономически функции.</w:t>
            </w:r>
          </w:p>
          <w:p w14:paraId="7FE1BCA9" w14:textId="484E4A05" w:rsidR="00FE5D64" w:rsidRDefault="003428D6">
            <w:pPr>
              <w:pStyle w:val="P68B1DB1-TableParagraph13"/>
              <w:spacing w:before="108"/>
              <w:jc w:val="both"/>
            </w:pPr>
            <w:r>
              <w:rPr>
                <w:lang w:val="bg-BG"/>
              </w:rPr>
              <w:t>Н</w:t>
            </w:r>
            <w:r w:rsidR="00E40776">
              <w:t>е е необходимо да се оценява в случа</w:t>
            </w:r>
            <w:r w:rsidR="00987FDA">
              <w:rPr>
                <w:lang w:val="bg-BG"/>
              </w:rPr>
              <w:t>и</w:t>
            </w:r>
            <w:r w:rsidR="001D6ABC">
              <w:rPr>
                <w:lang w:val="bg-BG"/>
              </w:rPr>
              <w:t>те</w:t>
            </w:r>
            <w:r w:rsidR="00E40776">
              <w:t xml:space="preserve">, </w:t>
            </w:r>
            <w:r w:rsidR="001D6ABC">
              <w:rPr>
                <w:lang w:val="bg-BG"/>
              </w:rPr>
              <w:t>когато</w:t>
            </w:r>
            <w:r w:rsidR="00E40776">
              <w:t xml:space="preserve"> съответният пазар се </w:t>
            </w:r>
            <w:r w:rsidR="001D6ABC">
              <w:rPr>
                <w:lang w:val="bg-BG"/>
              </w:rPr>
              <w:t>смята</w:t>
            </w:r>
            <w:r w:rsidR="001D6ABC">
              <w:t xml:space="preserve"> </w:t>
            </w:r>
            <w:r w:rsidR="00E40776">
              <w:t xml:space="preserve">за регионален. </w:t>
            </w:r>
          </w:p>
          <w:p w14:paraId="7FE1BCAA" w14:textId="649D313F" w:rsidR="00FE5D64" w:rsidRDefault="00E40776">
            <w:pPr>
              <w:pStyle w:val="P68B1DB1-ListParagraph32"/>
              <w:numPr>
                <w:ilvl w:val="0"/>
                <w:numId w:val="118"/>
              </w:numPr>
              <w:rPr>
                <w:i/>
                <w:iCs/>
              </w:rPr>
            </w:pPr>
            <w:r>
              <w:t xml:space="preserve">Дял </w:t>
            </w:r>
            <w:r w:rsidR="001D6ABC">
              <w:rPr>
                <w:lang w:val="bg-BG"/>
              </w:rPr>
              <w:t>на</w:t>
            </w:r>
            <w:r>
              <w:t xml:space="preserve"> дейността на отчитащ</w:t>
            </w:r>
            <w:r w:rsidR="001D6ABC">
              <w:rPr>
                <w:lang w:val="bg-BG"/>
              </w:rPr>
              <w:t>ия</w:t>
            </w:r>
            <w:r>
              <w:t xml:space="preserve"> се </w:t>
            </w:r>
            <w:r w:rsidR="001D6ABC">
              <w:rPr>
                <w:lang w:val="bg-BG"/>
              </w:rPr>
              <w:t>субект</w:t>
            </w:r>
            <w:r w:rsidR="001D6ABC">
              <w:t xml:space="preserve"> </w:t>
            </w:r>
            <w:r>
              <w:t xml:space="preserve">в други юрисдикции като процент от общата стойност, </w:t>
            </w:r>
            <w:r w:rsidR="001D6ABC">
              <w:rPr>
                <w:lang w:val="bg-BG"/>
              </w:rPr>
              <w:t>отчетена като</w:t>
            </w:r>
            <w:r>
              <w:t xml:space="preserve"> условни стойности (деривати), балансова стойност</w:t>
            </w:r>
            <w:r w:rsidR="001D6ABC">
              <w:rPr>
                <w:lang w:val="bg-BG"/>
              </w:rPr>
              <w:t xml:space="preserve"> на активите</w:t>
            </w:r>
            <w:r>
              <w:t xml:space="preserve"> (</w:t>
            </w:r>
            <w:r w:rsidR="001D6ABC">
              <w:rPr>
                <w:lang w:val="bg-BG"/>
              </w:rPr>
              <w:t xml:space="preserve">за </w:t>
            </w:r>
            <w:r>
              <w:t>вторични пазари), приходи от такси от чуждестранни клиенти (</w:t>
            </w:r>
            <w:r w:rsidR="001D6ABC">
              <w:rPr>
                <w:lang w:val="bg-BG"/>
              </w:rPr>
              <w:t xml:space="preserve">за </w:t>
            </w:r>
            <w:r>
              <w:t xml:space="preserve">първични пазари). </w:t>
            </w:r>
            <w:r w:rsidR="001D6ABC">
              <w:rPr>
                <w:lang w:val="bg-BG"/>
              </w:rPr>
              <w:t>Посочва се</w:t>
            </w:r>
            <w:r>
              <w:t xml:space="preserve">: </w:t>
            </w:r>
          </w:p>
          <w:p w14:paraId="7FE1BCAB" w14:textId="5DCA613F" w:rsidR="00FE5D64" w:rsidRDefault="001D6ABC">
            <w:pPr>
              <w:pStyle w:val="P68B1DB1-ListParagraph32"/>
              <w:numPr>
                <w:ilvl w:val="1"/>
                <w:numId w:val="118"/>
              </w:numPr>
              <w:rPr>
                <w:i/>
                <w:iCs/>
              </w:rPr>
            </w:pPr>
            <w:bookmarkStart w:id="131" w:name="_Hlk194476322"/>
            <w:r>
              <w:rPr>
                <w:lang w:val="en-US"/>
              </w:rPr>
              <w:t>&lt;</w:t>
            </w:r>
            <w:r w:rsidR="00E40776">
              <w:t xml:space="preserve"> 5%; </w:t>
            </w:r>
          </w:p>
          <w:p w14:paraId="7FE1BCAC" w14:textId="32B18357" w:rsidR="00FE5D64" w:rsidRDefault="00E40776">
            <w:pPr>
              <w:pStyle w:val="P68B1DB1-ListParagraph32"/>
              <w:numPr>
                <w:ilvl w:val="1"/>
                <w:numId w:val="118"/>
              </w:numPr>
              <w:rPr>
                <w:i/>
                <w:iCs/>
              </w:rPr>
            </w:pPr>
            <w:r>
              <w:t xml:space="preserve">5 —15%; </w:t>
            </w:r>
          </w:p>
          <w:p w14:paraId="7FE1BCAD" w14:textId="61B60B73" w:rsidR="00FE5D64" w:rsidRDefault="00E40776">
            <w:pPr>
              <w:pStyle w:val="P68B1DB1-ListParagraph32"/>
              <w:numPr>
                <w:ilvl w:val="1"/>
                <w:numId w:val="118"/>
              </w:numPr>
              <w:rPr>
                <w:i/>
                <w:iCs/>
              </w:rPr>
            </w:pPr>
            <w:r>
              <w:t>16</w:t>
            </w:r>
            <w:r w:rsidR="001D6ABC">
              <w:rPr>
                <w:lang w:val="en-US"/>
              </w:rPr>
              <w:t xml:space="preserve"> </w:t>
            </w:r>
            <w:r>
              <w:t>—</w:t>
            </w:r>
            <w:r w:rsidR="001D6ABC">
              <w:rPr>
                <w:lang w:val="en-US"/>
              </w:rPr>
              <w:t xml:space="preserve"> </w:t>
            </w:r>
            <w:r>
              <w:t>25%</w:t>
            </w:r>
            <w:r w:rsidR="00DE2F45">
              <w:rPr>
                <w:lang w:val="bg-BG"/>
              </w:rPr>
              <w:t>;</w:t>
            </w:r>
          </w:p>
          <w:p w14:paraId="7FE1BCAE" w14:textId="1FE21DE9" w:rsidR="00FE5D64" w:rsidRDefault="00E40776">
            <w:pPr>
              <w:pStyle w:val="P68B1DB1-ListParagraph32"/>
              <w:numPr>
                <w:ilvl w:val="1"/>
                <w:numId w:val="118"/>
              </w:numPr>
              <w:rPr>
                <w:i/>
                <w:iCs/>
              </w:rPr>
            </w:pPr>
            <w:r>
              <w:t xml:space="preserve">&gt; 25%. </w:t>
            </w:r>
          </w:p>
          <w:bookmarkEnd w:id="131"/>
          <w:p w14:paraId="7FE1BCAF"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FE5D64" w:rsidRDefault="00E40776">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31B06AE5" w:rsidR="00FE5D64" w:rsidRDefault="00C56501">
            <w:pPr>
              <w:pStyle w:val="P68B1DB1-TableParagraph14"/>
              <w:spacing w:before="108"/>
              <w:jc w:val="both"/>
              <w:rPr>
                <w:bCs/>
              </w:rPr>
            </w:pPr>
            <w:r>
              <w:rPr>
                <w:lang w:val="bg-BG"/>
              </w:rPr>
              <w:t>Значимост</w:t>
            </w:r>
            <w:r>
              <w:t xml:space="preserve"> </w:t>
            </w:r>
            <w:r w:rsidR="00E40776">
              <w:t xml:space="preserve">— </w:t>
            </w:r>
          </w:p>
          <w:p w14:paraId="7FE1BCB3" w14:textId="77777777" w:rsidR="00FE5D64" w:rsidRDefault="00E40776">
            <w:pPr>
              <w:pStyle w:val="P68B1DB1-TableParagraph13"/>
              <w:spacing w:before="108"/>
              <w:jc w:val="both"/>
            </w:pPr>
            <w:r>
              <w:t>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CB4" w14:textId="77777777" w:rsidR="00FE5D64" w:rsidRDefault="00E40776">
            <w:pPr>
              <w:pStyle w:val="P68B1DB1-TableParagraph14"/>
              <w:spacing w:before="108"/>
              <w:jc w:val="both"/>
              <w:rPr>
                <w:bCs/>
              </w:rPr>
            </w:pPr>
            <w:r>
              <w:t>Пазарен дял</w:t>
            </w:r>
          </w:p>
          <w:p w14:paraId="7FE1BCB5" w14:textId="27DCDBC9" w:rsidR="00FE5D64" w:rsidRDefault="00C56501">
            <w:pPr>
              <w:pStyle w:val="P68B1DB1-TableParagraph13"/>
              <w:spacing w:before="108"/>
              <w:jc w:val="both"/>
            </w:pPr>
            <w:r>
              <w:rPr>
                <w:lang w:val="bg-BG"/>
              </w:rPr>
              <w:t xml:space="preserve">Оценява се значимостта на </w:t>
            </w:r>
            <w:r w:rsidR="00E40776">
              <w:t xml:space="preserve">пазарния дял на отчитащия се субект в сравнение с националния или друг съответен пазар, както е посочено в образеца. Тази оценка </w:t>
            </w:r>
            <w:r>
              <w:rPr>
                <w:lang w:val="bg-BG"/>
              </w:rPr>
              <w:t>с</w:t>
            </w:r>
            <w:r w:rsidR="00E40776">
              <w:t>е израз</w:t>
            </w:r>
            <w:r>
              <w:rPr>
                <w:lang w:val="bg-BG"/>
              </w:rPr>
              <w:t>ява</w:t>
            </w:r>
            <w:r w:rsidR="00E40776">
              <w:t xml:space="preserve"> качествено по следния начин: </w:t>
            </w:r>
          </w:p>
          <w:p w14:paraId="7FE1BCB6" w14:textId="5EE864DE" w:rsidR="00FE5D64" w:rsidRDefault="00E40776">
            <w:pPr>
              <w:pStyle w:val="P68B1DB1-ListParagraph38"/>
              <w:numPr>
                <w:ilvl w:val="0"/>
                <w:numId w:val="276"/>
              </w:numPr>
              <w:spacing w:line="276" w:lineRule="auto"/>
              <w:jc w:val="both"/>
            </w:pPr>
            <w:r>
              <w:t xml:space="preserve">Висок, ако пазарният дял е </w:t>
            </w:r>
            <w:r w:rsidR="00C56501">
              <w:rPr>
                <w:lang w:val="bg-BG"/>
              </w:rPr>
              <w:t>значителен</w:t>
            </w:r>
            <w:r w:rsidR="00DE2F45">
              <w:rPr>
                <w:lang w:val="bg-BG"/>
              </w:rPr>
              <w:t>,</w:t>
            </w:r>
          </w:p>
          <w:p w14:paraId="7FE1BCB7" w14:textId="147270FE" w:rsidR="00FE5D64" w:rsidRDefault="00E40776">
            <w:pPr>
              <w:pStyle w:val="P68B1DB1-ListParagraph38"/>
              <w:numPr>
                <w:ilvl w:val="0"/>
                <w:numId w:val="276"/>
              </w:numPr>
              <w:spacing w:line="276" w:lineRule="auto"/>
              <w:jc w:val="both"/>
            </w:pPr>
            <w:r>
              <w:t>Средновисок, ако пазарният дял е среден</w:t>
            </w:r>
            <w:r w:rsidR="00DE2F45">
              <w:rPr>
                <w:lang w:val="bg-BG"/>
              </w:rPr>
              <w:t>,</w:t>
            </w:r>
          </w:p>
          <w:p w14:paraId="7FE1BCB8" w14:textId="056579AC" w:rsidR="00FE5D64" w:rsidRDefault="00E40776">
            <w:pPr>
              <w:pStyle w:val="P68B1DB1-ListParagraph38"/>
              <w:numPr>
                <w:ilvl w:val="0"/>
                <w:numId w:val="276"/>
              </w:numPr>
              <w:spacing w:line="276" w:lineRule="auto"/>
              <w:jc w:val="both"/>
            </w:pPr>
            <w:r>
              <w:t xml:space="preserve">Среднонисък, ако пазарният дял е малък, или </w:t>
            </w:r>
          </w:p>
          <w:p w14:paraId="7FE1BCB9" w14:textId="20F97435" w:rsidR="00FE5D64" w:rsidRDefault="00E40776">
            <w:pPr>
              <w:pStyle w:val="P68B1DB1-ListParagraph38"/>
              <w:numPr>
                <w:ilvl w:val="0"/>
                <w:numId w:val="276"/>
              </w:numPr>
              <w:spacing w:line="276" w:lineRule="auto"/>
              <w:jc w:val="both"/>
            </w:pPr>
            <w:r>
              <w:t>Нис</w:t>
            </w:r>
            <w:r w:rsidR="00C56501">
              <w:rPr>
                <w:lang w:val="bg-BG"/>
              </w:rPr>
              <w:t>ъ</w:t>
            </w:r>
            <w:r>
              <w:t xml:space="preserve">к, ако пазарният дял е незначителен. </w:t>
            </w:r>
          </w:p>
          <w:p w14:paraId="7FE1BCBB" w14:textId="2157C35E" w:rsidR="00FE5D64" w:rsidRDefault="00E40776">
            <w:pPr>
              <w:pStyle w:val="P68B1DB1-TableParagraph13"/>
              <w:spacing w:before="108"/>
              <w:jc w:val="both"/>
            </w:pPr>
            <w:r>
              <w:t>При тази оценка се взема предвид пазарната структура на държавата на отчитащ</w:t>
            </w:r>
            <w:r w:rsidR="00C56501">
              <w:rPr>
                <w:lang w:val="bg-BG"/>
              </w:rPr>
              <w:t>ия</w:t>
            </w:r>
            <w:r>
              <w:t xml:space="preserve"> се </w:t>
            </w:r>
            <w:r w:rsidR="00C56501">
              <w:rPr>
                <w:lang w:val="bg-BG"/>
              </w:rPr>
              <w:t>субект</w:t>
            </w:r>
            <w:r>
              <w:t xml:space="preserve"> (или друг съответен пазар) и пазарните дялове, отчетени </w:t>
            </w:r>
            <w:r w:rsidR="00C56501">
              <w:rPr>
                <w:lang w:val="bg-BG"/>
              </w:rPr>
              <w:t xml:space="preserve">в част </w:t>
            </w:r>
            <w:r>
              <w:t>2.Количествени данни:</w:t>
            </w:r>
          </w:p>
          <w:p w14:paraId="7FE1BCBC" w14:textId="3EEEA233" w:rsidR="00FE5D64" w:rsidRDefault="00E40776">
            <w:pPr>
              <w:pStyle w:val="P68B1DB1-ListParagraph32"/>
              <w:numPr>
                <w:ilvl w:val="0"/>
                <w:numId w:val="117"/>
              </w:numPr>
              <w:jc w:val="both"/>
              <w:rPr>
                <w:i/>
                <w:iCs/>
              </w:rPr>
            </w:pPr>
            <w:r>
              <w:t xml:space="preserve">Експертна оценка на размера на </w:t>
            </w:r>
            <w:r>
              <w:rPr>
                <w:b/>
              </w:rPr>
              <w:t xml:space="preserve">националния </w:t>
            </w:r>
            <w:r>
              <w:t xml:space="preserve">пазарен дял (докладвана в c0020, освен в случаите, когато </w:t>
            </w:r>
            <w:r w:rsidR="00C56501">
              <w:rPr>
                <w:lang w:val="bg-BG"/>
              </w:rPr>
              <w:t>отчетът</w:t>
            </w:r>
            <w:r w:rsidR="00C56501">
              <w:t xml:space="preserve"> </w:t>
            </w:r>
            <w:r>
              <w:t>е предоставен за различно съответно пазарно равнище, в който случай се очаква оценка на съответния пазарен дял).</w:t>
            </w:r>
          </w:p>
          <w:p w14:paraId="7FE1BCBD"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CBE"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FE5D64" w:rsidRDefault="00E40776">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FE5D64" w:rsidRDefault="00E40776">
            <w:pPr>
              <w:pStyle w:val="P68B1DB1-TableParagraph14"/>
              <w:spacing w:before="108"/>
              <w:jc w:val="both"/>
              <w:rPr>
                <w:bCs/>
              </w:rPr>
            </w:pPr>
            <w:r>
              <w:t>Пазарна структура — концентрация на пазара</w:t>
            </w:r>
          </w:p>
          <w:p w14:paraId="7FE1BCC5" w14:textId="17847A2D" w:rsidR="00FE5D64" w:rsidRDefault="00E40776">
            <w:pPr>
              <w:pStyle w:val="P68B1DB1-TableParagraph13"/>
              <w:spacing w:before="108"/>
              <w:jc w:val="both"/>
            </w:pPr>
            <w:r>
              <w:t xml:space="preserve">Концентрацията на пазара, измерена чрез броя на конкурентите, които понастоящем </w:t>
            </w:r>
            <w:r w:rsidR="00C56501">
              <w:rPr>
                <w:lang w:val="bg-BG"/>
              </w:rPr>
              <w:t xml:space="preserve">изпълняват </w:t>
            </w:r>
            <w:r>
              <w:t xml:space="preserve">сходни икономически функции и/или предлагане на сходни услуги при равни условия (т.е. </w:t>
            </w:r>
            <w:r w:rsidR="00C56501">
              <w:rPr>
                <w:lang w:val="bg-BG"/>
              </w:rPr>
              <w:t xml:space="preserve">в </w:t>
            </w:r>
            <w:r>
              <w:t xml:space="preserve">съпоставима степен и качество и на сравнима цена), които потенциално </w:t>
            </w:r>
            <w:r w:rsidR="00C56501">
              <w:rPr>
                <w:lang w:val="bg-BG"/>
              </w:rPr>
              <w:t>могат да</w:t>
            </w:r>
            <w:r w:rsidR="00C56501">
              <w:t xml:space="preserve"> </w:t>
            </w:r>
            <w:r>
              <w:t>поемат (част от) клиентите и/или дейност</w:t>
            </w:r>
            <w:r w:rsidR="00C56501">
              <w:rPr>
                <w:lang w:val="bg-BG"/>
              </w:rPr>
              <w:t>та</w:t>
            </w:r>
            <w:r>
              <w:t xml:space="preserve"> на отчитащ</w:t>
            </w:r>
            <w:r w:rsidR="00C56501">
              <w:rPr>
                <w:lang w:val="bg-BG"/>
              </w:rPr>
              <w:t>ия</w:t>
            </w:r>
            <w:r>
              <w:t xml:space="preserve"> се </w:t>
            </w:r>
            <w:r w:rsidR="00C56501">
              <w:rPr>
                <w:lang w:val="bg-BG"/>
              </w:rPr>
              <w:t>субект</w:t>
            </w:r>
            <w:r w:rsidR="00C56501">
              <w:t xml:space="preserve"> </w:t>
            </w:r>
            <w:r>
              <w:t xml:space="preserve">в разумен срок. </w:t>
            </w:r>
          </w:p>
          <w:p w14:paraId="7FE1BCC6" w14:textId="504FCBB1" w:rsidR="00FE5D64" w:rsidRDefault="007335D2">
            <w:pPr>
              <w:pStyle w:val="P68B1DB1-TableParagraph13"/>
              <w:spacing w:before="108"/>
              <w:jc w:val="both"/>
            </w:pPr>
            <w:r>
              <w:rPr>
                <w:lang w:val="bg-BG"/>
              </w:rPr>
              <w:t>Концентрацията на пазара</w:t>
            </w:r>
            <w:r>
              <w:t xml:space="preserve"> </w:t>
            </w:r>
            <w:r w:rsidR="00E40776">
              <w:t xml:space="preserve">се отчита в групи, които са еднакви за всяка подфункция. </w:t>
            </w:r>
          </w:p>
          <w:p w14:paraId="6E6D19F8" w14:textId="204619BF" w:rsidR="00FE5D64" w:rsidRDefault="00E40776">
            <w:pPr>
              <w:pStyle w:val="P68B1DB1-ListParagraph32"/>
              <w:numPr>
                <w:ilvl w:val="0"/>
                <w:numId w:val="277"/>
              </w:numPr>
              <w:jc w:val="both"/>
            </w:pPr>
            <w:r>
              <w:t>&gt; 20 конкурент</w:t>
            </w:r>
            <w:r w:rsidR="00C56501">
              <w:rPr>
                <w:lang w:val="bg-BG"/>
              </w:rPr>
              <w:t>а</w:t>
            </w:r>
            <w:r>
              <w:t xml:space="preserve">; </w:t>
            </w:r>
          </w:p>
          <w:p w14:paraId="6A8A3C5F" w14:textId="5DEECC03" w:rsidR="00FE5D64" w:rsidRDefault="00C56501">
            <w:pPr>
              <w:pStyle w:val="P68B1DB1-ListParagraph32"/>
              <w:numPr>
                <w:ilvl w:val="0"/>
                <w:numId w:val="277"/>
              </w:numPr>
              <w:jc w:val="both"/>
            </w:pPr>
            <w:r>
              <w:rPr>
                <w:lang w:val="bg-BG"/>
              </w:rPr>
              <w:t xml:space="preserve">От </w:t>
            </w:r>
            <w:r w:rsidR="00E40776">
              <w:t>11</w:t>
            </w:r>
            <w:r>
              <w:rPr>
                <w:lang w:val="bg-BG"/>
              </w:rPr>
              <w:t xml:space="preserve"> до </w:t>
            </w:r>
            <w:r w:rsidR="00E40776">
              <w:t>20 конкурент</w:t>
            </w:r>
            <w:r>
              <w:rPr>
                <w:lang w:val="bg-BG"/>
              </w:rPr>
              <w:t>а</w:t>
            </w:r>
            <w:r w:rsidR="00E40776">
              <w:t xml:space="preserve">; </w:t>
            </w:r>
          </w:p>
          <w:p w14:paraId="543AFD53" w14:textId="2D1568B5" w:rsidR="00FE5D64" w:rsidRDefault="00E40776">
            <w:pPr>
              <w:pStyle w:val="P68B1DB1-ListParagraph32"/>
              <w:numPr>
                <w:ilvl w:val="0"/>
                <w:numId w:val="277"/>
              </w:numPr>
              <w:jc w:val="both"/>
            </w:pPr>
            <w:r>
              <w:t xml:space="preserve">От 5 до 10 </w:t>
            </w:r>
            <w:r w:rsidR="00C56501">
              <w:rPr>
                <w:lang w:val="bg-BG"/>
              </w:rPr>
              <w:t>конкурента;</w:t>
            </w:r>
          </w:p>
          <w:p w14:paraId="761539CF" w14:textId="2EDA6812" w:rsidR="00FE5D64" w:rsidRDefault="00C56501">
            <w:pPr>
              <w:pStyle w:val="P68B1DB1-ListParagraph32"/>
              <w:numPr>
                <w:ilvl w:val="0"/>
                <w:numId w:val="277"/>
              </w:numPr>
              <w:jc w:val="both"/>
              <w:rPr>
                <w:b/>
                <w:bCs/>
                <w:color w:val="000000" w:themeColor="text1"/>
              </w:rPr>
            </w:pPr>
            <w:r>
              <w:rPr>
                <w:lang w:val="en-US"/>
              </w:rPr>
              <w:t xml:space="preserve">&lt; </w:t>
            </w:r>
            <w:r w:rsidR="00E40776">
              <w:t>5 конкурент</w:t>
            </w:r>
            <w:r>
              <w:rPr>
                <w:lang w:val="bg-BG"/>
              </w:rPr>
              <w:t>а</w:t>
            </w:r>
            <w:r w:rsidR="00DE2F45">
              <w:rPr>
                <w:lang w:val="bg-BG"/>
              </w:rPr>
              <w:t>.</w:t>
            </w:r>
          </w:p>
          <w:p w14:paraId="7FE1BCCA" w14:textId="06EC2320" w:rsidR="00FE5D64" w:rsidRDefault="00FE5D64">
            <w:pPr>
              <w:jc w:val="both"/>
              <w:rPr>
                <w:rFonts w:ascii="Times New Roman" w:hAnsi="Times New Roman"/>
                <w:color w:val="000000" w:themeColor="text1"/>
                <w:sz w:val="20"/>
                <w:szCs w:val="20"/>
              </w:rPr>
            </w:pPr>
          </w:p>
        </w:tc>
      </w:tr>
      <w:tr w:rsidR="00FE5D64"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FE5D64" w:rsidRDefault="00E40776">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5CE434E5" w:rsidR="00FE5D64" w:rsidRPr="00797936" w:rsidRDefault="00797936">
            <w:pPr>
              <w:pStyle w:val="P68B1DB1-TableParagraph14"/>
              <w:spacing w:before="108"/>
              <w:jc w:val="both"/>
              <w:rPr>
                <w:bCs/>
                <w:lang w:val="bg-BG"/>
              </w:rPr>
            </w:pPr>
            <w:r>
              <w:rPr>
                <w:lang w:val="bg-BG"/>
              </w:rPr>
              <w:t>Времева рамка</w:t>
            </w:r>
            <w:r>
              <w:t xml:space="preserve"> </w:t>
            </w:r>
            <w:r w:rsidR="00E40776">
              <w:t xml:space="preserve">— очаквано време за </w:t>
            </w:r>
            <w:r>
              <w:rPr>
                <w:lang w:val="bg-BG"/>
              </w:rPr>
              <w:t>заменяемост</w:t>
            </w:r>
          </w:p>
          <w:p w14:paraId="7FE1BCCF" w14:textId="5CB1E0B6" w:rsidR="00FE5D64" w:rsidRDefault="004C0469">
            <w:pPr>
              <w:pStyle w:val="P68B1DB1-TableParagraph13"/>
              <w:spacing w:before="108"/>
              <w:jc w:val="both"/>
            </w:pPr>
            <w:r>
              <w:rPr>
                <w:lang w:val="bg-BG"/>
              </w:rPr>
              <w:t xml:space="preserve">Оценява се необходимото време, за което </w:t>
            </w:r>
            <w:r w:rsidR="00E40776">
              <w:t xml:space="preserve">икономическата функция, предоставена от </w:t>
            </w:r>
            <w:r>
              <w:rPr>
                <w:lang w:val="bg-BG"/>
              </w:rPr>
              <w:t xml:space="preserve">отчитащия се </w:t>
            </w:r>
            <w:r w:rsidR="00E40776">
              <w:t xml:space="preserve">субект, </w:t>
            </w:r>
            <w:r>
              <w:rPr>
                <w:lang w:val="bg-BG"/>
              </w:rPr>
              <w:t>може</w:t>
            </w:r>
            <w:r w:rsidR="00E40776">
              <w:t xml:space="preserve"> да бъде поет</w:t>
            </w:r>
            <w:r>
              <w:rPr>
                <w:lang w:val="bg-BG"/>
              </w:rPr>
              <w:t>а</w:t>
            </w:r>
            <w:r w:rsidR="00E40776">
              <w:t xml:space="preserve"> от пазара в кризисна ситуация. Това включва: </w:t>
            </w:r>
          </w:p>
          <w:p w14:paraId="7FE1BCD0" w14:textId="77777777" w:rsidR="00FE5D64" w:rsidRDefault="00E40776">
            <w:pPr>
              <w:pStyle w:val="P68B1DB1-ListParagraph38"/>
              <w:numPr>
                <w:ilvl w:val="0"/>
                <w:numId w:val="274"/>
              </w:numPr>
              <w:jc w:val="both"/>
            </w:pPr>
            <w:r>
              <w:t xml:space="preserve">очакваното време, необходимо на един или няколко конкурента (ите) за изпълнение на правните и техническите стъпки за поемане на функцията; както и  </w:t>
            </w:r>
          </w:p>
          <w:p w14:paraId="7FE1BCD1" w14:textId="77777777" w:rsidR="00FE5D64" w:rsidRDefault="00E40776">
            <w:pPr>
              <w:pStyle w:val="P68B1DB1-ListParagraph38"/>
              <w:numPr>
                <w:ilvl w:val="0"/>
                <w:numId w:val="274"/>
              </w:numPr>
              <w:jc w:val="both"/>
            </w:pPr>
            <w:r>
              <w:t xml:space="preserve">времето, необходимо на ползвателите на услугата да се преместят при друг доставчик на услуги. </w:t>
            </w:r>
          </w:p>
          <w:p w14:paraId="7FE1BCD2" w14:textId="77777777" w:rsidR="00FE5D64" w:rsidRDefault="00FE5D64">
            <w:pPr>
              <w:pStyle w:val="TableParagraph"/>
              <w:spacing w:before="108"/>
              <w:jc w:val="both"/>
              <w:rPr>
                <w:rFonts w:ascii="Times New Roman" w:hAnsi="Times New Roman" w:cs="Times New Roman"/>
                <w:color w:val="000000" w:themeColor="text1"/>
                <w:sz w:val="20"/>
                <w:szCs w:val="20"/>
              </w:rPr>
            </w:pPr>
          </w:p>
          <w:p w14:paraId="7FE1BCD3" w14:textId="058BDE95" w:rsidR="00FE5D64" w:rsidRDefault="00E40776">
            <w:pPr>
              <w:pStyle w:val="P68B1DB1-TableParagraph13"/>
              <w:spacing w:before="108"/>
              <w:jc w:val="both"/>
            </w:pPr>
            <w:r>
              <w:t xml:space="preserve">Като </w:t>
            </w:r>
            <w:r w:rsidR="004C0469">
              <w:rPr>
                <w:lang w:val="bg-BG"/>
              </w:rPr>
              <w:t>ориентир за горното</w:t>
            </w:r>
            <w:r>
              <w:t xml:space="preserve">, </w:t>
            </w:r>
            <w:r w:rsidR="004C0469">
              <w:rPr>
                <w:lang w:val="bg-BG"/>
              </w:rPr>
              <w:t>посочва се</w:t>
            </w:r>
            <w:r w:rsidR="004C0469">
              <w:t xml:space="preserve"> </w:t>
            </w:r>
            <w:r>
              <w:t xml:space="preserve">приблизителна оценка на времето, необходимо на отчитащия се субект да поеме в собствената си стопанска дейност (част от) услугата, предоставяна от друга институция, на разумна цена в кризисна ситуация. </w:t>
            </w:r>
            <w:r w:rsidR="004C0469">
              <w:rPr>
                <w:lang w:val="bg-BG"/>
              </w:rPr>
              <w:t>Посочва се</w:t>
            </w:r>
            <w:r w:rsidR="004C0469">
              <w:t xml:space="preserve"> </w:t>
            </w:r>
            <w:r>
              <w:t xml:space="preserve">очакваното време за </w:t>
            </w:r>
            <w:r w:rsidR="004C0469">
              <w:rPr>
                <w:lang w:val="bg-BG"/>
              </w:rPr>
              <w:t>заменяемост</w:t>
            </w:r>
            <w:r w:rsidR="004C0469">
              <w:t xml:space="preserve"> </w:t>
            </w:r>
            <w:r>
              <w:t xml:space="preserve">в </w:t>
            </w:r>
            <w:r w:rsidR="004C0469">
              <w:rPr>
                <w:lang w:val="bg-BG"/>
              </w:rPr>
              <w:t>категориите</w:t>
            </w:r>
            <w:r>
              <w:t>, посочени в образеца:</w:t>
            </w:r>
          </w:p>
          <w:p w14:paraId="7FE1BCD4" w14:textId="61E6A86F" w:rsidR="00FE5D64" w:rsidRDefault="004C0469">
            <w:pPr>
              <w:pStyle w:val="P68B1DB1-Normal31"/>
              <w:jc w:val="both"/>
            </w:pPr>
            <w:r>
              <w:rPr>
                <w:lang w:val="bg-BG"/>
              </w:rPr>
              <w:t>Категории</w:t>
            </w:r>
            <w:r w:rsidR="00E40776">
              <w:t xml:space="preserve">: </w:t>
            </w:r>
          </w:p>
          <w:p w14:paraId="7FE1BCD5" w14:textId="68D8A4E5" w:rsidR="00FE5D64" w:rsidRDefault="004C0469">
            <w:pPr>
              <w:pStyle w:val="P68B1DB1-ListParagraph32"/>
              <w:numPr>
                <w:ilvl w:val="0"/>
                <w:numId w:val="286"/>
              </w:numPr>
              <w:jc w:val="both"/>
            </w:pPr>
            <w:r>
              <w:rPr>
                <w:lang w:val="en-US"/>
              </w:rPr>
              <w:t>&lt;</w:t>
            </w:r>
            <w:r w:rsidR="00E40776">
              <w:t xml:space="preserve"> 1 седмица; </w:t>
            </w:r>
          </w:p>
          <w:p w14:paraId="7FE1BCD6" w14:textId="712CDEEF" w:rsidR="00FE5D64" w:rsidRDefault="00E40776">
            <w:pPr>
              <w:pStyle w:val="P68B1DB1-ListParagraph32"/>
              <w:numPr>
                <w:ilvl w:val="0"/>
                <w:numId w:val="286"/>
              </w:numPr>
              <w:jc w:val="both"/>
            </w:pPr>
            <w:r>
              <w:t xml:space="preserve">1 седмица — 1 месец; </w:t>
            </w:r>
          </w:p>
          <w:p w14:paraId="7FE1BCD7" w14:textId="1F2634E2" w:rsidR="00FE5D64" w:rsidRDefault="00E40776">
            <w:pPr>
              <w:pStyle w:val="P68B1DB1-ListParagraph32"/>
              <w:numPr>
                <w:ilvl w:val="0"/>
                <w:numId w:val="286"/>
              </w:numPr>
              <w:jc w:val="both"/>
            </w:pPr>
            <w:r>
              <w:t>&gt; 1 месец — 6 месеца</w:t>
            </w:r>
            <w:r w:rsidR="004C0469">
              <w:rPr>
                <w:lang w:val="bg-BG"/>
              </w:rPr>
              <w:t>;</w:t>
            </w:r>
            <w:r>
              <w:t xml:space="preserve"> </w:t>
            </w:r>
          </w:p>
          <w:p w14:paraId="7FE1BCD8" w14:textId="17C7974C" w:rsidR="00FE5D64" w:rsidRDefault="00E40776">
            <w:pPr>
              <w:pStyle w:val="P68B1DB1-ListParagraph32"/>
              <w:numPr>
                <w:ilvl w:val="0"/>
                <w:numId w:val="286"/>
              </w:numPr>
              <w:jc w:val="both"/>
            </w:pPr>
            <w:r>
              <w:t>&gt; 6 месеца</w:t>
            </w:r>
            <w:r w:rsidR="00DE2F45">
              <w:rPr>
                <w:lang w:val="bg-BG"/>
              </w:rPr>
              <w:t>.</w:t>
            </w:r>
          </w:p>
          <w:p w14:paraId="7FE1BCD9"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FE5D64" w:rsidRDefault="00E40776">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5F04063D" w:rsidR="00FE5D64" w:rsidRPr="004C0469" w:rsidRDefault="004C0469">
            <w:pPr>
              <w:pStyle w:val="P68B1DB1-TableParagraph14"/>
              <w:spacing w:before="108"/>
              <w:jc w:val="both"/>
              <w:rPr>
                <w:bCs/>
                <w:lang w:val="bg-BG"/>
              </w:rPr>
            </w:pPr>
            <w:r>
              <w:rPr>
                <w:lang w:val="bg-BG"/>
              </w:rPr>
              <w:t>Възможност за заменяемост</w:t>
            </w:r>
          </w:p>
        </w:tc>
      </w:tr>
      <w:tr w:rsidR="00FE5D64"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FE5D64" w:rsidRDefault="00E40776">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FE5D64" w:rsidRDefault="00E40776">
            <w:pPr>
              <w:pStyle w:val="P68B1DB1-TableParagraph14"/>
              <w:spacing w:before="108"/>
              <w:jc w:val="both"/>
              <w:rPr>
                <w:bCs/>
              </w:rPr>
            </w:pPr>
            <w:r>
              <w:t>Правни пречки за навлизане на пазара или разрастване</w:t>
            </w:r>
          </w:p>
          <w:p w14:paraId="7FE1BCE1" w14:textId="387044E0" w:rsidR="00FE5D64" w:rsidRDefault="00E40776">
            <w:pPr>
              <w:pStyle w:val="P68B1DB1-TableParagraph13"/>
              <w:spacing w:before="108"/>
              <w:jc w:val="both"/>
            </w:pPr>
            <w:r>
              <w:t xml:space="preserve">Правни пречки за конкурентите да предлагат услугата. Правните изисквания за извършване на дейността на кредитните институции (напр. банкови лицензи или капиталови изисквания) не следва да се </w:t>
            </w:r>
            <w:r w:rsidR="009436B6">
              <w:rPr>
                <w:lang w:val="bg-BG"/>
              </w:rPr>
              <w:t>разглеждат като</w:t>
            </w:r>
            <w:r>
              <w:t xml:space="preserve"> непреодолими пречки при наличието на алтернативни доставчици. Този показател трябва да се отчита в групи, които са еднакви за всяка подфункция: </w:t>
            </w:r>
          </w:p>
          <w:p w14:paraId="7FE1BCE2" w14:textId="67FD7AF2" w:rsidR="00FE5D64" w:rsidRDefault="00E40776">
            <w:pPr>
              <w:pStyle w:val="P68B1DB1-ListParagraph39"/>
              <w:numPr>
                <w:ilvl w:val="0"/>
                <w:numId w:val="275"/>
              </w:numPr>
              <w:jc w:val="both"/>
            </w:pPr>
            <w:r>
              <w:t xml:space="preserve">няма големи пречки, </w:t>
            </w:r>
          </w:p>
          <w:p w14:paraId="7FE1BCE3" w14:textId="60326F53" w:rsidR="00FE5D64" w:rsidRDefault="009436B6">
            <w:pPr>
              <w:pStyle w:val="P68B1DB1-ListParagraph39"/>
              <w:numPr>
                <w:ilvl w:val="0"/>
                <w:numId w:val="275"/>
              </w:numPr>
              <w:jc w:val="both"/>
            </w:pPr>
            <w:r>
              <w:rPr>
                <w:lang w:val="bg-BG"/>
              </w:rPr>
              <w:t xml:space="preserve">съществуват </w:t>
            </w:r>
            <w:r w:rsidR="00E40776">
              <w:t xml:space="preserve">някои пречки, </w:t>
            </w:r>
          </w:p>
          <w:p w14:paraId="7FE1BCE4" w14:textId="4DB46C93" w:rsidR="00FE5D64" w:rsidRDefault="00E40776">
            <w:pPr>
              <w:pStyle w:val="P68B1DB1-ListParagraph39"/>
              <w:numPr>
                <w:ilvl w:val="0"/>
                <w:numId w:val="275"/>
              </w:numPr>
              <w:jc w:val="both"/>
            </w:pPr>
            <w:r>
              <w:t xml:space="preserve">значителни (но преодолими) </w:t>
            </w:r>
            <w:r w:rsidR="009436B6">
              <w:rPr>
                <w:lang w:val="bg-BG"/>
              </w:rPr>
              <w:t>пречки</w:t>
            </w:r>
            <w:r>
              <w:t xml:space="preserve">, </w:t>
            </w:r>
          </w:p>
          <w:p w14:paraId="7FE1BCE6" w14:textId="1DB61AEC" w:rsidR="00FE5D64" w:rsidRDefault="00E40776">
            <w:pPr>
              <w:pStyle w:val="P68B1DB1-ListParagraph8"/>
              <w:numPr>
                <w:ilvl w:val="0"/>
                <w:numId w:val="275"/>
              </w:numPr>
              <w:jc w:val="both"/>
            </w:pPr>
            <w:r>
              <w:t xml:space="preserve">критични (трудни за преодоляване) </w:t>
            </w:r>
            <w:r w:rsidR="009436B6">
              <w:rPr>
                <w:lang w:val="bg-BG"/>
              </w:rPr>
              <w:t>пречки</w:t>
            </w:r>
            <w:r>
              <w:t>.</w:t>
            </w:r>
          </w:p>
        </w:tc>
      </w:tr>
      <w:tr w:rsidR="00FE5D64"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FE5D64" w:rsidRDefault="00E40776">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4A2375F1" w:rsidR="00FE5D64" w:rsidRPr="009436B6" w:rsidRDefault="009436B6">
            <w:pPr>
              <w:pStyle w:val="P68B1DB1-TableParagraph14"/>
              <w:spacing w:before="108"/>
              <w:jc w:val="both"/>
              <w:rPr>
                <w:bCs/>
                <w:lang w:val="bg-BG"/>
              </w:rPr>
            </w:pPr>
            <w:r>
              <w:rPr>
                <w:lang w:val="bg-BG"/>
              </w:rPr>
              <w:t>Оперативни</w:t>
            </w:r>
            <w:r>
              <w:t xml:space="preserve"> </w:t>
            </w:r>
            <w:r w:rsidR="00E40776">
              <w:t>изисквания за навлизане</w:t>
            </w:r>
            <w:r>
              <w:rPr>
                <w:lang w:val="bg-BG"/>
              </w:rPr>
              <w:t xml:space="preserve"> на пазара</w:t>
            </w:r>
            <w:r w:rsidR="00E40776">
              <w:t xml:space="preserve"> или </w:t>
            </w:r>
            <w:r>
              <w:rPr>
                <w:lang w:val="bg-BG"/>
              </w:rPr>
              <w:t>разрастван</w:t>
            </w:r>
            <w:r w:rsidR="00987FDA">
              <w:rPr>
                <w:lang w:val="bg-BG"/>
              </w:rPr>
              <w:t>е</w:t>
            </w:r>
          </w:p>
          <w:p w14:paraId="7FE1BCEB" w14:textId="7111CB9D" w:rsidR="00FE5D64" w:rsidRDefault="00E40776">
            <w:pPr>
              <w:pStyle w:val="P68B1DB1-TableParagraph13"/>
              <w:spacing w:before="108"/>
              <w:jc w:val="both"/>
            </w:pPr>
            <w:r>
              <w:t xml:space="preserve">Организационни, технически и инфраструктурни изисквания за конкурентите да предлагат услугата. Предлагането на услуги, свързани с (под) функцията, изисква доставчиците да инвестират в (нова или допълнителна) инфраструктура или да </w:t>
            </w:r>
            <w:r w:rsidR="0012498E">
              <w:rPr>
                <w:lang w:val="bg-BG"/>
              </w:rPr>
              <w:t>направят промени в</w:t>
            </w:r>
            <w:r w:rsidR="0012498E">
              <w:t xml:space="preserve"> </w:t>
            </w:r>
            <w:r>
              <w:t>своите организации. Оценява</w:t>
            </w:r>
            <w:r w:rsidR="0012498E">
              <w:rPr>
                <w:lang w:val="bg-BG"/>
              </w:rPr>
              <w:t xml:space="preserve"> се</w:t>
            </w:r>
            <w:r>
              <w:t xml:space="preserve"> способността на пазара да поеме дадена дейност, например по отношение на капиталовите изисквания. </w:t>
            </w:r>
          </w:p>
          <w:p w14:paraId="7FE1BCEC" w14:textId="77777777" w:rsidR="00FE5D64" w:rsidRDefault="00E40776">
            <w:pPr>
              <w:pStyle w:val="P68B1DB1-TableParagraph13"/>
              <w:spacing w:before="108"/>
              <w:jc w:val="both"/>
            </w:pPr>
            <w:r>
              <w:t xml:space="preserve">Този показател трябва да се отчита в групи, които са еднакви за всяка подфункция: </w:t>
            </w:r>
          </w:p>
          <w:p w14:paraId="7FE1BCED" w14:textId="5283E021" w:rsidR="00FE5D64" w:rsidRDefault="00E40776">
            <w:pPr>
              <w:pStyle w:val="P68B1DB1-ListParagraph39"/>
              <w:numPr>
                <w:ilvl w:val="0"/>
                <w:numId w:val="278"/>
              </w:numPr>
              <w:jc w:val="both"/>
            </w:pPr>
            <w:r>
              <w:t xml:space="preserve">няма съществени изисквания, </w:t>
            </w:r>
          </w:p>
          <w:p w14:paraId="7FE1BCEE" w14:textId="26E21F23" w:rsidR="00FE5D64" w:rsidRDefault="0012498E">
            <w:pPr>
              <w:pStyle w:val="P68B1DB1-ListParagraph39"/>
              <w:numPr>
                <w:ilvl w:val="0"/>
                <w:numId w:val="278"/>
              </w:numPr>
              <w:jc w:val="both"/>
            </w:pPr>
            <w:r>
              <w:rPr>
                <w:lang w:val="bg-BG"/>
              </w:rPr>
              <w:t xml:space="preserve">съществуват </w:t>
            </w:r>
            <w:r w:rsidR="00E40776">
              <w:t xml:space="preserve">някои изисквания, </w:t>
            </w:r>
          </w:p>
          <w:p w14:paraId="7FE1BCEF" w14:textId="52BD4915" w:rsidR="00FE5D64" w:rsidRDefault="00E40776">
            <w:pPr>
              <w:pStyle w:val="P68B1DB1-ListParagraph39"/>
              <w:numPr>
                <w:ilvl w:val="0"/>
                <w:numId w:val="278"/>
              </w:numPr>
              <w:jc w:val="both"/>
            </w:pPr>
            <w:r>
              <w:t xml:space="preserve">съществени (но преодолими) изисквания, </w:t>
            </w:r>
          </w:p>
          <w:p w14:paraId="7FE1BCF0" w14:textId="42A99EFE" w:rsidR="00FE5D64" w:rsidRDefault="00E40776">
            <w:pPr>
              <w:pStyle w:val="P68B1DB1-ListParagraph39"/>
              <w:numPr>
                <w:ilvl w:val="0"/>
                <w:numId w:val="278"/>
              </w:numPr>
              <w:jc w:val="both"/>
            </w:pPr>
            <w:r>
              <w:t xml:space="preserve">критични (трудни за </w:t>
            </w:r>
            <w:r w:rsidR="0012498E">
              <w:rPr>
                <w:lang w:val="bg-BG"/>
              </w:rPr>
              <w:t>преодоляване</w:t>
            </w:r>
            <w:r>
              <w:t>) изисквания.</w:t>
            </w:r>
          </w:p>
          <w:p w14:paraId="7FE1BCF1" w14:textId="77777777" w:rsidR="00FE5D64" w:rsidRDefault="00FE5D64">
            <w:pPr>
              <w:pStyle w:val="TableParagraph"/>
              <w:spacing w:before="108"/>
              <w:jc w:val="both"/>
              <w:rPr>
                <w:rFonts w:ascii="Times New Roman" w:hAnsi="Times New Roman" w:cs="Times New Roman"/>
                <w:color w:val="000000" w:themeColor="text1"/>
                <w:sz w:val="20"/>
                <w:szCs w:val="20"/>
              </w:rPr>
            </w:pPr>
          </w:p>
        </w:tc>
      </w:tr>
      <w:tr w:rsidR="00FE5D64"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FE5D64" w:rsidRDefault="00E40776">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FE5D64" w:rsidRDefault="00E40776">
            <w:pPr>
              <w:pStyle w:val="P68B1DB1-TableParagraph14"/>
              <w:spacing w:before="108"/>
              <w:jc w:val="both"/>
              <w:rPr>
                <w:bCs/>
              </w:rPr>
            </w:pPr>
            <w:r>
              <w:t>Оценка на критичността</w:t>
            </w:r>
          </w:p>
        </w:tc>
      </w:tr>
      <w:tr w:rsidR="00FE5D64"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FE5D64" w:rsidRDefault="00E40776">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FE5D64" w:rsidRDefault="00E40776">
            <w:pPr>
              <w:pStyle w:val="P68B1DB1-TableParagraph14"/>
              <w:spacing w:before="108"/>
              <w:jc w:val="both"/>
              <w:rPr>
                <w:bCs/>
              </w:rPr>
            </w:pPr>
            <w:r>
              <w:t xml:space="preserve">Въздействие върху пазара </w:t>
            </w:r>
          </w:p>
          <w:p w14:paraId="7FE1BCF8" w14:textId="0045537D" w:rsidR="00FE5D64" w:rsidRDefault="00E40776">
            <w:pPr>
              <w:pStyle w:val="P68B1DB1-TableParagraph13"/>
              <w:spacing w:before="108"/>
              <w:jc w:val="both"/>
            </w:pPr>
            <w:r>
              <w:t xml:space="preserve">Очакваното въздействие </w:t>
            </w:r>
            <w:r w:rsidR="0012498E">
              <w:rPr>
                <w:lang w:val="bg-BG"/>
              </w:rPr>
              <w:t>от</w:t>
            </w:r>
            <w:r w:rsidR="0012498E">
              <w:t xml:space="preserve"> </w:t>
            </w:r>
            <w:r>
              <w:t>внезапно прекъсване на функцията върху трети страни, финансовите пазари и реалната икономика, като се вземат предвид размерът, пазарният дял в дадената държава, външните и вътрешните взаимовръзки, сложността и трансграничната дейност на институцията.</w:t>
            </w:r>
          </w:p>
          <w:p w14:paraId="7FE1BCF9" w14:textId="12CE5945" w:rsidR="00FE5D64" w:rsidRDefault="00E40776">
            <w:pPr>
              <w:pStyle w:val="P68B1DB1-TableParagraph13"/>
              <w:spacing w:before="108"/>
              <w:jc w:val="both"/>
            </w:pPr>
            <w:r>
              <w:t>Тази оценка се изразява качествено като „висок</w:t>
            </w:r>
            <w:r w:rsidR="0012498E">
              <w:rPr>
                <w:lang w:val="bg-BG"/>
              </w:rPr>
              <w:t>о“</w:t>
            </w:r>
            <w:r>
              <w:t>, „средн</w:t>
            </w:r>
            <w:r w:rsidR="0012498E">
              <w:rPr>
                <w:lang w:val="bg-BG"/>
              </w:rPr>
              <w:t>овисоко“</w:t>
            </w:r>
            <w:r>
              <w:t>, „средн</w:t>
            </w:r>
            <w:r w:rsidR="0012498E">
              <w:rPr>
                <w:lang w:val="bg-BG"/>
              </w:rPr>
              <w:t>ониско“</w:t>
            </w:r>
            <w:r>
              <w:t xml:space="preserve"> или </w:t>
            </w:r>
            <w:r w:rsidR="0012498E">
              <w:rPr>
                <w:lang w:val="bg-BG"/>
              </w:rPr>
              <w:t>„</w:t>
            </w:r>
            <w:r>
              <w:t>ниск</w:t>
            </w:r>
            <w:r w:rsidR="0012498E">
              <w:rPr>
                <w:lang w:val="bg-BG"/>
              </w:rPr>
              <w:t>о“</w:t>
            </w:r>
            <w:r>
              <w:t>.</w:t>
            </w:r>
          </w:p>
          <w:p w14:paraId="7FE1BCFA" w14:textId="5F3EB9D0" w:rsidR="00FE5D64" w:rsidRDefault="00E40776">
            <w:pPr>
              <w:pStyle w:val="P68B1DB1-TableParagraph13"/>
              <w:spacing w:before="108"/>
              <w:jc w:val="both"/>
            </w:pPr>
            <w:r>
              <w:t>„Висок</w:t>
            </w:r>
            <w:r w:rsidR="0012498E">
              <w:rPr>
                <w:lang w:val="bg-BG"/>
              </w:rPr>
              <w:t>о</w:t>
            </w:r>
            <w:r>
              <w:t>“ се избира, ако прекъсването би оказало силно въздействие върху националния пазар; „</w:t>
            </w:r>
            <w:r w:rsidR="0012498E">
              <w:rPr>
                <w:lang w:val="bg-BG"/>
              </w:rPr>
              <w:t>с</w:t>
            </w:r>
            <w:r>
              <w:t>редно</w:t>
            </w:r>
            <w:r w:rsidR="0012498E">
              <w:rPr>
                <w:lang w:val="bg-BG"/>
              </w:rPr>
              <w:t>в</w:t>
            </w:r>
            <w:r>
              <w:t>исоко“ — ако въздействието е значително; „</w:t>
            </w:r>
            <w:r w:rsidR="0012498E">
              <w:rPr>
                <w:lang w:val="bg-BG"/>
              </w:rPr>
              <w:t>среднониско</w:t>
            </w:r>
            <w:r>
              <w:t>“ — ако въздействието е съществено, но ограничено; „</w:t>
            </w:r>
            <w:r w:rsidR="0012498E">
              <w:rPr>
                <w:lang w:val="bg-BG"/>
              </w:rPr>
              <w:t>ниско</w:t>
            </w:r>
            <w:r>
              <w:t>“ — ако въздействието е слабо.</w:t>
            </w:r>
          </w:p>
        </w:tc>
      </w:tr>
      <w:tr w:rsidR="00FE5D64"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FE5D64" w:rsidRDefault="00E40776">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FE5D64" w:rsidRDefault="00E40776">
            <w:pPr>
              <w:pStyle w:val="P68B1DB1-TableParagraph14"/>
              <w:spacing w:before="108"/>
              <w:jc w:val="both"/>
              <w:rPr>
                <w:bCs/>
              </w:rPr>
            </w:pPr>
            <w:r>
              <w:t>Заменяемост</w:t>
            </w:r>
          </w:p>
          <w:p w14:paraId="7FE1BCFE" w14:textId="77777777" w:rsidR="00FE5D64" w:rsidRDefault="00E40776">
            <w:pPr>
              <w:pStyle w:val="P68B1DB1-TableParagraph13"/>
              <w:spacing w:before="108"/>
              <w:jc w:val="both"/>
            </w:pPr>
            <w:r>
              <w:t>Член 6, параграф 3 от Делегиран регламент (ЕС) 2016/778.</w:t>
            </w:r>
          </w:p>
          <w:p w14:paraId="7FE1BCFF" w14:textId="22613F6F" w:rsidR="00FE5D64" w:rsidRDefault="00E40776">
            <w:pPr>
              <w:pStyle w:val="P68B1DB1-TableParagraph13"/>
              <w:spacing w:before="108"/>
              <w:jc w:val="both"/>
            </w:pPr>
            <w:r>
              <w:t xml:space="preserve">Дадена функция се приема за заменяема, ако може да бъде заменена по приемлив начин и в </w:t>
            </w:r>
            <w:r w:rsidR="0012498E">
              <w:rPr>
                <w:lang w:val="bg-BG"/>
              </w:rPr>
              <w:t>разумен</w:t>
            </w:r>
            <w:r w:rsidR="0012498E">
              <w:t xml:space="preserve"> </w:t>
            </w:r>
            <w:r>
              <w:t xml:space="preserve">срок, </w:t>
            </w:r>
            <w:r w:rsidR="0012498E">
              <w:rPr>
                <w:lang w:val="bg-BG"/>
              </w:rPr>
              <w:t>като по този начин</w:t>
            </w:r>
            <w:r>
              <w:t xml:space="preserve"> се избегнат системни проблеми за реалната икономика и финансовите пазари. Взема се предвид следното:</w:t>
            </w:r>
          </w:p>
          <w:p w14:paraId="7FE1BD00" w14:textId="77777777" w:rsidR="00FE5D64" w:rsidRDefault="00E40776">
            <w:pPr>
              <w:pStyle w:val="P68B1DB1-TableParagraph13"/>
              <w:spacing w:before="108"/>
              <w:jc w:val="both"/>
            </w:pPr>
            <w:r>
              <w:t xml:space="preserve">(a) структурата на пазара за тази функция и наличието на алтернативни доставчици; </w:t>
            </w:r>
          </w:p>
          <w:p w14:paraId="7FE1BD01" w14:textId="07CB5221" w:rsidR="00FE5D64" w:rsidRDefault="00E40776">
            <w:pPr>
              <w:pStyle w:val="P68B1DB1-TableParagraph13"/>
              <w:spacing w:before="108"/>
              <w:jc w:val="both"/>
            </w:pPr>
            <w:r>
              <w:t>(</w:t>
            </w:r>
            <w:r w:rsidR="0012498E">
              <w:rPr>
                <w:lang w:val="bg-BG"/>
              </w:rPr>
              <w:t>б</w:t>
            </w:r>
            <w:r>
              <w:t xml:space="preserve">) възможностите на останалите доставчици по отношение на капацитета, изискванията за изпълняване на функцията и потенциалните пречки за навлизане на пазара или разрастване; </w:t>
            </w:r>
          </w:p>
          <w:p w14:paraId="7FE1BD02" w14:textId="1E1A766F" w:rsidR="00FE5D64" w:rsidRDefault="00E40776">
            <w:pPr>
              <w:pStyle w:val="P68B1DB1-TableParagraph13"/>
              <w:spacing w:before="108"/>
              <w:jc w:val="both"/>
            </w:pPr>
            <w:r>
              <w:t>(</w:t>
            </w:r>
            <w:r w:rsidR="0012498E">
              <w:rPr>
                <w:lang w:val="bg-BG"/>
              </w:rPr>
              <w:t>в</w:t>
            </w:r>
            <w:r>
              <w:t xml:space="preserve">) стимулът за други доставчици да поемат тези дейности; </w:t>
            </w:r>
          </w:p>
          <w:p w14:paraId="7FE1BD03" w14:textId="783E4DDF" w:rsidR="00FE5D64" w:rsidRDefault="00E40776">
            <w:pPr>
              <w:pStyle w:val="P68B1DB1-TableParagraph13"/>
              <w:spacing w:before="108"/>
              <w:jc w:val="both"/>
            </w:pPr>
            <w:r>
              <w:t>(</w:t>
            </w:r>
            <w:r w:rsidR="0012498E">
              <w:rPr>
                <w:lang w:val="bg-BG"/>
              </w:rPr>
              <w:t>г</w:t>
            </w:r>
            <w:r>
              <w:t>) необходимото време за преминаване на ползвателите на услугата към нов доставчик на услуги и свързаните с този преход разходи;</w:t>
            </w:r>
            <w:r w:rsidR="0012498E">
              <w:rPr>
                <w:lang w:val="bg-BG"/>
              </w:rPr>
              <w:t xml:space="preserve"> </w:t>
            </w:r>
            <w:r>
              <w:t>необходимото време за поемане на функцията от другите конкуренти и дали този срок е достатъчен, за да се предотвратят сериозни сътресения в зависимост от вида услуга.</w:t>
            </w:r>
          </w:p>
          <w:p w14:paraId="7FE1BD04" w14:textId="0090EAA8" w:rsidR="00FE5D64" w:rsidRDefault="00E40776">
            <w:pPr>
              <w:pStyle w:val="P68B1DB1-TableParagraph13"/>
              <w:spacing w:before="108"/>
              <w:jc w:val="both"/>
            </w:pPr>
            <w:r>
              <w:t>Предоставяне на цялостна оценка на очакваната степен на заменяемост за всяка функция, като се вземат предвид различните</w:t>
            </w:r>
            <w:r w:rsidR="0012498E">
              <w:rPr>
                <w:lang w:val="bg-BG"/>
              </w:rPr>
              <w:t xml:space="preserve"> аспекти,</w:t>
            </w:r>
            <w:r>
              <w:t xml:space="preserve"> оцен</w:t>
            </w:r>
            <w:r w:rsidR="0012498E">
              <w:rPr>
                <w:lang w:val="bg-BG"/>
              </w:rPr>
              <w:t>е</w:t>
            </w:r>
            <w:r>
              <w:t>ни по-рано (пазарен дял, концентрация</w:t>
            </w:r>
            <w:r w:rsidR="0012498E">
              <w:rPr>
                <w:lang w:val="bg-BG"/>
              </w:rPr>
              <w:t xml:space="preserve"> на пазара</w:t>
            </w:r>
            <w:r>
              <w:t xml:space="preserve">, време за </w:t>
            </w:r>
            <w:r w:rsidR="0012498E">
              <w:rPr>
                <w:lang w:val="bg-BG"/>
              </w:rPr>
              <w:t>заменяемост</w:t>
            </w:r>
            <w:r>
              <w:t>, правни пречки и оперативни изисквания за навлизане</w:t>
            </w:r>
            <w:r w:rsidR="0012498E">
              <w:rPr>
                <w:lang w:val="bg-BG"/>
              </w:rPr>
              <w:t xml:space="preserve"> на пазара</w:t>
            </w:r>
            <w:r>
              <w:t xml:space="preserve"> или </w:t>
            </w:r>
            <w:r w:rsidR="0012498E">
              <w:rPr>
                <w:lang w:val="bg-BG"/>
              </w:rPr>
              <w:t>разрастване</w:t>
            </w:r>
            <w:r>
              <w:t>). Тази оценка се изразява качествено като „висока</w:t>
            </w:r>
            <w:r w:rsidR="0012498E">
              <w:rPr>
                <w:lang w:val="bg-BG"/>
              </w:rPr>
              <w:t>“</w:t>
            </w:r>
            <w:r>
              <w:t>, „средн</w:t>
            </w:r>
            <w:r w:rsidR="0012498E">
              <w:rPr>
                <w:lang w:val="bg-BG"/>
              </w:rPr>
              <w:t>овисока“</w:t>
            </w:r>
            <w:r>
              <w:t>, „средн</w:t>
            </w:r>
            <w:r w:rsidR="0012498E">
              <w:rPr>
                <w:lang w:val="bg-BG"/>
              </w:rPr>
              <w:t xml:space="preserve">ониска“ </w:t>
            </w:r>
            <w:r>
              <w:t xml:space="preserve">или </w:t>
            </w:r>
            <w:r w:rsidR="0012498E">
              <w:rPr>
                <w:lang w:val="bg-BG"/>
              </w:rPr>
              <w:t>„</w:t>
            </w:r>
            <w:r>
              <w:t>ниска</w:t>
            </w:r>
            <w:r w:rsidR="0012498E">
              <w:rPr>
                <w:lang w:val="bg-BG"/>
              </w:rPr>
              <w:t>“</w:t>
            </w:r>
            <w:r>
              <w:t xml:space="preserve">. </w:t>
            </w:r>
          </w:p>
          <w:p w14:paraId="7FE1BD05" w14:textId="1A731500" w:rsidR="00FE5D64" w:rsidRDefault="00E40776">
            <w:pPr>
              <w:pStyle w:val="P68B1DB1-TableParagraph13"/>
              <w:spacing w:before="108"/>
              <w:jc w:val="both"/>
            </w:pPr>
            <w:r>
              <w:t>„Висок</w:t>
            </w:r>
            <w:r w:rsidR="00F22C3F">
              <w:rPr>
                <w:lang w:val="bg-BG"/>
              </w:rPr>
              <w:t>а</w:t>
            </w:r>
            <w:r>
              <w:t xml:space="preserve">“ се избира, ако една функция може лесно да </w:t>
            </w:r>
            <w:r w:rsidR="00F22C3F">
              <w:rPr>
                <w:lang w:val="bg-BG"/>
              </w:rPr>
              <w:t>бъде поета</w:t>
            </w:r>
            <w:r>
              <w:t xml:space="preserve"> от друга банка при </w:t>
            </w:r>
            <w:r w:rsidR="00F22C3F">
              <w:rPr>
                <w:lang w:val="bg-BG"/>
              </w:rPr>
              <w:t>съпоставими</w:t>
            </w:r>
            <w:r w:rsidR="00F22C3F">
              <w:t xml:space="preserve"> </w:t>
            </w:r>
            <w:r>
              <w:t>условия и в разумен срок;</w:t>
            </w:r>
          </w:p>
          <w:p w14:paraId="7FE1BD06" w14:textId="4BF95453" w:rsidR="00FE5D64" w:rsidRDefault="00E40776">
            <w:pPr>
              <w:pStyle w:val="P68B1DB1-TableParagraph13"/>
              <w:spacing w:before="108"/>
              <w:jc w:val="both"/>
            </w:pPr>
            <w:r>
              <w:t>„</w:t>
            </w:r>
            <w:r w:rsidR="00F22C3F">
              <w:t>Ни</w:t>
            </w:r>
            <w:r w:rsidR="00F22C3F">
              <w:rPr>
                <w:lang w:val="bg-BG"/>
              </w:rPr>
              <w:t>ска</w:t>
            </w:r>
            <w:r>
              <w:t xml:space="preserve">“ ако една функция не може лесно или бързо да бъде заменена; </w:t>
            </w:r>
          </w:p>
          <w:p w14:paraId="7FE1BD07" w14:textId="21583C37" w:rsidR="00FE5D64" w:rsidRDefault="00E40776">
            <w:pPr>
              <w:pStyle w:val="P68B1DB1-TableParagraph13"/>
              <w:spacing w:before="108"/>
              <w:jc w:val="both"/>
            </w:pPr>
            <w:r>
              <w:t>„</w:t>
            </w:r>
            <w:r w:rsidR="00F22C3F">
              <w:rPr>
                <w:lang w:val="bg-BG"/>
              </w:rPr>
              <w:t xml:space="preserve">Средновисока“ </w:t>
            </w:r>
            <w:r>
              <w:t>и „</w:t>
            </w:r>
            <w:r w:rsidR="00F22C3F">
              <w:rPr>
                <w:lang w:val="bg-BG"/>
              </w:rPr>
              <w:t>среднониска</w:t>
            </w:r>
            <w:r>
              <w:t xml:space="preserve">“ — за междинните случаи, </w:t>
            </w:r>
            <w:r w:rsidR="00F22C3F">
              <w:rPr>
                <w:lang w:val="bg-BG"/>
              </w:rPr>
              <w:t xml:space="preserve">като се вземат </w:t>
            </w:r>
            <w:r>
              <w:t xml:space="preserve">предвид различните </w:t>
            </w:r>
            <w:r w:rsidR="00F22C3F">
              <w:rPr>
                <w:lang w:val="bg-BG"/>
              </w:rPr>
              <w:t>аспекти</w:t>
            </w:r>
            <w:r w:rsidR="00F22C3F">
              <w:t xml:space="preserve"> </w:t>
            </w:r>
            <w:r>
              <w:t xml:space="preserve">(например пазарен дял, концентрация на пазара, време за </w:t>
            </w:r>
            <w:r w:rsidR="00F22C3F">
              <w:rPr>
                <w:lang w:val="bg-BG"/>
              </w:rPr>
              <w:t>заменяемост</w:t>
            </w:r>
            <w:r>
              <w:t>, както и правните пречки и оперативните изисквания за навлизане на пазара или разрастване).</w:t>
            </w:r>
          </w:p>
        </w:tc>
      </w:tr>
      <w:tr w:rsidR="00FE5D64"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FE5D64" w:rsidRDefault="00E40776">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FE5D64" w:rsidRDefault="00E40776">
            <w:pPr>
              <w:pStyle w:val="P68B1DB1-TableParagraph14"/>
              <w:spacing w:before="108"/>
              <w:jc w:val="both"/>
              <w:rPr>
                <w:bCs/>
              </w:rPr>
            </w:pPr>
            <w:r>
              <w:t>Критична функция</w:t>
            </w:r>
          </w:p>
          <w:p w14:paraId="7FE1BD0B" w14:textId="259CD176" w:rsidR="00FE5D64" w:rsidRDefault="00E40776">
            <w:pPr>
              <w:pStyle w:val="P68B1DB1-TableParagraph13"/>
              <w:spacing w:before="108"/>
              <w:jc w:val="both"/>
            </w:pPr>
            <w:r>
              <w:t xml:space="preserve">В тази колона се посочва дали икономическата функция се </w:t>
            </w:r>
            <w:r w:rsidR="00F22C3F">
              <w:rPr>
                <w:lang w:val="bg-BG"/>
              </w:rPr>
              <w:t>смята</w:t>
            </w:r>
            <w:r w:rsidR="00F22C3F">
              <w:t xml:space="preserve"> </w:t>
            </w:r>
            <w:r>
              <w:t xml:space="preserve">за критична на пазара на съответната държава, като се вземат под внимание извършените от институцията анализи за въздействие и </w:t>
            </w:r>
            <w:r w:rsidR="00F22C3F">
              <w:rPr>
                <w:lang w:val="bg-BG"/>
              </w:rPr>
              <w:t>заменяемост</w:t>
            </w:r>
            <w:r>
              <w:t>.</w:t>
            </w:r>
          </w:p>
          <w:p w14:paraId="7FE1BD0C" w14:textId="0C1C59C3" w:rsidR="00FE5D64" w:rsidRDefault="00E40776">
            <w:pPr>
              <w:pStyle w:val="P68B1DB1-TableParagraph13"/>
              <w:spacing w:before="108"/>
              <w:jc w:val="both"/>
            </w:pPr>
            <w:r>
              <w:t>Посочва се „Да</w:t>
            </w:r>
            <w:r w:rsidR="00F22C3F">
              <w:rPr>
                <w:lang w:val="bg-BG"/>
              </w:rPr>
              <w:t xml:space="preserve">“ </w:t>
            </w:r>
            <w:r>
              <w:t>или „Не“.</w:t>
            </w:r>
          </w:p>
        </w:tc>
      </w:tr>
      <w:tr w:rsidR="00FE5D64"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FE5D64" w:rsidRDefault="00E40776">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FE5D64" w:rsidRDefault="00E40776">
            <w:pPr>
              <w:pStyle w:val="P68B1DB1-TableParagraph14"/>
              <w:spacing w:before="108"/>
              <w:jc w:val="both"/>
              <w:rPr>
                <w:bCs/>
              </w:rPr>
            </w:pPr>
            <w:r>
              <w:t>Коментари на групата</w:t>
            </w:r>
          </w:p>
          <w:p w14:paraId="7FE1BD10" w14:textId="36AC42AA" w:rsidR="00FE5D64" w:rsidRDefault="00E40776">
            <w:pPr>
              <w:pStyle w:val="P68B1DB1-TableParagraph13"/>
              <w:spacing w:before="108"/>
              <w:jc w:val="both"/>
            </w:pPr>
            <w:r>
              <w:t xml:space="preserve">Това поле дава възможност на </w:t>
            </w:r>
            <w:r w:rsidR="00F22C3F">
              <w:rPr>
                <w:lang w:val="bg-BG"/>
              </w:rPr>
              <w:t>отчитащия се</w:t>
            </w:r>
            <w:r w:rsidR="00F22C3F">
              <w:t xml:space="preserve"> </w:t>
            </w:r>
            <w:r>
              <w:t>субект да обясни всички допускания, използвани при оценката на критичността на докладваната (ите) функция (и).</w:t>
            </w:r>
          </w:p>
        </w:tc>
      </w:tr>
    </w:tbl>
    <w:p w14:paraId="7FE1BD12" w14:textId="77777777" w:rsidR="00FE5D64" w:rsidRDefault="00FE5D64">
      <w:pPr>
        <w:rPr>
          <w:rFonts w:ascii="Times New Roman" w:hAnsi="Times New Roman" w:cs="Times New Roman"/>
          <w:color w:val="000000" w:themeColor="text1"/>
          <w:sz w:val="20"/>
          <w:szCs w:val="20"/>
        </w:rPr>
      </w:pPr>
    </w:p>
    <w:p w14:paraId="7FE1BD13" w14:textId="77777777" w:rsidR="00FE5D64" w:rsidRDefault="00FE5D64">
      <w:pPr>
        <w:rPr>
          <w:rFonts w:ascii="Times New Roman" w:hAnsi="Times New Roman" w:cs="Times New Roman"/>
          <w:color w:val="000000" w:themeColor="text1"/>
          <w:sz w:val="20"/>
          <w:szCs w:val="20"/>
        </w:rPr>
      </w:pPr>
    </w:p>
    <w:p w14:paraId="7FE1BD14" w14:textId="168C612B" w:rsidR="00FE5D64" w:rsidRDefault="00E40776">
      <w:pPr>
        <w:pStyle w:val="P68B1DB1-Instructionsberschrift25"/>
      </w:pPr>
      <w:bookmarkStart w:id="132" w:name="_Toc208244467"/>
      <w:r>
        <w:t>II.13</w:t>
      </w:r>
      <w:r>
        <w:tab/>
        <w:t>Z 07.01.5 FUNC 1 WF</w:t>
      </w:r>
      <w:bookmarkEnd w:id="132"/>
    </w:p>
    <w:p w14:paraId="7FE1BD1C" w14:textId="77777777" w:rsidR="00FE5D64" w:rsidRDefault="00FE5D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E5D64"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FE5D64" w:rsidRDefault="00E40776">
            <w:pPr>
              <w:pStyle w:val="P68B1DB1-TableParagraph17"/>
              <w:spacing w:before="108"/>
              <w:ind w:left="85"/>
              <w:jc w:val="both"/>
            </w:pPr>
            <w:r>
              <w:t>Колони</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FE5D64" w:rsidRDefault="00E40776">
            <w:pPr>
              <w:pStyle w:val="P68B1DB1-TableParagraph17"/>
              <w:spacing w:before="108"/>
              <w:ind w:left="85" w:right="1"/>
              <w:jc w:val="both"/>
            </w:pPr>
            <w:r>
              <w:t>Указания</w:t>
            </w:r>
          </w:p>
        </w:tc>
      </w:tr>
      <w:tr w:rsidR="00FE5D64"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FE5D64" w:rsidRDefault="00E40776">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FE5D64" w:rsidRDefault="00E40776">
            <w:pPr>
              <w:pStyle w:val="P68B1DB1-TableParagraph14"/>
              <w:spacing w:before="108"/>
              <w:ind w:left="85"/>
              <w:jc w:val="both"/>
              <w:rPr>
                <w:bCs/>
              </w:rPr>
            </w:pPr>
            <w:r>
              <w:t>Описание на икономическата функция</w:t>
            </w:r>
          </w:p>
          <w:p w14:paraId="7FE1BD22" w14:textId="09864FC6" w:rsidR="00FE5D64" w:rsidRDefault="00E40776">
            <w:pPr>
              <w:pStyle w:val="P68B1DB1-TableParagraph17"/>
              <w:spacing w:before="108"/>
              <w:ind w:left="85"/>
            </w:pPr>
            <w:r>
              <w:t xml:space="preserve">Когато икономическата функция е от вида „Други“ (Z 07.01.5 FUNC 1 WF </w:t>
            </w:r>
            <w:r w:rsidR="00280D42">
              <w:rPr>
                <w:lang w:val="bg-BG"/>
              </w:rPr>
              <w:t xml:space="preserve">редове от </w:t>
            </w:r>
            <w:r>
              <w:t xml:space="preserve">r0360 </w:t>
            </w:r>
            <w:r w:rsidR="00280D42">
              <w:rPr>
                <w:lang w:val="bg-BG"/>
              </w:rPr>
              <w:t>до</w:t>
            </w:r>
            <w:r>
              <w:t xml:space="preserve"> r0380), се предоставя описание на тази функция. </w:t>
            </w:r>
          </w:p>
        </w:tc>
      </w:tr>
      <w:tr w:rsidR="00FE5D64"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FE5D64" w:rsidRDefault="00E40776">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FE5D64" w:rsidRDefault="00E40776">
            <w:pPr>
              <w:pStyle w:val="P68B1DB1-TableParagraph14"/>
              <w:spacing w:before="108"/>
              <w:ind w:left="85"/>
              <w:jc w:val="both"/>
              <w:rPr>
                <w:bCs/>
              </w:rPr>
            </w:pPr>
            <w:r>
              <w:t xml:space="preserve">Пазарен дял </w:t>
            </w:r>
          </w:p>
          <w:p w14:paraId="7FE1BD26" w14:textId="470CCD5A" w:rsidR="00FE5D64" w:rsidRDefault="00E40776">
            <w:pPr>
              <w:pStyle w:val="P68B1DB1-TableParagraph17"/>
              <w:spacing w:before="108"/>
              <w:ind w:left="85"/>
            </w:pPr>
            <w:r>
              <w:t>Приблизителна оценка на пазарния дял на институцията или групата за икономическата функция в съответната държава или географска област. Процент от общия пазар по отношение на брутната балансова стойност.</w:t>
            </w:r>
          </w:p>
        </w:tc>
      </w:tr>
      <w:tr w:rsidR="00FE5D64"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FE5D64" w:rsidRDefault="00E40776">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FE5D64" w:rsidRDefault="00E40776">
            <w:pPr>
              <w:pStyle w:val="P68B1DB1-Normal42"/>
              <w:rPr>
                <w:bCs/>
              </w:rPr>
            </w:pPr>
            <w:r>
              <w:t>Брутна балансова стойност</w:t>
            </w:r>
          </w:p>
          <w:p w14:paraId="7FE1BD2A" w14:textId="57B26DD5" w:rsidR="00FE5D64" w:rsidRDefault="00280D42">
            <w:pPr>
              <w:pStyle w:val="P68B1DB1-TableParagraph17"/>
              <w:spacing w:before="108"/>
            </w:pPr>
            <w:r>
              <w:rPr>
                <w:lang w:val="bg-BG"/>
              </w:rPr>
              <w:t>И</w:t>
            </w:r>
            <w:r w:rsidR="00E40776">
              <w:t>зползва</w:t>
            </w:r>
            <w:r>
              <w:rPr>
                <w:lang w:val="bg-BG"/>
              </w:rPr>
              <w:t xml:space="preserve"> се</w:t>
            </w:r>
            <w:r w:rsidR="00E40776">
              <w:t xml:space="preserve"> брутна</w:t>
            </w:r>
            <w:r>
              <w:rPr>
                <w:lang w:val="bg-BG"/>
              </w:rPr>
              <w:t>та</w:t>
            </w:r>
            <w:r w:rsidR="00E40776">
              <w:t xml:space="preserve"> балансова стойност съгласно определението във FINREP. </w:t>
            </w:r>
          </w:p>
          <w:p w14:paraId="7FE1BD2B" w14:textId="732C5D78" w:rsidR="00FE5D64" w:rsidRDefault="00280D42">
            <w:pPr>
              <w:pStyle w:val="P68B1DB1-TableParagraph17"/>
              <w:spacing w:before="108"/>
            </w:pPr>
            <w:r>
              <w:rPr>
                <w:lang w:val="bg-BG"/>
              </w:rPr>
              <w:t>Референции</w:t>
            </w:r>
            <w:r w:rsidR="00E40776">
              <w:t xml:space="preserve">: </w:t>
            </w:r>
            <w:r>
              <w:rPr>
                <w:lang w:val="en-US"/>
              </w:rPr>
              <w:t>F</w:t>
            </w:r>
            <w:r w:rsidR="00E40776">
              <w:t xml:space="preserve">INREP: Приложение V, част 1, параграф 34, FINREP: Приложения III и IV, образци: </w:t>
            </w:r>
          </w:p>
          <w:p w14:paraId="7FE1BD2C" w14:textId="080AA8C7" w:rsidR="00FE5D64" w:rsidRDefault="00E40776">
            <w:pPr>
              <w:pStyle w:val="P68B1DB1-TableParagraph17"/>
              <w:spacing w:before="108"/>
            </w:pPr>
            <w:r>
              <w:t>— Получени заеми (5.1): Образец F 20.06, колона 010, редове 100+110, всички държави.</w:t>
            </w:r>
          </w:p>
          <w:p w14:paraId="7FE1BD2D" w14:textId="1BF9883A" w:rsidR="00FE5D64" w:rsidRDefault="00E40776">
            <w:pPr>
              <w:pStyle w:val="P68B1DB1-TableParagraph17"/>
              <w:spacing w:before="108"/>
            </w:pPr>
            <w:r>
              <w:t>— Деривати (актив) (5.2): Образец F 20.04, колона 010, ред 010, всички държави.</w:t>
            </w:r>
          </w:p>
          <w:p w14:paraId="7FE1BD2E" w14:textId="490FB1A4" w:rsidR="00FE5D64" w:rsidRDefault="00E40776">
            <w:pPr>
              <w:pStyle w:val="P68B1DB1-TableParagraph17"/>
              <w:spacing w:before="108"/>
            </w:pPr>
            <w:r>
              <w:t xml:space="preserve">— </w:t>
            </w:r>
            <w:r w:rsidR="00A12186">
              <w:rPr>
                <w:lang w:val="bg-BG"/>
              </w:rPr>
              <w:t>Кредитиране</w:t>
            </w:r>
            <w:r>
              <w:t xml:space="preserve"> (5.3): Образец F 20.04, колона 010, редове 170+180, всички държави. </w:t>
            </w:r>
          </w:p>
          <w:p w14:paraId="7FE1BD30" w14:textId="7A1EB971" w:rsidR="00FE5D64" w:rsidRDefault="00E40776">
            <w:pPr>
              <w:pStyle w:val="P68B1DB1-TableParagraph17"/>
              <w:spacing w:before="108"/>
            </w:pPr>
            <w:r>
              <w:t>— Деривати (пасив) (5.4): Образец F 20.06, колона 010, ред 010, всички държави.</w:t>
            </w:r>
          </w:p>
        </w:tc>
      </w:tr>
      <w:tr w:rsidR="00FE5D64"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FE5D64" w:rsidRDefault="00E40776">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FE5D64" w:rsidRDefault="00E40776">
            <w:pPr>
              <w:pStyle w:val="P68B1DB1-Normal42"/>
              <w:rPr>
                <w:bCs/>
              </w:rPr>
            </w:pPr>
            <w:r>
              <w:t>Брой контрагенти</w:t>
            </w:r>
          </w:p>
          <w:p w14:paraId="7FE1BD34" w14:textId="07BD0E3A" w:rsidR="00FE5D64" w:rsidRDefault="00E40776">
            <w:pPr>
              <w:pStyle w:val="P68B1DB1-TableParagraph17"/>
              <w:spacing w:before="108"/>
            </w:pPr>
            <w:r>
              <w:t xml:space="preserve">Общ брой контрагенти. Ако един контрагент има повече от една сметка и/или повече от една </w:t>
            </w:r>
            <w:r w:rsidR="00A12186">
              <w:rPr>
                <w:lang w:val="bg-BG"/>
              </w:rPr>
              <w:t>трансакция</w:t>
            </w:r>
            <w:r>
              <w:t>, този контрагент се брои само веднъж.</w:t>
            </w:r>
          </w:p>
        </w:tc>
      </w:tr>
      <w:tr w:rsidR="00FE5D64"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FE5D64" w:rsidRDefault="00E40776">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FE5D64" w:rsidRDefault="00E40776">
            <w:pPr>
              <w:pStyle w:val="P68B1DB1-TableParagraph14"/>
              <w:spacing w:before="108"/>
              <w:jc w:val="both"/>
              <w:rPr>
                <w:bCs/>
              </w:rPr>
            </w:pPr>
            <w:r>
              <w:t>(Обратни) репо споразумения</w:t>
            </w:r>
          </w:p>
          <w:p w14:paraId="7FE1BD3B" w14:textId="2B385E80" w:rsidR="00FE5D64" w:rsidRDefault="00A12186">
            <w:pPr>
              <w:pStyle w:val="P68B1DB1-TableParagraph13"/>
              <w:spacing w:before="108"/>
              <w:jc w:val="both"/>
            </w:pPr>
            <w:r>
              <w:rPr>
                <w:lang w:val="bg-BG"/>
              </w:rPr>
              <w:t>Отчитат</w:t>
            </w:r>
            <w:r>
              <w:t xml:space="preserve"> </w:t>
            </w:r>
            <w:r w:rsidR="00E40776">
              <w:t>се за споразумения за обратно изкупуване</w:t>
            </w:r>
            <w:r>
              <w:rPr>
                <w:lang w:val="bg-BG"/>
              </w:rPr>
              <w:t>, сключени с финансови контрагенти на пазара</w:t>
            </w:r>
            <w:r w:rsidR="00E40776">
              <w:t xml:space="preserve"> на едро. Репо</w:t>
            </w:r>
            <w:r>
              <w:rPr>
                <w:lang w:val="bg-BG"/>
              </w:rPr>
              <w:t xml:space="preserve"> </w:t>
            </w:r>
            <w:r w:rsidR="00E40776">
              <w:t>споразумения означава парични средства, получени в замяна на ценни книжа, продадени на определена цена съгласно</w:t>
            </w:r>
            <w:r>
              <w:rPr>
                <w:lang w:val="bg-BG"/>
              </w:rPr>
              <w:t xml:space="preserve"> </w:t>
            </w:r>
            <w:r w:rsidR="00E40776">
              <w:t xml:space="preserve">твърд ангажимент за обратно изкупуване на същите (или подобни) ценни книжа </w:t>
            </w:r>
            <w:r>
              <w:rPr>
                <w:lang w:val="bg-BG"/>
              </w:rPr>
              <w:t>по</w:t>
            </w:r>
            <w:r>
              <w:t xml:space="preserve"> </w:t>
            </w:r>
            <w:r w:rsidR="00E40776">
              <w:t xml:space="preserve">фиксирана цена </w:t>
            </w:r>
            <w:r>
              <w:rPr>
                <w:lang w:val="bg-BG"/>
              </w:rPr>
              <w:t xml:space="preserve">на </w:t>
            </w:r>
            <w:r w:rsidR="00E40776">
              <w:t xml:space="preserve">определена бъдеща дата. </w:t>
            </w:r>
          </w:p>
          <w:p w14:paraId="7FE1BD3D" w14:textId="17C59268" w:rsidR="00FE5D64" w:rsidRDefault="00A12186">
            <w:pPr>
              <w:pStyle w:val="P68B1DB1-TableParagraph13"/>
              <w:spacing w:before="108"/>
              <w:jc w:val="both"/>
            </w:pPr>
            <w:r>
              <w:rPr>
                <w:lang w:val="bg-BG"/>
              </w:rPr>
              <w:t>Отчитат се</w:t>
            </w:r>
            <w:r>
              <w:t xml:space="preserve"> </w:t>
            </w:r>
            <w:r w:rsidR="00E40776">
              <w:t xml:space="preserve">обратни репо </w:t>
            </w:r>
            <w:r>
              <w:rPr>
                <w:lang w:val="bg-BG"/>
              </w:rPr>
              <w:t xml:space="preserve">споразумения, сключени с финансови контрагенти на пазара </w:t>
            </w:r>
            <w:r w:rsidR="00E40776">
              <w:t xml:space="preserve">на едро. Обратни репо </w:t>
            </w:r>
            <w:r>
              <w:rPr>
                <w:lang w:val="bg-BG"/>
              </w:rPr>
              <w:t>споразумения</w:t>
            </w:r>
            <w:r>
              <w:t xml:space="preserve"> </w:t>
            </w:r>
            <w:r w:rsidR="00E40776">
              <w:t>означава финансиране, предоставено в замяна на закупени ценни книжа</w:t>
            </w:r>
            <w:r w:rsidR="003E5FC6">
              <w:rPr>
                <w:lang w:val="bg-BG"/>
              </w:rPr>
              <w:t xml:space="preserve"> </w:t>
            </w:r>
            <w:r w:rsidR="00E40776">
              <w:t>по споразумения за обратно изкупуване или взети назаем по споразумения за заемане на ценни книжа.</w:t>
            </w:r>
          </w:p>
          <w:p w14:paraId="7FE1BD40" w14:textId="152779CC" w:rsidR="00FE5D64" w:rsidRDefault="003E5FC6">
            <w:pPr>
              <w:pStyle w:val="P68B1DB1-TableParagraph13"/>
              <w:spacing w:before="108"/>
              <w:jc w:val="both"/>
            </w:pPr>
            <w:r>
              <w:rPr>
                <w:lang w:val="bg-BG"/>
              </w:rPr>
              <w:t>Препратка</w:t>
            </w:r>
            <w:r w:rsidR="00E40776">
              <w:t>: Регламент (2015/2365) относно прозрачността при</w:t>
            </w:r>
            <w:r>
              <w:rPr>
                <w:lang w:val="bg-BG"/>
              </w:rPr>
              <w:t xml:space="preserve"> сделките за</w:t>
            </w:r>
            <w:r w:rsidR="00E40776">
              <w:t xml:space="preserve"> финансиране с ценни книжа</w:t>
            </w:r>
            <w:r>
              <w:rPr>
                <w:lang w:val="bg-BG"/>
              </w:rPr>
              <w:t xml:space="preserve"> </w:t>
            </w:r>
            <w:r w:rsidR="00E40776">
              <w:t xml:space="preserve">и </w:t>
            </w:r>
            <w:r>
              <w:rPr>
                <w:lang w:val="bg-BG"/>
              </w:rPr>
              <w:t xml:space="preserve">при </w:t>
            </w:r>
            <w:r w:rsidR="00E40776">
              <w:t>повторно използване</w:t>
            </w:r>
            <w:r>
              <w:rPr>
                <w:lang w:val="bg-BG"/>
              </w:rPr>
              <w:t>:</w:t>
            </w:r>
            <w:r w:rsidR="00E40776">
              <w:t xml:space="preserve"> чл. 3 (9); </w:t>
            </w:r>
            <w:r>
              <w:rPr>
                <w:lang w:val="en-US"/>
              </w:rPr>
              <w:t>F</w:t>
            </w:r>
            <w:r w:rsidR="00E40776">
              <w:t>INREP:</w:t>
            </w:r>
            <w:r>
              <w:rPr>
                <w:lang w:val="bg-BG"/>
              </w:rPr>
              <w:t xml:space="preserve"> Приложение </w:t>
            </w:r>
            <w:r>
              <w:rPr>
                <w:lang w:val="en-US"/>
              </w:rPr>
              <w:t>V</w:t>
            </w:r>
            <w:r>
              <w:rPr>
                <w:lang w:val="bg-BG"/>
              </w:rPr>
              <w:t>,</w:t>
            </w:r>
            <w:r w:rsidR="00E40776">
              <w:t xml:space="preserve"> </w:t>
            </w:r>
            <w:r>
              <w:rPr>
                <w:lang w:val="bg-BG"/>
              </w:rPr>
              <w:t>ч</w:t>
            </w:r>
            <w:r w:rsidR="00E40776">
              <w:t xml:space="preserve">аст 2, </w:t>
            </w:r>
            <w:r>
              <w:rPr>
                <w:lang w:val="bg-BG"/>
              </w:rPr>
              <w:t>г</w:t>
            </w:r>
            <w:r w:rsidR="00E40776">
              <w:t>лава 5, параграф 85, буква д)</w:t>
            </w:r>
            <w:r>
              <w:rPr>
                <w:lang w:val="bg-BG"/>
              </w:rPr>
              <w:t xml:space="preserve"> </w:t>
            </w:r>
            <w:r w:rsidR="00E40776">
              <w:t xml:space="preserve">и </w:t>
            </w:r>
            <w:r>
              <w:rPr>
                <w:lang w:val="bg-BG"/>
              </w:rPr>
              <w:t>глава</w:t>
            </w:r>
            <w:r w:rsidR="00E40776">
              <w:t> 14,</w:t>
            </w:r>
            <w:r>
              <w:rPr>
                <w:lang w:val="bg-BG"/>
              </w:rPr>
              <w:t xml:space="preserve"> параграф </w:t>
            </w:r>
            <w:r w:rsidR="00E40776">
              <w:t xml:space="preserve">183; </w:t>
            </w:r>
            <w:r>
              <w:rPr>
                <w:lang w:val="en-US"/>
              </w:rPr>
              <w:t xml:space="preserve">FINREP </w:t>
            </w:r>
            <w:r w:rsidR="00E40776">
              <w:t>Приложение III:</w:t>
            </w:r>
          </w:p>
          <w:p w14:paraId="7FE1BD41" w14:textId="26783C9C" w:rsidR="00FE5D64" w:rsidRDefault="00E40776">
            <w:pPr>
              <w:pStyle w:val="P68B1DB1-TableParagraph13"/>
              <w:numPr>
                <w:ilvl w:val="0"/>
                <w:numId w:val="153"/>
              </w:numPr>
              <w:spacing w:before="108"/>
              <w:jc w:val="both"/>
            </w:pPr>
            <w:r>
              <w:t>Споразумения за обратно изкупуване (репо</w:t>
            </w:r>
            <w:r w:rsidR="00DD7044">
              <w:rPr>
                <w:lang w:val="bg-BG"/>
              </w:rPr>
              <w:t xml:space="preserve"> споразумения</w:t>
            </w:r>
            <w:r>
              <w:t>) Таблица 08.01, колони 010 + 020 + 030, редове 200 + 250.</w:t>
            </w:r>
          </w:p>
          <w:p w14:paraId="7FE1BD42" w14:textId="77777777" w:rsidR="00FE5D64" w:rsidRDefault="00E40776">
            <w:pPr>
              <w:pStyle w:val="P68B1DB1-TableParagraph13"/>
              <w:numPr>
                <w:ilvl w:val="0"/>
                <w:numId w:val="153"/>
              </w:numPr>
              <w:spacing w:before="108"/>
              <w:jc w:val="both"/>
            </w:pPr>
            <w:r>
              <w:t>Споразумения за обратно репо: Таблица 05.00, колони 030 и 040, ред 050.</w:t>
            </w:r>
          </w:p>
        </w:tc>
      </w:tr>
      <w:tr w:rsidR="00FE5D64"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FE5D64" w:rsidRDefault="00E40776">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FE5D64" w:rsidRDefault="00E40776">
            <w:pPr>
              <w:pStyle w:val="P68B1DB1-TableParagraph14"/>
              <w:spacing w:before="108"/>
              <w:jc w:val="both"/>
              <w:rPr>
                <w:bCs/>
              </w:rPr>
            </w:pPr>
            <w:r>
              <w:t>Трансгранична стойност</w:t>
            </w:r>
          </w:p>
          <w:p w14:paraId="7FE1BD46" w14:textId="6DB9FAAB" w:rsidR="00FE5D64" w:rsidRDefault="00F263A3">
            <w:pPr>
              <w:pStyle w:val="P68B1DB1-TableParagraph13"/>
              <w:spacing w:before="108"/>
              <w:jc w:val="both"/>
            </w:pPr>
            <w:r>
              <w:rPr>
                <w:lang w:val="bg-BG"/>
              </w:rPr>
              <w:t>Отчитат се</w:t>
            </w:r>
            <w:r>
              <w:t xml:space="preserve"> </w:t>
            </w:r>
            <w:r w:rsidR="00E40776">
              <w:t>брутните балансови стойности на всички държави, с изключение на държавата по произход или съответната държава.</w:t>
            </w:r>
          </w:p>
        </w:tc>
      </w:tr>
      <w:tr w:rsidR="00FE5D64"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FE5D64" w:rsidRDefault="00E40776">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12D275B3" w:rsidR="00FE5D64" w:rsidRDefault="00E40776">
            <w:pPr>
              <w:pStyle w:val="P68B1DB1-Normal42"/>
              <w:rPr>
                <w:bCs/>
              </w:rPr>
            </w:pPr>
            <w:r>
              <w:t xml:space="preserve">Стойност </w:t>
            </w:r>
            <w:r w:rsidR="00F263A3">
              <w:rPr>
                <w:lang w:val="bg-BG"/>
              </w:rPr>
              <w:t>към</w:t>
            </w:r>
            <w:r w:rsidR="00F263A3">
              <w:t xml:space="preserve"> </w:t>
            </w:r>
            <w:r w:rsidR="00F263A3">
              <w:rPr>
                <w:lang w:val="bg-BG"/>
              </w:rPr>
              <w:t>контрагенти -</w:t>
            </w:r>
            <w:r w:rsidR="00F263A3">
              <w:t xml:space="preserve"> </w:t>
            </w:r>
            <w:r>
              <w:t>кредитни институции</w:t>
            </w:r>
          </w:p>
          <w:p w14:paraId="7FE1BD4B" w14:textId="1048E511" w:rsidR="00FE5D64" w:rsidRDefault="00E40776">
            <w:pPr>
              <w:pStyle w:val="P68B1DB1-TableParagraph13"/>
              <w:spacing w:before="108"/>
              <w:jc w:val="both"/>
            </w:pPr>
            <w:r>
              <w:t xml:space="preserve">Брутна балансова стойност </w:t>
            </w:r>
            <w:r w:rsidR="00F263A3">
              <w:rPr>
                <w:lang w:val="bg-BG"/>
              </w:rPr>
              <w:t>към контрагенти -</w:t>
            </w:r>
            <w:r w:rsidR="00F263A3">
              <w:t xml:space="preserve"> </w:t>
            </w:r>
            <w:r>
              <w:t xml:space="preserve">кредитни институции. </w:t>
            </w:r>
            <w:r w:rsidR="00653AB3">
              <w:rPr>
                <w:lang w:val="bg-BG"/>
              </w:rPr>
              <w:t>Дефиницията</w:t>
            </w:r>
            <w:r w:rsidR="00653AB3">
              <w:t xml:space="preserve"> </w:t>
            </w:r>
            <w:r>
              <w:t>на сектора в съответствие с</w:t>
            </w:r>
            <w:r w:rsidR="00653AB3">
              <w:rPr>
                <w:lang w:val="bg-BG"/>
              </w:rPr>
              <w:t xml:space="preserve"> </w:t>
            </w:r>
            <w:r>
              <w:t>FINREP (</w:t>
            </w:r>
            <w:r w:rsidR="00653AB3">
              <w:rPr>
                <w:lang w:val="bg-BG"/>
              </w:rPr>
              <w:t>П</w:t>
            </w:r>
            <w:r>
              <w:t xml:space="preserve">риложение V). </w:t>
            </w:r>
          </w:p>
          <w:p w14:paraId="7FE1BD4C" w14:textId="578882A2" w:rsidR="00FE5D64" w:rsidRDefault="00653AB3">
            <w:pPr>
              <w:pStyle w:val="P68B1DB1-TableParagraph13"/>
              <w:spacing w:before="108"/>
              <w:jc w:val="both"/>
            </w:pPr>
            <w:r>
              <w:rPr>
                <w:lang w:val="bg-BG"/>
              </w:rPr>
              <w:t>Препратка</w:t>
            </w:r>
            <w:r w:rsidR="00E40776">
              <w:t xml:space="preserve">: </w:t>
            </w:r>
            <w:r>
              <w:rPr>
                <w:lang w:val="en-US"/>
              </w:rPr>
              <w:t>F</w:t>
            </w:r>
            <w:r w:rsidR="00E40776">
              <w:t>INREP: Приложение III:</w:t>
            </w:r>
          </w:p>
          <w:p w14:paraId="7FE1BD4D" w14:textId="2B08694E" w:rsidR="00FE5D64" w:rsidRDefault="00653AB3">
            <w:pPr>
              <w:pStyle w:val="P68B1DB1-TableParagraph13"/>
              <w:numPr>
                <w:ilvl w:val="0"/>
                <w:numId w:val="153"/>
              </w:numPr>
              <w:spacing w:before="108"/>
              <w:jc w:val="both"/>
            </w:pPr>
            <w:r>
              <w:rPr>
                <w:lang w:val="bg-BG"/>
              </w:rPr>
              <w:t>Получени заеми</w:t>
            </w:r>
            <w:r w:rsidR="00E40776">
              <w:t>: Таблица 20.06, колона 010, ред 100, всички държави.</w:t>
            </w:r>
          </w:p>
          <w:p w14:paraId="7FE1BD4E" w14:textId="7CBC90C0" w:rsidR="00FE5D64" w:rsidRDefault="00E40776">
            <w:pPr>
              <w:pStyle w:val="P68B1DB1-TableParagraph13"/>
              <w:numPr>
                <w:ilvl w:val="0"/>
                <w:numId w:val="153"/>
              </w:numPr>
              <w:spacing w:before="108"/>
              <w:jc w:val="both"/>
            </w:pPr>
            <w:r>
              <w:t>Деривати (актив): Таблица 20.04, колона 010, ред 020, всички държави.</w:t>
            </w:r>
          </w:p>
          <w:p w14:paraId="7FE1BD4F" w14:textId="77777777" w:rsidR="00FE5D64" w:rsidRDefault="00E40776">
            <w:pPr>
              <w:pStyle w:val="P68B1DB1-TableParagraph13"/>
              <w:numPr>
                <w:ilvl w:val="0"/>
                <w:numId w:val="153"/>
              </w:numPr>
              <w:spacing w:before="108"/>
              <w:jc w:val="both"/>
            </w:pPr>
            <w:r>
              <w:t>Кредитиране: Таблица 20.04, колона 010, ред 170, всички държави.</w:t>
            </w:r>
          </w:p>
          <w:p w14:paraId="7FE1BD50" w14:textId="43356099" w:rsidR="00FE5D64" w:rsidRDefault="00E40776">
            <w:pPr>
              <w:pStyle w:val="P68B1DB1-TableParagraph13"/>
              <w:numPr>
                <w:ilvl w:val="0"/>
                <w:numId w:val="153"/>
              </w:numPr>
              <w:spacing w:before="108"/>
              <w:jc w:val="both"/>
            </w:pPr>
            <w:r>
              <w:t>Деривати</w:t>
            </w:r>
            <w:r w:rsidR="00653AB3">
              <w:rPr>
                <w:lang w:val="bg-BG"/>
              </w:rPr>
              <w:t xml:space="preserve"> (</w:t>
            </w:r>
            <w:r>
              <w:t>пасив</w:t>
            </w:r>
            <w:r w:rsidR="00653AB3">
              <w:rPr>
                <w:lang w:val="bg-BG"/>
              </w:rPr>
              <w:t>)</w:t>
            </w:r>
            <w:r>
              <w:t>: Таблица 20.06, колона 010, ред 020, всички държави.</w:t>
            </w:r>
          </w:p>
        </w:tc>
      </w:tr>
      <w:tr w:rsidR="00FE5D64"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FE5D64" w:rsidRDefault="00E40776">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FE5D64" w:rsidRDefault="00E40776">
            <w:pPr>
              <w:pStyle w:val="P68B1DB1-Normal42"/>
              <w:rPr>
                <w:bCs/>
              </w:rPr>
            </w:pPr>
            <w:r>
              <w:t>Анализи на въздействието и заменяемостта</w:t>
            </w:r>
          </w:p>
          <w:p w14:paraId="7FE1BD54" w14:textId="71C79D27" w:rsidR="00FE5D64" w:rsidRDefault="00E40776">
            <w:pPr>
              <w:pStyle w:val="P68B1DB1-Normal43"/>
            </w:pPr>
            <w:r>
              <w:t xml:space="preserve">Критериите за оценка на въздействието върху трети страни включват следните елементи в съответствие с </w:t>
            </w:r>
            <w:r w:rsidR="00573C1C">
              <w:rPr>
                <w:lang w:val="bg-BG"/>
              </w:rPr>
              <w:t>Д</w:t>
            </w:r>
            <w:r w:rsidR="00573C1C">
              <w:t xml:space="preserve">елегиран </w:t>
            </w:r>
            <w:r>
              <w:t>регламент (ЕС) 2016/778 на Комисията относно критичните функции:</w:t>
            </w:r>
          </w:p>
          <w:p w14:paraId="7FE1BD55" w14:textId="11E4DDA1" w:rsidR="00FE5D64" w:rsidRDefault="00E40776">
            <w:pPr>
              <w:pStyle w:val="P68B1DB1-ListParagraph38"/>
              <w:numPr>
                <w:ilvl w:val="0"/>
                <w:numId w:val="131"/>
              </w:numPr>
              <w:spacing w:line="276" w:lineRule="auto"/>
            </w:pPr>
            <w:r>
              <w:t>естеството и</w:t>
            </w:r>
            <w:r w:rsidR="00573C1C">
              <w:rPr>
                <w:lang w:val="bg-BG"/>
              </w:rPr>
              <w:t xml:space="preserve"> обхватът на дейността,</w:t>
            </w:r>
            <w:r>
              <w:t xml:space="preserve"> глобалния, националния или регионалния обхват на дейността, както и обема и броя на трансакциите; броя на клиентите и контрагентите; броя на клиентите, за които институцията е единственият или основ</w:t>
            </w:r>
            <w:r w:rsidR="00573C1C">
              <w:rPr>
                <w:lang w:val="bg-BG"/>
              </w:rPr>
              <w:t>е</w:t>
            </w:r>
            <w:r>
              <w:t>н банков партньор;</w:t>
            </w:r>
          </w:p>
          <w:p w14:paraId="7FE1BD56" w14:textId="77777777" w:rsidR="00FE5D64" w:rsidRDefault="00E40776">
            <w:pPr>
              <w:pStyle w:val="P68B1DB1-ListParagraph38"/>
              <w:numPr>
                <w:ilvl w:val="0"/>
                <w:numId w:val="131"/>
              </w:numPr>
              <w:spacing w:line="276" w:lineRule="auto"/>
            </w:pPr>
            <w:r>
              <w:t>значението на институцията 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D57" w14:textId="77777777" w:rsidR="00FE5D64" w:rsidRDefault="00E40776">
            <w:pPr>
              <w:pStyle w:val="P68B1DB1-ListParagraph38"/>
              <w:numPr>
                <w:ilvl w:val="0"/>
                <w:numId w:val="131"/>
              </w:numPr>
              <w:spacing w:line="276" w:lineRule="auto"/>
            </w:pPr>
            <w:r>
              <w:t xml:space="preserve">естеството на клиентите и заинтересованите страни, обхванати от функцията — например, но не само, индивидуални клиенти, корпоративни клиенти, междубанкови клиенти, централни клирингови къщи и публични субекти; </w:t>
            </w:r>
          </w:p>
          <w:p w14:paraId="7FE1BD58" w14:textId="141711BA" w:rsidR="00FE5D64" w:rsidRDefault="00E40776">
            <w:pPr>
              <w:pStyle w:val="P68B1DB1-ListParagraph38"/>
              <w:numPr>
                <w:ilvl w:val="0"/>
                <w:numId w:val="131"/>
              </w:numPr>
              <w:spacing w:line="276" w:lineRule="auto"/>
            </w:pPr>
            <w:r>
              <w:t xml:space="preserve">потенциалното сътресение на функционирането на пазарите, инфраструктурите, клиентите и публичните услуги. По-конкретно, оценката може да обхване въздействието върху ликвидността на съответните пазари, въздействието и обхвата на сътресенията </w:t>
            </w:r>
            <w:r w:rsidR="00573C1C">
              <w:rPr>
                <w:lang w:val="bg-BG"/>
              </w:rPr>
              <w:t>по отношение на бизнеса на</w:t>
            </w:r>
            <w:r>
              <w:t xml:space="preserve"> клиентите, както и </w:t>
            </w:r>
            <w:r w:rsidR="00573C1C">
              <w:rPr>
                <w:lang w:val="bg-BG"/>
              </w:rPr>
              <w:t xml:space="preserve">по отношение на </w:t>
            </w:r>
            <w:r>
              <w:t>краткосрочните потребности от ликвидност; осезаемостта за контрагентите, клиентите и обществеността; капацитета и бързината на реакция на клиентите; значението за функционирането на други пазари; въздействието върху ликвидността, операциите, структурата на друг пазар; въздействието върху други контрагенти, свързани с основните клиенти, и взаимовръзките на функцията с други услуги.</w:t>
            </w:r>
          </w:p>
          <w:p w14:paraId="7FE1BD59" w14:textId="77777777" w:rsidR="00FE5D64" w:rsidRDefault="00FE5D64">
            <w:pPr>
              <w:rPr>
                <w:rFonts w:ascii="Times New Roman" w:eastAsiaTheme="minorHAnsi" w:hAnsi="Times New Roman" w:cs="Times New Roman"/>
                <w:color w:val="000000" w:themeColor="text1"/>
                <w:sz w:val="20"/>
                <w:szCs w:val="20"/>
              </w:rPr>
            </w:pPr>
          </w:p>
        </w:tc>
      </w:tr>
      <w:tr w:rsidR="00FE5D64"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FE5D64" w:rsidRDefault="00E40776">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540FD4CD" w:rsidR="00FE5D64" w:rsidRPr="00573C1C" w:rsidRDefault="00573C1C">
            <w:pPr>
              <w:pStyle w:val="P68B1DB1-Normal42"/>
              <w:rPr>
                <w:bCs/>
                <w:lang w:val="bg-BG"/>
              </w:rPr>
            </w:pPr>
            <w:r>
              <w:rPr>
                <w:lang w:val="bg-BG"/>
              </w:rPr>
              <w:t>Същност и обхват</w:t>
            </w:r>
          </w:p>
          <w:p w14:paraId="7FE1BD5D" w14:textId="7E639A34" w:rsidR="00FE5D64" w:rsidRDefault="00E40776">
            <w:pPr>
              <w:pStyle w:val="P68B1DB1-Normal43"/>
            </w:pPr>
            <w:r>
              <w:t>Глобалния</w:t>
            </w:r>
            <w:r w:rsidR="00573C1C">
              <w:rPr>
                <w:lang w:val="bg-BG"/>
              </w:rPr>
              <w:t>т</w:t>
            </w:r>
            <w:r>
              <w:t>, националния</w:t>
            </w:r>
            <w:r w:rsidR="00573C1C">
              <w:rPr>
                <w:lang w:val="bg-BG"/>
              </w:rPr>
              <w:t>т</w:t>
            </w:r>
            <w:r>
              <w:t xml:space="preserve"> или регионалния</w:t>
            </w:r>
            <w:r w:rsidR="00573C1C">
              <w:rPr>
                <w:lang w:val="bg-BG"/>
              </w:rPr>
              <w:t>т</w:t>
            </w:r>
            <w:r>
              <w:t xml:space="preserve"> обхват, обем и брой на сделките; броя</w:t>
            </w:r>
            <w:r w:rsidR="00573C1C">
              <w:rPr>
                <w:lang w:val="bg-BG"/>
              </w:rPr>
              <w:t>т</w:t>
            </w:r>
            <w:r>
              <w:t xml:space="preserve"> на клиентите и контрагентите; броя</w:t>
            </w:r>
            <w:r w:rsidR="00E463AC">
              <w:rPr>
                <w:lang w:val="bg-BG"/>
              </w:rPr>
              <w:t>т</w:t>
            </w:r>
            <w:r>
              <w:t xml:space="preserve"> на клиентите, за които институцията е единственият или основ</w:t>
            </w:r>
            <w:r w:rsidR="00E463AC">
              <w:rPr>
                <w:lang w:val="bg-BG"/>
              </w:rPr>
              <w:t>е</w:t>
            </w:r>
            <w:r>
              <w:t>н банков партньор;</w:t>
            </w:r>
          </w:p>
        </w:tc>
      </w:tr>
      <w:tr w:rsidR="00FE5D64"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FE5D64" w:rsidRDefault="00E40776">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FE5D64" w:rsidRDefault="00E40776">
            <w:pPr>
              <w:pStyle w:val="P68B1DB1-Normal42"/>
              <w:rPr>
                <w:bCs/>
              </w:rPr>
            </w:pPr>
            <w:r>
              <w:t>Показател за размера 1</w:t>
            </w:r>
          </w:p>
          <w:p w14:paraId="611DAB08" w14:textId="557B72F0" w:rsidR="00FE5D64" w:rsidRDefault="00E463AC">
            <w:pPr>
              <w:pStyle w:val="P68B1DB1-Normal31"/>
              <w:spacing w:line="276" w:lineRule="auto"/>
              <w:jc w:val="both"/>
            </w:pPr>
            <w:r>
              <w:rPr>
                <w:lang w:val="bg-BG"/>
              </w:rPr>
              <w:t xml:space="preserve">Оценява се </w:t>
            </w:r>
            <w:r w:rsidR="00E40776">
              <w:t xml:space="preserve">колко </w:t>
            </w:r>
            <w:r>
              <w:rPr>
                <w:lang w:val="bg-BG"/>
              </w:rPr>
              <w:t>значима</w:t>
            </w:r>
            <w:r>
              <w:t xml:space="preserve"> </w:t>
            </w:r>
            <w:r w:rsidR="00E40776">
              <w:t xml:space="preserve">е банката за тези дейности. Тази оценка </w:t>
            </w:r>
            <w:r>
              <w:rPr>
                <w:lang w:val="bg-BG"/>
              </w:rPr>
              <w:t>с</w:t>
            </w:r>
            <w:r w:rsidR="00E40776">
              <w:t xml:space="preserve">е </w:t>
            </w:r>
            <w:r>
              <w:rPr>
                <w:lang w:val="bg-BG"/>
              </w:rPr>
              <w:t>изразява</w:t>
            </w:r>
            <w:r>
              <w:t xml:space="preserve"> </w:t>
            </w:r>
            <w:r w:rsidR="00E40776">
              <w:t>качествено като „висока</w:t>
            </w:r>
            <w:r>
              <w:rPr>
                <w:lang w:val="bg-BG"/>
              </w:rPr>
              <w:t>“</w:t>
            </w:r>
            <w:r w:rsidR="00E40776">
              <w:t>, „средн</w:t>
            </w:r>
            <w:r>
              <w:rPr>
                <w:lang w:val="bg-BG"/>
              </w:rPr>
              <w:t>овисока“</w:t>
            </w:r>
            <w:r w:rsidR="00E40776">
              <w:t>, „средн</w:t>
            </w:r>
            <w:r>
              <w:rPr>
                <w:lang w:val="bg-BG"/>
              </w:rPr>
              <w:t>ониска“</w:t>
            </w:r>
            <w:r w:rsidR="00E40776">
              <w:t xml:space="preserve"> или „ниска“. </w:t>
            </w:r>
            <w:r>
              <w:rPr>
                <w:lang w:val="bg-BG"/>
              </w:rPr>
              <w:t xml:space="preserve">Посочва </w:t>
            </w:r>
            <w:r w:rsidR="00E40776">
              <w:t>се „висок</w:t>
            </w:r>
            <w:r>
              <w:rPr>
                <w:lang w:val="bg-BG"/>
              </w:rPr>
              <w:t>а“</w:t>
            </w:r>
            <w:r w:rsidR="00E40776">
              <w:t xml:space="preserve">, ако размерът на функцията е </w:t>
            </w:r>
            <w:r>
              <w:rPr>
                <w:lang w:val="bg-BG"/>
              </w:rPr>
              <w:t>значим</w:t>
            </w:r>
            <w:r w:rsidR="00E40776">
              <w:t>, „</w:t>
            </w:r>
            <w:r>
              <w:rPr>
                <w:lang w:val="bg-BG"/>
              </w:rPr>
              <w:t>с</w:t>
            </w:r>
            <w:r w:rsidR="00E40776">
              <w:t>редновисок</w:t>
            </w:r>
            <w:r>
              <w:rPr>
                <w:lang w:val="bg-BG"/>
              </w:rPr>
              <w:t>а“</w:t>
            </w:r>
            <w:r w:rsidR="00E40776">
              <w:t>, ако е среден, „</w:t>
            </w:r>
            <w:r>
              <w:rPr>
                <w:lang w:val="bg-BG"/>
              </w:rPr>
              <w:t>с</w:t>
            </w:r>
            <w:r w:rsidR="00E40776">
              <w:t>реднониск</w:t>
            </w:r>
            <w:r>
              <w:rPr>
                <w:lang w:val="bg-BG"/>
              </w:rPr>
              <w:t>а“</w:t>
            </w:r>
            <w:r w:rsidR="00E40776">
              <w:t>, ако е малък, и „ниск</w:t>
            </w:r>
            <w:r>
              <w:rPr>
                <w:lang w:val="bg-BG"/>
              </w:rPr>
              <w:t>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Pr>
                <w:lang w:val="bg-BG"/>
              </w:rPr>
              <w:t>кредитиране</w:t>
            </w:r>
            <w:r w:rsidR="00E40776">
              <w:t xml:space="preserve">, </w:t>
            </w:r>
            <w:r>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D61" w14:textId="0497CCAC" w:rsidR="00FE5D64" w:rsidRDefault="00E40776">
            <w:pPr>
              <w:pStyle w:val="P68B1DB1-Normal43"/>
            </w:pPr>
            <w:r>
              <w:t xml:space="preserve"> </w:t>
            </w:r>
          </w:p>
          <w:p w14:paraId="7FE1BD62" w14:textId="7CC2EBE5" w:rsidR="00FE5D64" w:rsidRDefault="00E40776">
            <w:pPr>
              <w:pStyle w:val="P68B1DB1-ListParagraph32"/>
              <w:numPr>
                <w:ilvl w:val="0"/>
                <w:numId w:val="125"/>
              </w:numPr>
              <w:spacing w:line="276" w:lineRule="auto"/>
            </w:pPr>
            <w:r>
              <w:t xml:space="preserve">Експертна преценка </w:t>
            </w:r>
            <w:r w:rsidR="00E463AC">
              <w:rPr>
                <w:lang w:val="bg-BG"/>
              </w:rPr>
              <w:t>за</w:t>
            </w:r>
            <w:r w:rsidR="00E463AC">
              <w:t xml:space="preserve"> </w:t>
            </w:r>
            <w:r>
              <w:t xml:space="preserve">размера на </w:t>
            </w:r>
            <w:r>
              <w:rPr>
                <w:b/>
              </w:rPr>
              <w:t>стойността</w:t>
            </w:r>
            <w:r>
              <w:t xml:space="preserve"> на брутната балансова стойност на </w:t>
            </w:r>
            <w:r w:rsidR="00E463AC">
              <w:rPr>
                <w:lang w:val="bg-BG"/>
              </w:rPr>
              <w:t>отчитащата се</w:t>
            </w:r>
            <w:r w:rsidR="00E463AC">
              <w:t xml:space="preserve"> </w:t>
            </w:r>
            <w:r>
              <w:t xml:space="preserve">институция (c0030) от </w:t>
            </w:r>
            <w:r>
              <w:rPr>
                <w:b/>
              </w:rPr>
              <w:t>глобална</w:t>
            </w:r>
            <w:r>
              <w:t xml:space="preserve"> гледна точка [</w:t>
            </w:r>
            <w:r w:rsidR="00E463AC">
              <w:rPr>
                <w:i/>
                <w:lang w:val="bg-BG"/>
              </w:rPr>
              <w:t>едно ниво</w:t>
            </w:r>
            <w:r>
              <w:rPr>
                <w:i/>
              </w:rPr>
              <w:t xml:space="preserve"> по-високо от съответния пазар. Ако съответният пазар е глобален, тогава размер 1 става излишен и не е необходимо да се </w:t>
            </w:r>
            <w:r w:rsidR="00E463AC">
              <w:rPr>
                <w:i/>
                <w:lang w:val="bg-BG"/>
              </w:rPr>
              <w:t>отчита</w:t>
            </w:r>
            <w:r>
              <w:rPr>
                <w:i/>
              </w:rPr>
              <w:t>]</w:t>
            </w:r>
            <w:r>
              <w:t>:</w:t>
            </w:r>
          </w:p>
          <w:p w14:paraId="7FE1BD63" w14:textId="11365183" w:rsidR="00FE5D64" w:rsidRDefault="00E40776">
            <w:pPr>
              <w:pStyle w:val="P68B1DB1-ListParagraph32"/>
              <w:numPr>
                <w:ilvl w:val="1"/>
                <w:numId w:val="125"/>
              </w:numPr>
              <w:spacing w:line="276" w:lineRule="auto"/>
            </w:pPr>
            <w:r>
              <w:t>В глобален план колко е според Вас брутната балансова стойност на отчитащ</w:t>
            </w:r>
            <w:r w:rsidR="00E463AC">
              <w:rPr>
                <w:lang w:val="bg-BG"/>
              </w:rPr>
              <w:t>ия</w:t>
            </w:r>
            <w:r>
              <w:t xml:space="preserve"> се </w:t>
            </w:r>
            <w:r w:rsidR="00E463AC">
              <w:rPr>
                <w:lang w:val="bg-BG"/>
              </w:rPr>
              <w:t>субект</w:t>
            </w:r>
            <w:r>
              <w:t>?</w:t>
            </w:r>
          </w:p>
          <w:p w14:paraId="7FE1BD64" w14:textId="77777777" w:rsidR="00FE5D64" w:rsidRDefault="00FE5D64">
            <w:pPr>
              <w:rPr>
                <w:rFonts w:ascii="Times New Roman" w:eastAsiaTheme="minorHAnsi" w:hAnsi="Times New Roman" w:cs="Times New Roman"/>
                <w:color w:val="000000" w:themeColor="text1"/>
                <w:sz w:val="20"/>
                <w:szCs w:val="20"/>
              </w:rPr>
            </w:pPr>
          </w:p>
        </w:tc>
      </w:tr>
      <w:tr w:rsidR="00FE5D64"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FE5D64" w:rsidRDefault="00E40776">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FE5D64" w:rsidRDefault="00E40776">
            <w:pPr>
              <w:pStyle w:val="P68B1DB1-Normal42"/>
              <w:rPr>
                <w:bCs/>
              </w:rPr>
            </w:pPr>
            <w:r>
              <w:t>Показател за размера 2</w:t>
            </w:r>
          </w:p>
          <w:p w14:paraId="75C87AE7" w14:textId="6BE002BB" w:rsidR="00FE5D64" w:rsidRDefault="00387BB7">
            <w:pPr>
              <w:pStyle w:val="P68B1DB1-Normal31"/>
              <w:spacing w:line="276" w:lineRule="auto"/>
              <w:jc w:val="both"/>
            </w:pPr>
            <w:r>
              <w:rPr>
                <w:lang w:val="bg-BG"/>
              </w:rPr>
              <w:t xml:space="preserve">Оценява се колко значима </w:t>
            </w:r>
            <w:r w:rsidR="00E40776">
              <w:t xml:space="preserve">е банката за тези дейности. Тази оценка </w:t>
            </w:r>
            <w:r>
              <w:rPr>
                <w:lang w:val="bg-BG"/>
              </w:rPr>
              <w:t>с</w:t>
            </w:r>
            <w:r w:rsidR="00E40776">
              <w:t xml:space="preserve">е </w:t>
            </w:r>
            <w:r>
              <w:rPr>
                <w:lang w:val="bg-BG"/>
              </w:rPr>
              <w:t>изразява</w:t>
            </w:r>
            <w:r>
              <w:t xml:space="preserve"> </w:t>
            </w:r>
            <w:r w:rsidR="00E40776">
              <w:t>качествено като „висока</w:t>
            </w:r>
            <w:r>
              <w:rPr>
                <w:lang w:val="bg-BG"/>
              </w:rPr>
              <w:t>“</w:t>
            </w:r>
            <w:r w:rsidR="00E40776">
              <w:t>, „средн</w:t>
            </w:r>
            <w:r>
              <w:rPr>
                <w:lang w:val="bg-BG"/>
              </w:rPr>
              <w:t>овисока“</w:t>
            </w:r>
            <w:r w:rsidR="00E40776">
              <w:t>, „средн</w:t>
            </w:r>
            <w:r>
              <w:rPr>
                <w:lang w:val="bg-BG"/>
              </w:rPr>
              <w:t>ониска“</w:t>
            </w:r>
            <w:r w:rsidR="00E40776">
              <w:t xml:space="preserve"> или „ниска“. </w:t>
            </w:r>
            <w:r>
              <w:rPr>
                <w:lang w:val="bg-BG"/>
              </w:rPr>
              <w:t>Посочва</w:t>
            </w:r>
            <w:r>
              <w:t xml:space="preserve"> </w:t>
            </w:r>
            <w:r w:rsidR="00E40776">
              <w:t>се „висок</w:t>
            </w:r>
            <w:r>
              <w:rPr>
                <w:lang w:val="bg-BG"/>
              </w:rPr>
              <w:t>а“</w:t>
            </w:r>
            <w:r w:rsidR="00E40776">
              <w:t xml:space="preserve">, ако размерът на функцията е </w:t>
            </w:r>
            <w:r>
              <w:rPr>
                <w:lang w:val="bg-BG"/>
              </w:rPr>
              <w:t>значим</w:t>
            </w:r>
            <w:r w:rsidR="00E40776">
              <w:t>, „</w:t>
            </w:r>
            <w:r>
              <w:rPr>
                <w:lang w:val="bg-BG"/>
              </w:rPr>
              <w:t>с</w:t>
            </w:r>
            <w:r w:rsidR="00E40776">
              <w:t>редновисок</w:t>
            </w:r>
            <w:r>
              <w:rPr>
                <w:lang w:val="bg-BG"/>
              </w:rPr>
              <w:t>а“</w:t>
            </w:r>
            <w:r w:rsidR="00E40776">
              <w:t>, ако е среден, „</w:t>
            </w:r>
            <w:r>
              <w:rPr>
                <w:lang w:val="bg-BG"/>
              </w:rPr>
              <w:t>с</w:t>
            </w:r>
            <w:r w:rsidR="00E40776">
              <w:t>реднониск</w:t>
            </w:r>
            <w:r>
              <w:rPr>
                <w:lang w:val="bg-BG"/>
              </w:rPr>
              <w:t>а“</w:t>
            </w:r>
            <w:r w:rsidR="00E40776">
              <w:t>, ако е малък, и „ниск</w:t>
            </w:r>
            <w:r>
              <w:rPr>
                <w:lang w:val="bg-BG"/>
              </w:rPr>
              <w:t>а</w:t>
            </w:r>
            <w:r w:rsidR="00E40776">
              <w:t xml:space="preserve">“, ако е незначителен. </w:t>
            </w:r>
            <w:r>
              <w:rPr>
                <w:lang w:val="bg-BG"/>
              </w:rPr>
              <w:t>Могат да</w:t>
            </w:r>
            <w:r w:rsidR="00E40776">
              <w:t xml:space="preserve"> се използват макроикономически променливи като БВП, население (за депозити, </w:t>
            </w:r>
            <w:r>
              <w:rPr>
                <w:lang w:val="bg-BG"/>
              </w:rPr>
              <w:t>кредитиране</w:t>
            </w:r>
            <w:r w:rsidR="00E40776">
              <w:t xml:space="preserve">, </w:t>
            </w:r>
            <w:r>
              <w:rPr>
                <w:lang w:val="bg-BG"/>
              </w:rPr>
              <w:t>платежни</w:t>
            </w:r>
            <w:r w:rsidR="00E40776">
              <w:t xml:space="preserve">, </w:t>
            </w:r>
            <w:r>
              <w:rPr>
                <w:lang w:val="bg-BG"/>
              </w:rPr>
              <w:t>касови</w:t>
            </w:r>
            <w:r w:rsidR="00E40776">
              <w:t xml:space="preserve">, сетълмент, клиринг и </w:t>
            </w:r>
            <w:r>
              <w:rPr>
                <w:lang w:val="bg-BG"/>
              </w:rPr>
              <w:t>попечителски услуги</w:t>
            </w:r>
            <w:r w:rsidR="00E40776">
              <w:t xml:space="preserve">) или размер на пазара (за капиталовите пазари и финансирането на едро) като референтен показател за тази качествена оценка. </w:t>
            </w:r>
          </w:p>
          <w:p w14:paraId="7FE1BD68" w14:textId="10683EF9" w:rsidR="00FE5D64" w:rsidRDefault="00E40776">
            <w:pPr>
              <w:pStyle w:val="P68B1DB1-Normal43"/>
            </w:pPr>
            <w:r>
              <w:t xml:space="preserve"> </w:t>
            </w:r>
          </w:p>
          <w:p w14:paraId="7FE1BD69" w14:textId="0BD5B52A" w:rsidR="00FE5D64" w:rsidRDefault="00E40776">
            <w:pPr>
              <w:pStyle w:val="P68B1DB1-ListParagraph32"/>
              <w:numPr>
                <w:ilvl w:val="0"/>
                <w:numId w:val="119"/>
              </w:numPr>
              <w:spacing w:line="276" w:lineRule="auto"/>
            </w:pPr>
            <w:r>
              <w:t xml:space="preserve">Експертна оценка на размера на </w:t>
            </w:r>
            <w:r>
              <w:rPr>
                <w:b/>
              </w:rPr>
              <w:t>броя</w:t>
            </w:r>
            <w:r>
              <w:t xml:space="preserve"> на контрагентите или </w:t>
            </w:r>
            <w:r w:rsidR="00387BB7">
              <w:rPr>
                <w:lang w:val="bg-BG"/>
              </w:rPr>
              <w:t>трансакциите</w:t>
            </w:r>
            <w:r w:rsidR="00387BB7">
              <w:t xml:space="preserve"> </w:t>
            </w:r>
            <w:r>
              <w:t xml:space="preserve">(c0040) от </w:t>
            </w:r>
            <w:r>
              <w:rPr>
                <w:b/>
              </w:rPr>
              <w:t>национална</w:t>
            </w:r>
            <w:r>
              <w:t xml:space="preserve"> гледна точка [</w:t>
            </w:r>
            <w:r>
              <w:rPr>
                <w:i/>
              </w:rPr>
              <w:t>на равнището на съответния пазар</w:t>
            </w:r>
            <w:r>
              <w:t>]:</w:t>
            </w:r>
          </w:p>
          <w:p w14:paraId="7FE1BD6A" w14:textId="128C0D6B" w:rsidR="00FE5D64" w:rsidRDefault="00E40776">
            <w:pPr>
              <w:pStyle w:val="P68B1DB1-ListParagraph32"/>
              <w:numPr>
                <w:ilvl w:val="1"/>
                <w:numId w:val="119"/>
              </w:numPr>
              <w:spacing w:line="276" w:lineRule="auto"/>
            </w:pPr>
            <w:r>
              <w:t xml:space="preserve">От национална гледна точка колко </w:t>
            </w:r>
            <w:r w:rsidR="00387BB7">
              <w:rPr>
                <w:lang w:val="bg-BG"/>
              </w:rPr>
              <w:t>значителен</w:t>
            </w:r>
            <w:r w:rsidR="00387BB7">
              <w:t xml:space="preserve"> </w:t>
            </w:r>
            <w:r>
              <w:t xml:space="preserve">е приблизителният брой </w:t>
            </w:r>
            <w:r w:rsidR="00387BB7">
              <w:rPr>
                <w:lang w:val="bg-BG"/>
              </w:rPr>
              <w:t xml:space="preserve">на </w:t>
            </w:r>
            <w:r>
              <w:t>контрагенти</w:t>
            </w:r>
            <w:r w:rsidR="00387BB7">
              <w:rPr>
                <w:lang w:val="bg-BG"/>
              </w:rPr>
              <w:t>те</w:t>
            </w:r>
            <w:r>
              <w:t xml:space="preserve"> на </w:t>
            </w:r>
            <w:r w:rsidR="00387BB7">
              <w:rPr>
                <w:lang w:val="bg-BG"/>
              </w:rPr>
              <w:t>отчетната</w:t>
            </w:r>
            <w:r w:rsidR="00387BB7">
              <w:t xml:space="preserve"> </w:t>
            </w:r>
            <w:r>
              <w:t>институци</w:t>
            </w:r>
            <w:r w:rsidR="00387BB7">
              <w:rPr>
                <w:lang w:val="bg-BG"/>
              </w:rPr>
              <w:t>я</w:t>
            </w:r>
            <w:r>
              <w:t>?</w:t>
            </w:r>
          </w:p>
          <w:p w14:paraId="7FE1BD6B" w14:textId="77777777" w:rsidR="00FE5D64" w:rsidRDefault="00FE5D64">
            <w:pPr>
              <w:rPr>
                <w:rFonts w:ascii="Times New Roman" w:eastAsiaTheme="minorHAnsi" w:hAnsi="Times New Roman" w:cs="Times New Roman"/>
                <w:color w:val="000000" w:themeColor="text1"/>
                <w:sz w:val="20"/>
                <w:szCs w:val="20"/>
              </w:rPr>
            </w:pPr>
          </w:p>
        </w:tc>
      </w:tr>
      <w:tr w:rsidR="00FE5D64"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FE5D64" w:rsidRDefault="00E40776">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FE5D64" w:rsidRDefault="00E40776">
            <w:pPr>
              <w:pStyle w:val="P68B1DB1-Normal42"/>
              <w:rPr>
                <w:bCs/>
              </w:rPr>
            </w:pPr>
            <w:r>
              <w:t>Трансграничен показател</w:t>
            </w:r>
          </w:p>
          <w:p w14:paraId="7FE1BD6F" w14:textId="77777777" w:rsidR="00FE5D64" w:rsidRDefault="00E40776">
            <w:pPr>
              <w:pStyle w:val="P68B1DB1-Normal43"/>
            </w:pPr>
            <w:r>
              <w:t>Оценка на относителното значение на трансграничните дейности за различните икономически функции.</w:t>
            </w:r>
          </w:p>
          <w:p w14:paraId="7FE1BD70" w14:textId="796A6845" w:rsidR="00FE5D64" w:rsidRPr="00387BB7" w:rsidRDefault="00387BB7">
            <w:pPr>
              <w:pStyle w:val="P68B1DB1-Normal43"/>
              <w:rPr>
                <w:lang w:val="bg-BG"/>
              </w:rPr>
            </w:pPr>
            <w:r>
              <w:rPr>
                <w:lang w:val="bg-BG"/>
              </w:rPr>
              <w:t>Не</w:t>
            </w:r>
            <w:r w:rsidR="00E40776">
              <w:t xml:space="preserve"> е необходимо да се </w:t>
            </w:r>
            <w:r w:rsidR="00E40776" w:rsidRPr="00387BB7">
              <w:rPr>
                <w:lang w:val="bg-BG"/>
              </w:rPr>
              <w:t>оценява в случа</w:t>
            </w:r>
            <w:r w:rsidRPr="00387BB7">
              <w:rPr>
                <w:lang w:val="bg-BG"/>
              </w:rPr>
              <w:t>ите</w:t>
            </w:r>
            <w:r w:rsidR="00E40776" w:rsidRPr="00387BB7">
              <w:rPr>
                <w:lang w:val="bg-BG"/>
              </w:rPr>
              <w:t xml:space="preserve">, </w:t>
            </w:r>
            <w:r w:rsidRPr="00387BB7">
              <w:rPr>
                <w:lang w:val="bg-BG"/>
              </w:rPr>
              <w:t>когато</w:t>
            </w:r>
            <w:r w:rsidR="00E40776" w:rsidRPr="00387BB7">
              <w:rPr>
                <w:lang w:val="bg-BG"/>
              </w:rPr>
              <w:t xml:space="preserve"> съответният пазар се </w:t>
            </w:r>
            <w:r w:rsidRPr="00387BB7">
              <w:rPr>
                <w:lang w:val="bg-BG"/>
              </w:rPr>
              <w:t xml:space="preserve">смята </w:t>
            </w:r>
            <w:r w:rsidR="00E40776" w:rsidRPr="00387BB7">
              <w:rPr>
                <w:lang w:val="bg-BG"/>
              </w:rPr>
              <w:t xml:space="preserve">за регионален. </w:t>
            </w:r>
          </w:p>
          <w:p w14:paraId="482F1D03" w14:textId="07CA1EE5" w:rsidR="00FE5D64" w:rsidRDefault="00E40776">
            <w:pPr>
              <w:pStyle w:val="P68B1DB1-ListParagraph32"/>
              <w:numPr>
                <w:ilvl w:val="0"/>
                <w:numId w:val="118"/>
              </w:numPr>
              <w:rPr>
                <w:i/>
                <w:iCs/>
              </w:rPr>
            </w:pPr>
            <w:r w:rsidRPr="00387BB7">
              <w:rPr>
                <w:lang w:val="bg-BG"/>
              </w:rPr>
              <w:t xml:space="preserve">Дял </w:t>
            </w:r>
            <w:r w:rsidR="00387BB7" w:rsidRPr="00387BB7">
              <w:rPr>
                <w:lang w:val="bg-BG"/>
              </w:rPr>
              <w:t>на</w:t>
            </w:r>
            <w:r w:rsidRPr="00387BB7">
              <w:rPr>
                <w:lang w:val="bg-BG"/>
              </w:rPr>
              <w:t xml:space="preserve"> </w:t>
            </w:r>
            <w:r w:rsidR="00387BB7" w:rsidRPr="00387BB7">
              <w:rPr>
                <w:lang w:val="bg-BG"/>
              </w:rPr>
              <w:t xml:space="preserve">трансграничната </w:t>
            </w:r>
            <w:r w:rsidRPr="00387BB7">
              <w:rPr>
                <w:lang w:val="bg-BG"/>
              </w:rPr>
              <w:t>дейност на отчитащ</w:t>
            </w:r>
            <w:r w:rsidR="00387BB7" w:rsidRPr="00387BB7">
              <w:rPr>
                <w:lang w:val="bg-BG"/>
              </w:rPr>
              <w:t>ия</w:t>
            </w:r>
            <w:r w:rsidRPr="00387BB7">
              <w:rPr>
                <w:lang w:val="bg-BG"/>
              </w:rPr>
              <w:t xml:space="preserve"> се </w:t>
            </w:r>
            <w:r w:rsidR="00387BB7" w:rsidRPr="00387BB7">
              <w:rPr>
                <w:lang w:val="bg-BG"/>
              </w:rPr>
              <w:t>субект, изразен като</w:t>
            </w:r>
            <w:r w:rsidRPr="00387BB7">
              <w:rPr>
                <w:lang w:val="bg-BG"/>
              </w:rPr>
              <w:t xml:space="preserve"> процент от общата брутна балансова</w:t>
            </w:r>
            <w:r>
              <w:t xml:space="preserve"> стойност. </w:t>
            </w:r>
            <w:r w:rsidR="00387BB7">
              <w:rPr>
                <w:lang w:val="bg-BG"/>
              </w:rPr>
              <w:t>Посочва се</w:t>
            </w:r>
            <w:r>
              <w:t>:</w:t>
            </w:r>
          </w:p>
          <w:p w14:paraId="7E6697A4" w14:textId="26891DAA" w:rsidR="00FE5D64" w:rsidRDefault="00387BB7">
            <w:pPr>
              <w:pStyle w:val="P68B1DB1-ListParagraph32"/>
              <w:numPr>
                <w:ilvl w:val="1"/>
                <w:numId w:val="118"/>
              </w:numPr>
              <w:rPr>
                <w:i/>
                <w:iCs/>
              </w:rPr>
            </w:pPr>
            <w:r>
              <w:rPr>
                <w:lang w:val="en-US"/>
              </w:rPr>
              <w:t>&lt;</w:t>
            </w:r>
            <w:r w:rsidR="00E40776">
              <w:t xml:space="preserve"> 5%; </w:t>
            </w:r>
          </w:p>
          <w:p w14:paraId="30B91FAF" w14:textId="4708500A" w:rsidR="00FE5D64" w:rsidRDefault="00E40776">
            <w:pPr>
              <w:pStyle w:val="P68B1DB1-ListParagraph32"/>
              <w:numPr>
                <w:ilvl w:val="1"/>
                <w:numId w:val="118"/>
              </w:numPr>
              <w:rPr>
                <w:i/>
                <w:iCs/>
              </w:rPr>
            </w:pPr>
            <w:r>
              <w:t xml:space="preserve">5 — 15%; </w:t>
            </w:r>
          </w:p>
          <w:p w14:paraId="50353685" w14:textId="28EE5AF5" w:rsidR="00FE5D64" w:rsidRDefault="00E40776">
            <w:pPr>
              <w:pStyle w:val="P68B1DB1-ListParagraph32"/>
              <w:numPr>
                <w:ilvl w:val="1"/>
                <w:numId w:val="118"/>
              </w:numPr>
              <w:rPr>
                <w:i/>
                <w:iCs/>
              </w:rPr>
            </w:pPr>
            <w:r>
              <w:t>15</w:t>
            </w:r>
            <w:r w:rsidR="00387BB7">
              <w:rPr>
                <w:lang w:val="en-US"/>
              </w:rPr>
              <w:t xml:space="preserve"> </w:t>
            </w:r>
            <w:r>
              <w:t>—</w:t>
            </w:r>
            <w:r w:rsidR="00387BB7">
              <w:rPr>
                <w:lang w:val="en-US"/>
              </w:rPr>
              <w:t xml:space="preserve"> </w:t>
            </w:r>
            <w:r>
              <w:t>25%</w:t>
            </w:r>
            <w:r w:rsidR="00DE2F45">
              <w:rPr>
                <w:lang w:val="bg-BG"/>
              </w:rPr>
              <w:t>;</w:t>
            </w:r>
          </w:p>
          <w:p w14:paraId="7FE1BD71" w14:textId="5B243FD8" w:rsidR="00FE5D64" w:rsidRDefault="00E40776">
            <w:pPr>
              <w:pStyle w:val="P68B1DB1-ListParagraph32"/>
              <w:numPr>
                <w:ilvl w:val="1"/>
                <w:numId w:val="118"/>
              </w:numPr>
              <w:rPr>
                <w:i/>
                <w:iCs/>
              </w:rPr>
            </w:pPr>
            <w:r>
              <w:t>&gt; 25%.</w:t>
            </w:r>
          </w:p>
          <w:p w14:paraId="7FE1BD72" w14:textId="77777777" w:rsidR="00FE5D64" w:rsidRDefault="00FE5D64">
            <w:pPr>
              <w:rPr>
                <w:rFonts w:ascii="Times New Roman" w:eastAsiaTheme="minorHAnsi" w:hAnsi="Times New Roman" w:cs="Times New Roman"/>
                <w:color w:val="000000" w:themeColor="text1"/>
                <w:sz w:val="20"/>
                <w:szCs w:val="20"/>
              </w:rPr>
            </w:pPr>
          </w:p>
        </w:tc>
      </w:tr>
      <w:tr w:rsidR="00FE5D64"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FE5D64" w:rsidRDefault="00E40776">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18B22F51" w:rsidR="00FE5D64" w:rsidRDefault="001B4064">
            <w:pPr>
              <w:pStyle w:val="P68B1DB1-Normal42"/>
              <w:rPr>
                <w:bCs/>
              </w:rPr>
            </w:pPr>
            <w:r>
              <w:rPr>
                <w:lang w:val="bg-BG"/>
              </w:rPr>
              <w:t>Значимост</w:t>
            </w:r>
            <w:r>
              <w:t xml:space="preserve"> </w:t>
            </w:r>
            <w:r w:rsidR="00E40776">
              <w:t xml:space="preserve">— </w:t>
            </w:r>
          </w:p>
          <w:p w14:paraId="7FE1BD76" w14:textId="77777777" w:rsidR="00FE5D64" w:rsidRDefault="00E40776">
            <w:pPr>
              <w:pStyle w:val="P68B1DB1-Normal43"/>
            </w:pPr>
            <w:r>
              <w:t>На местно, регионално, национално или европейско равнище, по целесъобразност за съответния пазар. Значението на институцията може да бъде оценено въз основа на пазарния дял, взаимосвързаността, сложността и трансграничните дейности;</w:t>
            </w:r>
          </w:p>
          <w:p w14:paraId="7FE1BD77" w14:textId="77777777" w:rsidR="00FE5D64" w:rsidRDefault="00E40776">
            <w:pPr>
              <w:pStyle w:val="P68B1DB1-Normal42"/>
              <w:rPr>
                <w:bCs/>
              </w:rPr>
            </w:pPr>
            <w:r>
              <w:t>Пазарен дял</w:t>
            </w:r>
          </w:p>
          <w:p w14:paraId="7FE1BD78" w14:textId="1DB22249" w:rsidR="00FE5D64" w:rsidRDefault="001B4064">
            <w:pPr>
              <w:pStyle w:val="P68B1DB1-Normal43"/>
            </w:pPr>
            <w:r>
              <w:rPr>
                <w:lang w:val="bg-BG"/>
              </w:rPr>
              <w:t>Оценява се значимостта на</w:t>
            </w:r>
            <w:r w:rsidR="00E40776">
              <w:t xml:space="preserve"> пазарния дял на отчитащия се субект в сравнение с националния или друг съответен пазар, както е посочено в образеца. Тази оценка </w:t>
            </w:r>
            <w:r>
              <w:rPr>
                <w:lang w:val="bg-BG"/>
              </w:rPr>
              <w:t>с</w:t>
            </w:r>
            <w:r w:rsidR="00E40776">
              <w:t xml:space="preserve">е </w:t>
            </w:r>
            <w:r>
              <w:rPr>
                <w:lang w:val="bg-BG"/>
              </w:rPr>
              <w:t>изразява</w:t>
            </w:r>
            <w:r>
              <w:t xml:space="preserve"> </w:t>
            </w:r>
            <w:r w:rsidR="00E40776">
              <w:t xml:space="preserve">качествено по следния начин: </w:t>
            </w:r>
          </w:p>
          <w:p w14:paraId="7FE1BD79" w14:textId="55DA02B7" w:rsidR="00FE5D64" w:rsidRDefault="00E40776">
            <w:pPr>
              <w:pStyle w:val="P68B1DB1-ListParagraph38"/>
              <w:numPr>
                <w:ilvl w:val="0"/>
                <w:numId w:val="276"/>
              </w:numPr>
              <w:spacing w:line="276" w:lineRule="auto"/>
              <w:jc w:val="both"/>
            </w:pPr>
            <w:r>
              <w:t xml:space="preserve">Висок, ако пазарният дял е </w:t>
            </w:r>
            <w:r w:rsidR="001B4064">
              <w:rPr>
                <w:lang w:val="bg-BG"/>
              </w:rPr>
              <w:t>значителен</w:t>
            </w:r>
            <w:r w:rsidR="00DE2F45">
              <w:rPr>
                <w:lang w:val="bg-BG"/>
              </w:rPr>
              <w:t>,</w:t>
            </w:r>
          </w:p>
          <w:p w14:paraId="7FE1BD7A" w14:textId="27A7092A" w:rsidR="00FE5D64" w:rsidRDefault="00E40776">
            <w:pPr>
              <w:pStyle w:val="P68B1DB1-ListParagraph38"/>
              <w:numPr>
                <w:ilvl w:val="0"/>
                <w:numId w:val="276"/>
              </w:numPr>
              <w:spacing w:line="276" w:lineRule="auto"/>
              <w:jc w:val="both"/>
            </w:pPr>
            <w:r>
              <w:t>Средновисок, ако пазарният дял е среден</w:t>
            </w:r>
            <w:r w:rsidR="00DE2F45">
              <w:rPr>
                <w:lang w:val="bg-BG"/>
              </w:rPr>
              <w:t>,</w:t>
            </w:r>
          </w:p>
          <w:p w14:paraId="7FE1BD7B" w14:textId="4E174C33" w:rsidR="00FE5D64" w:rsidRDefault="00E40776">
            <w:pPr>
              <w:pStyle w:val="P68B1DB1-ListParagraph38"/>
              <w:numPr>
                <w:ilvl w:val="0"/>
                <w:numId w:val="276"/>
              </w:numPr>
              <w:spacing w:line="276" w:lineRule="auto"/>
              <w:jc w:val="both"/>
            </w:pPr>
            <w:r>
              <w:t xml:space="preserve">Среднонисък, ако пазарният дял е малък, или </w:t>
            </w:r>
          </w:p>
          <w:p w14:paraId="7FE1BD7C" w14:textId="05FA4C79" w:rsidR="00FE5D64" w:rsidRDefault="00E40776">
            <w:pPr>
              <w:pStyle w:val="P68B1DB1-ListParagraph38"/>
              <w:numPr>
                <w:ilvl w:val="0"/>
                <w:numId w:val="276"/>
              </w:numPr>
              <w:spacing w:line="276" w:lineRule="auto"/>
              <w:jc w:val="both"/>
            </w:pPr>
            <w:r>
              <w:t xml:space="preserve">Нисък, ако пазарният дял е незначителен. </w:t>
            </w:r>
          </w:p>
          <w:p w14:paraId="7FE1BD7E" w14:textId="20180F9F" w:rsidR="00FE5D64" w:rsidRDefault="00E40776">
            <w:pPr>
              <w:pStyle w:val="P68B1DB1-Normal43"/>
            </w:pPr>
            <w:r>
              <w:t>При тази оценка се взема предвид пазарната структура на държавата на отчитащ</w:t>
            </w:r>
            <w:r w:rsidR="001B4064">
              <w:rPr>
                <w:lang w:val="bg-BG"/>
              </w:rPr>
              <w:t>ия</w:t>
            </w:r>
            <w:r>
              <w:t xml:space="preserve"> се </w:t>
            </w:r>
            <w:r w:rsidR="001B4064">
              <w:rPr>
                <w:lang w:val="bg-BG"/>
              </w:rPr>
              <w:t>субект</w:t>
            </w:r>
            <w:r>
              <w:t xml:space="preserve"> (или друг съответен пазар) и пазарните дялове, отчетени </w:t>
            </w:r>
            <w:r w:rsidR="001B4064">
              <w:rPr>
                <w:lang w:val="bg-BG"/>
              </w:rPr>
              <w:t xml:space="preserve">в част </w:t>
            </w:r>
            <w:r>
              <w:t>2.Количествени данни:</w:t>
            </w:r>
          </w:p>
          <w:p w14:paraId="7FE1BD7F" w14:textId="561C1642" w:rsidR="00FE5D64" w:rsidRDefault="00E40776">
            <w:pPr>
              <w:pStyle w:val="P68B1DB1-ListParagraph32"/>
              <w:numPr>
                <w:ilvl w:val="0"/>
                <w:numId w:val="116"/>
              </w:numPr>
              <w:jc w:val="both"/>
              <w:rPr>
                <w:i/>
                <w:iCs/>
              </w:rPr>
            </w:pPr>
            <w:r>
              <w:t xml:space="preserve">Експертна оценка на размера на </w:t>
            </w:r>
            <w:r>
              <w:rPr>
                <w:b/>
              </w:rPr>
              <w:t xml:space="preserve">националния </w:t>
            </w:r>
            <w:r>
              <w:t xml:space="preserve">пазарен дял (докладвана в c0020, освен в случаите, когато </w:t>
            </w:r>
            <w:r w:rsidR="001B4064">
              <w:rPr>
                <w:lang w:val="bg-BG"/>
              </w:rPr>
              <w:t>отчетът</w:t>
            </w:r>
            <w:r w:rsidR="001B4064">
              <w:t xml:space="preserve"> </w:t>
            </w:r>
            <w:r>
              <w:t>е предоставен за различно съответно пазарно равнище, в който случай се очаква оценка на съответния пазарен дял).</w:t>
            </w:r>
          </w:p>
          <w:p w14:paraId="7FE1BD80" w14:textId="77777777" w:rsidR="00FE5D64" w:rsidRDefault="00FE5D64">
            <w:pPr>
              <w:rPr>
                <w:rFonts w:ascii="Times New Roman" w:eastAsiaTheme="minorHAnsi" w:hAnsi="Times New Roman" w:cs="Times New Roman"/>
                <w:color w:val="000000" w:themeColor="text1"/>
                <w:sz w:val="20"/>
                <w:szCs w:val="20"/>
              </w:rPr>
            </w:pPr>
          </w:p>
          <w:p w14:paraId="7FE1BD81" w14:textId="77777777" w:rsidR="00FE5D64" w:rsidRDefault="00FE5D64">
            <w:pPr>
              <w:rPr>
                <w:rFonts w:ascii="Times New Roman" w:eastAsiaTheme="minorHAnsi" w:hAnsi="Times New Roman" w:cs="Times New Roman"/>
                <w:color w:val="000000" w:themeColor="text1"/>
                <w:sz w:val="20"/>
                <w:szCs w:val="20"/>
              </w:rPr>
            </w:pPr>
          </w:p>
        </w:tc>
      </w:tr>
      <w:tr w:rsidR="00FE5D64"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FE5D64" w:rsidRDefault="00E40776">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FE5D64" w:rsidRDefault="00E40776">
            <w:pPr>
              <w:pStyle w:val="P68B1DB1-Normal42"/>
              <w:rPr>
                <w:bCs/>
              </w:rPr>
            </w:pPr>
            <w:r>
              <w:t>Пазарна структура — концентрация на пазара</w:t>
            </w:r>
          </w:p>
          <w:p w14:paraId="7FE1BD88" w14:textId="342D2D5B" w:rsidR="00FE5D64" w:rsidRDefault="00E40776">
            <w:pPr>
              <w:pStyle w:val="P68B1DB1-Normal43"/>
            </w:pPr>
            <w:r>
              <w:t xml:space="preserve">Концентрацията на пазара, измерена чрез броя на конкурентите, които понастоящем </w:t>
            </w:r>
            <w:r w:rsidR="001B4064">
              <w:rPr>
                <w:lang w:val="bg-BG"/>
              </w:rPr>
              <w:t xml:space="preserve">изпълняват </w:t>
            </w:r>
            <w:r>
              <w:t>сходни икономически функции и/или предлага</w:t>
            </w:r>
            <w:r w:rsidR="001B4064">
              <w:rPr>
                <w:lang w:val="bg-BG"/>
              </w:rPr>
              <w:t>т</w:t>
            </w:r>
            <w:r>
              <w:t xml:space="preserve"> сходни услуги при равни условия (т.е. </w:t>
            </w:r>
            <w:r w:rsidR="001B4064">
              <w:rPr>
                <w:lang w:val="bg-BG"/>
              </w:rPr>
              <w:t xml:space="preserve">в </w:t>
            </w:r>
            <w:r>
              <w:t xml:space="preserve">съпоставима степен и качество и на сравнима цена), които потенциално </w:t>
            </w:r>
            <w:r w:rsidR="001B4064">
              <w:rPr>
                <w:lang w:val="bg-BG"/>
              </w:rPr>
              <w:t>могат да</w:t>
            </w:r>
            <w:r w:rsidR="001B4064">
              <w:t xml:space="preserve"> </w:t>
            </w:r>
            <w:r>
              <w:t>поемат (част от) клиентите и/или дейност</w:t>
            </w:r>
            <w:r w:rsidR="001B4064">
              <w:rPr>
                <w:lang w:val="bg-BG"/>
              </w:rPr>
              <w:t>та</w:t>
            </w:r>
            <w:r>
              <w:t xml:space="preserve"> на отчитащ</w:t>
            </w:r>
            <w:r w:rsidR="001B4064">
              <w:rPr>
                <w:lang w:val="bg-BG"/>
              </w:rPr>
              <w:t>ия</w:t>
            </w:r>
            <w:r>
              <w:t xml:space="preserve"> се </w:t>
            </w:r>
            <w:r w:rsidR="001B4064">
              <w:rPr>
                <w:lang w:val="bg-BG"/>
              </w:rPr>
              <w:t>субект</w:t>
            </w:r>
            <w:r w:rsidR="001B4064">
              <w:t xml:space="preserve"> </w:t>
            </w:r>
            <w:r>
              <w:t xml:space="preserve">в разумен срок. </w:t>
            </w:r>
          </w:p>
          <w:p w14:paraId="7FE1BD89" w14:textId="47662489" w:rsidR="00FE5D64" w:rsidRDefault="001B4064">
            <w:pPr>
              <w:pStyle w:val="P68B1DB1-Normal43"/>
            </w:pPr>
            <w:r>
              <w:rPr>
                <w:lang w:val="bg-BG"/>
              </w:rPr>
              <w:t>Концентрацията на пазара</w:t>
            </w:r>
            <w:r>
              <w:t xml:space="preserve"> </w:t>
            </w:r>
            <w:r w:rsidR="00E40776">
              <w:t xml:space="preserve">се отчита в </w:t>
            </w:r>
            <w:r>
              <w:rPr>
                <w:lang w:val="bg-BG"/>
              </w:rPr>
              <w:t>категории</w:t>
            </w:r>
            <w:r w:rsidR="00E40776">
              <w:t xml:space="preserve">, които са еднакви за всяка подфункция. </w:t>
            </w:r>
          </w:p>
          <w:p w14:paraId="5A8DDF15" w14:textId="34947FA6" w:rsidR="00FE5D64" w:rsidRDefault="00E40776">
            <w:pPr>
              <w:pStyle w:val="P68B1DB1-ListParagraph32"/>
              <w:numPr>
                <w:ilvl w:val="0"/>
                <w:numId w:val="277"/>
              </w:numPr>
              <w:jc w:val="both"/>
            </w:pPr>
            <w:r>
              <w:t>&gt; 20 конкурент</w:t>
            </w:r>
            <w:r w:rsidR="001B4064">
              <w:rPr>
                <w:lang w:val="bg-BG"/>
              </w:rPr>
              <w:t>а</w:t>
            </w:r>
            <w:r>
              <w:t xml:space="preserve">; </w:t>
            </w:r>
          </w:p>
          <w:p w14:paraId="0FB3FECD" w14:textId="3D787DB5" w:rsidR="00FE5D64" w:rsidRDefault="001B4064">
            <w:pPr>
              <w:pStyle w:val="P68B1DB1-ListParagraph32"/>
              <w:numPr>
                <w:ilvl w:val="0"/>
                <w:numId w:val="277"/>
              </w:numPr>
              <w:jc w:val="both"/>
            </w:pPr>
            <w:r>
              <w:rPr>
                <w:lang w:val="bg-BG"/>
              </w:rPr>
              <w:t xml:space="preserve">От </w:t>
            </w:r>
            <w:r w:rsidR="00E40776">
              <w:t>11</w:t>
            </w:r>
            <w:r>
              <w:rPr>
                <w:lang w:val="bg-BG"/>
              </w:rPr>
              <w:t xml:space="preserve"> до </w:t>
            </w:r>
            <w:r w:rsidR="00E40776">
              <w:t>20 конкурент</w:t>
            </w:r>
            <w:r>
              <w:rPr>
                <w:lang w:val="bg-BG"/>
              </w:rPr>
              <w:t>а</w:t>
            </w:r>
            <w:r w:rsidR="00E40776">
              <w:t xml:space="preserve">; </w:t>
            </w:r>
          </w:p>
          <w:p w14:paraId="0742AD9B" w14:textId="527B62D1" w:rsidR="00FE5D64" w:rsidRDefault="00E40776">
            <w:pPr>
              <w:pStyle w:val="P68B1DB1-ListParagraph32"/>
              <w:numPr>
                <w:ilvl w:val="0"/>
                <w:numId w:val="277"/>
              </w:numPr>
              <w:jc w:val="both"/>
            </w:pPr>
            <w:r>
              <w:t xml:space="preserve">От 5 до 10 </w:t>
            </w:r>
            <w:r w:rsidR="001B4064">
              <w:rPr>
                <w:lang w:val="bg-BG"/>
              </w:rPr>
              <w:t>конкурентна;</w:t>
            </w:r>
          </w:p>
          <w:p w14:paraId="240AD074" w14:textId="02BA6BE5" w:rsidR="00FE5D64" w:rsidRDefault="001B4064">
            <w:pPr>
              <w:pStyle w:val="P68B1DB1-ListParagraph32"/>
              <w:numPr>
                <w:ilvl w:val="0"/>
                <w:numId w:val="277"/>
              </w:numPr>
              <w:jc w:val="both"/>
              <w:rPr>
                <w:b/>
                <w:bCs/>
                <w:color w:val="000000" w:themeColor="text1"/>
              </w:rPr>
            </w:pPr>
            <w:r>
              <w:rPr>
                <w:lang w:val="en-US"/>
              </w:rPr>
              <w:t xml:space="preserve">&lt; </w:t>
            </w:r>
            <w:r w:rsidR="00E40776">
              <w:t>5 конкурен</w:t>
            </w:r>
            <w:r>
              <w:rPr>
                <w:lang w:val="bg-BG"/>
              </w:rPr>
              <w:t>та</w:t>
            </w:r>
            <w:r w:rsidR="00DE2F45">
              <w:rPr>
                <w:lang w:val="bg-BG"/>
              </w:rPr>
              <w:t>.</w:t>
            </w:r>
          </w:p>
          <w:p w14:paraId="7FE1BD8D" w14:textId="2F17E01A" w:rsidR="00FE5D64" w:rsidRDefault="00FE5D64">
            <w:pPr>
              <w:jc w:val="both"/>
              <w:rPr>
                <w:rFonts w:ascii="Times New Roman" w:hAnsi="Times New Roman"/>
                <w:color w:val="000000" w:themeColor="text1"/>
                <w:sz w:val="20"/>
                <w:szCs w:val="20"/>
              </w:rPr>
            </w:pPr>
          </w:p>
        </w:tc>
      </w:tr>
      <w:tr w:rsidR="00FE5D64"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FE5D64" w:rsidRDefault="00E40776">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0E9D7AE7" w:rsidR="00FE5D64" w:rsidRPr="003272DE" w:rsidRDefault="004E455F">
            <w:pPr>
              <w:pStyle w:val="P68B1DB1-Normal42"/>
              <w:rPr>
                <w:bCs/>
                <w:lang w:val="bg-BG"/>
              </w:rPr>
            </w:pPr>
            <w:r>
              <w:rPr>
                <w:lang w:val="bg-BG"/>
              </w:rPr>
              <w:t>Времева рамка</w:t>
            </w:r>
            <w:r>
              <w:t xml:space="preserve"> </w:t>
            </w:r>
            <w:r w:rsidR="00E40776">
              <w:t xml:space="preserve">— очаквано време за </w:t>
            </w:r>
            <w:r>
              <w:rPr>
                <w:lang w:val="bg-BG"/>
              </w:rPr>
              <w:t>заменяемост</w:t>
            </w:r>
          </w:p>
          <w:p w14:paraId="7FE1BD92" w14:textId="5546E5A9" w:rsidR="00FE5D64" w:rsidRDefault="004E455F">
            <w:pPr>
              <w:pStyle w:val="P68B1DB1-Normal43"/>
            </w:pPr>
            <w:r>
              <w:rPr>
                <w:lang w:val="bg-BG"/>
              </w:rPr>
              <w:t xml:space="preserve">Оценява се необходимото време, за което </w:t>
            </w:r>
            <w:r w:rsidR="00E40776">
              <w:t xml:space="preserve">икономическата функция, предоставена от </w:t>
            </w:r>
            <w:r>
              <w:rPr>
                <w:lang w:val="bg-BG"/>
              </w:rPr>
              <w:t xml:space="preserve">отчитащия се </w:t>
            </w:r>
            <w:r w:rsidR="00E40776">
              <w:t xml:space="preserve">субект, </w:t>
            </w:r>
            <w:r>
              <w:rPr>
                <w:lang w:val="bg-BG"/>
              </w:rPr>
              <w:t xml:space="preserve">може </w:t>
            </w:r>
            <w:r w:rsidR="00E40776">
              <w:t>да бъде поет</w:t>
            </w:r>
            <w:r>
              <w:rPr>
                <w:lang w:val="bg-BG"/>
              </w:rPr>
              <w:t>а</w:t>
            </w:r>
            <w:r w:rsidR="00E40776">
              <w:t xml:space="preserve"> от пазара в кризисна ситуация. Това включва: </w:t>
            </w:r>
          </w:p>
          <w:p w14:paraId="7FE1BD93" w14:textId="1BE564AE" w:rsidR="00FE5D64" w:rsidRDefault="00E40776">
            <w:pPr>
              <w:pStyle w:val="P68B1DB1-ListParagraph38"/>
              <w:numPr>
                <w:ilvl w:val="0"/>
                <w:numId w:val="274"/>
              </w:numPr>
              <w:jc w:val="both"/>
            </w:pPr>
            <w:r>
              <w:t xml:space="preserve">очакваното време, необходимо на един или няколко конкурента (и) за изпълнение на правните и техническите стъпки за поемане на функцията; както и  </w:t>
            </w:r>
          </w:p>
          <w:p w14:paraId="7FE1BD94" w14:textId="19E96895" w:rsidR="00FE5D64" w:rsidRDefault="00E40776">
            <w:pPr>
              <w:pStyle w:val="P68B1DB1-ListParagraph38"/>
              <w:numPr>
                <w:ilvl w:val="0"/>
                <w:numId w:val="274"/>
              </w:numPr>
              <w:jc w:val="both"/>
            </w:pPr>
            <w:r>
              <w:t xml:space="preserve">времето, необходимо на ползвателите на услугата да </w:t>
            </w:r>
            <w:r w:rsidR="001D5DAD">
              <w:rPr>
                <w:lang w:val="bg-BG"/>
              </w:rPr>
              <w:t>преминат към</w:t>
            </w:r>
            <w:r>
              <w:t xml:space="preserve"> друг доставчик на услуги. </w:t>
            </w:r>
          </w:p>
          <w:p w14:paraId="7FE1BD95" w14:textId="77777777" w:rsidR="00FE5D64" w:rsidRDefault="00FE5D64">
            <w:pPr>
              <w:rPr>
                <w:rFonts w:ascii="Times New Roman" w:eastAsiaTheme="minorHAnsi" w:hAnsi="Times New Roman" w:cs="Times New Roman"/>
                <w:color w:val="000000" w:themeColor="text1"/>
                <w:sz w:val="20"/>
                <w:szCs w:val="20"/>
              </w:rPr>
            </w:pPr>
          </w:p>
          <w:p w14:paraId="7FE1BD96" w14:textId="5D1983B7" w:rsidR="00FE5D64" w:rsidRDefault="001D5DAD">
            <w:pPr>
              <w:pStyle w:val="P68B1DB1-Normal43"/>
            </w:pPr>
            <w:r>
              <w:rPr>
                <w:lang w:val="bg-BG"/>
              </w:rPr>
              <w:t>Като ориентир за горното</w:t>
            </w:r>
            <w:r w:rsidR="00E40776">
              <w:t xml:space="preserve">, </w:t>
            </w:r>
            <w:r>
              <w:rPr>
                <w:lang w:val="bg-BG"/>
              </w:rPr>
              <w:t>посочва се</w:t>
            </w:r>
            <w:r>
              <w:t xml:space="preserve"> </w:t>
            </w:r>
            <w:r w:rsidR="00E40776">
              <w:t xml:space="preserve">приблизителна оценка на времето, необходимо на отчитащия се субект да поеме в собствената си стопанска дейност (част от) услугата, предоставяна от друга институция, на разумна цена в кризисна ситуация. </w:t>
            </w:r>
            <w:r>
              <w:rPr>
                <w:lang w:val="bg-BG"/>
              </w:rPr>
              <w:t>Посочва се</w:t>
            </w:r>
            <w:r>
              <w:t xml:space="preserve"> </w:t>
            </w:r>
            <w:r w:rsidR="00E40776">
              <w:t xml:space="preserve">очакваното време за </w:t>
            </w:r>
            <w:r>
              <w:rPr>
                <w:lang w:val="bg-BG"/>
              </w:rPr>
              <w:t>заменяемост</w:t>
            </w:r>
            <w:r>
              <w:t xml:space="preserve"> </w:t>
            </w:r>
            <w:r w:rsidR="00E40776">
              <w:t xml:space="preserve">в </w:t>
            </w:r>
            <w:r>
              <w:rPr>
                <w:lang w:val="bg-BG"/>
              </w:rPr>
              <w:t>категориите</w:t>
            </w:r>
            <w:r w:rsidR="00E40776">
              <w:t>, посочени в образеца:</w:t>
            </w:r>
          </w:p>
          <w:p w14:paraId="7FE1BD97" w14:textId="36DEDAC6" w:rsidR="00FE5D64" w:rsidRDefault="001D5DAD">
            <w:pPr>
              <w:pStyle w:val="P68B1DB1-Normal31"/>
            </w:pPr>
            <w:r>
              <w:rPr>
                <w:lang w:val="bg-BG"/>
              </w:rPr>
              <w:t>Категории</w:t>
            </w:r>
            <w:r w:rsidR="00E40776">
              <w:t xml:space="preserve">: </w:t>
            </w:r>
          </w:p>
          <w:p w14:paraId="7FE1BD98" w14:textId="077A9BD3" w:rsidR="00FE5D64" w:rsidRDefault="00E40776">
            <w:pPr>
              <w:pStyle w:val="P68B1DB1-ListParagraph32"/>
              <w:numPr>
                <w:ilvl w:val="0"/>
                <w:numId w:val="287"/>
              </w:numPr>
            </w:pPr>
            <w:r>
              <w:t xml:space="preserve">≤ 1 ден; </w:t>
            </w:r>
          </w:p>
          <w:p w14:paraId="7FE1BD99" w14:textId="1E7BA8DC" w:rsidR="00FE5D64" w:rsidRDefault="00E40776">
            <w:pPr>
              <w:pStyle w:val="P68B1DB1-ListParagraph32"/>
              <w:numPr>
                <w:ilvl w:val="0"/>
                <w:numId w:val="287"/>
              </w:numPr>
            </w:pPr>
            <w:r>
              <w:t>1 ден — 1 седмица</w:t>
            </w:r>
            <w:r w:rsidR="001D5DAD">
              <w:rPr>
                <w:lang w:val="bg-BG"/>
              </w:rPr>
              <w:t>;</w:t>
            </w:r>
          </w:p>
          <w:p w14:paraId="7FE1BD9A" w14:textId="47AC6C88" w:rsidR="00FE5D64" w:rsidRDefault="00E40776">
            <w:pPr>
              <w:pStyle w:val="P68B1DB1-ListParagraph32"/>
              <w:numPr>
                <w:ilvl w:val="0"/>
                <w:numId w:val="287"/>
              </w:numPr>
            </w:pPr>
            <w:r>
              <w:t xml:space="preserve">&gt; 1 седмица — 1 месец; </w:t>
            </w:r>
          </w:p>
          <w:p w14:paraId="7FE1BD9B" w14:textId="0A6FBD97" w:rsidR="00FE5D64" w:rsidRDefault="00E40776">
            <w:pPr>
              <w:pStyle w:val="P68B1DB1-ListParagraph32"/>
              <w:numPr>
                <w:ilvl w:val="0"/>
                <w:numId w:val="287"/>
              </w:numPr>
              <w:rPr>
                <w:color w:val="000000" w:themeColor="text1"/>
              </w:rPr>
            </w:pPr>
            <w:r>
              <w:t>&gt; 1 месец</w:t>
            </w:r>
            <w:r w:rsidR="00DE2F45">
              <w:rPr>
                <w:lang w:val="bg-BG"/>
              </w:rPr>
              <w:t>.</w:t>
            </w:r>
          </w:p>
        </w:tc>
      </w:tr>
      <w:tr w:rsidR="00FE5D64"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FE5D64" w:rsidRDefault="00E40776">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0909CBFA" w:rsidR="00FE5D64" w:rsidRPr="003272DE" w:rsidRDefault="001D5DAD">
            <w:pPr>
              <w:pStyle w:val="P68B1DB1-Normal42"/>
              <w:rPr>
                <w:bCs/>
                <w:lang w:val="bg-BG"/>
              </w:rPr>
            </w:pPr>
            <w:r>
              <w:rPr>
                <w:lang w:val="bg-BG"/>
              </w:rPr>
              <w:t>Възможност за заменяемост</w:t>
            </w:r>
          </w:p>
        </w:tc>
      </w:tr>
      <w:tr w:rsidR="00FE5D64"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FE5D64" w:rsidRDefault="00E40776">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FE5D64" w:rsidRDefault="00E40776">
            <w:pPr>
              <w:pStyle w:val="P68B1DB1-Normal42"/>
              <w:rPr>
                <w:bCs/>
              </w:rPr>
            </w:pPr>
            <w:r>
              <w:t>Правни пречки за навлизане на пазара или разрастване</w:t>
            </w:r>
          </w:p>
          <w:p w14:paraId="7FE1BDA2" w14:textId="77777777" w:rsidR="00FE5D64" w:rsidRDefault="00FE5D64">
            <w:pPr>
              <w:rPr>
                <w:rFonts w:ascii="Times New Roman" w:eastAsiaTheme="minorHAnsi" w:hAnsi="Times New Roman" w:cs="Times New Roman"/>
                <w:color w:val="000000" w:themeColor="text1"/>
                <w:sz w:val="20"/>
                <w:szCs w:val="20"/>
              </w:rPr>
            </w:pPr>
          </w:p>
          <w:p w14:paraId="7FE1BDA3" w14:textId="57E2F74E" w:rsidR="00FE5D64" w:rsidRDefault="00E40776">
            <w:pPr>
              <w:pStyle w:val="P68B1DB1-Normal43"/>
            </w:pPr>
            <w:r>
              <w:t xml:space="preserve">Правни пречки за конкурентите да предлагат услугата. Правните изисквания за извършване на дейността на кредитните институции (напр. банкови лицензи или капиталови изисквания) не следва да се </w:t>
            </w:r>
            <w:r w:rsidR="003272DE">
              <w:rPr>
                <w:lang w:val="bg-BG"/>
              </w:rPr>
              <w:t>разглеждат като</w:t>
            </w:r>
            <w:r>
              <w:t xml:space="preserve"> непреодолими пречки при наличието на алтернативни доставчици. Този показател трябва да се отчита в групи, които са еднакви за всяка подфункция: </w:t>
            </w:r>
          </w:p>
          <w:p w14:paraId="7FE1BDA4" w14:textId="5F64D555" w:rsidR="00FE5D64" w:rsidRDefault="00E40776">
            <w:pPr>
              <w:pStyle w:val="P68B1DB1-ListParagraph39"/>
              <w:numPr>
                <w:ilvl w:val="0"/>
                <w:numId w:val="275"/>
              </w:numPr>
              <w:jc w:val="both"/>
            </w:pPr>
            <w:r>
              <w:t xml:space="preserve">няма големи пречки, </w:t>
            </w:r>
          </w:p>
          <w:p w14:paraId="7FE1BDA5" w14:textId="7A81B3FD" w:rsidR="00FE5D64" w:rsidRDefault="003272DE">
            <w:pPr>
              <w:pStyle w:val="P68B1DB1-ListParagraph39"/>
              <w:numPr>
                <w:ilvl w:val="0"/>
                <w:numId w:val="275"/>
              </w:numPr>
              <w:jc w:val="both"/>
            </w:pPr>
            <w:r>
              <w:rPr>
                <w:lang w:val="bg-BG"/>
              </w:rPr>
              <w:t xml:space="preserve">съществуват </w:t>
            </w:r>
            <w:r w:rsidR="00E40776">
              <w:t xml:space="preserve">някои пречки, </w:t>
            </w:r>
          </w:p>
          <w:p w14:paraId="7FE1BDA6" w14:textId="765E2F19" w:rsidR="00FE5D64" w:rsidRDefault="00E40776">
            <w:pPr>
              <w:pStyle w:val="P68B1DB1-ListParagraph39"/>
              <w:numPr>
                <w:ilvl w:val="0"/>
                <w:numId w:val="275"/>
              </w:numPr>
              <w:jc w:val="both"/>
            </w:pPr>
            <w:r>
              <w:t xml:space="preserve">значителни (но преодолими) </w:t>
            </w:r>
            <w:r w:rsidR="003272DE">
              <w:rPr>
                <w:lang w:val="bg-BG"/>
              </w:rPr>
              <w:t>пречки</w:t>
            </w:r>
            <w:r>
              <w:t xml:space="preserve">, </w:t>
            </w:r>
          </w:p>
          <w:p w14:paraId="7FE1BDA8" w14:textId="1641C001" w:rsidR="00FE5D64" w:rsidRDefault="00E40776">
            <w:pPr>
              <w:pStyle w:val="P68B1DB1-ListParagraph8"/>
              <w:numPr>
                <w:ilvl w:val="0"/>
                <w:numId w:val="275"/>
              </w:numPr>
              <w:jc w:val="both"/>
              <w:rPr>
                <w:rFonts w:eastAsiaTheme="minorHAnsi"/>
              </w:rPr>
            </w:pPr>
            <w:r>
              <w:t xml:space="preserve">критични (трудни за преодоляване) </w:t>
            </w:r>
            <w:r w:rsidR="003272DE">
              <w:rPr>
                <w:lang w:val="bg-BG"/>
              </w:rPr>
              <w:t>пречки</w:t>
            </w:r>
            <w:r>
              <w:t>.</w:t>
            </w:r>
          </w:p>
        </w:tc>
      </w:tr>
      <w:tr w:rsidR="00FE5D64"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FE5D64" w:rsidRDefault="00E40776">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1E1F7FBE" w:rsidR="00FE5D64" w:rsidRPr="003272DE" w:rsidRDefault="003272DE">
            <w:pPr>
              <w:pStyle w:val="P68B1DB1-Normal42"/>
              <w:rPr>
                <w:bCs/>
                <w:lang w:val="bg-BG"/>
              </w:rPr>
            </w:pPr>
            <w:r>
              <w:rPr>
                <w:lang w:val="bg-BG"/>
              </w:rPr>
              <w:t>Оперативни</w:t>
            </w:r>
            <w:r>
              <w:t xml:space="preserve"> </w:t>
            </w:r>
            <w:r w:rsidR="00E40776">
              <w:t>изисквания за навлизане</w:t>
            </w:r>
            <w:r>
              <w:rPr>
                <w:lang w:val="bg-BG"/>
              </w:rPr>
              <w:t xml:space="preserve"> на пазари</w:t>
            </w:r>
            <w:r w:rsidR="00E40776">
              <w:t xml:space="preserve"> или </w:t>
            </w:r>
            <w:r>
              <w:rPr>
                <w:lang w:val="bg-BG"/>
              </w:rPr>
              <w:t>разрастване</w:t>
            </w:r>
          </w:p>
          <w:p w14:paraId="7FE1BDAC" w14:textId="77777777" w:rsidR="00FE5D64" w:rsidRDefault="00FE5D64">
            <w:pPr>
              <w:rPr>
                <w:rFonts w:ascii="Times New Roman" w:eastAsiaTheme="minorHAnsi" w:hAnsi="Times New Roman" w:cs="Times New Roman"/>
                <w:color w:val="000000" w:themeColor="text1"/>
                <w:sz w:val="20"/>
                <w:szCs w:val="20"/>
              </w:rPr>
            </w:pPr>
          </w:p>
          <w:p w14:paraId="7FE1BDAD" w14:textId="270D2491" w:rsidR="00FE5D64" w:rsidRDefault="00E40776">
            <w:pPr>
              <w:pStyle w:val="P68B1DB1-Normal43"/>
            </w:pPr>
            <w:r>
              <w:t xml:space="preserve">Организационни, технически и инфраструктурни изисквания </w:t>
            </w:r>
            <w:r w:rsidR="000E368D">
              <w:rPr>
                <w:lang w:val="bg-BG"/>
              </w:rPr>
              <w:t>към</w:t>
            </w:r>
            <w:r w:rsidR="000E368D">
              <w:t xml:space="preserve"> </w:t>
            </w:r>
            <w:r>
              <w:t xml:space="preserve">конкурентите да предлагат услугата. Предлагането на услуги, свързани с (под) функцията, изисква доставчиците да инвестират в (нова или допълнителна) инфраструктура или да </w:t>
            </w:r>
            <w:r w:rsidR="000E368D">
              <w:rPr>
                <w:lang w:val="bg-BG"/>
              </w:rPr>
              <w:t>направят промени</w:t>
            </w:r>
            <w:r w:rsidR="000E368D">
              <w:t xml:space="preserve"> </w:t>
            </w:r>
            <w:r>
              <w:t>своите организации. Оценява</w:t>
            </w:r>
            <w:r w:rsidR="000E368D">
              <w:rPr>
                <w:lang w:val="bg-BG"/>
              </w:rPr>
              <w:t xml:space="preserve"> се</w:t>
            </w:r>
            <w:r>
              <w:t xml:space="preserve"> способността на пазара да поеме дадена дейност, например по отношение на капиталовите изисквания. </w:t>
            </w:r>
          </w:p>
          <w:p w14:paraId="7FE1BDAE" w14:textId="3E409F00" w:rsidR="00FE5D64" w:rsidRDefault="00E40776">
            <w:pPr>
              <w:pStyle w:val="P68B1DB1-Normal43"/>
            </w:pPr>
            <w:r>
              <w:t xml:space="preserve">Този показател трябва да се отчита в </w:t>
            </w:r>
            <w:r w:rsidR="000E368D">
              <w:rPr>
                <w:lang w:val="bg-BG"/>
              </w:rPr>
              <w:t>категории</w:t>
            </w:r>
            <w:r>
              <w:t xml:space="preserve">, които са еднакви за всяка подфункция: </w:t>
            </w:r>
          </w:p>
          <w:p w14:paraId="7FE1BDAF" w14:textId="39113051" w:rsidR="00FE5D64" w:rsidRDefault="00E40776">
            <w:pPr>
              <w:pStyle w:val="P68B1DB1-ListParagraph38"/>
              <w:numPr>
                <w:ilvl w:val="0"/>
                <w:numId w:val="278"/>
              </w:numPr>
              <w:jc w:val="both"/>
            </w:pPr>
            <w:r>
              <w:t xml:space="preserve">няма съществени изисквания, </w:t>
            </w:r>
          </w:p>
          <w:p w14:paraId="7FE1BDB0" w14:textId="108F28D3" w:rsidR="00FE5D64" w:rsidRDefault="000E368D">
            <w:pPr>
              <w:pStyle w:val="P68B1DB1-ListParagraph38"/>
              <w:numPr>
                <w:ilvl w:val="0"/>
                <w:numId w:val="278"/>
              </w:numPr>
              <w:jc w:val="both"/>
            </w:pPr>
            <w:r>
              <w:rPr>
                <w:lang w:val="bg-BG"/>
              </w:rPr>
              <w:t xml:space="preserve">съществуват </w:t>
            </w:r>
            <w:r w:rsidR="00E40776">
              <w:t xml:space="preserve">някои изисквания, </w:t>
            </w:r>
          </w:p>
          <w:p w14:paraId="7FE1BDB1" w14:textId="0C8FC867" w:rsidR="00FE5D64" w:rsidRDefault="00E40776">
            <w:pPr>
              <w:pStyle w:val="P68B1DB1-ListParagraph38"/>
              <w:numPr>
                <w:ilvl w:val="0"/>
                <w:numId w:val="278"/>
              </w:numPr>
              <w:jc w:val="both"/>
            </w:pPr>
            <w:r>
              <w:t xml:space="preserve">съществени (но преодолими) изисквания, </w:t>
            </w:r>
          </w:p>
          <w:p w14:paraId="7FE1BDB2" w14:textId="0307DC6E" w:rsidR="00FE5D64" w:rsidRDefault="00E40776">
            <w:pPr>
              <w:pStyle w:val="P68B1DB1-ListParagraph38"/>
              <w:numPr>
                <w:ilvl w:val="0"/>
                <w:numId w:val="278"/>
              </w:numPr>
              <w:jc w:val="both"/>
            </w:pPr>
            <w:r>
              <w:t xml:space="preserve">критични (трудни за </w:t>
            </w:r>
            <w:r w:rsidR="000E368D">
              <w:rPr>
                <w:lang w:val="bg-BG"/>
              </w:rPr>
              <w:t>преодоляване</w:t>
            </w:r>
            <w:r>
              <w:t>) изисквания.</w:t>
            </w:r>
          </w:p>
          <w:p w14:paraId="7FE1BDB3" w14:textId="77777777" w:rsidR="00FE5D64" w:rsidRDefault="00FE5D64">
            <w:pPr>
              <w:rPr>
                <w:rFonts w:ascii="Times New Roman" w:eastAsiaTheme="minorHAnsi" w:hAnsi="Times New Roman" w:cs="Times New Roman"/>
                <w:color w:val="000000" w:themeColor="text1"/>
                <w:sz w:val="20"/>
                <w:szCs w:val="20"/>
              </w:rPr>
            </w:pPr>
          </w:p>
        </w:tc>
      </w:tr>
      <w:tr w:rsidR="00FE5D64"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FE5D64" w:rsidRDefault="00E40776">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FE5D64" w:rsidRDefault="00E40776">
            <w:pPr>
              <w:pStyle w:val="P68B1DB1-Normal42"/>
              <w:rPr>
                <w:bCs/>
              </w:rPr>
            </w:pPr>
            <w:r>
              <w:t>Оценка на критичността</w:t>
            </w:r>
          </w:p>
        </w:tc>
      </w:tr>
      <w:tr w:rsidR="00FE5D64"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FE5D64" w:rsidRDefault="00E40776">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FE5D64" w:rsidRDefault="00E40776">
            <w:pPr>
              <w:pStyle w:val="P68B1DB1-Normal42"/>
              <w:rPr>
                <w:bCs/>
              </w:rPr>
            </w:pPr>
            <w:r>
              <w:t xml:space="preserve">Въздействие върху пазара </w:t>
            </w:r>
          </w:p>
          <w:p w14:paraId="7FE1BDBA" w14:textId="5FA02699" w:rsidR="00FE5D64" w:rsidRDefault="00E40776">
            <w:pPr>
              <w:pStyle w:val="P68B1DB1-Normal43"/>
            </w:pPr>
            <w:r>
              <w:t xml:space="preserve">Очакваното въздействие </w:t>
            </w:r>
            <w:r w:rsidR="000E368D">
              <w:rPr>
                <w:lang w:val="bg-BG"/>
              </w:rPr>
              <w:t>от</w:t>
            </w:r>
            <w:r w:rsidR="000E368D">
              <w:t xml:space="preserve"> </w:t>
            </w:r>
            <w:r>
              <w:t>внезапно прекъсване на функцията върху трети страни, финансовите пазари и реалната икономика, като се вземат предвид размерът, пазарният дял в дадената държава, външните и вътрешните взаимовръзки, сложността и трансграничната дейност на институцията.</w:t>
            </w:r>
          </w:p>
          <w:p w14:paraId="7FE1BDBB" w14:textId="454BDF6A" w:rsidR="00FE5D64" w:rsidRDefault="00E40776">
            <w:pPr>
              <w:pStyle w:val="P68B1DB1-Normal43"/>
            </w:pPr>
            <w:r>
              <w:t>Тази оценка се изразява качествено като „висок</w:t>
            </w:r>
            <w:r w:rsidR="000E368D">
              <w:rPr>
                <w:lang w:val="bg-BG"/>
              </w:rPr>
              <w:t>о“</w:t>
            </w:r>
            <w:r>
              <w:t>, „средн</w:t>
            </w:r>
            <w:r w:rsidR="000E368D">
              <w:rPr>
                <w:lang w:val="bg-BG"/>
              </w:rPr>
              <w:t>овисоко“</w:t>
            </w:r>
            <w:r>
              <w:t>, „средн</w:t>
            </w:r>
            <w:r w:rsidR="000E368D">
              <w:rPr>
                <w:lang w:val="bg-BG"/>
              </w:rPr>
              <w:t>ониско</w:t>
            </w:r>
            <w:r>
              <w:t xml:space="preserve">“ или </w:t>
            </w:r>
            <w:r w:rsidR="000E368D">
              <w:rPr>
                <w:lang w:val="bg-BG"/>
              </w:rPr>
              <w:t>„</w:t>
            </w:r>
            <w:r>
              <w:t>ниск</w:t>
            </w:r>
            <w:r w:rsidR="000E368D">
              <w:rPr>
                <w:lang w:val="bg-BG"/>
              </w:rPr>
              <w:t>о“</w:t>
            </w:r>
            <w:r>
              <w:t>.</w:t>
            </w:r>
          </w:p>
          <w:p w14:paraId="7FE1BDBC" w14:textId="4DC0EB2D" w:rsidR="00FE5D64" w:rsidRDefault="00E40776">
            <w:pPr>
              <w:pStyle w:val="P68B1DB1-Normal43"/>
            </w:pPr>
            <w:r>
              <w:t>„Висок</w:t>
            </w:r>
            <w:r w:rsidR="000E368D">
              <w:rPr>
                <w:lang w:val="bg-BG"/>
              </w:rPr>
              <w:t>о</w:t>
            </w:r>
            <w:r>
              <w:t>“ се избира, ако прекъсването би оказало силно въздействие върху националния пазар; „</w:t>
            </w:r>
            <w:r w:rsidR="000E368D">
              <w:rPr>
                <w:lang w:val="bg-BG"/>
              </w:rPr>
              <w:t>с</w:t>
            </w:r>
            <w:r>
              <w:t>редно</w:t>
            </w:r>
            <w:r w:rsidR="000E368D">
              <w:rPr>
                <w:lang w:val="bg-BG"/>
              </w:rPr>
              <w:t>в</w:t>
            </w:r>
            <w:r>
              <w:t>исоко“ — ако въздействието е значително; „</w:t>
            </w:r>
            <w:r w:rsidR="000E368D">
              <w:rPr>
                <w:lang w:val="bg-BG"/>
              </w:rPr>
              <w:t>среднониско</w:t>
            </w:r>
            <w:r>
              <w:t>“ — ако въздействието е съществено, но ограничено; „</w:t>
            </w:r>
            <w:r w:rsidR="000E368D">
              <w:rPr>
                <w:lang w:val="bg-BG"/>
              </w:rPr>
              <w:t>ниско</w:t>
            </w:r>
            <w:r>
              <w:t>“ — ако въздействието е слабо.</w:t>
            </w:r>
          </w:p>
        </w:tc>
      </w:tr>
      <w:tr w:rsidR="00FE5D64"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FE5D64" w:rsidRDefault="00E40776">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FE5D64" w:rsidRDefault="00E40776">
            <w:pPr>
              <w:pStyle w:val="P68B1DB1-Normal42"/>
              <w:rPr>
                <w:bCs/>
              </w:rPr>
            </w:pPr>
            <w:r>
              <w:t>Заменяемост</w:t>
            </w:r>
          </w:p>
          <w:p w14:paraId="7FE1BDC0" w14:textId="77777777" w:rsidR="00FE5D64" w:rsidRDefault="00E40776">
            <w:pPr>
              <w:pStyle w:val="P68B1DB1-Normal43"/>
            </w:pPr>
            <w:r>
              <w:t>Член 6, параграф 3 от Делегиран регламент (ЕС) 2016/778.</w:t>
            </w:r>
          </w:p>
          <w:p w14:paraId="7FE1BDC1" w14:textId="26EDD2CE" w:rsidR="00FE5D64" w:rsidRDefault="00E40776">
            <w:pPr>
              <w:pStyle w:val="P68B1DB1-Normal43"/>
            </w:pPr>
            <w:r>
              <w:t xml:space="preserve">Дадена функция се приема за заменяема, ако може да бъде заменена по приемлив начин и в </w:t>
            </w:r>
            <w:r w:rsidR="00C56B98">
              <w:rPr>
                <w:lang w:val="bg-BG"/>
              </w:rPr>
              <w:t>разумен</w:t>
            </w:r>
            <w:r w:rsidR="00C56B98">
              <w:t xml:space="preserve"> </w:t>
            </w:r>
            <w:r>
              <w:t xml:space="preserve">срок, </w:t>
            </w:r>
            <w:r w:rsidR="00C56B98">
              <w:rPr>
                <w:lang w:val="bg-BG"/>
              </w:rPr>
              <w:t>като по този начин</w:t>
            </w:r>
            <w:r>
              <w:t xml:space="preserve"> се избегнат системни проблеми за реалната икономика и финансовите пазари. Взема се предвид следното:</w:t>
            </w:r>
          </w:p>
          <w:p w14:paraId="7FE1BDC2" w14:textId="77777777" w:rsidR="00FE5D64" w:rsidRDefault="00E40776">
            <w:pPr>
              <w:pStyle w:val="P68B1DB1-Normal43"/>
            </w:pPr>
            <w:r>
              <w:t xml:space="preserve">(a) структурата на пазара за тази функция и наличието на алтернативни доставчици; </w:t>
            </w:r>
          </w:p>
          <w:p w14:paraId="7FE1BDC3" w14:textId="0CBCE335" w:rsidR="00FE5D64" w:rsidRDefault="00E40776">
            <w:pPr>
              <w:pStyle w:val="P68B1DB1-Normal43"/>
            </w:pPr>
            <w:r>
              <w:t>(</w:t>
            </w:r>
            <w:r w:rsidR="009A7C2A">
              <w:rPr>
                <w:lang w:val="bg-BG"/>
              </w:rPr>
              <w:t>б</w:t>
            </w:r>
            <w:r>
              <w:t xml:space="preserve">) възможностите на останалите доставчици по отношение на капацитета, изискванията за изпълняване на функцията и потенциалните пречки за навлизане на пазара или разрастване; </w:t>
            </w:r>
          </w:p>
          <w:p w14:paraId="7FE1BDC4" w14:textId="45652ED6" w:rsidR="00FE5D64" w:rsidRDefault="00E40776">
            <w:pPr>
              <w:pStyle w:val="P68B1DB1-Normal43"/>
            </w:pPr>
            <w:r>
              <w:t>(</w:t>
            </w:r>
            <w:r w:rsidR="009A7C2A">
              <w:rPr>
                <w:lang w:val="bg-BG"/>
              </w:rPr>
              <w:t>в</w:t>
            </w:r>
            <w:r>
              <w:t xml:space="preserve">) стимулът за други доставчици да поемат тези дейности; </w:t>
            </w:r>
          </w:p>
          <w:p w14:paraId="7FE1BDC5" w14:textId="55C2A5A0" w:rsidR="00FE5D64" w:rsidRDefault="00E40776">
            <w:pPr>
              <w:pStyle w:val="P68B1DB1-Normal43"/>
            </w:pPr>
            <w:r>
              <w:t>(</w:t>
            </w:r>
            <w:r w:rsidR="009A7C2A">
              <w:rPr>
                <w:lang w:val="bg-BG"/>
              </w:rPr>
              <w:t>г</w:t>
            </w:r>
            <w:r>
              <w:t>) необходимото време за преминаване на ползвателите на услугата към нов доставчик на услуги и свързаните с този преход разходи;</w:t>
            </w:r>
            <w:r w:rsidR="00C56B98">
              <w:rPr>
                <w:lang w:val="bg-BG"/>
              </w:rPr>
              <w:t xml:space="preserve"> </w:t>
            </w:r>
            <w:r>
              <w:t>необходимото време за поемане на функцията от другите конкуренти и дали този срок е достатъчен, за да се предотвратят сериозни сътресения в зависимост от вида услуга.</w:t>
            </w:r>
          </w:p>
          <w:p w14:paraId="7FE1BDC6" w14:textId="498B0943" w:rsidR="00FE5D64" w:rsidRDefault="00E40776">
            <w:pPr>
              <w:pStyle w:val="P68B1DB1-Normal3"/>
            </w:pPr>
            <w:r>
              <w:t xml:space="preserve">Предоставяне на цялостна оценка на очакваната степен на заменяемост за всяка функция, като се вземат предвид различните </w:t>
            </w:r>
            <w:r w:rsidR="00C56B98">
              <w:rPr>
                <w:lang w:val="bg-BG"/>
              </w:rPr>
              <w:t xml:space="preserve">аспекти, </w:t>
            </w:r>
            <w:r>
              <w:t>оцен</w:t>
            </w:r>
            <w:r w:rsidR="00C56B98">
              <w:rPr>
                <w:lang w:val="bg-BG"/>
              </w:rPr>
              <w:t>е</w:t>
            </w:r>
            <w:r>
              <w:t>ни по-рано (пазарен дял, концентрация</w:t>
            </w:r>
            <w:r w:rsidR="00C56B98">
              <w:rPr>
                <w:lang w:val="bg-BG"/>
              </w:rPr>
              <w:t xml:space="preserve"> на пазара</w:t>
            </w:r>
            <w:r>
              <w:t xml:space="preserve">, време за </w:t>
            </w:r>
            <w:r w:rsidR="00C56B98">
              <w:rPr>
                <w:lang w:val="bg-BG"/>
              </w:rPr>
              <w:t>заменяемост</w:t>
            </w:r>
            <w:r>
              <w:t>, правни пречки и оперативни изисквания за навлизане</w:t>
            </w:r>
            <w:r w:rsidR="00C56B98">
              <w:rPr>
                <w:lang w:val="bg-BG"/>
              </w:rPr>
              <w:t xml:space="preserve"> на пазара</w:t>
            </w:r>
            <w:r>
              <w:t xml:space="preserve"> или </w:t>
            </w:r>
            <w:r w:rsidR="00C56B98">
              <w:rPr>
                <w:lang w:val="bg-BG"/>
              </w:rPr>
              <w:t>разрастване</w:t>
            </w:r>
            <w:r>
              <w:t>). Тази оценка се изразява качествено като „висока</w:t>
            </w:r>
            <w:r w:rsidR="00C56B98">
              <w:rPr>
                <w:lang w:val="bg-BG"/>
              </w:rPr>
              <w:t>“</w:t>
            </w:r>
            <w:r>
              <w:t>, „средн</w:t>
            </w:r>
            <w:r w:rsidR="00C56B98">
              <w:rPr>
                <w:lang w:val="bg-BG"/>
              </w:rPr>
              <w:t>овисока“</w:t>
            </w:r>
            <w:r>
              <w:t>, „средн</w:t>
            </w:r>
            <w:r w:rsidR="00C56B98">
              <w:rPr>
                <w:lang w:val="bg-BG"/>
              </w:rPr>
              <w:t>ониска</w:t>
            </w:r>
            <w:r>
              <w:t xml:space="preserve">“ или </w:t>
            </w:r>
            <w:r w:rsidR="00C56B98">
              <w:rPr>
                <w:lang w:val="bg-BG"/>
              </w:rPr>
              <w:t>„</w:t>
            </w:r>
            <w:r>
              <w:t>ниска</w:t>
            </w:r>
            <w:r w:rsidR="00C56B98">
              <w:rPr>
                <w:lang w:val="bg-BG"/>
              </w:rPr>
              <w:t>“</w:t>
            </w:r>
            <w:r>
              <w:t xml:space="preserve">. </w:t>
            </w:r>
          </w:p>
          <w:p w14:paraId="07F40115" w14:textId="77777777" w:rsidR="00FE5D64" w:rsidRDefault="00FE5D64">
            <w:pPr>
              <w:rPr>
                <w:rFonts w:ascii="Times New Roman" w:eastAsiaTheme="minorHAnsi" w:hAnsi="Times New Roman" w:cs="Times New Roman"/>
                <w:color w:val="000000" w:themeColor="text1"/>
                <w:sz w:val="20"/>
                <w:szCs w:val="20"/>
              </w:rPr>
            </w:pPr>
          </w:p>
          <w:p w14:paraId="7FE1BDC7" w14:textId="74AC7FA1" w:rsidR="00FE5D64" w:rsidRDefault="00E40776">
            <w:pPr>
              <w:pStyle w:val="P68B1DB1-Normal43"/>
            </w:pPr>
            <w:r>
              <w:t>„Висок</w:t>
            </w:r>
            <w:r w:rsidR="00214F95">
              <w:rPr>
                <w:lang w:val="bg-BG"/>
              </w:rPr>
              <w:t>а</w:t>
            </w:r>
            <w:r>
              <w:t xml:space="preserve">“ се избира, ако една функция може лесно да </w:t>
            </w:r>
            <w:r w:rsidR="00214F95">
              <w:rPr>
                <w:lang w:val="bg-BG"/>
              </w:rPr>
              <w:t>бъде поета</w:t>
            </w:r>
            <w:r>
              <w:t xml:space="preserve"> от друга банка при </w:t>
            </w:r>
            <w:r w:rsidR="00214F95">
              <w:rPr>
                <w:lang w:val="bg-BG"/>
              </w:rPr>
              <w:t>съпоставими</w:t>
            </w:r>
            <w:r w:rsidR="00214F95">
              <w:t xml:space="preserve"> </w:t>
            </w:r>
            <w:r>
              <w:t>условия и в разумен срок;</w:t>
            </w:r>
          </w:p>
          <w:p w14:paraId="7FE1BDC8" w14:textId="18A94A96" w:rsidR="00FE5D64" w:rsidRDefault="00E40776">
            <w:pPr>
              <w:pStyle w:val="P68B1DB1-Normal43"/>
            </w:pPr>
            <w:r>
              <w:t>„</w:t>
            </w:r>
            <w:r w:rsidR="00214F95">
              <w:rPr>
                <w:lang w:val="bg-BG"/>
              </w:rPr>
              <w:t>Ниска</w:t>
            </w:r>
            <w:r>
              <w:t xml:space="preserve">“ ако една функция не може лесно или бързо да бъде заменена; </w:t>
            </w:r>
          </w:p>
          <w:p w14:paraId="7FE1BDC9" w14:textId="7E747EA0" w:rsidR="00FE5D64" w:rsidRDefault="00E40776">
            <w:pPr>
              <w:pStyle w:val="P68B1DB1-Normal43"/>
            </w:pPr>
            <w:r>
              <w:t>„</w:t>
            </w:r>
            <w:r w:rsidR="00214F95">
              <w:rPr>
                <w:lang w:val="bg-BG"/>
              </w:rPr>
              <w:t xml:space="preserve">Средновисока“ </w:t>
            </w:r>
            <w:r>
              <w:t>и „</w:t>
            </w:r>
            <w:r w:rsidR="00214F95">
              <w:rPr>
                <w:lang w:val="bg-BG"/>
              </w:rPr>
              <w:t>среднониска</w:t>
            </w:r>
            <w:r>
              <w:t xml:space="preserve">“ — за междинните случаи, </w:t>
            </w:r>
            <w:r w:rsidR="00214F95">
              <w:rPr>
                <w:lang w:val="bg-BG"/>
              </w:rPr>
              <w:t xml:space="preserve">като се вземат </w:t>
            </w:r>
            <w:r>
              <w:t xml:space="preserve">предвид различните </w:t>
            </w:r>
            <w:r w:rsidR="00214F95">
              <w:rPr>
                <w:lang w:val="bg-BG"/>
              </w:rPr>
              <w:t>аспекти</w:t>
            </w:r>
            <w:r w:rsidR="00214F95">
              <w:t xml:space="preserve"> </w:t>
            </w:r>
            <w:r>
              <w:t xml:space="preserve">(например пазарен дял, концентрация на пазара, време за </w:t>
            </w:r>
            <w:r w:rsidR="00214F95">
              <w:rPr>
                <w:lang w:val="bg-BG"/>
              </w:rPr>
              <w:t>заменяемост</w:t>
            </w:r>
            <w:r>
              <w:t>, както и правните пречки и оперативните изисквания за навлизане на пазара или разрастване).</w:t>
            </w:r>
          </w:p>
        </w:tc>
      </w:tr>
      <w:tr w:rsidR="00FE5D64"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FE5D64" w:rsidRDefault="00E40776">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FE5D64" w:rsidRDefault="00E40776">
            <w:pPr>
              <w:pStyle w:val="P68B1DB1-Normal42"/>
              <w:rPr>
                <w:bCs/>
              </w:rPr>
            </w:pPr>
            <w:r>
              <w:t>Критична функция</w:t>
            </w:r>
          </w:p>
          <w:p w14:paraId="7FE1BDCD" w14:textId="459CB0CE" w:rsidR="00FE5D64" w:rsidRDefault="00E40776">
            <w:pPr>
              <w:pStyle w:val="P68B1DB1-Normal43"/>
            </w:pPr>
            <w:r>
              <w:t xml:space="preserve">В тази колона се посочва дали икономическата функция се </w:t>
            </w:r>
            <w:r w:rsidR="004755DA">
              <w:rPr>
                <w:lang w:val="bg-BG"/>
              </w:rPr>
              <w:t>смята</w:t>
            </w:r>
            <w:r w:rsidR="004755DA">
              <w:t xml:space="preserve"> </w:t>
            </w:r>
            <w:r>
              <w:t>за критична на пазара на съответната държава, като се вземат под внимание извършената от институцията анализ</w:t>
            </w:r>
            <w:r w:rsidR="004755DA">
              <w:rPr>
                <w:lang w:val="bg-BG"/>
              </w:rPr>
              <w:t>и</w:t>
            </w:r>
            <w:r>
              <w:t xml:space="preserve"> за въздействие и </w:t>
            </w:r>
            <w:r w:rsidR="004755DA">
              <w:rPr>
                <w:lang w:val="bg-BG"/>
              </w:rPr>
              <w:t>заменяемост</w:t>
            </w:r>
            <w:r>
              <w:t>.</w:t>
            </w:r>
          </w:p>
          <w:p w14:paraId="7FE1BDCE" w14:textId="2737AF6C" w:rsidR="00FE5D64" w:rsidRDefault="00E40776">
            <w:pPr>
              <w:pStyle w:val="P68B1DB1-Normal43"/>
            </w:pPr>
            <w:r>
              <w:t>Посочва се „Да</w:t>
            </w:r>
            <w:r w:rsidR="004755DA">
              <w:rPr>
                <w:lang w:val="bg-BG"/>
              </w:rPr>
              <w:t xml:space="preserve">“ </w:t>
            </w:r>
            <w:r>
              <w:t>или „Не“.</w:t>
            </w:r>
          </w:p>
        </w:tc>
      </w:tr>
      <w:tr w:rsidR="00FE5D64"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FE5D64" w:rsidRDefault="00E40776">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FE5D64" w:rsidRDefault="00E40776">
            <w:pPr>
              <w:pStyle w:val="P68B1DB1-Normal42"/>
              <w:rPr>
                <w:bCs/>
              </w:rPr>
            </w:pPr>
            <w:r>
              <w:t>Коментари на групата</w:t>
            </w:r>
          </w:p>
          <w:p w14:paraId="7FE1BDD2" w14:textId="1E517AE2" w:rsidR="00FE5D64" w:rsidRDefault="00E40776">
            <w:pPr>
              <w:pStyle w:val="P68B1DB1-Normal43"/>
            </w:pPr>
            <w:r>
              <w:t xml:space="preserve">Това поле дава възможност на </w:t>
            </w:r>
            <w:r w:rsidR="00CD0255">
              <w:rPr>
                <w:lang w:val="bg-BG"/>
              </w:rPr>
              <w:t>отчитащия се</w:t>
            </w:r>
            <w:r w:rsidR="00CD0255">
              <w:t xml:space="preserve"> </w:t>
            </w:r>
            <w:r>
              <w:t>субект да обясни всички допускания, използвани при оценката на критичността на докладваната (ите) функция (и).</w:t>
            </w:r>
          </w:p>
        </w:tc>
      </w:tr>
    </w:tbl>
    <w:p w14:paraId="7FE1BDD4" w14:textId="77777777" w:rsidR="00FE5D64" w:rsidRDefault="00FE5D64">
      <w:pPr>
        <w:rPr>
          <w:rFonts w:ascii="Times New Roman" w:hAnsi="Times New Roman" w:cs="Times New Roman"/>
          <w:color w:val="000000" w:themeColor="text1"/>
          <w:sz w:val="20"/>
          <w:szCs w:val="20"/>
        </w:rPr>
      </w:pPr>
    </w:p>
    <w:p w14:paraId="7FE1BFB4" w14:textId="77777777" w:rsidR="00FE5D64" w:rsidRDefault="00FE5D64">
      <w:pPr>
        <w:rPr>
          <w:rFonts w:ascii="Times New Roman" w:hAnsi="Times New Roman" w:cs="Times New Roman"/>
        </w:rPr>
      </w:pPr>
    </w:p>
    <w:p w14:paraId="7FE1BFB5" w14:textId="6872E905" w:rsidR="00FE5D64" w:rsidRDefault="00E40776">
      <w:pPr>
        <w:pStyle w:val="P68B1DB1-Instructionsberschrift25"/>
        <w:numPr>
          <w:ilvl w:val="1"/>
          <w:numId w:val="49"/>
        </w:numPr>
        <w:ind w:left="357" w:hanging="357"/>
      </w:pPr>
      <w:bookmarkStart w:id="133" w:name="_Toc208244468"/>
      <w:r>
        <w:t>Z 07.02 — Онагледяване на икономическите функции по правни субекти (FUNC 2)</w:t>
      </w:r>
      <w:bookmarkEnd w:id="133"/>
      <w:r>
        <w:t xml:space="preserve"> </w:t>
      </w:r>
    </w:p>
    <w:p w14:paraId="7FE1BFB6" w14:textId="77777777" w:rsidR="00FE5D64" w:rsidRDefault="00E40776">
      <w:pPr>
        <w:pStyle w:val="P68B1DB1-Instructionsberschrift312"/>
        <w:rPr>
          <w:color w:val="auto"/>
        </w:rPr>
      </w:pPr>
      <w:r>
        <w:rPr>
          <w:color w:val="auto"/>
        </w:rPr>
        <w:t>Указания относно определени позиции</w:t>
      </w:r>
    </w:p>
    <w:p w14:paraId="7FE1BFB7" w14:textId="6175E13A" w:rsidR="00FE5D64" w:rsidRDefault="00C970B9">
      <w:pPr>
        <w:pStyle w:val="P68B1DB1-InstructionsText26"/>
        <w:numPr>
          <w:ilvl w:val="0"/>
          <w:numId w:val="232"/>
        </w:numPr>
        <w:spacing w:before="0"/>
      </w:pPr>
      <w:r>
        <w:rPr>
          <w:lang w:val="bg-BG"/>
        </w:rPr>
        <w:t>Информацията в настоящия</w:t>
      </w:r>
      <w:r w:rsidR="00E40776">
        <w:t xml:space="preserve"> образец се </w:t>
      </w:r>
      <w:r>
        <w:rPr>
          <w:lang w:val="bg-BG"/>
        </w:rPr>
        <w:t>предоставя</w:t>
      </w:r>
      <w:r w:rsidR="00965969">
        <w:t xml:space="preserve"> </w:t>
      </w:r>
      <w:r w:rsidR="00E40776">
        <w:t>за цялата група и като се вземат предвид икономическите функции, които групата предоставя на икономиката.</w:t>
      </w:r>
    </w:p>
    <w:p w14:paraId="7FE1BFB8" w14:textId="024E5626" w:rsidR="00FE5D64" w:rsidRDefault="002E014A">
      <w:pPr>
        <w:pStyle w:val="P68B1DB1-InstructionsText26"/>
        <w:numPr>
          <w:ilvl w:val="0"/>
          <w:numId w:val="232"/>
        </w:numPr>
        <w:spacing w:before="0"/>
      </w:pPr>
      <w:r>
        <w:rPr>
          <w:lang w:val="bg-BG"/>
        </w:rPr>
        <w:t>Комбинацията на</w:t>
      </w:r>
      <w:r w:rsidR="00E40776">
        <w:t xml:space="preserve"> стойности</w:t>
      </w:r>
      <w:r>
        <w:rPr>
          <w:lang w:val="bg-BG"/>
        </w:rPr>
        <w:t>те</w:t>
      </w:r>
      <w:r w:rsidR="00E40776">
        <w:t>, отчетени в колони 0010, 0020 и 0040 от този образец, формира първичен код, който трябва да е уникален за всеки ред от образеца.</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E5D64"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FE5D64" w:rsidRDefault="00E40776">
            <w:pPr>
              <w:pStyle w:val="P68B1DB1-TableParagraph17"/>
              <w:spacing w:before="108"/>
              <w:ind w:left="85"/>
              <w:jc w:val="both"/>
            </w:pPr>
            <w:r>
              <w:t>Колони</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FE5D64" w:rsidRDefault="00E40776">
            <w:pPr>
              <w:pStyle w:val="P68B1DB1-TableParagraph17"/>
              <w:spacing w:before="108"/>
              <w:ind w:left="85" w:right="1"/>
              <w:jc w:val="both"/>
            </w:pPr>
            <w:r>
              <w:t>Указания</w:t>
            </w:r>
          </w:p>
        </w:tc>
      </w:tr>
      <w:tr w:rsidR="00FE5D64"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FE5D64" w:rsidRDefault="00E40776">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FE5D64" w:rsidRDefault="00E40776">
            <w:pPr>
              <w:pStyle w:val="P68B1DB1-TableParagraph14"/>
              <w:spacing w:before="108"/>
              <w:ind w:left="85"/>
              <w:jc w:val="both"/>
              <w:rPr>
                <w:bCs/>
              </w:rPr>
            </w:pPr>
            <w:r>
              <w:t>Икономическа функция</w:t>
            </w:r>
          </w:p>
        </w:tc>
      </w:tr>
      <w:tr w:rsidR="00FE5D64"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FE5D64" w:rsidRDefault="00E40776">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FE5D64" w:rsidRDefault="00E40776">
            <w:pPr>
              <w:pStyle w:val="P68B1DB1-TableParagraph14"/>
              <w:spacing w:before="108"/>
              <w:ind w:left="85"/>
              <w:jc w:val="both"/>
              <w:rPr>
                <w:bCs/>
              </w:rPr>
            </w:pPr>
            <w:r>
              <w:t>Държава</w:t>
            </w:r>
          </w:p>
          <w:p w14:paraId="7FE1BFC1" w14:textId="7C7B9F0A" w:rsidR="00FE5D64" w:rsidRDefault="00E40776" w:rsidP="00965969">
            <w:pPr>
              <w:pStyle w:val="P68B1DB1-TableParagraph17"/>
              <w:spacing w:before="108"/>
              <w:ind w:left="85"/>
            </w:pPr>
            <w:r>
              <w:t xml:space="preserve">Държавата, </w:t>
            </w:r>
            <w:r w:rsidR="00965969">
              <w:rPr>
                <w:lang w:val="bg-BG"/>
              </w:rPr>
              <w:t>в</w:t>
            </w:r>
            <w:r w:rsidR="00965969" w:rsidRPr="00194860">
              <w:rPr>
                <w:lang w:val="bg-BG"/>
              </w:rPr>
              <w:t xml:space="preserve"> </w:t>
            </w:r>
            <w:r>
              <w:t xml:space="preserve">която </w:t>
            </w:r>
            <w:r w:rsidR="00965969">
              <w:rPr>
                <w:lang w:val="bg-BG"/>
              </w:rPr>
              <w:t>с</w:t>
            </w:r>
            <w:r>
              <w:t xml:space="preserve">е </w:t>
            </w:r>
            <w:r w:rsidR="00C970B9">
              <w:t>предоставя</w:t>
            </w:r>
            <w:r>
              <w:t xml:space="preserve"> икономическата функция</w:t>
            </w:r>
          </w:p>
        </w:tc>
      </w:tr>
      <w:tr w:rsidR="00FE5D64"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FE5D64" w:rsidRDefault="00E40776">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91419A" w14:textId="2D9148AE" w:rsidR="00FE5D64" w:rsidRDefault="00E40776">
            <w:pPr>
              <w:pStyle w:val="P68B1DB1-TableParagraph14"/>
              <w:spacing w:before="108"/>
              <w:ind w:left="85"/>
              <w:jc w:val="both"/>
              <w:rPr>
                <w:bCs/>
              </w:rPr>
            </w:pPr>
            <w:r>
              <w:t>И</w:t>
            </w:r>
            <w:r w:rsidR="00200BCB">
              <w:rPr>
                <w:lang w:val="bg-BG"/>
              </w:rPr>
              <w:t>дентификатор</w:t>
            </w:r>
          </w:p>
          <w:p w14:paraId="7FE1BFC5" w14:textId="05F6B42D" w:rsidR="00FE5D64" w:rsidRDefault="00E40776">
            <w:pPr>
              <w:pStyle w:val="P68B1DB1-TableParagraph17"/>
              <w:spacing w:before="108"/>
              <w:ind w:left="85"/>
            </w:pPr>
            <w:r>
              <w:t>Идентификационен код на икономическите функции (както е посочено в образец Z 07.01 (FUNC 1) в случай на критични функции).</w:t>
            </w:r>
          </w:p>
        </w:tc>
      </w:tr>
      <w:tr w:rsidR="00FE5D64"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FE5D64" w:rsidRDefault="00E40776">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61B4181F" w:rsidR="00FE5D64" w:rsidRPr="00194860" w:rsidRDefault="00965969">
            <w:pPr>
              <w:pStyle w:val="P68B1DB1-TableParagraph14"/>
              <w:spacing w:before="108"/>
              <w:ind w:left="85"/>
              <w:jc w:val="both"/>
              <w:rPr>
                <w:lang w:val="bg-BG"/>
              </w:rPr>
            </w:pPr>
            <w:r w:rsidRPr="00194860">
              <w:rPr>
                <w:lang w:val="bg-BG"/>
              </w:rPr>
              <w:t>Прав</w:t>
            </w:r>
            <w:r>
              <w:rPr>
                <w:lang w:val="bg-BG"/>
              </w:rPr>
              <w:t>е</w:t>
            </w:r>
            <w:r w:rsidRPr="00194860">
              <w:rPr>
                <w:lang w:val="bg-BG"/>
              </w:rPr>
              <w:t xml:space="preserve">н </w:t>
            </w:r>
            <w:r>
              <w:rPr>
                <w:lang w:val="bg-BG"/>
              </w:rPr>
              <w:t>субект</w:t>
            </w:r>
          </w:p>
        </w:tc>
      </w:tr>
      <w:tr w:rsidR="00FE5D64"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FE5D64" w:rsidRDefault="00E40776">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FE5D64" w:rsidRDefault="00E40776">
            <w:pPr>
              <w:pStyle w:val="P68B1DB1-TableParagraph14"/>
              <w:spacing w:before="108"/>
              <w:ind w:left="85"/>
              <w:jc w:val="both"/>
              <w:rPr>
                <w:bCs/>
              </w:rPr>
            </w:pPr>
            <w:r>
              <w:t>Наименование на субекта</w:t>
            </w:r>
          </w:p>
          <w:p w14:paraId="7FE1BFCD" w14:textId="375A6177" w:rsidR="00FE5D64" w:rsidRDefault="00E40776">
            <w:pPr>
              <w:pStyle w:val="P68B1DB1-TableParagraph17"/>
              <w:spacing w:before="108"/>
              <w:ind w:left="85"/>
            </w:pPr>
            <w:r>
              <w:t>Наименованието на субекта, изпълняващ икономическата функция, както е посочено в Z 01.01 (ORG 1).</w:t>
            </w:r>
          </w:p>
          <w:p w14:paraId="7FE1BFCE" w14:textId="1D3C691D" w:rsidR="00FE5D64" w:rsidRDefault="00E40776">
            <w:pPr>
              <w:pStyle w:val="P68B1DB1-TableParagraph17"/>
              <w:spacing w:before="108"/>
              <w:ind w:left="85"/>
            </w:pPr>
            <w:r>
              <w:t xml:space="preserve">Ако има няколко субекта, изпълняващи едни и същи </w:t>
            </w:r>
            <w:r w:rsidR="00200BCB">
              <w:rPr>
                <w:lang w:val="bg-BG"/>
              </w:rPr>
              <w:t xml:space="preserve">икономически </w:t>
            </w:r>
            <w:r>
              <w:t>функции в една и съща държава, информацията за всеки субект се предоставя в отделен ред.</w:t>
            </w:r>
          </w:p>
        </w:tc>
      </w:tr>
      <w:tr w:rsidR="00FE5D64"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FE5D64" w:rsidRDefault="00E40776">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399E1367" w:rsidR="00FE5D64" w:rsidRPr="00200BCB" w:rsidRDefault="00200BCB">
            <w:pPr>
              <w:pStyle w:val="P68B1DB1-TableParagraph14"/>
              <w:spacing w:before="108"/>
              <w:ind w:left="85"/>
              <w:jc w:val="both"/>
              <w:rPr>
                <w:lang w:val="bg-BG"/>
              </w:rPr>
            </w:pPr>
            <w:r>
              <w:rPr>
                <w:lang w:val="bg-BG"/>
              </w:rPr>
              <w:t>Код</w:t>
            </w:r>
          </w:p>
          <w:p w14:paraId="7FE1BFD2" w14:textId="005B283E" w:rsidR="00FE5D64" w:rsidRDefault="00E40776">
            <w:pPr>
              <w:pStyle w:val="P68B1DB1-TableParagraph17"/>
              <w:spacing w:before="108"/>
              <w:ind w:left="85"/>
            </w:pPr>
            <w:r>
              <w:t>Уникален идентификатор на правния субект в колона 0020, посочен в образец Z 01.01 (ORG 1).</w:t>
            </w:r>
          </w:p>
          <w:p w14:paraId="7FE1BFD3" w14:textId="0AEAE2F2" w:rsidR="00FE5D64" w:rsidRDefault="00E40776">
            <w:pPr>
              <w:pStyle w:val="P68B1DB1-TableParagraph17"/>
              <w:spacing w:before="108"/>
              <w:ind w:left="85"/>
            </w:pPr>
            <w:r>
              <w:t>Идентифицирането на субектите се извършва по последователен начин във всички образци.</w:t>
            </w:r>
          </w:p>
        </w:tc>
      </w:tr>
      <w:tr w:rsidR="00FE5D64"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FE5D64" w:rsidRDefault="00E40776">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FE5D64" w:rsidRDefault="00E40776">
            <w:pPr>
              <w:pStyle w:val="P68B1DB1-TableParagraph14"/>
              <w:spacing w:before="108"/>
              <w:ind w:left="85"/>
              <w:jc w:val="both"/>
              <w:rPr>
                <w:bCs/>
              </w:rPr>
            </w:pPr>
            <w:r>
              <w:t>Вид код</w:t>
            </w:r>
          </w:p>
          <w:p w14:paraId="29A7EF10" w14:textId="23DDE866" w:rsidR="00FE5D64" w:rsidRDefault="00E40776">
            <w:pPr>
              <w:pStyle w:val="P68B1DB1-TableParagraph13"/>
              <w:spacing w:before="108"/>
            </w:pPr>
            <w:r>
              <w:t>Избира се измежду следните варианти: „ИКПС</w:t>
            </w:r>
            <w:r w:rsidR="00965969">
              <w:rPr>
                <w:lang w:val="bg-BG"/>
              </w:rPr>
              <w:t>“</w:t>
            </w:r>
            <w:r>
              <w:t>, „Код на ПФИ</w:t>
            </w:r>
            <w:r w:rsidR="00965969">
              <w:rPr>
                <w:lang w:val="bg-BG"/>
              </w:rPr>
              <w:t xml:space="preserve">“ </w:t>
            </w:r>
            <w:r>
              <w:t>или „Вид идентификатор, различен от ИКПС или код на ПФИ“.</w:t>
            </w:r>
          </w:p>
          <w:p w14:paraId="7FE1BFDA" w14:textId="77777777" w:rsidR="00FE5D64" w:rsidRDefault="00E40776">
            <w:pPr>
              <w:pStyle w:val="P68B1DB1-TableParagraph13"/>
              <w:spacing w:before="108"/>
              <w:ind w:left="85"/>
              <w:jc w:val="both"/>
              <w:rPr>
                <w:b/>
                <w:bCs/>
              </w:rPr>
            </w:pPr>
            <w:r>
              <w:t>Идентифицирането на субектите се извършва по последователен начин във всички образци.</w:t>
            </w:r>
          </w:p>
        </w:tc>
      </w:tr>
      <w:tr w:rsidR="00FE5D64"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FE5D64" w:rsidRDefault="00E40776">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F11421A" w:rsidR="00FE5D64" w:rsidRPr="00200BCB" w:rsidRDefault="00E40776">
            <w:pPr>
              <w:pStyle w:val="P68B1DB1-TableParagraph14"/>
              <w:spacing w:before="108"/>
              <w:ind w:left="85"/>
              <w:jc w:val="both"/>
              <w:rPr>
                <w:lang w:val="bg-BG"/>
              </w:rPr>
            </w:pPr>
            <w:r>
              <w:t>Парична стойност</w:t>
            </w:r>
          </w:p>
          <w:p w14:paraId="7FE1BFDE" w14:textId="2A258E20" w:rsidR="00FE5D64" w:rsidRDefault="00965969">
            <w:pPr>
              <w:pStyle w:val="P68B1DB1-TableParagraph17"/>
              <w:spacing w:before="108"/>
              <w:ind w:left="85"/>
            </w:pPr>
            <w:r>
              <w:rPr>
                <w:lang w:val="bg-BG"/>
              </w:rPr>
              <w:t>Приносът</w:t>
            </w:r>
            <w:r w:rsidR="00E40776">
              <w:t xml:space="preserve">, в парично изражение, на правния субект </w:t>
            </w:r>
            <w:r>
              <w:rPr>
                <w:lang w:val="bg-BG"/>
              </w:rPr>
              <w:t>към</w:t>
            </w:r>
            <w:r w:rsidR="00E40776">
              <w:t xml:space="preserve"> </w:t>
            </w:r>
            <w:r>
              <w:t>парич</w:t>
            </w:r>
            <w:r w:rsidR="00200BCB">
              <w:rPr>
                <w:lang w:val="bg-BG"/>
              </w:rPr>
              <w:t>ния размер</w:t>
            </w:r>
            <w:r w:rsidR="00E40776">
              <w:t>, посочен в образец Z 07.01 (FUNC 1):</w:t>
            </w:r>
          </w:p>
          <w:p w14:paraId="7FE1BFDF" w14:textId="7DCA3517" w:rsidR="00FE5D64" w:rsidRDefault="00E40776">
            <w:pPr>
              <w:pStyle w:val="P68B1DB1-TableParagraph17"/>
              <w:numPr>
                <w:ilvl w:val="0"/>
                <w:numId w:val="64"/>
              </w:numPr>
              <w:spacing w:before="108"/>
            </w:pPr>
            <w:r>
              <w:t xml:space="preserve">Депозити — </w:t>
            </w:r>
            <w:r w:rsidR="00965969">
              <w:rPr>
                <w:lang w:val="bg-BG"/>
              </w:rPr>
              <w:t>баланс</w:t>
            </w:r>
            <w:r w:rsidR="00965969">
              <w:t xml:space="preserve"> </w:t>
            </w:r>
            <w:r>
              <w:t>по сметки</w:t>
            </w:r>
          </w:p>
          <w:p w14:paraId="7FE1BFE0" w14:textId="7AEBEFAC" w:rsidR="00FE5D64" w:rsidRDefault="00E40776">
            <w:pPr>
              <w:pStyle w:val="P68B1DB1-TableParagraph17"/>
              <w:numPr>
                <w:ilvl w:val="0"/>
                <w:numId w:val="64"/>
              </w:numPr>
              <w:spacing w:before="108"/>
            </w:pPr>
            <w:r>
              <w:t xml:space="preserve">Кредитиране — </w:t>
            </w:r>
            <w:r w:rsidR="00F34F43">
              <w:rPr>
                <w:lang w:val="bg-BG"/>
              </w:rPr>
              <w:t>брутна балансова</w:t>
            </w:r>
            <w:r w:rsidR="00F34F43">
              <w:t xml:space="preserve"> </w:t>
            </w:r>
            <w:r>
              <w:t>стойност</w:t>
            </w:r>
          </w:p>
          <w:p w14:paraId="7FE1BFE1" w14:textId="707A7F53" w:rsidR="00FE5D64" w:rsidRDefault="00E40776">
            <w:pPr>
              <w:pStyle w:val="P68B1DB1-TableParagraph17"/>
              <w:numPr>
                <w:ilvl w:val="0"/>
                <w:numId w:val="64"/>
              </w:numPr>
              <w:spacing w:before="108"/>
            </w:pPr>
            <w:r>
              <w:t xml:space="preserve">Плащания — </w:t>
            </w:r>
            <w:r w:rsidR="00F34F43">
              <w:rPr>
                <w:lang w:val="bg-BG"/>
              </w:rPr>
              <w:t>стойност</w:t>
            </w:r>
            <w:r>
              <w:t xml:space="preserve"> на </w:t>
            </w:r>
            <w:r w:rsidR="003244DE">
              <w:rPr>
                <w:lang w:val="bg-BG"/>
              </w:rPr>
              <w:t>трансакциите</w:t>
            </w:r>
            <w:r>
              <w:t>/отворените позиции/активите под попечителство (</w:t>
            </w:r>
            <w:r w:rsidR="00F34F43">
              <w:rPr>
                <w:lang w:val="bg-BG"/>
              </w:rPr>
              <w:t>което е приложимо</w:t>
            </w:r>
            <w:r>
              <w:t>)</w:t>
            </w:r>
          </w:p>
          <w:p w14:paraId="7FE1BFE2" w14:textId="2604E57A" w:rsidR="00FE5D64" w:rsidRDefault="00E40776">
            <w:pPr>
              <w:pStyle w:val="P68B1DB1-TableParagraph17"/>
              <w:numPr>
                <w:ilvl w:val="0"/>
                <w:numId w:val="64"/>
              </w:numPr>
              <w:spacing w:before="108"/>
            </w:pPr>
            <w:r>
              <w:t>Капиталови пазари — условна</w:t>
            </w:r>
            <w:r w:rsidR="003244DE">
              <w:t xml:space="preserve"> </w:t>
            </w:r>
            <w:r>
              <w:t>стойност/</w:t>
            </w:r>
            <w:r w:rsidR="003244DE">
              <w:rPr>
                <w:lang w:val="bg-BG"/>
              </w:rPr>
              <w:t>б</w:t>
            </w:r>
            <w:r>
              <w:t xml:space="preserve">алансова </w:t>
            </w:r>
            <w:r w:rsidR="003244DE">
              <w:rPr>
                <w:lang w:val="bg-BG"/>
              </w:rPr>
              <w:t>стойност</w:t>
            </w:r>
            <w:r>
              <w:t>/</w:t>
            </w:r>
            <w:r w:rsidR="00F34F43">
              <w:rPr>
                <w:lang w:val="bg-BG"/>
              </w:rPr>
              <w:t>п</w:t>
            </w:r>
            <w:r>
              <w:t>риходи от такси (</w:t>
            </w:r>
            <w:r w:rsidR="003244DE">
              <w:rPr>
                <w:lang w:val="bg-BG"/>
              </w:rPr>
              <w:t>ко</w:t>
            </w:r>
            <w:r w:rsidR="00F34F43">
              <w:rPr>
                <w:lang w:val="bg-BG"/>
              </w:rPr>
              <w:t>ет</w:t>
            </w:r>
            <w:r w:rsidR="003244DE">
              <w:rPr>
                <w:lang w:val="bg-BG"/>
              </w:rPr>
              <w:t>о е приложимо</w:t>
            </w:r>
            <w:r>
              <w:t>)</w:t>
            </w:r>
          </w:p>
          <w:p w14:paraId="7FE1BFE3" w14:textId="24E43830" w:rsidR="00FE5D64" w:rsidRDefault="00E40776">
            <w:pPr>
              <w:pStyle w:val="P68B1DB1-TableParagraph17"/>
              <w:numPr>
                <w:ilvl w:val="0"/>
                <w:numId w:val="64"/>
              </w:numPr>
              <w:spacing w:before="108"/>
            </w:pPr>
            <w:r>
              <w:t xml:space="preserve">Финансиране на едро — </w:t>
            </w:r>
            <w:r w:rsidR="003244DE">
              <w:rPr>
                <w:lang w:val="bg-BG"/>
              </w:rPr>
              <w:t>б</w:t>
            </w:r>
            <w:r>
              <w:t>рутна балансова стойност</w:t>
            </w:r>
          </w:p>
        </w:tc>
      </w:tr>
    </w:tbl>
    <w:p w14:paraId="7FE1BFE5" w14:textId="7DF59CF3" w:rsidR="00FE5D64" w:rsidRDefault="00FE5D64" w:rsidP="003244DE">
      <w:pPr>
        <w:rPr>
          <w:rFonts w:ascii="Times New Roman" w:hAnsi="Times New Roman" w:cs="Times New Roman"/>
          <w:color w:val="000000" w:themeColor="text1"/>
          <w:sz w:val="20"/>
          <w:szCs w:val="20"/>
        </w:rPr>
      </w:pPr>
    </w:p>
    <w:p w14:paraId="7FE1BFE6" w14:textId="7D002ADC" w:rsidR="00FE5D64" w:rsidRDefault="00E40776">
      <w:pPr>
        <w:pStyle w:val="P68B1DB1-Instructionsberschrift25"/>
        <w:numPr>
          <w:ilvl w:val="1"/>
          <w:numId w:val="49"/>
        </w:numPr>
        <w:ind w:left="357" w:hanging="357"/>
      </w:pPr>
      <w:bookmarkStart w:id="134" w:name="_Toc208244469"/>
      <w:r>
        <w:t>Z 07.03 — Онагледяване на основните стопански дейности по правни субекти (FUNC 3)</w:t>
      </w:r>
      <w:bookmarkEnd w:id="134"/>
    </w:p>
    <w:p w14:paraId="7FE1BFE7" w14:textId="2A9EA2DA" w:rsidR="00FE5D64" w:rsidRDefault="00E40776">
      <w:pPr>
        <w:pStyle w:val="P68B1DB1-Instructionsberschrift312"/>
        <w:rPr>
          <w:bCs/>
        </w:rPr>
      </w:pPr>
      <w:r>
        <w:t>Указания относно определени позиции</w:t>
      </w:r>
    </w:p>
    <w:p w14:paraId="7FE1BFE8" w14:textId="2411346E" w:rsidR="00FE5D64" w:rsidRDefault="00E40776">
      <w:pPr>
        <w:pStyle w:val="P68B1DB1-InstructionsText26"/>
        <w:numPr>
          <w:ilvl w:val="0"/>
          <w:numId w:val="232"/>
        </w:numPr>
        <w:spacing w:before="0"/>
      </w:pPr>
      <w:r>
        <w:t xml:space="preserve">Комбинацията на стойностите, </w:t>
      </w:r>
      <w:r w:rsidR="003244DE">
        <w:rPr>
          <w:lang w:val="bg-BG"/>
        </w:rPr>
        <w:t>отчетени</w:t>
      </w:r>
      <w:r w:rsidR="003244DE">
        <w:t xml:space="preserve"> </w:t>
      </w:r>
      <w:r>
        <w:t xml:space="preserve">в колони 0020 и 0050 от настоящия образец, формира първичен код, който трябва да е </w:t>
      </w:r>
      <w:r w:rsidR="00636370">
        <w:rPr>
          <w:lang w:val="bg-BG"/>
        </w:rPr>
        <w:t>уникален</w:t>
      </w:r>
      <w:r w:rsidR="00636370">
        <w:t xml:space="preserve"> </w:t>
      </w:r>
      <w:r>
        <w:t>за всеки ред от образеца.</w:t>
      </w:r>
    </w:p>
    <w:p w14:paraId="7FE1BFE9" w14:textId="43151A68" w:rsidR="00FE5D64" w:rsidRDefault="00E40776">
      <w:pPr>
        <w:pStyle w:val="P68B1DB1-InstructionsText26"/>
        <w:numPr>
          <w:ilvl w:val="0"/>
          <w:numId w:val="232"/>
        </w:numPr>
        <w:spacing w:before="0"/>
      </w:pPr>
      <w:r>
        <w:t xml:space="preserve">В настоящия образец се </w:t>
      </w:r>
      <w:r w:rsidR="003244DE">
        <w:rPr>
          <w:lang w:val="bg-BG"/>
        </w:rPr>
        <w:t>отчитат</w:t>
      </w:r>
      <w:r w:rsidR="003244DE">
        <w:t xml:space="preserve"> </w:t>
      </w:r>
      <w:r>
        <w:t xml:space="preserve">само </w:t>
      </w:r>
      <w:r w:rsidR="00636370">
        <w:rPr>
          <w:lang w:val="bg-BG"/>
        </w:rPr>
        <w:t xml:space="preserve">стопанските дейности на </w:t>
      </w:r>
      <w:r>
        <w:t xml:space="preserve">съответните правни субекти.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E5D64"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FE5D64" w:rsidRDefault="00E40776">
            <w:pPr>
              <w:pStyle w:val="P68B1DB1-TableParagraph17"/>
              <w:spacing w:before="108"/>
              <w:ind w:left="85"/>
              <w:jc w:val="both"/>
            </w:pPr>
            <w:r>
              <w:t>Колони</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FE5D64" w:rsidRDefault="00E40776">
            <w:pPr>
              <w:pStyle w:val="P68B1DB1-TableParagraph17"/>
              <w:spacing w:before="108"/>
              <w:ind w:left="85" w:right="1"/>
              <w:jc w:val="both"/>
            </w:pPr>
            <w:r>
              <w:t>Указания</w:t>
            </w:r>
          </w:p>
        </w:tc>
      </w:tr>
      <w:tr w:rsidR="00FE5D6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FE5D64" w:rsidRDefault="00E40776">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72FD2A1D" w:rsidR="00FE5D64" w:rsidRDefault="00E40776">
            <w:pPr>
              <w:pStyle w:val="P68B1DB1-TableParagraph14"/>
              <w:spacing w:before="108"/>
              <w:ind w:left="85"/>
              <w:jc w:val="both"/>
              <w:rPr>
                <w:bCs/>
              </w:rPr>
            </w:pPr>
            <w:r>
              <w:t>Основна стопанска дейност</w:t>
            </w:r>
          </w:p>
        </w:tc>
      </w:tr>
      <w:tr w:rsidR="00FE5D6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FE5D64" w:rsidRDefault="00E40776">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5459770" w:rsidR="00FE5D64" w:rsidRDefault="00E40776">
            <w:pPr>
              <w:pStyle w:val="P68B1DB1-TableParagraph14"/>
              <w:spacing w:before="108"/>
              <w:ind w:left="85"/>
              <w:jc w:val="both"/>
              <w:rPr>
                <w:bCs/>
              </w:rPr>
            </w:pPr>
            <w:r>
              <w:t>Основна стопанска дейност</w:t>
            </w:r>
          </w:p>
          <w:p w14:paraId="7FE1BFF2" w14:textId="09CF9C1A" w:rsidR="00FE5D64" w:rsidRDefault="00E40776">
            <w:pPr>
              <w:pStyle w:val="P68B1DB1-TableParagraph17"/>
              <w:spacing w:before="108"/>
              <w:ind w:left="85"/>
            </w:pPr>
            <w:r>
              <w:t>Основна стопанска дейност по смисъла на член 2, параграф 1, точка 36 и член 2, параграф 2 от Директива 2014/59/ЕС.</w:t>
            </w:r>
          </w:p>
          <w:p w14:paraId="7FE1BFF3" w14:textId="7CA44105" w:rsidR="00FE5D64" w:rsidRDefault="00E40776">
            <w:pPr>
              <w:pStyle w:val="P68B1DB1-TableParagraph17"/>
              <w:spacing w:before="108"/>
              <w:ind w:left="85"/>
            </w:pPr>
            <w:r>
              <w:t>Основната стопанска дейност е една от изброените по-долу сфери на дейност.</w:t>
            </w:r>
          </w:p>
          <w:p w14:paraId="7FE1BFF4" w14:textId="77777777" w:rsidR="00FE5D64" w:rsidRDefault="00E40776">
            <w:pPr>
              <w:pStyle w:val="P68B1DB1-TableParagraph17"/>
              <w:numPr>
                <w:ilvl w:val="0"/>
                <w:numId w:val="139"/>
              </w:numPr>
              <w:spacing w:before="108"/>
              <w:rPr>
                <w:rFonts w:eastAsiaTheme="minorEastAsia"/>
              </w:rPr>
            </w:pPr>
            <w:r>
              <w:t xml:space="preserve">Банкиране на дребно </w:t>
            </w:r>
          </w:p>
          <w:p w14:paraId="7FE1BFF5" w14:textId="77777777" w:rsidR="00FE5D64" w:rsidRDefault="00E40776">
            <w:pPr>
              <w:pStyle w:val="P68B1DB1-TableParagraph17"/>
              <w:numPr>
                <w:ilvl w:val="0"/>
                <w:numId w:val="139"/>
              </w:numPr>
              <w:spacing w:before="108"/>
            </w:pPr>
            <w:r>
              <w:t>Корпоративно банкиране</w:t>
            </w:r>
          </w:p>
          <w:p w14:paraId="7FE1BFF6" w14:textId="1BA2D556" w:rsidR="00FE5D64" w:rsidRDefault="00E40776">
            <w:pPr>
              <w:pStyle w:val="P68B1DB1-TableParagraph17"/>
              <w:numPr>
                <w:ilvl w:val="0"/>
                <w:numId w:val="139"/>
              </w:numPr>
              <w:spacing w:before="108"/>
            </w:pPr>
            <w:r>
              <w:t>Инвестиционно банкиране</w:t>
            </w:r>
          </w:p>
          <w:p w14:paraId="7FE1BFF7" w14:textId="50DEF7A4" w:rsidR="00FE5D64" w:rsidRDefault="00E40776">
            <w:pPr>
              <w:pStyle w:val="P68B1DB1-TableParagraph17"/>
              <w:numPr>
                <w:ilvl w:val="0"/>
                <w:numId w:val="139"/>
              </w:numPr>
              <w:spacing w:before="108"/>
            </w:pPr>
            <w:r>
              <w:t>Застрахова</w:t>
            </w:r>
            <w:r w:rsidR="00636370">
              <w:rPr>
                <w:lang w:val="bg-BG"/>
              </w:rPr>
              <w:t>не</w:t>
            </w:r>
          </w:p>
          <w:p w14:paraId="7FE1BFF8" w14:textId="77777777" w:rsidR="00FE5D64" w:rsidRDefault="00E40776">
            <w:pPr>
              <w:pStyle w:val="P68B1DB1-TableParagraph17"/>
              <w:numPr>
                <w:ilvl w:val="0"/>
                <w:numId w:val="139"/>
              </w:numPr>
              <w:spacing w:before="108"/>
            </w:pPr>
            <w:r>
              <w:t>Презастраховане</w:t>
            </w:r>
          </w:p>
          <w:p w14:paraId="7FE1BFF9" w14:textId="77777777" w:rsidR="00FE5D64" w:rsidRDefault="00E40776">
            <w:pPr>
              <w:pStyle w:val="P68B1DB1-TableParagraph17"/>
              <w:numPr>
                <w:ilvl w:val="0"/>
                <w:numId w:val="139"/>
              </w:numPr>
              <w:spacing w:before="108"/>
            </w:pPr>
            <w:r>
              <w:t>Брокерски услуги на неинституционални клиенти</w:t>
            </w:r>
          </w:p>
          <w:p w14:paraId="7FE1BFFA" w14:textId="07DDB74E" w:rsidR="00FE5D64" w:rsidRDefault="00E40776">
            <w:pPr>
              <w:pStyle w:val="P68B1DB1-TableParagraph17"/>
              <w:numPr>
                <w:ilvl w:val="0"/>
                <w:numId w:val="139"/>
              </w:numPr>
              <w:spacing w:before="108"/>
            </w:pPr>
            <w:r>
              <w:t xml:space="preserve">Управление на благосъстоянието </w:t>
            </w:r>
            <w:r w:rsidR="00232FB5">
              <w:rPr>
                <w:lang w:val="bg-BG"/>
              </w:rPr>
              <w:t>(</w:t>
            </w:r>
            <w:r w:rsidR="00232FB5" w:rsidRPr="00232FB5">
              <w:rPr>
                <w:lang w:val="bg-BG"/>
              </w:rPr>
              <w:t>Wealth management</w:t>
            </w:r>
            <w:r w:rsidR="00232FB5">
              <w:rPr>
                <w:lang w:val="bg-BG"/>
              </w:rPr>
              <w:t>)</w:t>
            </w:r>
          </w:p>
          <w:p w14:paraId="7FE1BFFB" w14:textId="77777777" w:rsidR="00FE5D64" w:rsidRDefault="00E40776">
            <w:pPr>
              <w:pStyle w:val="P68B1DB1-TableParagraph17"/>
              <w:numPr>
                <w:ilvl w:val="0"/>
                <w:numId w:val="139"/>
              </w:numPr>
              <w:spacing w:before="108"/>
            </w:pPr>
            <w:r>
              <w:t>Агенция за недвижими имоти</w:t>
            </w:r>
          </w:p>
          <w:p w14:paraId="7FE1BFFC" w14:textId="14CF3FA6" w:rsidR="00FE5D64" w:rsidRDefault="00E40776">
            <w:pPr>
              <w:pStyle w:val="P68B1DB1-TableParagraph17"/>
              <w:numPr>
                <w:ilvl w:val="0"/>
                <w:numId w:val="139"/>
              </w:numPr>
              <w:spacing w:before="108"/>
            </w:pPr>
            <w:r>
              <w:t>Счетоводство</w:t>
            </w:r>
          </w:p>
          <w:p w14:paraId="7FE1BFFD" w14:textId="77777777" w:rsidR="00FE5D64" w:rsidRDefault="00E40776">
            <w:pPr>
              <w:pStyle w:val="P68B1DB1-TableParagraph17"/>
              <w:numPr>
                <w:ilvl w:val="0"/>
                <w:numId w:val="139"/>
              </w:numPr>
              <w:spacing w:before="108"/>
            </w:pPr>
            <w:r>
              <w:t>Други</w:t>
            </w:r>
          </w:p>
          <w:p w14:paraId="7FE1BFFE" w14:textId="77777777" w:rsidR="00FE5D64" w:rsidRDefault="00FE5D64">
            <w:pPr>
              <w:pStyle w:val="TableParagraph"/>
              <w:spacing w:before="108"/>
              <w:ind w:left="85"/>
              <w:rPr>
                <w:rFonts w:ascii="Times New Roman" w:eastAsia="Cambria" w:hAnsi="Times New Roman" w:cs="Times New Roman"/>
                <w:color w:val="000000" w:themeColor="text1"/>
                <w:sz w:val="20"/>
                <w:szCs w:val="20"/>
              </w:rPr>
            </w:pPr>
          </w:p>
        </w:tc>
      </w:tr>
      <w:tr w:rsidR="00FE5D6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FE5D64" w:rsidRDefault="00E40776">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1B62708B" w:rsidR="00FE5D64" w:rsidRDefault="00E40776">
            <w:pPr>
              <w:pStyle w:val="P68B1DB1-TableParagraph14"/>
              <w:spacing w:before="108"/>
              <w:ind w:left="85"/>
              <w:jc w:val="both"/>
              <w:rPr>
                <w:bCs/>
              </w:rPr>
            </w:pPr>
            <w:r>
              <w:t>Идентификационен код</w:t>
            </w:r>
            <w:r w:rsidR="003244DE" w:rsidRPr="008E78DF">
              <w:t xml:space="preserve"> </w:t>
            </w:r>
            <w:r>
              <w:t>на стопанската дейност</w:t>
            </w:r>
          </w:p>
          <w:p w14:paraId="7FE1C002" w14:textId="6DC97A73" w:rsidR="00FE5D64" w:rsidRDefault="003244DE">
            <w:pPr>
              <w:pStyle w:val="P68B1DB1-TableParagraph17"/>
              <w:spacing w:before="108"/>
              <w:ind w:left="85"/>
            </w:pPr>
            <w:r>
              <w:rPr>
                <w:lang w:val="bg-BG"/>
              </w:rPr>
              <w:t>Уникален</w:t>
            </w:r>
            <w:r>
              <w:t xml:space="preserve"> </w:t>
            </w:r>
            <w:r w:rsidR="00E40776">
              <w:t>идентификационен код на стопанската дейност, който се определя от институцията.</w:t>
            </w:r>
          </w:p>
        </w:tc>
      </w:tr>
      <w:tr w:rsidR="00FE5D6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FE5D64" w:rsidRDefault="00E40776">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FE5D64" w:rsidRDefault="00E40776">
            <w:pPr>
              <w:pStyle w:val="P68B1DB1-TableParagraph14"/>
              <w:spacing w:before="108"/>
              <w:ind w:left="85"/>
              <w:jc w:val="both"/>
              <w:rPr>
                <w:bCs/>
              </w:rPr>
            </w:pPr>
            <w:r>
              <w:t>Описание</w:t>
            </w:r>
          </w:p>
          <w:p w14:paraId="7FE1C015" w14:textId="319A0CA2" w:rsidR="00FE5D64" w:rsidRDefault="00E40776" w:rsidP="003244DE">
            <w:pPr>
              <w:pStyle w:val="P68B1DB1-TableParagraph17"/>
              <w:spacing w:before="108"/>
              <w:ind w:left="85"/>
            </w:pPr>
            <w:r>
              <w:t xml:space="preserve">Описание на </w:t>
            </w:r>
            <w:r w:rsidR="003244DE">
              <w:rPr>
                <w:lang w:val="bg-BG"/>
              </w:rPr>
              <w:t>основната стопанска дейност</w:t>
            </w:r>
            <w:r>
              <w:t>.</w:t>
            </w:r>
          </w:p>
        </w:tc>
      </w:tr>
      <w:tr w:rsidR="00FE5D6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FE5D64" w:rsidRDefault="00E40776">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FE5D64" w:rsidRDefault="00E40776">
            <w:pPr>
              <w:pStyle w:val="P68B1DB1-TableParagraph14"/>
              <w:spacing w:before="108"/>
              <w:ind w:left="85"/>
              <w:jc w:val="both"/>
              <w:rPr>
                <w:bCs/>
              </w:rPr>
            </w:pPr>
            <w:r>
              <w:t>Наименование на субекта</w:t>
            </w:r>
          </w:p>
          <w:p w14:paraId="7FE1C02D" w14:textId="485F0750" w:rsidR="00FE5D64" w:rsidRDefault="00E40776" w:rsidP="003244DE">
            <w:pPr>
              <w:pStyle w:val="P68B1DB1-TableParagraph17"/>
              <w:spacing w:before="108"/>
              <w:ind w:left="85"/>
            </w:pPr>
            <w:r>
              <w:t xml:space="preserve">Наименование на </w:t>
            </w:r>
            <w:r w:rsidR="008E78DF">
              <w:rPr>
                <w:lang w:val="bg-BG"/>
              </w:rPr>
              <w:t>субекта</w:t>
            </w:r>
            <w:r>
              <w:t>, както е отчетено в Z 01.01 (ORG 1), ко</w:t>
            </w:r>
            <w:r w:rsidR="003244DE">
              <w:rPr>
                <w:lang w:val="bg-BG"/>
              </w:rPr>
              <w:t>й</w:t>
            </w:r>
            <w:r>
              <w:t xml:space="preserve">то предоставя </w:t>
            </w:r>
            <w:r w:rsidR="003244DE">
              <w:rPr>
                <w:lang w:val="bg-BG"/>
              </w:rPr>
              <w:t>стопанска дейност</w:t>
            </w:r>
            <w:r>
              <w:t>.</w:t>
            </w:r>
          </w:p>
        </w:tc>
      </w:tr>
      <w:tr w:rsidR="00FE5D6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FE5D64" w:rsidRDefault="00E40776">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9228C56" w14:textId="00A862F4" w:rsidR="008E78DF" w:rsidRDefault="008E78DF" w:rsidP="008E78DF">
            <w:pPr>
              <w:pStyle w:val="P68B1DB1-TableParagraph14"/>
              <w:spacing w:before="108"/>
              <w:ind w:left="85"/>
              <w:jc w:val="both"/>
              <w:rPr>
                <w:bCs/>
              </w:rPr>
            </w:pPr>
            <w:r>
              <w:rPr>
                <w:lang w:val="bg-BG"/>
              </w:rPr>
              <w:t>Код</w:t>
            </w:r>
          </w:p>
          <w:p w14:paraId="7FE1C031" w14:textId="56E8EAC7" w:rsidR="00FE5D64" w:rsidRDefault="00E40776">
            <w:pPr>
              <w:pStyle w:val="P68B1DB1-TableParagraph17"/>
              <w:spacing w:before="108"/>
              <w:ind w:left="85"/>
            </w:pPr>
            <w:r>
              <w:t>Уникален идентификатор на правния субект в колона 0020, посочен в образец Z 01.01 (ORG 1).</w:t>
            </w:r>
          </w:p>
          <w:p w14:paraId="7FE1C032" w14:textId="299C7D7B" w:rsidR="00FE5D64" w:rsidRDefault="00E40776">
            <w:pPr>
              <w:pStyle w:val="P68B1DB1-TableParagraph17"/>
              <w:spacing w:before="108"/>
              <w:ind w:left="85"/>
            </w:pPr>
            <w:r>
              <w:t>Идентифицирането на субектите се извършва по последователен начин във всички образци.</w:t>
            </w:r>
          </w:p>
        </w:tc>
      </w:tr>
      <w:tr w:rsidR="00FE5D6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FE5D64" w:rsidRDefault="00E40776">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FE5D64" w:rsidRDefault="00E40776">
            <w:pPr>
              <w:pStyle w:val="P68B1DB1-TableParagraph14"/>
              <w:spacing w:before="108"/>
              <w:ind w:left="85"/>
              <w:jc w:val="both"/>
              <w:rPr>
                <w:bCs/>
              </w:rPr>
            </w:pPr>
            <w:r>
              <w:t>Вид код</w:t>
            </w:r>
          </w:p>
          <w:p w14:paraId="4F36B5CB" w14:textId="19850B6B" w:rsidR="00FE5D64" w:rsidRDefault="00E40776">
            <w:pPr>
              <w:pStyle w:val="P68B1DB1-TableParagraph13"/>
              <w:spacing w:before="108"/>
              <w:ind w:left="85"/>
              <w:jc w:val="both"/>
              <w:rPr>
                <w:bCs/>
              </w:rPr>
            </w:pPr>
            <w:r>
              <w:t>Избира се измежду следните варианти: „ИКПС</w:t>
            </w:r>
            <w:r w:rsidR="00014DA9">
              <w:rPr>
                <w:lang w:val="en-US"/>
              </w:rPr>
              <w:t>”</w:t>
            </w:r>
            <w:r>
              <w:t>, „Код на ПФИ</w:t>
            </w:r>
            <w:r w:rsidR="00014DA9">
              <w:rPr>
                <w:lang w:val="bg-BG"/>
              </w:rPr>
              <w:t>“</w:t>
            </w:r>
            <w:r w:rsidR="008E78DF">
              <w:rPr>
                <w:lang w:val="bg-BG"/>
              </w:rPr>
              <w:t xml:space="preserve"> </w:t>
            </w:r>
            <w:r>
              <w:t>или „Вид идентификатор, различен от ИКПС или код на ПФИ“.</w:t>
            </w:r>
          </w:p>
          <w:p w14:paraId="7FE1C039" w14:textId="5BB46896" w:rsidR="00FE5D64" w:rsidRDefault="00E40776">
            <w:pPr>
              <w:pStyle w:val="P68B1DB1-TableParagraph13"/>
              <w:spacing w:before="108"/>
              <w:ind w:left="85"/>
              <w:jc w:val="both"/>
              <w:rPr>
                <w:b/>
                <w:bCs/>
              </w:rPr>
            </w:pPr>
            <w:r>
              <w:t xml:space="preserve">Идентифицирането на субектите се извършва по последователен начин във всички образци. </w:t>
            </w:r>
          </w:p>
        </w:tc>
      </w:tr>
    </w:tbl>
    <w:p w14:paraId="7FE1C03B" w14:textId="30D32DD3" w:rsidR="00FE5D64" w:rsidRDefault="00E40776">
      <w:pPr>
        <w:pStyle w:val="P68B1DB1-Instructionsberschrift25"/>
        <w:numPr>
          <w:ilvl w:val="1"/>
          <w:numId w:val="49"/>
        </w:numPr>
        <w:ind w:left="357" w:hanging="357"/>
      </w:pPr>
      <w:bookmarkStart w:id="135" w:name="_Toc208244470"/>
      <w:r>
        <w:t xml:space="preserve">Z 07.04 — Онагледяване на </w:t>
      </w:r>
      <w:r w:rsidR="007769BA">
        <w:rPr>
          <w:lang w:val="bg-BG"/>
        </w:rPr>
        <w:t>икономическите</w:t>
      </w:r>
      <w:r w:rsidR="007769BA">
        <w:t xml:space="preserve"> </w:t>
      </w:r>
      <w:r>
        <w:t xml:space="preserve">функции </w:t>
      </w:r>
      <w:r w:rsidR="007769BA">
        <w:rPr>
          <w:lang w:val="bg-BG"/>
        </w:rPr>
        <w:t>по</w:t>
      </w:r>
      <w:r w:rsidR="007769BA">
        <w:t xml:space="preserve"> </w:t>
      </w:r>
      <w:r>
        <w:t>основните стопански дейности (FUNC 4)</w:t>
      </w:r>
      <w:bookmarkEnd w:id="135"/>
    </w:p>
    <w:p w14:paraId="7FE1C03C" w14:textId="77777777" w:rsidR="00FE5D64" w:rsidRDefault="00E40776">
      <w:pPr>
        <w:pStyle w:val="P68B1DB1-Instructionsberschrift312"/>
        <w:rPr>
          <w:bCs/>
        </w:rPr>
      </w:pPr>
      <w:r>
        <w:t>Указания относно определени позиции</w:t>
      </w:r>
    </w:p>
    <w:p w14:paraId="7FE1C03E" w14:textId="4A9D79FD" w:rsidR="00FE5D64" w:rsidRDefault="00CE6271">
      <w:pPr>
        <w:pStyle w:val="P68B1DB1-InstructionsText26"/>
        <w:numPr>
          <w:ilvl w:val="0"/>
          <w:numId w:val="0"/>
        </w:numPr>
        <w:spacing w:before="0"/>
        <w:ind w:left="1800"/>
      </w:pPr>
      <w:r>
        <w:rPr>
          <w:lang w:val="bg-BG"/>
        </w:rPr>
        <w:t>Комбинацията на</w:t>
      </w:r>
      <w:r w:rsidR="00E40776">
        <w:t xml:space="preserve"> стойности</w:t>
      </w:r>
      <w:r>
        <w:rPr>
          <w:lang w:val="bg-BG"/>
        </w:rPr>
        <w:t>те</w:t>
      </w:r>
      <w:r w:rsidR="00E40776">
        <w:t>, отчетени в колони 0010, 0020 и 0040 от този образец, формира първичен код, който трябва да е уникален за всеки ред от образеца.</w:t>
      </w:r>
    </w:p>
    <w:p w14:paraId="67939923" w14:textId="179C33A8" w:rsidR="00FE5D64" w:rsidRDefault="00014DA9">
      <w:pPr>
        <w:pStyle w:val="CommentText"/>
        <w:rPr>
          <w:rFonts w:ascii="Times New Roman" w:hAnsi="Times New Roman" w:cs="Times New Roman"/>
        </w:rPr>
      </w:pPr>
      <w:r>
        <w:rPr>
          <w:rFonts w:ascii="Times New Roman" w:hAnsi="Times New Roman" w:cs="Times New Roman"/>
          <w:lang w:val="bg-BG"/>
        </w:rPr>
        <w:t>В този образец се отчитат с</w:t>
      </w:r>
      <w:r w:rsidR="00E40776">
        <w:rPr>
          <w:rFonts w:ascii="Times New Roman" w:hAnsi="Times New Roman" w:cs="Times New Roman"/>
        </w:rPr>
        <w:t xml:space="preserve">амо критични функции, </w:t>
      </w:r>
      <w:r>
        <w:rPr>
          <w:rFonts w:ascii="Times New Roman" w:hAnsi="Times New Roman" w:cs="Times New Roman"/>
          <w:lang w:val="bg-BG"/>
        </w:rPr>
        <w:t>съгласно посоченото</w:t>
      </w:r>
      <w:r w:rsidRPr="007769BA">
        <w:rPr>
          <w:rFonts w:ascii="Times New Roman" w:hAnsi="Times New Roman"/>
          <w:lang w:val="bg-BG"/>
        </w:rPr>
        <w:t xml:space="preserve"> в</w:t>
      </w:r>
      <w:r w:rsidR="00E40776">
        <w:rPr>
          <w:rFonts w:ascii="Times New Roman" w:hAnsi="Times New Roman" w:cs="Times New Roman"/>
        </w:rPr>
        <w:t xml:space="preserve"> </w:t>
      </w:r>
      <w:r>
        <w:rPr>
          <w:rFonts w:ascii="Times New Roman" w:hAnsi="Times New Roman" w:cs="Times New Roman"/>
          <w:lang w:val="en-GB"/>
        </w:rPr>
        <w:t>{</w:t>
      </w:r>
      <w:r w:rsidRPr="00887021">
        <w:rPr>
          <w:i/>
        </w:rPr>
        <w:t xml:space="preserve"> </w:t>
      </w:r>
      <w:r>
        <w:rPr>
          <w:i/>
        </w:rPr>
        <w:t xml:space="preserve">Z 07.01.1 FUNC 1 DEP; c0170; Z 07.01.2 FUNC 1 LEN, c0180; Z 07.01.3 FUNC 1 PAY, c0250; Z 07.01.4 FUNC 1 CM, c0210; Z </w:t>
      </w:r>
      <w:r w:rsidRPr="001118F2">
        <w:rPr>
          <w:i/>
        </w:rPr>
        <w:t>07.01.5 FUNC 1 WF, c0180</w:t>
      </w:r>
      <w:r>
        <w:rPr>
          <w:i/>
        </w:rPr>
        <w:t xml:space="preserve">} </w:t>
      </w:r>
      <w:r>
        <w:rPr>
          <w:rFonts w:ascii="Times New Roman" w:hAnsi="Times New Roman" w:cs="Times New Roman"/>
          <w:lang w:val="en-GB"/>
        </w:rPr>
        <w:t>}</w:t>
      </w:r>
      <w:r w:rsidR="00E40776">
        <w:rPr>
          <w:rFonts w:ascii="Times New Roman" w:hAnsi="Times New Roman" w:cs="Times New Roman"/>
        </w:rPr>
        <w:t>.</w:t>
      </w:r>
    </w:p>
    <w:p w14:paraId="7FE1C040" w14:textId="77777777" w:rsidR="00FE5D64" w:rsidRDefault="00FE5D64">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E5D6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FE5D64" w:rsidRDefault="00E40776">
            <w:pPr>
              <w:pStyle w:val="P68B1DB1-TableParagraph17"/>
              <w:spacing w:before="108"/>
              <w:ind w:left="85"/>
              <w:jc w:val="both"/>
            </w:pPr>
            <w:r>
              <w:t>Колони</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FE5D64" w:rsidRDefault="00E40776">
            <w:pPr>
              <w:pStyle w:val="P68B1DB1-TableParagraph17"/>
              <w:spacing w:before="108"/>
              <w:ind w:left="85" w:right="1"/>
              <w:jc w:val="both"/>
            </w:pPr>
            <w:r>
              <w:t>Указания</w:t>
            </w:r>
          </w:p>
        </w:tc>
      </w:tr>
      <w:tr w:rsidR="00FE5D6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FE5D64" w:rsidRDefault="00E40776">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323B743E" w:rsidR="00FE5D64" w:rsidRDefault="00E40776">
            <w:pPr>
              <w:pStyle w:val="P68B1DB1-TableParagraph14"/>
              <w:spacing w:before="108"/>
              <w:ind w:left="85"/>
              <w:jc w:val="both"/>
              <w:rPr>
                <w:bCs/>
              </w:rPr>
            </w:pPr>
            <w:r>
              <w:t>Критична функция</w:t>
            </w:r>
          </w:p>
        </w:tc>
      </w:tr>
      <w:tr w:rsidR="00FE5D6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FE5D64" w:rsidRDefault="00E40776">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FE5D64" w:rsidRDefault="00E40776">
            <w:pPr>
              <w:pStyle w:val="P68B1DB1-TableParagraph14"/>
              <w:spacing w:before="108"/>
              <w:ind w:left="85"/>
              <w:jc w:val="both"/>
              <w:rPr>
                <w:bCs/>
              </w:rPr>
            </w:pPr>
            <w:r>
              <w:t>Държава</w:t>
            </w:r>
          </w:p>
          <w:p w14:paraId="7FE1C049" w14:textId="77777777" w:rsidR="00FE5D64" w:rsidRDefault="00E40776">
            <w:pPr>
              <w:pStyle w:val="P68B1DB1-TableParagraph17"/>
              <w:spacing w:before="108"/>
              <w:ind w:left="85"/>
            </w:pPr>
            <w:r>
              <w:t>Държава, за която дадената функция е критична, съгласно посоченото в Z 07.01 (FUNC 1).</w:t>
            </w:r>
          </w:p>
        </w:tc>
      </w:tr>
      <w:tr w:rsidR="00FE5D6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FE5D64" w:rsidRDefault="00E40776">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1F5DC098" w14:textId="5E7673CB" w:rsidR="00FE5D64" w:rsidRPr="008E78DF" w:rsidRDefault="008E78DF">
            <w:pPr>
              <w:pStyle w:val="P68B1DB1-TableParagraph14"/>
              <w:spacing w:before="108"/>
              <w:ind w:left="85"/>
              <w:jc w:val="both"/>
              <w:rPr>
                <w:bCs/>
                <w:lang w:val="bg-BG"/>
              </w:rPr>
            </w:pPr>
            <w:r>
              <w:rPr>
                <w:lang w:val="bg-BG"/>
              </w:rPr>
              <w:t>Идентификатор</w:t>
            </w:r>
          </w:p>
          <w:p w14:paraId="7FE1C04D" w14:textId="4D9D2A77" w:rsidR="00FE5D64" w:rsidRDefault="00E40776">
            <w:pPr>
              <w:pStyle w:val="P68B1DB1-TableParagraph17"/>
              <w:spacing w:before="108"/>
              <w:ind w:left="85"/>
            </w:pPr>
            <w:r>
              <w:t>Идентификационен код на критичните функции, както е посочено в образец Z 07.01 (FUNC 1)</w:t>
            </w:r>
          </w:p>
        </w:tc>
      </w:tr>
      <w:tr w:rsidR="00FE5D6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FE5D64" w:rsidRDefault="00E40776">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572EF2D6" w:rsidR="00FE5D64" w:rsidRDefault="00E40776">
            <w:pPr>
              <w:pStyle w:val="P68B1DB1-TableParagraph14"/>
              <w:spacing w:before="108"/>
              <w:ind w:left="85"/>
              <w:jc w:val="both"/>
              <w:rPr>
                <w:bCs/>
              </w:rPr>
            </w:pPr>
            <w:r>
              <w:t>Основна стопанска дейност</w:t>
            </w:r>
          </w:p>
        </w:tc>
      </w:tr>
      <w:tr w:rsidR="00FE5D6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FE5D64" w:rsidRDefault="00E40776">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3F26D92E" w:rsidR="00FE5D64" w:rsidRDefault="00E40776">
            <w:pPr>
              <w:pStyle w:val="P68B1DB1-TableParagraph14"/>
              <w:spacing w:before="108"/>
              <w:ind w:left="85"/>
              <w:jc w:val="both"/>
              <w:rPr>
                <w:bCs/>
              </w:rPr>
            </w:pPr>
            <w:r>
              <w:t>Основна стопанска дейност</w:t>
            </w:r>
          </w:p>
          <w:p w14:paraId="7FE1C056" w14:textId="50668098" w:rsidR="00FE5D64" w:rsidRDefault="00E40776">
            <w:pPr>
              <w:pStyle w:val="P68B1DB1-TableParagraph17"/>
              <w:spacing w:before="108"/>
              <w:ind w:left="85"/>
            </w:pPr>
            <w:r>
              <w:t>Основна стопанска дейност по смисъла на член 2, параграф 1, точка 36 и член 2, параграф 2 от Директива 2014/59/ЕС, посочена в образец Z 07.03 (FUNC 3).</w:t>
            </w:r>
          </w:p>
        </w:tc>
      </w:tr>
      <w:tr w:rsidR="00FE5D6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FE5D64" w:rsidRDefault="00E40776">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014522B1" w:rsidR="00FE5D64" w:rsidRDefault="00014DA9">
            <w:pPr>
              <w:pStyle w:val="P68B1DB1-TableParagraph14"/>
              <w:spacing w:before="108"/>
              <w:ind w:left="85"/>
              <w:jc w:val="both"/>
              <w:rPr>
                <w:bCs/>
              </w:rPr>
            </w:pPr>
            <w:r>
              <w:rPr>
                <w:lang w:val="bg-BG"/>
              </w:rPr>
              <w:t>Основна стопанска дейност</w:t>
            </w:r>
            <w:r w:rsidR="00E40776">
              <w:t>: Идентификационен код на стопанската дейност</w:t>
            </w:r>
          </w:p>
          <w:p w14:paraId="7FE1C05A" w14:textId="0CE9D93F" w:rsidR="00FE5D64" w:rsidRDefault="00E40776">
            <w:pPr>
              <w:pStyle w:val="P68B1DB1-TableParagraph17"/>
              <w:spacing w:before="108"/>
              <w:ind w:left="85"/>
            </w:pPr>
            <w:r>
              <w:t>Уникален идентификационен код на стопанската дейност, който се определя от институцията; същият като идентификационния код, посочен в образец Z 07.03 (FUNC 3)</w:t>
            </w:r>
          </w:p>
        </w:tc>
      </w:tr>
    </w:tbl>
    <w:p w14:paraId="7FE1C222" w14:textId="77777777" w:rsidR="00FE5D64" w:rsidRDefault="00FE5D64">
      <w:pPr>
        <w:rPr>
          <w:rFonts w:ascii="Times New Roman" w:hAnsi="Times New Roman" w:cs="Times New Roman"/>
          <w:b/>
          <w:color w:val="000000" w:themeColor="text1"/>
          <w:sz w:val="20"/>
          <w:szCs w:val="20"/>
          <w:u w:val="single"/>
        </w:rPr>
      </w:pPr>
    </w:p>
    <w:p w14:paraId="7FE1C223" w14:textId="5450A203" w:rsidR="00FE5D64" w:rsidRDefault="00532904">
      <w:pPr>
        <w:pStyle w:val="P68B1DB1-Instructionsberschrift244"/>
        <w:numPr>
          <w:ilvl w:val="1"/>
          <w:numId w:val="49"/>
        </w:numPr>
        <w:ind w:left="357" w:hanging="357"/>
      </w:pPr>
      <w:bookmarkStart w:id="136" w:name="_Toc208244471"/>
      <w:r>
        <w:rPr>
          <w:lang w:val="bg-BG"/>
        </w:rPr>
        <w:t>Значими</w:t>
      </w:r>
      <w:r>
        <w:t xml:space="preserve"> </w:t>
      </w:r>
      <w:r w:rsidR="00E40776">
        <w:t>услуги</w:t>
      </w:r>
      <w:bookmarkEnd w:id="136"/>
    </w:p>
    <w:p w14:paraId="7FE1C224" w14:textId="4077EC92" w:rsidR="00FE5D64" w:rsidRDefault="00E40776">
      <w:pPr>
        <w:pStyle w:val="P68B1DB1-Instructionsberschrift25"/>
        <w:numPr>
          <w:ilvl w:val="1"/>
          <w:numId w:val="49"/>
        </w:numPr>
        <w:ind w:left="357" w:hanging="357"/>
        <w:rPr>
          <w:rFonts w:eastAsia="Calibri"/>
        </w:rPr>
      </w:pPr>
      <w:bookmarkStart w:id="137" w:name="_Toc208244472"/>
      <w:r>
        <w:t xml:space="preserve">Z 08.01— </w:t>
      </w:r>
      <w:r w:rsidR="00532904">
        <w:rPr>
          <w:lang w:val="bg-BG"/>
        </w:rPr>
        <w:t>Значими</w:t>
      </w:r>
      <w:r w:rsidR="00532904">
        <w:t xml:space="preserve"> </w:t>
      </w:r>
      <w:r>
        <w:t>услуги (SERV 1)</w:t>
      </w:r>
      <w:bookmarkEnd w:id="137"/>
      <w:r>
        <w:t xml:space="preserve"> </w:t>
      </w:r>
    </w:p>
    <w:p w14:paraId="7FE1C225" w14:textId="3ED198EE" w:rsidR="00FE5D64" w:rsidRPr="001A79CE" w:rsidRDefault="00E40776">
      <w:pPr>
        <w:pStyle w:val="P68B1DB1-Normal45"/>
        <w:spacing w:line="276" w:lineRule="auto"/>
        <w:jc w:val="both"/>
        <w:rPr>
          <w:lang w:val="bg-BG"/>
        </w:rPr>
      </w:pPr>
      <w:r>
        <w:t xml:space="preserve">II.8.1 Общи </w:t>
      </w:r>
      <w:r w:rsidR="001A79CE">
        <w:rPr>
          <w:lang w:val="bg-BG"/>
        </w:rPr>
        <w:t>указания</w:t>
      </w:r>
    </w:p>
    <w:p w14:paraId="7FE1C226" w14:textId="77777777" w:rsidR="00FE5D64" w:rsidRDefault="00FE5D64">
      <w:pPr>
        <w:spacing w:line="276" w:lineRule="auto"/>
        <w:jc w:val="both"/>
        <w:rPr>
          <w:rFonts w:ascii="Times New Roman" w:eastAsia="Calibri" w:hAnsi="Times New Roman" w:cs="Times New Roman"/>
          <w:sz w:val="20"/>
        </w:rPr>
      </w:pPr>
    </w:p>
    <w:p w14:paraId="7FE1C228" w14:textId="02024430" w:rsidR="00FE5D64" w:rsidRDefault="00E40776">
      <w:pPr>
        <w:pStyle w:val="P68B1DB1-Instructionsberschrift346"/>
        <w:numPr>
          <w:ilvl w:val="4"/>
          <w:numId w:val="49"/>
        </w:numPr>
        <w:ind w:left="928"/>
        <w:contextualSpacing/>
        <w:jc w:val="both"/>
        <w:rPr>
          <w:color w:val="auto"/>
        </w:rPr>
      </w:pPr>
      <w:r>
        <w:t>Информацията в настоящия образец се предоставя</w:t>
      </w:r>
      <w:r w:rsidR="00014DA9">
        <w:t xml:space="preserve"> </w:t>
      </w:r>
      <w:r>
        <w:t>веднъж за цялата група</w:t>
      </w:r>
      <w:r>
        <w:rPr>
          <w:color w:val="auto"/>
        </w:rPr>
        <w:t xml:space="preserve">; </w:t>
      </w:r>
      <w:r>
        <w:t xml:space="preserve">изброяват се </w:t>
      </w:r>
      <w:r w:rsidR="00532904">
        <w:rPr>
          <w:lang w:val="bg-BG"/>
        </w:rPr>
        <w:t>значимите</w:t>
      </w:r>
      <w:r w:rsidR="00014DA9">
        <w:t xml:space="preserve"> </w:t>
      </w:r>
      <w:r>
        <w:t xml:space="preserve">услуги, ползвани от всеки субект в групата, </w:t>
      </w:r>
      <w:r>
        <w:rPr>
          <w:color w:val="auto"/>
        </w:rPr>
        <w:t>и се свързват с критичните функции</w:t>
      </w:r>
      <w:r w:rsidR="0015289A">
        <w:rPr>
          <w:color w:val="auto"/>
          <w:lang w:val="bg-BG"/>
        </w:rPr>
        <w:t xml:space="preserve"> и основните стопански дейности</w:t>
      </w:r>
      <w:r>
        <w:t>, изпълнявани</w:t>
      </w:r>
      <w:r>
        <w:rPr>
          <w:color w:val="auto"/>
        </w:rPr>
        <w:t xml:space="preserve"> </w:t>
      </w:r>
      <w:r>
        <w:t>от групата.</w:t>
      </w:r>
    </w:p>
    <w:p w14:paraId="7FE1C229" w14:textId="62DB080F" w:rsidR="00FE5D64" w:rsidRDefault="00532904">
      <w:pPr>
        <w:pStyle w:val="Instructionsberschrift3"/>
        <w:ind w:left="928"/>
        <w:contextualSpacing/>
        <w:jc w:val="both"/>
        <w:rPr>
          <w:rFonts w:eastAsia="MS Mincho"/>
          <w:color w:val="auto"/>
          <w:u w:val="none"/>
        </w:rPr>
      </w:pPr>
      <w:r>
        <w:rPr>
          <w:rFonts w:eastAsia="Calibri"/>
          <w:b/>
          <w:color w:val="auto"/>
          <w:u w:val="none"/>
          <w:lang w:val="bg-BG"/>
        </w:rPr>
        <w:t>Значими</w:t>
      </w:r>
      <w:r>
        <w:rPr>
          <w:rFonts w:eastAsia="Calibri"/>
          <w:b/>
          <w:color w:val="auto"/>
          <w:u w:val="none"/>
        </w:rPr>
        <w:t xml:space="preserve"> </w:t>
      </w:r>
      <w:r w:rsidR="00E40776">
        <w:rPr>
          <w:rFonts w:eastAsia="Calibri"/>
          <w:b/>
          <w:color w:val="auto"/>
          <w:u w:val="none"/>
        </w:rPr>
        <w:t>услуги</w:t>
      </w:r>
      <w:r w:rsidR="00E40776">
        <w:rPr>
          <w:rStyle w:val="FootnoteReference"/>
          <w:rFonts w:ascii="Times New Roman" w:eastAsia="Calibri" w:hAnsi="Times New Roman"/>
          <w:color w:val="auto"/>
          <w:sz w:val="20"/>
          <w:szCs w:val="20"/>
          <w:u w:val="none"/>
        </w:rPr>
        <w:footnoteReference w:id="22"/>
      </w:r>
      <w:r w:rsidR="00E40776">
        <w:rPr>
          <w:rFonts w:eastAsia="Calibri"/>
          <w:color w:val="auto"/>
          <w:u w:val="none"/>
        </w:rPr>
        <w:t xml:space="preserve">: критични и </w:t>
      </w:r>
      <w:r>
        <w:rPr>
          <w:rFonts w:eastAsia="Calibri"/>
          <w:color w:val="auto"/>
          <w:u w:val="none"/>
          <w:lang w:val="bg-BG"/>
        </w:rPr>
        <w:t>важни</w:t>
      </w:r>
      <w:r>
        <w:rPr>
          <w:rFonts w:eastAsia="Calibri"/>
          <w:color w:val="auto"/>
          <w:u w:val="none"/>
        </w:rPr>
        <w:t xml:space="preserve"> </w:t>
      </w:r>
      <w:r w:rsidR="00E40776">
        <w:rPr>
          <w:rFonts w:eastAsia="Calibri"/>
          <w:color w:val="auto"/>
          <w:u w:val="none"/>
        </w:rPr>
        <w:t>услуги</w:t>
      </w:r>
    </w:p>
    <w:p w14:paraId="7FE1C22A" w14:textId="5E062375" w:rsidR="00FE5D64" w:rsidRDefault="00532904" w:rsidP="001A79CE">
      <w:pPr>
        <w:pStyle w:val="P68B1DB1-Instructionsberschrift347"/>
        <w:rPr>
          <w:rFonts w:eastAsia="MS Mincho"/>
        </w:rPr>
      </w:pPr>
      <w:r>
        <w:rPr>
          <w:rFonts w:eastAsia="Calibri"/>
          <w:b/>
          <w:lang w:val="bg-BG"/>
        </w:rPr>
        <w:t>Критични услуги</w:t>
      </w:r>
      <w:r w:rsidR="00E40776" w:rsidRPr="001118F2">
        <w:rPr>
          <w:vertAlign w:val="superscript"/>
        </w:rPr>
        <w:footnoteReference w:id="23"/>
      </w:r>
      <w:r w:rsidR="00E40776">
        <w:t>: услуги, които се извършват за стопански единици или субекти</w:t>
      </w:r>
      <w:r>
        <w:rPr>
          <w:lang w:val="bg-BG"/>
        </w:rPr>
        <w:t xml:space="preserve"> в групата</w:t>
      </w:r>
      <w:r w:rsidR="00E40776">
        <w:t xml:space="preserve"> i) чието прекъсване би възпрепятствало сериозно или би попречило на изпълнението на една или повече критични функции; и (ii) </w:t>
      </w:r>
      <w:r w:rsidR="00D83D53">
        <w:rPr>
          <w:lang w:val="bg-BG"/>
        </w:rPr>
        <w:t>които</w:t>
      </w:r>
      <w:r w:rsidR="00D83D53" w:rsidRPr="001A79CE">
        <w:rPr>
          <w:lang w:val="bg-BG"/>
        </w:rPr>
        <w:t xml:space="preserve"> не </w:t>
      </w:r>
      <w:r w:rsidR="00D83D53">
        <w:rPr>
          <w:lang w:val="bg-BG"/>
        </w:rPr>
        <w:t>могат</w:t>
      </w:r>
      <w:r w:rsidR="00D83D53" w:rsidRPr="001A79CE">
        <w:rPr>
          <w:lang w:val="bg-BG"/>
        </w:rPr>
        <w:t xml:space="preserve"> </w:t>
      </w:r>
      <w:r w:rsidR="00E40776">
        <w:t>да бъд</w:t>
      </w:r>
      <w:r w:rsidR="00D83D53">
        <w:rPr>
          <w:lang w:val="bg-BG"/>
        </w:rPr>
        <w:t>ат</w:t>
      </w:r>
      <w:r w:rsidR="00E40776">
        <w:t xml:space="preserve"> осигурен</w:t>
      </w:r>
      <w:r w:rsidR="00D83D53">
        <w:rPr>
          <w:lang w:val="bg-BG"/>
        </w:rPr>
        <w:t>и</w:t>
      </w:r>
      <w:r w:rsidR="00E40776">
        <w:t xml:space="preserve"> от друг доставчик в разумен срок и в съпоставима степен по отношение на предмет, качество и цена.</w:t>
      </w:r>
    </w:p>
    <w:p w14:paraId="7FE1C22B" w14:textId="10CFE9A0" w:rsidR="00FE5D64" w:rsidRPr="001A79CE" w:rsidRDefault="00B45011" w:rsidP="001A79CE">
      <w:pPr>
        <w:pStyle w:val="Instructionsberschrift3"/>
        <w:rPr>
          <w:color w:val="auto"/>
          <w:u w:val="none"/>
        </w:rPr>
      </w:pPr>
      <w:r>
        <w:rPr>
          <w:b/>
          <w:lang w:val="bg-BG"/>
        </w:rPr>
        <w:t>Важни</w:t>
      </w:r>
      <w:r w:rsidRPr="001A79CE">
        <w:rPr>
          <w:b/>
        </w:rPr>
        <w:t xml:space="preserve"> </w:t>
      </w:r>
      <w:r w:rsidR="00E40776" w:rsidRPr="001A79CE">
        <w:rPr>
          <w:b/>
        </w:rPr>
        <w:t>услуги</w:t>
      </w:r>
      <w:r w:rsidR="00E40776" w:rsidRPr="001A79CE">
        <w:t xml:space="preserve">: Услуги, свързани с основни </w:t>
      </w:r>
      <w:r w:rsidR="00E40776">
        <w:t>стопански дейности</w:t>
      </w:r>
      <w:r w:rsidR="00E40776" w:rsidRPr="001A79CE">
        <w:rPr>
          <w:u w:val="none"/>
          <w:vertAlign w:val="superscript"/>
        </w:rPr>
        <w:footnoteReference w:id="24"/>
      </w:r>
      <w:r w:rsidR="00E40776" w:rsidRPr="001A79CE">
        <w:rPr>
          <w:u w:val="none"/>
        </w:rPr>
        <w:t xml:space="preserve">, чиято </w:t>
      </w:r>
      <w:r w:rsidR="00E40776" w:rsidRPr="00B45011">
        <w:rPr>
          <w:u w:val="none"/>
        </w:rPr>
        <w:t>непрекъснатост</w:t>
      </w:r>
      <w:r w:rsidR="00E40776" w:rsidRPr="001A79CE">
        <w:rPr>
          <w:u w:val="none"/>
        </w:rPr>
        <w:t xml:space="preserve"> е необходима за ефективното изпълнение на стратегията за преструктуриране и всяко последващо преструктуриране i) чието прекъсване би </w:t>
      </w:r>
      <w:r w:rsidR="00D83D53">
        <w:rPr>
          <w:lang w:val="bg-BG"/>
        </w:rPr>
        <w:t>затруднило</w:t>
      </w:r>
      <w:r w:rsidR="00D83D53" w:rsidRPr="001A79CE">
        <w:rPr>
          <w:u w:val="none"/>
        </w:rPr>
        <w:t xml:space="preserve"> </w:t>
      </w:r>
      <w:r w:rsidR="00E40776" w:rsidRPr="001A79CE">
        <w:rPr>
          <w:u w:val="none"/>
        </w:rPr>
        <w:t xml:space="preserve">сериозно или би </w:t>
      </w:r>
      <w:r w:rsidR="00E40776">
        <w:rPr>
          <w:u w:val="none"/>
        </w:rPr>
        <w:t xml:space="preserve">възпрепятствало </w:t>
      </w:r>
      <w:r w:rsidR="00E40776" w:rsidRPr="001A79CE">
        <w:rPr>
          <w:u w:val="none"/>
        </w:rPr>
        <w:t xml:space="preserve">изпълнението на тези основни </w:t>
      </w:r>
      <w:r w:rsidR="00E40776">
        <w:t>стопански дейности</w:t>
      </w:r>
      <w:r w:rsidR="00E40776" w:rsidRPr="001A79CE">
        <w:rPr>
          <w:u w:val="none"/>
        </w:rPr>
        <w:t xml:space="preserve">; и (ii) </w:t>
      </w:r>
      <w:r w:rsidR="00D83D53">
        <w:rPr>
          <w:lang w:val="bg-BG"/>
        </w:rPr>
        <w:t>които</w:t>
      </w:r>
      <w:r w:rsidR="00D83D53" w:rsidRPr="001A79CE">
        <w:rPr>
          <w:u w:val="none"/>
        </w:rPr>
        <w:t xml:space="preserve"> не </w:t>
      </w:r>
      <w:r w:rsidR="00D83D53">
        <w:rPr>
          <w:lang w:val="bg-BG"/>
        </w:rPr>
        <w:t>могат</w:t>
      </w:r>
      <w:r w:rsidR="00E40776" w:rsidRPr="001A79CE">
        <w:rPr>
          <w:u w:val="none"/>
        </w:rPr>
        <w:t xml:space="preserve"> да </w:t>
      </w:r>
      <w:r w:rsidR="00E40776">
        <w:t>бъд</w:t>
      </w:r>
      <w:r w:rsidR="00D83D53">
        <w:rPr>
          <w:lang w:val="bg-BG"/>
        </w:rPr>
        <w:t>ат</w:t>
      </w:r>
      <w:r w:rsidR="00E40776">
        <w:t xml:space="preserve"> осигурен</w:t>
      </w:r>
      <w:r w:rsidR="00D83D53">
        <w:rPr>
          <w:lang w:val="bg-BG"/>
        </w:rPr>
        <w:t>и</w:t>
      </w:r>
      <w:r w:rsidR="00E40776" w:rsidRPr="001A79CE">
        <w:rPr>
          <w:u w:val="none"/>
        </w:rPr>
        <w:t xml:space="preserve"> от друг доставчик в разумен срок и в съпоставима степен по отношение на предмет, качество и цена.</w:t>
      </w:r>
      <w:r w:rsidR="00E40776">
        <w:rPr>
          <w:rStyle w:val="FootnoteReference"/>
          <w:rFonts w:ascii="Times New Roman" w:eastAsia="Calibri" w:hAnsi="Times New Roman"/>
          <w:color w:val="auto"/>
          <w:sz w:val="20"/>
          <w:szCs w:val="20"/>
          <w:u w:val="none"/>
        </w:rPr>
        <w:footnoteReference w:id="25"/>
      </w:r>
    </w:p>
    <w:p w14:paraId="7FE1C22C" w14:textId="0133FA1E" w:rsidR="00FE5D64" w:rsidRDefault="00E40776">
      <w:pPr>
        <w:pStyle w:val="P68B1DB1-Instructionsberschrift348"/>
        <w:numPr>
          <w:ilvl w:val="4"/>
          <w:numId w:val="49"/>
        </w:numPr>
        <w:ind w:left="928"/>
        <w:contextualSpacing/>
        <w:jc w:val="both"/>
        <w:rPr>
          <w:color w:val="auto"/>
        </w:rPr>
      </w:pPr>
      <w:r>
        <w:rPr>
          <w:color w:val="auto"/>
        </w:rPr>
        <w:t xml:space="preserve">Съгласно </w:t>
      </w:r>
      <w:r w:rsidR="003D49F7">
        <w:rPr>
          <w:color w:val="auto"/>
          <w:lang w:val="bg-BG"/>
        </w:rPr>
        <w:t>точка</w:t>
      </w:r>
      <w:r w:rsidR="003D49F7">
        <w:rPr>
          <w:color w:val="auto"/>
        </w:rPr>
        <w:t xml:space="preserve"> </w:t>
      </w:r>
      <w:r>
        <w:rPr>
          <w:color w:val="auto"/>
        </w:rPr>
        <w:t>8 от</w:t>
      </w:r>
      <w:r w:rsidR="003D49F7" w:rsidRPr="001A79CE">
        <w:rPr>
          <w:color w:val="auto"/>
          <w:lang w:val="bg-BG"/>
        </w:rPr>
        <w:t xml:space="preserve"> </w:t>
      </w:r>
      <w:r w:rsidR="003D49F7">
        <w:rPr>
          <w:color w:val="auto"/>
          <w:lang w:val="bg-BG"/>
        </w:rPr>
        <w:t>преамбюла на</w:t>
      </w:r>
      <w:r>
        <w:rPr>
          <w:color w:val="auto"/>
        </w:rPr>
        <w:t xml:space="preserve"> </w:t>
      </w:r>
      <w:r w:rsidR="003D49F7">
        <w:rPr>
          <w:color w:val="auto"/>
          <w:lang w:val="bg-BG"/>
        </w:rPr>
        <w:t>Д</w:t>
      </w:r>
      <w:r>
        <w:rPr>
          <w:color w:val="auto"/>
        </w:rPr>
        <w:t xml:space="preserve">елегиран регламент (ЕС) 2016/778 на Комисията, </w:t>
      </w:r>
      <w:r w:rsidR="00CF7B22">
        <w:rPr>
          <w:color w:val="auto"/>
          <w:lang w:val="bg-BG"/>
        </w:rPr>
        <w:t>отнасяща се до</w:t>
      </w:r>
      <w:r>
        <w:rPr>
          <w:color w:val="auto"/>
        </w:rPr>
        <w:t xml:space="preserve"> критичните услуги, и прил</w:t>
      </w:r>
      <w:r w:rsidR="00CF7B22">
        <w:rPr>
          <w:color w:val="auto"/>
          <w:lang w:val="bg-BG"/>
        </w:rPr>
        <w:t>ожена</w:t>
      </w:r>
      <w:r>
        <w:rPr>
          <w:color w:val="auto"/>
        </w:rPr>
        <w:t xml:space="preserve"> по аналогия за </w:t>
      </w:r>
      <w:r w:rsidR="00CF7B22">
        <w:rPr>
          <w:color w:val="auto"/>
          <w:lang w:val="bg-BG"/>
        </w:rPr>
        <w:t xml:space="preserve">да </w:t>
      </w:r>
      <w:r>
        <w:rPr>
          <w:color w:val="auto"/>
        </w:rPr>
        <w:t>обхв</w:t>
      </w:r>
      <w:r w:rsidR="00CF7B22">
        <w:rPr>
          <w:color w:val="auto"/>
          <w:lang w:val="bg-BG"/>
        </w:rPr>
        <w:t>ане</w:t>
      </w:r>
      <w:r>
        <w:rPr>
          <w:color w:val="auto"/>
        </w:rPr>
        <w:t xml:space="preserve"> </w:t>
      </w:r>
      <w:r w:rsidR="00377F29">
        <w:rPr>
          <w:color w:val="auto"/>
          <w:lang w:val="bg-BG"/>
        </w:rPr>
        <w:t>важните</w:t>
      </w:r>
      <w:r>
        <w:rPr>
          <w:color w:val="auto"/>
        </w:rPr>
        <w:t xml:space="preserve"> услуги, както са определени по-горе, </w:t>
      </w:r>
      <w:r w:rsidR="00CF7B22">
        <w:rPr>
          <w:color w:val="auto"/>
          <w:lang w:val="bg-BG"/>
        </w:rPr>
        <w:t xml:space="preserve">под </w:t>
      </w:r>
      <w:r w:rsidR="00377F29">
        <w:rPr>
          <w:color w:val="auto"/>
          <w:lang w:val="bg-BG"/>
        </w:rPr>
        <w:t>значими</w:t>
      </w:r>
      <w:r w:rsidR="00377F29">
        <w:rPr>
          <w:color w:val="auto"/>
        </w:rPr>
        <w:t xml:space="preserve"> </w:t>
      </w:r>
      <w:r>
        <w:rPr>
          <w:color w:val="auto"/>
        </w:rPr>
        <w:t xml:space="preserve">услуги </w:t>
      </w:r>
      <w:r w:rsidR="00CF7B22">
        <w:rPr>
          <w:lang w:val="bg-BG"/>
        </w:rPr>
        <w:t>се ра</w:t>
      </w:r>
      <w:r w:rsidR="00377F29">
        <w:rPr>
          <w:lang w:val="bg-BG"/>
        </w:rPr>
        <w:t>з</w:t>
      </w:r>
      <w:r w:rsidR="00CF7B22">
        <w:rPr>
          <w:lang w:val="bg-BG"/>
        </w:rPr>
        <w:t>бира</w:t>
      </w:r>
      <w:r>
        <w:t xml:space="preserve"> основните операции, дейности и услуги, извършвани за една (специализирани услуги) или повече стопански единици или правни субекти (споделени услуги) в рамките на групата, които са необходими за предоставяне на една или повече критични функции или </w:t>
      </w:r>
      <w:r>
        <w:rPr>
          <w:color w:val="auto"/>
        </w:rPr>
        <w:t xml:space="preserve">основни стопански дейности. </w:t>
      </w:r>
      <w:r w:rsidR="00377F29">
        <w:rPr>
          <w:color w:val="auto"/>
          <w:lang w:val="bg-BG"/>
        </w:rPr>
        <w:t>Значимите</w:t>
      </w:r>
      <w:r w:rsidR="00377F29">
        <w:rPr>
          <w:color w:val="auto"/>
        </w:rPr>
        <w:t xml:space="preserve"> </w:t>
      </w:r>
      <w:r>
        <w:t xml:space="preserve">услуги могат да се извършват </w:t>
      </w:r>
      <w:r>
        <w:rPr>
          <w:color w:val="auto"/>
        </w:rPr>
        <w:t xml:space="preserve">от една стопанска единица на друга стопанска единица на </w:t>
      </w:r>
      <w:r w:rsidR="00377F29">
        <w:rPr>
          <w:color w:val="auto"/>
          <w:lang w:val="bg-BG"/>
        </w:rPr>
        <w:t>същия правен субект</w:t>
      </w:r>
      <w:r>
        <w:rPr>
          <w:color w:val="auto"/>
        </w:rPr>
        <w:t xml:space="preserve"> </w:t>
      </w:r>
      <w:r>
        <w:t>(</w:t>
      </w:r>
      <w:r w:rsidR="00CF7B22">
        <w:rPr>
          <w:color w:val="auto"/>
          <w:lang w:val="bg-BG"/>
        </w:rPr>
        <w:t>услуг</w:t>
      </w:r>
      <w:r w:rsidR="00377F29">
        <w:rPr>
          <w:color w:val="auto"/>
          <w:lang w:val="bg-BG"/>
        </w:rPr>
        <w:t>а</w:t>
      </w:r>
      <w:r w:rsidR="00CF7B22">
        <w:rPr>
          <w:color w:val="auto"/>
          <w:lang w:val="bg-BG"/>
        </w:rPr>
        <w:t xml:space="preserve"> в рамките на </w:t>
      </w:r>
      <w:r w:rsidR="00377F29">
        <w:rPr>
          <w:color w:val="auto"/>
          <w:lang w:val="bg-BG"/>
        </w:rPr>
        <w:t>субекта</w:t>
      </w:r>
      <w:r>
        <w:rPr>
          <w:color w:val="auto"/>
        </w:rPr>
        <w:t>),</w:t>
      </w:r>
      <w:r>
        <w:t xml:space="preserve"> от субекти в рамките на групата (</w:t>
      </w:r>
      <w:r>
        <w:rPr>
          <w:color w:val="auto"/>
        </w:rPr>
        <w:t xml:space="preserve">вътрешногрупова </w:t>
      </w:r>
      <w:r>
        <w:t>услуга)</w:t>
      </w:r>
      <w:r w:rsidR="00CF7B22">
        <w:rPr>
          <w:lang w:val="bg-BG"/>
        </w:rPr>
        <w:t xml:space="preserve"> </w:t>
      </w:r>
      <w:r>
        <w:rPr>
          <w:color w:val="auto"/>
        </w:rPr>
        <w:t>или</w:t>
      </w:r>
      <w:r>
        <w:t xml:space="preserve"> да бъдат възложени на външен доставчик (външна услуга).</w:t>
      </w:r>
    </w:p>
    <w:p w14:paraId="7FE1C22D" w14:textId="7B6735FB" w:rsidR="00FE5D64" w:rsidRDefault="00E40776">
      <w:pPr>
        <w:pStyle w:val="P68B1DB1-Instructionsberschrift310"/>
        <w:numPr>
          <w:ilvl w:val="4"/>
          <w:numId w:val="49"/>
        </w:numPr>
        <w:ind w:left="928"/>
        <w:contextualSpacing/>
        <w:jc w:val="both"/>
        <w:rPr>
          <w:rFonts w:eastAsia="MS Mincho"/>
          <w:color w:val="auto"/>
        </w:rPr>
      </w:pPr>
      <w:r>
        <w:rPr>
          <w:rFonts w:eastAsia="MS Mincho"/>
        </w:rPr>
        <w:t>Не всички полета се отнасят за всички видове услуги (</w:t>
      </w:r>
      <w:r w:rsidR="00CF7B22">
        <w:rPr>
          <w:rFonts w:eastAsia="MS Mincho"/>
          <w:lang w:val="bg-BG"/>
        </w:rPr>
        <w:t>по</w:t>
      </w:r>
      <w:r w:rsidR="00377F29">
        <w:rPr>
          <w:rFonts w:eastAsia="MS Mincho"/>
          <w:lang w:val="bg-BG"/>
        </w:rPr>
        <w:t>с</w:t>
      </w:r>
      <w:r w:rsidR="00CF7B22">
        <w:rPr>
          <w:rFonts w:eastAsia="MS Mincho"/>
          <w:lang w:val="bg-BG"/>
        </w:rPr>
        <w:t>очени</w:t>
      </w:r>
      <w:r w:rsidR="00CF7B22">
        <w:rPr>
          <w:rFonts w:eastAsia="MS Mincho"/>
        </w:rPr>
        <w:t xml:space="preserve">и </w:t>
      </w:r>
      <w:r>
        <w:rPr>
          <w:rFonts w:eastAsia="MS Mincho"/>
        </w:rPr>
        <w:t xml:space="preserve">в </w:t>
      </w:r>
      <w:r w:rsidR="001A79CE">
        <w:rPr>
          <w:rFonts w:eastAsia="MS Mincho"/>
          <w:lang w:val="bg-BG"/>
        </w:rPr>
        <w:t>указанията</w:t>
      </w:r>
      <w:r w:rsidR="001A79CE">
        <w:rPr>
          <w:rFonts w:eastAsia="MS Mincho"/>
        </w:rPr>
        <w:t xml:space="preserve"> </w:t>
      </w:r>
      <w:r>
        <w:rPr>
          <w:rFonts w:eastAsia="MS Mincho"/>
        </w:rPr>
        <w:t xml:space="preserve">по-долу). В този случай в съответната клетка се посочва </w:t>
      </w:r>
      <w:r w:rsidR="00CF7B22">
        <w:rPr>
          <w:rFonts w:eastAsia="MS Mincho"/>
          <w:lang w:val="bg-BG"/>
        </w:rPr>
        <w:t xml:space="preserve">„НЕ </w:t>
      </w:r>
      <w:r w:rsidR="00901F88">
        <w:rPr>
          <w:rFonts w:eastAsia="MS Mincho"/>
          <w:lang w:val="bg-BG"/>
        </w:rPr>
        <w:t xml:space="preserve">Е </w:t>
      </w:r>
      <w:r w:rsidR="00CF7B22">
        <w:rPr>
          <w:rFonts w:eastAsia="MS Mincho"/>
          <w:lang w:val="bg-BG"/>
        </w:rPr>
        <w:t>ПРИЛОЖИМО“</w:t>
      </w:r>
      <w:r>
        <w:rPr>
          <w:rFonts w:eastAsia="MS Mincho"/>
        </w:rPr>
        <w:t>.</w:t>
      </w:r>
      <w:r>
        <w:t xml:space="preserve"> </w:t>
      </w:r>
    </w:p>
    <w:p w14:paraId="7FE1C22E" w14:textId="1F27829C" w:rsidR="00FE5D64" w:rsidRDefault="00E40776">
      <w:pPr>
        <w:pStyle w:val="P68B1DB1-Instructionsberschrift346"/>
        <w:numPr>
          <w:ilvl w:val="4"/>
          <w:numId w:val="49"/>
        </w:numPr>
        <w:ind w:left="928"/>
        <w:contextualSpacing/>
        <w:jc w:val="both"/>
        <w:rPr>
          <w:color w:val="auto"/>
        </w:rPr>
      </w:pPr>
      <w:r>
        <w:t>Комбинацията</w:t>
      </w:r>
      <w:r w:rsidR="00CF7B22">
        <w:t xml:space="preserve"> </w:t>
      </w:r>
      <w:r>
        <w:t xml:space="preserve">на стойностите, </w:t>
      </w:r>
      <w:r w:rsidR="00CF7B22">
        <w:rPr>
          <w:lang w:val="bg-BG"/>
        </w:rPr>
        <w:t>отчетени</w:t>
      </w:r>
      <w:r w:rsidR="00CF7B22">
        <w:t xml:space="preserve"> </w:t>
      </w:r>
      <w:r>
        <w:t>в колони 0010</w:t>
      </w:r>
      <w:r>
        <w:rPr>
          <w:color w:val="auto"/>
        </w:rPr>
        <w:t>, 0020, 0040, 0060 и 0130</w:t>
      </w:r>
      <w:r>
        <w:t xml:space="preserve">, от настоящия образец, формира първичен код, </w:t>
      </w:r>
      <w:r w:rsidR="00CF7B22">
        <w:rPr>
          <w:lang w:val="bg-BG"/>
        </w:rPr>
        <w:t>който трябва да е уникален</w:t>
      </w:r>
      <w:r w:rsidR="00CF7B22">
        <w:t xml:space="preserve"> </w:t>
      </w:r>
      <w:r>
        <w:t>за всеки ред от образеца.</w:t>
      </w:r>
    </w:p>
    <w:p w14:paraId="7FE1C22F" w14:textId="77777777" w:rsidR="00FE5D64" w:rsidRDefault="00FE5D64">
      <w:pPr>
        <w:pStyle w:val="Instructionsberschrift3"/>
        <w:numPr>
          <w:ilvl w:val="0"/>
          <w:numId w:val="0"/>
        </w:numPr>
        <w:ind w:left="720"/>
      </w:pPr>
    </w:p>
    <w:p w14:paraId="7FE1C230" w14:textId="77777777" w:rsidR="00FE5D64" w:rsidRDefault="00E40776">
      <w:pPr>
        <w:pStyle w:val="P68B1DB1-Instructionsberschrift312"/>
        <w:rPr>
          <w:bCs/>
        </w:rPr>
      </w:pPr>
      <w:r>
        <w:t>Указания относно определени позиции</w:t>
      </w:r>
    </w:p>
    <w:p w14:paraId="7FE1C23F" w14:textId="77777777" w:rsidR="00FE5D64" w:rsidRDefault="00FE5D6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FE5D64" w14:paraId="7FE1C242" w14:textId="77777777">
        <w:trPr>
          <w:trHeight w:val="808"/>
          <w:tblHeader/>
        </w:trPr>
        <w:tc>
          <w:tcPr>
            <w:tcW w:w="1129" w:type="dxa"/>
            <w:shd w:val="clear" w:color="auto" w:fill="E7E6E6"/>
          </w:tcPr>
          <w:p w14:paraId="7FE1C240" w14:textId="77777777" w:rsidR="00FE5D64" w:rsidRDefault="00E40776">
            <w:pPr>
              <w:pStyle w:val="P68B1DB1-Normal49"/>
              <w:spacing w:before="120" w:after="120" w:line="276" w:lineRule="auto"/>
            </w:pPr>
            <w:r>
              <w:t>Колони</w:t>
            </w:r>
          </w:p>
        </w:tc>
        <w:tc>
          <w:tcPr>
            <w:tcW w:w="7938" w:type="dxa"/>
            <w:shd w:val="clear" w:color="auto" w:fill="E7E6E6"/>
          </w:tcPr>
          <w:p w14:paraId="7FE1C241" w14:textId="77777777" w:rsidR="00FE5D64" w:rsidRDefault="00E40776">
            <w:pPr>
              <w:pStyle w:val="P68B1DB1-Normal49"/>
              <w:spacing w:before="120" w:after="120" w:line="276" w:lineRule="auto"/>
            </w:pPr>
            <w:r>
              <w:t>Указания</w:t>
            </w:r>
          </w:p>
        </w:tc>
      </w:tr>
      <w:tr w:rsidR="00FE5D64" w14:paraId="7FE1C247" w14:textId="77777777">
        <w:trPr>
          <w:trHeight w:val="450"/>
        </w:trPr>
        <w:tc>
          <w:tcPr>
            <w:tcW w:w="1129" w:type="dxa"/>
            <w:shd w:val="clear" w:color="auto" w:fill="FFFFFF" w:themeFill="background1"/>
          </w:tcPr>
          <w:p w14:paraId="7FE1C243" w14:textId="77777777" w:rsidR="00FE5D64" w:rsidRDefault="00E40776">
            <w:pPr>
              <w:pStyle w:val="P68B1DB1-Normal50"/>
              <w:spacing w:before="120" w:after="120" w:line="276" w:lineRule="auto"/>
            </w:pPr>
            <w:r>
              <w:t>0005</w:t>
            </w:r>
          </w:p>
        </w:tc>
        <w:tc>
          <w:tcPr>
            <w:tcW w:w="7938" w:type="dxa"/>
            <w:shd w:val="clear" w:color="auto" w:fill="FFFFFF" w:themeFill="background1"/>
          </w:tcPr>
          <w:p w14:paraId="7FE1C244" w14:textId="42C2E085" w:rsidR="00FE5D64" w:rsidRPr="00901F88" w:rsidRDefault="00901F88">
            <w:pPr>
              <w:pStyle w:val="P68B1DB1-Normal49"/>
              <w:spacing w:before="120" w:after="120" w:line="276" w:lineRule="auto"/>
              <w:rPr>
                <w:bCs/>
                <w:lang w:val="bg-BG"/>
              </w:rPr>
            </w:pPr>
            <w:r>
              <w:rPr>
                <w:lang w:val="bg-BG"/>
              </w:rPr>
              <w:t>И</w:t>
            </w:r>
            <w:r w:rsidR="00E40776">
              <w:t>дентификатор на услугата</w:t>
            </w:r>
          </w:p>
          <w:p w14:paraId="7FE1C245" w14:textId="492C2575" w:rsidR="00FE5D64" w:rsidRDefault="00E40776">
            <w:pPr>
              <w:pStyle w:val="P68B1DB1-Normal50"/>
              <w:spacing w:before="120" w:after="120" w:line="276" w:lineRule="auto"/>
              <w:rPr>
                <w:iCs/>
              </w:rPr>
            </w:pPr>
            <w:r>
              <w:t xml:space="preserve">Идентификаторът на услугата се отнася до услугата, </w:t>
            </w:r>
            <w:r w:rsidR="00901F88">
              <w:rPr>
                <w:lang w:val="bg-BG"/>
              </w:rPr>
              <w:t>посочена</w:t>
            </w:r>
            <w:r w:rsidR="00DD0B36">
              <w:t xml:space="preserve"> </w:t>
            </w:r>
            <w:r>
              <w:t>в c0020.</w:t>
            </w:r>
          </w:p>
          <w:p w14:paraId="7FE1C246" w14:textId="3DA5DCDC" w:rsidR="00FE5D64" w:rsidRDefault="000D096F">
            <w:pPr>
              <w:pStyle w:val="P68B1DB1-Normal51"/>
              <w:spacing w:before="120" w:after="120" w:line="276" w:lineRule="auto"/>
            </w:pPr>
            <w:r>
              <w:rPr>
                <w:lang w:val="bg-BG"/>
              </w:rPr>
              <w:t>Цифра</w:t>
            </w:r>
            <w:r>
              <w:t xml:space="preserve"> </w:t>
            </w:r>
            <w:r w:rsidR="00E40776">
              <w:t>или свободен текст</w:t>
            </w:r>
          </w:p>
        </w:tc>
      </w:tr>
      <w:tr w:rsidR="00FE5D64" w14:paraId="7FE1C28C" w14:textId="77777777">
        <w:trPr>
          <w:trHeight w:val="463"/>
        </w:trPr>
        <w:tc>
          <w:tcPr>
            <w:tcW w:w="1129" w:type="dxa"/>
            <w:shd w:val="clear" w:color="auto" w:fill="FFFFFF" w:themeFill="background1"/>
          </w:tcPr>
          <w:p w14:paraId="7FE1C248" w14:textId="77777777" w:rsidR="00FE5D64" w:rsidRDefault="00E40776">
            <w:pPr>
              <w:pStyle w:val="P68B1DB1-Normal50"/>
              <w:spacing w:before="120" w:after="120" w:line="276" w:lineRule="auto"/>
            </w:pPr>
            <w:r>
              <w:t>0010</w:t>
            </w:r>
          </w:p>
        </w:tc>
        <w:tc>
          <w:tcPr>
            <w:tcW w:w="7938" w:type="dxa"/>
            <w:shd w:val="clear" w:color="auto" w:fill="FFFFFF" w:themeFill="background1"/>
          </w:tcPr>
          <w:p w14:paraId="7FE1C249" w14:textId="77777777" w:rsidR="00FE5D64" w:rsidRDefault="00E40776">
            <w:pPr>
              <w:pStyle w:val="P68B1DB1-Normal49"/>
              <w:autoSpaceDE w:val="0"/>
              <w:autoSpaceDN w:val="0"/>
              <w:adjustRightInd w:val="0"/>
              <w:rPr>
                <w:rFonts w:eastAsia="MS Mincho"/>
                <w:bCs/>
              </w:rPr>
            </w:pPr>
            <w:r>
              <w:t>Вид услуга</w:t>
            </w:r>
          </w:p>
          <w:p w14:paraId="7FE1C24A" w14:textId="1F16B838" w:rsidR="00FE5D64" w:rsidRDefault="00E40776">
            <w:pPr>
              <w:pStyle w:val="P68B1DB1-Normal52"/>
              <w:autoSpaceDE w:val="0"/>
              <w:autoSpaceDN w:val="0"/>
              <w:adjustRightInd w:val="0"/>
            </w:pPr>
            <w:r>
              <w:t>Видът услуга е един от изброените по-долу.</w:t>
            </w:r>
          </w:p>
          <w:p w14:paraId="7FE1C24B" w14:textId="68BF7F74" w:rsidR="00FE5D64" w:rsidRDefault="00901F88">
            <w:pPr>
              <w:pStyle w:val="P68B1DB1-Normal50"/>
              <w:spacing w:before="120" w:after="120" w:line="276" w:lineRule="auto"/>
            </w:pPr>
            <w:r>
              <w:rPr>
                <w:lang w:val="bg-BG"/>
              </w:rPr>
              <w:t>Където</w:t>
            </w:r>
            <w:r>
              <w:t xml:space="preserve"> </w:t>
            </w:r>
            <w:r w:rsidR="00E40776">
              <w:t xml:space="preserve">е възможно, се </w:t>
            </w:r>
            <w:r>
              <w:rPr>
                <w:lang w:val="bg-BG"/>
              </w:rPr>
              <w:t>посочва</w:t>
            </w:r>
            <w:r>
              <w:t xml:space="preserve"> </w:t>
            </w:r>
            <w:r w:rsidR="00E40776">
              <w:t>подкатегорията (двуцифрова идентификация). Когато няма подкатегория или никоя подкатегория не описва по подходящ начин предоставяната от институцията услуга, се посочва главната категория (едноцифрова идентификация).</w:t>
            </w:r>
          </w:p>
          <w:p w14:paraId="5B37DFFD" w14:textId="158974DD" w:rsidR="00FE5D64" w:rsidRDefault="00E40776">
            <w:pPr>
              <w:pStyle w:val="P68B1DB1-Normal52"/>
            </w:pPr>
            <w:r>
              <w:t>Подпомагане на човешките ресурси</w:t>
            </w:r>
          </w:p>
          <w:p w14:paraId="7DD533D5" w14:textId="5554EF17" w:rsidR="00FE5D64" w:rsidRDefault="00E40776">
            <w:pPr>
              <w:pStyle w:val="P68B1DB1-ListParagraph53"/>
              <w:numPr>
                <w:ilvl w:val="0"/>
                <w:numId w:val="288"/>
              </w:numPr>
              <w:autoSpaceDE w:val="0"/>
              <w:autoSpaceDN w:val="0"/>
              <w:adjustRightInd w:val="0"/>
              <w:ind w:left="1165"/>
            </w:pPr>
            <w:r>
              <w:t>Управление на персонала, в т.ч. управление на договорите и възнагражденията</w:t>
            </w:r>
            <w:r w:rsidR="00B9486D">
              <w:rPr>
                <w:lang w:val="bg-BG"/>
              </w:rPr>
              <w:t>;</w:t>
            </w:r>
          </w:p>
          <w:p w14:paraId="43AF548E" w14:textId="4F7E5B68" w:rsidR="00FE5D64" w:rsidRDefault="00E40776">
            <w:pPr>
              <w:pStyle w:val="P68B1DB1-ListParagraph53"/>
              <w:numPr>
                <w:ilvl w:val="0"/>
                <w:numId w:val="288"/>
              </w:numPr>
              <w:autoSpaceDE w:val="0"/>
              <w:autoSpaceDN w:val="0"/>
              <w:adjustRightInd w:val="0"/>
              <w:ind w:left="1165"/>
            </w:pPr>
            <w:r>
              <w:t>вътрешна комуникация</w:t>
            </w:r>
            <w:r w:rsidR="00B9486D">
              <w:rPr>
                <w:lang w:val="bg-BG"/>
              </w:rPr>
              <w:t>;</w:t>
            </w:r>
          </w:p>
          <w:p w14:paraId="7FE1C250" w14:textId="1F903A05" w:rsidR="00FE5D64" w:rsidRDefault="00E40776">
            <w:pPr>
              <w:pStyle w:val="P68B1DB1-ListParagraph53"/>
              <w:numPr>
                <w:ilvl w:val="0"/>
                <w:numId w:val="288"/>
              </w:numPr>
              <w:autoSpaceDE w:val="0"/>
              <w:autoSpaceDN w:val="0"/>
              <w:adjustRightInd w:val="0"/>
              <w:ind w:left="1165"/>
            </w:pPr>
            <w:r>
              <w:t>други видове услуги за подкрепа на човешките ресурси</w:t>
            </w:r>
          </w:p>
          <w:p w14:paraId="7FE1C251" w14:textId="77777777" w:rsidR="00FE5D64" w:rsidRDefault="00FE5D64">
            <w:pPr>
              <w:autoSpaceDE w:val="0"/>
              <w:autoSpaceDN w:val="0"/>
              <w:adjustRightInd w:val="0"/>
              <w:ind w:left="708"/>
              <w:rPr>
                <w:rFonts w:ascii="Times New Roman" w:eastAsia="MS Mincho" w:hAnsi="Times New Roman" w:cs="Times New Roman"/>
                <w:sz w:val="20"/>
                <w:szCs w:val="20"/>
              </w:rPr>
            </w:pPr>
          </w:p>
          <w:p w14:paraId="7FE1C252" w14:textId="36653706" w:rsidR="00FE5D64" w:rsidRDefault="00E40776">
            <w:pPr>
              <w:pStyle w:val="P68B1DB1-Normal52"/>
              <w:autoSpaceDE w:val="0"/>
              <w:autoSpaceDN w:val="0"/>
              <w:adjustRightInd w:val="0"/>
            </w:pPr>
            <w:r>
              <w:t xml:space="preserve"> Информационни технологии</w:t>
            </w:r>
          </w:p>
          <w:p w14:paraId="7FE1C253" w14:textId="6F077E5C" w:rsidR="00FE5D64" w:rsidRDefault="00E40776">
            <w:pPr>
              <w:pStyle w:val="P68B1DB1-ListParagraph53"/>
              <w:numPr>
                <w:ilvl w:val="1"/>
                <w:numId w:val="290"/>
              </w:numPr>
              <w:autoSpaceDE w:val="0"/>
              <w:autoSpaceDN w:val="0"/>
              <w:adjustRightInd w:val="0"/>
              <w:ind w:left="1449"/>
            </w:pPr>
            <w:r>
              <w:t>Информацион</w:t>
            </w:r>
            <w:r w:rsidR="00B9486D">
              <w:rPr>
                <w:lang w:val="bg-BG"/>
              </w:rPr>
              <w:t>ни технологии</w:t>
            </w:r>
            <w:r>
              <w:t xml:space="preserve"> и хардуер</w:t>
            </w:r>
            <w:r w:rsidR="00B9486D" w:rsidRPr="00BC457F">
              <w:rPr>
                <w:lang w:val="bg-BG"/>
              </w:rPr>
              <w:t xml:space="preserve"> </w:t>
            </w:r>
            <w:r w:rsidR="00B9486D">
              <w:rPr>
                <w:lang w:val="bg-BG"/>
              </w:rPr>
              <w:t>за</w:t>
            </w:r>
            <w:r>
              <w:t xml:space="preserve"> </w:t>
            </w:r>
            <w:r w:rsidR="00B9486D">
              <w:t>комуникаци</w:t>
            </w:r>
            <w:r w:rsidR="00B9486D">
              <w:rPr>
                <w:lang w:val="bg-BG"/>
              </w:rPr>
              <w:t>и;</w:t>
            </w:r>
          </w:p>
          <w:p w14:paraId="7FE1C254" w14:textId="0D87880F" w:rsidR="00FE5D64" w:rsidRDefault="00E40776">
            <w:pPr>
              <w:pStyle w:val="P68B1DB1-ListParagraph53"/>
              <w:numPr>
                <w:ilvl w:val="1"/>
                <w:numId w:val="290"/>
              </w:numPr>
              <w:autoSpaceDE w:val="0"/>
              <w:autoSpaceDN w:val="0"/>
              <w:adjustRightInd w:val="0"/>
              <w:ind w:left="1449"/>
            </w:pPr>
            <w:r>
              <w:t>съхранение и обработка на данни;</w:t>
            </w:r>
          </w:p>
          <w:p w14:paraId="7FE1C255" w14:textId="237B6C03" w:rsidR="00FE5D64" w:rsidRDefault="00E40776">
            <w:pPr>
              <w:pStyle w:val="P68B1DB1-ListParagraph53"/>
              <w:numPr>
                <w:ilvl w:val="1"/>
                <w:numId w:val="290"/>
              </w:numPr>
              <w:autoSpaceDE w:val="0"/>
              <w:autoSpaceDN w:val="0"/>
              <w:adjustRightInd w:val="0"/>
              <w:ind w:left="1449"/>
            </w:pPr>
            <w:r>
              <w:t>друга ИТ инфраструктура, работни станции, телекомуникации, сървъри, центрове за електронно обработване на данни и съответни услуги;</w:t>
            </w:r>
          </w:p>
          <w:p w14:paraId="7FE1C256" w14:textId="50EB6A48" w:rsidR="00FE5D64" w:rsidRDefault="00E40776">
            <w:pPr>
              <w:pStyle w:val="P68B1DB1-ListParagraph53"/>
              <w:numPr>
                <w:ilvl w:val="1"/>
                <w:numId w:val="290"/>
              </w:numPr>
              <w:autoSpaceDE w:val="0"/>
              <w:autoSpaceDN w:val="0"/>
              <w:adjustRightInd w:val="0"/>
              <w:ind w:left="1449"/>
            </w:pPr>
            <w:r>
              <w:t>управление на лицензи за софтуер и приложен софтуер;</w:t>
            </w:r>
          </w:p>
          <w:p w14:paraId="7FE1C257" w14:textId="72593906" w:rsidR="00FE5D64" w:rsidRDefault="00E40776">
            <w:pPr>
              <w:pStyle w:val="P68B1DB1-ListParagraph53"/>
              <w:numPr>
                <w:ilvl w:val="1"/>
                <w:numId w:val="290"/>
              </w:numPr>
              <w:autoSpaceDE w:val="0"/>
              <w:autoSpaceDN w:val="0"/>
              <w:adjustRightInd w:val="0"/>
              <w:ind w:left="1449"/>
            </w:pPr>
            <w:r>
              <w:t>достъп до външни доставчици, по-специално доставчици на данни и инфраструктура;</w:t>
            </w:r>
          </w:p>
          <w:p w14:paraId="7FE1C258" w14:textId="63ED9875" w:rsidR="00FE5D64" w:rsidRDefault="00E40776">
            <w:pPr>
              <w:pStyle w:val="P68B1DB1-ListParagraph53"/>
              <w:numPr>
                <w:ilvl w:val="1"/>
                <w:numId w:val="290"/>
              </w:numPr>
              <w:autoSpaceDE w:val="0"/>
              <w:autoSpaceDN w:val="0"/>
              <w:adjustRightInd w:val="0"/>
              <w:ind w:left="1449"/>
            </w:pPr>
            <w:r>
              <w:t>поддръжка на приложения, включително поддръжка на приложен софтуер и свързани с това потоци от данни;</w:t>
            </w:r>
          </w:p>
          <w:p w14:paraId="7FE1C259" w14:textId="2CFEB552" w:rsidR="00FE5D64" w:rsidRDefault="00E40776">
            <w:pPr>
              <w:pStyle w:val="P68B1DB1-ListParagraph53"/>
              <w:numPr>
                <w:ilvl w:val="1"/>
                <w:numId w:val="290"/>
              </w:numPr>
              <w:autoSpaceDE w:val="0"/>
              <w:autoSpaceDN w:val="0"/>
              <w:adjustRightInd w:val="0"/>
              <w:ind w:left="1449"/>
            </w:pPr>
            <w:r>
              <w:t>генериране на отчети, вътрешни потоци информация и бази данни;</w:t>
            </w:r>
          </w:p>
          <w:p w14:paraId="7FE1C25A" w14:textId="427EC515" w:rsidR="00FE5D64" w:rsidRDefault="00E40776">
            <w:pPr>
              <w:pStyle w:val="P68B1DB1-ListParagraph53"/>
              <w:numPr>
                <w:ilvl w:val="1"/>
                <w:numId w:val="290"/>
              </w:numPr>
              <w:autoSpaceDE w:val="0"/>
              <w:autoSpaceDN w:val="0"/>
              <w:adjustRightInd w:val="0"/>
              <w:ind w:left="1449"/>
            </w:pPr>
            <w:r>
              <w:t>поддръжка и обслужване на ползвателите;</w:t>
            </w:r>
          </w:p>
          <w:p w14:paraId="7FE1C25B" w14:textId="2FAE0C54" w:rsidR="00FE5D64" w:rsidRDefault="00E40776">
            <w:pPr>
              <w:pStyle w:val="P68B1DB1-ListParagraph53"/>
              <w:numPr>
                <w:ilvl w:val="1"/>
                <w:numId w:val="290"/>
              </w:numPr>
              <w:autoSpaceDE w:val="0"/>
              <w:autoSpaceDN w:val="0"/>
              <w:adjustRightInd w:val="0"/>
              <w:ind w:left="1449"/>
            </w:pPr>
            <w:r>
              <w:t>възстановяване при извънредни ситуации и бедствия;</w:t>
            </w:r>
          </w:p>
          <w:p w14:paraId="7FE1C25C" w14:textId="431BC144" w:rsidR="00FE5D64" w:rsidRDefault="00E40776">
            <w:pPr>
              <w:pStyle w:val="P68B1DB1-ListParagraph53"/>
              <w:numPr>
                <w:ilvl w:val="1"/>
                <w:numId w:val="290"/>
              </w:numPr>
              <w:autoSpaceDE w:val="0"/>
              <w:autoSpaceDN w:val="0"/>
              <w:adjustRightInd w:val="0"/>
              <w:ind w:left="1449"/>
            </w:pPr>
            <w:r>
              <w:t>друг вид услуги в областта на информационните технологии</w:t>
            </w:r>
          </w:p>
          <w:p w14:paraId="7FE1C25D" w14:textId="77777777" w:rsidR="00FE5D64" w:rsidRDefault="00FE5D64">
            <w:pPr>
              <w:autoSpaceDE w:val="0"/>
              <w:autoSpaceDN w:val="0"/>
              <w:adjustRightInd w:val="0"/>
              <w:rPr>
                <w:rFonts w:ascii="Times New Roman" w:eastAsia="MS Mincho" w:hAnsi="Times New Roman" w:cs="Times New Roman"/>
                <w:sz w:val="20"/>
                <w:szCs w:val="20"/>
              </w:rPr>
            </w:pPr>
          </w:p>
          <w:p w14:paraId="7FE1C25E" w14:textId="55789561" w:rsidR="00FE5D64" w:rsidRDefault="00E40776">
            <w:pPr>
              <w:pStyle w:val="P68B1DB1-Normal52"/>
              <w:autoSpaceDE w:val="0"/>
              <w:autoSpaceDN w:val="0"/>
              <w:adjustRightInd w:val="0"/>
            </w:pPr>
            <w:r>
              <w:t xml:space="preserve">Обработка на </w:t>
            </w:r>
            <w:r w:rsidR="00B349F0">
              <w:rPr>
                <w:lang w:val="bg-BG"/>
              </w:rPr>
              <w:t>трансакции</w:t>
            </w:r>
            <w:r>
              <w:t>, включително свързани правни въпроси, по-специално мерки против изпирането на пари.</w:t>
            </w:r>
          </w:p>
          <w:p w14:paraId="7FE1C25F" w14:textId="77777777" w:rsidR="00FE5D64" w:rsidRDefault="00FE5D64">
            <w:pPr>
              <w:autoSpaceDE w:val="0"/>
              <w:autoSpaceDN w:val="0"/>
              <w:adjustRightInd w:val="0"/>
              <w:rPr>
                <w:rFonts w:ascii="Times New Roman" w:eastAsia="MS Mincho" w:hAnsi="Times New Roman" w:cs="Times New Roman"/>
                <w:sz w:val="20"/>
                <w:szCs w:val="20"/>
              </w:rPr>
            </w:pPr>
          </w:p>
          <w:p w14:paraId="7FE1C260" w14:textId="0E078ECC" w:rsidR="00FE5D64" w:rsidRDefault="00E40776">
            <w:pPr>
              <w:pStyle w:val="P68B1DB1-Normal52"/>
              <w:autoSpaceDE w:val="0"/>
              <w:autoSpaceDN w:val="0"/>
              <w:adjustRightInd w:val="0"/>
            </w:pPr>
            <w:bookmarkStart w:id="138" w:name="_Hlk191374143"/>
            <w:r>
              <w:t>Предоставяне или управление на недвижими имоти и съоръжения и свързани с тях инфраструктури</w:t>
            </w:r>
            <w:bookmarkEnd w:id="138"/>
          </w:p>
          <w:p w14:paraId="7FE1C261" w14:textId="52FDD271" w:rsidR="00FE5D64" w:rsidRDefault="00E40776">
            <w:pPr>
              <w:pStyle w:val="P68B1DB1-ListParagraph53"/>
              <w:numPr>
                <w:ilvl w:val="0"/>
                <w:numId w:val="291"/>
              </w:numPr>
              <w:autoSpaceDE w:val="0"/>
              <w:autoSpaceDN w:val="0"/>
              <w:adjustRightInd w:val="0"/>
            </w:pPr>
            <w:r>
              <w:t>офиси и съхранение;</w:t>
            </w:r>
          </w:p>
          <w:p w14:paraId="7FE1C262" w14:textId="6E7F2AF0" w:rsidR="00FE5D64" w:rsidRDefault="00E40776">
            <w:pPr>
              <w:pStyle w:val="P68B1DB1-ListParagraph53"/>
              <w:numPr>
                <w:ilvl w:val="0"/>
                <w:numId w:val="291"/>
              </w:numPr>
              <w:autoSpaceDE w:val="0"/>
              <w:autoSpaceDN w:val="0"/>
              <w:adjustRightInd w:val="0"/>
            </w:pPr>
            <w:r>
              <w:t>управление на вътрешни съоръжения;</w:t>
            </w:r>
          </w:p>
          <w:p w14:paraId="7FE1C263" w14:textId="1F9F3CFD" w:rsidR="00FE5D64" w:rsidRDefault="00E40776">
            <w:pPr>
              <w:pStyle w:val="P68B1DB1-ListParagraph53"/>
              <w:numPr>
                <w:ilvl w:val="0"/>
                <w:numId w:val="291"/>
              </w:numPr>
              <w:autoSpaceDE w:val="0"/>
              <w:autoSpaceDN w:val="0"/>
              <w:adjustRightInd w:val="0"/>
            </w:pPr>
            <w:r>
              <w:t>охрана и контрол на достъпа;</w:t>
            </w:r>
          </w:p>
          <w:p w14:paraId="7FE1C264" w14:textId="3AF37CDE" w:rsidR="00FE5D64" w:rsidRDefault="00E40776">
            <w:pPr>
              <w:pStyle w:val="P68B1DB1-ListParagraph53"/>
              <w:numPr>
                <w:ilvl w:val="0"/>
                <w:numId w:val="291"/>
              </w:numPr>
              <w:autoSpaceDE w:val="0"/>
              <w:autoSpaceDN w:val="0"/>
              <w:adjustRightInd w:val="0"/>
            </w:pPr>
            <w:r>
              <w:t>управление на портфейл от недвижими имоти;</w:t>
            </w:r>
          </w:p>
          <w:p w14:paraId="7FE1C265" w14:textId="52ACD32B" w:rsidR="00FE5D64" w:rsidRDefault="00E40776">
            <w:pPr>
              <w:pStyle w:val="P68B1DB1-ListParagraph53"/>
              <w:numPr>
                <w:ilvl w:val="0"/>
                <w:numId w:val="291"/>
              </w:numPr>
              <w:autoSpaceDE w:val="0"/>
              <w:autoSpaceDN w:val="0"/>
              <w:adjustRightInd w:val="0"/>
            </w:pPr>
            <w:r>
              <w:t>други видове услуги по предоставяне или управление на недвижими имоти и съоръжения и свързани с тях инфраструктури</w:t>
            </w:r>
          </w:p>
          <w:p w14:paraId="7FE1C266" w14:textId="77777777" w:rsidR="00FE5D64" w:rsidRDefault="00FE5D64">
            <w:pPr>
              <w:autoSpaceDE w:val="0"/>
              <w:autoSpaceDN w:val="0"/>
              <w:adjustRightInd w:val="0"/>
              <w:rPr>
                <w:rFonts w:ascii="Times New Roman" w:eastAsia="MS Mincho" w:hAnsi="Times New Roman" w:cs="Times New Roman"/>
                <w:sz w:val="20"/>
                <w:szCs w:val="20"/>
              </w:rPr>
            </w:pPr>
          </w:p>
          <w:p w14:paraId="7FE1C267" w14:textId="2A0A2B03" w:rsidR="00FE5D64" w:rsidRDefault="00E40776">
            <w:pPr>
              <w:pStyle w:val="P68B1DB1-Normal52"/>
              <w:autoSpaceDE w:val="0"/>
              <w:autoSpaceDN w:val="0"/>
              <w:adjustRightInd w:val="0"/>
            </w:pPr>
            <w:r>
              <w:t>Правни услуги и</w:t>
            </w:r>
            <w:r w:rsidR="00CF5986" w:rsidRPr="008F7061">
              <w:rPr>
                <w:lang w:val="bg-BG"/>
              </w:rPr>
              <w:t xml:space="preserve"> </w:t>
            </w:r>
            <w:r w:rsidR="00CF5986">
              <w:rPr>
                <w:lang w:val="bg-BG"/>
              </w:rPr>
              <w:t>звена за</w:t>
            </w:r>
            <w:r>
              <w:t xml:space="preserve"> проверка на съответствието:</w:t>
            </w:r>
          </w:p>
          <w:p w14:paraId="7FE1C268" w14:textId="6320EE2D" w:rsidR="00FE5D64" w:rsidRDefault="00E40776">
            <w:pPr>
              <w:pStyle w:val="P68B1DB1-ListParagraph53"/>
              <w:numPr>
                <w:ilvl w:val="0"/>
                <w:numId w:val="292"/>
              </w:numPr>
              <w:autoSpaceDE w:val="0"/>
              <w:autoSpaceDN w:val="0"/>
              <w:adjustRightInd w:val="0"/>
            </w:pPr>
            <w:r>
              <w:t>корпоративна правна помощ;</w:t>
            </w:r>
          </w:p>
          <w:p w14:paraId="7FE1C269" w14:textId="11AEE977" w:rsidR="00FE5D64" w:rsidRDefault="00E40776">
            <w:pPr>
              <w:pStyle w:val="P68B1DB1-ListParagraph53"/>
              <w:numPr>
                <w:ilvl w:val="0"/>
                <w:numId w:val="292"/>
              </w:numPr>
              <w:autoSpaceDE w:val="0"/>
              <w:autoSpaceDN w:val="0"/>
              <w:adjustRightInd w:val="0"/>
            </w:pPr>
            <w:r>
              <w:t xml:space="preserve">правни услуги във връзка с бизнес и </w:t>
            </w:r>
            <w:r w:rsidR="00B349F0">
              <w:rPr>
                <w:lang w:val="bg-BG"/>
              </w:rPr>
              <w:t>трансакции</w:t>
            </w:r>
            <w:r>
              <w:t>;</w:t>
            </w:r>
          </w:p>
          <w:p w14:paraId="7FE1C26A" w14:textId="58BAF693" w:rsidR="00FE5D64" w:rsidRDefault="00CF5986">
            <w:pPr>
              <w:pStyle w:val="P68B1DB1-ListParagraph53"/>
              <w:numPr>
                <w:ilvl w:val="0"/>
                <w:numId w:val="292"/>
              </w:numPr>
              <w:autoSpaceDE w:val="0"/>
              <w:autoSpaceDN w:val="0"/>
              <w:adjustRightInd w:val="0"/>
            </w:pPr>
            <w:r>
              <w:rPr>
                <w:lang w:val="bg-BG"/>
              </w:rPr>
              <w:t>подкрепа</w:t>
            </w:r>
            <w:r>
              <w:t xml:space="preserve"> </w:t>
            </w:r>
            <w:r w:rsidR="00E40776">
              <w:t>за осигуряване на съблюдаване на нормативните изисквания</w:t>
            </w:r>
          </w:p>
          <w:p w14:paraId="7FE1C26B" w14:textId="17923BCC" w:rsidR="00FE5D64" w:rsidRDefault="00E40776">
            <w:pPr>
              <w:pStyle w:val="P68B1DB1-ListParagraph53"/>
              <w:numPr>
                <w:ilvl w:val="0"/>
                <w:numId w:val="292"/>
              </w:numPr>
              <w:autoSpaceDE w:val="0"/>
              <w:autoSpaceDN w:val="0"/>
              <w:adjustRightInd w:val="0"/>
            </w:pPr>
            <w:r>
              <w:t>други правни услуги и услуг</w:t>
            </w:r>
            <w:r w:rsidR="00CF5986">
              <w:rPr>
                <w:lang w:val="bg-BG"/>
              </w:rPr>
              <w:t>и</w:t>
            </w:r>
            <w:r>
              <w:t xml:space="preserve"> на звеното по </w:t>
            </w:r>
            <w:r w:rsidR="00CF5986">
              <w:rPr>
                <w:lang w:val="bg-BG"/>
              </w:rPr>
              <w:t>проверка на</w:t>
            </w:r>
            <w:r w:rsidR="00CF5986" w:rsidRPr="008F7061">
              <w:rPr>
                <w:lang w:val="bg-BG"/>
              </w:rPr>
              <w:t xml:space="preserve"> </w:t>
            </w:r>
            <w:r>
              <w:t>съответствието</w:t>
            </w:r>
          </w:p>
          <w:p w14:paraId="7FE1C26C" w14:textId="77777777" w:rsidR="00FE5D64" w:rsidRDefault="00FE5D64">
            <w:pPr>
              <w:autoSpaceDE w:val="0"/>
              <w:autoSpaceDN w:val="0"/>
              <w:adjustRightInd w:val="0"/>
              <w:ind w:left="708"/>
              <w:rPr>
                <w:rFonts w:ascii="Times New Roman" w:eastAsia="MS Mincho" w:hAnsi="Times New Roman" w:cs="Times New Roman"/>
                <w:sz w:val="20"/>
                <w:szCs w:val="20"/>
              </w:rPr>
            </w:pPr>
          </w:p>
          <w:p w14:paraId="7FE1C26D" w14:textId="600CC525" w:rsidR="00FE5D64" w:rsidRDefault="00E40776">
            <w:pPr>
              <w:pStyle w:val="P68B1DB1-Normal52"/>
              <w:autoSpaceDE w:val="0"/>
              <w:autoSpaceDN w:val="0"/>
              <w:adjustRightInd w:val="0"/>
            </w:pPr>
            <w:r w:rsidRPr="00BC457F">
              <w:t xml:space="preserve">Услуги във връзка с </w:t>
            </w:r>
            <w:r w:rsidR="008F7061" w:rsidRPr="00BC457F">
              <w:rPr>
                <w:lang w:val="bg-BG"/>
              </w:rPr>
              <w:t>парични средства и ценни книжа</w:t>
            </w:r>
            <w:r>
              <w:t xml:space="preserve"> </w:t>
            </w:r>
          </w:p>
          <w:p w14:paraId="7FE1C26E" w14:textId="5C052F57" w:rsidR="00FE5D64" w:rsidRDefault="00E40776" w:rsidP="008F7061">
            <w:pPr>
              <w:pStyle w:val="P68B1DB1-ListParagraph53"/>
              <w:numPr>
                <w:ilvl w:val="0"/>
                <w:numId w:val="293"/>
              </w:numPr>
              <w:autoSpaceDE w:val="0"/>
              <w:autoSpaceDN w:val="0"/>
              <w:adjustRightInd w:val="0"/>
            </w:pPr>
            <w:r>
              <w:t xml:space="preserve">координация, администриране и управление на </w:t>
            </w:r>
            <w:r w:rsidR="008F7061">
              <w:rPr>
                <w:lang w:val="bg-BG"/>
              </w:rPr>
              <w:t>парични средства и ценни книжа;</w:t>
            </w:r>
          </w:p>
          <w:p w14:paraId="7FE1C26F" w14:textId="4DF603C8" w:rsidR="00FE5D64" w:rsidRDefault="00E40776">
            <w:pPr>
              <w:pStyle w:val="P68B1DB1-ListParagraph53"/>
              <w:numPr>
                <w:ilvl w:val="0"/>
                <w:numId w:val="293"/>
              </w:numPr>
              <w:autoSpaceDE w:val="0"/>
              <w:autoSpaceDN w:val="0"/>
              <w:adjustRightInd w:val="0"/>
            </w:pPr>
            <w:r>
              <w:t>координация, администриране и управление на рефинансирането на субекти, включително управление на обезпечения;</w:t>
            </w:r>
          </w:p>
          <w:p w14:paraId="7FE1C270" w14:textId="71FBEE10" w:rsidR="00FE5D64" w:rsidRDefault="00E40776">
            <w:pPr>
              <w:pStyle w:val="P68B1DB1-ListParagraph53"/>
              <w:numPr>
                <w:ilvl w:val="0"/>
                <w:numId w:val="293"/>
              </w:numPr>
              <w:autoSpaceDE w:val="0"/>
              <w:autoSpaceDN w:val="0"/>
              <w:adjustRightInd w:val="0"/>
            </w:pPr>
            <w:r>
              <w:t>функция за отчитане, по-специално във връзка с регулаторните коефициенти за ликвидност;</w:t>
            </w:r>
          </w:p>
          <w:p w14:paraId="7FE1C271" w14:textId="68E8D6EB" w:rsidR="00FE5D64" w:rsidRDefault="00E40776">
            <w:pPr>
              <w:pStyle w:val="P68B1DB1-ListParagraph53"/>
              <w:numPr>
                <w:ilvl w:val="0"/>
                <w:numId w:val="293"/>
              </w:numPr>
              <w:autoSpaceDE w:val="0"/>
              <w:autoSpaceDN w:val="0"/>
              <w:adjustRightInd w:val="0"/>
            </w:pPr>
            <w:r>
              <w:t>координация, администриране и управление на средносрочни и дългосрочни програми за финансиране, и рефинансиране на субекти от групи;</w:t>
            </w:r>
          </w:p>
          <w:p w14:paraId="7FE1C272" w14:textId="4789DFFE" w:rsidR="00FE5D64" w:rsidRDefault="009F4D0E">
            <w:pPr>
              <w:pStyle w:val="P68B1DB1-ListParagraph53"/>
              <w:numPr>
                <w:ilvl w:val="0"/>
                <w:numId w:val="293"/>
              </w:numPr>
              <w:autoSpaceDE w:val="0"/>
              <w:autoSpaceDN w:val="0"/>
              <w:adjustRightInd w:val="0"/>
            </w:pPr>
            <w:r>
              <w:rPr>
                <w:lang w:val="bg-BG"/>
              </w:rPr>
              <w:t>к</w:t>
            </w:r>
            <w:r w:rsidR="00E40776">
              <w:t>оординиране, администриране и управление на рефинансирането, в частност във връзка с възникващите в краткосрочен план въпроси</w:t>
            </w:r>
          </w:p>
          <w:p w14:paraId="7FE1C273" w14:textId="0F62FF53" w:rsidR="00FE5D64" w:rsidRDefault="00E40776">
            <w:pPr>
              <w:pStyle w:val="P68B1DB1-ListParagraph53"/>
              <w:numPr>
                <w:ilvl w:val="0"/>
                <w:numId w:val="293"/>
              </w:numPr>
              <w:autoSpaceDE w:val="0"/>
              <w:autoSpaceDN w:val="0"/>
              <w:adjustRightInd w:val="0"/>
            </w:pPr>
            <w:r>
              <w:t xml:space="preserve">друг вид услуги, свързани с </w:t>
            </w:r>
            <w:r w:rsidR="009F4D0E">
              <w:rPr>
                <w:lang w:val="bg-BG"/>
              </w:rPr>
              <w:t>парични средства</w:t>
            </w:r>
            <w:r w:rsidR="008F7061">
              <w:rPr>
                <w:lang w:val="bg-BG"/>
              </w:rPr>
              <w:t xml:space="preserve"> и ценни книжа</w:t>
            </w:r>
          </w:p>
          <w:p w14:paraId="7FE1C274" w14:textId="77777777" w:rsidR="00FE5D64" w:rsidRDefault="00FE5D64">
            <w:pPr>
              <w:autoSpaceDE w:val="0"/>
              <w:autoSpaceDN w:val="0"/>
              <w:adjustRightInd w:val="0"/>
              <w:rPr>
                <w:rFonts w:ascii="Times New Roman" w:eastAsia="MS Mincho" w:hAnsi="Times New Roman" w:cs="Times New Roman"/>
                <w:sz w:val="20"/>
                <w:szCs w:val="20"/>
              </w:rPr>
            </w:pPr>
          </w:p>
          <w:p w14:paraId="7FE1C275" w14:textId="1A08A514" w:rsidR="00FE5D64" w:rsidRDefault="00E40776">
            <w:pPr>
              <w:pStyle w:val="P68B1DB1-Normal52"/>
              <w:autoSpaceDE w:val="0"/>
              <w:autoSpaceDN w:val="0"/>
              <w:adjustRightInd w:val="0"/>
            </w:pPr>
            <w:r>
              <w:t>Търг</w:t>
            </w:r>
            <w:r w:rsidR="009F4D0E">
              <w:rPr>
                <w:lang w:val="bg-BG"/>
              </w:rPr>
              <w:t>овия</w:t>
            </w:r>
            <w:r>
              <w:t>/управление на активи</w:t>
            </w:r>
          </w:p>
          <w:p w14:paraId="7FE1C276" w14:textId="324AFD0A" w:rsidR="00FE5D64" w:rsidRDefault="00E40776">
            <w:pPr>
              <w:pStyle w:val="P68B1DB1-ListParagraph53"/>
              <w:numPr>
                <w:ilvl w:val="0"/>
                <w:numId w:val="294"/>
              </w:numPr>
              <w:autoSpaceDE w:val="0"/>
              <w:autoSpaceDN w:val="0"/>
              <w:adjustRightInd w:val="0"/>
            </w:pPr>
            <w:r>
              <w:t xml:space="preserve">обработка на операции: </w:t>
            </w:r>
            <w:r w:rsidR="006637BA">
              <w:rPr>
                <w:lang w:val="bg-BG"/>
              </w:rPr>
              <w:t>сключване на сделка</w:t>
            </w:r>
            <w:r>
              <w:t>, проектиране, реализация, обслужване на търговски продукти;</w:t>
            </w:r>
          </w:p>
          <w:p w14:paraId="7FE1C277" w14:textId="2DE7259D" w:rsidR="00FE5D64" w:rsidRDefault="009F4D0E">
            <w:pPr>
              <w:pStyle w:val="P68B1DB1-ListParagraph53"/>
              <w:numPr>
                <w:ilvl w:val="0"/>
                <w:numId w:val="294"/>
              </w:numPr>
              <w:autoSpaceDE w:val="0"/>
              <w:autoSpaceDN w:val="0"/>
              <w:adjustRightInd w:val="0"/>
            </w:pPr>
            <w:r>
              <w:rPr>
                <w:lang w:val="bg-BG"/>
              </w:rPr>
              <w:t>п</w:t>
            </w:r>
            <w:r w:rsidR="00E40776">
              <w:t>отвърждаване, сетълмент, плащане</w:t>
            </w:r>
          </w:p>
          <w:p w14:paraId="7FE1C278" w14:textId="7649E3A8" w:rsidR="00FE5D64" w:rsidRDefault="009F4D0E">
            <w:pPr>
              <w:pStyle w:val="P68B1DB1-ListParagraph53"/>
              <w:numPr>
                <w:ilvl w:val="0"/>
                <w:numId w:val="294"/>
              </w:numPr>
              <w:autoSpaceDE w:val="0"/>
              <w:autoSpaceDN w:val="0"/>
              <w:adjustRightInd w:val="0"/>
            </w:pPr>
            <w:r>
              <w:rPr>
                <w:lang w:val="bg-BG"/>
              </w:rPr>
              <w:t>у</w:t>
            </w:r>
            <w:r w:rsidR="00E40776">
              <w:t>правление на позициите и контрагентите във връзка с предоставянето</w:t>
            </w:r>
            <w:r>
              <w:t xml:space="preserve"> </w:t>
            </w:r>
            <w:r w:rsidR="00E40776">
              <w:t xml:space="preserve">на данни и </w:t>
            </w:r>
            <w:r w:rsidR="0005072A">
              <w:rPr>
                <w:lang w:val="bg-BG"/>
              </w:rPr>
              <w:t>взаимоотношенията</w:t>
            </w:r>
            <w:r w:rsidR="00E40776">
              <w:t xml:space="preserve"> с контрагенти</w:t>
            </w:r>
          </w:p>
          <w:p w14:paraId="7FE1C279" w14:textId="18F90331" w:rsidR="00FE5D64" w:rsidRDefault="00E40776">
            <w:pPr>
              <w:pStyle w:val="P68B1DB1-ListParagraph53"/>
              <w:numPr>
                <w:ilvl w:val="0"/>
                <w:numId w:val="294"/>
              </w:numPr>
              <w:autoSpaceDE w:val="0"/>
              <w:autoSpaceDN w:val="0"/>
              <w:adjustRightInd w:val="0"/>
            </w:pPr>
            <w:r>
              <w:t xml:space="preserve">управление на позиции (риск и равняване). </w:t>
            </w:r>
          </w:p>
          <w:p w14:paraId="7FE1C27A" w14:textId="23FC3BC1" w:rsidR="00FE5D64" w:rsidRDefault="00E40776">
            <w:pPr>
              <w:pStyle w:val="P68B1DB1-ListParagraph53"/>
              <w:numPr>
                <w:ilvl w:val="0"/>
                <w:numId w:val="294"/>
              </w:numPr>
              <w:autoSpaceDE w:val="0"/>
              <w:autoSpaceDN w:val="0"/>
              <w:adjustRightInd w:val="0"/>
            </w:pPr>
            <w:r>
              <w:t>друг вид услуги за търговия/управление на активи</w:t>
            </w:r>
          </w:p>
          <w:p w14:paraId="7FE1C27B" w14:textId="77777777" w:rsidR="00FE5D64" w:rsidRDefault="00FE5D64">
            <w:pPr>
              <w:autoSpaceDE w:val="0"/>
              <w:autoSpaceDN w:val="0"/>
              <w:adjustRightInd w:val="0"/>
              <w:ind w:left="708"/>
              <w:rPr>
                <w:rFonts w:ascii="Times New Roman" w:eastAsia="MS Mincho" w:hAnsi="Times New Roman" w:cs="Times New Roman"/>
                <w:sz w:val="20"/>
                <w:szCs w:val="20"/>
              </w:rPr>
            </w:pPr>
          </w:p>
          <w:p w14:paraId="7FE1C27C" w14:textId="0BAF8BA9" w:rsidR="00FE5D64" w:rsidRDefault="00E40776">
            <w:pPr>
              <w:pStyle w:val="P68B1DB1-Normal52"/>
              <w:autoSpaceDE w:val="0"/>
              <w:autoSpaceDN w:val="0"/>
              <w:adjustRightInd w:val="0"/>
            </w:pPr>
            <w:r>
              <w:t>Управление и оценка на риска</w:t>
            </w:r>
          </w:p>
          <w:p w14:paraId="7FE1C27D" w14:textId="198BFFB8" w:rsidR="00FE5D64" w:rsidRDefault="00B95D56">
            <w:pPr>
              <w:pStyle w:val="P68B1DB1-ListParagraph53"/>
              <w:numPr>
                <w:ilvl w:val="0"/>
                <w:numId w:val="295"/>
              </w:numPr>
              <w:autoSpaceDE w:val="0"/>
              <w:autoSpaceDN w:val="0"/>
              <w:adjustRightInd w:val="0"/>
            </w:pPr>
            <w:r>
              <w:rPr>
                <w:lang w:val="bg-BG"/>
              </w:rPr>
              <w:t>у</w:t>
            </w:r>
            <w:r w:rsidR="00E40776">
              <w:t>правление на риска, свързан с основна дейност, стопанска дейност или вид риск;</w:t>
            </w:r>
          </w:p>
          <w:p w14:paraId="7FE1C27E" w14:textId="2ADDF828" w:rsidR="00FE5D64" w:rsidRDefault="00E40776">
            <w:pPr>
              <w:pStyle w:val="P68B1DB1-ListParagraph53"/>
              <w:numPr>
                <w:ilvl w:val="0"/>
                <w:numId w:val="295"/>
              </w:numPr>
              <w:autoSpaceDE w:val="0"/>
              <w:autoSpaceDN w:val="0"/>
              <w:adjustRightInd w:val="0"/>
            </w:pPr>
            <w:r>
              <w:t>изготвяне на доклади за риска</w:t>
            </w:r>
            <w:r w:rsidR="00B95D56">
              <w:rPr>
                <w:lang w:val="bg-BG"/>
              </w:rPr>
              <w:t>;</w:t>
            </w:r>
          </w:p>
          <w:p w14:paraId="7FE1C27F" w14:textId="2085E6DB" w:rsidR="00FE5D64" w:rsidRDefault="00E40776">
            <w:pPr>
              <w:pStyle w:val="P68B1DB1-ListParagraph53"/>
              <w:numPr>
                <w:ilvl w:val="0"/>
                <w:numId w:val="295"/>
              </w:numPr>
              <w:autoSpaceDE w:val="0"/>
              <w:autoSpaceDN w:val="0"/>
              <w:adjustRightInd w:val="0"/>
            </w:pPr>
            <w:r>
              <w:t>друг вид услуги по управление</w:t>
            </w:r>
            <w:r w:rsidR="0005072A">
              <w:rPr>
                <w:lang w:val="bg-BG"/>
              </w:rPr>
              <w:t xml:space="preserve"> и оценка</w:t>
            </w:r>
            <w:r>
              <w:t xml:space="preserve"> на риска</w:t>
            </w:r>
          </w:p>
          <w:p w14:paraId="7FE1C280" w14:textId="77777777" w:rsidR="00FE5D64" w:rsidRDefault="00FE5D64">
            <w:pPr>
              <w:autoSpaceDE w:val="0"/>
              <w:autoSpaceDN w:val="0"/>
              <w:adjustRightInd w:val="0"/>
              <w:rPr>
                <w:rFonts w:ascii="Times New Roman" w:eastAsia="MS Mincho" w:hAnsi="Times New Roman" w:cs="Times New Roman"/>
                <w:sz w:val="20"/>
                <w:szCs w:val="20"/>
              </w:rPr>
            </w:pPr>
          </w:p>
          <w:p w14:paraId="7FE1C281" w14:textId="5206B100" w:rsidR="00FE5D64" w:rsidRDefault="00E40776">
            <w:pPr>
              <w:pStyle w:val="P68B1DB1-Normal52"/>
              <w:autoSpaceDE w:val="0"/>
              <w:autoSpaceDN w:val="0"/>
              <w:adjustRightInd w:val="0"/>
            </w:pPr>
            <w:r>
              <w:t xml:space="preserve">Счетоводство </w:t>
            </w:r>
          </w:p>
          <w:p w14:paraId="7FE1C282" w14:textId="3E66E25A" w:rsidR="00FE5D64" w:rsidRDefault="00B95D56">
            <w:pPr>
              <w:pStyle w:val="P68B1DB1-ListParagraph53"/>
              <w:numPr>
                <w:ilvl w:val="0"/>
                <w:numId w:val="296"/>
              </w:numPr>
              <w:autoSpaceDE w:val="0"/>
              <w:autoSpaceDN w:val="0"/>
              <w:adjustRightInd w:val="0"/>
            </w:pPr>
            <w:r>
              <w:rPr>
                <w:lang w:val="bg-BG"/>
              </w:rPr>
              <w:t>о</w:t>
            </w:r>
            <w:r w:rsidR="00E40776">
              <w:t>тчитане съгласно законови и регулаторни изисквания;</w:t>
            </w:r>
          </w:p>
          <w:p w14:paraId="7FE1C283" w14:textId="3DCAF9FA" w:rsidR="00FE5D64" w:rsidRDefault="00E40776">
            <w:pPr>
              <w:pStyle w:val="P68B1DB1-ListParagraph53"/>
              <w:numPr>
                <w:ilvl w:val="0"/>
                <w:numId w:val="296"/>
              </w:numPr>
              <w:autoSpaceDE w:val="0"/>
              <w:autoSpaceDN w:val="0"/>
              <w:adjustRightInd w:val="0"/>
            </w:pPr>
            <w:r>
              <w:t xml:space="preserve">оценка, по-специално на пазарни позиции; </w:t>
            </w:r>
          </w:p>
          <w:p w14:paraId="7FE1C284" w14:textId="0C065BB5" w:rsidR="00FE5D64" w:rsidRDefault="00E40776">
            <w:pPr>
              <w:pStyle w:val="P68B1DB1-ListParagraph53"/>
              <w:numPr>
                <w:ilvl w:val="0"/>
                <w:numId w:val="296"/>
              </w:numPr>
              <w:autoSpaceDE w:val="0"/>
              <w:autoSpaceDN w:val="0"/>
              <w:adjustRightInd w:val="0"/>
            </w:pPr>
            <w:r>
              <w:t>доклади за управлението</w:t>
            </w:r>
            <w:r w:rsidR="00B95D56">
              <w:rPr>
                <w:lang w:val="bg-BG"/>
              </w:rPr>
              <w:t>;</w:t>
            </w:r>
          </w:p>
          <w:p w14:paraId="7FE1C285" w14:textId="76B662F2" w:rsidR="00FE5D64" w:rsidRDefault="00E40776">
            <w:pPr>
              <w:pStyle w:val="P68B1DB1-ListParagraph53"/>
              <w:numPr>
                <w:ilvl w:val="0"/>
                <w:numId w:val="296"/>
              </w:numPr>
              <w:autoSpaceDE w:val="0"/>
              <w:autoSpaceDN w:val="0"/>
              <w:adjustRightInd w:val="0"/>
            </w:pPr>
            <w:r>
              <w:t>друг вид счетоводна услуга</w:t>
            </w:r>
            <w:r w:rsidR="00B95D56">
              <w:rPr>
                <w:lang w:val="bg-BG"/>
              </w:rPr>
              <w:t>.</w:t>
            </w:r>
          </w:p>
          <w:p w14:paraId="7FE1C286" w14:textId="77777777" w:rsidR="00FE5D64" w:rsidRDefault="00FE5D64">
            <w:pPr>
              <w:autoSpaceDE w:val="0"/>
              <w:autoSpaceDN w:val="0"/>
              <w:adjustRightInd w:val="0"/>
              <w:ind w:left="708"/>
              <w:rPr>
                <w:rFonts w:ascii="Times New Roman" w:eastAsia="MS Mincho" w:hAnsi="Times New Roman" w:cs="Times New Roman"/>
                <w:sz w:val="20"/>
                <w:szCs w:val="20"/>
              </w:rPr>
            </w:pPr>
          </w:p>
          <w:p w14:paraId="7FE1C287" w14:textId="6AB80FD5" w:rsidR="00FE5D64" w:rsidRPr="00C35449" w:rsidRDefault="00E40776">
            <w:pPr>
              <w:pStyle w:val="P68B1DB1-Normal54"/>
              <w:autoSpaceDE w:val="0"/>
              <w:autoSpaceDN w:val="0"/>
              <w:adjustRightInd w:val="0"/>
              <w:rPr>
                <w:sz w:val="24"/>
                <w:lang w:val="bg-BG"/>
              </w:rPr>
            </w:pPr>
            <w:r>
              <w:rPr>
                <w:sz w:val="20"/>
              </w:rPr>
              <w:t xml:space="preserve">Работа с </w:t>
            </w:r>
            <w:r w:rsidR="00B95D56">
              <w:rPr>
                <w:sz w:val="20"/>
                <w:lang w:val="bg-BG"/>
              </w:rPr>
              <w:t>пари в брой</w:t>
            </w:r>
          </w:p>
          <w:p w14:paraId="7FE1C288" w14:textId="77777777" w:rsidR="00FE5D64" w:rsidRDefault="00FE5D64">
            <w:pPr>
              <w:autoSpaceDE w:val="0"/>
              <w:autoSpaceDN w:val="0"/>
              <w:adjustRightInd w:val="0"/>
              <w:rPr>
                <w:rFonts w:ascii="Times New Roman" w:eastAsia="MS Mincho" w:hAnsi="Times New Roman" w:cs="Times New Roman"/>
                <w:sz w:val="24"/>
                <w:szCs w:val="20"/>
              </w:rPr>
            </w:pPr>
          </w:p>
          <w:p w14:paraId="7FE1C289" w14:textId="180A5CA4" w:rsidR="00FE5D64" w:rsidRDefault="00E40776">
            <w:pPr>
              <w:pStyle w:val="P68B1DB1-Normal52"/>
              <w:autoSpaceDE w:val="0"/>
              <w:autoSpaceDN w:val="0"/>
              <w:adjustRightInd w:val="0"/>
            </w:pPr>
            <w:r>
              <w:t>Друг вид услуга</w:t>
            </w:r>
          </w:p>
          <w:p w14:paraId="7FE1C28B" w14:textId="56625F93" w:rsidR="00FE5D64" w:rsidRDefault="00FE5D64">
            <w:pPr>
              <w:spacing w:line="276" w:lineRule="auto"/>
              <w:jc w:val="both"/>
              <w:rPr>
                <w:rFonts w:ascii="Times New Roman" w:eastAsia="Calibri" w:hAnsi="Times New Roman" w:cs="Times New Roman"/>
                <w:b/>
                <w:i/>
                <w:sz w:val="20"/>
                <w:szCs w:val="20"/>
              </w:rPr>
            </w:pPr>
          </w:p>
        </w:tc>
      </w:tr>
      <w:tr w:rsidR="00FE5D64" w14:paraId="7FE1C292" w14:textId="77777777">
        <w:trPr>
          <w:trHeight w:val="463"/>
        </w:trPr>
        <w:tc>
          <w:tcPr>
            <w:tcW w:w="1129" w:type="dxa"/>
            <w:shd w:val="clear" w:color="auto" w:fill="FFFFFF" w:themeFill="background1"/>
          </w:tcPr>
          <w:p w14:paraId="7FE1C28D" w14:textId="77777777" w:rsidR="00FE5D64" w:rsidRDefault="00E40776">
            <w:pPr>
              <w:pStyle w:val="P68B1DB1-Normal50"/>
              <w:spacing w:before="120" w:after="120" w:line="276" w:lineRule="auto"/>
            </w:pPr>
            <w:r>
              <w:t>0020</w:t>
            </w:r>
          </w:p>
        </w:tc>
        <w:tc>
          <w:tcPr>
            <w:tcW w:w="7938" w:type="dxa"/>
            <w:shd w:val="clear" w:color="auto" w:fill="FFFFFF" w:themeFill="background1"/>
          </w:tcPr>
          <w:p w14:paraId="7FE1C28E" w14:textId="77777777" w:rsidR="00FE5D64" w:rsidRDefault="00E40776">
            <w:pPr>
              <w:pStyle w:val="P68B1DB1-Normal49"/>
              <w:spacing w:line="276" w:lineRule="auto"/>
              <w:jc w:val="both"/>
              <w:rPr>
                <w:bCs/>
              </w:rPr>
            </w:pPr>
            <w:r>
              <w:t>Уникално наименование на услугата съгласно таксономията на банката</w:t>
            </w:r>
          </w:p>
          <w:p w14:paraId="1C0060B3" w14:textId="51C68AB7" w:rsidR="00FE5D64" w:rsidRDefault="00E40776">
            <w:pPr>
              <w:rPr>
                <w:rFonts w:ascii="Times New Roman" w:eastAsiaTheme="minorHAnsi" w:hAnsi="Times New Roman" w:cs="Times New Roman"/>
                <w:sz w:val="24"/>
              </w:rPr>
            </w:pPr>
            <w:r>
              <w:rPr>
                <w:rFonts w:ascii="Times New Roman" w:eastAsia="Calibri" w:hAnsi="Times New Roman" w:cs="Times New Roman"/>
                <w:sz w:val="20"/>
              </w:rPr>
              <w:t>Наименование/кратко описание на услугата според собствената диференцирана таксономия на банката (</w:t>
            </w:r>
            <w:r w:rsidR="00334C2C">
              <w:rPr>
                <w:rFonts w:ascii="Times New Roman" w:eastAsia="Calibri" w:hAnsi="Times New Roman" w:cs="Times New Roman"/>
                <w:sz w:val="20"/>
                <w:lang w:val="bg-BG"/>
              </w:rPr>
              <w:t>Н</w:t>
            </w:r>
            <w:r>
              <w:rPr>
                <w:rFonts w:ascii="Times New Roman" w:eastAsia="Calibri" w:hAnsi="Times New Roman" w:cs="Times New Roman"/>
                <w:sz w:val="20"/>
              </w:rPr>
              <w:t>иво 3), което категоризира услугите и подгрупите от тези услуги на йерархични нива. Например</w:t>
            </w:r>
            <w:r w:rsidR="00C35449">
              <w:rPr>
                <w:rFonts w:ascii="Times New Roman" w:eastAsia="Calibri" w:hAnsi="Times New Roman" w:cs="Times New Roman"/>
                <w:sz w:val="20"/>
                <w:lang w:val="bg-BG"/>
              </w:rPr>
              <w:t>,</w:t>
            </w:r>
            <w:r>
              <w:rPr>
                <w:rFonts w:ascii="Times New Roman" w:eastAsia="Calibri" w:hAnsi="Times New Roman" w:cs="Times New Roman"/>
                <w:sz w:val="20"/>
              </w:rPr>
              <w:t xml:space="preserve"> таксономия на услугите, която категоризира услугите </w:t>
            </w:r>
            <w:r w:rsidR="00C35449">
              <w:rPr>
                <w:rFonts w:ascii="Times New Roman" w:eastAsia="Calibri" w:hAnsi="Times New Roman" w:cs="Times New Roman"/>
                <w:sz w:val="20"/>
                <w:lang w:val="bg-BG"/>
              </w:rPr>
              <w:t>в</w:t>
            </w:r>
            <w:r w:rsidR="00C35449">
              <w:rPr>
                <w:rFonts w:ascii="Times New Roman" w:eastAsia="Calibri" w:hAnsi="Times New Roman" w:cs="Times New Roman"/>
                <w:sz w:val="20"/>
              </w:rPr>
              <w:t xml:space="preserve"> </w:t>
            </w:r>
            <w:r>
              <w:rPr>
                <w:rFonts w:ascii="Times New Roman" w:eastAsia="Calibri" w:hAnsi="Times New Roman" w:cs="Times New Roman"/>
                <w:sz w:val="20"/>
              </w:rPr>
              <w:t xml:space="preserve">три йерархични нива, където на най-високо ниво </w:t>
            </w:r>
            <w:r w:rsidR="003A7E3F">
              <w:rPr>
                <w:rFonts w:ascii="Times New Roman" w:eastAsia="Calibri" w:hAnsi="Times New Roman" w:cs="Times New Roman"/>
                <w:sz w:val="20"/>
                <w:lang w:val="bg-BG"/>
              </w:rPr>
              <w:t>се намира</w:t>
            </w:r>
            <w:r w:rsidR="003A7E3F" w:rsidRPr="00C35449">
              <w:rPr>
                <w:rFonts w:ascii="Times New Roman" w:hAnsi="Times New Roman"/>
                <w:sz w:val="20"/>
                <w:lang w:val="bg-BG"/>
              </w:rPr>
              <w:t xml:space="preserve"> </w:t>
            </w:r>
            <w:r>
              <w:rPr>
                <w:rFonts w:ascii="Times New Roman" w:eastAsia="Calibri" w:hAnsi="Times New Roman" w:cs="Times New Roman"/>
                <w:sz w:val="20"/>
              </w:rPr>
              <w:t>групата услуги (</w:t>
            </w:r>
            <w:r w:rsidR="00C35449">
              <w:rPr>
                <w:rFonts w:ascii="Times New Roman" w:eastAsia="Calibri" w:hAnsi="Times New Roman" w:cs="Times New Roman"/>
                <w:sz w:val="20"/>
                <w:lang w:val="bg-BG"/>
              </w:rPr>
              <w:t xml:space="preserve">Ниво </w:t>
            </w:r>
            <w:r>
              <w:rPr>
                <w:rFonts w:ascii="Times New Roman" w:eastAsia="Calibri" w:hAnsi="Times New Roman" w:cs="Times New Roman"/>
                <w:sz w:val="20"/>
              </w:rPr>
              <w:t>1: Финансови услуги), в рамките на които услугите са представени на второ ниво (</w:t>
            </w:r>
            <w:r w:rsidR="00C35449">
              <w:rPr>
                <w:rFonts w:ascii="Times New Roman" w:eastAsia="Calibri" w:hAnsi="Times New Roman" w:cs="Times New Roman"/>
                <w:sz w:val="20"/>
                <w:lang w:val="bg-BG"/>
              </w:rPr>
              <w:t xml:space="preserve">Ниво </w:t>
            </w:r>
            <w:r>
              <w:rPr>
                <w:rFonts w:ascii="Times New Roman" w:eastAsia="Calibri" w:hAnsi="Times New Roman" w:cs="Times New Roman"/>
                <w:sz w:val="20"/>
              </w:rPr>
              <w:t xml:space="preserve">2: </w:t>
            </w:r>
            <w:r w:rsidR="00C35449">
              <w:rPr>
                <w:rFonts w:ascii="Times New Roman" w:eastAsia="Calibri" w:hAnsi="Times New Roman" w:cs="Times New Roman"/>
                <w:sz w:val="20"/>
                <w:lang w:val="bg-BG"/>
              </w:rPr>
              <w:t>парични средства и ценни книжа</w:t>
            </w:r>
            <w:r>
              <w:rPr>
                <w:rFonts w:ascii="Times New Roman" w:eastAsia="Calibri" w:hAnsi="Times New Roman" w:cs="Times New Roman"/>
                <w:sz w:val="20"/>
              </w:rPr>
              <w:t xml:space="preserve">, финансов анализ, данъчно облагане, </w:t>
            </w:r>
            <w:r w:rsidR="00C35449">
              <w:rPr>
                <w:rFonts w:ascii="Times New Roman" w:eastAsia="Calibri" w:hAnsi="Times New Roman" w:cs="Times New Roman"/>
                <w:sz w:val="20"/>
                <w:lang w:val="bg-BG"/>
              </w:rPr>
              <w:t>връзки</w:t>
            </w:r>
            <w:r w:rsidR="00C35449">
              <w:rPr>
                <w:rFonts w:ascii="Times New Roman" w:eastAsia="Calibri" w:hAnsi="Times New Roman" w:cs="Times New Roman"/>
                <w:sz w:val="20"/>
              </w:rPr>
              <w:t xml:space="preserve"> </w:t>
            </w:r>
            <w:r>
              <w:rPr>
                <w:rFonts w:ascii="Times New Roman" w:eastAsia="Calibri" w:hAnsi="Times New Roman" w:cs="Times New Roman"/>
                <w:sz w:val="20"/>
              </w:rPr>
              <w:t>с инвеститори и др.) и подуслуги на трето ниво (</w:t>
            </w:r>
            <w:r w:rsidR="00C35449">
              <w:rPr>
                <w:rFonts w:ascii="Times New Roman" w:eastAsia="Calibri" w:hAnsi="Times New Roman" w:cs="Times New Roman"/>
                <w:sz w:val="20"/>
                <w:lang w:val="bg-BG"/>
              </w:rPr>
              <w:t xml:space="preserve">Ниво </w:t>
            </w:r>
            <w:r w:rsidR="00C35449">
              <w:rPr>
                <w:rFonts w:ascii="Times New Roman" w:eastAsia="Calibri" w:hAnsi="Times New Roman" w:cs="Times New Roman"/>
                <w:sz w:val="20"/>
              </w:rPr>
              <w:t xml:space="preserve">3 </w:t>
            </w:r>
            <w:r>
              <w:rPr>
                <w:rFonts w:ascii="Times New Roman" w:eastAsia="Calibri" w:hAnsi="Times New Roman" w:cs="Times New Roman"/>
                <w:sz w:val="20"/>
              </w:rPr>
              <w:t xml:space="preserve">— в рамките на </w:t>
            </w:r>
            <w:r w:rsidR="00C35449">
              <w:rPr>
                <w:rFonts w:ascii="Times New Roman" w:eastAsia="Calibri" w:hAnsi="Times New Roman" w:cs="Times New Roman"/>
                <w:sz w:val="20"/>
                <w:lang w:val="bg-BG"/>
              </w:rPr>
              <w:t>парични средства и ценни книжа</w:t>
            </w:r>
            <w:r>
              <w:rPr>
                <w:rFonts w:ascii="Times New Roman" w:eastAsia="Calibri" w:hAnsi="Times New Roman" w:cs="Times New Roman"/>
                <w:sz w:val="20"/>
              </w:rPr>
              <w:t xml:space="preserve">: управление на ликвидността, управление на активи и пасиви, управление на обезпечения и др.). От банката се очаква да отчита услугите на по-детайлно ниво от предвиденото за </w:t>
            </w:r>
            <w:r w:rsidR="00334C2C">
              <w:rPr>
                <w:rFonts w:ascii="Times New Roman" w:eastAsia="Calibri" w:hAnsi="Times New Roman" w:cs="Times New Roman"/>
                <w:sz w:val="20"/>
                <w:lang w:val="bg-BG"/>
              </w:rPr>
              <w:t>Н</w:t>
            </w:r>
            <w:r>
              <w:rPr>
                <w:rFonts w:ascii="Times New Roman" w:eastAsia="Calibri" w:hAnsi="Times New Roman" w:cs="Times New Roman"/>
                <w:sz w:val="20"/>
              </w:rPr>
              <w:t xml:space="preserve">иво 2 (c0010), така че всяка конкретна услуга да бъде определена точно и </w:t>
            </w:r>
            <w:r w:rsidR="00C35449">
              <w:rPr>
                <w:rFonts w:ascii="Times New Roman" w:eastAsia="Calibri" w:hAnsi="Times New Roman" w:cs="Times New Roman"/>
                <w:sz w:val="20"/>
              </w:rPr>
              <w:t>целе</w:t>
            </w:r>
            <w:r w:rsidR="00C35449">
              <w:rPr>
                <w:rFonts w:ascii="Times New Roman" w:eastAsia="Calibri" w:hAnsi="Times New Roman" w:cs="Times New Roman"/>
                <w:sz w:val="20"/>
                <w:lang w:val="bg-BG"/>
              </w:rPr>
              <w:t>съобразно</w:t>
            </w:r>
            <w:r>
              <w:rPr>
                <w:rFonts w:ascii="Times New Roman" w:eastAsia="Calibri" w:hAnsi="Times New Roman" w:cs="Times New Roman"/>
                <w:sz w:val="20"/>
              </w:rPr>
              <w:t>.</w:t>
            </w:r>
          </w:p>
          <w:p w14:paraId="7FE1C290" w14:textId="77777777" w:rsidR="00FE5D64" w:rsidRDefault="00FE5D64">
            <w:pPr>
              <w:spacing w:line="276" w:lineRule="auto"/>
              <w:jc w:val="both"/>
              <w:rPr>
                <w:rFonts w:ascii="Times New Roman" w:eastAsia="Calibri" w:hAnsi="Times New Roman" w:cs="Times New Roman"/>
                <w:sz w:val="20"/>
              </w:rPr>
            </w:pPr>
          </w:p>
          <w:p w14:paraId="7FE1C291" w14:textId="77777777" w:rsidR="00FE5D64" w:rsidRDefault="00FE5D64">
            <w:pPr>
              <w:spacing w:line="276" w:lineRule="auto"/>
              <w:jc w:val="both"/>
              <w:rPr>
                <w:rFonts w:ascii="Times New Roman" w:eastAsia="Calibri" w:hAnsi="Times New Roman" w:cs="Times New Roman"/>
                <w:i/>
                <w:sz w:val="20"/>
              </w:rPr>
            </w:pPr>
          </w:p>
        </w:tc>
      </w:tr>
      <w:tr w:rsidR="00FE5D64" w14:paraId="7FE1C298" w14:textId="77777777">
        <w:trPr>
          <w:trHeight w:val="463"/>
        </w:trPr>
        <w:tc>
          <w:tcPr>
            <w:tcW w:w="1129" w:type="dxa"/>
            <w:shd w:val="clear" w:color="auto" w:fill="FFFFFF" w:themeFill="background1"/>
          </w:tcPr>
          <w:p w14:paraId="7FE1C293" w14:textId="77777777" w:rsidR="00FE5D64" w:rsidRDefault="00E40776">
            <w:pPr>
              <w:pStyle w:val="P68B1DB1-Normal50"/>
              <w:spacing w:before="120" w:after="120" w:line="276" w:lineRule="auto"/>
            </w:pPr>
            <w:r>
              <w:t>0030—0040</w:t>
            </w:r>
          </w:p>
          <w:p w14:paraId="7FE1C294" w14:textId="77777777" w:rsidR="00FE5D64" w:rsidRDefault="00FE5D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FE5D64" w:rsidRDefault="00E40776">
            <w:pPr>
              <w:pStyle w:val="P68B1DB1-Normal49"/>
              <w:spacing w:line="276" w:lineRule="auto"/>
              <w:jc w:val="both"/>
              <w:rPr>
                <w:bCs/>
              </w:rPr>
            </w:pPr>
            <w:r>
              <w:t>Получател на услугата</w:t>
            </w:r>
          </w:p>
          <w:p w14:paraId="7FE1C296" w14:textId="6BB16960" w:rsidR="00FE5D64" w:rsidRDefault="00E40776">
            <w:pPr>
              <w:pStyle w:val="P68B1DB1-Normal45"/>
              <w:spacing w:line="276" w:lineRule="auto"/>
              <w:jc w:val="both"/>
            </w:pPr>
            <w:r>
              <w:t>Субектът от групата, който получава услугата, посочена в колона 0010, от друга бизнес единица, субект от групата или външния доставчик, посочен в колони 0050—0110.</w:t>
            </w:r>
          </w:p>
          <w:p w14:paraId="7FE1C297" w14:textId="77777777" w:rsidR="00FE5D64" w:rsidRPr="00C35449" w:rsidRDefault="00FE5D64">
            <w:pPr>
              <w:spacing w:line="276" w:lineRule="auto"/>
              <w:jc w:val="both"/>
              <w:rPr>
                <w:rFonts w:ascii="Times New Roman" w:hAnsi="Times New Roman"/>
                <w:sz w:val="20"/>
                <w:lang w:val="en-US"/>
              </w:rPr>
            </w:pPr>
          </w:p>
        </w:tc>
      </w:tr>
      <w:tr w:rsidR="00FE5D64" w14:paraId="7FE1C29F" w14:textId="77777777">
        <w:trPr>
          <w:trHeight w:val="463"/>
        </w:trPr>
        <w:tc>
          <w:tcPr>
            <w:tcW w:w="1129" w:type="dxa"/>
            <w:shd w:val="clear" w:color="auto" w:fill="FFFFFF" w:themeFill="background1"/>
          </w:tcPr>
          <w:p w14:paraId="7FE1C299" w14:textId="77777777" w:rsidR="00FE5D64" w:rsidRDefault="00E40776">
            <w:pPr>
              <w:pStyle w:val="P68B1DB1-Normal50"/>
              <w:spacing w:before="120" w:after="120" w:line="276" w:lineRule="auto"/>
            </w:pPr>
            <w:r>
              <w:t>0030</w:t>
            </w:r>
          </w:p>
          <w:p w14:paraId="7FE1C29A" w14:textId="77777777" w:rsidR="00FE5D64" w:rsidRDefault="00FE5D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FE5D64" w:rsidRDefault="00E40776">
            <w:pPr>
              <w:pStyle w:val="P68B1DB1-Normal49"/>
              <w:spacing w:before="120" w:after="120" w:line="276" w:lineRule="auto"/>
              <w:rPr>
                <w:bCs/>
              </w:rPr>
            </w:pPr>
            <w:r>
              <w:t>Наименование</w:t>
            </w:r>
          </w:p>
          <w:p w14:paraId="7FE1C29C" w14:textId="21F0D612" w:rsidR="00FE5D64" w:rsidRDefault="00DA4B69">
            <w:pPr>
              <w:pStyle w:val="P68B1DB1-Normal45"/>
              <w:spacing w:line="276" w:lineRule="auto"/>
              <w:jc w:val="both"/>
            </w:pPr>
            <w:r>
              <w:rPr>
                <w:lang w:val="bg-BG"/>
              </w:rPr>
              <w:t>Т</w:t>
            </w:r>
            <w:r w:rsidR="00E40776">
              <w:t xml:space="preserve">рябва да </w:t>
            </w:r>
            <w:r w:rsidR="00353F1E">
              <w:rPr>
                <w:lang w:val="bg-BG"/>
              </w:rPr>
              <w:t>се различава</w:t>
            </w:r>
            <w:r w:rsidR="00353F1E" w:rsidRPr="00C35449">
              <w:rPr>
                <w:lang w:val="bg-BG"/>
              </w:rPr>
              <w:t xml:space="preserve"> </w:t>
            </w:r>
            <w:r w:rsidR="00E40776">
              <w:t xml:space="preserve">от наименованието, посочено в колона 0050, освен ако услугата е </w:t>
            </w:r>
            <w:r w:rsidR="009819A1">
              <w:rPr>
                <w:lang w:val="bg-BG"/>
              </w:rPr>
              <w:t>в рамките на субекта</w:t>
            </w:r>
            <w:r w:rsidR="00E40776">
              <w:t xml:space="preserve">. В този случай се очаква </w:t>
            </w:r>
            <w:r w:rsidR="009819A1">
              <w:rPr>
                <w:lang w:val="bg-BG"/>
              </w:rPr>
              <w:t>наименованието</w:t>
            </w:r>
            <w:r w:rsidR="009819A1">
              <w:t xml:space="preserve"> </w:t>
            </w:r>
            <w:r w:rsidR="00E40776">
              <w:t>на субекта</w:t>
            </w:r>
            <w:r w:rsidR="009819A1">
              <w:rPr>
                <w:lang w:val="bg-BG"/>
              </w:rPr>
              <w:t>,</w:t>
            </w:r>
            <w:r w:rsidR="00E40776">
              <w:t xml:space="preserve"> получател на услуги и наименованието на субекта</w:t>
            </w:r>
            <w:r w:rsidR="009819A1">
              <w:rPr>
                <w:lang w:val="bg-BG"/>
              </w:rPr>
              <w:t>,</w:t>
            </w:r>
            <w:r w:rsidR="00E40776">
              <w:t xml:space="preserve"> доставчик на услуги да съвпадат.</w:t>
            </w:r>
          </w:p>
          <w:p w14:paraId="7FE1C29D" w14:textId="77777777" w:rsidR="00FE5D64" w:rsidRDefault="00FE5D64">
            <w:pPr>
              <w:spacing w:line="276" w:lineRule="auto"/>
              <w:jc w:val="both"/>
              <w:rPr>
                <w:rFonts w:ascii="Times New Roman" w:eastAsia="Calibri" w:hAnsi="Times New Roman" w:cs="Times New Roman"/>
                <w:sz w:val="20"/>
              </w:rPr>
            </w:pPr>
          </w:p>
          <w:p w14:paraId="7FE1C29E" w14:textId="77777777" w:rsidR="00FE5D64" w:rsidRDefault="00FE5D64">
            <w:pPr>
              <w:spacing w:line="276" w:lineRule="auto"/>
              <w:jc w:val="both"/>
              <w:rPr>
                <w:rFonts w:ascii="Times New Roman" w:eastAsia="Calibri" w:hAnsi="Times New Roman" w:cs="Times New Roman"/>
                <w:b/>
                <w:sz w:val="20"/>
              </w:rPr>
            </w:pPr>
          </w:p>
        </w:tc>
      </w:tr>
      <w:tr w:rsidR="00FE5D64" w14:paraId="7FE1C2A6" w14:textId="77777777">
        <w:trPr>
          <w:trHeight w:val="463"/>
        </w:trPr>
        <w:tc>
          <w:tcPr>
            <w:tcW w:w="1129" w:type="dxa"/>
            <w:shd w:val="clear" w:color="auto" w:fill="FFFFFF" w:themeFill="background1"/>
          </w:tcPr>
          <w:p w14:paraId="7FE1C2A0" w14:textId="77777777" w:rsidR="00FE5D64" w:rsidRDefault="00E40776">
            <w:pPr>
              <w:pStyle w:val="P68B1DB1-Normal50"/>
              <w:spacing w:before="120" w:after="120" w:line="276" w:lineRule="auto"/>
            </w:pPr>
            <w:r>
              <w:t>0040</w:t>
            </w:r>
          </w:p>
          <w:p w14:paraId="7FE1C2A1" w14:textId="77777777" w:rsidR="00FE5D64" w:rsidRDefault="00FE5D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44E6BD7A" w:rsidR="00FE5D64" w:rsidRPr="009819A1" w:rsidRDefault="009819A1">
            <w:pPr>
              <w:pStyle w:val="P68B1DB1-Normal49"/>
              <w:spacing w:before="120" w:after="120" w:line="276" w:lineRule="auto"/>
              <w:rPr>
                <w:lang w:val="bg-BG"/>
              </w:rPr>
            </w:pPr>
            <w:r>
              <w:rPr>
                <w:lang w:val="bg-BG"/>
              </w:rPr>
              <w:t>Код</w:t>
            </w:r>
          </w:p>
          <w:p w14:paraId="7FE1C2A3" w14:textId="77777777" w:rsidR="00FE5D64" w:rsidRDefault="00E40776">
            <w:pPr>
              <w:pStyle w:val="P68B1DB1-Normal45"/>
              <w:spacing w:line="276" w:lineRule="auto"/>
              <w:jc w:val="both"/>
            </w:pPr>
            <w:r>
              <w:t>Уникален идентификатора на правния субект в колона 0030, посочен в образец Z 01.01 (ORG).</w:t>
            </w:r>
          </w:p>
          <w:p w14:paraId="7FE1C2A4" w14:textId="10E7734B" w:rsidR="00FE5D64" w:rsidRDefault="00353F1E">
            <w:pPr>
              <w:pStyle w:val="P68B1DB1-Normal45"/>
              <w:spacing w:line="276" w:lineRule="auto"/>
              <w:jc w:val="both"/>
            </w:pPr>
            <w:r>
              <w:rPr>
                <w:lang w:val="bg-BG"/>
              </w:rPr>
              <w:t>Т</w:t>
            </w:r>
            <w:r w:rsidR="00E40776">
              <w:t xml:space="preserve">рябва да </w:t>
            </w:r>
            <w:r>
              <w:rPr>
                <w:lang w:val="bg-BG"/>
              </w:rPr>
              <w:t>с</w:t>
            </w:r>
            <w:r w:rsidR="00E40776">
              <w:t xml:space="preserve">е </w:t>
            </w:r>
            <w:r>
              <w:t>различ</w:t>
            </w:r>
            <w:r>
              <w:rPr>
                <w:lang w:val="bg-BG"/>
              </w:rPr>
              <w:t>ава</w:t>
            </w:r>
            <w:r>
              <w:t xml:space="preserve"> </w:t>
            </w:r>
            <w:r w:rsidR="00E40776">
              <w:t xml:space="preserve">от идентификатора, посочен в колона 0060, освен ако услугата е </w:t>
            </w:r>
            <w:r w:rsidR="009819A1">
              <w:rPr>
                <w:lang w:val="bg-BG"/>
              </w:rPr>
              <w:t>в рамките на субекта</w:t>
            </w:r>
            <w:r w:rsidR="00E40776">
              <w:t>. В този случай се очаква кодът на получателя на услугата и кодът на доставчика на услуги да съвпадат.</w:t>
            </w:r>
          </w:p>
          <w:p w14:paraId="7FE1C2A5" w14:textId="77777777" w:rsidR="00FE5D64" w:rsidRDefault="00FE5D64">
            <w:pPr>
              <w:spacing w:line="276" w:lineRule="auto"/>
              <w:jc w:val="both"/>
              <w:rPr>
                <w:rFonts w:ascii="Times New Roman" w:eastAsia="Calibri" w:hAnsi="Times New Roman" w:cs="Times New Roman"/>
                <w:b/>
                <w:i/>
                <w:sz w:val="20"/>
              </w:rPr>
            </w:pPr>
          </w:p>
        </w:tc>
      </w:tr>
      <w:tr w:rsidR="00FE5D64" w14:paraId="7FE1C2AC" w14:textId="77777777">
        <w:trPr>
          <w:trHeight w:val="463"/>
        </w:trPr>
        <w:tc>
          <w:tcPr>
            <w:tcW w:w="1129" w:type="dxa"/>
            <w:shd w:val="clear" w:color="auto" w:fill="FFFFFF" w:themeFill="background1"/>
          </w:tcPr>
          <w:p w14:paraId="7FE1C2A7" w14:textId="77777777" w:rsidR="00FE5D64" w:rsidRDefault="00E40776">
            <w:pPr>
              <w:pStyle w:val="P68B1DB1-Normal50"/>
              <w:spacing w:before="120" w:after="120" w:line="276" w:lineRule="auto"/>
            </w:pPr>
            <w:r>
              <w:t>0050—0110</w:t>
            </w:r>
          </w:p>
          <w:p w14:paraId="7FE1C2A8" w14:textId="77777777" w:rsidR="00FE5D64" w:rsidRDefault="00FE5D6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FE5D64" w:rsidRDefault="00E40776">
            <w:pPr>
              <w:pStyle w:val="P68B1DB1-Normal55"/>
              <w:spacing w:line="276" w:lineRule="auto"/>
              <w:jc w:val="both"/>
              <w:rPr>
                <w:bCs/>
              </w:rPr>
            </w:pPr>
            <w:r>
              <w:rPr>
                <w:szCs w:val="20"/>
              </w:rPr>
              <w:t>Доставчик на услуги</w:t>
            </w:r>
            <w:r>
              <w:t xml:space="preserve"> </w:t>
            </w:r>
          </w:p>
          <w:p w14:paraId="7FE1C2AA" w14:textId="72B0AAA9" w:rsidR="00FE5D64" w:rsidRDefault="009819A1">
            <w:pPr>
              <w:pStyle w:val="P68B1DB1-Normal45"/>
              <w:spacing w:line="276" w:lineRule="auto"/>
              <w:jc w:val="both"/>
            </w:pPr>
            <w:r>
              <w:rPr>
                <w:lang w:val="bg-BG"/>
              </w:rPr>
              <w:t>Правният субект</w:t>
            </w:r>
            <w:r w:rsidR="00E40776">
              <w:t xml:space="preserve"> (за </w:t>
            </w:r>
            <w:r>
              <w:rPr>
                <w:lang w:val="bg-BG"/>
              </w:rPr>
              <w:t>услуги в рамките на субекта</w:t>
            </w:r>
            <w:r>
              <w:t xml:space="preserve"> </w:t>
            </w:r>
            <w:r w:rsidR="00E40776">
              <w:t>или вътрешногрупови услуги) или външният доставчик (за външни услуги), който предоставя услугата, посочена в колона 0020, на субекта от групата, докладван в колона 0030.</w:t>
            </w:r>
          </w:p>
          <w:p w14:paraId="7FE1C2AB" w14:textId="77777777" w:rsidR="00FE5D64" w:rsidRDefault="00FE5D64">
            <w:pPr>
              <w:spacing w:line="276" w:lineRule="auto"/>
              <w:jc w:val="both"/>
              <w:rPr>
                <w:rFonts w:ascii="Times New Roman" w:eastAsia="Calibri" w:hAnsi="Times New Roman" w:cs="Times New Roman"/>
                <w:sz w:val="20"/>
              </w:rPr>
            </w:pPr>
          </w:p>
        </w:tc>
      </w:tr>
      <w:tr w:rsidR="00FE5D64" w14:paraId="244B34A5" w14:textId="77777777">
        <w:trPr>
          <w:trHeight w:val="463"/>
        </w:trPr>
        <w:tc>
          <w:tcPr>
            <w:tcW w:w="1129" w:type="dxa"/>
            <w:shd w:val="clear" w:color="auto" w:fill="FFFFFF" w:themeFill="background1"/>
          </w:tcPr>
          <w:p w14:paraId="26770022" w14:textId="77E4D0B7" w:rsidR="00FE5D64" w:rsidRDefault="00E40776">
            <w:pPr>
              <w:pStyle w:val="P68B1DB1-Normal50"/>
              <w:spacing w:before="120" w:after="120" w:line="276" w:lineRule="auto"/>
            </w:pPr>
            <w:r>
              <w:t>0050—0070</w:t>
            </w:r>
          </w:p>
        </w:tc>
        <w:tc>
          <w:tcPr>
            <w:tcW w:w="7938" w:type="dxa"/>
            <w:shd w:val="clear" w:color="auto" w:fill="FFFFFF" w:themeFill="background1"/>
          </w:tcPr>
          <w:p w14:paraId="3E4CD319" w14:textId="6DCA5709" w:rsidR="00FE5D64" w:rsidRDefault="00E40776">
            <w:pPr>
              <w:pStyle w:val="P68B1DB1-Normal49"/>
              <w:spacing w:line="276" w:lineRule="auto"/>
              <w:jc w:val="both"/>
              <w:rPr>
                <w:bCs/>
              </w:rPr>
            </w:pPr>
            <w:r>
              <w:t>Субект</w:t>
            </w:r>
          </w:p>
        </w:tc>
      </w:tr>
      <w:tr w:rsidR="00FE5D64" w14:paraId="7FE1C2B2" w14:textId="77777777">
        <w:trPr>
          <w:trHeight w:val="463"/>
        </w:trPr>
        <w:tc>
          <w:tcPr>
            <w:tcW w:w="1129" w:type="dxa"/>
            <w:shd w:val="clear" w:color="auto" w:fill="FFFFFF" w:themeFill="background1"/>
          </w:tcPr>
          <w:p w14:paraId="7FE1C2AD" w14:textId="77777777" w:rsidR="00FE5D64" w:rsidRDefault="00E40776">
            <w:pPr>
              <w:pStyle w:val="P68B1DB1-Normal50"/>
              <w:spacing w:before="120" w:after="120" w:line="276" w:lineRule="auto"/>
            </w:pPr>
            <w:r>
              <w:t>0050</w:t>
            </w:r>
          </w:p>
          <w:p w14:paraId="7FE1C2AE" w14:textId="77777777" w:rsidR="00FE5D64" w:rsidRDefault="00FE5D6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FE5D64" w:rsidRDefault="00E40776">
            <w:pPr>
              <w:pStyle w:val="P68B1DB1-Normal49"/>
              <w:spacing w:before="120" w:after="120" w:line="276" w:lineRule="auto"/>
              <w:rPr>
                <w:bCs/>
              </w:rPr>
            </w:pPr>
            <w:r>
              <w:t>Наименование</w:t>
            </w:r>
          </w:p>
          <w:p w14:paraId="7FE1C2B0" w14:textId="1A511BAF" w:rsidR="00FE5D64" w:rsidRDefault="00353F1E">
            <w:pPr>
              <w:pStyle w:val="P68B1DB1-Normal45"/>
              <w:spacing w:line="276" w:lineRule="auto"/>
              <w:jc w:val="both"/>
            </w:pPr>
            <w:r>
              <w:rPr>
                <w:lang w:val="bg-BG"/>
              </w:rPr>
              <w:t>Т</w:t>
            </w:r>
            <w:r w:rsidR="00E40776">
              <w:t xml:space="preserve">рябва да </w:t>
            </w:r>
            <w:r>
              <w:rPr>
                <w:lang w:val="bg-BG"/>
              </w:rPr>
              <w:t>с</w:t>
            </w:r>
            <w:r w:rsidR="00E40776">
              <w:t>е различ</w:t>
            </w:r>
            <w:r>
              <w:rPr>
                <w:lang w:val="bg-BG"/>
              </w:rPr>
              <w:t>ава</w:t>
            </w:r>
            <w:r w:rsidR="00E40776">
              <w:t xml:space="preserve"> от наименованието, посочено в колона 0030, освен ако услугата е </w:t>
            </w:r>
            <w:r w:rsidR="009819A1">
              <w:rPr>
                <w:lang w:val="bg-BG"/>
              </w:rPr>
              <w:t>в рамките на субекта</w:t>
            </w:r>
            <w:r w:rsidR="00E40776">
              <w:t xml:space="preserve">. В този случай се очаква </w:t>
            </w:r>
            <w:r w:rsidR="009819A1">
              <w:rPr>
                <w:lang w:val="bg-BG"/>
              </w:rPr>
              <w:t>наименованието</w:t>
            </w:r>
            <w:r w:rsidR="009819A1">
              <w:t xml:space="preserve"> </w:t>
            </w:r>
            <w:r w:rsidR="00E40776">
              <w:t>на субекта</w:t>
            </w:r>
            <w:r w:rsidR="009819A1">
              <w:rPr>
                <w:lang w:val="bg-BG"/>
              </w:rPr>
              <w:t>,</w:t>
            </w:r>
            <w:r w:rsidR="00E40776">
              <w:t xml:space="preserve"> получател на услуги и наименованието на субекта</w:t>
            </w:r>
            <w:r w:rsidR="009819A1">
              <w:rPr>
                <w:lang w:val="bg-BG"/>
              </w:rPr>
              <w:t>,</w:t>
            </w:r>
            <w:r w:rsidR="00E40776">
              <w:t xml:space="preserve"> доставчик на услуги да съвпадат.</w:t>
            </w:r>
          </w:p>
          <w:p w14:paraId="7FE1C2B1" w14:textId="77777777" w:rsidR="00FE5D64" w:rsidRDefault="00FE5D64">
            <w:pPr>
              <w:spacing w:line="276" w:lineRule="auto"/>
              <w:jc w:val="both"/>
              <w:rPr>
                <w:rFonts w:ascii="Times New Roman" w:eastAsia="Calibri" w:hAnsi="Times New Roman" w:cs="Times New Roman"/>
                <w:b/>
                <w:sz w:val="20"/>
              </w:rPr>
            </w:pPr>
          </w:p>
        </w:tc>
      </w:tr>
      <w:tr w:rsidR="00FE5D64" w14:paraId="7FE1C2BE" w14:textId="77777777">
        <w:trPr>
          <w:trHeight w:val="463"/>
        </w:trPr>
        <w:tc>
          <w:tcPr>
            <w:tcW w:w="1129" w:type="dxa"/>
            <w:shd w:val="clear" w:color="auto" w:fill="FFFFFF" w:themeFill="background1"/>
          </w:tcPr>
          <w:p w14:paraId="7FE1C2B3" w14:textId="77777777" w:rsidR="00FE5D64" w:rsidRDefault="00E40776">
            <w:pPr>
              <w:pStyle w:val="P68B1DB1-Normal45"/>
              <w:spacing w:line="276" w:lineRule="auto"/>
              <w:jc w:val="both"/>
            </w:pPr>
            <w:r>
              <w:t>0060</w:t>
            </w:r>
          </w:p>
          <w:p w14:paraId="7FE1C2B4" w14:textId="77777777" w:rsidR="00FE5D64" w:rsidRDefault="00FE5D6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349FCD6F" w:rsidR="00FE5D64" w:rsidRPr="00663D76" w:rsidRDefault="009819A1">
            <w:pPr>
              <w:pStyle w:val="P68B1DB1-Normal55"/>
              <w:spacing w:line="276" w:lineRule="auto"/>
              <w:jc w:val="both"/>
              <w:rPr>
                <w:lang w:val="bg-BG"/>
              </w:rPr>
            </w:pPr>
            <w:r>
              <w:rPr>
                <w:lang w:val="bg-BG"/>
              </w:rPr>
              <w:t>Код</w:t>
            </w:r>
          </w:p>
          <w:p w14:paraId="7FE1C2B6" w14:textId="1D4C1DCB" w:rsidR="00FE5D64" w:rsidRDefault="00353F1E">
            <w:pPr>
              <w:pStyle w:val="P68B1DB1-Normal45"/>
              <w:spacing w:line="276" w:lineRule="auto"/>
              <w:jc w:val="both"/>
              <w:rPr>
                <w:strike/>
              </w:rPr>
            </w:pPr>
            <w:r>
              <w:rPr>
                <w:lang w:val="bg-BG"/>
              </w:rPr>
              <w:t>Уникален</w:t>
            </w:r>
            <w:r>
              <w:t xml:space="preserve"> </w:t>
            </w:r>
            <w:r w:rsidR="00E40776">
              <w:t xml:space="preserve">идентификационен код на правния субект в колона 0050. </w:t>
            </w:r>
            <w:r>
              <w:rPr>
                <w:lang w:val="bg-BG"/>
              </w:rPr>
              <w:t>Т</w:t>
            </w:r>
            <w:r w:rsidR="00E40776">
              <w:t xml:space="preserve">рябва да </w:t>
            </w:r>
            <w:r>
              <w:rPr>
                <w:lang w:val="bg-BG"/>
              </w:rPr>
              <w:t>с</w:t>
            </w:r>
            <w:r w:rsidR="00E40776">
              <w:t>е различ</w:t>
            </w:r>
            <w:r>
              <w:rPr>
                <w:lang w:val="bg-BG"/>
              </w:rPr>
              <w:t>ава</w:t>
            </w:r>
            <w:r w:rsidR="00E40776">
              <w:t xml:space="preserve"> от идентификатора, посочен в колона 0040, освен ако услугата е </w:t>
            </w:r>
            <w:r w:rsidR="009819A1">
              <w:rPr>
                <w:lang w:val="bg-BG"/>
              </w:rPr>
              <w:t>в рамките на субекта</w:t>
            </w:r>
            <w:r w:rsidR="00E40776">
              <w:t>. В този случай се очаква кодът на получателя на услугата и кодът на доставчика на услуги да съвпадат.</w:t>
            </w:r>
          </w:p>
          <w:p w14:paraId="7FE1C2B7" w14:textId="77777777" w:rsidR="00FE5D64" w:rsidRDefault="00E40776">
            <w:pPr>
              <w:pStyle w:val="P68B1DB1-Normal45"/>
              <w:spacing w:line="276" w:lineRule="auto"/>
              <w:jc w:val="both"/>
            </w:pPr>
            <w:r>
              <w:t>Когато доставчикът на услугата е субект от групата, кодът е същият като посоченият в образец Z 01.01 (ORG).</w:t>
            </w:r>
          </w:p>
          <w:p w14:paraId="7FE1C2B8" w14:textId="77777777" w:rsidR="00FE5D64" w:rsidRDefault="00E40776">
            <w:pPr>
              <w:pStyle w:val="P68B1DB1-Normal45"/>
              <w:spacing w:line="276" w:lineRule="auto"/>
              <w:jc w:val="both"/>
            </w:pPr>
            <w:r>
              <w:t>Когато доставчикът на услугата не е субект от групата, неговият код е:</w:t>
            </w:r>
          </w:p>
          <w:p w14:paraId="7FE1C2B9" w14:textId="0C1FA53A" w:rsidR="00FE5D64" w:rsidRDefault="00353F1E" w:rsidP="003220B9">
            <w:pPr>
              <w:pStyle w:val="P68B1DB1-Normal45"/>
              <w:numPr>
                <w:ilvl w:val="0"/>
                <w:numId w:val="64"/>
              </w:numPr>
              <w:spacing w:line="276" w:lineRule="auto"/>
              <w:jc w:val="both"/>
            </w:pPr>
            <w:r w:rsidRPr="00EE0BED">
              <w:t xml:space="preserve">за </w:t>
            </w:r>
            <w:r w:rsidR="00E40776">
              <w:t>субекти с идентификационен код на правния субект (ИКПС) — 20-</w:t>
            </w:r>
            <w:r>
              <w:rPr>
                <w:lang w:val="bg-BG"/>
              </w:rPr>
              <w:t>знаковият</w:t>
            </w:r>
            <w:r>
              <w:t xml:space="preserve"> </w:t>
            </w:r>
            <w:r w:rsidR="00E40776">
              <w:t>буквено-цифров ИКПС;</w:t>
            </w:r>
          </w:p>
          <w:p w14:paraId="7FE1C2BA" w14:textId="1E682B01" w:rsidR="00FE5D64" w:rsidRDefault="00E40776" w:rsidP="001118F2">
            <w:pPr>
              <w:pStyle w:val="P68B1DB1-Normal45"/>
              <w:numPr>
                <w:ilvl w:val="0"/>
                <w:numId w:val="64"/>
              </w:numPr>
              <w:spacing w:line="276" w:lineRule="auto"/>
              <w:jc w:val="both"/>
            </w:pPr>
            <w:r>
              <w:t xml:space="preserve">за субекти без ИКПС — </w:t>
            </w:r>
            <w:r w:rsidR="00702E23">
              <w:rPr>
                <w:lang w:val="bg-BG"/>
              </w:rPr>
              <w:t>единен</w:t>
            </w:r>
            <w:r w:rsidR="00702E23">
              <w:t xml:space="preserve"> </w:t>
            </w:r>
            <w:r>
              <w:t>регистрационен номер съгласно националното законодателство</w:t>
            </w:r>
            <w:r>
              <w:rPr>
                <w:strike/>
              </w:rPr>
              <w:t>.</w:t>
            </w:r>
          </w:p>
          <w:p w14:paraId="7FE1C2BB" w14:textId="77777777" w:rsidR="00FE5D64" w:rsidRDefault="00FE5D64">
            <w:pPr>
              <w:spacing w:line="276" w:lineRule="auto"/>
              <w:jc w:val="both"/>
              <w:rPr>
                <w:rFonts w:ascii="Times New Roman" w:eastAsia="Calibri" w:hAnsi="Times New Roman" w:cs="Times New Roman"/>
                <w:sz w:val="20"/>
              </w:rPr>
            </w:pPr>
          </w:p>
          <w:p w14:paraId="7FE1C2BC" w14:textId="1D46849B" w:rsidR="00FE5D64" w:rsidRDefault="00E40776">
            <w:pPr>
              <w:pStyle w:val="P68B1DB1-Normal45"/>
              <w:spacing w:line="276" w:lineRule="auto"/>
              <w:jc w:val="both"/>
            </w:pPr>
            <w:r>
              <w:t xml:space="preserve">За двата случая, кодът е </w:t>
            </w:r>
            <w:r w:rsidR="00353F1E">
              <w:rPr>
                <w:lang w:val="bg-BG"/>
              </w:rPr>
              <w:t>уникален</w:t>
            </w:r>
            <w:r w:rsidR="00353F1E">
              <w:t xml:space="preserve"> </w:t>
            </w:r>
            <w:r>
              <w:t>и се използва последователно във всички образци.</w:t>
            </w:r>
          </w:p>
          <w:p w14:paraId="7FE1C2BD" w14:textId="77777777" w:rsidR="00FE5D64" w:rsidRDefault="00E40776">
            <w:pPr>
              <w:pStyle w:val="P68B1DB1-Normal56"/>
              <w:spacing w:line="276" w:lineRule="auto"/>
              <w:jc w:val="both"/>
            </w:pPr>
            <w:r>
              <w:t xml:space="preserve"> </w:t>
            </w:r>
          </w:p>
        </w:tc>
      </w:tr>
      <w:tr w:rsidR="00FE5D64" w14:paraId="7FE1C2C7" w14:textId="77777777">
        <w:trPr>
          <w:trHeight w:val="463"/>
        </w:trPr>
        <w:tc>
          <w:tcPr>
            <w:tcW w:w="1129" w:type="dxa"/>
            <w:shd w:val="clear" w:color="auto" w:fill="FFFFFF" w:themeFill="background1"/>
          </w:tcPr>
          <w:p w14:paraId="7FE1C2BF" w14:textId="77777777" w:rsidR="00FE5D64" w:rsidRDefault="00E40776">
            <w:pPr>
              <w:pStyle w:val="P68B1DB1-Normal45"/>
              <w:spacing w:line="276" w:lineRule="auto"/>
              <w:jc w:val="both"/>
            </w:pPr>
            <w:r>
              <w:t>0070</w:t>
            </w:r>
          </w:p>
        </w:tc>
        <w:tc>
          <w:tcPr>
            <w:tcW w:w="7938" w:type="dxa"/>
            <w:shd w:val="clear" w:color="auto" w:fill="FFFFFF" w:themeFill="background1"/>
          </w:tcPr>
          <w:p w14:paraId="7FE1C2C0" w14:textId="77777777" w:rsidR="00FE5D64" w:rsidRDefault="00E40776">
            <w:pPr>
              <w:pStyle w:val="P68B1DB1-Normal55"/>
              <w:spacing w:line="276" w:lineRule="auto"/>
              <w:jc w:val="both"/>
              <w:rPr>
                <w:bCs/>
              </w:rPr>
            </w:pPr>
            <w:r>
              <w:t xml:space="preserve">Вид код </w:t>
            </w:r>
          </w:p>
          <w:p w14:paraId="7FE1C2C3" w14:textId="3559ED79" w:rsidR="00FE5D64" w:rsidRDefault="009C5622">
            <w:pPr>
              <w:pStyle w:val="P68B1DB1-Normal57"/>
              <w:spacing w:line="276" w:lineRule="auto"/>
              <w:contextualSpacing/>
              <w:jc w:val="both"/>
              <w:rPr>
                <w:bCs/>
              </w:rPr>
            </w:pPr>
            <w:r>
              <w:t>Посоч</w:t>
            </w:r>
            <w:r>
              <w:rPr>
                <w:lang w:val="bg-BG"/>
              </w:rPr>
              <w:t>ва се</w:t>
            </w:r>
            <w:r>
              <w:t xml:space="preserve"> </w:t>
            </w:r>
            <w:r w:rsidR="00E40776">
              <w:t>едно от следните:</w:t>
            </w:r>
          </w:p>
          <w:p w14:paraId="7FE1C2C4" w14:textId="77777777" w:rsidR="00FE5D64" w:rsidRDefault="00E40776">
            <w:pPr>
              <w:pStyle w:val="P68B1DB1-ListParagraph58"/>
              <w:numPr>
                <w:ilvl w:val="0"/>
                <w:numId w:val="64"/>
              </w:numPr>
              <w:spacing w:line="276" w:lineRule="auto"/>
              <w:contextualSpacing/>
              <w:jc w:val="both"/>
            </w:pPr>
            <w:r>
              <w:t>ИКПС</w:t>
            </w:r>
          </w:p>
          <w:p w14:paraId="7FE1C2C5" w14:textId="29F7BFA3" w:rsidR="00FE5D64" w:rsidRDefault="00702E23">
            <w:pPr>
              <w:pStyle w:val="P68B1DB1-ListParagraph58"/>
              <w:numPr>
                <w:ilvl w:val="0"/>
                <w:numId w:val="64"/>
              </w:numPr>
              <w:spacing w:line="276" w:lineRule="auto"/>
              <w:contextualSpacing/>
              <w:jc w:val="both"/>
            </w:pPr>
            <w:r>
              <w:rPr>
                <w:lang w:val="bg-BG"/>
              </w:rPr>
              <w:t>единен</w:t>
            </w:r>
            <w:r>
              <w:t xml:space="preserve"> </w:t>
            </w:r>
            <w:r w:rsidR="00E40776">
              <w:t>регистрационен номер</w:t>
            </w:r>
          </w:p>
          <w:p w14:paraId="7FE1C2C6" w14:textId="77777777" w:rsidR="00FE5D64" w:rsidRDefault="00FE5D64">
            <w:pPr>
              <w:spacing w:line="276" w:lineRule="auto"/>
              <w:jc w:val="both"/>
              <w:rPr>
                <w:rFonts w:ascii="Times New Roman" w:eastAsia="Calibri" w:hAnsi="Times New Roman" w:cs="Times New Roman"/>
                <w:sz w:val="20"/>
              </w:rPr>
            </w:pPr>
          </w:p>
        </w:tc>
      </w:tr>
      <w:tr w:rsidR="00FE5D64" w14:paraId="5AC7028E" w14:textId="77777777">
        <w:trPr>
          <w:trHeight w:val="463"/>
        </w:trPr>
        <w:tc>
          <w:tcPr>
            <w:tcW w:w="1129" w:type="dxa"/>
            <w:shd w:val="clear" w:color="auto" w:fill="FFFFFF" w:themeFill="background1"/>
          </w:tcPr>
          <w:p w14:paraId="3ECEFB75" w14:textId="74BF0EC5" w:rsidR="00FE5D64" w:rsidRDefault="00E40776">
            <w:pPr>
              <w:pStyle w:val="P68B1DB1-Normal45"/>
              <w:spacing w:line="276" w:lineRule="auto"/>
              <w:jc w:val="both"/>
            </w:pPr>
            <w:r>
              <w:t>0080—0100</w:t>
            </w:r>
          </w:p>
        </w:tc>
        <w:tc>
          <w:tcPr>
            <w:tcW w:w="7938" w:type="dxa"/>
            <w:shd w:val="clear" w:color="auto" w:fill="FFFFFF" w:themeFill="background1"/>
          </w:tcPr>
          <w:p w14:paraId="259185CE" w14:textId="65A5A83F" w:rsidR="00FE5D64" w:rsidRDefault="00E40776">
            <w:pPr>
              <w:pStyle w:val="P68B1DB1-Normal55"/>
              <w:spacing w:line="276" w:lineRule="auto"/>
              <w:jc w:val="both"/>
              <w:rPr>
                <w:bCs/>
              </w:rPr>
            </w:pPr>
            <w:r>
              <w:t>Предприятие майка</w:t>
            </w:r>
          </w:p>
        </w:tc>
      </w:tr>
      <w:tr w:rsidR="00FE5D64" w14:paraId="7FE1C2CC" w14:textId="77777777">
        <w:trPr>
          <w:trHeight w:val="463"/>
        </w:trPr>
        <w:tc>
          <w:tcPr>
            <w:tcW w:w="1129" w:type="dxa"/>
          </w:tcPr>
          <w:p w14:paraId="7FE1C2C8" w14:textId="77777777" w:rsidR="00FE5D64" w:rsidRDefault="00E40776">
            <w:pPr>
              <w:pStyle w:val="P68B1DB1-Normal45"/>
              <w:spacing w:line="276" w:lineRule="auto"/>
              <w:jc w:val="both"/>
            </w:pPr>
            <w:r>
              <w:t>0080</w:t>
            </w:r>
          </w:p>
        </w:tc>
        <w:tc>
          <w:tcPr>
            <w:tcW w:w="7938" w:type="dxa"/>
            <w:shd w:val="clear" w:color="auto" w:fill="FFFFFF" w:themeFill="background1"/>
          </w:tcPr>
          <w:p w14:paraId="0DC1DDCB" w14:textId="24E6B1FE" w:rsidR="00FE5D64" w:rsidRDefault="00E40776">
            <w:pPr>
              <w:pStyle w:val="P68B1DB1-Normal55"/>
              <w:spacing w:line="276" w:lineRule="auto"/>
              <w:jc w:val="both"/>
            </w:pPr>
            <w:r>
              <w:t>Наименование</w:t>
            </w:r>
          </w:p>
          <w:p w14:paraId="7FE1C2CA" w14:textId="0907AAD2" w:rsidR="00FE5D64" w:rsidRDefault="00E40776">
            <w:pPr>
              <w:pStyle w:val="P68B1DB1-Normal45"/>
              <w:spacing w:line="276" w:lineRule="auto"/>
              <w:jc w:val="both"/>
            </w:pPr>
            <w:r>
              <w:t>Наименование на (крайното) дружество майка на доставчика на услуги, отчетено в колона 0050, когато това не е субект от групата. В останалите случаи</w:t>
            </w:r>
            <w:r w:rsidR="00663D76">
              <w:rPr>
                <w:lang w:val="bg-BG"/>
              </w:rPr>
              <w:t>,</w:t>
            </w:r>
            <w:r>
              <w:t xml:space="preserve"> не е приложимо.</w:t>
            </w:r>
          </w:p>
          <w:p w14:paraId="7FE1C2CB" w14:textId="77777777" w:rsidR="00FE5D64" w:rsidRDefault="00FE5D64">
            <w:pPr>
              <w:spacing w:line="276" w:lineRule="auto"/>
              <w:jc w:val="both"/>
              <w:rPr>
                <w:rFonts w:ascii="Times New Roman" w:hAnsi="Times New Roman" w:cs="Times New Roman"/>
              </w:rPr>
            </w:pPr>
          </w:p>
        </w:tc>
      </w:tr>
      <w:tr w:rsidR="00FE5D64" w14:paraId="7FE1C2D3" w14:textId="77777777">
        <w:trPr>
          <w:trHeight w:val="463"/>
        </w:trPr>
        <w:tc>
          <w:tcPr>
            <w:tcW w:w="1129" w:type="dxa"/>
          </w:tcPr>
          <w:p w14:paraId="7FE1C2CD" w14:textId="77777777" w:rsidR="00FE5D64" w:rsidRDefault="00E40776">
            <w:pPr>
              <w:pStyle w:val="P68B1DB1-Normal45"/>
              <w:spacing w:line="276" w:lineRule="auto"/>
              <w:jc w:val="both"/>
            </w:pPr>
            <w:r>
              <w:t>0090</w:t>
            </w:r>
          </w:p>
        </w:tc>
        <w:tc>
          <w:tcPr>
            <w:tcW w:w="7938" w:type="dxa"/>
            <w:shd w:val="clear" w:color="auto" w:fill="FFFFFF" w:themeFill="background1"/>
          </w:tcPr>
          <w:p w14:paraId="7FE1C2CE" w14:textId="207F8C29" w:rsidR="00FE5D64" w:rsidRPr="00663D76" w:rsidRDefault="00663D76">
            <w:pPr>
              <w:pStyle w:val="P68B1DB1-Normal55"/>
              <w:spacing w:line="276" w:lineRule="auto"/>
              <w:jc w:val="both"/>
              <w:rPr>
                <w:lang w:val="bg-BG"/>
              </w:rPr>
            </w:pPr>
            <w:r>
              <w:rPr>
                <w:lang w:val="bg-BG"/>
              </w:rPr>
              <w:t>Код</w:t>
            </w:r>
          </w:p>
          <w:p w14:paraId="7FE1C2CF" w14:textId="5830C05C" w:rsidR="00FE5D64" w:rsidRDefault="00663D76">
            <w:pPr>
              <w:pStyle w:val="P68B1DB1-Normal45"/>
              <w:spacing w:line="276" w:lineRule="auto"/>
              <w:jc w:val="both"/>
            </w:pPr>
            <w:r>
              <w:rPr>
                <w:lang w:val="bg-BG"/>
              </w:rPr>
              <w:t>Посоченият</w:t>
            </w:r>
            <w:r>
              <w:t xml:space="preserve"> </w:t>
            </w:r>
            <w:r w:rsidR="00E40776">
              <w:t>в колона 0080 код на дружеството майка е:</w:t>
            </w:r>
          </w:p>
          <w:p w14:paraId="7FE1C2D0" w14:textId="61505D7D" w:rsidR="00FE5D64" w:rsidRDefault="00585143" w:rsidP="001118F2">
            <w:pPr>
              <w:pStyle w:val="P68B1DB1-Normal45"/>
              <w:numPr>
                <w:ilvl w:val="0"/>
                <w:numId w:val="64"/>
              </w:numPr>
              <w:spacing w:line="276" w:lineRule="auto"/>
              <w:jc w:val="both"/>
            </w:pPr>
            <w:r w:rsidRPr="00663D76">
              <w:rPr>
                <w:lang w:val="bg-BG"/>
              </w:rPr>
              <w:t xml:space="preserve">за </w:t>
            </w:r>
            <w:r w:rsidR="00E40776">
              <w:t>субекти с идентификационен код на правния субект (ИКПС) — 20-</w:t>
            </w:r>
            <w:r>
              <w:rPr>
                <w:lang w:val="bg-BG"/>
              </w:rPr>
              <w:t>знаковият</w:t>
            </w:r>
            <w:r>
              <w:t xml:space="preserve"> </w:t>
            </w:r>
            <w:r w:rsidR="00E40776">
              <w:t>буквено-цифров ИКПС;</w:t>
            </w:r>
          </w:p>
          <w:p w14:paraId="7FE1C2D1" w14:textId="631F7CF8" w:rsidR="00FE5D64" w:rsidRDefault="00E40776">
            <w:pPr>
              <w:pStyle w:val="P68B1DB1-Normal45"/>
              <w:spacing w:line="276" w:lineRule="auto"/>
              <w:jc w:val="both"/>
            </w:pPr>
            <w:r>
              <w:t xml:space="preserve">— за субекти без ИКПС — </w:t>
            </w:r>
            <w:r w:rsidR="00585143">
              <w:rPr>
                <w:lang w:val="bg-BG"/>
              </w:rPr>
              <w:t>единен</w:t>
            </w:r>
            <w:r w:rsidR="00585143">
              <w:t xml:space="preserve"> </w:t>
            </w:r>
            <w:r>
              <w:t xml:space="preserve">регистрационен номер съгласно националното законодателство. </w:t>
            </w:r>
          </w:p>
          <w:p w14:paraId="7FE1C2D2" w14:textId="77777777" w:rsidR="00FE5D64" w:rsidRDefault="00FE5D64">
            <w:pPr>
              <w:spacing w:line="276" w:lineRule="auto"/>
              <w:jc w:val="both"/>
              <w:rPr>
                <w:rFonts w:ascii="Times New Roman" w:eastAsia="Calibri" w:hAnsi="Times New Roman" w:cs="Times New Roman"/>
                <w:sz w:val="20"/>
              </w:rPr>
            </w:pPr>
          </w:p>
        </w:tc>
      </w:tr>
      <w:tr w:rsidR="00FE5D64" w14:paraId="7FE1C2DC" w14:textId="77777777">
        <w:trPr>
          <w:trHeight w:val="463"/>
        </w:trPr>
        <w:tc>
          <w:tcPr>
            <w:tcW w:w="1129" w:type="dxa"/>
          </w:tcPr>
          <w:p w14:paraId="7FE1C2D4" w14:textId="77777777" w:rsidR="00FE5D64" w:rsidRDefault="00E40776">
            <w:pPr>
              <w:pStyle w:val="P68B1DB1-Normal45"/>
              <w:spacing w:line="276" w:lineRule="auto"/>
              <w:jc w:val="both"/>
            </w:pPr>
            <w:r>
              <w:t>0100</w:t>
            </w:r>
          </w:p>
        </w:tc>
        <w:tc>
          <w:tcPr>
            <w:tcW w:w="7938" w:type="dxa"/>
            <w:shd w:val="clear" w:color="auto" w:fill="FFFFFF" w:themeFill="background1"/>
          </w:tcPr>
          <w:p w14:paraId="7FE1C2D5" w14:textId="77777777" w:rsidR="00FE5D64" w:rsidRDefault="00E40776">
            <w:pPr>
              <w:pStyle w:val="P68B1DB1-Normal55"/>
              <w:spacing w:line="276" w:lineRule="auto"/>
              <w:jc w:val="both"/>
              <w:rPr>
                <w:bCs/>
              </w:rPr>
            </w:pPr>
            <w:r>
              <w:t xml:space="preserve">Вид код </w:t>
            </w:r>
          </w:p>
          <w:p w14:paraId="7FE1C2D6" w14:textId="4A0A19E6" w:rsidR="00FE5D64" w:rsidRDefault="00663D76">
            <w:pPr>
              <w:pStyle w:val="P68B1DB1-Normal57"/>
              <w:spacing w:line="276" w:lineRule="auto"/>
              <w:contextualSpacing/>
              <w:jc w:val="both"/>
              <w:rPr>
                <w:bCs/>
              </w:rPr>
            </w:pPr>
            <w:r>
              <w:rPr>
                <w:lang w:val="bg-BG"/>
              </w:rPr>
              <w:t>Посочва се</w:t>
            </w:r>
            <w:r>
              <w:t xml:space="preserve"> </w:t>
            </w:r>
            <w:r w:rsidR="00E40776">
              <w:t>едно от следните:</w:t>
            </w:r>
          </w:p>
          <w:p w14:paraId="7FE1C2D7" w14:textId="77777777" w:rsidR="00FE5D64" w:rsidRDefault="00E40776">
            <w:pPr>
              <w:pStyle w:val="P68B1DB1-ListParagraph58"/>
              <w:numPr>
                <w:ilvl w:val="0"/>
                <w:numId w:val="64"/>
              </w:numPr>
              <w:spacing w:line="276" w:lineRule="auto"/>
              <w:contextualSpacing/>
              <w:jc w:val="both"/>
            </w:pPr>
            <w:r>
              <w:t>ИКПС</w:t>
            </w:r>
          </w:p>
          <w:p w14:paraId="7FE1C2D8" w14:textId="3E6485FC" w:rsidR="00FE5D64" w:rsidRDefault="00585143">
            <w:pPr>
              <w:pStyle w:val="P68B1DB1-ListParagraph58"/>
              <w:numPr>
                <w:ilvl w:val="0"/>
                <w:numId w:val="64"/>
              </w:numPr>
              <w:spacing w:line="276" w:lineRule="auto"/>
              <w:contextualSpacing/>
              <w:jc w:val="both"/>
            </w:pPr>
            <w:r>
              <w:rPr>
                <w:lang w:val="bg-BG"/>
              </w:rPr>
              <w:t>единен</w:t>
            </w:r>
            <w:r>
              <w:t xml:space="preserve"> </w:t>
            </w:r>
            <w:r w:rsidR="00E40776">
              <w:t>регистрационен номер</w:t>
            </w:r>
          </w:p>
          <w:p w14:paraId="7FE1C2DB" w14:textId="010B0D6D" w:rsidR="00FE5D64" w:rsidRDefault="00FE5D64">
            <w:pPr>
              <w:spacing w:line="276" w:lineRule="auto"/>
              <w:jc w:val="both"/>
              <w:rPr>
                <w:rFonts w:ascii="Times New Roman" w:eastAsia="Calibri" w:hAnsi="Times New Roman" w:cs="Times New Roman"/>
                <w:sz w:val="20"/>
              </w:rPr>
            </w:pPr>
          </w:p>
        </w:tc>
      </w:tr>
      <w:tr w:rsidR="00FE5D64" w14:paraId="7FE1C2E4" w14:textId="77777777">
        <w:trPr>
          <w:trHeight w:val="463"/>
        </w:trPr>
        <w:tc>
          <w:tcPr>
            <w:tcW w:w="1129" w:type="dxa"/>
            <w:shd w:val="clear" w:color="auto" w:fill="FFFFFF" w:themeFill="background1"/>
          </w:tcPr>
          <w:p w14:paraId="7FE1C2DD" w14:textId="77777777" w:rsidR="00FE5D64" w:rsidRDefault="00E40776">
            <w:pPr>
              <w:pStyle w:val="P68B1DB1-Normal45"/>
              <w:spacing w:line="276" w:lineRule="auto"/>
              <w:jc w:val="both"/>
            </w:pPr>
            <w:r>
              <w:t>0110</w:t>
            </w:r>
          </w:p>
        </w:tc>
        <w:tc>
          <w:tcPr>
            <w:tcW w:w="7938" w:type="dxa"/>
            <w:shd w:val="clear" w:color="auto" w:fill="FFFFFF" w:themeFill="background1"/>
          </w:tcPr>
          <w:p w14:paraId="7FE1C2DE" w14:textId="77777777" w:rsidR="00FE5D64" w:rsidRDefault="00E40776">
            <w:pPr>
              <w:pStyle w:val="P68B1DB1-Normal45"/>
              <w:spacing w:line="276" w:lineRule="auto"/>
              <w:jc w:val="both"/>
            </w:pPr>
            <w:r>
              <w:rPr>
                <w:b/>
              </w:rPr>
              <w:t>Предоставяне на услуги</w:t>
            </w:r>
            <w:r>
              <w:t xml:space="preserve"> </w:t>
            </w:r>
          </w:p>
          <w:p w14:paraId="7FE1C2DF" w14:textId="6EAAC809" w:rsidR="00FE5D64" w:rsidRDefault="00E40776">
            <w:pPr>
              <w:pStyle w:val="P68B1DB1-Normal45"/>
              <w:spacing w:line="276" w:lineRule="auto"/>
              <w:jc w:val="both"/>
            </w:pPr>
            <w:r>
              <w:t>„</w:t>
            </w:r>
            <w:r w:rsidR="00B610E5">
              <w:rPr>
                <w:lang w:val="bg-BG"/>
              </w:rPr>
              <w:t>В рамките на субекта</w:t>
            </w:r>
            <w:r>
              <w:t>“, ако услугата се предоставя от една стопанска</w:t>
            </w:r>
            <w:r w:rsidR="00EC480C">
              <w:t xml:space="preserve"> </w:t>
            </w:r>
            <w:r>
              <w:t>единица на друга стопанска</w:t>
            </w:r>
            <w:r w:rsidR="00EC480C">
              <w:t xml:space="preserve"> </w:t>
            </w:r>
            <w:r>
              <w:t xml:space="preserve">единица на </w:t>
            </w:r>
            <w:r w:rsidR="00EC480C">
              <w:rPr>
                <w:lang w:val="bg-BG"/>
              </w:rPr>
              <w:t>ед</w:t>
            </w:r>
            <w:r w:rsidR="00B610E5">
              <w:rPr>
                <w:lang w:val="bg-BG"/>
              </w:rPr>
              <w:t xml:space="preserve">ин </w:t>
            </w:r>
            <w:r w:rsidR="00EC480C">
              <w:rPr>
                <w:lang w:val="bg-BG"/>
              </w:rPr>
              <w:t>и същ</w:t>
            </w:r>
            <w:r w:rsidR="00EC480C">
              <w:t xml:space="preserve"> </w:t>
            </w:r>
            <w:r w:rsidR="00B610E5">
              <w:rPr>
                <w:lang w:val="bg-BG"/>
              </w:rPr>
              <w:t>правен субект</w:t>
            </w:r>
            <w:r>
              <w:t>.</w:t>
            </w:r>
          </w:p>
          <w:p w14:paraId="7FE1C2E0" w14:textId="3DEF02E2" w:rsidR="00FE5D64" w:rsidRDefault="00E40776">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„Вътрешногрупов — </w:t>
            </w:r>
            <w:r w:rsidR="00965EAC">
              <w:rPr>
                <w:rFonts w:ascii="Times New Roman" w:eastAsia="Calibri" w:hAnsi="Times New Roman" w:cs="Times New Roman"/>
                <w:sz w:val="20"/>
                <w:lang w:val="bg-BG"/>
              </w:rPr>
              <w:t>поднадзорен</w:t>
            </w:r>
            <w:r w:rsidR="00965EAC">
              <w:rPr>
                <w:rFonts w:ascii="Times New Roman" w:eastAsia="Calibri" w:hAnsi="Times New Roman" w:cs="Times New Roman"/>
                <w:sz w:val="20"/>
              </w:rPr>
              <w:t xml:space="preserve"> </w:t>
            </w:r>
            <w:r>
              <w:rPr>
                <w:rFonts w:ascii="Times New Roman" w:eastAsia="Calibri" w:hAnsi="Times New Roman" w:cs="Times New Roman"/>
                <w:sz w:val="20"/>
              </w:rPr>
              <w:t>субект“</w:t>
            </w:r>
            <w:r>
              <w:rPr>
                <w:rFonts w:ascii="Times New Roman" w:hAnsi="Times New Roman" w:cs="Times New Roman"/>
              </w:rPr>
              <w:t xml:space="preserve">, ако </w:t>
            </w:r>
            <w:r>
              <w:rPr>
                <w:rFonts w:ascii="Times New Roman" w:eastAsia="Calibri" w:hAnsi="Times New Roman" w:cs="Times New Roman"/>
                <w:sz w:val="20"/>
              </w:rPr>
              <w:t>услугата се</w:t>
            </w:r>
            <w:r>
              <w:rPr>
                <w:rFonts w:ascii="Times New Roman" w:hAnsi="Times New Roman" w:cs="Times New Roman"/>
              </w:rPr>
              <w:t xml:space="preserve"> </w:t>
            </w:r>
            <w:r>
              <w:rPr>
                <w:rFonts w:ascii="Times New Roman" w:eastAsia="Calibri" w:hAnsi="Times New Roman" w:cs="Times New Roman"/>
                <w:sz w:val="20"/>
              </w:rPr>
              <w:t>предоставя от субект от групата, който подлежи на пруденциално регулиране по отношение на капитала/ликвидността на индивидуална основа, включително когато</w:t>
            </w:r>
            <w:r w:rsidR="000D450F" w:rsidRPr="00965EAC">
              <w:rPr>
                <w:rFonts w:ascii="Times New Roman" w:hAnsi="Times New Roman"/>
                <w:sz w:val="20"/>
                <w:lang w:val="bg-BG"/>
              </w:rPr>
              <w:t xml:space="preserve"> </w:t>
            </w:r>
            <w:r w:rsidR="000D450F">
              <w:rPr>
                <w:rFonts w:ascii="Times New Roman" w:eastAsia="Calibri" w:hAnsi="Times New Roman" w:cs="Times New Roman"/>
                <w:sz w:val="20"/>
                <w:lang w:val="bg-BG"/>
              </w:rPr>
              <w:t xml:space="preserve">субектът е освободен от </w:t>
            </w:r>
            <w:r>
              <w:rPr>
                <w:rFonts w:ascii="Times New Roman" w:eastAsia="Calibri" w:hAnsi="Times New Roman" w:cs="Times New Roman"/>
                <w:sz w:val="20"/>
              </w:rPr>
              <w:t>пруденциалните изисквания.</w:t>
            </w:r>
          </w:p>
          <w:p w14:paraId="7FE1C2E1" w14:textId="7C98A62D" w:rsidR="00FE5D64" w:rsidRDefault="00E40776">
            <w:pPr>
              <w:pStyle w:val="P68B1DB1-Normal45"/>
              <w:spacing w:line="276" w:lineRule="auto"/>
              <w:jc w:val="both"/>
            </w:pPr>
            <w:r>
              <w:t xml:space="preserve">„Вътрешногрупов — нерегулиран субект“, ако услугата се предоставя от субект от групата, който е </w:t>
            </w:r>
            <w:r w:rsidR="00896C82">
              <w:rPr>
                <w:lang w:val="bg-BG"/>
              </w:rPr>
              <w:t xml:space="preserve">действаща </w:t>
            </w:r>
            <w:r w:rsidR="00965EAC">
              <w:rPr>
                <w:lang w:val="bg-BG"/>
              </w:rPr>
              <w:t>субект</w:t>
            </w:r>
            <w:r>
              <w:t>, ко</w:t>
            </w:r>
            <w:r w:rsidR="00896C82">
              <w:rPr>
                <w:lang w:val="bg-BG"/>
              </w:rPr>
              <w:t>й</w:t>
            </w:r>
            <w:r>
              <w:t xml:space="preserve">то не подлежи на пруденциално регулиране по отношение на капитала/ликвидността на индивидуална основа, включително когато </w:t>
            </w:r>
            <w:r w:rsidR="000D450F">
              <w:rPr>
                <w:lang w:val="bg-BG"/>
              </w:rPr>
              <w:t xml:space="preserve">субектът е освободен от </w:t>
            </w:r>
            <w:r>
              <w:t>пруденциалните изисквания.</w:t>
            </w:r>
          </w:p>
          <w:p w14:paraId="7FE1C2E2" w14:textId="7B6AA381" w:rsidR="00FE5D64" w:rsidRDefault="00E40776">
            <w:pPr>
              <w:pStyle w:val="P68B1DB1-Normal45"/>
              <w:spacing w:line="276" w:lineRule="auto"/>
              <w:jc w:val="both"/>
            </w:pPr>
            <w:r>
              <w:t>„Външен субект“, ако услугата се предоставя от външен доставчик, който е извън групата.</w:t>
            </w:r>
          </w:p>
          <w:p w14:paraId="7FE1C2E3" w14:textId="77777777" w:rsidR="00FE5D64" w:rsidRDefault="00FE5D64">
            <w:pPr>
              <w:spacing w:line="276" w:lineRule="auto"/>
              <w:jc w:val="both"/>
              <w:rPr>
                <w:rFonts w:ascii="Times New Roman" w:eastAsia="Calibri" w:hAnsi="Times New Roman" w:cs="Times New Roman"/>
                <w:i/>
                <w:sz w:val="20"/>
              </w:rPr>
            </w:pPr>
          </w:p>
        </w:tc>
      </w:tr>
      <w:tr w:rsidR="00FE5D64" w14:paraId="7FE1C2EB" w14:textId="77777777">
        <w:trPr>
          <w:trHeight w:val="463"/>
        </w:trPr>
        <w:tc>
          <w:tcPr>
            <w:tcW w:w="1129" w:type="dxa"/>
            <w:shd w:val="clear" w:color="auto" w:fill="FFFFFF" w:themeFill="background1"/>
          </w:tcPr>
          <w:p w14:paraId="7FE1C2E5" w14:textId="77777777" w:rsidR="00FE5D64" w:rsidRDefault="00E40776">
            <w:pPr>
              <w:pStyle w:val="P68B1DB1-Normal50"/>
              <w:spacing w:line="276" w:lineRule="auto"/>
              <w:jc w:val="both"/>
            </w:pPr>
            <w:bookmarkStart w:id="139" w:name="_Hlk210126363"/>
            <w:r>
              <w:t>0120</w:t>
            </w:r>
          </w:p>
          <w:p w14:paraId="7FE1C2E6" w14:textId="77777777" w:rsidR="00FE5D64" w:rsidRDefault="00FE5D6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FE5D64" w:rsidRDefault="00E40776">
            <w:pPr>
              <w:pStyle w:val="P68B1DB1-Normal49"/>
              <w:spacing w:line="276" w:lineRule="auto"/>
              <w:jc w:val="both"/>
              <w:rPr>
                <w:bCs/>
                <w:strike/>
              </w:rPr>
            </w:pPr>
            <w:r>
              <w:t>Критичност</w:t>
            </w:r>
            <w:r>
              <w:rPr>
                <w:strike/>
              </w:rPr>
              <w:t xml:space="preserve"> </w:t>
            </w:r>
          </w:p>
          <w:p w14:paraId="7FE1C2E8" w14:textId="41689DB2" w:rsidR="00FE5D64" w:rsidRDefault="00E40776">
            <w:pPr>
              <w:pStyle w:val="P68B1DB1-ListParagraph58"/>
              <w:numPr>
                <w:ilvl w:val="0"/>
                <w:numId w:val="239"/>
              </w:numPr>
              <w:spacing w:line="276" w:lineRule="auto"/>
              <w:contextualSpacing/>
              <w:jc w:val="both"/>
            </w:pPr>
            <w:r>
              <w:t xml:space="preserve">Критична: ако услугата е необходима за изпълнението на една или повече критични функции, чието прекъсване би </w:t>
            </w:r>
            <w:r w:rsidR="00965EAC">
              <w:rPr>
                <w:lang w:val="bg-BG"/>
              </w:rPr>
              <w:t>затруднило</w:t>
            </w:r>
            <w:r w:rsidR="00965EAC">
              <w:t xml:space="preserve"> </w:t>
            </w:r>
            <w:r>
              <w:t>сериозно или би възпрепятствало изпълнението на тези критични функции.</w:t>
            </w:r>
          </w:p>
          <w:p w14:paraId="5C5BAF47" w14:textId="4C51E219" w:rsidR="002730E4" w:rsidRDefault="00134B08">
            <w:pPr>
              <w:pStyle w:val="P68B1DB1-ListParagraph9"/>
              <w:numPr>
                <w:ilvl w:val="0"/>
                <w:numId w:val="239"/>
              </w:numPr>
              <w:spacing w:line="276" w:lineRule="auto"/>
              <w:contextualSpacing/>
              <w:jc w:val="both"/>
              <w:rPr>
                <w:sz w:val="20"/>
              </w:rPr>
            </w:pPr>
            <w:r>
              <w:rPr>
                <w:sz w:val="20"/>
                <w:lang w:val="bg-BG"/>
              </w:rPr>
              <w:t>Важ</w:t>
            </w:r>
            <w:r w:rsidR="00132601">
              <w:rPr>
                <w:sz w:val="20"/>
                <w:lang w:val="bg-BG"/>
              </w:rPr>
              <w:t>на</w:t>
            </w:r>
            <w:r w:rsidR="00E40776">
              <w:rPr>
                <w:sz w:val="20"/>
              </w:rPr>
              <w:t xml:space="preserve">: ако </w:t>
            </w:r>
            <w:r w:rsidR="00132601">
              <w:rPr>
                <w:sz w:val="20"/>
                <w:lang w:val="bg-BG"/>
              </w:rPr>
              <w:t>услугата</w:t>
            </w:r>
            <w:r w:rsidR="00132601" w:rsidRPr="009977F6">
              <w:rPr>
                <w:sz w:val="20"/>
                <w:lang w:val="bg-BG"/>
              </w:rPr>
              <w:t xml:space="preserve"> </w:t>
            </w:r>
            <w:r w:rsidR="00E40776">
              <w:rPr>
                <w:sz w:val="20"/>
              </w:rPr>
              <w:t>е свързан</w:t>
            </w:r>
            <w:r w:rsidR="00132601">
              <w:rPr>
                <w:sz w:val="20"/>
                <w:lang w:val="bg-BG"/>
              </w:rPr>
              <w:t>а</w:t>
            </w:r>
            <w:r w:rsidR="00E40776">
              <w:rPr>
                <w:sz w:val="20"/>
              </w:rPr>
              <w:t xml:space="preserve"> с основни стопански дейности, чиято непрекъснатост</w:t>
            </w:r>
            <w:r w:rsidR="00132601">
              <w:rPr>
                <w:sz w:val="20"/>
              </w:rPr>
              <w:t xml:space="preserve"> </w:t>
            </w:r>
            <w:r w:rsidR="00E40776">
              <w:rPr>
                <w:sz w:val="20"/>
              </w:rPr>
              <w:t>е необходима за ефективното изпълнение на стратегията за преструктуриране и всяко последващо</w:t>
            </w:r>
            <w:r w:rsidR="00A4562B">
              <w:rPr>
                <w:sz w:val="20"/>
                <w:lang w:val="bg-BG"/>
              </w:rPr>
              <w:t xml:space="preserve"> преобразуване.</w:t>
            </w:r>
          </w:p>
          <w:p w14:paraId="7FE1C2EA" w14:textId="63118EBE" w:rsidR="00FE5D64" w:rsidRDefault="00E40776" w:rsidP="00132601">
            <w:pPr>
              <w:pStyle w:val="P68B1DB1-ListParagraph58"/>
              <w:numPr>
                <w:ilvl w:val="0"/>
                <w:numId w:val="239"/>
              </w:numPr>
              <w:spacing w:line="276" w:lineRule="auto"/>
              <w:contextualSpacing/>
              <w:jc w:val="both"/>
            </w:pPr>
            <w:r>
              <w:t>Критичн</w:t>
            </w:r>
            <w:r w:rsidR="00134B08">
              <w:rPr>
                <w:lang w:val="bg-BG"/>
              </w:rPr>
              <w:t>а</w:t>
            </w:r>
            <w:r>
              <w:t xml:space="preserve"> и </w:t>
            </w:r>
            <w:r w:rsidR="00134B08">
              <w:rPr>
                <w:lang w:val="bg-BG"/>
              </w:rPr>
              <w:t>важна</w:t>
            </w:r>
          </w:p>
        </w:tc>
      </w:tr>
      <w:bookmarkEnd w:id="139"/>
      <w:tr w:rsidR="00FE5D64" w14:paraId="7FE1C2F0" w14:textId="77777777">
        <w:trPr>
          <w:trHeight w:val="463"/>
        </w:trPr>
        <w:tc>
          <w:tcPr>
            <w:tcW w:w="1129" w:type="dxa"/>
            <w:shd w:val="clear" w:color="auto" w:fill="FFFFFF" w:themeFill="background1"/>
          </w:tcPr>
          <w:p w14:paraId="7FE1C2EC" w14:textId="77777777" w:rsidR="00FE5D64" w:rsidRDefault="00E40776">
            <w:pPr>
              <w:pStyle w:val="P68B1DB1-Normal45"/>
              <w:spacing w:line="276" w:lineRule="auto"/>
              <w:jc w:val="both"/>
            </w:pPr>
            <w:r>
              <w:t>0130</w:t>
            </w:r>
          </w:p>
        </w:tc>
        <w:tc>
          <w:tcPr>
            <w:tcW w:w="7938" w:type="dxa"/>
            <w:shd w:val="clear" w:color="auto" w:fill="FFFFFF" w:themeFill="background1"/>
          </w:tcPr>
          <w:p w14:paraId="7FE1C2ED" w14:textId="77777777" w:rsidR="00FE5D64" w:rsidRDefault="00E40776">
            <w:pPr>
              <w:pStyle w:val="P68B1DB1-Normal49"/>
              <w:spacing w:line="276" w:lineRule="auto"/>
              <w:jc w:val="both"/>
              <w:rPr>
                <w:bCs/>
              </w:rPr>
            </w:pPr>
            <w:r>
              <w:t>Идентификационен код на договора</w:t>
            </w:r>
          </w:p>
          <w:p w14:paraId="7FE1C2EE" w14:textId="77777777" w:rsidR="00FE5D64" w:rsidRDefault="00E40776">
            <w:pPr>
              <w:pStyle w:val="P68B1DB1-Normal45"/>
              <w:spacing w:line="276" w:lineRule="auto"/>
              <w:jc w:val="both"/>
            </w:pPr>
            <w:r>
              <w:t>Уникален идентификатор на договора, който е в основата на услугата, съгласно таксономията на услугите на групата.</w:t>
            </w:r>
          </w:p>
          <w:p w14:paraId="7FE1C2EF" w14:textId="77777777" w:rsidR="00FE5D64" w:rsidRDefault="00FE5D64">
            <w:pPr>
              <w:spacing w:line="276" w:lineRule="auto"/>
              <w:jc w:val="both"/>
              <w:rPr>
                <w:rFonts w:ascii="Times New Roman" w:eastAsia="Calibri" w:hAnsi="Times New Roman" w:cs="Times New Roman"/>
                <w:sz w:val="20"/>
              </w:rPr>
            </w:pPr>
          </w:p>
        </w:tc>
      </w:tr>
      <w:tr w:rsidR="00FE5D64" w14:paraId="7FE1C2F6" w14:textId="77777777">
        <w:trPr>
          <w:trHeight w:val="628"/>
        </w:trPr>
        <w:tc>
          <w:tcPr>
            <w:tcW w:w="1129" w:type="dxa"/>
          </w:tcPr>
          <w:p w14:paraId="7FE1C2F1" w14:textId="77777777" w:rsidR="00FE5D64" w:rsidRDefault="00E40776">
            <w:pPr>
              <w:pStyle w:val="P68B1DB1-Normal45"/>
              <w:spacing w:line="276" w:lineRule="auto"/>
              <w:jc w:val="both"/>
            </w:pPr>
            <w:r>
              <w:t>0140</w:t>
            </w:r>
          </w:p>
          <w:p w14:paraId="7FE1C2F2" w14:textId="77777777" w:rsidR="00FE5D64" w:rsidRDefault="00FE5D64">
            <w:pPr>
              <w:spacing w:line="276" w:lineRule="auto"/>
              <w:jc w:val="both"/>
              <w:rPr>
                <w:rFonts w:ascii="Times New Roman" w:eastAsia="Calibri" w:hAnsi="Times New Roman" w:cs="Times New Roman"/>
                <w:strike/>
                <w:sz w:val="20"/>
              </w:rPr>
            </w:pPr>
          </w:p>
        </w:tc>
        <w:tc>
          <w:tcPr>
            <w:tcW w:w="7938" w:type="dxa"/>
          </w:tcPr>
          <w:p w14:paraId="7FE1C2F3" w14:textId="22C8AA18" w:rsidR="00FE5D64" w:rsidRDefault="00E40776">
            <w:pPr>
              <w:pStyle w:val="P68B1DB1-Normal55"/>
              <w:spacing w:line="276" w:lineRule="auto"/>
              <w:jc w:val="both"/>
            </w:pPr>
            <w:r>
              <w:rPr>
                <w:szCs w:val="20"/>
              </w:rPr>
              <w:t>Приложим</w:t>
            </w:r>
            <w:r w:rsidR="00267B45">
              <w:rPr>
                <w:szCs w:val="20"/>
                <w:lang w:val="bg-BG"/>
              </w:rPr>
              <w:t>о</w:t>
            </w:r>
            <w:r>
              <w:rPr>
                <w:szCs w:val="20"/>
              </w:rPr>
              <w:t xml:space="preserve"> </w:t>
            </w:r>
            <w:r w:rsidR="00134B08">
              <w:rPr>
                <w:szCs w:val="20"/>
                <w:lang w:val="bg-BG"/>
              </w:rPr>
              <w:t>право</w:t>
            </w:r>
            <w:r w:rsidR="00F13FB7">
              <w:t xml:space="preserve"> </w:t>
            </w:r>
          </w:p>
          <w:p w14:paraId="7FE1C2F4" w14:textId="2842EFB9" w:rsidR="00FE5D64" w:rsidRDefault="00E40776">
            <w:pPr>
              <w:pStyle w:val="P68B1DB1-Normal45"/>
              <w:spacing w:line="276" w:lineRule="auto"/>
              <w:jc w:val="both"/>
            </w:pPr>
            <w:r>
              <w:t>Кодът по ISO на държавата, чието право урежда договора.</w:t>
            </w:r>
          </w:p>
          <w:p w14:paraId="7FE1C2F5" w14:textId="77777777" w:rsidR="00FE5D64" w:rsidRDefault="00FE5D64">
            <w:pPr>
              <w:spacing w:line="276" w:lineRule="auto"/>
              <w:jc w:val="both"/>
              <w:rPr>
                <w:rFonts w:ascii="Times New Roman" w:eastAsia="Calibri" w:hAnsi="Times New Roman" w:cs="Times New Roman"/>
                <w:sz w:val="20"/>
              </w:rPr>
            </w:pPr>
          </w:p>
        </w:tc>
      </w:tr>
      <w:tr w:rsidR="00FE5D64" w14:paraId="7FE1C2FC" w14:textId="77777777">
        <w:trPr>
          <w:trHeight w:val="628"/>
        </w:trPr>
        <w:tc>
          <w:tcPr>
            <w:tcW w:w="1129" w:type="dxa"/>
          </w:tcPr>
          <w:p w14:paraId="7FE1C2F7" w14:textId="77777777" w:rsidR="00FE5D64" w:rsidRDefault="00E40776">
            <w:pPr>
              <w:pStyle w:val="P68B1DB1-Normal45"/>
              <w:spacing w:line="276" w:lineRule="auto"/>
              <w:jc w:val="both"/>
            </w:pPr>
            <w:r>
              <w:t>0150—0170</w:t>
            </w:r>
          </w:p>
          <w:p w14:paraId="7FE1C2F8" w14:textId="77777777" w:rsidR="00FE5D64" w:rsidRDefault="00FE5D64">
            <w:pPr>
              <w:spacing w:line="276" w:lineRule="auto"/>
              <w:jc w:val="both"/>
              <w:rPr>
                <w:rFonts w:ascii="Times New Roman" w:eastAsia="Calibri" w:hAnsi="Times New Roman" w:cs="Times New Roman"/>
                <w:strike/>
                <w:sz w:val="20"/>
              </w:rPr>
            </w:pPr>
          </w:p>
        </w:tc>
        <w:tc>
          <w:tcPr>
            <w:tcW w:w="7938" w:type="dxa"/>
          </w:tcPr>
          <w:p w14:paraId="7FE1C2F9" w14:textId="546E2540" w:rsidR="00FE5D64" w:rsidRDefault="00E40776">
            <w:pPr>
              <w:pStyle w:val="P68B1DB1-Normal49"/>
              <w:spacing w:before="120" w:after="120" w:line="276" w:lineRule="auto"/>
              <w:rPr>
                <w:bCs/>
                <w:iCs/>
              </w:rPr>
            </w:pPr>
            <w:r>
              <w:t xml:space="preserve">Устойчивост </w:t>
            </w:r>
            <w:r w:rsidR="00267B45">
              <w:rPr>
                <w:lang w:val="bg-BG"/>
              </w:rPr>
              <w:t>при</w:t>
            </w:r>
            <w:r w:rsidR="00267B45">
              <w:t xml:space="preserve"> </w:t>
            </w:r>
            <w:r>
              <w:t>преструктуриране</w:t>
            </w:r>
          </w:p>
          <w:p w14:paraId="7FE1C2FA" w14:textId="7D6A824B" w:rsidR="00FE5D64" w:rsidRDefault="00E40776">
            <w:pPr>
              <w:pStyle w:val="P68B1DB1-NormalWeb59"/>
              <w:spacing w:before="0" w:beforeAutospacing="0" w:after="0" w:afterAutospacing="0"/>
              <w:rPr>
                <w:iCs/>
                <w:szCs w:val="20"/>
              </w:rPr>
            </w:pPr>
            <w:r>
              <w:rPr>
                <w:szCs w:val="20"/>
              </w:rPr>
              <w:t xml:space="preserve">Оценката дали договорът за предоставяне на услугата, посочен в колона 0020, може да бъде продължен и прехвърлен по време на </w:t>
            </w:r>
            <w:r w:rsidR="00267B45">
              <w:rPr>
                <w:szCs w:val="20"/>
                <w:lang w:val="bg-BG"/>
              </w:rPr>
              <w:t>прилагането</w:t>
            </w:r>
            <w:r w:rsidR="00267B45">
              <w:rPr>
                <w:szCs w:val="20"/>
              </w:rPr>
              <w:t xml:space="preserve"> </w:t>
            </w:r>
            <w:r>
              <w:rPr>
                <w:szCs w:val="20"/>
              </w:rPr>
              <w:t xml:space="preserve">на стратегията за преструктуриране, включително плана за </w:t>
            </w:r>
            <w:r w:rsidR="00267B45">
              <w:rPr>
                <w:szCs w:val="20"/>
                <w:lang w:val="bg-BG"/>
              </w:rPr>
              <w:t>оздравяване</w:t>
            </w:r>
            <w:r w:rsidR="00267B45">
              <w:rPr>
                <w:szCs w:val="20"/>
              </w:rPr>
              <w:t xml:space="preserve"> </w:t>
            </w:r>
            <w:r>
              <w:rPr>
                <w:szCs w:val="20"/>
              </w:rPr>
              <w:t xml:space="preserve">на дейността, </w:t>
            </w:r>
            <w:r>
              <w:t>в съответствие с EBA/GL/2022/01 и съответното национално законодателство.</w:t>
            </w:r>
          </w:p>
          <w:p w14:paraId="7FE1C2FB" w14:textId="77777777" w:rsidR="00FE5D64" w:rsidRDefault="00FE5D64">
            <w:pPr>
              <w:spacing w:line="276" w:lineRule="auto"/>
              <w:jc w:val="both"/>
              <w:rPr>
                <w:rFonts w:ascii="Times New Roman" w:eastAsia="Calibri" w:hAnsi="Times New Roman" w:cs="Times New Roman"/>
                <w:iCs/>
                <w:sz w:val="20"/>
                <w:szCs w:val="20"/>
              </w:rPr>
            </w:pPr>
          </w:p>
        </w:tc>
      </w:tr>
      <w:tr w:rsidR="00FE5D64" w14:paraId="7FE1C30C" w14:textId="77777777">
        <w:trPr>
          <w:trHeight w:val="2120"/>
        </w:trPr>
        <w:tc>
          <w:tcPr>
            <w:tcW w:w="1129" w:type="dxa"/>
          </w:tcPr>
          <w:p w14:paraId="7FE1C2FD" w14:textId="77777777" w:rsidR="00FE5D64" w:rsidRDefault="00E40776">
            <w:pPr>
              <w:pStyle w:val="P68B1DB1-Normal45"/>
              <w:spacing w:line="276" w:lineRule="auto"/>
              <w:jc w:val="both"/>
            </w:pPr>
            <w:r>
              <w:t>0150</w:t>
            </w:r>
          </w:p>
        </w:tc>
        <w:tc>
          <w:tcPr>
            <w:tcW w:w="7938" w:type="dxa"/>
          </w:tcPr>
          <w:p w14:paraId="7FE1C2FE" w14:textId="41776842" w:rsidR="00FE5D64" w:rsidRDefault="00267B45">
            <w:pPr>
              <w:pStyle w:val="P68B1DB1-Normal55"/>
              <w:spacing w:line="276" w:lineRule="auto"/>
              <w:jc w:val="both"/>
              <w:rPr>
                <w:bCs/>
              </w:rPr>
            </w:pPr>
            <w:r>
              <w:rPr>
                <w:szCs w:val="20"/>
                <w:lang w:val="bg-BG"/>
              </w:rPr>
              <w:t>Характеристики</w:t>
            </w:r>
            <w:r>
              <w:rPr>
                <w:szCs w:val="20"/>
              </w:rPr>
              <w:t xml:space="preserve"> </w:t>
            </w:r>
            <w:r w:rsidR="00E40776">
              <w:rPr>
                <w:szCs w:val="20"/>
              </w:rPr>
              <w:t xml:space="preserve">за устойчивост </w:t>
            </w:r>
            <w:r w:rsidR="00D61901">
              <w:rPr>
                <w:szCs w:val="20"/>
                <w:lang w:val="bg-BG"/>
              </w:rPr>
              <w:t>при</w:t>
            </w:r>
            <w:r w:rsidR="00D61901">
              <w:rPr>
                <w:szCs w:val="20"/>
              </w:rPr>
              <w:t xml:space="preserve"> </w:t>
            </w:r>
            <w:r w:rsidR="00E40776">
              <w:rPr>
                <w:szCs w:val="20"/>
              </w:rPr>
              <w:t>преструктуриране</w:t>
            </w:r>
          </w:p>
          <w:p w14:paraId="7FE1C2FF" w14:textId="21C71D10" w:rsidR="00FE5D64" w:rsidRPr="00D61901" w:rsidRDefault="00D61901" w:rsidP="00690385">
            <w:pPr>
              <w:pStyle w:val="P68B1DB1-Normal50"/>
              <w:spacing w:line="276" w:lineRule="auto"/>
              <w:jc w:val="both"/>
              <w:rPr>
                <w:iCs/>
              </w:rPr>
            </w:pPr>
            <w:r>
              <w:rPr>
                <w:lang w:val="bg-BG"/>
              </w:rPr>
              <w:t xml:space="preserve">Характеристиките за устойчивост при </w:t>
            </w:r>
            <w:r w:rsidR="00E40776">
              <w:t xml:space="preserve">преструктуриране са </w:t>
            </w:r>
            <w:r>
              <w:rPr>
                <w:lang w:val="bg-BG"/>
              </w:rPr>
              <w:t>характеристики,</w:t>
            </w:r>
            <w:r w:rsidR="00E40776">
              <w:t xml:space="preserve"> които </w:t>
            </w:r>
            <w:r w:rsidR="002D7199">
              <w:rPr>
                <w:lang w:val="bg-BG"/>
              </w:rPr>
              <w:t xml:space="preserve">съответният </w:t>
            </w:r>
            <w:r w:rsidR="00E40776">
              <w:t>договор за услуги</w:t>
            </w:r>
            <w:r>
              <w:rPr>
                <w:lang w:val="bg-BG"/>
              </w:rPr>
              <w:t xml:space="preserve"> следва да притежава</w:t>
            </w:r>
            <w:r w:rsidR="00E40776">
              <w:t xml:space="preserve">, за да се </w:t>
            </w:r>
            <w:r w:rsidR="008D71D6">
              <w:rPr>
                <w:lang w:val="bg-BG"/>
              </w:rPr>
              <w:t>смята</w:t>
            </w:r>
            <w:r w:rsidR="008D71D6">
              <w:t xml:space="preserve"> </w:t>
            </w:r>
            <w:r w:rsidR="00E40776">
              <w:t xml:space="preserve">за устойчив </w:t>
            </w:r>
            <w:r w:rsidR="00690385">
              <w:rPr>
                <w:lang w:val="bg-BG"/>
              </w:rPr>
              <w:t>при</w:t>
            </w:r>
            <w:r w:rsidR="00690385">
              <w:t xml:space="preserve"> </w:t>
            </w:r>
            <w:r w:rsidR="00E40776">
              <w:t xml:space="preserve">преструктуриране. Те включват следното, при условие че </w:t>
            </w:r>
            <w:r>
              <w:rPr>
                <w:lang w:val="bg-BG"/>
              </w:rPr>
              <w:t>съществените</w:t>
            </w:r>
            <w:r>
              <w:t xml:space="preserve"> </w:t>
            </w:r>
            <w:r w:rsidR="00E40776">
              <w:t>задължения по договора продължават да се изпълняват:</w:t>
            </w:r>
          </w:p>
          <w:p w14:paraId="7FE1C300" w14:textId="6EB2A1D6" w:rsidR="00FE5D64" w:rsidRDefault="00E40776">
            <w:pPr>
              <w:pStyle w:val="P68B1DB1-ListParagraph60"/>
              <w:numPr>
                <w:ilvl w:val="0"/>
                <w:numId w:val="240"/>
              </w:numPr>
              <w:spacing w:line="276" w:lineRule="auto"/>
              <w:ind w:left="500"/>
              <w:contextualSpacing/>
              <w:jc w:val="both"/>
              <w:rPr>
                <w:iCs/>
              </w:rPr>
            </w:pPr>
            <w:r>
              <w:t>няма</w:t>
            </w:r>
            <w:r w:rsidR="00690385">
              <w:t xml:space="preserve"> </w:t>
            </w:r>
            <w:r>
              <w:t xml:space="preserve">прекратяване, спиране или изменение на основание преструктуриране (включително </w:t>
            </w:r>
            <w:r w:rsidR="00D61901">
              <w:rPr>
                <w:lang w:val="bg-BG"/>
              </w:rPr>
              <w:t>при действия</w:t>
            </w:r>
            <w:r w:rsidR="00C50C50">
              <w:rPr>
                <w:lang w:val="bg-BG"/>
              </w:rPr>
              <w:t xml:space="preserve"> по </w:t>
            </w:r>
            <w:r w:rsidR="001E1327">
              <w:rPr>
                <w:lang w:val="bg-BG"/>
              </w:rPr>
              <w:t>оздравяване</w:t>
            </w:r>
            <w:r w:rsidR="001E1327">
              <w:t xml:space="preserve"> </w:t>
            </w:r>
            <w:r>
              <w:t xml:space="preserve">на дейността съгласно член 51 от Директива 2014/59/ЕС); </w:t>
            </w:r>
          </w:p>
          <w:p w14:paraId="7FE1C301" w14:textId="14E0C20D" w:rsidR="00FE5D64" w:rsidRDefault="00E40776" w:rsidP="001118F2">
            <w:pPr>
              <w:pStyle w:val="P68B1DB1-ListParagraph60"/>
              <w:numPr>
                <w:ilvl w:val="0"/>
                <w:numId w:val="240"/>
              </w:numPr>
              <w:spacing w:line="276" w:lineRule="auto"/>
              <w:ind w:left="500"/>
              <w:contextualSpacing/>
              <w:jc w:val="both"/>
              <w:rPr>
                <w:iCs/>
              </w:rPr>
            </w:pPr>
            <w:r>
              <w:t>възможност за прехвърляне</w:t>
            </w:r>
            <w:r w:rsidR="00C50C50">
              <w:rPr>
                <w:lang w:val="bg-BG"/>
              </w:rPr>
              <w:t xml:space="preserve"> към нов получател</w:t>
            </w:r>
            <w:r>
              <w:t xml:space="preserve"> на предоставянето на услуг</w:t>
            </w:r>
            <w:r w:rsidR="00C50C50">
              <w:rPr>
                <w:lang w:val="bg-BG"/>
              </w:rPr>
              <w:t>ата</w:t>
            </w:r>
            <w:r>
              <w:t xml:space="preserve"> от </w:t>
            </w:r>
            <w:r w:rsidR="00C50C50">
              <w:rPr>
                <w:lang w:val="bg-BG"/>
              </w:rPr>
              <w:t xml:space="preserve">досегашния </w:t>
            </w:r>
            <w:r>
              <w:t xml:space="preserve">получател на </w:t>
            </w:r>
            <w:r w:rsidR="00C50C50">
              <w:t>услуг</w:t>
            </w:r>
            <w:r w:rsidR="00C50C50">
              <w:rPr>
                <w:lang w:val="bg-BG"/>
              </w:rPr>
              <w:t>ата</w:t>
            </w:r>
            <w:r w:rsidR="00C50C50">
              <w:t xml:space="preserve"> </w:t>
            </w:r>
            <w:r>
              <w:t>или от органа за преструктуриране</w:t>
            </w:r>
            <w:r w:rsidR="00C50C50">
              <w:rPr>
                <w:lang w:val="bg-BG"/>
              </w:rPr>
              <w:t>,</w:t>
            </w:r>
            <w:r>
              <w:t xml:space="preserve"> </w:t>
            </w:r>
            <w:r w:rsidR="00C50C50">
              <w:rPr>
                <w:lang w:val="bg-BG"/>
              </w:rPr>
              <w:t xml:space="preserve">следствие на </w:t>
            </w:r>
            <w:r>
              <w:t xml:space="preserve">преструктуриране (включително </w:t>
            </w:r>
            <w:r w:rsidR="0090537A">
              <w:rPr>
                <w:lang w:val="bg-BG"/>
              </w:rPr>
              <w:t>оздравяване</w:t>
            </w:r>
            <w:r w:rsidR="00C50C50">
              <w:rPr>
                <w:lang w:val="bg-BG"/>
              </w:rPr>
              <w:t xml:space="preserve"> на дейността</w:t>
            </w:r>
            <w:r w:rsidR="0090537A">
              <w:t xml:space="preserve"> </w:t>
            </w:r>
            <w:r>
              <w:t xml:space="preserve">съгласно член 51 от Директива 2014/59/ЕС); </w:t>
            </w:r>
          </w:p>
          <w:p w14:paraId="7FE1C302" w14:textId="14669F75" w:rsidR="00FE5D64" w:rsidRDefault="00B44FEF" w:rsidP="001118F2">
            <w:pPr>
              <w:pStyle w:val="P68B1DB1-ListParagraph60"/>
              <w:numPr>
                <w:ilvl w:val="0"/>
                <w:numId w:val="240"/>
              </w:numPr>
              <w:spacing w:line="276" w:lineRule="auto"/>
              <w:ind w:left="500"/>
              <w:contextualSpacing/>
              <w:jc w:val="both"/>
              <w:rPr>
                <w:iCs/>
              </w:rPr>
            </w:pPr>
            <w:r>
              <w:rPr>
                <w:lang w:val="bg-BG"/>
              </w:rPr>
              <w:t>подпомага</w:t>
            </w:r>
            <w:r w:rsidR="00E40776">
              <w:t xml:space="preserve"> прехвърляне</w:t>
            </w:r>
            <w:r>
              <w:rPr>
                <w:lang w:val="bg-BG"/>
              </w:rPr>
              <w:t>то</w:t>
            </w:r>
            <w:r w:rsidR="00E40776">
              <w:t xml:space="preserve"> или прекратяване</w:t>
            </w:r>
            <w:r>
              <w:rPr>
                <w:lang w:val="bg-BG"/>
              </w:rPr>
              <w:t>то</w:t>
            </w:r>
            <w:r w:rsidR="00E40776">
              <w:t xml:space="preserve"> по време на преструктуриране (включително </w:t>
            </w:r>
            <w:r w:rsidR="0090537A">
              <w:rPr>
                <w:lang w:val="bg-BG"/>
              </w:rPr>
              <w:t>оздравяване</w:t>
            </w:r>
            <w:r>
              <w:rPr>
                <w:lang w:val="bg-BG"/>
              </w:rPr>
              <w:t xml:space="preserve"> на дейността</w:t>
            </w:r>
            <w:r w:rsidR="0090537A">
              <w:t xml:space="preserve"> </w:t>
            </w:r>
            <w:r w:rsidR="00E40776">
              <w:t>съгласно член 51 от Директива 2014/59/ЕС) за разумен период от време (например 24 месеца) от</w:t>
            </w:r>
            <w:r>
              <w:rPr>
                <w:lang w:val="bg-BG"/>
              </w:rPr>
              <w:t xml:space="preserve"> страна на</w:t>
            </w:r>
            <w:r w:rsidR="00E40776">
              <w:t xml:space="preserve"> настоящия доставчик на услуги и при същите </w:t>
            </w:r>
            <w:r>
              <w:rPr>
                <w:lang w:val="bg-BG"/>
              </w:rPr>
              <w:t xml:space="preserve">правила и </w:t>
            </w:r>
            <w:r w:rsidR="00E40776">
              <w:t>условия; както и</w:t>
            </w:r>
          </w:p>
          <w:p w14:paraId="7FE1C303" w14:textId="69DB8EE3" w:rsidR="00FE5D64" w:rsidRDefault="001C2258" w:rsidP="00B44FEF">
            <w:pPr>
              <w:pStyle w:val="P68B1DB1-ListParagraph60"/>
              <w:spacing w:line="276" w:lineRule="auto"/>
              <w:ind w:left="500"/>
              <w:contextualSpacing/>
              <w:jc w:val="both"/>
              <w:rPr>
                <w:iCs/>
              </w:rPr>
            </w:pPr>
            <w:r>
              <w:rPr>
                <w:lang w:val="bg-BG"/>
              </w:rPr>
              <w:t xml:space="preserve">г) </w:t>
            </w:r>
            <w:r w:rsidR="00B44FEF">
              <w:rPr>
                <w:lang w:val="bg-BG"/>
              </w:rPr>
              <w:t>непрекъснато</w:t>
            </w:r>
            <w:r w:rsidR="00B44FEF" w:rsidRPr="001C2258">
              <w:rPr>
                <w:lang w:val="bg-BG"/>
              </w:rPr>
              <w:t xml:space="preserve"> </w:t>
            </w:r>
            <w:r w:rsidR="00E40776" w:rsidRPr="001C2258">
              <w:rPr>
                <w:lang w:val="bg-BG"/>
              </w:rPr>
              <w:t>предоставяне на услуги на продаден</w:t>
            </w:r>
            <w:r w:rsidR="0090537A" w:rsidRPr="001C2258">
              <w:rPr>
                <w:lang w:val="bg-BG"/>
              </w:rPr>
              <w:t xml:space="preserve"> </w:t>
            </w:r>
            <w:r w:rsidR="00E40776" w:rsidRPr="001C2258">
              <w:rPr>
                <w:lang w:val="bg-BG"/>
              </w:rPr>
              <w:t xml:space="preserve">субект от групата по време на преструктуриране (включително </w:t>
            </w:r>
            <w:r w:rsidR="0090537A">
              <w:rPr>
                <w:lang w:val="bg-BG"/>
              </w:rPr>
              <w:t>оздравяване</w:t>
            </w:r>
            <w:r w:rsidR="00B44FEF">
              <w:rPr>
                <w:lang w:val="bg-BG"/>
              </w:rPr>
              <w:t xml:space="preserve"> на дейността</w:t>
            </w:r>
            <w:r w:rsidR="0090537A" w:rsidRPr="001C2258">
              <w:rPr>
                <w:lang w:val="bg-BG"/>
              </w:rPr>
              <w:t xml:space="preserve"> </w:t>
            </w:r>
            <w:r w:rsidR="00E40776" w:rsidRPr="001C2258">
              <w:rPr>
                <w:lang w:val="bg-BG"/>
              </w:rPr>
              <w:t xml:space="preserve">съгласно член 51 от Директива 2014/59/ЕС) за разумен </w:t>
            </w:r>
            <w:r w:rsidR="00B44FEF">
              <w:rPr>
                <w:lang w:val="bg-BG"/>
              </w:rPr>
              <w:t>срок</w:t>
            </w:r>
            <w:r w:rsidR="00E40776" w:rsidRPr="001C2258">
              <w:rPr>
                <w:lang w:val="bg-BG"/>
              </w:rPr>
              <w:t xml:space="preserve"> след продажбата — например 24 месеца</w:t>
            </w:r>
            <w:r w:rsidR="00E40776">
              <w:t>.</w:t>
            </w:r>
          </w:p>
          <w:p w14:paraId="7FE1C304" w14:textId="270590B4" w:rsidR="00FE5D64" w:rsidRDefault="00E40776" w:rsidP="0090537A">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Това се отнася за договори, за които приложимото право и юрисдикцията на договора е това на държава — членка на ЕС</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(„договори </w:t>
            </w:r>
            <w:r w:rsidR="00A93BD5">
              <w:rPr>
                <w:rFonts w:ascii="Times New Roman" w:eastAsia="Calibri" w:hAnsi="Times New Roman" w:cs="Times New Roman"/>
                <w:sz w:val="20"/>
                <w:szCs w:val="20"/>
                <w:lang w:val="bg-BG"/>
              </w:rPr>
              <w:t>в</w:t>
            </w:r>
            <w:r w:rsidR="00A93BD5">
              <w:rPr>
                <w:rFonts w:ascii="Times New Roman" w:eastAsia="Calibri" w:hAnsi="Times New Roman" w:cs="Times New Roman"/>
                <w:sz w:val="20"/>
                <w:szCs w:val="20"/>
              </w:rPr>
              <w:t xml:space="preserve"> </w:t>
            </w:r>
            <w:r>
              <w:rPr>
                <w:rFonts w:ascii="Times New Roman" w:eastAsia="Calibri" w:hAnsi="Times New Roman" w:cs="Times New Roman"/>
                <w:sz w:val="20"/>
                <w:szCs w:val="20"/>
              </w:rPr>
              <w:t>ЕС“), и за договори, за които се прилага правото на трета държава.</w:t>
            </w:r>
          </w:p>
          <w:p w14:paraId="7FE1C305" w14:textId="77777777" w:rsidR="00FE5D64" w:rsidRDefault="00FE5D64">
            <w:pPr>
              <w:spacing w:line="276" w:lineRule="auto"/>
              <w:jc w:val="both"/>
              <w:rPr>
                <w:rFonts w:ascii="Times New Roman" w:eastAsia="Calibri" w:hAnsi="Times New Roman" w:cs="Times New Roman"/>
                <w:sz w:val="20"/>
              </w:rPr>
            </w:pPr>
          </w:p>
          <w:p w14:paraId="7FE1C306" w14:textId="1B8D14FF" w:rsidR="00FE5D64" w:rsidRDefault="00583157">
            <w:pPr>
              <w:pStyle w:val="P68B1DB1-Normal45"/>
              <w:spacing w:line="276" w:lineRule="auto"/>
              <w:jc w:val="both"/>
            </w:pPr>
            <w:r>
              <w:rPr>
                <w:lang w:val="bg-BG"/>
              </w:rPr>
              <w:t>Посочва се</w:t>
            </w:r>
            <w:r>
              <w:t xml:space="preserve"> </w:t>
            </w:r>
            <w:r w:rsidR="00E40776">
              <w:t>едно от следните:</w:t>
            </w:r>
          </w:p>
          <w:p w14:paraId="7FE1C307" w14:textId="7E727D39" w:rsidR="00FE5D64" w:rsidRDefault="00E40776">
            <w:pPr>
              <w:pStyle w:val="P68B1DB1-Normal50"/>
              <w:spacing w:line="276" w:lineRule="auto"/>
              <w:jc w:val="both"/>
            </w:pPr>
            <w:r>
              <w:t xml:space="preserve">„Да“ — ако договорът </w:t>
            </w:r>
            <w:r w:rsidR="0090537A">
              <w:rPr>
                <w:lang w:val="bg-BG"/>
              </w:rPr>
              <w:t xml:space="preserve">е оценен като устойчив </w:t>
            </w:r>
            <w:r w:rsidR="00583157">
              <w:rPr>
                <w:lang w:val="bg-BG"/>
              </w:rPr>
              <w:t>при</w:t>
            </w:r>
            <w:r>
              <w:rPr>
                <w:strike/>
              </w:rPr>
              <w:t xml:space="preserve"> </w:t>
            </w:r>
            <w:r>
              <w:t>преструктуриране</w:t>
            </w:r>
          </w:p>
          <w:p w14:paraId="7FE1C308" w14:textId="738758BE" w:rsidR="00FE5D64" w:rsidRDefault="00E40776">
            <w:pPr>
              <w:pStyle w:val="P68B1DB1-Normal50"/>
              <w:spacing w:line="276" w:lineRule="auto"/>
              <w:jc w:val="both"/>
            </w:pPr>
            <w:r>
              <w:t xml:space="preserve">„Не“ — ако договорът </w:t>
            </w:r>
            <w:r w:rsidR="0090537A">
              <w:rPr>
                <w:lang w:val="bg-BG"/>
              </w:rPr>
              <w:t>не е оценен като устойчив</w:t>
            </w:r>
            <w:r w:rsidR="0090537A" w:rsidRPr="001118F2">
              <w:rPr>
                <w:lang w:val="bg-BG"/>
              </w:rPr>
              <w:t xml:space="preserve"> </w:t>
            </w:r>
            <w:r w:rsidR="00583157">
              <w:rPr>
                <w:lang w:val="bg-BG"/>
              </w:rPr>
              <w:t>при</w:t>
            </w:r>
            <w:r w:rsidR="00583157">
              <w:rPr>
                <w:strike/>
              </w:rPr>
              <w:t xml:space="preserve"> </w:t>
            </w:r>
            <w:r>
              <w:t>преструктуриране</w:t>
            </w:r>
          </w:p>
          <w:p w14:paraId="7FE1C309" w14:textId="77777777" w:rsidR="00FE5D64" w:rsidRDefault="00E40776">
            <w:pPr>
              <w:pStyle w:val="P68B1DB1-Normal50"/>
              <w:spacing w:line="276" w:lineRule="auto"/>
              <w:jc w:val="both"/>
            </w:pPr>
            <w:r>
              <w:t>„Без оценка“ — ако не е направена оценка</w:t>
            </w:r>
          </w:p>
          <w:p w14:paraId="7FE1C30A" w14:textId="6B3BB110" w:rsidR="00FE5D64" w:rsidRPr="00583157" w:rsidRDefault="00E40776">
            <w:pPr>
              <w:pStyle w:val="P68B1DB1-Normal50"/>
              <w:spacing w:line="276" w:lineRule="auto"/>
              <w:jc w:val="both"/>
              <w:rPr>
                <w:lang w:val="bg-BG"/>
              </w:rPr>
            </w:pPr>
            <w:r>
              <w:t>„Не</w:t>
            </w:r>
            <w:r w:rsidR="002C1479">
              <w:rPr>
                <w:lang w:val="bg-BG"/>
              </w:rPr>
              <w:t xml:space="preserve"> е </w:t>
            </w:r>
            <w:r w:rsidR="00BA5A12">
              <w:rPr>
                <w:lang w:val="bg-BG"/>
              </w:rPr>
              <w:t>приложимо</w:t>
            </w:r>
            <w:r>
              <w:t xml:space="preserve">“ — </w:t>
            </w:r>
            <w:r w:rsidR="00583157">
              <w:rPr>
                <w:lang w:val="bg-BG"/>
              </w:rPr>
              <w:t>при</w:t>
            </w:r>
            <w:r>
              <w:t xml:space="preserve"> услуги</w:t>
            </w:r>
            <w:r w:rsidR="00583157">
              <w:rPr>
                <w:lang w:val="bg-BG"/>
              </w:rPr>
              <w:t xml:space="preserve"> в рамките на субекта</w:t>
            </w:r>
          </w:p>
          <w:p w14:paraId="7FE1C30B" w14:textId="77777777" w:rsidR="00FE5D64" w:rsidRDefault="00FE5D64">
            <w:pPr>
              <w:spacing w:line="276" w:lineRule="auto"/>
              <w:jc w:val="both"/>
              <w:rPr>
                <w:rFonts w:ascii="Times New Roman" w:eastAsia="Calibri" w:hAnsi="Times New Roman" w:cs="Times New Roman"/>
                <w:sz w:val="20"/>
              </w:rPr>
            </w:pPr>
          </w:p>
        </w:tc>
      </w:tr>
      <w:tr w:rsidR="00FE5D64" w14:paraId="7FE1C316" w14:textId="77777777">
        <w:trPr>
          <w:trHeight w:val="2120"/>
        </w:trPr>
        <w:tc>
          <w:tcPr>
            <w:tcW w:w="1129" w:type="dxa"/>
          </w:tcPr>
          <w:p w14:paraId="7FE1C30D" w14:textId="77777777" w:rsidR="00FE5D64" w:rsidRDefault="00E40776">
            <w:pPr>
              <w:pStyle w:val="P68B1DB1-Normal45"/>
              <w:spacing w:line="276" w:lineRule="auto"/>
              <w:jc w:val="both"/>
            </w:pPr>
            <w:r>
              <w:t>0160</w:t>
            </w:r>
          </w:p>
        </w:tc>
        <w:tc>
          <w:tcPr>
            <w:tcW w:w="7938" w:type="dxa"/>
          </w:tcPr>
          <w:p w14:paraId="7FE1C30E" w14:textId="084F3511" w:rsidR="00FE5D64" w:rsidRDefault="00E40776">
            <w:pPr>
              <w:pStyle w:val="P68B1DB1-Normal55"/>
              <w:spacing w:line="276" w:lineRule="auto"/>
              <w:jc w:val="both"/>
              <w:rPr>
                <w:bCs/>
                <w:iCs/>
              </w:rPr>
            </w:pPr>
            <w:r>
              <w:t xml:space="preserve">План за </w:t>
            </w:r>
            <w:r w:rsidR="00B31361">
              <w:rPr>
                <w:lang w:val="bg-BG"/>
              </w:rPr>
              <w:t>оздравяване на дейността</w:t>
            </w:r>
            <w:r>
              <w:t xml:space="preserve"> (</w:t>
            </w:r>
            <w:r w:rsidR="00BA5A12">
              <w:rPr>
                <w:lang w:val="bg-BG"/>
              </w:rPr>
              <w:t>ПОД</w:t>
            </w:r>
            <w:r>
              <w:t>)</w:t>
            </w:r>
          </w:p>
          <w:p w14:paraId="7FE1C30F" w14:textId="679035AA" w:rsidR="00FE5D64" w:rsidRDefault="00E40776">
            <w:pPr>
              <w:pStyle w:val="P68B1DB1-Normal45"/>
              <w:spacing w:line="276" w:lineRule="auto"/>
              <w:jc w:val="both"/>
              <w:rPr>
                <w:iCs/>
              </w:rPr>
            </w:pPr>
            <w:r>
              <w:t xml:space="preserve">Ако стратегията за преструктуриране (предпочитана или </w:t>
            </w:r>
            <w:r w:rsidR="003251C4">
              <w:rPr>
                <w:lang w:val="bg-BG"/>
              </w:rPr>
              <w:t>алтернативна</w:t>
            </w:r>
            <w:r>
              <w:t xml:space="preserve">) изисква план за </w:t>
            </w:r>
            <w:r w:rsidR="00B31361">
              <w:rPr>
                <w:lang w:val="bg-BG"/>
              </w:rPr>
              <w:t>оздравяване</w:t>
            </w:r>
            <w:r w:rsidR="00B31361">
              <w:t xml:space="preserve"> </w:t>
            </w:r>
            <w:r>
              <w:t>на дейността (</w:t>
            </w:r>
            <w:r w:rsidR="00690D87">
              <w:rPr>
                <w:lang w:val="bg-BG"/>
              </w:rPr>
              <w:t>ПОД</w:t>
            </w:r>
            <w:r>
              <w:t xml:space="preserve">), </w:t>
            </w:r>
            <w:r w:rsidR="00A93BD5">
              <w:rPr>
                <w:lang w:val="bg-BG"/>
              </w:rPr>
              <w:t>очаква се</w:t>
            </w:r>
            <w:r>
              <w:t xml:space="preserve"> договорите </w:t>
            </w:r>
            <w:r w:rsidR="00A93BD5">
              <w:rPr>
                <w:lang w:val="bg-BG"/>
              </w:rPr>
              <w:t>в</w:t>
            </w:r>
            <w:r>
              <w:t xml:space="preserve"> ЕС да включват изрични клаузи, за да се гарантира тяхната устойчивост </w:t>
            </w:r>
            <w:r w:rsidR="00A93BD5">
              <w:rPr>
                <w:lang w:val="bg-BG"/>
              </w:rPr>
              <w:t>при</w:t>
            </w:r>
            <w:r w:rsidR="00A93BD5">
              <w:t xml:space="preserve"> </w:t>
            </w:r>
            <w:r>
              <w:t xml:space="preserve">преструктуриране при изпълнението на </w:t>
            </w:r>
            <w:r w:rsidR="00A93BD5">
              <w:rPr>
                <w:lang w:val="bg-BG"/>
              </w:rPr>
              <w:t>ПОД</w:t>
            </w:r>
            <w:r>
              <w:t>.</w:t>
            </w:r>
          </w:p>
          <w:p w14:paraId="7FE1C310" w14:textId="77777777" w:rsidR="00FE5D64" w:rsidRDefault="00FE5D64">
            <w:pPr>
              <w:spacing w:line="276" w:lineRule="auto"/>
              <w:jc w:val="both"/>
              <w:rPr>
                <w:rFonts w:ascii="Times New Roman" w:eastAsia="Calibri" w:hAnsi="Times New Roman" w:cs="Times New Roman"/>
                <w:iCs/>
                <w:sz w:val="20"/>
              </w:rPr>
            </w:pPr>
          </w:p>
          <w:p w14:paraId="7FE1C311" w14:textId="2267B2A5" w:rsidR="00FE5D64" w:rsidRDefault="00A93BD5">
            <w:pPr>
              <w:pStyle w:val="P68B1DB1-Normal45"/>
              <w:spacing w:line="276" w:lineRule="auto"/>
              <w:jc w:val="both"/>
              <w:rPr>
                <w:iCs/>
              </w:rPr>
            </w:pPr>
            <w:r>
              <w:rPr>
                <w:lang w:val="bg-BG"/>
              </w:rPr>
              <w:t>Посочва се</w:t>
            </w:r>
            <w:r>
              <w:t xml:space="preserve"> </w:t>
            </w:r>
            <w:r w:rsidR="00E40776">
              <w:t>едно от следните:</w:t>
            </w:r>
          </w:p>
          <w:p w14:paraId="7FE1C312" w14:textId="69500C28" w:rsidR="00FE5D64" w:rsidRPr="00A93BD5" w:rsidRDefault="00E40776">
            <w:pPr>
              <w:spacing w:line="276" w:lineRule="auto"/>
              <w:jc w:val="both"/>
              <w:rPr>
                <w:rFonts w:ascii="Times New Roman" w:eastAsia="Calibri" w:hAnsi="Times New Roman" w:cs="Times New Roman"/>
                <w:iCs/>
                <w:sz w:val="20"/>
                <w:lang w:val="bg-BG"/>
              </w:rPr>
            </w:pPr>
            <w:r>
              <w:rPr>
                <w:rFonts w:ascii="Times New Roman" w:hAnsi="Times New Roman" w:cs="Times New Roman"/>
              </w:rPr>
              <w:t>„</w:t>
            </w:r>
            <w:r>
              <w:rPr>
                <w:rFonts w:ascii="Times New Roman" w:eastAsia="Calibri" w:hAnsi="Times New Roman" w:cs="Times New Roman"/>
                <w:sz w:val="20"/>
              </w:rPr>
              <w:t xml:space="preserve">Да“ — ако договорът включва изрични клаузи, за да се гарантира тяхната устойчивост </w:t>
            </w:r>
            <w:r w:rsidR="00A93BD5">
              <w:rPr>
                <w:rFonts w:ascii="Times New Roman" w:eastAsia="Calibri" w:hAnsi="Times New Roman" w:cs="Times New Roman"/>
                <w:sz w:val="20"/>
                <w:lang w:val="bg-BG"/>
              </w:rPr>
              <w:t>при</w:t>
            </w:r>
            <w:r w:rsidR="00A93BD5">
              <w:rPr>
                <w:rFonts w:ascii="Times New Roman" w:eastAsia="Calibri" w:hAnsi="Times New Roman" w:cs="Times New Roman"/>
                <w:sz w:val="20"/>
              </w:rPr>
              <w:t xml:space="preserve"> </w:t>
            </w:r>
            <w:r>
              <w:rPr>
                <w:rFonts w:ascii="Times New Roman" w:eastAsia="Calibri" w:hAnsi="Times New Roman" w:cs="Times New Roman"/>
                <w:sz w:val="20"/>
              </w:rPr>
              <w:t xml:space="preserve">преструктуриране при изпълнението на </w:t>
            </w:r>
            <w:r w:rsidR="00A93BD5">
              <w:rPr>
                <w:rFonts w:ascii="Times New Roman" w:eastAsia="Calibri" w:hAnsi="Times New Roman" w:cs="Times New Roman"/>
                <w:sz w:val="20"/>
                <w:lang w:val="bg-BG"/>
              </w:rPr>
              <w:t>ПОД</w:t>
            </w:r>
          </w:p>
          <w:p w14:paraId="7FE1C313" w14:textId="7D454950" w:rsidR="00FE5D64" w:rsidRPr="00A93BD5" w:rsidRDefault="00E40776">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Не“ — ако договорът не включва изрични клаузи, за да се гарантира тяхната устойчивост </w:t>
            </w:r>
            <w:r w:rsidR="00A93BD5">
              <w:rPr>
                <w:rFonts w:ascii="Times New Roman" w:eastAsia="Calibri" w:hAnsi="Times New Roman" w:cs="Times New Roman"/>
                <w:sz w:val="20"/>
                <w:lang w:val="bg-BG"/>
              </w:rPr>
              <w:t>при</w:t>
            </w:r>
            <w:r w:rsidR="00A93BD5">
              <w:rPr>
                <w:rFonts w:ascii="Times New Roman" w:eastAsia="Calibri" w:hAnsi="Times New Roman" w:cs="Times New Roman"/>
                <w:sz w:val="20"/>
              </w:rPr>
              <w:t xml:space="preserve"> </w:t>
            </w:r>
            <w:r>
              <w:rPr>
                <w:rFonts w:ascii="Times New Roman" w:eastAsia="Calibri" w:hAnsi="Times New Roman" w:cs="Times New Roman"/>
                <w:sz w:val="20"/>
              </w:rPr>
              <w:t xml:space="preserve">преструктуриране при изпълнението на </w:t>
            </w:r>
            <w:r w:rsidR="00A93BD5">
              <w:rPr>
                <w:rFonts w:ascii="Times New Roman" w:eastAsia="Calibri" w:hAnsi="Times New Roman" w:cs="Times New Roman"/>
                <w:sz w:val="20"/>
                <w:lang w:val="bg-BG"/>
              </w:rPr>
              <w:t>ПО</w:t>
            </w:r>
            <w:r w:rsidR="004677D6">
              <w:rPr>
                <w:rFonts w:ascii="Times New Roman" w:eastAsia="Calibri" w:hAnsi="Times New Roman" w:cs="Times New Roman"/>
                <w:sz w:val="20"/>
                <w:lang w:val="bg-BG"/>
              </w:rPr>
              <w:t>Д</w:t>
            </w:r>
          </w:p>
          <w:p w14:paraId="7FE1C314" w14:textId="77777777" w:rsidR="00FE5D64" w:rsidRDefault="00E40776">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Без оценка“ — ако не е направена оценка</w:t>
            </w:r>
          </w:p>
          <w:p w14:paraId="7FE1C315" w14:textId="69331544" w:rsidR="00FE5D64" w:rsidRDefault="00E40776" w:rsidP="003251C4">
            <w:pPr>
              <w:spacing w:line="276" w:lineRule="auto"/>
              <w:jc w:val="both"/>
              <w:rPr>
                <w:rFonts w:ascii="Times New Roman" w:eastAsia="Calibri" w:hAnsi="Times New Roman" w:cs="Times New Roman"/>
                <w:iCs/>
                <w:sz w:val="20"/>
              </w:rPr>
            </w:pPr>
            <w:r>
              <w:rPr>
                <w:rFonts w:ascii="Times New Roman" w:hAnsi="Times New Roman" w:cs="Times New Roman"/>
              </w:rPr>
              <w:t>„</w:t>
            </w:r>
            <w:r w:rsidR="00A93BD5">
              <w:rPr>
                <w:rFonts w:ascii="Times New Roman" w:eastAsia="Calibri" w:hAnsi="Times New Roman" w:cs="Times New Roman"/>
                <w:sz w:val="20"/>
                <w:lang w:val="bg-BG"/>
              </w:rPr>
              <w:t>Не</w:t>
            </w:r>
            <w:r w:rsidR="002C1479">
              <w:rPr>
                <w:rFonts w:ascii="Times New Roman" w:eastAsia="Calibri" w:hAnsi="Times New Roman" w:cs="Times New Roman"/>
                <w:sz w:val="20"/>
                <w:lang w:val="bg-BG"/>
              </w:rPr>
              <w:t xml:space="preserve"> е </w:t>
            </w:r>
            <w:r w:rsidR="00A93BD5">
              <w:rPr>
                <w:rFonts w:ascii="Times New Roman" w:eastAsia="Calibri" w:hAnsi="Times New Roman" w:cs="Times New Roman"/>
                <w:sz w:val="20"/>
                <w:lang w:val="bg-BG"/>
              </w:rPr>
              <w:t>приложимо</w:t>
            </w:r>
            <w:r>
              <w:rPr>
                <w:rFonts w:ascii="Times New Roman" w:eastAsia="Calibri" w:hAnsi="Times New Roman" w:cs="Times New Roman"/>
                <w:sz w:val="20"/>
              </w:rPr>
              <w:t>“ — за услуги</w:t>
            </w:r>
            <w:r w:rsidR="000E2FDF">
              <w:rPr>
                <w:rFonts w:ascii="Times New Roman" w:eastAsia="Calibri" w:hAnsi="Times New Roman" w:cs="Times New Roman"/>
                <w:sz w:val="20"/>
                <w:lang w:val="bg-BG"/>
              </w:rPr>
              <w:t xml:space="preserve"> в рамките на субекта</w:t>
            </w:r>
            <w:r>
              <w:rPr>
                <w:rFonts w:ascii="Times New Roman" w:eastAsia="Calibri" w:hAnsi="Times New Roman" w:cs="Times New Roman"/>
                <w:sz w:val="20"/>
              </w:rPr>
              <w:t xml:space="preserve"> или за вътрешногрупови и външни услуги, ако стратегията за преструктуриране (предпочитана и </w:t>
            </w:r>
            <w:r w:rsidR="003251C4">
              <w:rPr>
                <w:rFonts w:ascii="Times New Roman" w:eastAsia="Calibri" w:hAnsi="Times New Roman" w:cs="Times New Roman"/>
                <w:sz w:val="20"/>
                <w:lang w:val="bg-BG"/>
              </w:rPr>
              <w:t>алтернативна</w:t>
            </w:r>
            <w:r>
              <w:rPr>
                <w:rFonts w:ascii="Times New Roman" w:eastAsia="Calibri" w:hAnsi="Times New Roman" w:cs="Times New Roman"/>
                <w:sz w:val="20"/>
              </w:rPr>
              <w:t xml:space="preserve">) не изисква план за </w:t>
            </w:r>
            <w:r w:rsidR="003251C4">
              <w:rPr>
                <w:rFonts w:ascii="Times New Roman" w:eastAsia="Calibri" w:hAnsi="Times New Roman" w:cs="Times New Roman"/>
                <w:sz w:val="20"/>
                <w:lang w:val="bg-BG"/>
              </w:rPr>
              <w:t>оздравяване</w:t>
            </w:r>
            <w:r w:rsidR="003251C4">
              <w:rPr>
                <w:rFonts w:ascii="Times New Roman" w:eastAsia="Calibri" w:hAnsi="Times New Roman" w:cs="Times New Roman"/>
                <w:sz w:val="20"/>
              </w:rPr>
              <w:t xml:space="preserve"> </w:t>
            </w:r>
            <w:r>
              <w:rPr>
                <w:rFonts w:ascii="Times New Roman" w:eastAsia="Calibri" w:hAnsi="Times New Roman" w:cs="Times New Roman"/>
                <w:sz w:val="20"/>
              </w:rPr>
              <w:t xml:space="preserve">на дейността </w:t>
            </w:r>
          </w:p>
        </w:tc>
      </w:tr>
      <w:tr w:rsidR="00FE5D64" w14:paraId="7FE1C320" w14:textId="77777777">
        <w:trPr>
          <w:trHeight w:val="416"/>
        </w:trPr>
        <w:tc>
          <w:tcPr>
            <w:tcW w:w="1129" w:type="dxa"/>
          </w:tcPr>
          <w:p w14:paraId="7FE1C317" w14:textId="77777777" w:rsidR="00FE5D64" w:rsidRDefault="00E40776">
            <w:pPr>
              <w:pStyle w:val="P68B1DB1-Normal45"/>
              <w:spacing w:line="276" w:lineRule="auto"/>
              <w:jc w:val="both"/>
            </w:pPr>
            <w:r>
              <w:t>0170</w:t>
            </w:r>
          </w:p>
        </w:tc>
        <w:tc>
          <w:tcPr>
            <w:tcW w:w="7938" w:type="dxa"/>
          </w:tcPr>
          <w:p w14:paraId="7FE1C318" w14:textId="67C3C730" w:rsidR="00FE5D64" w:rsidRDefault="00E40776">
            <w:pPr>
              <w:pStyle w:val="P68B1DB1-Normal55"/>
              <w:spacing w:line="276" w:lineRule="auto"/>
              <w:jc w:val="both"/>
              <w:rPr>
                <w:bCs/>
              </w:rPr>
            </w:pPr>
            <w:r>
              <w:t>Алтернативни смекчаващи действия</w:t>
            </w:r>
          </w:p>
          <w:p w14:paraId="7FE1C319" w14:textId="03B61BB6" w:rsidR="00FE5D64" w:rsidRDefault="00E40776">
            <w:pPr>
              <w:pStyle w:val="P68B1DB1-Normal45"/>
              <w:spacing w:line="276" w:lineRule="auto"/>
              <w:jc w:val="both"/>
            </w:pPr>
            <w:r>
              <w:t xml:space="preserve">Когато се очаква </w:t>
            </w:r>
            <w:r w:rsidR="002C1479">
              <w:rPr>
                <w:lang w:val="bg-BG"/>
              </w:rPr>
              <w:t>постигане на</w:t>
            </w:r>
            <w:r>
              <w:t xml:space="preserve"> устойчивост </w:t>
            </w:r>
            <w:r w:rsidR="00CC586E">
              <w:rPr>
                <w:lang w:val="bg-BG"/>
              </w:rPr>
              <w:t>при</w:t>
            </w:r>
            <w:r>
              <w:t xml:space="preserve"> преструктуриране, но банките не са успели да го направят, от </w:t>
            </w:r>
            <w:r w:rsidR="00CC586E">
              <w:rPr>
                <w:lang w:val="bg-BG"/>
              </w:rPr>
              <w:t>тях</w:t>
            </w:r>
            <w:r w:rsidR="00CC586E">
              <w:t xml:space="preserve"> </w:t>
            </w:r>
            <w:r>
              <w:t xml:space="preserve">се очаква да проучат алтернативни </w:t>
            </w:r>
            <w:r w:rsidR="00CC586E">
              <w:rPr>
                <w:lang w:val="bg-BG"/>
              </w:rPr>
              <w:t>мерки</w:t>
            </w:r>
            <w:r w:rsidR="00CC586E">
              <w:t xml:space="preserve"> </w:t>
            </w:r>
            <w:r>
              <w:t>за смекчаване на последиците.</w:t>
            </w:r>
          </w:p>
          <w:p w14:paraId="7FE1C31A" w14:textId="77777777" w:rsidR="00FE5D64" w:rsidRDefault="00FE5D64">
            <w:pPr>
              <w:spacing w:line="276" w:lineRule="auto"/>
              <w:jc w:val="both"/>
              <w:rPr>
                <w:rFonts w:ascii="Times New Roman" w:eastAsia="Calibri" w:hAnsi="Times New Roman" w:cs="Times New Roman"/>
                <w:sz w:val="20"/>
              </w:rPr>
            </w:pPr>
          </w:p>
          <w:p w14:paraId="7FE1C31B" w14:textId="7C51B5A2" w:rsidR="00FE5D64" w:rsidRDefault="00DC4660">
            <w:pPr>
              <w:pStyle w:val="P68B1DB1-Normal45"/>
              <w:spacing w:line="276" w:lineRule="auto"/>
              <w:jc w:val="both"/>
              <w:rPr>
                <w:iCs/>
              </w:rPr>
            </w:pPr>
            <w:r>
              <w:rPr>
                <w:lang w:val="bg-BG"/>
              </w:rPr>
              <w:t>Посочва се</w:t>
            </w:r>
            <w:r>
              <w:t xml:space="preserve"> </w:t>
            </w:r>
            <w:r w:rsidR="00E40776">
              <w:t>едно от следните:</w:t>
            </w:r>
          </w:p>
          <w:p w14:paraId="7FE1C31C" w14:textId="77777777" w:rsidR="00FE5D64" w:rsidRDefault="00E40776">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Да“ — ако банката е предприела алтернативни смекчаващи действия</w:t>
            </w:r>
          </w:p>
          <w:p w14:paraId="7FE1C31D" w14:textId="77777777" w:rsidR="00FE5D64" w:rsidRDefault="00E40776">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Не“ — ако банката не е предприела алтернативни смекчаващи действия</w:t>
            </w:r>
          </w:p>
          <w:p w14:paraId="7FE1C31E" w14:textId="2AD7D153" w:rsidR="00FE5D64" w:rsidRDefault="00E40776">
            <w:pPr>
              <w:spacing w:line="276" w:lineRule="auto"/>
              <w:jc w:val="both"/>
              <w:rPr>
                <w:rFonts w:ascii="Times New Roman" w:eastAsia="Calibri" w:hAnsi="Times New Roman" w:cs="Times New Roman"/>
                <w:iCs/>
                <w:sz w:val="20"/>
              </w:rPr>
            </w:pPr>
            <w:r>
              <w:rPr>
                <w:rFonts w:ascii="Times New Roman" w:hAnsi="Times New Roman" w:cs="Times New Roman"/>
              </w:rPr>
              <w:t>„</w:t>
            </w:r>
            <w:r w:rsidR="002C1479">
              <w:rPr>
                <w:rFonts w:ascii="Times New Roman" w:eastAsia="Calibri" w:hAnsi="Times New Roman" w:cs="Times New Roman"/>
                <w:sz w:val="20"/>
                <w:lang w:val="bg-BG"/>
              </w:rPr>
              <w:t xml:space="preserve">Не е приложимо“ </w:t>
            </w:r>
            <w:r>
              <w:rPr>
                <w:rFonts w:ascii="Times New Roman" w:eastAsia="Calibri" w:hAnsi="Times New Roman" w:cs="Times New Roman"/>
                <w:sz w:val="20"/>
              </w:rPr>
              <w:t>— в случаите, когато някоя от колони 0150 и 0160 е отбелязана с „Да</w:t>
            </w:r>
            <w:r w:rsidR="002C1479">
              <w:rPr>
                <w:rFonts w:ascii="Times New Roman" w:eastAsia="Calibri" w:hAnsi="Times New Roman" w:cs="Times New Roman"/>
                <w:sz w:val="20"/>
                <w:lang w:val="bg-BG"/>
              </w:rPr>
              <w:t xml:space="preserve">“ </w:t>
            </w:r>
            <w:r>
              <w:rPr>
                <w:rFonts w:ascii="Times New Roman" w:eastAsia="Calibri" w:hAnsi="Times New Roman" w:cs="Times New Roman"/>
                <w:sz w:val="20"/>
              </w:rPr>
              <w:t>или „</w:t>
            </w:r>
            <w:r w:rsidR="002C1479">
              <w:rPr>
                <w:rFonts w:ascii="Times New Roman" w:eastAsia="Calibri" w:hAnsi="Times New Roman" w:cs="Times New Roman"/>
                <w:sz w:val="20"/>
                <w:lang w:val="bg-BG"/>
              </w:rPr>
              <w:t>Не е приложимо</w:t>
            </w:r>
            <w:r>
              <w:rPr>
                <w:rFonts w:ascii="Times New Roman" w:eastAsia="Calibri" w:hAnsi="Times New Roman" w:cs="Times New Roman"/>
                <w:sz w:val="20"/>
              </w:rPr>
              <w:t>“</w:t>
            </w:r>
          </w:p>
          <w:p w14:paraId="7FE1C31F" w14:textId="77777777" w:rsidR="00FE5D64" w:rsidRDefault="00FE5D64">
            <w:pPr>
              <w:spacing w:line="276" w:lineRule="auto"/>
              <w:jc w:val="both"/>
              <w:rPr>
                <w:rFonts w:ascii="Times New Roman" w:eastAsia="Calibri" w:hAnsi="Times New Roman" w:cs="Times New Roman"/>
                <w:sz w:val="20"/>
              </w:rPr>
            </w:pPr>
          </w:p>
        </w:tc>
      </w:tr>
      <w:tr w:rsidR="00FE5D64" w14:paraId="7FE1C327" w14:textId="77777777">
        <w:trPr>
          <w:trHeight w:val="1257"/>
        </w:trPr>
        <w:tc>
          <w:tcPr>
            <w:tcW w:w="1129" w:type="dxa"/>
          </w:tcPr>
          <w:p w14:paraId="7FE1C321" w14:textId="77777777" w:rsidR="00FE5D64" w:rsidRDefault="00E40776">
            <w:pPr>
              <w:pStyle w:val="P68B1DB1-Normal45"/>
              <w:spacing w:line="276" w:lineRule="auto"/>
              <w:jc w:val="both"/>
            </w:pPr>
            <w:r>
              <w:t>0180</w:t>
            </w:r>
          </w:p>
        </w:tc>
        <w:tc>
          <w:tcPr>
            <w:tcW w:w="7938" w:type="dxa"/>
          </w:tcPr>
          <w:p w14:paraId="7FE1C322" w14:textId="34861F8A" w:rsidR="00FE5D64" w:rsidRDefault="00E40776" w:rsidP="00CC586E">
            <w:pPr>
              <w:pStyle w:val="P68B1DB1-Normal55"/>
              <w:spacing w:line="276" w:lineRule="auto"/>
              <w:jc w:val="both"/>
              <w:rPr>
                <w:iCs/>
              </w:rPr>
            </w:pPr>
            <w:r>
              <w:rPr>
                <w:szCs w:val="20"/>
              </w:rPr>
              <w:t>Трета страна критичен доставчик на</w:t>
            </w:r>
            <w:r w:rsidR="00CC586E" w:rsidRPr="00D82901">
              <w:t xml:space="preserve"> </w:t>
            </w:r>
            <w:r>
              <w:rPr>
                <w:szCs w:val="20"/>
              </w:rPr>
              <w:t>услуги</w:t>
            </w:r>
            <w:r w:rsidR="00CC586E" w:rsidRPr="00D82901">
              <w:t xml:space="preserve"> </w:t>
            </w:r>
            <w:r>
              <w:rPr>
                <w:szCs w:val="20"/>
              </w:rPr>
              <w:t xml:space="preserve">в областта на ИКТ </w:t>
            </w:r>
            <w:r w:rsidR="00802AA7">
              <w:rPr>
                <w:szCs w:val="20"/>
                <w:lang w:val="bg-BG"/>
              </w:rPr>
              <w:t>съгласно</w:t>
            </w:r>
            <w:r w:rsidR="00802AA7">
              <w:rPr>
                <w:szCs w:val="20"/>
              </w:rPr>
              <w:t xml:space="preserve"> </w:t>
            </w:r>
            <w:r>
              <w:rPr>
                <w:szCs w:val="20"/>
              </w:rPr>
              <w:t>DORA</w:t>
            </w:r>
            <w:r>
              <w:t xml:space="preserve"> </w:t>
            </w:r>
          </w:p>
          <w:p w14:paraId="7FE1C323" w14:textId="1874C86D" w:rsidR="00FE5D64" w:rsidRDefault="00802AA7">
            <w:pPr>
              <w:pStyle w:val="P68B1DB1-Normal45"/>
              <w:spacing w:line="276" w:lineRule="auto"/>
              <w:jc w:val="both"/>
              <w:rPr>
                <w:iCs/>
              </w:rPr>
            </w:pPr>
            <w:r>
              <w:rPr>
                <w:lang w:val="bg-BG"/>
              </w:rPr>
              <w:t>Посочва се</w:t>
            </w:r>
            <w:r>
              <w:t xml:space="preserve"> </w:t>
            </w:r>
            <w:r w:rsidR="00E40776">
              <w:t>едно от следните:</w:t>
            </w:r>
          </w:p>
          <w:p w14:paraId="7FE1C324" w14:textId="5339C886" w:rsidR="00FE5D64" w:rsidRDefault="00E40776">
            <w:pPr>
              <w:pStyle w:val="P68B1DB1-Normal50"/>
              <w:spacing w:line="276" w:lineRule="auto"/>
              <w:jc w:val="both"/>
            </w:pPr>
            <w:r>
              <w:t xml:space="preserve">„Да“ — ако е </w:t>
            </w:r>
            <w:r w:rsidR="00B3177C">
              <w:t xml:space="preserve">трета страна </w:t>
            </w:r>
            <w:r>
              <w:t xml:space="preserve">критичен доставчик </w:t>
            </w:r>
            <w:r w:rsidR="00CC586E">
              <w:t xml:space="preserve">на </w:t>
            </w:r>
            <w:r>
              <w:t>услуги в областта на ИКТ съгласно член 3, параграф 23 от Регламент</w:t>
            </w:r>
            <w:r w:rsidR="00802AA7">
              <w:rPr>
                <w:lang w:val="bg-BG"/>
              </w:rPr>
              <w:t xml:space="preserve"> (ЕС)</w:t>
            </w:r>
            <w:r>
              <w:t> 2022/2554 (DORA)</w:t>
            </w:r>
          </w:p>
          <w:p w14:paraId="7FE1C325" w14:textId="6ACEAF18" w:rsidR="00FE5D64" w:rsidRDefault="00E40776">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 xml:space="preserve">Не“ — ако не е </w:t>
            </w:r>
            <w:r w:rsidR="00B3177C" w:rsidRPr="00802AA7">
              <w:rPr>
                <w:rFonts w:ascii="Times New Roman" w:hAnsi="Times New Roman"/>
                <w:sz w:val="20"/>
                <w:lang w:val="bg-BG"/>
              </w:rPr>
              <w:t xml:space="preserve">трета страна </w:t>
            </w:r>
            <w:r>
              <w:rPr>
                <w:rFonts w:ascii="Times New Roman" w:eastAsia="Calibri" w:hAnsi="Times New Roman" w:cs="Times New Roman"/>
                <w:sz w:val="20"/>
                <w:szCs w:val="20"/>
              </w:rPr>
              <w:t>критичен доставчик на услуги в областта на ИКТ съгласно член 3, параграф 23 от Регламент</w:t>
            </w:r>
            <w:r w:rsidR="00802AA7">
              <w:rPr>
                <w:rFonts w:ascii="Times New Roman" w:eastAsia="Calibri" w:hAnsi="Times New Roman" w:cs="Times New Roman"/>
                <w:sz w:val="20"/>
                <w:szCs w:val="20"/>
                <w:lang w:val="bg-BG"/>
              </w:rPr>
              <w:t xml:space="preserve"> (ЕС)</w:t>
            </w:r>
            <w:r>
              <w:rPr>
                <w:rFonts w:ascii="Times New Roman" w:eastAsia="Calibri" w:hAnsi="Times New Roman" w:cs="Times New Roman"/>
                <w:sz w:val="20"/>
                <w:szCs w:val="20"/>
              </w:rPr>
              <w:t> 2022/2554 (</w:t>
            </w:r>
            <w:r>
              <w:rPr>
                <w:rFonts w:ascii="Times New Roman" w:hAnsi="Times New Roman" w:cs="Times New Roman"/>
              </w:rPr>
              <w:t xml:space="preserve"> DORA)</w:t>
            </w:r>
          </w:p>
          <w:p w14:paraId="7FE1C326" w14:textId="77777777" w:rsidR="00FE5D64" w:rsidRDefault="00FE5D64">
            <w:pPr>
              <w:spacing w:line="276" w:lineRule="auto"/>
              <w:jc w:val="both"/>
              <w:rPr>
                <w:rFonts w:ascii="Times New Roman" w:eastAsia="Calibri" w:hAnsi="Times New Roman" w:cs="Times New Roman"/>
                <w:sz w:val="20"/>
              </w:rPr>
            </w:pPr>
          </w:p>
        </w:tc>
      </w:tr>
      <w:tr w:rsidR="00FE5D64" w14:paraId="7FE1C32E" w14:textId="77777777">
        <w:trPr>
          <w:trHeight w:val="1257"/>
        </w:trPr>
        <w:tc>
          <w:tcPr>
            <w:tcW w:w="1129" w:type="dxa"/>
          </w:tcPr>
          <w:p w14:paraId="7FE1C328" w14:textId="77777777" w:rsidR="00FE5D64" w:rsidRDefault="00E40776">
            <w:pPr>
              <w:pStyle w:val="P68B1DB1-Normal45"/>
              <w:spacing w:line="276" w:lineRule="auto"/>
              <w:jc w:val="both"/>
            </w:pPr>
            <w:r>
              <w:t>0190</w:t>
            </w:r>
          </w:p>
        </w:tc>
        <w:tc>
          <w:tcPr>
            <w:tcW w:w="7938" w:type="dxa"/>
          </w:tcPr>
          <w:p w14:paraId="7FE1C329" w14:textId="679B9896" w:rsidR="00FE5D64" w:rsidRDefault="00802AA7">
            <w:pPr>
              <w:pStyle w:val="P68B1DB1-Normal55"/>
              <w:spacing w:line="276" w:lineRule="auto"/>
              <w:jc w:val="both"/>
              <w:rPr>
                <w:iCs/>
              </w:rPr>
            </w:pPr>
            <w:r>
              <w:rPr>
                <w:szCs w:val="20"/>
                <w:lang w:val="bg-BG"/>
              </w:rPr>
              <w:t>Услуги в областта на ИКТ съгласно</w:t>
            </w:r>
            <w:r w:rsidR="00E40776">
              <w:rPr>
                <w:szCs w:val="20"/>
              </w:rPr>
              <w:t xml:space="preserve"> DORA</w:t>
            </w:r>
          </w:p>
          <w:p w14:paraId="7FE1C32A" w14:textId="57399672" w:rsidR="00FE5D64" w:rsidRDefault="00802AA7">
            <w:pPr>
              <w:pStyle w:val="P68B1DB1-Normal45"/>
              <w:spacing w:line="276" w:lineRule="auto"/>
              <w:jc w:val="both"/>
              <w:rPr>
                <w:iCs/>
              </w:rPr>
            </w:pPr>
            <w:r>
              <w:rPr>
                <w:lang w:val="bg-BG"/>
              </w:rPr>
              <w:t>Посочва се</w:t>
            </w:r>
            <w:r>
              <w:t xml:space="preserve"> </w:t>
            </w:r>
            <w:r w:rsidR="00E40776">
              <w:t>едно от следните:</w:t>
            </w:r>
          </w:p>
          <w:p w14:paraId="7FE1C32B" w14:textId="574D7917" w:rsidR="00FE5D64" w:rsidRDefault="00E40776">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 — ако това е услуга в областта на ИКТ съгласно член 3, параграф 21 от</w:t>
            </w:r>
            <w:r w:rsidR="00802AA7">
              <w:rPr>
                <w:rFonts w:ascii="Times New Roman" w:eastAsia="Calibri" w:hAnsi="Times New Roman" w:cs="Times New Roman"/>
                <w:sz w:val="20"/>
                <w:szCs w:val="20"/>
              </w:rPr>
              <w:t xml:space="preserve"> Регламент</w:t>
            </w:r>
            <w:r w:rsidR="00802AA7">
              <w:rPr>
                <w:rFonts w:ascii="Times New Roman" w:eastAsia="Calibri" w:hAnsi="Times New Roman" w:cs="Times New Roman"/>
                <w:sz w:val="20"/>
                <w:szCs w:val="20"/>
                <w:lang w:val="bg-BG"/>
              </w:rPr>
              <w:t xml:space="preserve"> (ЕС)</w:t>
            </w:r>
            <w:r w:rsidR="00802AA7">
              <w:rPr>
                <w:rFonts w:ascii="Times New Roman" w:eastAsia="Calibri" w:hAnsi="Times New Roman" w:cs="Times New Roman"/>
                <w:sz w:val="20"/>
                <w:szCs w:val="20"/>
              </w:rPr>
              <w:t> 2022/2554 (DORA)</w:t>
            </w:r>
            <w:r>
              <w:rPr>
                <w:rStyle w:val="FootnoteReference"/>
                <w:rFonts w:eastAsia="Calibri" w:cs="Times New Roman"/>
              </w:rPr>
              <w:footnoteReference w:id="27"/>
            </w:r>
          </w:p>
          <w:p w14:paraId="7FE1C32C" w14:textId="0E266CD2" w:rsidR="00FE5D64" w:rsidRDefault="00E40776">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Не“ — ако това не е услуга в областта на ИКТ съгласно член 3, параграф 21 от Регламент</w:t>
            </w:r>
            <w:r w:rsidR="00802AA7">
              <w:rPr>
                <w:rFonts w:ascii="Times New Roman" w:eastAsia="Calibri" w:hAnsi="Times New Roman" w:cs="Times New Roman"/>
                <w:sz w:val="20"/>
                <w:szCs w:val="20"/>
                <w:lang w:val="bg-BG"/>
              </w:rPr>
              <w:t xml:space="preserve"> (ЕС)</w:t>
            </w:r>
            <w:r>
              <w:rPr>
                <w:rFonts w:ascii="Times New Roman" w:eastAsia="Calibri" w:hAnsi="Times New Roman" w:cs="Times New Roman"/>
                <w:sz w:val="20"/>
                <w:szCs w:val="20"/>
              </w:rPr>
              <w:t> 2022/2554 (</w:t>
            </w:r>
            <w:r>
              <w:rPr>
                <w:rFonts w:ascii="Times New Roman" w:hAnsi="Times New Roman" w:cs="Times New Roman"/>
              </w:rPr>
              <w:t xml:space="preserve"> DORA)</w:t>
            </w:r>
          </w:p>
          <w:p w14:paraId="7FE1C32D" w14:textId="77777777" w:rsidR="00FE5D64" w:rsidRDefault="00FE5D64">
            <w:pPr>
              <w:spacing w:line="276" w:lineRule="auto"/>
              <w:jc w:val="both"/>
              <w:rPr>
                <w:rFonts w:ascii="Times New Roman" w:eastAsia="Calibri" w:hAnsi="Times New Roman" w:cs="Times New Roman"/>
                <w:iCs/>
                <w:sz w:val="20"/>
              </w:rPr>
            </w:pPr>
          </w:p>
        </w:tc>
      </w:tr>
    </w:tbl>
    <w:p w14:paraId="7FE1C32F" w14:textId="77777777" w:rsidR="00FE5D64" w:rsidRDefault="00FE5D64">
      <w:pPr>
        <w:spacing w:line="276" w:lineRule="auto"/>
        <w:jc w:val="both"/>
        <w:rPr>
          <w:rFonts w:ascii="Times New Roman" w:eastAsia="Calibri" w:hAnsi="Times New Roman" w:cs="Times New Roman"/>
          <w:color w:val="0070C0"/>
          <w:sz w:val="20"/>
        </w:rPr>
      </w:pPr>
    </w:p>
    <w:p w14:paraId="7FE1C478" w14:textId="77777777" w:rsidR="00FE5D64" w:rsidRDefault="00FE5D64">
      <w:pPr>
        <w:rPr>
          <w:rFonts w:ascii="Times New Roman" w:eastAsia="Times New Roman" w:hAnsi="Times New Roman" w:cs="Times New Roman"/>
          <w:sz w:val="20"/>
          <w:szCs w:val="20"/>
          <w:u w:val="single"/>
        </w:rPr>
      </w:pPr>
    </w:p>
    <w:p w14:paraId="7FE1C479" w14:textId="77777777" w:rsidR="00FE5D64" w:rsidRDefault="00FE5D64">
      <w:pPr>
        <w:rPr>
          <w:rFonts w:ascii="Times New Roman" w:eastAsia="Times New Roman" w:hAnsi="Times New Roman" w:cs="Times New Roman"/>
          <w:sz w:val="20"/>
          <w:szCs w:val="20"/>
          <w:u w:val="single"/>
        </w:rPr>
      </w:pPr>
    </w:p>
    <w:p w14:paraId="7FE1C47A" w14:textId="29B7A5E9" w:rsidR="00FE5D64" w:rsidRDefault="00E40776">
      <w:pPr>
        <w:pStyle w:val="P68B1DB1-Instructionsberschrift25"/>
        <w:numPr>
          <w:ilvl w:val="1"/>
          <w:numId w:val="49"/>
        </w:numPr>
        <w:ind w:left="357" w:hanging="357"/>
        <w:rPr>
          <w:szCs w:val="20"/>
        </w:rPr>
      </w:pPr>
      <w:bookmarkStart w:id="140" w:name="_Toc208244473"/>
      <w:r>
        <w:t xml:space="preserve">Z 08.02 — </w:t>
      </w:r>
      <w:r w:rsidR="001C1EEE">
        <w:rPr>
          <w:lang w:val="bg-BG"/>
        </w:rPr>
        <w:t>Значими</w:t>
      </w:r>
      <w:r>
        <w:t xml:space="preserve"> услуги — </w:t>
      </w:r>
      <w:r w:rsidR="001C1EEE">
        <w:rPr>
          <w:lang w:val="bg-BG"/>
        </w:rPr>
        <w:t>онагледяване по</w:t>
      </w:r>
      <w:r>
        <w:t xml:space="preserve"> оперативни активи (SERV 2)</w:t>
      </w:r>
      <w:bookmarkEnd w:id="140"/>
    </w:p>
    <w:p w14:paraId="7FE1C47B" w14:textId="7F4A1A60" w:rsidR="00FE5D64" w:rsidRPr="001C1EEE" w:rsidRDefault="001A79CE">
      <w:pPr>
        <w:pStyle w:val="P68B1DB1-Normal50"/>
        <w:spacing w:line="276" w:lineRule="auto"/>
        <w:jc w:val="both"/>
        <w:rPr>
          <w:lang w:val="bg-BG"/>
        </w:rPr>
      </w:pPr>
      <w:r>
        <w:rPr>
          <w:lang w:val="bg-BG"/>
        </w:rPr>
        <w:t>Общи указания</w:t>
      </w:r>
    </w:p>
    <w:p w14:paraId="7FE1C47C" w14:textId="26320F46" w:rsidR="00FE5D64" w:rsidRDefault="00E40776">
      <w:pPr>
        <w:pStyle w:val="P68B1DB1-Instructionsberschrift346"/>
        <w:numPr>
          <w:ilvl w:val="4"/>
          <w:numId w:val="259"/>
        </w:numPr>
        <w:contextualSpacing/>
        <w:jc w:val="both"/>
        <w:rPr>
          <w:color w:val="auto"/>
        </w:rPr>
      </w:pPr>
      <w:bookmarkStart w:id="141" w:name="_Hlk161330001"/>
      <w:r>
        <w:rPr>
          <w:color w:val="auto"/>
          <w:szCs w:val="24"/>
        </w:rPr>
        <w:t xml:space="preserve">Информацията в този образец се </w:t>
      </w:r>
      <w:r w:rsidR="004A5E29">
        <w:rPr>
          <w:color w:val="auto"/>
          <w:szCs w:val="24"/>
          <w:lang w:val="bg-BG"/>
        </w:rPr>
        <w:t>докладва</w:t>
      </w:r>
      <w:r w:rsidR="004A5E29">
        <w:rPr>
          <w:color w:val="auto"/>
          <w:szCs w:val="24"/>
        </w:rPr>
        <w:t xml:space="preserve"> </w:t>
      </w:r>
      <w:r>
        <w:rPr>
          <w:color w:val="auto"/>
          <w:szCs w:val="24"/>
        </w:rPr>
        <w:t>веднъж за цялата група</w:t>
      </w:r>
      <w:r w:rsidR="004A5E29">
        <w:rPr>
          <w:color w:val="auto"/>
          <w:szCs w:val="24"/>
          <w:lang w:val="bg-BG"/>
        </w:rPr>
        <w:t xml:space="preserve"> и се</w:t>
      </w:r>
      <w:r>
        <w:rPr>
          <w:color w:val="auto"/>
          <w:szCs w:val="24"/>
        </w:rPr>
        <w:t xml:space="preserve"> изброяват </w:t>
      </w:r>
      <w:r w:rsidR="004A5E29">
        <w:rPr>
          <w:color w:val="auto"/>
          <w:szCs w:val="24"/>
          <w:lang w:val="bg-BG"/>
        </w:rPr>
        <w:t>значимите</w:t>
      </w:r>
      <w:r w:rsidR="0015289A">
        <w:rPr>
          <w:color w:val="auto"/>
          <w:szCs w:val="24"/>
        </w:rPr>
        <w:t xml:space="preserve"> </w:t>
      </w:r>
      <w:r>
        <w:rPr>
          <w:color w:val="auto"/>
          <w:szCs w:val="24"/>
        </w:rPr>
        <w:t>услуги, ползвани от всеки субект в групата, и се свързват с</w:t>
      </w:r>
      <w:r w:rsidR="004A5E29">
        <w:rPr>
          <w:color w:val="auto"/>
          <w:szCs w:val="24"/>
          <w:lang w:val="bg-BG"/>
        </w:rPr>
        <w:t>ъс съответните</w:t>
      </w:r>
      <w:r>
        <w:rPr>
          <w:color w:val="auto"/>
          <w:szCs w:val="24"/>
        </w:rPr>
        <w:t xml:space="preserve"> </w:t>
      </w:r>
      <w:r w:rsidR="0015289A">
        <w:rPr>
          <w:color w:val="auto"/>
          <w:szCs w:val="24"/>
          <w:lang w:val="bg-BG"/>
        </w:rPr>
        <w:t>оперативни активи</w:t>
      </w:r>
      <w:r>
        <w:t>.</w:t>
      </w:r>
    </w:p>
    <w:p w14:paraId="7FE1C47D" w14:textId="6980B510" w:rsidR="00FE5D64" w:rsidRDefault="00CE6271">
      <w:pPr>
        <w:pStyle w:val="P68B1DB1-Instructionsberschrift348"/>
        <w:numPr>
          <w:ilvl w:val="4"/>
          <w:numId w:val="49"/>
        </w:numPr>
        <w:contextualSpacing/>
        <w:jc w:val="both"/>
        <w:rPr>
          <w:color w:val="auto"/>
        </w:rPr>
      </w:pPr>
      <w:r>
        <w:rPr>
          <w:lang w:val="bg-BG"/>
        </w:rPr>
        <w:t>Комбинацията на с</w:t>
      </w:r>
      <w:r w:rsidR="00E40776">
        <w:t>тойностите, отчетени в колони 0010, 0020, 0030 и 0080 от този образец, формират първичен код, който трябва да е уникален за всеки ред от образеца.</w:t>
      </w:r>
    </w:p>
    <w:bookmarkEnd w:id="141"/>
    <w:p w14:paraId="7FE1C482" w14:textId="77777777" w:rsidR="00FE5D64" w:rsidRDefault="00FE5D6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FE5D64" w14:paraId="7FE1C54A" w14:textId="77777777">
        <w:trPr>
          <w:trHeight w:val="495"/>
          <w:tblHeader/>
        </w:trPr>
        <w:tc>
          <w:tcPr>
            <w:tcW w:w="1418" w:type="dxa"/>
            <w:shd w:val="clear" w:color="auto" w:fill="E7E6E6"/>
          </w:tcPr>
          <w:p w14:paraId="7FE1C548" w14:textId="77777777" w:rsidR="00FE5D64" w:rsidRDefault="00E40776">
            <w:pPr>
              <w:pStyle w:val="P68B1DB1-Normal61"/>
              <w:spacing w:before="120" w:after="120" w:line="276" w:lineRule="auto"/>
            </w:pPr>
            <w:r>
              <w:t>Колони</w:t>
            </w:r>
          </w:p>
        </w:tc>
        <w:tc>
          <w:tcPr>
            <w:tcW w:w="7791" w:type="dxa"/>
            <w:shd w:val="clear" w:color="auto" w:fill="E7E6E6"/>
          </w:tcPr>
          <w:p w14:paraId="7FE1C549" w14:textId="77777777" w:rsidR="00FE5D64" w:rsidRDefault="00E40776">
            <w:pPr>
              <w:pStyle w:val="P68B1DB1-Normal61"/>
              <w:spacing w:before="120" w:after="120" w:line="276" w:lineRule="auto"/>
            </w:pPr>
            <w:r>
              <w:t>Указания</w:t>
            </w:r>
          </w:p>
        </w:tc>
      </w:tr>
      <w:tr w:rsidR="00FE5D64" w14:paraId="7FE1C550" w14:textId="77777777">
        <w:trPr>
          <w:trHeight w:val="450"/>
        </w:trPr>
        <w:tc>
          <w:tcPr>
            <w:tcW w:w="1418" w:type="dxa"/>
            <w:shd w:val="clear" w:color="auto" w:fill="FFFFFF" w:themeFill="background1"/>
          </w:tcPr>
          <w:p w14:paraId="7FE1C54B" w14:textId="77777777" w:rsidR="00FE5D64" w:rsidRDefault="00E40776">
            <w:pPr>
              <w:pStyle w:val="P68B1DB1-Normal62"/>
              <w:spacing w:before="120" w:after="120" w:line="276" w:lineRule="auto"/>
            </w:pPr>
            <w:r>
              <w:t>0005</w:t>
            </w:r>
          </w:p>
        </w:tc>
        <w:tc>
          <w:tcPr>
            <w:tcW w:w="7791" w:type="dxa"/>
            <w:shd w:val="clear" w:color="auto" w:fill="FFFFFF" w:themeFill="background1"/>
          </w:tcPr>
          <w:p w14:paraId="7FE1C54C" w14:textId="2844744A" w:rsidR="00FE5D64" w:rsidRPr="004A5E29" w:rsidRDefault="004A5E29">
            <w:pPr>
              <w:pStyle w:val="P68B1DB1-Normal61"/>
              <w:spacing w:before="120" w:after="120" w:line="276" w:lineRule="auto"/>
              <w:rPr>
                <w:lang w:val="bg-BG"/>
              </w:rPr>
            </w:pPr>
            <w:r>
              <w:rPr>
                <w:lang w:val="bg-BG"/>
              </w:rPr>
              <w:t>И</w:t>
            </w:r>
            <w:r w:rsidR="00E40776">
              <w:t>дентификатор на услугата</w:t>
            </w:r>
          </w:p>
          <w:p w14:paraId="7FE1C54D" w14:textId="652E061C" w:rsidR="00FE5D64" w:rsidRDefault="00E40776">
            <w:pPr>
              <w:pStyle w:val="P68B1DB1-Normal62"/>
              <w:spacing w:before="120" w:after="120" w:line="276" w:lineRule="auto"/>
            </w:pPr>
            <w:r>
              <w:t xml:space="preserve">Използва се идентификаторът на услугата, </w:t>
            </w:r>
            <w:r w:rsidR="004A5E29">
              <w:rPr>
                <w:lang w:val="bg-BG"/>
              </w:rPr>
              <w:t>посочен</w:t>
            </w:r>
            <w:r w:rsidR="00B33C88">
              <w:t xml:space="preserve"> </w:t>
            </w:r>
            <w:r>
              <w:t>в Z 08.01 (SERV 1).</w:t>
            </w:r>
          </w:p>
          <w:p w14:paraId="7FE1C54E" w14:textId="31AD4819" w:rsidR="00FE5D64" w:rsidRDefault="00E40776">
            <w:pPr>
              <w:pStyle w:val="P68B1DB1-Normal62"/>
              <w:spacing w:before="120" w:after="120" w:line="276" w:lineRule="auto"/>
            </w:pPr>
            <w:r>
              <w:t xml:space="preserve">Идентификаторът на услугата се отнася до услугата, </w:t>
            </w:r>
            <w:r w:rsidR="004A5E29">
              <w:rPr>
                <w:lang w:val="bg-BG"/>
              </w:rPr>
              <w:t>посочена</w:t>
            </w:r>
            <w:r w:rsidR="00DD0B36">
              <w:t xml:space="preserve"> </w:t>
            </w:r>
            <w:r>
              <w:t>в c0020.</w:t>
            </w:r>
          </w:p>
          <w:p w14:paraId="7FE1C54F" w14:textId="77777777" w:rsidR="00FE5D64" w:rsidRDefault="00FE5D64">
            <w:pPr>
              <w:spacing w:before="120" w:after="120" w:line="276" w:lineRule="auto"/>
              <w:rPr>
                <w:rFonts w:ascii="Times New Roman" w:hAnsi="Times New Roman"/>
                <w:i/>
                <w:sz w:val="20"/>
                <w:szCs w:val="20"/>
              </w:rPr>
            </w:pPr>
          </w:p>
        </w:tc>
      </w:tr>
      <w:tr w:rsidR="00FE5D64" w14:paraId="7FE1C594" w14:textId="77777777">
        <w:trPr>
          <w:trHeight w:val="450"/>
        </w:trPr>
        <w:tc>
          <w:tcPr>
            <w:tcW w:w="1418" w:type="dxa"/>
            <w:shd w:val="clear" w:color="auto" w:fill="FFFFFF" w:themeFill="background1"/>
          </w:tcPr>
          <w:p w14:paraId="7FE1C551" w14:textId="77777777" w:rsidR="00FE5D64" w:rsidRDefault="00E40776">
            <w:pPr>
              <w:pStyle w:val="P68B1DB1-Normal62"/>
              <w:spacing w:before="120" w:after="120" w:line="276" w:lineRule="auto"/>
            </w:pPr>
            <w:r>
              <w:t>0010</w:t>
            </w:r>
          </w:p>
        </w:tc>
        <w:tc>
          <w:tcPr>
            <w:tcW w:w="7791" w:type="dxa"/>
            <w:shd w:val="clear" w:color="auto" w:fill="FFFFFF" w:themeFill="background1"/>
          </w:tcPr>
          <w:p w14:paraId="7FE1C552" w14:textId="77777777" w:rsidR="00FE5D64" w:rsidRDefault="00E40776">
            <w:pPr>
              <w:pStyle w:val="P68B1DB1-Normal61"/>
              <w:autoSpaceDE w:val="0"/>
              <w:autoSpaceDN w:val="0"/>
              <w:adjustRightInd w:val="0"/>
              <w:rPr>
                <w:rFonts w:eastAsia="MS Mincho"/>
              </w:rPr>
            </w:pPr>
            <w:r>
              <w:t xml:space="preserve">Вид услуга </w:t>
            </w:r>
          </w:p>
          <w:p w14:paraId="7FE1C57A" w14:textId="7DC9B850" w:rsidR="00FE5D64" w:rsidRDefault="00E40776">
            <w:pPr>
              <w:pStyle w:val="P68B1DB1-Normal63"/>
              <w:autoSpaceDE w:val="0"/>
              <w:autoSpaceDN w:val="0"/>
              <w:adjustRightInd w:val="0"/>
            </w:pPr>
            <w:r>
              <w:t>Видът на услугата е един от видовете услуги, изброени в Z 08.01 </w:t>
            </w:r>
            <w:r w:rsidR="004A5E29">
              <w:rPr>
                <w:lang w:val="bg-BG"/>
              </w:rPr>
              <w:t>с</w:t>
            </w:r>
            <w:r>
              <w:t>0010 по-горе.</w:t>
            </w:r>
          </w:p>
          <w:p w14:paraId="7FE1C593" w14:textId="77777777" w:rsidR="00FE5D64" w:rsidRDefault="00FE5D64">
            <w:pPr>
              <w:autoSpaceDE w:val="0"/>
              <w:autoSpaceDN w:val="0"/>
              <w:adjustRightInd w:val="0"/>
              <w:rPr>
                <w:rFonts w:ascii="Times New Roman" w:hAnsi="Times New Roman"/>
                <w:sz w:val="20"/>
                <w:szCs w:val="20"/>
              </w:rPr>
            </w:pPr>
          </w:p>
        </w:tc>
      </w:tr>
      <w:tr w:rsidR="00FE5D64" w14:paraId="7FE1C599" w14:textId="77777777">
        <w:trPr>
          <w:trHeight w:val="450"/>
        </w:trPr>
        <w:tc>
          <w:tcPr>
            <w:tcW w:w="1418" w:type="dxa"/>
            <w:shd w:val="clear" w:color="auto" w:fill="FFFFFF" w:themeFill="background1"/>
          </w:tcPr>
          <w:p w14:paraId="7FE1C595" w14:textId="77777777" w:rsidR="00FE5D64" w:rsidRDefault="00E40776">
            <w:pPr>
              <w:pStyle w:val="P68B1DB1-Normal62"/>
              <w:spacing w:before="120" w:after="120" w:line="276" w:lineRule="auto"/>
            </w:pPr>
            <w:r>
              <w:t>0020</w:t>
            </w:r>
          </w:p>
        </w:tc>
        <w:tc>
          <w:tcPr>
            <w:tcW w:w="7791" w:type="dxa"/>
            <w:shd w:val="clear" w:color="auto" w:fill="FFFFFF" w:themeFill="background1"/>
          </w:tcPr>
          <w:p w14:paraId="7FE1C596" w14:textId="77777777" w:rsidR="00FE5D64" w:rsidRDefault="00E40776">
            <w:pPr>
              <w:pStyle w:val="P68B1DB1-Normal61"/>
              <w:spacing w:line="276" w:lineRule="auto"/>
              <w:jc w:val="both"/>
              <w:rPr>
                <w:bCs/>
              </w:rPr>
            </w:pPr>
            <w:r>
              <w:t xml:space="preserve">Уникално наименование на услугата съгласно таксономията на банката </w:t>
            </w:r>
          </w:p>
          <w:p w14:paraId="7FE1C597" w14:textId="49160985" w:rsidR="00FE5D64" w:rsidRDefault="00E40776">
            <w:pPr>
              <w:pStyle w:val="P68B1DB1-Normal64"/>
              <w:rPr>
                <w:rFonts w:eastAsiaTheme="minorHAnsi"/>
                <w:sz w:val="24"/>
              </w:rPr>
            </w:pPr>
            <w:r>
              <w:t>Наименование/кратко описание на услугата според собствената диференцирана таксономия на банката (</w:t>
            </w:r>
            <w:r w:rsidR="00334C2C">
              <w:rPr>
                <w:lang w:val="bg-BG"/>
              </w:rPr>
              <w:t>Н</w:t>
            </w:r>
            <w:r>
              <w:t xml:space="preserve">иво 3), както е </w:t>
            </w:r>
            <w:r w:rsidR="004A5E29">
              <w:rPr>
                <w:lang w:val="bg-BG"/>
              </w:rPr>
              <w:t>посочено</w:t>
            </w:r>
            <w:r w:rsidR="004A5E29">
              <w:t xml:space="preserve"> </w:t>
            </w:r>
            <w:r>
              <w:t xml:space="preserve">в Z 08.01 (SERV 1), колона 0020. От банката се очаква да отчита услугите на по-детайлно ниво от предвиденото за </w:t>
            </w:r>
            <w:r w:rsidR="00334C2C">
              <w:rPr>
                <w:lang w:val="bg-BG"/>
              </w:rPr>
              <w:t>Н</w:t>
            </w:r>
            <w:r>
              <w:t xml:space="preserve">иво 2 (c0010), така че всяка конкретна услуга да бъде определена точно и </w:t>
            </w:r>
            <w:r w:rsidR="004A5E29">
              <w:rPr>
                <w:lang w:val="bg-BG"/>
              </w:rPr>
              <w:t>целесъобразно</w:t>
            </w:r>
            <w:r>
              <w:t>.</w:t>
            </w:r>
          </w:p>
          <w:p w14:paraId="7FE1C598" w14:textId="4B1F2F88" w:rsidR="00FE5D64" w:rsidRDefault="00FE5D64" w:rsidP="00E160CC">
            <w:pPr>
              <w:spacing w:before="120" w:after="120" w:line="276" w:lineRule="auto"/>
              <w:rPr>
                <w:rFonts w:ascii="Times New Roman" w:hAnsi="Times New Roman"/>
                <w:sz w:val="20"/>
                <w:szCs w:val="20"/>
              </w:rPr>
            </w:pPr>
          </w:p>
        </w:tc>
      </w:tr>
      <w:tr w:rsidR="00FE5D64" w14:paraId="7FE1C59E" w14:textId="77777777">
        <w:trPr>
          <w:trHeight w:val="450"/>
        </w:trPr>
        <w:tc>
          <w:tcPr>
            <w:tcW w:w="1418" w:type="dxa"/>
            <w:shd w:val="clear" w:color="auto" w:fill="FFFFFF" w:themeFill="background1"/>
          </w:tcPr>
          <w:p w14:paraId="7FE1C59A" w14:textId="77777777" w:rsidR="00FE5D64" w:rsidRDefault="00E40776">
            <w:pPr>
              <w:pStyle w:val="P68B1DB1-Normal62"/>
              <w:spacing w:before="120" w:after="120" w:line="276" w:lineRule="auto"/>
            </w:pPr>
            <w:r>
              <w:t>0030</w:t>
            </w:r>
          </w:p>
        </w:tc>
        <w:tc>
          <w:tcPr>
            <w:tcW w:w="7791" w:type="dxa"/>
            <w:shd w:val="clear" w:color="auto" w:fill="FFFFFF" w:themeFill="background1"/>
          </w:tcPr>
          <w:p w14:paraId="7FE1C59B" w14:textId="77777777" w:rsidR="00FE5D64" w:rsidRDefault="00E40776">
            <w:pPr>
              <w:pStyle w:val="P68B1DB1-Normal61"/>
              <w:spacing w:before="120" w:after="120" w:line="276" w:lineRule="auto"/>
              <w:rPr>
                <w:bCs/>
              </w:rPr>
            </w:pPr>
            <w:r>
              <w:t>Идентификатор на актива</w:t>
            </w:r>
          </w:p>
          <w:p w14:paraId="7FE1C59C" w14:textId="77777777" w:rsidR="00FE5D64" w:rsidRDefault="00E40776">
            <w:pPr>
              <w:pStyle w:val="P68B1DB1-Normal64"/>
              <w:spacing w:line="276" w:lineRule="auto"/>
              <w:jc w:val="both"/>
            </w:pPr>
            <w:r>
              <w:t>Идентификаторът на актива се отнася до актива, отчетен в c0050.</w:t>
            </w:r>
          </w:p>
          <w:p w14:paraId="7FE1C59D" w14:textId="77777777" w:rsidR="00FE5D64" w:rsidRDefault="00FE5D64">
            <w:pPr>
              <w:spacing w:before="120" w:after="120" w:line="276" w:lineRule="auto"/>
              <w:rPr>
                <w:rFonts w:ascii="Times New Roman" w:hAnsi="Times New Roman"/>
                <w:sz w:val="20"/>
                <w:szCs w:val="20"/>
              </w:rPr>
            </w:pPr>
          </w:p>
        </w:tc>
      </w:tr>
      <w:tr w:rsidR="00FE5D64" w14:paraId="7FE1C5AD" w14:textId="77777777">
        <w:trPr>
          <w:trHeight w:val="450"/>
        </w:trPr>
        <w:tc>
          <w:tcPr>
            <w:tcW w:w="1418" w:type="dxa"/>
            <w:shd w:val="clear" w:color="auto" w:fill="FFFFFF" w:themeFill="background1"/>
          </w:tcPr>
          <w:p w14:paraId="7FE1C59F" w14:textId="77777777" w:rsidR="00FE5D64" w:rsidRDefault="00E40776">
            <w:pPr>
              <w:pStyle w:val="P68B1DB1-Normal62"/>
              <w:spacing w:before="120" w:after="120" w:line="276" w:lineRule="auto"/>
            </w:pPr>
            <w:r>
              <w:t>0040</w:t>
            </w:r>
          </w:p>
        </w:tc>
        <w:tc>
          <w:tcPr>
            <w:tcW w:w="7791" w:type="dxa"/>
            <w:shd w:val="clear" w:color="auto" w:fill="FFFFFF" w:themeFill="background1"/>
          </w:tcPr>
          <w:p w14:paraId="7FE1C5A0" w14:textId="77777777" w:rsidR="00FE5D64" w:rsidRDefault="00E40776">
            <w:pPr>
              <w:pStyle w:val="P68B1DB1-Normal64"/>
              <w:spacing w:line="276" w:lineRule="auto"/>
              <w:jc w:val="both"/>
            </w:pPr>
            <w:r>
              <w:rPr>
                <w:b/>
                <w:szCs w:val="20"/>
              </w:rPr>
              <w:t>Вид на актива;</w:t>
            </w:r>
            <w:r>
              <w:t xml:space="preserve"> </w:t>
            </w:r>
          </w:p>
          <w:p w14:paraId="7FE1C5A1" w14:textId="77777777" w:rsidR="00FE5D64" w:rsidRDefault="00E40776">
            <w:pPr>
              <w:pStyle w:val="P68B1DB1-Normal64"/>
              <w:spacing w:line="276" w:lineRule="auto"/>
              <w:jc w:val="both"/>
            </w:pPr>
            <w:r>
              <w:t xml:space="preserve">— Информационен и комуникационен хардуер </w:t>
            </w:r>
          </w:p>
          <w:p w14:paraId="7FE1C5A2" w14:textId="77777777" w:rsidR="00FE5D64" w:rsidRDefault="00FE5D64">
            <w:pPr>
              <w:spacing w:line="276" w:lineRule="auto"/>
              <w:rPr>
                <w:rFonts w:ascii="Times New Roman" w:hAnsi="Times New Roman"/>
                <w:sz w:val="20"/>
              </w:rPr>
            </w:pPr>
          </w:p>
          <w:p w14:paraId="7FE1C5A3" w14:textId="6D780031" w:rsidR="00FE5D64" w:rsidRDefault="00C06B03" w:rsidP="00C06B03">
            <w:pPr>
              <w:pStyle w:val="P68B1DB1-Normal64"/>
              <w:spacing w:line="276" w:lineRule="auto"/>
            </w:pPr>
            <w:r>
              <w:t>—</w:t>
            </w:r>
            <w:r w:rsidR="00AF21FE">
              <w:rPr>
                <w:lang w:val="bg-BG"/>
              </w:rPr>
              <w:t xml:space="preserve"> </w:t>
            </w:r>
            <w:r w:rsidR="00E40776">
              <w:t xml:space="preserve">Друга </w:t>
            </w:r>
            <w:r w:rsidR="00AF21FE">
              <w:rPr>
                <w:lang w:val="bg-BG"/>
              </w:rPr>
              <w:t>информационна</w:t>
            </w:r>
            <w:r w:rsidR="00AF21FE">
              <w:t xml:space="preserve"> </w:t>
            </w:r>
            <w:r w:rsidR="00E40776">
              <w:t>инфраструктура (като работни станции, телекомуникации, сървъри, центрове за данни и свързани с тях активи)</w:t>
            </w:r>
          </w:p>
          <w:p w14:paraId="7FE1C5A4" w14:textId="77777777" w:rsidR="00FE5D64" w:rsidRDefault="00FE5D64">
            <w:pPr>
              <w:spacing w:line="276" w:lineRule="auto"/>
              <w:rPr>
                <w:rFonts w:ascii="Times New Roman" w:hAnsi="Times New Roman"/>
                <w:sz w:val="20"/>
              </w:rPr>
            </w:pPr>
          </w:p>
          <w:p w14:paraId="7FE1C5A5" w14:textId="77777777" w:rsidR="00FE5D64" w:rsidRDefault="00E40776">
            <w:pPr>
              <w:pStyle w:val="P68B1DB1-Normal64"/>
              <w:spacing w:line="276" w:lineRule="auto"/>
            </w:pPr>
            <w:r>
              <w:t xml:space="preserve">— Офиси и съхранение; </w:t>
            </w:r>
          </w:p>
          <w:p w14:paraId="7FE1C5A6" w14:textId="77777777" w:rsidR="00FE5D64" w:rsidRDefault="00FE5D64">
            <w:pPr>
              <w:spacing w:line="276" w:lineRule="auto"/>
              <w:rPr>
                <w:rFonts w:ascii="Times New Roman" w:hAnsi="Times New Roman"/>
                <w:sz w:val="20"/>
              </w:rPr>
            </w:pPr>
          </w:p>
          <w:p w14:paraId="7FE1C5A7" w14:textId="77777777" w:rsidR="00FE5D64" w:rsidRDefault="00E40776">
            <w:pPr>
              <w:pStyle w:val="P68B1DB1-Normal64"/>
              <w:spacing w:line="276" w:lineRule="auto"/>
            </w:pPr>
            <w:r>
              <w:t>— Интелектуална собственост (като патенти, търговски марки и др.)</w:t>
            </w:r>
          </w:p>
          <w:p w14:paraId="7FE1C5A8" w14:textId="77777777" w:rsidR="00FE5D64" w:rsidRDefault="00FE5D64">
            <w:pPr>
              <w:spacing w:line="276" w:lineRule="auto"/>
              <w:rPr>
                <w:rFonts w:ascii="Times New Roman" w:hAnsi="Times New Roman"/>
                <w:sz w:val="20"/>
              </w:rPr>
            </w:pPr>
          </w:p>
          <w:p w14:paraId="7FE1C5A9" w14:textId="28171107" w:rsidR="00FE5D64" w:rsidRPr="00AF21FE" w:rsidRDefault="00C06B03" w:rsidP="001118F2">
            <w:pPr>
              <w:pStyle w:val="P68B1DB1-Normal64"/>
              <w:spacing w:line="276" w:lineRule="auto"/>
              <w:rPr>
                <w:lang w:val="bg-BG"/>
              </w:rPr>
            </w:pPr>
            <w:r>
              <w:t>—</w:t>
            </w:r>
            <w:r w:rsidR="00AF21FE">
              <w:rPr>
                <w:lang w:val="en-US"/>
              </w:rPr>
              <w:t xml:space="preserve"> </w:t>
            </w:r>
            <w:r w:rsidR="00E40776">
              <w:t>Устройства за самообслужване в клонове</w:t>
            </w:r>
            <w:r w:rsidR="00AF21FE">
              <w:rPr>
                <w:lang w:val="en-US"/>
              </w:rPr>
              <w:t xml:space="preserve"> </w:t>
            </w:r>
            <w:r w:rsidR="00AF21FE">
              <w:rPr>
                <w:lang w:val="bg-BG"/>
              </w:rPr>
              <w:t>и</w:t>
            </w:r>
            <w:r w:rsidR="00E40776">
              <w:t xml:space="preserve"> </w:t>
            </w:r>
            <w:r w:rsidR="00AF21FE">
              <w:rPr>
                <w:lang w:val="bg-BG"/>
              </w:rPr>
              <w:t>банкомати (</w:t>
            </w:r>
            <w:r w:rsidR="00E40776">
              <w:t>АТМ</w:t>
            </w:r>
            <w:r w:rsidR="00AF21FE">
              <w:rPr>
                <w:lang w:val="bg-BG"/>
              </w:rPr>
              <w:t xml:space="preserve"> устройства)</w:t>
            </w:r>
          </w:p>
          <w:p w14:paraId="7FE1C5AA" w14:textId="77777777" w:rsidR="00FE5D64" w:rsidRDefault="00FE5D64">
            <w:pPr>
              <w:spacing w:line="276" w:lineRule="auto"/>
              <w:rPr>
                <w:rFonts w:ascii="Times New Roman" w:hAnsi="Times New Roman"/>
                <w:sz w:val="20"/>
              </w:rPr>
            </w:pPr>
          </w:p>
          <w:p w14:paraId="7FE1C5AB" w14:textId="07413E54" w:rsidR="00FE5D64" w:rsidRDefault="00E40776">
            <w:pPr>
              <w:pStyle w:val="P68B1DB1-Normal62"/>
              <w:spacing w:line="276" w:lineRule="auto"/>
              <w:jc w:val="both"/>
              <w:rPr>
                <w:b/>
              </w:rPr>
            </w:pPr>
            <w:r>
              <w:t>— Друг вид актив</w:t>
            </w:r>
          </w:p>
          <w:p w14:paraId="7FE1C5AC" w14:textId="77777777" w:rsidR="00FE5D64" w:rsidRDefault="00FE5D64">
            <w:pPr>
              <w:spacing w:line="276" w:lineRule="auto"/>
              <w:jc w:val="both"/>
              <w:rPr>
                <w:rFonts w:ascii="Times New Roman" w:hAnsi="Times New Roman"/>
                <w:sz w:val="20"/>
              </w:rPr>
            </w:pPr>
          </w:p>
        </w:tc>
      </w:tr>
      <w:tr w:rsidR="00FE5D64" w14:paraId="7FE1C5B2" w14:textId="77777777">
        <w:trPr>
          <w:trHeight w:val="450"/>
        </w:trPr>
        <w:tc>
          <w:tcPr>
            <w:tcW w:w="1418" w:type="dxa"/>
            <w:shd w:val="clear" w:color="auto" w:fill="FFFFFF" w:themeFill="background1"/>
          </w:tcPr>
          <w:p w14:paraId="7FE1C5AE" w14:textId="77777777" w:rsidR="00FE5D64" w:rsidRDefault="00E40776">
            <w:pPr>
              <w:pStyle w:val="P68B1DB1-Normal62"/>
              <w:spacing w:before="120" w:after="120" w:line="276" w:lineRule="auto"/>
            </w:pPr>
            <w:r>
              <w:t>0050</w:t>
            </w:r>
          </w:p>
        </w:tc>
        <w:tc>
          <w:tcPr>
            <w:tcW w:w="7791" w:type="dxa"/>
            <w:shd w:val="clear" w:color="auto" w:fill="FFFFFF" w:themeFill="background1"/>
          </w:tcPr>
          <w:p w14:paraId="7FE1C5AF" w14:textId="77777777" w:rsidR="00FE5D64" w:rsidRDefault="00E40776">
            <w:pPr>
              <w:pStyle w:val="P68B1DB1-Normal61"/>
              <w:spacing w:line="276" w:lineRule="auto"/>
              <w:jc w:val="both"/>
            </w:pPr>
            <w:r>
              <w:t xml:space="preserve">Наименование на актива </w:t>
            </w:r>
          </w:p>
          <w:p w14:paraId="7FE1C5B0" w14:textId="2FAC3F94" w:rsidR="00FE5D64" w:rsidRDefault="00E40776">
            <w:pPr>
              <w:pStyle w:val="P68B1DB1-Normal64"/>
              <w:spacing w:line="276" w:lineRule="auto"/>
              <w:jc w:val="both"/>
            </w:pPr>
            <w:r>
              <w:t xml:space="preserve">Търговско или вътрешно </w:t>
            </w:r>
            <w:r w:rsidR="00C06B03">
              <w:rPr>
                <w:lang w:val="bg-BG"/>
              </w:rPr>
              <w:t>наименование</w:t>
            </w:r>
            <w:r w:rsidR="00C06B03">
              <w:t xml:space="preserve"> </w:t>
            </w:r>
            <w:r>
              <w:t>на актива.</w:t>
            </w:r>
          </w:p>
          <w:p w14:paraId="7FE1C5B1" w14:textId="77777777" w:rsidR="00FE5D64" w:rsidRDefault="00FE5D64">
            <w:pPr>
              <w:spacing w:line="276" w:lineRule="auto"/>
              <w:jc w:val="both"/>
              <w:rPr>
                <w:rFonts w:ascii="Times New Roman" w:hAnsi="Times New Roman"/>
                <w:sz w:val="20"/>
              </w:rPr>
            </w:pPr>
          </w:p>
        </w:tc>
      </w:tr>
      <w:tr w:rsidR="00FE5D64" w14:paraId="7FE1C5BA" w14:textId="77777777">
        <w:trPr>
          <w:trHeight w:val="450"/>
        </w:trPr>
        <w:tc>
          <w:tcPr>
            <w:tcW w:w="1418" w:type="dxa"/>
            <w:shd w:val="clear" w:color="auto" w:fill="FFFFFF" w:themeFill="background1"/>
          </w:tcPr>
          <w:p w14:paraId="7FE1C5B3" w14:textId="77777777" w:rsidR="00FE5D64" w:rsidRDefault="00E40776">
            <w:pPr>
              <w:pStyle w:val="P68B1DB1-Normal62"/>
              <w:spacing w:before="120" w:after="120" w:line="276" w:lineRule="auto"/>
            </w:pPr>
            <w:r>
              <w:t>0060</w:t>
            </w:r>
          </w:p>
        </w:tc>
        <w:tc>
          <w:tcPr>
            <w:tcW w:w="7791" w:type="dxa"/>
            <w:shd w:val="clear" w:color="auto" w:fill="FFFFFF" w:themeFill="background1"/>
          </w:tcPr>
          <w:p w14:paraId="7FE1C5B4" w14:textId="77777777" w:rsidR="00FE5D64" w:rsidRDefault="00E40776">
            <w:pPr>
              <w:pStyle w:val="P68B1DB1-Normal65"/>
              <w:spacing w:line="276" w:lineRule="auto"/>
              <w:jc w:val="both"/>
              <w:rPr>
                <w:iCs/>
              </w:rPr>
            </w:pPr>
            <w:r>
              <w:rPr>
                <w:szCs w:val="20"/>
              </w:rPr>
              <w:t>Критичност</w:t>
            </w:r>
            <w:r>
              <w:t xml:space="preserve"> </w:t>
            </w:r>
          </w:p>
          <w:p w14:paraId="7FE1C5B5" w14:textId="7E0FDA44" w:rsidR="00FE5D64" w:rsidRDefault="00AF21FE">
            <w:pPr>
              <w:pStyle w:val="P68B1DB1-Normal64"/>
              <w:spacing w:line="276" w:lineRule="auto"/>
              <w:jc w:val="both"/>
              <w:rPr>
                <w:iCs/>
              </w:rPr>
            </w:pPr>
            <w:r>
              <w:rPr>
                <w:lang w:val="bg-BG"/>
              </w:rPr>
              <w:t>Посочва се</w:t>
            </w:r>
            <w:r>
              <w:t xml:space="preserve"> </w:t>
            </w:r>
            <w:r w:rsidR="00E40776">
              <w:t>едно от следните:</w:t>
            </w:r>
          </w:p>
          <w:p w14:paraId="7FE1C5B6" w14:textId="39370369" w:rsidR="00FE5D64" w:rsidRDefault="00E40776">
            <w:pPr>
              <w:pStyle w:val="P68B1DB1-ListParagraph58"/>
              <w:numPr>
                <w:ilvl w:val="0"/>
                <w:numId w:val="236"/>
              </w:numPr>
              <w:spacing w:line="276" w:lineRule="auto"/>
              <w:contextualSpacing/>
              <w:jc w:val="both"/>
              <w:rPr>
                <w:iCs/>
              </w:rPr>
            </w:pPr>
            <w:r>
              <w:t xml:space="preserve">Критична: ако услугата е необходима за изпълнението на една или повече критични функции, чието прекъсване би </w:t>
            </w:r>
            <w:r w:rsidR="00C06B03">
              <w:rPr>
                <w:lang w:val="bg-BG"/>
              </w:rPr>
              <w:t>затруднило</w:t>
            </w:r>
            <w:r w:rsidR="00C06B03">
              <w:t xml:space="preserve"> </w:t>
            </w:r>
            <w:r>
              <w:t>сериозно или би възпрепятствало изпълнението на тези критични функции.</w:t>
            </w:r>
          </w:p>
          <w:p w14:paraId="7FE1C5B7" w14:textId="769FCDCC" w:rsidR="00FE5D64" w:rsidRDefault="00C90D11">
            <w:pPr>
              <w:pStyle w:val="P68B1DB1-ListParagraph58"/>
              <w:numPr>
                <w:ilvl w:val="0"/>
                <w:numId w:val="236"/>
              </w:numPr>
              <w:spacing w:line="276" w:lineRule="auto"/>
              <w:contextualSpacing/>
              <w:jc w:val="both"/>
              <w:rPr>
                <w:iCs/>
              </w:rPr>
            </w:pPr>
            <w:r>
              <w:rPr>
                <w:lang w:val="bg-BG"/>
              </w:rPr>
              <w:t>Важна</w:t>
            </w:r>
            <w:r w:rsidR="00E40776">
              <w:t xml:space="preserve">: ако услугата е свързана с основни стопански дейности, чиято непрекъснатост е необходима за ефективното изпълнение на стратегията за преструктуриране и всяко последващо </w:t>
            </w:r>
            <w:r w:rsidR="00EB7D14">
              <w:rPr>
                <w:lang w:val="bg-BG"/>
              </w:rPr>
              <w:t>преобразуване</w:t>
            </w:r>
            <w:r w:rsidR="00E40776">
              <w:t>.</w:t>
            </w:r>
          </w:p>
          <w:p w14:paraId="7FE1C5B8" w14:textId="00DA3FB7" w:rsidR="00FE5D64" w:rsidRDefault="00E40776">
            <w:pPr>
              <w:pStyle w:val="P68B1DB1-ListParagraph58"/>
              <w:numPr>
                <w:ilvl w:val="0"/>
                <w:numId w:val="236"/>
              </w:numPr>
              <w:spacing w:line="276" w:lineRule="auto"/>
              <w:contextualSpacing/>
              <w:jc w:val="both"/>
              <w:rPr>
                <w:iCs/>
              </w:rPr>
            </w:pPr>
            <w:r>
              <w:t>Критичн</w:t>
            </w:r>
            <w:r w:rsidR="00C90D11">
              <w:rPr>
                <w:lang w:val="bg-BG"/>
              </w:rPr>
              <w:t>а</w:t>
            </w:r>
            <w:r>
              <w:t xml:space="preserve"> и </w:t>
            </w:r>
            <w:r w:rsidR="00C90D11">
              <w:rPr>
                <w:lang w:val="bg-BG"/>
              </w:rPr>
              <w:t>важна</w:t>
            </w:r>
          </w:p>
          <w:p w14:paraId="7FE1C5B9" w14:textId="77777777" w:rsidR="00FE5D64" w:rsidRDefault="00FE5D64">
            <w:pPr>
              <w:spacing w:line="276" w:lineRule="auto"/>
              <w:jc w:val="both"/>
              <w:rPr>
                <w:rFonts w:ascii="Times New Roman" w:hAnsi="Times New Roman"/>
                <w:sz w:val="20"/>
              </w:rPr>
            </w:pPr>
          </w:p>
        </w:tc>
      </w:tr>
      <w:tr w:rsidR="00FE5D64" w14:paraId="7FE1C5C3" w14:textId="77777777">
        <w:trPr>
          <w:trHeight w:val="450"/>
        </w:trPr>
        <w:tc>
          <w:tcPr>
            <w:tcW w:w="1418" w:type="dxa"/>
            <w:shd w:val="clear" w:color="auto" w:fill="FFFFFF" w:themeFill="background1"/>
          </w:tcPr>
          <w:p w14:paraId="7FE1C5BB" w14:textId="77777777" w:rsidR="00FE5D64" w:rsidRDefault="00E40776">
            <w:pPr>
              <w:pStyle w:val="P68B1DB1-Normal62"/>
              <w:spacing w:before="120" w:after="120" w:line="276" w:lineRule="auto"/>
            </w:pPr>
            <w:r>
              <w:t>0070</w:t>
            </w:r>
          </w:p>
        </w:tc>
        <w:tc>
          <w:tcPr>
            <w:tcW w:w="7791" w:type="dxa"/>
            <w:shd w:val="clear" w:color="auto" w:fill="FFFFFF" w:themeFill="background1"/>
          </w:tcPr>
          <w:p w14:paraId="7FE1C5BC" w14:textId="39CA47DA" w:rsidR="00FE5D64" w:rsidRDefault="00E40776">
            <w:pPr>
              <w:pStyle w:val="P68B1DB1-Normal64"/>
              <w:spacing w:line="276" w:lineRule="auto"/>
              <w:jc w:val="both"/>
              <w:rPr>
                <w:iCs/>
              </w:rPr>
            </w:pPr>
            <w:r>
              <w:rPr>
                <w:b/>
                <w:szCs w:val="20"/>
              </w:rPr>
              <w:t>Правен/ договор</w:t>
            </w:r>
            <w:r w:rsidR="003B08D4">
              <w:rPr>
                <w:b/>
                <w:szCs w:val="20"/>
                <w:lang w:val="bg-BG"/>
              </w:rPr>
              <w:t>ен тип</w:t>
            </w:r>
          </w:p>
          <w:p w14:paraId="7FE1C5BD" w14:textId="20334014" w:rsidR="00FE5D64" w:rsidRPr="00C90D11" w:rsidRDefault="00C90D11">
            <w:pPr>
              <w:pStyle w:val="P68B1DB1-Normal64"/>
              <w:spacing w:line="276" w:lineRule="auto"/>
              <w:jc w:val="both"/>
              <w:rPr>
                <w:iCs/>
                <w:lang w:val="bg-BG"/>
              </w:rPr>
            </w:pPr>
            <w:r>
              <w:rPr>
                <w:lang w:val="bg-BG"/>
              </w:rPr>
              <w:t>Посочва се</w:t>
            </w:r>
            <w:r>
              <w:t xml:space="preserve"> </w:t>
            </w:r>
            <w:r w:rsidR="00E40776">
              <w:t>едно от следните:</w:t>
            </w:r>
          </w:p>
          <w:p w14:paraId="53315D0B" w14:textId="692DF67C" w:rsidR="00FE5D64" w:rsidRDefault="00C90D11">
            <w:pPr>
              <w:pStyle w:val="P68B1DB1-Normal66"/>
              <w:numPr>
                <w:ilvl w:val="0"/>
                <w:numId w:val="236"/>
              </w:numPr>
              <w:contextualSpacing/>
              <w:jc w:val="both"/>
            </w:pPr>
            <w:r>
              <w:rPr>
                <w:lang w:val="bg-BG"/>
              </w:rPr>
              <w:t>Притежаван</w:t>
            </w:r>
          </w:p>
          <w:p w14:paraId="7FE1C5BF" w14:textId="2355EE3B" w:rsidR="00FE5D64" w:rsidRDefault="00C90D11">
            <w:pPr>
              <w:pStyle w:val="P68B1DB1-Normal66"/>
              <w:numPr>
                <w:ilvl w:val="0"/>
                <w:numId w:val="236"/>
              </w:numPr>
              <w:contextualSpacing/>
              <w:jc w:val="both"/>
            </w:pPr>
            <w:r>
              <w:rPr>
                <w:lang w:val="bg-BG"/>
              </w:rPr>
              <w:t>Ползван н</w:t>
            </w:r>
            <w:r w:rsidR="00E40776">
              <w:t xml:space="preserve">а </w:t>
            </w:r>
            <w:r w:rsidR="003B08D4" w:rsidRPr="00C90D11">
              <w:rPr>
                <w:lang w:val="bg-BG"/>
              </w:rPr>
              <w:t>лизинг</w:t>
            </w:r>
            <w:r>
              <w:rPr>
                <w:lang w:val="bg-BG"/>
              </w:rPr>
              <w:t>/нает</w:t>
            </w:r>
          </w:p>
          <w:p w14:paraId="7FE1C5C0" w14:textId="77777777" w:rsidR="00FE5D64" w:rsidRDefault="00E40776">
            <w:pPr>
              <w:pStyle w:val="P68B1DB1-Normal66"/>
              <w:numPr>
                <w:ilvl w:val="0"/>
                <w:numId w:val="236"/>
              </w:numPr>
              <w:contextualSpacing/>
              <w:jc w:val="both"/>
            </w:pPr>
            <w:r>
              <w:t>Лицензиран</w:t>
            </w:r>
          </w:p>
          <w:p w14:paraId="7FE1C5C1" w14:textId="32A11896" w:rsidR="00FE5D64" w:rsidRDefault="00E40776">
            <w:pPr>
              <w:pStyle w:val="P68B1DB1-Normal66"/>
              <w:numPr>
                <w:ilvl w:val="0"/>
                <w:numId w:val="236"/>
              </w:numPr>
              <w:contextualSpacing/>
              <w:jc w:val="both"/>
            </w:pPr>
            <w:r>
              <w:t xml:space="preserve">Друг правен </w:t>
            </w:r>
            <w:r w:rsidR="003B08D4">
              <w:rPr>
                <w:lang w:val="bg-BG"/>
              </w:rPr>
              <w:t>/</w:t>
            </w:r>
            <w:r>
              <w:t>договор</w:t>
            </w:r>
            <w:r w:rsidR="003B08D4">
              <w:rPr>
                <w:lang w:val="bg-BG"/>
              </w:rPr>
              <w:t>ен тип</w:t>
            </w:r>
          </w:p>
          <w:p w14:paraId="7FE1C5C2" w14:textId="77777777" w:rsidR="00FE5D64" w:rsidRDefault="00FE5D64">
            <w:pPr>
              <w:spacing w:line="276" w:lineRule="auto"/>
              <w:jc w:val="both"/>
              <w:rPr>
                <w:rFonts w:ascii="Times New Roman" w:hAnsi="Times New Roman"/>
                <w:sz w:val="20"/>
              </w:rPr>
            </w:pPr>
          </w:p>
        </w:tc>
      </w:tr>
      <w:tr w:rsidR="00FE5D64" w14:paraId="7FE1C5C9" w14:textId="77777777">
        <w:trPr>
          <w:trHeight w:val="450"/>
        </w:trPr>
        <w:tc>
          <w:tcPr>
            <w:tcW w:w="1418" w:type="dxa"/>
            <w:shd w:val="clear" w:color="auto" w:fill="FFFFFF" w:themeFill="background1"/>
          </w:tcPr>
          <w:p w14:paraId="7FE1C5C4" w14:textId="77777777" w:rsidR="00FE5D64" w:rsidRDefault="00E40776">
            <w:pPr>
              <w:pStyle w:val="P68B1DB1-Normal62"/>
              <w:spacing w:before="120" w:after="120" w:line="276" w:lineRule="auto"/>
            </w:pPr>
            <w:r>
              <w:t>0080</w:t>
            </w:r>
          </w:p>
        </w:tc>
        <w:tc>
          <w:tcPr>
            <w:tcW w:w="7791" w:type="dxa"/>
            <w:shd w:val="clear" w:color="auto" w:fill="FFFFFF" w:themeFill="background1"/>
          </w:tcPr>
          <w:p w14:paraId="7FE1C5C5" w14:textId="77777777" w:rsidR="00FE5D64" w:rsidRDefault="00E40776">
            <w:pPr>
              <w:pStyle w:val="P68B1DB1-Normal61"/>
              <w:spacing w:before="120" w:after="120" w:line="276" w:lineRule="auto"/>
              <w:rPr>
                <w:bCs/>
              </w:rPr>
            </w:pPr>
            <w:r>
              <w:t>Идентификационен код на договора</w:t>
            </w:r>
          </w:p>
          <w:p w14:paraId="7FE1C5C6" w14:textId="77777777" w:rsidR="00FE5D64" w:rsidRDefault="00E40776">
            <w:pPr>
              <w:pStyle w:val="P68B1DB1-Normal64"/>
              <w:spacing w:line="276" w:lineRule="auto"/>
              <w:jc w:val="both"/>
              <w:rPr>
                <w:i/>
              </w:rPr>
            </w:pPr>
            <w:r>
              <w:t>Уникален идентификатор на договора, който е в основата на актива, съгласно таксономията на услугите на групата.</w:t>
            </w:r>
          </w:p>
          <w:p w14:paraId="7FE1C5C7" w14:textId="77777777" w:rsidR="00FE5D64" w:rsidRDefault="00FE5D64">
            <w:pPr>
              <w:spacing w:line="276" w:lineRule="auto"/>
              <w:jc w:val="both"/>
              <w:rPr>
                <w:rFonts w:ascii="Times New Roman" w:hAnsi="Times New Roman"/>
                <w:i/>
                <w:sz w:val="20"/>
              </w:rPr>
            </w:pPr>
          </w:p>
          <w:p w14:paraId="7FE1C5C8" w14:textId="77777777" w:rsidR="00FE5D64" w:rsidRDefault="00FE5D64">
            <w:pPr>
              <w:spacing w:line="276" w:lineRule="auto"/>
              <w:jc w:val="both"/>
              <w:rPr>
                <w:rFonts w:ascii="Times New Roman" w:hAnsi="Times New Roman"/>
                <w:iCs/>
                <w:sz w:val="20"/>
              </w:rPr>
            </w:pPr>
          </w:p>
        </w:tc>
      </w:tr>
      <w:tr w:rsidR="00FE5D64" w14:paraId="7FE1C5CE" w14:textId="77777777">
        <w:trPr>
          <w:trHeight w:val="450"/>
        </w:trPr>
        <w:tc>
          <w:tcPr>
            <w:tcW w:w="1418" w:type="dxa"/>
            <w:shd w:val="clear" w:color="auto" w:fill="FFFFFF" w:themeFill="background1"/>
          </w:tcPr>
          <w:p w14:paraId="7FE1C5CA" w14:textId="77777777" w:rsidR="00FE5D64" w:rsidRDefault="00E40776">
            <w:pPr>
              <w:pStyle w:val="P68B1DB1-Normal62"/>
              <w:spacing w:before="120" w:after="120" w:line="276" w:lineRule="auto"/>
            </w:pPr>
            <w:r>
              <w:t>0090</w:t>
            </w:r>
          </w:p>
        </w:tc>
        <w:tc>
          <w:tcPr>
            <w:tcW w:w="7791" w:type="dxa"/>
            <w:shd w:val="clear" w:color="auto" w:fill="FFFFFF" w:themeFill="background1"/>
          </w:tcPr>
          <w:p w14:paraId="7FE1C5CB" w14:textId="554DA486" w:rsidR="00FE5D64" w:rsidRPr="00C90D11" w:rsidRDefault="00E40776">
            <w:pPr>
              <w:pStyle w:val="P68B1DB1-Normal65"/>
              <w:spacing w:line="276" w:lineRule="auto"/>
              <w:jc w:val="both"/>
              <w:rPr>
                <w:lang w:val="bg-BG"/>
              </w:rPr>
            </w:pPr>
            <w:r>
              <w:rPr>
                <w:szCs w:val="20"/>
              </w:rPr>
              <w:t>Приложим</w:t>
            </w:r>
            <w:r w:rsidR="00C90D11">
              <w:rPr>
                <w:szCs w:val="20"/>
                <w:lang w:val="bg-BG"/>
              </w:rPr>
              <w:t>о</w:t>
            </w:r>
            <w:r>
              <w:rPr>
                <w:szCs w:val="20"/>
              </w:rPr>
              <w:t xml:space="preserve"> </w:t>
            </w:r>
            <w:r w:rsidR="00C90D11">
              <w:rPr>
                <w:szCs w:val="20"/>
                <w:lang w:val="bg-BG"/>
              </w:rPr>
              <w:t>право</w:t>
            </w:r>
          </w:p>
          <w:p w14:paraId="7FE1C5CC" w14:textId="1EAD7F26" w:rsidR="00FE5D64" w:rsidRDefault="00E40776">
            <w:pPr>
              <w:pStyle w:val="P68B1DB1-Normal64"/>
              <w:spacing w:line="276" w:lineRule="auto"/>
              <w:jc w:val="both"/>
            </w:pPr>
            <w:r>
              <w:t>Кодът по ISO на държавата, съгласно чието право се урежда договор</w:t>
            </w:r>
            <w:r w:rsidR="003B08D4">
              <w:rPr>
                <w:lang w:val="bg-BG"/>
              </w:rPr>
              <w:t>ът</w:t>
            </w:r>
            <w:r>
              <w:t>.</w:t>
            </w:r>
          </w:p>
          <w:p w14:paraId="7FE1C5CD" w14:textId="77777777" w:rsidR="00FE5D64" w:rsidRDefault="00FE5D64">
            <w:pPr>
              <w:spacing w:line="276" w:lineRule="auto"/>
              <w:jc w:val="both"/>
              <w:rPr>
                <w:rFonts w:ascii="Times New Roman" w:hAnsi="Times New Roman"/>
                <w:iCs/>
                <w:sz w:val="20"/>
              </w:rPr>
            </w:pPr>
          </w:p>
        </w:tc>
      </w:tr>
      <w:tr w:rsidR="00FE5D64" w14:paraId="7FE1C5D4" w14:textId="77777777">
        <w:trPr>
          <w:trHeight w:val="463"/>
        </w:trPr>
        <w:tc>
          <w:tcPr>
            <w:tcW w:w="1418" w:type="dxa"/>
            <w:shd w:val="clear" w:color="auto" w:fill="FFFFFF" w:themeFill="background1"/>
          </w:tcPr>
          <w:p w14:paraId="7FE1C5CF" w14:textId="77777777" w:rsidR="00FE5D64" w:rsidRDefault="00E40776">
            <w:pPr>
              <w:pStyle w:val="P68B1DB1-Normal64"/>
              <w:spacing w:line="276" w:lineRule="auto"/>
              <w:jc w:val="both"/>
            </w:pPr>
            <w:r>
              <w:t>0100—0120</w:t>
            </w:r>
          </w:p>
          <w:p w14:paraId="7FE1C5D0" w14:textId="77777777" w:rsidR="00FE5D64" w:rsidRDefault="00FE5D6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00F39FD0" w:rsidR="00FE5D64" w:rsidRDefault="00E40776">
            <w:pPr>
              <w:pStyle w:val="P68B1DB1-Normal61"/>
              <w:spacing w:before="120" w:after="120" w:line="276" w:lineRule="auto"/>
              <w:rPr>
                <w:bCs/>
                <w:iCs/>
              </w:rPr>
            </w:pPr>
            <w:r>
              <w:t xml:space="preserve">Устойчивост </w:t>
            </w:r>
            <w:r w:rsidR="00C90D11">
              <w:rPr>
                <w:lang w:val="bg-BG"/>
              </w:rPr>
              <w:t>при</w:t>
            </w:r>
            <w:r w:rsidR="00C90D11">
              <w:t xml:space="preserve"> </w:t>
            </w:r>
            <w:r>
              <w:t xml:space="preserve">преструктурирането </w:t>
            </w:r>
          </w:p>
          <w:p w14:paraId="7FE1C5D2" w14:textId="0A008828" w:rsidR="00FE5D64" w:rsidRDefault="00E40776">
            <w:pPr>
              <w:pStyle w:val="P68B1DB1-NormalWeb59"/>
              <w:spacing w:before="0" w:beforeAutospacing="0" w:after="0" w:afterAutospacing="0"/>
              <w:rPr>
                <w:iCs/>
                <w:szCs w:val="20"/>
              </w:rPr>
            </w:pPr>
            <w:r>
              <w:rPr>
                <w:szCs w:val="20"/>
              </w:rPr>
              <w:t>Оценката дали договорът</w:t>
            </w:r>
            <w:r w:rsidR="005C354D">
              <w:rPr>
                <w:szCs w:val="20"/>
                <w:lang w:val="bg-BG"/>
              </w:rPr>
              <w:t>,</w:t>
            </w:r>
            <w:r>
              <w:rPr>
                <w:szCs w:val="20"/>
              </w:rPr>
              <w:t xml:space="preserve"> </w:t>
            </w:r>
            <w:r w:rsidR="005C354D">
              <w:rPr>
                <w:szCs w:val="20"/>
                <w:lang w:val="bg-BG"/>
              </w:rPr>
              <w:t>обезпечаващ</w:t>
            </w:r>
            <w:r>
              <w:rPr>
                <w:szCs w:val="20"/>
              </w:rPr>
              <w:t xml:space="preserve"> актива, </w:t>
            </w:r>
            <w:r w:rsidR="005C354D">
              <w:rPr>
                <w:szCs w:val="20"/>
                <w:lang w:val="bg-BG"/>
              </w:rPr>
              <w:t>посочен</w:t>
            </w:r>
            <w:r w:rsidR="005C354D">
              <w:rPr>
                <w:szCs w:val="20"/>
              </w:rPr>
              <w:t xml:space="preserve"> </w:t>
            </w:r>
            <w:r>
              <w:rPr>
                <w:szCs w:val="20"/>
              </w:rPr>
              <w:t xml:space="preserve">в колона 0030, може да бъде продължен и прехвърлен по време на </w:t>
            </w:r>
            <w:r w:rsidR="005C354D">
              <w:rPr>
                <w:szCs w:val="20"/>
                <w:lang w:val="bg-BG"/>
              </w:rPr>
              <w:t>прилагането</w:t>
            </w:r>
            <w:r w:rsidR="005C354D">
              <w:rPr>
                <w:szCs w:val="20"/>
              </w:rPr>
              <w:t xml:space="preserve"> </w:t>
            </w:r>
            <w:r>
              <w:rPr>
                <w:szCs w:val="20"/>
              </w:rPr>
              <w:t xml:space="preserve">на стратегията за преструктуриране, включително плана за </w:t>
            </w:r>
            <w:r w:rsidR="003B08D4">
              <w:rPr>
                <w:szCs w:val="20"/>
                <w:lang w:val="bg-BG"/>
              </w:rPr>
              <w:t>оздравяване</w:t>
            </w:r>
            <w:r w:rsidR="003B08D4">
              <w:rPr>
                <w:szCs w:val="20"/>
              </w:rPr>
              <w:t xml:space="preserve"> </w:t>
            </w:r>
            <w:r>
              <w:rPr>
                <w:szCs w:val="20"/>
              </w:rPr>
              <w:t xml:space="preserve">на дейността, </w:t>
            </w:r>
            <w:r>
              <w:t>в съответствие с Насоки EBA/GL/2022/01 и съответното национално законодателство.</w:t>
            </w:r>
          </w:p>
          <w:p w14:paraId="7FE1C5D3" w14:textId="77777777" w:rsidR="00FE5D64" w:rsidRDefault="00FE5D64">
            <w:pPr>
              <w:pStyle w:val="NormalWeb"/>
              <w:spacing w:before="0" w:beforeAutospacing="0" w:after="0" w:afterAutospacing="0"/>
              <w:rPr>
                <w:sz w:val="20"/>
              </w:rPr>
            </w:pPr>
          </w:p>
        </w:tc>
      </w:tr>
      <w:tr w:rsidR="00FE5D64" w14:paraId="7FE1C5E4" w14:textId="77777777">
        <w:trPr>
          <w:trHeight w:val="463"/>
        </w:trPr>
        <w:tc>
          <w:tcPr>
            <w:tcW w:w="1418" w:type="dxa"/>
            <w:shd w:val="clear" w:color="auto" w:fill="FFFFFF" w:themeFill="background1"/>
          </w:tcPr>
          <w:p w14:paraId="7FE1C5D5" w14:textId="77777777" w:rsidR="00FE5D64" w:rsidRDefault="00E40776">
            <w:pPr>
              <w:pStyle w:val="P68B1DB1-Normal64"/>
              <w:spacing w:before="120" w:after="120" w:line="276" w:lineRule="auto"/>
              <w:rPr>
                <w:szCs w:val="20"/>
              </w:rPr>
            </w:pPr>
            <w:r>
              <w:t>0100</w:t>
            </w:r>
          </w:p>
        </w:tc>
        <w:tc>
          <w:tcPr>
            <w:tcW w:w="7791" w:type="dxa"/>
            <w:shd w:val="clear" w:color="auto" w:fill="FFFFFF" w:themeFill="background1"/>
          </w:tcPr>
          <w:p w14:paraId="7FE1C5D6" w14:textId="6CF43D75" w:rsidR="00FE5D64" w:rsidRDefault="005C354D">
            <w:pPr>
              <w:pStyle w:val="P68B1DB1-Normal65"/>
              <w:spacing w:line="276" w:lineRule="auto"/>
              <w:jc w:val="both"/>
              <w:rPr>
                <w:bCs/>
              </w:rPr>
            </w:pPr>
            <w:r>
              <w:rPr>
                <w:szCs w:val="20"/>
                <w:lang w:val="bg-BG"/>
              </w:rPr>
              <w:t>Характеристики</w:t>
            </w:r>
            <w:r>
              <w:rPr>
                <w:szCs w:val="20"/>
              </w:rPr>
              <w:t xml:space="preserve"> </w:t>
            </w:r>
            <w:r w:rsidR="00E40776">
              <w:rPr>
                <w:szCs w:val="20"/>
              </w:rPr>
              <w:t xml:space="preserve">за устойчивост </w:t>
            </w:r>
            <w:r>
              <w:rPr>
                <w:szCs w:val="20"/>
                <w:lang w:val="bg-BG"/>
              </w:rPr>
              <w:t>при</w:t>
            </w:r>
            <w:r>
              <w:rPr>
                <w:szCs w:val="20"/>
              </w:rPr>
              <w:t xml:space="preserve"> </w:t>
            </w:r>
            <w:r w:rsidR="00E40776">
              <w:rPr>
                <w:szCs w:val="20"/>
              </w:rPr>
              <w:t>преструктурирането</w:t>
            </w:r>
            <w:r w:rsidR="00E40776">
              <w:t xml:space="preserve"> </w:t>
            </w:r>
          </w:p>
          <w:p w14:paraId="7FE1C5D7" w14:textId="2A99F385" w:rsidR="00FE5D64" w:rsidRDefault="00D77509">
            <w:pPr>
              <w:pStyle w:val="P68B1DB1-Normal62"/>
              <w:spacing w:line="276" w:lineRule="auto"/>
              <w:jc w:val="both"/>
              <w:rPr>
                <w:iCs/>
              </w:rPr>
            </w:pPr>
            <w:r>
              <w:rPr>
                <w:lang w:val="bg-BG"/>
              </w:rPr>
              <w:t>Характеристиките за устойчивост при</w:t>
            </w:r>
            <w:r w:rsidR="003B08D4" w:rsidRPr="00D77509">
              <w:rPr>
                <w:lang w:val="bg-BG"/>
              </w:rPr>
              <w:t xml:space="preserve"> </w:t>
            </w:r>
            <w:r w:rsidR="00E40776">
              <w:t xml:space="preserve">преструктуриране са </w:t>
            </w:r>
            <w:r>
              <w:rPr>
                <w:lang w:val="bg-BG"/>
              </w:rPr>
              <w:t>характеристики</w:t>
            </w:r>
            <w:r w:rsidR="00E40776">
              <w:t>, които съответн</w:t>
            </w:r>
            <w:r w:rsidR="003B08D4">
              <w:rPr>
                <w:lang w:val="bg-BG"/>
              </w:rPr>
              <w:t>ият</w:t>
            </w:r>
            <w:r w:rsidR="00E40776">
              <w:t xml:space="preserve"> договор</w:t>
            </w:r>
            <w:r w:rsidR="002D7199">
              <w:rPr>
                <w:lang w:val="bg-BG"/>
              </w:rPr>
              <w:t xml:space="preserve"> следва да притежава</w:t>
            </w:r>
            <w:r w:rsidR="00E40776">
              <w:t xml:space="preserve">, за да </w:t>
            </w:r>
            <w:r w:rsidR="002D7199">
              <w:rPr>
                <w:lang w:val="bg-BG"/>
              </w:rPr>
              <w:t>се смята</w:t>
            </w:r>
            <w:r w:rsidR="00E40776">
              <w:t xml:space="preserve"> за устойчив </w:t>
            </w:r>
            <w:r w:rsidR="003B08D4">
              <w:rPr>
                <w:lang w:val="bg-BG"/>
              </w:rPr>
              <w:t>при</w:t>
            </w:r>
            <w:r w:rsidR="00E40776">
              <w:t xml:space="preserve"> преструктуриране. Те включват следното, при условие че </w:t>
            </w:r>
            <w:r w:rsidR="002D7199">
              <w:rPr>
                <w:lang w:val="bg-BG"/>
              </w:rPr>
              <w:t>съществените</w:t>
            </w:r>
            <w:r w:rsidR="002D7199">
              <w:t xml:space="preserve"> </w:t>
            </w:r>
            <w:r w:rsidR="00E40776">
              <w:t>задължения по договора продължават да се изпълняват:</w:t>
            </w:r>
          </w:p>
          <w:p w14:paraId="7FE1C5D8" w14:textId="3AC750A7" w:rsidR="00FE5D64" w:rsidRDefault="00E40776">
            <w:pPr>
              <w:pStyle w:val="P68B1DB1-ListParagraph60"/>
              <w:numPr>
                <w:ilvl w:val="0"/>
                <w:numId w:val="263"/>
              </w:numPr>
              <w:spacing w:line="276" w:lineRule="auto"/>
              <w:contextualSpacing/>
              <w:jc w:val="both"/>
              <w:rPr>
                <w:iCs/>
              </w:rPr>
            </w:pPr>
            <w:r>
              <w:t>няма</w:t>
            </w:r>
            <w:r w:rsidR="003B08D4">
              <w:t xml:space="preserve"> </w:t>
            </w:r>
            <w:r>
              <w:t>прекратяване, спиране</w:t>
            </w:r>
            <w:r w:rsidR="003B08D4">
              <w:t xml:space="preserve"> </w:t>
            </w:r>
            <w:r>
              <w:t xml:space="preserve">или изменение на основание преструктуриране (включително </w:t>
            </w:r>
            <w:r w:rsidR="002D7199">
              <w:rPr>
                <w:lang w:val="bg-BG"/>
              </w:rPr>
              <w:t>при действия по</w:t>
            </w:r>
            <w:r w:rsidR="003B08D4">
              <w:rPr>
                <w:lang w:val="bg-BG"/>
              </w:rPr>
              <w:t xml:space="preserve"> оздравяване</w:t>
            </w:r>
            <w:r w:rsidR="003B08D4">
              <w:t xml:space="preserve"> </w:t>
            </w:r>
            <w:r>
              <w:t>на дейността съгласно член 51 от Директива 2014/59/ЕС);</w:t>
            </w:r>
          </w:p>
          <w:p w14:paraId="7FE1C5D9" w14:textId="6AAD097F" w:rsidR="00FE5D64" w:rsidRDefault="00E40776">
            <w:pPr>
              <w:pStyle w:val="P68B1DB1-ListParagraph60"/>
              <w:numPr>
                <w:ilvl w:val="0"/>
                <w:numId w:val="263"/>
              </w:numPr>
              <w:spacing w:line="276" w:lineRule="auto"/>
              <w:contextualSpacing/>
              <w:jc w:val="both"/>
              <w:rPr>
                <w:iCs/>
              </w:rPr>
            </w:pPr>
            <w:r>
              <w:t>възможност за прехвърляне</w:t>
            </w:r>
            <w:r w:rsidR="002D7199">
              <w:rPr>
                <w:lang w:val="bg-BG"/>
              </w:rPr>
              <w:t xml:space="preserve"> към нов получател</w:t>
            </w:r>
            <w:r>
              <w:t xml:space="preserve"> на предоставянето на услуг</w:t>
            </w:r>
            <w:r w:rsidR="002D7199">
              <w:rPr>
                <w:lang w:val="bg-BG"/>
              </w:rPr>
              <w:t>ата от досегашния получател</w:t>
            </w:r>
            <w:r>
              <w:t xml:space="preserve"> или от органа за преструктуриране </w:t>
            </w:r>
            <w:r w:rsidR="007D6C6B">
              <w:rPr>
                <w:lang w:val="bg-BG"/>
              </w:rPr>
              <w:t xml:space="preserve">в </w:t>
            </w:r>
            <w:r w:rsidR="002D7199">
              <w:rPr>
                <w:lang w:val="bg-BG"/>
              </w:rPr>
              <w:t>следс</w:t>
            </w:r>
            <w:r w:rsidR="007D6C6B">
              <w:rPr>
                <w:lang w:val="bg-BG"/>
              </w:rPr>
              <w:t>т</w:t>
            </w:r>
            <w:r w:rsidR="002D7199">
              <w:rPr>
                <w:lang w:val="bg-BG"/>
              </w:rPr>
              <w:t>вие на</w:t>
            </w:r>
            <w:r w:rsidR="002D7199">
              <w:t xml:space="preserve"> </w:t>
            </w:r>
            <w:r>
              <w:t xml:space="preserve">преструктуриране (включително </w:t>
            </w:r>
            <w:r w:rsidR="003B08D4">
              <w:rPr>
                <w:lang w:val="bg-BG"/>
              </w:rPr>
              <w:t>оздравяване на дейността</w:t>
            </w:r>
            <w:r w:rsidR="003B08D4">
              <w:t xml:space="preserve"> </w:t>
            </w:r>
            <w:r>
              <w:t>съгласно член 51 от Директива 2014/59/ЕС);</w:t>
            </w:r>
          </w:p>
          <w:p w14:paraId="7FE1C5DA" w14:textId="76CF0C29" w:rsidR="00FE5D64" w:rsidRDefault="00E40776">
            <w:pPr>
              <w:pStyle w:val="P68B1DB1-ListParagraph60"/>
              <w:numPr>
                <w:ilvl w:val="0"/>
                <w:numId w:val="263"/>
              </w:numPr>
              <w:spacing w:line="276" w:lineRule="auto"/>
              <w:contextualSpacing/>
              <w:jc w:val="both"/>
              <w:rPr>
                <w:iCs/>
              </w:rPr>
            </w:pPr>
            <w:r>
              <w:t>подпомага прехвърляне</w:t>
            </w:r>
            <w:r w:rsidR="007D6C6B">
              <w:rPr>
                <w:lang w:val="bg-BG"/>
              </w:rPr>
              <w:t>то</w:t>
            </w:r>
            <w:r>
              <w:t xml:space="preserve"> или прекратяване</w:t>
            </w:r>
            <w:r w:rsidR="007D6C6B">
              <w:rPr>
                <w:lang w:val="bg-BG"/>
              </w:rPr>
              <w:t>по</w:t>
            </w:r>
            <w:r>
              <w:t xml:space="preserve"> по време на преструктуриране (включително </w:t>
            </w:r>
            <w:r w:rsidR="003B08D4">
              <w:rPr>
                <w:lang w:val="bg-BG"/>
              </w:rPr>
              <w:t>оздравяване</w:t>
            </w:r>
            <w:r w:rsidR="007D6C6B">
              <w:rPr>
                <w:lang w:val="bg-BG"/>
              </w:rPr>
              <w:t xml:space="preserve"> на дейността</w:t>
            </w:r>
            <w:r w:rsidR="003B08D4">
              <w:t xml:space="preserve"> </w:t>
            </w:r>
            <w:r>
              <w:t>съгласно член 51 от Директива 2014/59/ЕС) за разумен период от време (например 24 месеца) от</w:t>
            </w:r>
            <w:r w:rsidR="007D6C6B">
              <w:rPr>
                <w:lang w:val="bg-BG"/>
              </w:rPr>
              <w:t xml:space="preserve"> страна на</w:t>
            </w:r>
            <w:r>
              <w:t xml:space="preserve"> настоящия доставчик на услуги и при същите </w:t>
            </w:r>
            <w:r w:rsidR="007D6C6B">
              <w:rPr>
                <w:lang w:val="bg-BG"/>
              </w:rPr>
              <w:t xml:space="preserve">правила и </w:t>
            </w:r>
            <w:r>
              <w:t>условия; както и</w:t>
            </w:r>
          </w:p>
          <w:p w14:paraId="7FE1C5DB" w14:textId="338D9D28" w:rsidR="00FE5D64" w:rsidRDefault="00FD4998">
            <w:pPr>
              <w:pStyle w:val="P68B1DB1-ListParagraph60"/>
              <w:numPr>
                <w:ilvl w:val="0"/>
                <w:numId w:val="263"/>
              </w:numPr>
              <w:spacing w:line="276" w:lineRule="auto"/>
              <w:contextualSpacing/>
              <w:jc w:val="both"/>
              <w:rPr>
                <w:iCs/>
              </w:rPr>
            </w:pPr>
            <w:r>
              <w:rPr>
                <w:lang w:val="bg-BG"/>
              </w:rPr>
              <w:t>непрекъснато</w:t>
            </w:r>
            <w:r>
              <w:t xml:space="preserve"> </w:t>
            </w:r>
            <w:r w:rsidR="00E40776">
              <w:t>предоставяне на услуги на продаден</w:t>
            </w:r>
            <w:r w:rsidR="003B08D4">
              <w:t xml:space="preserve"> </w:t>
            </w:r>
            <w:r w:rsidR="00E40776">
              <w:t xml:space="preserve">субект от групата по време на преструктуриране (включително </w:t>
            </w:r>
            <w:r w:rsidR="003B08D4">
              <w:rPr>
                <w:lang w:val="bg-BG"/>
              </w:rPr>
              <w:t>оздравяване</w:t>
            </w:r>
            <w:r>
              <w:rPr>
                <w:lang w:val="bg-BG"/>
              </w:rPr>
              <w:t xml:space="preserve"> на дейността</w:t>
            </w:r>
            <w:r w:rsidR="003B08D4">
              <w:t xml:space="preserve"> </w:t>
            </w:r>
            <w:r w:rsidR="00E40776">
              <w:t>съгласно член 51 от Директива 2014/59/ЕС) за разумен период от време след продажбата — например 24 месеца.</w:t>
            </w:r>
          </w:p>
          <w:p w14:paraId="7FE1C5DC" w14:textId="5AD2DD79" w:rsidR="00FE5D64" w:rsidRDefault="00E40776">
            <w:pPr>
              <w:spacing w:line="276" w:lineRule="auto"/>
              <w:jc w:val="both"/>
              <w:rPr>
                <w:rFonts w:ascii="Times New Roman" w:hAnsi="Times New Roman"/>
                <w:iCs/>
                <w:sz w:val="20"/>
                <w:szCs w:val="20"/>
              </w:rPr>
            </w:pPr>
            <w:r>
              <w:rPr>
                <w:rFonts w:ascii="Times New Roman" w:hAnsi="Times New Roman"/>
                <w:sz w:val="20"/>
                <w:szCs w:val="20"/>
              </w:rPr>
              <w:t>Това се отнася за договори, за които приложимото право и юрисдикцията на договора е това на държава — членка на ЕС</w:t>
            </w:r>
            <w:r>
              <w:rPr>
                <w:rStyle w:val="FootnoteReference"/>
                <w:rFonts w:ascii="Times New Roman" w:hAnsi="Times New Roman"/>
                <w:sz w:val="20"/>
                <w:szCs w:val="20"/>
              </w:rPr>
              <w:footnoteReference w:id="28"/>
            </w:r>
            <w:r>
              <w:rPr>
                <w:rFonts w:ascii="Times New Roman" w:hAnsi="Times New Roman"/>
                <w:sz w:val="20"/>
                <w:szCs w:val="20"/>
              </w:rPr>
              <w:t xml:space="preserve"> („договори </w:t>
            </w:r>
            <w:r w:rsidR="00FD4998">
              <w:rPr>
                <w:rFonts w:ascii="Times New Roman" w:hAnsi="Times New Roman"/>
                <w:sz w:val="20"/>
                <w:szCs w:val="20"/>
                <w:lang w:val="bg-BG"/>
              </w:rPr>
              <w:t>в</w:t>
            </w:r>
            <w:r w:rsidR="00FD4998">
              <w:rPr>
                <w:rFonts w:ascii="Times New Roman" w:hAnsi="Times New Roman"/>
                <w:sz w:val="20"/>
                <w:szCs w:val="20"/>
              </w:rPr>
              <w:t xml:space="preserve"> </w:t>
            </w:r>
            <w:r>
              <w:rPr>
                <w:rFonts w:ascii="Times New Roman" w:hAnsi="Times New Roman"/>
                <w:sz w:val="20"/>
                <w:szCs w:val="20"/>
              </w:rPr>
              <w:t>ЕС“), и за договори, за които се прилага правото на трета държава.</w:t>
            </w:r>
          </w:p>
          <w:p w14:paraId="7FE1C5DD" w14:textId="77777777" w:rsidR="00FE5D64" w:rsidRDefault="00FE5D64">
            <w:pPr>
              <w:spacing w:line="276" w:lineRule="auto"/>
              <w:jc w:val="both"/>
              <w:rPr>
                <w:rFonts w:ascii="Times New Roman" w:hAnsi="Times New Roman"/>
                <w:sz w:val="20"/>
              </w:rPr>
            </w:pPr>
          </w:p>
          <w:p w14:paraId="7FE1C5DE" w14:textId="668751E8" w:rsidR="00FE5D64" w:rsidRDefault="00FD4998">
            <w:pPr>
              <w:pStyle w:val="P68B1DB1-Normal64"/>
              <w:spacing w:line="276" w:lineRule="auto"/>
              <w:jc w:val="both"/>
            </w:pPr>
            <w:r>
              <w:rPr>
                <w:lang w:val="bg-BG"/>
              </w:rPr>
              <w:t>Посочва се</w:t>
            </w:r>
            <w:r>
              <w:t xml:space="preserve"> </w:t>
            </w:r>
            <w:r w:rsidR="00E40776">
              <w:t>едно от следните:</w:t>
            </w:r>
          </w:p>
          <w:p w14:paraId="7FE1C5DF" w14:textId="09DFC713" w:rsidR="00FE5D64" w:rsidRDefault="00E40776">
            <w:pPr>
              <w:pStyle w:val="P68B1DB1-Normal62"/>
              <w:spacing w:line="276" w:lineRule="auto"/>
              <w:jc w:val="both"/>
            </w:pPr>
            <w:r>
              <w:t xml:space="preserve">„Да“ — ако договорът е </w:t>
            </w:r>
            <w:r w:rsidR="00F202B1">
              <w:rPr>
                <w:lang w:val="bg-BG"/>
              </w:rPr>
              <w:t xml:space="preserve">оценен като </w:t>
            </w:r>
            <w:r>
              <w:t>устойчив</w:t>
            </w:r>
            <w:r w:rsidR="00F202B1" w:rsidRPr="00865FF1">
              <w:rPr>
                <w:lang w:val="bg-BG"/>
              </w:rPr>
              <w:t xml:space="preserve"> </w:t>
            </w:r>
            <w:r w:rsidR="00FD4998">
              <w:rPr>
                <w:lang w:val="bg-BG"/>
              </w:rPr>
              <w:t xml:space="preserve">при </w:t>
            </w:r>
            <w:r>
              <w:t>преструктуриране</w:t>
            </w:r>
          </w:p>
          <w:p w14:paraId="7FE1C5E0" w14:textId="0819DB33" w:rsidR="00FE5D64" w:rsidRDefault="00E40776">
            <w:pPr>
              <w:pStyle w:val="P68B1DB1-Normal62"/>
              <w:spacing w:line="276" w:lineRule="auto"/>
              <w:jc w:val="both"/>
            </w:pPr>
            <w:r>
              <w:t>„Не“ — ако договорът</w:t>
            </w:r>
            <w:r w:rsidR="00F202B1" w:rsidRPr="00865FF1">
              <w:rPr>
                <w:lang w:val="bg-BG"/>
              </w:rPr>
              <w:t xml:space="preserve"> </w:t>
            </w:r>
            <w:r w:rsidR="00F202B1">
              <w:rPr>
                <w:lang w:val="bg-BG"/>
              </w:rPr>
              <w:t>не е оценен като устойчив</w:t>
            </w:r>
            <w:r>
              <w:t xml:space="preserve"> </w:t>
            </w:r>
            <w:r w:rsidR="00FD4998">
              <w:rPr>
                <w:lang w:val="bg-BG"/>
              </w:rPr>
              <w:t>при</w:t>
            </w:r>
            <w:r w:rsidR="00FD4998">
              <w:t xml:space="preserve"> </w:t>
            </w:r>
            <w:r>
              <w:t>преструктуриране</w:t>
            </w:r>
          </w:p>
          <w:p w14:paraId="7FE1C5E1" w14:textId="77777777" w:rsidR="00FE5D64" w:rsidRDefault="00E40776">
            <w:pPr>
              <w:pStyle w:val="P68B1DB1-Normal62"/>
              <w:spacing w:line="276" w:lineRule="auto"/>
              <w:jc w:val="both"/>
            </w:pPr>
            <w:r>
              <w:t>„Без оценка“ — ако не е направена оценка</w:t>
            </w:r>
          </w:p>
          <w:p w14:paraId="7FE1C5E2" w14:textId="0C08D37C" w:rsidR="00FE5D64" w:rsidRPr="00865FF1" w:rsidRDefault="00F202B1">
            <w:pPr>
              <w:pStyle w:val="P68B1DB1-Normal62"/>
              <w:spacing w:line="276" w:lineRule="auto"/>
              <w:jc w:val="both"/>
              <w:rPr>
                <w:lang w:val="bg-BG"/>
              </w:rPr>
            </w:pPr>
            <w:r>
              <w:t>„</w:t>
            </w:r>
            <w:r w:rsidR="005A6742">
              <w:rPr>
                <w:lang w:val="bg-BG"/>
              </w:rPr>
              <w:t>Не е приложимо</w:t>
            </w:r>
            <w:r w:rsidR="00E40776">
              <w:t>“</w:t>
            </w:r>
            <w:r>
              <w:t xml:space="preserve"> </w:t>
            </w:r>
            <w:r w:rsidR="00E40776">
              <w:t xml:space="preserve">— </w:t>
            </w:r>
            <w:r w:rsidR="00865FF1">
              <w:rPr>
                <w:lang w:val="bg-BG"/>
              </w:rPr>
              <w:t>при услуги в рамките на субекта</w:t>
            </w:r>
          </w:p>
          <w:p w14:paraId="7FE1C5E3" w14:textId="77777777" w:rsidR="00FE5D64" w:rsidRDefault="00FE5D64">
            <w:pPr>
              <w:spacing w:line="276" w:lineRule="auto"/>
              <w:jc w:val="both"/>
              <w:rPr>
                <w:rFonts w:ascii="Times New Roman" w:hAnsi="Times New Roman"/>
                <w:sz w:val="20"/>
              </w:rPr>
            </w:pPr>
          </w:p>
        </w:tc>
      </w:tr>
      <w:tr w:rsidR="00FE5D64" w14:paraId="7FE1C5EF" w14:textId="77777777">
        <w:trPr>
          <w:trHeight w:val="463"/>
        </w:trPr>
        <w:tc>
          <w:tcPr>
            <w:tcW w:w="1418" w:type="dxa"/>
            <w:shd w:val="clear" w:color="auto" w:fill="FFFFFF" w:themeFill="background1"/>
          </w:tcPr>
          <w:p w14:paraId="7FE1C5E5" w14:textId="77777777" w:rsidR="00FE5D64" w:rsidRDefault="00E40776">
            <w:pPr>
              <w:pStyle w:val="P68B1DB1-Normal64"/>
              <w:spacing w:before="120" w:after="120" w:line="276" w:lineRule="auto"/>
              <w:rPr>
                <w:szCs w:val="20"/>
              </w:rPr>
            </w:pPr>
            <w:r>
              <w:t>0110</w:t>
            </w:r>
          </w:p>
        </w:tc>
        <w:tc>
          <w:tcPr>
            <w:tcW w:w="7791" w:type="dxa"/>
            <w:shd w:val="clear" w:color="auto" w:fill="FFFFFF" w:themeFill="background1"/>
          </w:tcPr>
          <w:p w14:paraId="7FE1C5E6" w14:textId="00247F5C" w:rsidR="00FE5D64" w:rsidRDefault="00E40776">
            <w:pPr>
              <w:pStyle w:val="P68B1DB1-Normal65"/>
              <w:spacing w:line="276" w:lineRule="auto"/>
              <w:jc w:val="both"/>
              <w:rPr>
                <w:bCs/>
                <w:iCs/>
              </w:rPr>
            </w:pPr>
            <w:r>
              <w:t xml:space="preserve">План за </w:t>
            </w:r>
            <w:r w:rsidR="00700303">
              <w:rPr>
                <w:lang w:val="bg-BG"/>
              </w:rPr>
              <w:t>оздравяване на дейността</w:t>
            </w:r>
            <w:r>
              <w:t xml:space="preserve"> (</w:t>
            </w:r>
            <w:r w:rsidR="005A6742">
              <w:rPr>
                <w:lang w:val="bg-BG"/>
              </w:rPr>
              <w:t>ПОД</w:t>
            </w:r>
            <w:r>
              <w:t>)</w:t>
            </w:r>
          </w:p>
          <w:p w14:paraId="7FE1C5E7" w14:textId="24CBB3E2" w:rsidR="00FE5D64" w:rsidRDefault="00E40776">
            <w:pPr>
              <w:pStyle w:val="P68B1DB1-Normal64"/>
              <w:spacing w:line="276" w:lineRule="auto"/>
              <w:jc w:val="both"/>
              <w:rPr>
                <w:iCs/>
              </w:rPr>
            </w:pPr>
            <w:r>
              <w:t xml:space="preserve">Ако стратегията за преструктуриране (предпочитана или </w:t>
            </w:r>
            <w:r w:rsidR="00700303">
              <w:rPr>
                <w:lang w:val="bg-BG"/>
              </w:rPr>
              <w:t>алтернативна</w:t>
            </w:r>
            <w:r>
              <w:t xml:space="preserve">) изисква план за </w:t>
            </w:r>
            <w:r w:rsidR="00700303">
              <w:rPr>
                <w:lang w:val="bg-BG"/>
              </w:rPr>
              <w:t>оздравяване</w:t>
            </w:r>
            <w:r w:rsidR="00700303">
              <w:t xml:space="preserve"> </w:t>
            </w:r>
            <w:r>
              <w:t>на дейността, очаква</w:t>
            </w:r>
            <w:r w:rsidR="004677D6">
              <w:rPr>
                <w:lang w:val="bg-BG"/>
              </w:rPr>
              <w:t xml:space="preserve"> се договорите в ЕС</w:t>
            </w:r>
            <w:r>
              <w:t xml:space="preserve"> да включват изрични клаузи, за да се гарантира тяхната устойчивост </w:t>
            </w:r>
            <w:r w:rsidR="004677D6">
              <w:rPr>
                <w:lang w:val="bg-BG"/>
              </w:rPr>
              <w:t>при</w:t>
            </w:r>
            <w:r>
              <w:t xml:space="preserve"> преструктуриране при изпълнението на плановете за </w:t>
            </w:r>
            <w:r w:rsidR="00700303">
              <w:rPr>
                <w:lang w:val="bg-BG"/>
              </w:rPr>
              <w:t>оздравяване</w:t>
            </w:r>
            <w:r w:rsidR="00700303">
              <w:t xml:space="preserve"> </w:t>
            </w:r>
            <w:r>
              <w:t>на дейността</w:t>
            </w:r>
            <w:r w:rsidR="004677D6">
              <w:rPr>
                <w:lang w:val="bg-BG"/>
              </w:rPr>
              <w:t xml:space="preserve"> (ПОД)</w:t>
            </w:r>
            <w:r>
              <w:t>.</w:t>
            </w:r>
          </w:p>
          <w:p w14:paraId="7FE1C5E8" w14:textId="77777777" w:rsidR="00FE5D64" w:rsidRDefault="00FE5D64">
            <w:pPr>
              <w:spacing w:line="276" w:lineRule="auto"/>
              <w:jc w:val="both"/>
              <w:rPr>
                <w:rFonts w:ascii="Times New Roman" w:hAnsi="Times New Roman"/>
                <w:iCs/>
                <w:sz w:val="20"/>
              </w:rPr>
            </w:pPr>
          </w:p>
          <w:p w14:paraId="7FE1C5E9" w14:textId="35C0A04C" w:rsidR="00FE5D64" w:rsidRDefault="004677D6">
            <w:pPr>
              <w:pStyle w:val="P68B1DB1-Normal64"/>
              <w:spacing w:line="276" w:lineRule="auto"/>
              <w:jc w:val="both"/>
              <w:rPr>
                <w:iCs/>
              </w:rPr>
            </w:pPr>
            <w:r>
              <w:rPr>
                <w:lang w:val="bg-BG"/>
              </w:rPr>
              <w:t>Посочва се</w:t>
            </w:r>
            <w:r>
              <w:t xml:space="preserve"> </w:t>
            </w:r>
            <w:r w:rsidR="00E40776">
              <w:t>едно от следните:</w:t>
            </w:r>
          </w:p>
          <w:p w14:paraId="7FE1C5EA" w14:textId="39D24A1E" w:rsidR="00FE5D64" w:rsidRPr="004677D6" w:rsidRDefault="00E40776">
            <w:pPr>
              <w:pStyle w:val="P68B1DB1-Normal67"/>
              <w:spacing w:line="276" w:lineRule="auto"/>
              <w:jc w:val="both"/>
              <w:rPr>
                <w:iCs/>
                <w:sz w:val="20"/>
                <w:lang w:val="bg-BG"/>
              </w:rPr>
            </w:pPr>
            <w:r>
              <w:t>„</w:t>
            </w:r>
            <w:r>
              <w:rPr>
                <w:sz w:val="20"/>
              </w:rPr>
              <w:t xml:space="preserve">Да“ — ако договорът включва изрични клаузи, за да се гарантира тяхната устойчивост на преструктуриране при изпълнението на </w:t>
            </w:r>
            <w:r w:rsidR="004677D6">
              <w:rPr>
                <w:sz w:val="20"/>
                <w:lang w:val="bg-BG"/>
              </w:rPr>
              <w:t>ПОД</w:t>
            </w:r>
          </w:p>
          <w:p w14:paraId="7FE1C5EB" w14:textId="5FD41B60" w:rsidR="00FE5D64" w:rsidRPr="001118F2" w:rsidRDefault="00E40776">
            <w:pPr>
              <w:pStyle w:val="P68B1DB1-Normal67"/>
              <w:spacing w:line="276" w:lineRule="auto"/>
              <w:jc w:val="both"/>
              <w:rPr>
                <w:iCs/>
                <w:sz w:val="20"/>
                <w:lang w:val="bg-BG"/>
              </w:rPr>
            </w:pPr>
            <w:r>
              <w:t>„</w:t>
            </w:r>
            <w:r>
              <w:rPr>
                <w:sz w:val="20"/>
              </w:rPr>
              <w:t xml:space="preserve">Не“ — ако договорът не включва изрични клаузи, за да се гарантира тяхната устойчивост </w:t>
            </w:r>
            <w:r w:rsidR="004677D6">
              <w:rPr>
                <w:sz w:val="20"/>
                <w:lang w:val="bg-BG"/>
              </w:rPr>
              <w:t>при</w:t>
            </w:r>
            <w:r w:rsidR="004677D6">
              <w:rPr>
                <w:sz w:val="20"/>
              </w:rPr>
              <w:t xml:space="preserve"> </w:t>
            </w:r>
            <w:r>
              <w:rPr>
                <w:sz w:val="20"/>
              </w:rPr>
              <w:t xml:space="preserve">преструктуриране при изпълнението на </w:t>
            </w:r>
            <w:r w:rsidR="004677D6">
              <w:rPr>
                <w:sz w:val="20"/>
                <w:lang w:val="bg-BG"/>
              </w:rPr>
              <w:t>ПОД</w:t>
            </w:r>
          </w:p>
          <w:p w14:paraId="7FE1C5EC" w14:textId="77777777" w:rsidR="00FE5D64" w:rsidRDefault="00E40776">
            <w:pPr>
              <w:pStyle w:val="P68B1DB1-Normal67"/>
              <w:spacing w:line="276" w:lineRule="auto"/>
              <w:jc w:val="both"/>
              <w:rPr>
                <w:iCs/>
                <w:sz w:val="20"/>
              </w:rPr>
            </w:pPr>
            <w:r>
              <w:t>„</w:t>
            </w:r>
            <w:r>
              <w:rPr>
                <w:sz w:val="20"/>
              </w:rPr>
              <w:t>Без оценка“ — ако не е направена оценка</w:t>
            </w:r>
          </w:p>
          <w:p w14:paraId="7FE1C5ED" w14:textId="268BF9E9" w:rsidR="00FE5D64" w:rsidRDefault="00700303">
            <w:pPr>
              <w:pStyle w:val="P68B1DB1-Normal67"/>
              <w:spacing w:line="276" w:lineRule="auto"/>
              <w:jc w:val="both"/>
              <w:rPr>
                <w:iCs/>
                <w:sz w:val="20"/>
              </w:rPr>
            </w:pPr>
            <w:r>
              <w:t>„</w:t>
            </w:r>
            <w:r w:rsidR="004677D6">
              <w:rPr>
                <w:sz w:val="20"/>
                <w:lang w:val="bg-BG"/>
              </w:rPr>
              <w:t>Не е приложимо</w:t>
            </w:r>
            <w:r w:rsidR="00E40776">
              <w:rPr>
                <w:sz w:val="20"/>
              </w:rPr>
              <w:t>“ — за услуги</w:t>
            </w:r>
            <w:r w:rsidR="004677D6">
              <w:rPr>
                <w:sz w:val="20"/>
                <w:lang w:val="bg-BG"/>
              </w:rPr>
              <w:t xml:space="preserve"> в рамките на субекта</w:t>
            </w:r>
            <w:r w:rsidR="00E40776">
              <w:rPr>
                <w:sz w:val="20"/>
              </w:rPr>
              <w:t xml:space="preserve"> или за вътрешногрупови и външни услуги, ако стратегията за преструктуриране (предпочитана и </w:t>
            </w:r>
            <w:r>
              <w:rPr>
                <w:sz w:val="20"/>
                <w:lang w:val="bg-BG"/>
              </w:rPr>
              <w:t>алтернативна</w:t>
            </w:r>
            <w:r w:rsidR="00E40776">
              <w:rPr>
                <w:sz w:val="20"/>
              </w:rPr>
              <w:t xml:space="preserve">) не изисква план за </w:t>
            </w:r>
            <w:r>
              <w:rPr>
                <w:sz w:val="20"/>
                <w:lang w:val="bg-BG"/>
              </w:rPr>
              <w:t>оздравяване</w:t>
            </w:r>
            <w:r>
              <w:rPr>
                <w:sz w:val="20"/>
              </w:rPr>
              <w:t xml:space="preserve"> </w:t>
            </w:r>
            <w:r w:rsidR="00E40776">
              <w:rPr>
                <w:sz w:val="20"/>
              </w:rPr>
              <w:t xml:space="preserve">на дейността </w:t>
            </w:r>
          </w:p>
          <w:p w14:paraId="7FE1C5EE" w14:textId="77777777" w:rsidR="00FE5D64" w:rsidRDefault="00FE5D64">
            <w:pPr>
              <w:spacing w:line="276" w:lineRule="auto"/>
              <w:jc w:val="both"/>
              <w:rPr>
                <w:rFonts w:ascii="Times New Roman" w:hAnsi="Times New Roman"/>
                <w:i/>
                <w:sz w:val="20"/>
              </w:rPr>
            </w:pPr>
          </w:p>
        </w:tc>
      </w:tr>
      <w:tr w:rsidR="00FE5D64" w14:paraId="7FE1C5F9" w14:textId="77777777">
        <w:trPr>
          <w:trHeight w:val="463"/>
        </w:trPr>
        <w:tc>
          <w:tcPr>
            <w:tcW w:w="1418" w:type="dxa"/>
            <w:shd w:val="clear" w:color="auto" w:fill="FFFFFF" w:themeFill="background1"/>
          </w:tcPr>
          <w:p w14:paraId="7FE1C5F0" w14:textId="77777777" w:rsidR="00FE5D64" w:rsidRDefault="00E40776">
            <w:pPr>
              <w:pStyle w:val="P68B1DB1-Normal64"/>
              <w:spacing w:before="120" w:after="120" w:line="276" w:lineRule="auto"/>
              <w:rPr>
                <w:szCs w:val="20"/>
              </w:rPr>
            </w:pPr>
            <w:r>
              <w:t>0120</w:t>
            </w:r>
          </w:p>
        </w:tc>
        <w:tc>
          <w:tcPr>
            <w:tcW w:w="7791" w:type="dxa"/>
            <w:shd w:val="clear" w:color="auto" w:fill="FFFFFF" w:themeFill="background1"/>
          </w:tcPr>
          <w:p w14:paraId="7FE1C5F1" w14:textId="62FF2B2C" w:rsidR="00FE5D64" w:rsidRDefault="00E40776">
            <w:pPr>
              <w:pStyle w:val="P68B1DB1-Normal64"/>
              <w:spacing w:line="276" w:lineRule="auto"/>
              <w:jc w:val="both"/>
            </w:pPr>
            <w:r>
              <w:rPr>
                <w:b/>
              </w:rPr>
              <w:t>Алтернативни смекчаващи действия</w:t>
            </w:r>
          </w:p>
          <w:p w14:paraId="7FE1C5F2" w14:textId="5D0001D8" w:rsidR="00FE5D64" w:rsidRDefault="00E40776">
            <w:pPr>
              <w:pStyle w:val="P68B1DB1-Normal64"/>
              <w:spacing w:line="276" w:lineRule="auto"/>
              <w:jc w:val="both"/>
            </w:pPr>
            <w:r>
              <w:t xml:space="preserve">Когато се очаква </w:t>
            </w:r>
            <w:r w:rsidR="00DC4660">
              <w:rPr>
                <w:lang w:val="bg-BG"/>
              </w:rPr>
              <w:t>постигане на</w:t>
            </w:r>
            <w:r>
              <w:t xml:space="preserve"> устойчивост </w:t>
            </w:r>
            <w:r w:rsidR="00DC4660">
              <w:rPr>
                <w:lang w:val="bg-BG"/>
              </w:rPr>
              <w:t>при</w:t>
            </w:r>
            <w:r w:rsidR="00DC4660">
              <w:t xml:space="preserve"> </w:t>
            </w:r>
            <w:r>
              <w:t xml:space="preserve">преструктуриране, но банките не са успели да го направят, от </w:t>
            </w:r>
            <w:r w:rsidR="00DC4660">
              <w:rPr>
                <w:lang w:val="bg-BG"/>
              </w:rPr>
              <w:t>тях</w:t>
            </w:r>
            <w:r w:rsidR="00DC4660">
              <w:t xml:space="preserve"> </w:t>
            </w:r>
            <w:r>
              <w:t>се очаква да проучат алтернативни действия за смекчаване на последиците.</w:t>
            </w:r>
          </w:p>
          <w:p w14:paraId="7FE1C5F3" w14:textId="77777777" w:rsidR="00FE5D64" w:rsidRDefault="00FE5D64">
            <w:pPr>
              <w:spacing w:line="276" w:lineRule="auto"/>
              <w:jc w:val="both"/>
              <w:rPr>
                <w:rFonts w:ascii="Times New Roman" w:hAnsi="Times New Roman"/>
                <w:sz w:val="20"/>
              </w:rPr>
            </w:pPr>
          </w:p>
          <w:p w14:paraId="7FE1C5F4" w14:textId="64539455" w:rsidR="00FE5D64" w:rsidRDefault="00DC4660">
            <w:pPr>
              <w:pStyle w:val="P68B1DB1-Normal64"/>
              <w:spacing w:line="276" w:lineRule="auto"/>
              <w:jc w:val="both"/>
              <w:rPr>
                <w:iCs/>
              </w:rPr>
            </w:pPr>
            <w:r>
              <w:rPr>
                <w:lang w:val="bg-BG"/>
              </w:rPr>
              <w:t>Посочва се</w:t>
            </w:r>
            <w:r>
              <w:t xml:space="preserve"> </w:t>
            </w:r>
            <w:r w:rsidR="00E40776">
              <w:t>едно от следните:</w:t>
            </w:r>
          </w:p>
          <w:p w14:paraId="7FE1C5F5" w14:textId="77777777" w:rsidR="00FE5D64" w:rsidRDefault="00E40776">
            <w:pPr>
              <w:pStyle w:val="P68B1DB1-Normal67"/>
              <w:spacing w:line="276" w:lineRule="auto"/>
              <w:jc w:val="both"/>
              <w:rPr>
                <w:iCs/>
                <w:sz w:val="20"/>
              </w:rPr>
            </w:pPr>
            <w:r>
              <w:t>„</w:t>
            </w:r>
            <w:r>
              <w:rPr>
                <w:sz w:val="20"/>
              </w:rPr>
              <w:t>Да“ — ако банката е предприела алтернативни смекчаващи действия</w:t>
            </w:r>
          </w:p>
          <w:p w14:paraId="7FE1C5F6" w14:textId="77777777" w:rsidR="00FE5D64" w:rsidRDefault="00E40776">
            <w:pPr>
              <w:pStyle w:val="P68B1DB1-Normal67"/>
              <w:spacing w:line="276" w:lineRule="auto"/>
              <w:jc w:val="both"/>
              <w:rPr>
                <w:iCs/>
                <w:sz w:val="20"/>
              </w:rPr>
            </w:pPr>
            <w:r>
              <w:t>„</w:t>
            </w:r>
            <w:r>
              <w:rPr>
                <w:sz w:val="20"/>
              </w:rPr>
              <w:t>Не“ — ако банката не е предприела алтернативни смекчаващи действия</w:t>
            </w:r>
          </w:p>
          <w:p w14:paraId="7FE1C5F7" w14:textId="131B028A" w:rsidR="00FE5D64" w:rsidRDefault="00DC4660">
            <w:pPr>
              <w:pStyle w:val="P68B1DB1-Normal67"/>
              <w:spacing w:line="276" w:lineRule="auto"/>
              <w:jc w:val="both"/>
              <w:rPr>
                <w:iCs/>
                <w:sz w:val="20"/>
              </w:rPr>
            </w:pPr>
            <w:r w:rsidRPr="001118F2">
              <w:rPr>
                <w:sz w:val="20"/>
                <w:szCs w:val="20"/>
                <w:lang w:val="bg-BG"/>
              </w:rPr>
              <w:t xml:space="preserve">„Не е приложимо“ </w:t>
            </w:r>
            <w:r w:rsidR="00E40776" w:rsidRPr="00DC4660">
              <w:rPr>
                <w:sz w:val="20"/>
                <w:szCs w:val="20"/>
              </w:rPr>
              <w:t xml:space="preserve">— в случаите, когато някоя от колони 0150 </w:t>
            </w:r>
            <w:r w:rsidR="00E40776">
              <w:rPr>
                <w:sz w:val="20"/>
              </w:rPr>
              <w:t>и 0160 е отбелязана с „Да</w:t>
            </w:r>
            <w:r w:rsidR="00700303">
              <w:rPr>
                <w:sz w:val="20"/>
                <w:lang w:val="bg-BG"/>
              </w:rPr>
              <w:t xml:space="preserve">“ </w:t>
            </w:r>
            <w:r w:rsidR="00E40776">
              <w:rPr>
                <w:sz w:val="20"/>
              </w:rPr>
              <w:t>или „</w:t>
            </w:r>
            <w:r>
              <w:rPr>
                <w:sz w:val="20"/>
                <w:lang w:val="bg-BG"/>
              </w:rPr>
              <w:t>Не е приложимо</w:t>
            </w:r>
            <w:r w:rsidR="00E40776">
              <w:rPr>
                <w:sz w:val="20"/>
              </w:rPr>
              <w:t>“</w:t>
            </w:r>
          </w:p>
          <w:p w14:paraId="7FE1C5F8" w14:textId="77777777" w:rsidR="00FE5D64" w:rsidRDefault="00FE5D64">
            <w:pPr>
              <w:spacing w:line="276" w:lineRule="auto"/>
              <w:jc w:val="both"/>
              <w:rPr>
                <w:rFonts w:ascii="Times New Roman" w:hAnsi="Times New Roman"/>
                <w:sz w:val="20"/>
              </w:rPr>
            </w:pPr>
          </w:p>
        </w:tc>
      </w:tr>
    </w:tbl>
    <w:p w14:paraId="7FE1C5FA" w14:textId="77777777" w:rsidR="00FE5D64" w:rsidRDefault="00FE5D64">
      <w:pPr>
        <w:rPr>
          <w:rFonts w:ascii="Times New Roman" w:eastAsia="Times New Roman" w:hAnsi="Times New Roman" w:cs="Times New Roman"/>
          <w:sz w:val="20"/>
          <w:szCs w:val="20"/>
          <w:u w:val="single"/>
        </w:rPr>
      </w:pPr>
    </w:p>
    <w:p w14:paraId="7FE1C5FB" w14:textId="77777777" w:rsidR="00FE5D64" w:rsidRDefault="00FE5D64">
      <w:pPr>
        <w:rPr>
          <w:rFonts w:ascii="Times New Roman" w:hAnsi="Times New Roman" w:cs="Times New Roman"/>
        </w:rPr>
      </w:pPr>
    </w:p>
    <w:p w14:paraId="7FE1C5FC" w14:textId="5A2DB7C6" w:rsidR="00FE5D64" w:rsidRDefault="00E40776">
      <w:pPr>
        <w:pStyle w:val="P68B1DB1-Instructionsberschrift25"/>
        <w:numPr>
          <w:ilvl w:val="1"/>
          <w:numId w:val="49"/>
        </w:numPr>
        <w:ind w:left="357" w:hanging="357"/>
        <w:rPr>
          <w:rFonts w:eastAsia="Calibri"/>
          <w:szCs w:val="20"/>
        </w:rPr>
      </w:pPr>
      <w:bookmarkStart w:id="142" w:name="_Toc208244474"/>
      <w:r>
        <w:t xml:space="preserve">Z 08.03 — </w:t>
      </w:r>
      <w:r w:rsidR="00B32B8C">
        <w:rPr>
          <w:lang w:val="bg-BG"/>
        </w:rPr>
        <w:t>Значими</w:t>
      </w:r>
      <w:r w:rsidR="00B32B8C">
        <w:t xml:space="preserve"> </w:t>
      </w:r>
      <w:r>
        <w:t xml:space="preserve">услуги — </w:t>
      </w:r>
      <w:r w:rsidR="00FE4BE9">
        <w:rPr>
          <w:lang w:val="bg-BG"/>
        </w:rPr>
        <w:t>онагледяване</w:t>
      </w:r>
      <w:r w:rsidR="00FE4BE9">
        <w:t xml:space="preserve"> </w:t>
      </w:r>
      <w:r>
        <w:t xml:space="preserve">на </w:t>
      </w:r>
      <w:r w:rsidR="00B32B8C">
        <w:rPr>
          <w:lang w:val="bg-BG"/>
        </w:rPr>
        <w:t>длъжностите</w:t>
      </w:r>
      <w:r w:rsidR="00B32B8C">
        <w:t xml:space="preserve"> </w:t>
      </w:r>
      <w:r>
        <w:t>(SERV 3)</w:t>
      </w:r>
      <w:bookmarkEnd w:id="142"/>
    </w:p>
    <w:p w14:paraId="7FE1C5FD" w14:textId="7F42A7C7" w:rsidR="00FE5D64" w:rsidRPr="001118F2" w:rsidRDefault="001A79CE">
      <w:pPr>
        <w:pStyle w:val="P68B1DB1-Normal50"/>
        <w:spacing w:line="276" w:lineRule="auto"/>
        <w:jc w:val="both"/>
        <w:rPr>
          <w:lang w:val="bg-BG"/>
        </w:rPr>
      </w:pPr>
      <w:r>
        <w:rPr>
          <w:lang w:val="bg-BG"/>
        </w:rPr>
        <w:t>Общи указания</w:t>
      </w:r>
    </w:p>
    <w:p w14:paraId="7FE1C5FE" w14:textId="138EB371" w:rsidR="00FE5D64" w:rsidRDefault="00E40776">
      <w:pPr>
        <w:pStyle w:val="P68B1DB1-Instructionsberschrift346"/>
        <w:numPr>
          <w:ilvl w:val="2"/>
          <w:numId w:val="211"/>
        </w:numPr>
        <w:ind w:left="993"/>
        <w:contextualSpacing/>
        <w:jc w:val="both"/>
      </w:pPr>
      <w:r>
        <w:rPr>
          <w:color w:val="auto"/>
          <w:szCs w:val="24"/>
        </w:rPr>
        <w:t xml:space="preserve">Информацията в този образец се </w:t>
      </w:r>
      <w:r w:rsidR="00B32B8C">
        <w:rPr>
          <w:color w:val="auto"/>
          <w:szCs w:val="24"/>
          <w:lang w:val="bg-BG"/>
        </w:rPr>
        <w:t>докладва</w:t>
      </w:r>
      <w:r w:rsidR="00B32B8C">
        <w:rPr>
          <w:color w:val="auto"/>
          <w:szCs w:val="24"/>
        </w:rPr>
        <w:t xml:space="preserve"> </w:t>
      </w:r>
      <w:r>
        <w:rPr>
          <w:color w:val="auto"/>
          <w:szCs w:val="24"/>
        </w:rPr>
        <w:t xml:space="preserve">веднъж за цялата група; изброяват се </w:t>
      </w:r>
      <w:r w:rsidR="00B32B8C">
        <w:rPr>
          <w:color w:val="auto"/>
          <w:szCs w:val="24"/>
          <w:lang w:val="bg-BG"/>
        </w:rPr>
        <w:t>значимите</w:t>
      </w:r>
      <w:r w:rsidR="00FE4BE9">
        <w:rPr>
          <w:color w:val="auto"/>
          <w:szCs w:val="24"/>
        </w:rPr>
        <w:t xml:space="preserve"> </w:t>
      </w:r>
      <w:r>
        <w:rPr>
          <w:color w:val="auto"/>
          <w:szCs w:val="24"/>
        </w:rPr>
        <w:t>услуги, ползвани от всеки субект в групата, и се свързват с</w:t>
      </w:r>
      <w:r w:rsidR="00FE4BE9">
        <w:rPr>
          <w:color w:val="auto"/>
          <w:szCs w:val="24"/>
          <w:lang w:val="bg-BG"/>
        </w:rPr>
        <w:t xml:space="preserve">ъс съответните </w:t>
      </w:r>
      <w:r w:rsidR="00B32B8C">
        <w:rPr>
          <w:color w:val="auto"/>
          <w:szCs w:val="24"/>
          <w:lang w:val="bg-BG"/>
        </w:rPr>
        <w:t>длъжности</w:t>
      </w:r>
      <w:r>
        <w:t>.</w:t>
      </w:r>
    </w:p>
    <w:p w14:paraId="7FE1C5FF" w14:textId="6486B523" w:rsidR="00FE5D64" w:rsidRDefault="00CE6271">
      <w:pPr>
        <w:pStyle w:val="P68B1DB1-Instructionsberschrift368"/>
        <w:numPr>
          <w:ilvl w:val="2"/>
          <w:numId w:val="211"/>
        </w:numPr>
        <w:ind w:left="993"/>
        <w:contextualSpacing/>
        <w:jc w:val="both"/>
      </w:pPr>
      <w:r>
        <w:rPr>
          <w:lang w:val="bg-BG"/>
        </w:rPr>
        <w:t>Комбинацията на с</w:t>
      </w:r>
      <w:r w:rsidR="00E40776">
        <w:t>тойностите, отчетени в колони 0010, 0020 и 0030 от този образец, формира първичен код, който трябва да е уникален за всеки ред от образеца.</w:t>
      </w:r>
    </w:p>
    <w:p w14:paraId="7FE1C604" w14:textId="77777777" w:rsidR="00FE5D64" w:rsidRDefault="00FE5D6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FE5D64" w14:paraId="7FE1C607" w14:textId="77777777">
        <w:trPr>
          <w:trHeight w:val="519"/>
          <w:tblHeader/>
        </w:trPr>
        <w:tc>
          <w:tcPr>
            <w:tcW w:w="1418" w:type="dxa"/>
            <w:shd w:val="clear" w:color="auto" w:fill="D9D9D9" w:themeFill="background1" w:themeFillShade="D9"/>
          </w:tcPr>
          <w:p w14:paraId="7FE1C605" w14:textId="77777777" w:rsidR="00FE5D64" w:rsidRDefault="00E40776">
            <w:pPr>
              <w:pStyle w:val="P68B1DB1-Normal61"/>
              <w:spacing w:before="120" w:after="120" w:line="276" w:lineRule="auto"/>
            </w:pPr>
            <w:r>
              <w:t>Колони</w:t>
            </w:r>
          </w:p>
        </w:tc>
        <w:tc>
          <w:tcPr>
            <w:tcW w:w="7649" w:type="dxa"/>
            <w:shd w:val="clear" w:color="auto" w:fill="D9D9D9" w:themeFill="background1" w:themeFillShade="D9"/>
          </w:tcPr>
          <w:p w14:paraId="7FE1C606" w14:textId="77777777" w:rsidR="00FE5D64" w:rsidRDefault="00E40776">
            <w:pPr>
              <w:pStyle w:val="P68B1DB1-Normal61"/>
              <w:spacing w:before="120" w:after="120" w:line="276" w:lineRule="auto"/>
            </w:pPr>
            <w:r>
              <w:t>Указания</w:t>
            </w:r>
          </w:p>
        </w:tc>
      </w:tr>
      <w:tr w:rsidR="00FE5D64" w14:paraId="7FE1C60C" w14:textId="77777777">
        <w:trPr>
          <w:trHeight w:val="450"/>
        </w:trPr>
        <w:tc>
          <w:tcPr>
            <w:tcW w:w="1418" w:type="dxa"/>
          </w:tcPr>
          <w:p w14:paraId="7FE1C608" w14:textId="77777777" w:rsidR="00FE5D64" w:rsidRDefault="00E40776">
            <w:pPr>
              <w:pStyle w:val="P68B1DB1-Normal62"/>
              <w:spacing w:before="120" w:after="120" w:line="276" w:lineRule="auto"/>
            </w:pPr>
            <w:r>
              <w:t>0005</w:t>
            </w:r>
          </w:p>
        </w:tc>
        <w:tc>
          <w:tcPr>
            <w:tcW w:w="7649" w:type="dxa"/>
          </w:tcPr>
          <w:p w14:paraId="7FE1C609" w14:textId="12136FED" w:rsidR="00FE5D64" w:rsidRDefault="00B32B8C">
            <w:pPr>
              <w:pStyle w:val="P68B1DB1-Normal61"/>
              <w:spacing w:before="120" w:after="120" w:line="276" w:lineRule="auto"/>
              <w:rPr>
                <w:bCs/>
              </w:rPr>
            </w:pPr>
            <w:r>
              <w:rPr>
                <w:lang w:val="bg-BG"/>
              </w:rPr>
              <w:t>И</w:t>
            </w:r>
            <w:r w:rsidR="00E40776">
              <w:t>дентификатор на услугата</w:t>
            </w:r>
          </w:p>
          <w:p w14:paraId="7FE1C60A" w14:textId="0EB992AB" w:rsidR="00FE5D64" w:rsidRDefault="00E40776">
            <w:pPr>
              <w:pStyle w:val="P68B1DB1-Normal62"/>
              <w:spacing w:before="120" w:after="120" w:line="276" w:lineRule="auto"/>
            </w:pPr>
            <w:r>
              <w:t xml:space="preserve">Използва се идентификаторът на услугата, </w:t>
            </w:r>
            <w:r w:rsidR="00B32B8C">
              <w:rPr>
                <w:lang w:val="bg-BG"/>
              </w:rPr>
              <w:t>посочен</w:t>
            </w:r>
            <w:r w:rsidR="00B33C88">
              <w:t xml:space="preserve"> </w:t>
            </w:r>
            <w:r>
              <w:t>в Z 08.01 (SERV 1).</w:t>
            </w:r>
          </w:p>
          <w:p w14:paraId="7FE1C60B" w14:textId="003C6D1C" w:rsidR="00FE5D64" w:rsidRDefault="00E40776" w:rsidP="00DD0B36">
            <w:pPr>
              <w:pStyle w:val="P68B1DB1-Normal62"/>
              <w:spacing w:before="120" w:after="120" w:line="276" w:lineRule="auto"/>
              <w:rPr>
                <w:iCs/>
              </w:rPr>
            </w:pPr>
            <w:r>
              <w:t xml:space="preserve">Идентификаторът на услугата се отнася до услугата, </w:t>
            </w:r>
            <w:r w:rsidR="00B32B8C">
              <w:rPr>
                <w:lang w:val="bg-BG"/>
              </w:rPr>
              <w:t>посочена</w:t>
            </w:r>
            <w:r w:rsidR="00DD0B36">
              <w:t xml:space="preserve"> </w:t>
            </w:r>
            <w:r>
              <w:t>в c0020.</w:t>
            </w:r>
          </w:p>
        </w:tc>
      </w:tr>
      <w:tr w:rsidR="00FE5D64" w14:paraId="7FE1C650" w14:textId="77777777">
        <w:trPr>
          <w:trHeight w:val="450"/>
        </w:trPr>
        <w:tc>
          <w:tcPr>
            <w:tcW w:w="1418" w:type="dxa"/>
          </w:tcPr>
          <w:p w14:paraId="7FE1C60D" w14:textId="77777777" w:rsidR="00FE5D64" w:rsidRDefault="00E40776">
            <w:pPr>
              <w:pStyle w:val="P68B1DB1-Normal62"/>
              <w:spacing w:before="120" w:after="120" w:line="276" w:lineRule="auto"/>
            </w:pPr>
            <w:r>
              <w:t>0010</w:t>
            </w:r>
          </w:p>
        </w:tc>
        <w:tc>
          <w:tcPr>
            <w:tcW w:w="7649" w:type="dxa"/>
          </w:tcPr>
          <w:p w14:paraId="7FE1C60E" w14:textId="77777777" w:rsidR="00FE5D64" w:rsidRDefault="00E40776">
            <w:pPr>
              <w:pStyle w:val="P68B1DB1-Normal61"/>
              <w:autoSpaceDE w:val="0"/>
              <w:autoSpaceDN w:val="0"/>
              <w:adjustRightInd w:val="0"/>
              <w:rPr>
                <w:rFonts w:eastAsia="MS Mincho"/>
                <w:bCs/>
              </w:rPr>
            </w:pPr>
            <w:r>
              <w:t xml:space="preserve">Вид услуга </w:t>
            </w:r>
          </w:p>
          <w:p w14:paraId="7FE1C645" w14:textId="16F8EA34" w:rsidR="00FE5D64" w:rsidRDefault="00E40776">
            <w:pPr>
              <w:pStyle w:val="P68B1DB1-Normal63"/>
              <w:autoSpaceDE w:val="0"/>
              <w:autoSpaceDN w:val="0"/>
              <w:adjustRightInd w:val="0"/>
            </w:pPr>
            <w:r>
              <w:t>Видът на услугата е един от видовете услуги, изброени в Z 08.01 </w:t>
            </w:r>
            <w:r w:rsidR="00B32B8C">
              <w:rPr>
                <w:lang w:val="bg-BG"/>
              </w:rPr>
              <w:t>с</w:t>
            </w:r>
            <w:r>
              <w:t xml:space="preserve">0010 по-горе. </w:t>
            </w:r>
          </w:p>
          <w:p w14:paraId="7FE1C64F" w14:textId="2C039B1C" w:rsidR="00FE5D64" w:rsidRDefault="00FE5D64">
            <w:pPr>
              <w:spacing w:before="120" w:after="120" w:line="276" w:lineRule="auto"/>
              <w:rPr>
                <w:rFonts w:ascii="Times New Roman" w:hAnsi="Times New Roman"/>
                <w:sz w:val="20"/>
                <w:szCs w:val="20"/>
              </w:rPr>
            </w:pPr>
          </w:p>
        </w:tc>
      </w:tr>
      <w:tr w:rsidR="00FE5D64" w14:paraId="7FE1C655" w14:textId="77777777">
        <w:trPr>
          <w:trHeight w:val="450"/>
        </w:trPr>
        <w:tc>
          <w:tcPr>
            <w:tcW w:w="1418" w:type="dxa"/>
          </w:tcPr>
          <w:p w14:paraId="7FE1C651" w14:textId="77777777" w:rsidR="00FE5D64" w:rsidRDefault="00E40776">
            <w:pPr>
              <w:pStyle w:val="P68B1DB1-Normal62"/>
              <w:spacing w:before="120" w:after="120" w:line="276" w:lineRule="auto"/>
            </w:pPr>
            <w:r>
              <w:t>0020</w:t>
            </w:r>
          </w:p>
        </w:tc>
        <w:tc>
          <w:tcPr>
            <w:tcW w:w="7649" w:type="dxa"/>
          </w:tcPr>
          <w:p w14:paraId="7FE1C652" w14:textId="77777777" w:rsidR="00FE5D64" w:rsidRDefault="00E40776">
            <w:pPr>
              <w:pStyle w:val="P68B1DB1-Normal65"/>
              <w:spacing w:line="276" w:lineRule="auto"/>
              <w:jc w:val="both"/>
            </w:pPr>
            <w:r>
              <w:rPr>
                <w:szCs w:val="20"/>
              </w:rPr>
              <w:t>Уникално наименование на услугата съгласно таксономията на банката</w:t>
            </w:r>
            <w:r>
              <w:t xml:space="preserve"> </w:t>
            </w:r>
          </w:p>
          <w:p w14:paraId="7FE1C653" w14:textId="511B5429" w:rsidR="00FE5D64" w:rsidRDefault="00E40776">
            <w:pPr>
              <w:pStyle w:val="P68B1DB1-Normal64"/>
              <w:rPr>
                <w:rFonts w:eastAsiaTheme="minorHAnsi"/>
                <w:sz w:val="24"/>
              </w:rPr>
            </w:pPr>
            <w:r>
              <w:t>Наименование/кратко описание на услугата според собствената диференцирана таксономия на банката (</w:t>
            </w:r>
            <w:r w:rsidR="00334C2C">
              <w:rPr>
                <w:lang w:val="bg-BG"/>
              </w:rPr>
              <w:t>Н</w:t>
            </w:r>
            <w:r>
              <w:t xml:space="preserve">иво 3), както е </w:t>
            </w:r>
            <w:r w:rsidR="00B32B8C">
              <w:rPr>
                <w:lang w:val="bg-BG"/>
              </w:rPr>
              <w:t>посочено</w:t>
            </w:r>
            <w:r w:rsidR="00B32B8C">
              <w:t xml:space="preserve"> </w:t>
            </w:r>
            <w:r>
              <w:t xml:space="preserve">в Z 08.01 (SERV 1), колона 0020. От банката се очаква да отчита услугите на по-детайлно ниво от предвиденото за </w:t>
            </w:r>
            <w:r w:rsidR="00334C2C">
              <w:rPr>
                <w:lang w:val="bg-BG"/>
              </w:rPr>
              <w:t>Н</w:t>
            </w:r>
            <w:r>
              <w:t xml:space="preserve">иво 2 (c0010), така че всяка конкретна услуга да бъде определена точно и </w:t>
            </w:r>
            <w:r w:rsidR="00B32B8C">
              <w:rPr>
                <w:lang w:val="bg-BG"/>
              </w:rPr>
              <w:t>целесъобразно</w:t>
            </w:r>
            <w:r>
              <w:t>.</w:t>
            </w:r>
          </w:p>
          <w:p w14:paraId="7FE1C654" w14:textId="77777777" w:rsidR="00FE5D64" w:rsidRDefault="00FE5D64">
            <w:pPr>
              <w:spacing w:before="120" w:after="120" w:line="276" w:lineRule="auto"/>
              <w:rPr>
                <w:rFonts w:ascii="Times New Roman" w:hAnsi="Times New Roman"/>
                <w:sz w:val="20"/>
                <w:szCs w:val="20"/>
              </w:rPr>
            </w:pPr>
          </w:p>
        </w:tc>
      </w:tr>
      <w:tr w:rsidR="00FE5D64" w14:paraId="7FE1C65A" w14:textId="77777777">
        <w:trPr>
          <w:trHeight w:val="450"/>
        </w:trPr>
        <w:tc>
          <w:tcPr>
            <w:tcW w:w="1418" w:type="dxa"/>
          </w:tcPr>
          <w:p w14:paraId="7FE1C656" w14:textId="77777777" w:rsidR="00FE5D64" w:rsidRDefault="00E40776">
            <w:pPr>
              <w:pStyle w:val="P68B1DB1-Normal62"/>
              <w:spacing w:before="120" w:after="120" w:line="276" w:lineRule="auto"/>
              <w:rPr>
                <w:b/>
              </w:rPr>
            </w:pPr>
            <w:r>
              <w:t>0030</w:t>
            </w:r>
          </w:p>
        </w:tc>
        <w:tc>
          <w:tcPr>
            <w:tcW w:w="7649" w:type="dxa"/>
          </w:tcPr>
          <w:p w14:paraId="7FE1C657" w14:textId="494AC2D5" w:rsidR="00FE5D64" w:rsidRDefault="00E40776">
            <w:pPr>
              <w:pStyle w:val="P68B1DB1-Normal65"/>
              <w:spacing w:before="120" w:after="120" w:line="276" w:lineRule="auto"/>
              <w:rPr>
                <w:bCs/>
              </w:rPr>
            </w:pPr>
            <w:r>
              <w:rPr>
                <w:szCs w:val="20"/>
              </w:rPr>
              <w:t xml:space="preserve">Идентификационен номер на </w:t>
            </w:r>
            <w:r w:rsidR="00A4562B">
              <w:rPr>
                <w:szCs w:val="20"/>
                <w:lang w:val="bg-BG"/>
              </w:rPr>
              <w:t>длъжността</w:t>
            </w:r>
            <w:r w:rsidR="00A4562B">
              <w:t xml:space="preserve"> </w:t>
            </w:r>
          </w:p>
          <w:p w14:paraId="7FE1C658" w14:textId="1A94583E" w:rsidR="00FE5D64" w:rsidRDefault="00E40776">
            <w:pPr>
              <w:pStyle w:val="P68B1DB1-Normal64"/>
              <w:spacing w:before="120" w:after="120" w:line="276" w:lineRule="auto"/>
            </w:pPr>
            <w:r>
              <w:t xml:space="preserve">Идентификаторът на ролята се отнася до </w:t>
            </w:r>
            <w:r w:rsidR="00A4562B">
              <w:rPr>
                <w:lang w:val="bg-BG"/>
              </w:rPr>
              <w:t>длъжността</w:t>
            </w:r>
            <w:r>
              <w:t xml:space="preserve">, </w:t>
            </w:r>
            <w:r w:rsidR="00B32B8C">
              <w:rPr>
                <w:lang w:val="bg-BG"/>
              </w:rPr>
              <w:t>посочена</w:t>
            </w:r>
            <w:r w:rsidR="00B32B8C">
              <w:t xml:space="preserve"> </w:t>
            </w:r>
            <w:r>
              <w:t>в c0040.</w:t>
            </w:r>
          </w:p>
          <w:p w14:paraId="7FE1C659" w14:textId="77777777" w:rsidR="00FE5D64" w:rsidRDefault="00FE5D64">
            <w:pPr>
              <w:spacing w:before="120" w:after="120" w:line="276" w:lineRule="auto"/>
              <w:rPr>
                <w:rFonts w:ascii="Times New Roman" w:hAnsi="Times New Roman"/>
                <w:sz w:val="20"/>
                <w:szCs w:val="20"/>
              </w:rPr>
            </w:pPr>
          </w:p>
        </w:tc>
      </w:tr>
      <w:tr w:rsidR="00FE5D64" w14:paraId="7FE1C65F" w14:textId="77777777">
        <w:trPr>
          <w:trHeight w:val="450"/>
        </w:trPr>
        <w:tc>
          <w:tcPr>
            <w:tcW w:w="1418" w:type="dxa"/>
          </w:tcPr>
          <w:p w14:paraId="7FE1C65B" w14:textId="77777777" w:rsidR="00FE5D64" w:rsidRDefault="00E40776">
            <w:pPr>
              <w:pStyle w:val="P68B1DB1-Normal62"/>
              <w:spacing w:before="120" w:after="120" w:line="276" w:lineRule="auto"/>
            </w:pPr>
            <w:r>
              <w:t>0040</w:t>
            </w:r>
          </w:p>
        </w:tc>
        <w:tc>
          <w:tcPr>
            <w:tcW w:w="7649" w:type="dxa"/>
          </w:tcPr>
          <w:p w14:paraId="7FE1C65C" w14:textId="480A0330" w:rsidR="00FE5D64" w:rsidRPr="00A4562B" w:rsidRDefault="00E40776">
            <w:pPr>
              <w:pStyle w:val="P68B1DB1-Normal61"/>
              <w:spacing w:before="120" w:after="120" w:line="276" w:lineRule="auto"/>
              <w:rPr>
                <w:bCs/>
                <w:lang w:val="bg-BG"/>
              </w:rPr>
            </w:pPr>
            <w:r>
              <w:t xml:space="preserve">Име на </w:t>
            </w:r>
            <w:r w:rsidR="00A4562B">
              <w:rPr>
                <w:lang w:val="bg-BG"/>
              </w:rPr>
              <w:t>длъжността</w:t>
            </w:r>
          </w:p>
          <w:p w14:paraId="7FE1C65D" w14:textId="432918E9" w:rsidR="00FE5D64" w:rsidRDefault="00E40776">
            <w:pPr>
              <w:pStyle w:val="P68B1DB1-Normal64"/>
              <w:spacing w:line="276" w:lineRule="auto"/>
              <w:jc w:val="both"/>
            </w:pPr>
            <w:r>
              <w:t xml:space="preserve">Вътрешното наименование, използвано за конкретната </w:t>
            </w:r>
            <w:r w:rsidR="00A4562B">
              <w:rPr>
                <w:lang w:val="bg-BG"/>
              </w:rPr>
              <w:t>длъжност</w:t>
            </w:r>
            <w:r>
              <w:t>.</w:t>
            </w:r>
          </w:p>
          <w:p w14:paraId="7FE1C65E" w14:textId="77777777" w:rsidR="00FE5D64" w:rsidRDefault="00FE5D64">
            <w:pPr>
              <w:spacing w:before="120" w:after="120" w:line="276" w:lineRule="auto"/>
              <w:rPr>
                <w:rFonts w:ascii="Times New Roman" w:hAnsi="Times New Roman"/>
                <w:sz w:val="20"/>
                <w:szCs w:val="20"/>
              </w:rPr>
            </w:pPr>
          </w:p>
        </w:tc>
      </w:tr>
      <w:tr w:rsidR="00FE5D64" w14:paraId="7FE1C664" w14:textId="77777777">
        <w:trPr>
          <w:trHeight w:val="450"/>
        </w:trPr>
        <w:tc>
          <w:tcPr>
            <w:tcW w:w="1418" w:type="dxa"/>
          </w:tcPr>
          <w:p w14:paraId="7FE1C660" w14:textId="77777777" w:rsidR="00FE5D64" w:rsidRDefault="00E40776">
            <w:pPr>
              <w:pStyle w:val="P68B1DB1-Normal62"/>
              <w:spacing w:before="120" w:after="120" w:line="276" w:lineRule="auto"/>
            </w:pPr>
            <w:r>
              <w:t>0050</w:t>
            </w:r>
          </w:p>
        </w:tc>
        <w:tc>
          <w:tcPr>
            <w:tcW w:w="7649" w:type="dxa"/>
          </w:tcPr>
          <w:p w14:paraId="7FE1C661" w14:textId="1AAD7FA2" w:rsidR="00FE5D64" w:rsidRPr="003220B9" w:rsidRDefault="00A4562B">
            <w:pPr>
              <w:pStyle w:val="P68B1DB1-Normal61"/>
              <w:spacing w:before="120" w:after="120" w:line="276" w:lineRule="auto"/>
              <w:rPr>
                <w:bCs/>
                <w:lang w:val="bg-BG"/>
              </w:rPr>
            </w:pPr>
            <w:r>
              <w:rPr>
                <w:lang w:val="bg-BG"/>
              </w:rPr>
              <w:t xml:space="preserve">Звено </w:t>
            </w:r>
          </w:p>
          <w:p w14:paraId="7FE1C662" w14:textId="0D062D4A" w:rsidR="00FE5D64" w:rsidRDefault="00E40776">
            <w:pPr>
              <w:pStyle w:val="P68B1DB1-Normal64"/>
              <w:spacing w:line="276" w:lineRule="auto"/>
              <w:jc w:val="both"/>
            </w:pPr>
            <w:r>
              <w:t>Вътрешното наименование, използвано за конкретния отдел</w:t>
            </w:r>
            <w:r w:rsidR="00A4562B">
              <w:rPr>
                <w:lang w:val="bg-BG"/>
              </w:rPr>
              <w:t>/звено</w:t>
            </w:r>
            <w:r>
              <w:t xml:space="preserve">, към който принадлежи </w:t>
            </w:r>
            <w:r w:rsidR="00A4562B">
              <w:rPr>
                <w:lang w:val="bg-BG"/>
              </w:rPr>
              <w:t>длъжността</w:t>
            </w:r>
            <w:r>
              <w:t xml:space="preserve"> в c0040.</w:t>
            </w:r>
          </w:p>
          <w:p w14:paraId="7FE1C663" w14:textId="77777777" w:rsidR="00FE5D64" w:rsidRDefault="00FE5D64">
            <w:pPr>
              <w:spacing w:line="276" w:lineRule="auto"/>
              <w:jc w:val="both"/>
              <w:rPr>
                <w:rFonts w:ascii="Times New Roman" w:hAnsi="Times New Roman"/>
                <w:iCs/>
                <w:sz w:val="20"/>
              </w:rPr>
            </w:pPr>
          </w:p>
        </w:tc>
      </w:tr>
      <w:tr w:rsidR="00FE5D64" w14:paraId="7FE1C66C" w14:textId="77777777">
        <w:trPr>
          <w:trHeight w:val="450"/>
        </w:trPr>
        <w:tc>
          <w:tcPr>
            <w:tcW w:w="1418" w:type="dxa"/>
          </w:tcPr>
          <w:p w14:paraId="7FE1C665" w14:textId="77777777" w:rsidR="00FE5D64" w:rsidRDefault="00E40776">
            <w:pPr>
              <w:pStyle w:val="P68B1DB1-Normal62"/>
              <w:spacing w:before="120" w:after="120" w:line="276" w:lineRule="auto"/>
            </w:pPr>
            <w:r>
              <w:t>0060</w:t>
            </w:r>
          </w:p>
        </w:tc>
        <w:tc>
          <w:tcPr>
            <w:tcW w:w="7649" w:type="dxa"/>
          </w:tcPr>
          <w:p w14:paraId="7FE1C666" w14:textId="77777777" w:rsidR="00FE5D64" w:rsidRDefault="00E40776">
            <w:pPr>
              <w:pStyle w:val="P68B1DB1-Normal61"/>
              <w:spacing w:before="120" w:after="120" w:line="276" w:lineRule="auto"/>
              <w:rPr>
                <w:bCs/>
              </w:rPr>
            </w:pPr>
            <w:r>
              <w:t>Критичност</w:t>
            </w:r>
          </w:p>
          <w:p w14:paraId="7FE1C667" w14:textId="410435A4" w:rsidR="00FE5D64" w:rsidRDefault="00A4562B">
            <w:pPr>
              <w:pStyle w:val="P68B1DB1-Normal64"/>
              <w:spacing w:line="276" w:lineRule="auto"/>
              <w:jc w:val="both"/>
              <w:rPr>
                <w:iCs/>
              </w:rPr>
            </w:pPr>
            <w:r>
              <w:rPr>
                <w:lang w:val="bg-BG"/>
              </w:rPr>
              <w:t>Посочва се</w:t>
            </w:r>
            <w:r>
              <w:t xml:space="preserve"> </w:t>
            </w:r>
            <w:r w:rsidR="00E40776">
              <w:t>едно от следните:</w:t>
            </w:r>
          </w:p>
          <w:p w14:paraId="7FE1C668" w14:textId="38F0296E" w:rsidR="00FE5D64" w:rsidRDefault="00E40776">
            <w:pPr>
              <w:pStyle w:val="P68B1DB1-ListParagraph58"/>
              <w:numPr>
                <w:ilvl w:val="0"/>
                <w:numId w:val="236"/>
              </w:numPr>
              <w:spacing w:line="276" w:lineRule="auto"/>
              <w:contextualSpacing/>
              <w:jc w:val="both"/>
              <w:rPr>
                <w:iCs/>
              </w:rPr>
            </w:pPr>
            <w:r>
              <w:t xml:space="preserve">Критична: ако услугата е необходима за изпълнението на една или повече критични функции, чието прекъсване би </w:t>
            </w:r>
            <w:r w:rsidR="0067301A">
              <w:rPr>
                <w:lang w:val="bg-BG"/>
              </w:rPr>
              <w:t>затруднило</w:t>
            </w:r>
            <w:r>
              <w:t xml:space="preserve"> сериозно или би възпрепятствало изпълнението на тези критични функции.</w:t>
            </w:r>
          </w:p>
          <w:p w14:paraId="7FE1C669" w14:textId="69BC76D7" w:rsidR="00FE5D64" w:rsidRDefault="00A4562B">
            <w:pPr>
              <w:pStyle w:val="P68B1DB1-ListParagraph58"/>
              <w:numPr>
                <w:ilvl w:val="0"/>
                <w:numId w:val="236"/>
              </w:numPr>
              <w:spacing w:line="276" w:lineRule="auto"/>
              <w:contextualSpacing/>
              <w:jc w:val="both"/>
              <w:rPr>
                <w:iCs/>
              </w:rPr>
            </w:pPr>
            <w:r>
              <w:rPr>
                <w:lang w:val="bg-BG"/>
              </w:rPr>
              <w:t>Важна</w:t>
            </w:r>
            <w:r w:rsidR="00E40776">
              <w:t xml:space="preserve">: ако услугата е свързана с основни стопански дейности, чиято непрекъснатост е необходима за ефективното изпълнение на стратегията за преструктуриране и всяко последващо </w:t>
            </w:r>
            <w:r w:rsidR="0067301A">
              <w:rPr>
                <w:lang w:val="bg-BG"/>
              </w:rPr>
              <w:t>преобразуване</w:t>
            </w:r>
            <w:r w:rsidR="00E40776">
              <w:t>.</w:t>
            </w:r>
          </w:p>
          <w:p w14:paraId="7FE1C66A" w14:textId="608B41C9" w:rsidR="00FE5D64" w:rsidRDefault="00E40776">
            <w:pPr>
              <w:pStyle w:val="P68B1DB1-ListParagraph58"/>
              <w:numPr>
                <w:ilvl w:val="0"/>
                <w:numId w:val="236"/>
              </w:numPr>
              <w:spacing w:line="276" w:lineRule="auto"/>
              <w:contextualSpacing/>
              <w:jc w:val="both"/>
              <w:rPr>
                <w:iCs/>
              </w:rPr>
            </w:pPr>
            <w:r>
              <w:t>Критичн</w:t>
            </w:r>
            <w:r w:rsidR="00A4562B">
              <w:rPr>
                <w:lang w:val="bg-BG"/>
              </w:rPr>
              <w:t>а</w:t>
            </w:r>
            <w:r>
              <w:t xml:space="preserve"> и </w:t>
            </w:r>
            <w:r w:rsidR="00A4562B">
              <w:rPr>
                <w:lang w:val="bg-BG"/>
              </w:rPr>
              <w:t>важна</w:t>
            </w:r>
          </w:p>
          <w:p w14:paraId="7FE1C66B" w14:textId="77777777" w:rsidR="00FE5D64" w:rsidRDefault="00FE5D64">
            <w:pPr>
              <w:spacing w:before="120" w:after="120" w:line="276" w:lineRule="auto"/>
              <w:rPr>
                <w:rFonts w:ascii="Times New Roman" w:hAnsi="Times New Roman"/>
                <w:sz w:val="20"/>
                <w:szCs w:val="20"/>
              </w:rPr>
            </w:pPr>
          </w:p>
        </w:tc>
      </w:tr>
    </w:tbl>
    <w:p w14:paraId="7FE1C6D5" w14:textId="77777777" w:rsidR="00FE5D64" w:rsidRDefault="00FE5D64">
      <w:pPr>
        <w:rPr>
          <w:rFonts w:ascii="Times New Roman" w:hAnsi="Times New Roman" w:cs="Times New Roman"/>
        </w:rPr>
      </w:pPr>
    </w:p>
    <w:p w14:paraId="7FE1C6D6" w14:textId="6375D874" w:rsidR="00FE5D64" w:rsidRDefault="00E40776">
      <w:pPr>
        <w:pStyle w:val="P68B1DB1-Instructionsberschrift25"/>
        <w:numPr>
          <w:ilvl w:val="1"/>
          <w:numId w:val="49"/>
        </w:numPr>
        <w:ind w:left="357" w:hanging="357"/>
        <w:rPr>
          <w:rFonts w:eastAsia="Calibri"/>
          <w:szCs w:val="20"/>
        </w:rPr>
      </w:pPr>
      <w:bookmarkStart w:id="143" w:name="_Toc208244475"/>
      <w:r>
        <w:t xml:space="preserve">Z 08.04 — Критични услуги — </w:t>
      </w:r>
      <w:r w:rsidR="00136B8C">
        <w:rPr>
          <w:lang w:val="bg-BG"/>
        </w:rPr>
        <w:t>онагледяване</w:t>
      </w:r>
      <w:r w:rsidR="00136B8C">
        <w:t xml:space="preserve"> </w:t>
      </w:r>
      <w:r w:rsidR="00A4562B">
        <w:rPr>
          <w:lang w:val="bg-BG"/>
        </w:rPr>
        <w:t>по</w:t>
      </w:r>
      <w:r w:rsidR="00A4562B">
        <w:t xml:space="preserve"> </w:t>
      </w:r>
      <w:r>
        <w:t>критични функции (SERV 4)</w:t>
      </w:r>
      <w:bookmarkEnd w:id="143"/>
    </w:p>
    <w:p w14:paraId="7FE1C6D7" w14:textId="3A4229F7" w:rsidR="00FE5D64" w:rsidRPr="00A4562B" w:rsidRDefault="00DA4B69">
      <w:pPr>
        <w:pStyle w:val="P68B1DB1-Instructionsberschrift269"/>
        <w:ind w:left="357"/>
        <w:rPr>
          <w:lang w:val="bg-BG"/>
        </w:rPr>
      </w:pPr>
      <w:bookmarkStart w:id="144" w:name="_Toc164263859"/>
      <w:bookmarkStart w:id="145" w:name="_Toc208244476"/>
      <w:r>
        <w:rPr>
          <w:lang w:val="bg-BG"/>
        </w:rPr>
        <w:t>Общи</w:t>
      </w:r>
      <w:r w:rsidR="00E40776">
        <w:t xml:space="preserve"> </w:t>
      </w:r>
      <w:bookmarkEnd w:id="144"/>
      <w:bookmarkEnd w:id="145"/>
      <w:r w:rsidR="001A79CE">
        <w:rPr>
          <w:lang w:val="bg-BG"/>
        </w:rPr>
        <w:t>указания</w:t>
      </w:r>
    </w:p>
    <w:p w14:paraId="7FE1C6D8" w14:textId="77777777" w:rsidR="00FE5D64" w:rsidRDefault="00FE5D64">
      <w:pPr>
        <w:spacing w:line="276" w:lineRule="auto"/>
        <w:jc w:val="both"/>
        <w:rPr>
          <w:rFonts w:ascii="Times New Roman" w:eastAsia="Calibri" w:hAnsi="Times New Roman" w:cs="Times New Roman"/>
          <w:sz w:val="20"/>
          <w:szCs w:val="20"/>
        </w:rPr>
      </w:pPr>
    </w:p>
    <w:p w14:paraId="7FE1C6D9" w14:textId="46E294B9" w:rsidR="00FE5D64" w:rsidRDefault="00E40776">
      <w:pPr>
        <w:pStyle w:val="P68B1DB1-ListParagraph53"/>
        <w:numPr>
          <w:ilvl w:val="0"/>
          <w:numId w:val="267"/>
        </w:numPr>
        <w:ind w:left="1418"/>
        <w:contextualSpacing/>
        <w:jc w:val="both"/>
      </w:pPr>
      <w:r>
        <w:t xml:space="preserve">Информацията в този образец се </w:t>
      </w:r>
      <w:r w:rsidR="00A4562B">
        <w:rPr>
          <w:lang w:val="bg-BG"/>
        </w:rPr>
        <w:t>докладва</w:t>
      </w:r>
      <w:r w:rsidR="00A4562B">
        <w:t xml:space="preserve"> </w:t>
      </w:r>
      <w:r>
        <w:t>веднъж за цялата група; изброяват се критичните услуги, ползвани от всеки субект в групата, и се свързват с критичните функции, изпълнявани от групата.</w:t>
      </w:r>
    </w:p>
    <w:p w14:paraId="7FE1C6DA" w14:textId="7D70674D" w:rsidR="00FE5D64" w:rsidRDefault="00CE6271">
      <w:pPr>
        <w:pStyle w:val="P68B1DB1-ListParagraph53"/>
        <w:numPr>
          <w:ilvl w:val="0"/>
          <w:numId w:val="267"/>
        </w:numPr>
        <w:ind w:left="1418"/>
        <w:contextualSpacing/>
        <w:jc w:val="both"/>
      </w:pPr>
      <w:r>
        <w:rPr>
          <w:lang w:val="bg-BG"/>
        </w:rPr>
        <w:t>Комбинацията на с</w:t>
      </w:r>
      <w:r w:rsidR="00E40776">
        <w:t>тойностите, отчетени в колони 0010, 0020, 0030 и 0040 от този образец, формира първичен код, който трябва да е уникален за всеки ред от образеца.</w:t>
      </w:r>
    </w:p>
    <w:p w14:paraId="7FE1C6DB" w14:textId="77777777" w:rsidR="00FE5D64" w:rsidRDefault="00FE5D6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FE5D64" w14:paraId="7FE1C6DE" w14:textId="77777777">
        <w:trPr>
          <w:trHeight w:val="445"/>
          <w:tblHeader/>
        </w:trPr>
        <w:tc>
          <w:tcPr>
            <w:tcW w:w="1418" w:type="dxa"/>
            <w:shd w:val="clear" w:color="auto" w:fill="E7E6E6"/>
          </w:tcPr>
          <w:p w14:paraId="7FE1C6DC" w14:textId="77777777" w:rsidR="00FE5D64" w:rsidRDefault="00E40776">
            <w:pPr>
              <w:pStyle w:val="P68B1DB1-Normal61"/>
              <w:spacing w:before="120" w:after="120" w:line="276" w:lineRule="auto"/>
            </w:pPr>
            <w:r>
              <w:t>Колони</w:t>
            </w:r>
          </w:p>
        </w:tc>
        <w:tc>
          <w:tcPr>
            <w:tcW w:w="7508" w:type="dxa"/>
            <w:shd w:val="clear" w:color="auto" w:fill="E7E6E6"/>
          </w:tcPr>
          <w:p w14:paraId="7FE1C6DD" w14:textId="77777777" w:rsidR="00FE5D64" w:rsidRDefault="00E40776">
            <w:pPr>
              <w:pStyle w:val="P68B1DB1-Normal61"/>
              <w:spacing w:before="120" w:after="120" w:line="276" w:lineRule="auto"/>
            </w:pPr>
            <w:r>
              <w:t>Указания</w:t>
            </w:r>
          </w:p>
        </w:tc>
      </w:tr>
      <w:tr w:rsidR="00FE5D64" w14:paraId="7FE1C6E3" w14:textId="77777777">
        <w:trPr>
          <w:trHeight w:val="450"/>
        </w:trPr>
        <w:tc>
          <w:tcPr>
            <w:tcW w:w="1418" w:type="dxa"/>
            <w:shd w:val="clear" w:color="auto" w:fill="FFFFFF"/>
          </w:tcPr>
          <w:p w14:paraId="7FE1C6DF" w14:textId="77777777" w:rsidR="00FE5D64" w:rsidRDefault="00E40776">
            <w:pPr>
              <w:pStyle w:val="P68B1DB1-Normal62"/>
              <w:spacing w:before="120" w:after="120" w:line="276" w:lineRule="auto"/>
            </w:pPr>
            <w:r>
              <w:t>0005</w:t>
            </w:r>
          </w:p>
        </w:tc>
        <w:tc>
          <w:tcPr>
            <w:tcW w:w="7508" w:type="dxa"/>
            <w:shd w:val="clear" w:color="auto" w:fill="FFFFFF"/>
          </w:tcPr>
          <w:p w14:paraId="7FE1C6E0" w14:textId="27F72AB5" w:rsidR="00FE5D64" w:rsidRPr="00A4562B" w:rsidRDefault="00A4562B">
            <w:pPr>
              <w:pStyle w:val="P68B1DB1-Normal61"/>
              <w:spacing w:before="120" w:after="120" w:line="276" w:lineRule="auto"/>
              <w:rPr>
                <w:lang w:val="bg-BG"/>
              </w:rPr>
            </w:pPr>
            <w:r>
              <w:rPr>
                <w:lang w:val="bg-BG"/>
              </w:rPr>
              <w:t>И</w:t>
            </w:r>
            <w:r w:rsidR="00E40776">
              <w:t>дентификатор на услугата</w:t>
            </w:r>
          </w:p>
          <w:p w14:paraId="7FE1C6E1" w14:textId="502E2C9B" w:rsidR="00FE5D64" w:rsidRDefault="00E40776">
            <w:pPr>
              <w:pStyle w:val="P68B1DB1-Normal62"/>
              <w:spacing w:before="120" w:after="120" w:line="276" w:lineRule="auto"/>
            </w:pPr>
            <w:r>
              <w:t xml:space="preserve">Използва се идентификаторът на услугата, </w:t>
            </w:r>
            <w:r w:rsidR="00A4562B">
              <w:rPr>
                <w:lang w:val="bg-BG"/>
              </w:rPr>
              <w:t>посочен</w:t>
            </w:r>
            <w:r w:rsidR="00B33C88">
              <w:t xml:space="preserve"> </w:t>
            </w:r>
            <w:r>
              <w:t>в Z 08.01 (SERV 1).</w:t>
            </w:r>
          </w:p>
          <w:p w14:paraId="7FE1C6E2" w14:textId="167221C2" w:rsidR="00FE5D64" w:rsidRDefault="00E40776" w:rsidP="002D604B">
            <w:pPr>
              <w:pStyle w:val="P68B1DB1-Normal62"/>
              <w:spacing w:before="120" w:after="120" w:line="276" w:lineRule="auto"/>
              <w:rPr>
                <w:i/>
              </w:rPr>
            </w:pPr>
            <w:r>
              <w:t xml:space="preserve">Идентификаторът на услугата се отнася до услугата, </w:t>
            </w:r>
            <w:r w:rsidR="00A4562B">
              <w:rPr>
                <w:lang w:val="bg-BG"/>
              </w:rPr>
              <w:t>посочен</w:t>
            </w:r>
            <w:r w:rsidR="002D604B">
              <w:t xml:space="preserve"> </w:t>
            </w:r>
            <w:r>
              <w:t>в c0020.</w:t>
            </w:r>
          </w:p>
        </w:tc>
      </w:tr>
      <w:tr w:rsidR="00FE5D64" w14:paraId="7FE1C727" w14:textId="77777777">
        <w:trPr>
          <w:trHeight w:val="450"/>
        </w:trPr>
        <w:tc>
          <w:tcPr>
            <w:tcW w:w="1418" w:type="dxa"/>
            <w:shd w:val="clear" w:color="auto" w:fill="FFFFFF"/>
          </w:tcPr>
          <w:p w14:paraId="7FE1C6E4" w14:textId="77777777" w:rsidR="00FE5D64" w:rsidRDefault="00E40776">
            <w:pPr>
              <w:pStyle w:val="P68B1DB1-Normal62"/>
              <w:spacing w:before="120" w:after="120" w:line="276" w:lineRule="auto"/>
            </w:pPr>
            <w:r>
              <w:t>0010</w:t>
            </w:r>
          </w:p>
        </w:tc>
        <w:tc>
          <w:tcPr>
            <w:tcW w:w="7508" w:type="dxa"/>
            <w:shd w:val="clear" w:color="auto" w:fill="FFFFFF"/>
          </w:tcPr>
          <w:p w14:paraId="7FE1C6E5" w14:textId="77777777" w:rsidR="00FE5D64" w:rsidRDefault="00E40776">
            <w:pPr>
              <w:pStyle w:val="P68B1DB1-Normal61"/>
              <w:autoSpaceDE w:val="0"/>
              <w:autoSpaceDN w:val="0"/>
              <w:adjustRightInd w:val="0"/>
              <w:rPr>
                <w:rFonts w:eastAsia="MS Mincho"/>
                <w:bCs/>
              </w:rPr>
            </w:pPr>
            <w:r>
              <w:t xml:space="preserve">Вид услуга </w:t>
            </w:r>
          </w:p>
          <w:p w14:paraId="7FE1C6E6" w14:textId="27FF3D5E" w:rsidR="00FE5D64" w:rsidRDefault="00E40776">
            <w:pPr>
              <w:pStyle w:val="P68B1DB1-Normal63"/>
              <w:autoSpaceDE w:val="0"/>
              <w:autoSpaceDN w:val="0"/>
              <w:adjustRightInd w:val="0"/>
            </w:pPr>
            <w:r>
              <w:t>Видът на услугата е един от видовете услуги, изброени в Z 08.01 </w:t>
            </w:r>
            <w:r w:rsidR="00A4562B">
              <w:rPr>
                <w:lang w:val="bg-BG"/>
              </w:rPr>
              <w:t>с</w:t>
            </w:r>
            <w:r>
              <w:t xml:space="preserve">0010 по-горе. </w:t>
            </w:r>
          </w:p>
          <w:p w14:paraId="7FE1C726" w14:textId="7C7FFCB5" w:rsidR="00FE5D64" w:rsidRDefault="00FE5D64">
            <w:pPr>
              <w:spacing w:before="120" w:after="120" w:line="276" w:lineRule="auto"/>
              <w:rPr>
                <w:rFonts w:ascii="Times New Roman" w:hAnsi="Times New Roman"/>
                <w:sz w:val="20"/>
                <w:szCs w:val="20"/>
              </w:rPr>
            </w:pPr>
          </w:p>
        </w:tc>
      </w:tr>
      <w:tr w:rsidR="00FE5D64" w14:paraId="7FE1C72C" w14:textId="77777777">
        <w:trPr>
          <w:trHeight w:val="450"/>
        </w:trPr>
        <w:tc>
          <w:tcPr>
            <w:tcW w:w="1418" w:type="dxa"/>
            <w:shd w:val="clear" w:color="auto" w:fill="FFFFFF"/>
          </w:tcPr>
          <w:p w14:paraId="7FE1C728" w14:textId="77777777" w:rsidR="00FE5D64" w:rsidRDefault="00E40776">
            <w:pPr>
              <w:pStyle w:val="P68B1DB1-Normal62"/>
              <w:spacing w:before="120" w:after="120" w:line="276" w:lineRule="auto"/>
            </w:pPr>
            <w:r>
              <w:t>0020</w:t>
            </w:r>
          </w:p>
        </w:tc>
        <w:tc>
          <w:tcPr>
            <w:tcW w:w="7508" w:type="dxa"/>
            <w:shd w:val="clear" w:color="auto" w:fill="FFFFFF"/>
          </w:tcPr>
          <w:p w14:paraId="7FE1C729" w14:textId="77777777" w:rsidR="00FE5D64" w:rsidRDefault="00E40776">
            <w:pPr>
              <w:pStyle w:val="P68B1DB1-Normal65"/>
              <w:spacing w:line="276" w:lineRule="auto"/>
              <w:jc w:val="both"/>
            </w:pPr>
            <w:r>
              <w:rPr>
                <w:szCs w:val="20"/>
              </w:rPr>
              <w:t>Уникално наименование на услугата съгласно таксономията на банката</w:t>
            </w:r>
            <w:r>
              <w:t xml:space="preserve"> </w:t>
            </w:r>
          </w:p>
          <w:p w14:paraId="7FE1C72A" w14:textId="0164DBFF" w:rsidR="00FE5D64" w:rsidRDefault="00E40776">
            <w:pPr>
              <w:pStyle w:val="P68B1DB1-Normal64"/>
            </w:pPr>
            <w:r>
              <w:t>Наименование/кратко описание на услугата според собствената диференцирана таксономия на банката (</w:t>
            </w:r>
            <w:r w:rsidR="00334C2C">
              <w:rPr>
                <w:lang w:val="bg-BG"/>
              </w:rPr>
              <w:t>Н</w:t>
            </w:r>
            <w:r>
              <w:t xml:space="preserve">иво 3), както е отчетено в Z 08.01 (SERV 1), колона 0020. От банката се очаква да отчита услугите на по-детайлно ниво от предвиденото за </w:t>
            </w:r>
            <w:r w:rsidR="00334C2C">
              <w:rPr>
                <w:lang w:val="bg-BG"/>
              </w:rPr>
              <w:t>Н</w:t>
            </w:r>
            <w:r>
              <w:t xml:space="preserve">иво 2 (c0010), така че всяка конкретна услуга да бъде определена точно и </w:t>
            </w:r>
            <w:r w:rsidR="00136B8C">
              <w:rPr>
                <w:lang w:val="bg-BG"/>
              </w:rPr>
              <w:t>целесъобразно</w:t>
            </w:r>
            <w:r>
              <w:t>.</w:t>
            </w:r>
          </w:p>
          <w:p w14:paraId="7FE1C72B" w14:textId="77777777" w:rsidR="00FE5D64" w:rsidRDefault="00FE5D64">
            <w:pPr>
              <w:spacing w:before="120" w:after="120" w:line="276" w:lineRule="auto"/>
              <w:rPr>
                <w:rFonts w:ascii="Times New Roman" w:hAnsi="Times New Roman"/>
                <w:sz w:val="20"/>
                <w:szCs w:val="20"/>
              </w:rPr>
            </w:pPr>
          </w:p>
        </w:tc>
      </w:tr>
      <w:tr w:rsidR="00FE5D64" w14:paraId="7FE1C731" w14:textId="77777777">
        <w:trPr>
          <w:trHeight w:val="450"/>
        </w:trPr>
        <w:tc>
          <w:tcPr>
            <w:tcW w:w="1418" w:type="dxa"/>
            <w:shd w:val="clear" w:color="auto" w:fill="FFFFFF"/>
          </w:tcPr>
          <w:p w14:paraId="7FE1C72D" w14:textId="77777777" w:rsidR="00FE5D64" w:rsidRDefault="00E40776">
            <w:pPr>
              <w:pStyle w:val="P68B1DB1-Normal62"/>
              <w:spacing w:before="120" w:after="120" w:line="276" w:lineRule="auto"/>
            </w:pPr>
            <w:r>
              <w:t>0030—0040</w:t>
            </w:r>
          </w:p>
        </w:tc>
        <w:tc>
          <w:tcPr>
            <w:tcW w:w="7508" w:type="dxa"/>
            <w:shd w:val="clear" w:color="auto" w:fill="FFFFFF"/>
          </w:tcPr>
          <w:p w14:paraId="7FE1C72E" w14:textId="77777777" w:rsidR="00FE5D64" w:rsidRDefault="00E40776">
            <w:pPr>
              <w:pStyle w:val="P68B1DB1-Normal65"/>
              <w:spacing w:line="276" w:lineRule="auto"/>
              <w:jc w:val="both"/>
              <w:rPr>
                <w:bCs/>
              </w:rPr>
            </w:pPr>
            <w:r>
              <w:rPr>
                <w:szCs w:val="20"/>
              </w:rPr>
              <w:t>Критична функция</w:t>
            </w:r>
            <w:r>
              <w:t xml:space="preserve"> </w:t>
            </w:r>
          </w:p>
          <w:p w14:paraId="7FE1C72F" w14:textId="77777777" w:rsidR="00FE5D64" w:rsidRDefault="00E40776">
            <w:pPr>
              <w:pStyle w:val="P68B1DB1-Normal64"/>
              <w:spacing w:line="276" w:lineRule="auto"/>
              <w:jc w:val="both"/>
            </w:pPr>
            <w:r>
              <w:t>Критичната функция, чието изпълнение би било сериозно затруднено или напълно възпрепятствано в случай на нарушаване на критичната услуга. Това е една от функциите, оценени като критични в образец Z 07.01 (FUNC 1).</w:t>
            </w:r>
          </w:p>
          <w:p w14:paraId="7FE1C730" w14:textId="77777777" w:rsidR="00FE5D64" w:rsidRDefault="00FE5D64">
            <w:pPr>
              <w:spacing w:line="276" w:lineRule="auto"/>
              <w:jc w:val="both"/>
              <w:rPr>
                <w:rFonts w:ascii="Times New Roman" w:hAnsi="Times New Roman"/>
                <w:sz w:val="20"/>
              </w:rPr>
            </w:pPr>
          </w:p>
        </w:tc>
      </w:tr>
      <w:tr w:rsidR="00FE5D64" w14:paraId="7FE1C736" w14:textId="77777777">
        <w:trPr>
          <w:trHeight w:val="450"/>
        </w:trPr>
        <w:tc>
          <w:tcPr>
            <w:tcW w:w="1418" w:type="dxa"/>
            <w:shd w:val="clear" w:color="auto" w:fill="FFFFFF"/>
          </w:tcPr>
          <w:p w14:paraId="7FE1C732" w14:textId="77777777" w:rsidR="00FE5D64" w:rsidRDefault="00E40776">
            <w:pPr>
              <w:pStyle w:val="P68B1DB1-Normal64"/>
              <w:spacing w:before="120" w:after="120" w:line="276" w:lineRule="auto"/>
              <w:rPr>
                <w:szCs w:val="20"/>
              </w:rPr>
            </w:pPr>
            <w:r>
              <w:t>0030</w:t>
            </w:r>
          </w:p>
        </w:tc>
        <w:tc>
          <w:tcPr>
            <w:tcW w:w="7508" w:type="dxa"/>
            <w:shd w:val="clear" w:color="auto" w:fill="FFFFFF"/>
          </w:tcPr>
          <w:p w14:paraId="7FE1C733" w14:textId="77777777" w:rsidR="00FE5D64" w:rsidRDefault="00E40776">
            <w:pPr>
              <w:pStyle w:val="P68B1DB1-Normal65"/>
              <w:spacing w:line="276" w:lineRule="auto"/>
              <w:jc w:val="both"/>
              <w:rPr>
                <w:bCs/>
              </w:rPr>
            </w:pPr>
            <w:r>
              <w:t>Държава</w:t>
            </w:r>
          </w:p>
          <w:p w14:paraId="7FE1C734" w14:textId="77777777" w:rsidR="00FE5D64" w:rsidRDefault="00E40776">
            <w:pPr>
              <w:pStyle w:val="P68B1DB1-Normal64"/>
              <w:spacing w:line="276" w:lineRule="auto"/>
              <w:jc w:val="both"/>
            </w:pPr>
            <w:r>
              <w:t>Държава членка, за която функцията е критична, съгласно посоченото в Z 07.01 (FUNC 1).</w:t>
            </w:r>
          </w:p>
          <w:p w14:paraId="7FE1C735" w14:textId="77777777" w:rsidR="00FE5D64" w:rsidRDefault="00FE5D64">
            <w:pPr>
              <w:spacing w:line="276" w:lineRule="auto"/>
              <w:jc w:val="both"/>
              <w:rPr>
                <w:rFonts w:ascii="Times New Roman" w:hAnsi="Times New Roman"/>
                <w:sz w:val="20"/>
              </w:rPr>
            </w:pPr>
          </w:p>
        </w:tc>
      </w:tr>
      <w:tr w:rsidR="00FE5D64" w14:paraId="7FE1C73B" w14:textId="77777777">
        <w:trPr>
          <w:trHeight w:val="450"/>
        </w:trPr>
        <w:tc>
          <w:tcPr>
            <w:tcW w:w="1418" w:type="dxa"/>
            <w:shd w:val="clear" w:color="auto" w:fill="FFFFFF"/>
          </w:tcPr>
          <w:p w14:paraId="7FE1C737" w14:textId="77777777" w:rsidR="00FE5D64" w:rsidRDefault="00E40776">
            <w:pPr>
              <w:pStyle w:val="P68B1DB1-Normal64"/>
              <w:spacing w:before="120" w:after="120" w:line="276" w:lineRule="auto"/>
              <w:rPr>
                <w:szCs w:val="20"/>
              </w:rPr>
            </w:pPr>
            <w:r>
              <w:t>0040</w:t>
            </w:r>
          </w:p>
        </w:tc>
        <w:tc>
          <w:tcPr>
            <w:tcW w:w="7508" w:type="dxa"/>
            <w:shd w:val="clear" w:color="auto" w:fill="FFFFFF"/>
          </w:tcPr>
          <w:p w14:paraId="7FE1C738" w14:textId="15587B70" w:rsidR="00FE5D64" w:rsidRPr="009977F6" w:rsidRDefault="00136B8C">
            <w:pPr>
              <w:pStyle w:val="P68B1DB1-Normal65"/>
              <w:spacing w:line="276" w:lineRule="auto"/>
              <w:jc w:val="both"/>
              <w:rPr>
                <w:bCs/>
                <w:lang w:val="bg-BG"/>
              </w:rPr>
            </w:pPr>
            <w:r>
              <w:rPr>
                <w:lang w:val="bg-BG"/>
              </w:rPr>
              <w:t>Идентификатор</w:t>
            </w:r>
          </w:p>
          <w:p w14:paraId="7FE1C739" w14:textId="77777777" w:rsidR="00FE5D64" w:rsidRDefault="00E40776">
            <w:pPr>
              <w:pStyle w:val="P68B1DB1-Normal64"/>
              <w:spacing w:line="276" w:lineRule="auto"/>
              <w:jc w:val="both"/>
            </w:pPr>
            <w:r>
              <w:t>Идентификационният код на критичните функции съгласно определението в глава 2.7.1.4 по-горе и посоченото в образец Z 07.01 (FUNC 1).</w:t>
            </w:r>
          </w:p>
          <w:p w14:paraId="7FE1C73A" w14:textId="77777777" w:rsidR="00FE5D64" w:rsidRDefault="00FE5D64">
            <w:pPr>
              <w:spacing w:line="276" w:lineRule="auto"/>
              <w:jc w:val="both"/>
              <w:rPr>
                <w:rFonts w:ascii="Times New Roman" w:hAnsi="Times New Roman"/>
                <w:sz w:val="20"/>
              </w:rPr>
            </w:pPr>
          </w:p>
        </w:tc>
      </w:tr>
    </w:tbl>
    <w:p w14:paraId="7FE1C746" w14:textId="77777777" w:rsidR="00FE5D64" w:rsidRDefault="00FE5D64">
      <w:pPr>
        <w:rPr>
          <w:rFonts w:ascii="Times New Roman" w:hAnsi="Times New Roman" w:cs="Times New Roman"/>
        </w:rPr>
      </w:pPr>
    </w:p>
    <w:p w14:paraId="7FE1C747" w14:textId="77777777" w:rsidR="00FE5D64" w:rsidRDefault="00FE5D64">
      <w:pPr>
        <w:pStyle w:val="Instructionsberschrift2"/>
        <w:rPr>
          <w:rFonts w:ascii="Times New Roman" w:eastAsia="Calibri" w:hAnsi="Times New Roman" w:cs="Times New Roman"/>
          <w:szCs w:val="20"/>
        </w:rPr>
      </w:pPr>
    </w:p>
    <w:p w14:paraId="7FE1C748" w14:textId="766433A3" w:rsidR="00FE5D64" w:rsidRDefault="00E40776">
      <w:pPr>
        <w:pStyle w:val="P68B1DB1-Instructionsberschrift25"/>
        <w:numPr>
          <w:ilvl w:val="1"/>
          <w:numId w:val="49"/>
        </w:numPr>
        <w:ind w:left="357" w:hanging="357"/>
        <w:rPr>
          <w:rFonts w:eastAsia="Calibri"/>
          <w:szCs w:val="20"/>
        </w:rPr>
      </w:pPr>
      <w:bookmarkStart w:id="146" w:name="_Toc208244477"/>
      <w:r>
        <w:t xml:space="preserve">Z 08.05 — </w:t>
      </w:r>
      <w:r w:rsidR="00136B8C">
        <w:rPr>
          <w:lang w:val="bg-BG"/>
        </w:rPr>
        <w:t>Важни</w:t>
      </w:r>
      <w:r w:rsidR="00136B8C">
        <w:t xml:space="preserve"> </w:t>
      </w:r>
      <w:r>
        <w:t xml:space="preserve">услуги — </w:t>
      </w:r>
      <w:r w:rsidR="00136B8C">
        <w:rPr>
          <w:lang w:val="bg-BG"/>
        </w:rPr>
        <w:t>онагледяване</w:t>
      </w:r>
      <w:r w:rsidR="00136B8C">
        <w:t xml:space="preserve"> </w:t>
      </w:r>
      <w:r>
        <w:t>по основни стопански дейности (SERV 5)</w:t>
      </w:r>
      <w:bookmarkEnd w:id="146"/>
    </w:p>
    <w:p w14:paraId="7FE1C749" w14:textId="77777777" w:rsidR="00FE5D64" w:rsidRPr="001118F2" w:rsidRDefault="00E40776">
      <w:pPr>
        <w:pStyle w:val="P68B1DB1-Normal70"/>
        <w:spacing w:line="276" w:lineRule="auto"/>
        <w:jc w:val="both"/>
        <w:rPr>
          <w:sz w:val="18"/>
          <w:szCs w:val="20"/>
        </w:rPr>
      </w:pPr>
      <w:r w:rsidRPr="001118F2">
        <w:rPr>
          <w:sz w:val="20"/>
        </w:rPr>
        <w:t>Указания относно определени позиции</w:t>
      </w:r>
    </w:p>
    <w:p w14:paraId="54EDA199" w14:textId="145D39DC" w:rsidR="00CB3D7E" w:rsidRPr="003220B9" w:rsidRDefault="00E40776">
      <w:pPr>
        <w:pStyle w:val="P68B1DB1-Instructionsberschrift368"/>
        <w:numPr>
          <w:ilvl w:val="2"/>
          <w:numId w:val="210"/>
        </w:numPr>
        <w:ind w:left="1418"/>
        <w:contextualSpacing/>
        <w:jc w:val="both"/>
      </w:pPr>
      <w:r>
        <w:t xml:space="preserve">Информацията в този образец се </w:t>
      </w:r>
      <w:r w:rsidR="00136B8C">
        <w:rPr>
          <w:lang w:val="bg-BG"/>
        </w:rPr>
        <w:t>докладва</w:t>
      </w:r>
      <w:r w:rsidR="00136B8C">
        <w:t xml:space="preserve"> </w:t>
      </w:r>
      <w:r>
        <w:t xml:space="preserve">веднъж за цялата група; изброяват се </w:t>
      </w:r>
      <w:r w:rsidR="00136B8C">
        <w:rPr>
          <w:lang w:val="bg-BG"/>
        </w:rPr>
        <w:t>важните</w:t>
      </w:r>
      <w:r w:rsidR="00497D64">
        <w:t xml:space="preserve"> </w:t>
      </w:r>
      <w:r>
        <w:t xml:space="preserve">услуги, ползвани от всеки субект в групата, и се свързват с </w:t>
      </w:r>
      <w:r w:rsidR="00497D64">
        <w:rPr>
          <w:lang w:val="bg-BG"/>
        </w:rPr>
        <w:t>основните стопански дейности</w:t>
      </w:r>
      <w:r w:rsidR="00136B8C">
        <w:rPr>
          <w:lang w:val="bg-BG"/>
        </w:rPr>
        <w:t>.</w:t>
      </w:r>
    </w:p>
    <w:p w14:paraId="7FE1C74B" w14:textId="5781718E" w:rsidR="00FE5D64" w:rsidRDefault="00CE6271">
      <w:pPr>
        <w:pStyle w:val="P68B1DB1-Instructionsberschrift368"/>
        <w:numPr>
          <w:ilvl w:val="2"/>
          <w:numId w:val="210"/>
        </w:numPr>
        <w:ind w:left="1418"/>
        <w:contextualSpacing/>
        <w:jc w:val="both"/>
      </w:pPr>
      <w:r>
        <w:rPr>
          <w:lang w:val="bg-BG"/>
        </w:rPr>
        <w:t>Комбинацията на с</w:t>
      </w:r>
      <w:r w:rsidR="00E40776">
        <w:t>тойностите, отчетени в колони 0010, 0020 и 0040 от този образец, формира първичен код, който трябва да е уникален за всеки ред от образеца.</w:t>
      </w:r>
    </w:p>
    <w:p w14:paraId="7FE1C74C" w14:textId="77777777" w:rsidR="00FE5D64" w:rsidRDefault="00FE5D6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FE5D64" w14:paraId="7FE1C74F" w14:textId="77777777">
        <w:trPr>
          <w:trHeight w:val="644"/>
          <w:tblHeader/>
        </w:trPr>
        <w:tc>
          <w:tcPr>
            <w:tcW w:w="1418" w:type="dxa"/>
            <w:shd w:val="clear" w:color="auto" w:fill="E7E6E6"/>
          </w:tcPr>
          <w:p w14:paraId="7FE1C74D" w14:textId="77777777" w:rsidR="00FE5D64" w:rsidRDefault="00E40776">
            <w:pPr>
              <w:pStyle w:val="P68B1DB1-Normal61"/>
              <w:spacing w:before="120" w:after="120" w:line="276" w:lineRule="auto"/>
            </w:pPr>
            <w:r>
              <w:t>Колони</w:t>
            </w:r>
          </w:p>
        </w:tc>
        <w:tc>
          <w:tcPr>
            <w:tcW w:w="7649" w:type="dxa"/>
            <w:shd w:val="clear" w:color="auto" w:fill="E7E6E6"/>
          </w:tcPr>
          <w:p w14:paraId="7FE1C74E" w14:textId="77777777" w:rsidR="00FE5D64" w:rsidRDefault="00E40776">
            <w:pPr>
              <w:pStyle w:val="P68B1DB1-Normal61"/>
              <w:spacing w:before="120" w:after="120" w:line="276" w:lineRule="auto"/>
            </w:pPr>
            <w:r>
              <w:t>Указания</w:t>
            </w:r>
          </w:p>
        </w:tc>
      </w:tr>
      <w:tr w:rsidR="00FE5D64" w14:paraId="7FE1C754" w14:textId="77777777">
        <w:trPr>
          <w:trHeight w:val="450"/>
        </w:trPr>
        <w:tc>
          <w:tcPr>
            <w:tcW w:w="1418" w:type="dxa"/>
            <w:shd w:val="clear" w:color="auto" w:fill="FFFFFF"/>
          </w:tcPr>
          <w:p w14:paraId="7FE1C750" w14:textId="77777777" w:rsidR="00FE5D64" w:rsidRDefault="00E40776">
            <w:pPr>
              <w:pStyle w:val="P68B1DB1-Normal62"/>
              <w:spacing w:before="120" w:after="120" w:line="276" w:lineRule="auto"/>
            </w:pPr>
            <w:r>
              <w:t>0005</w:t>
            </w:r>
          </w:p>
        </w:tc>
        <w:tc>
          <w:tcPr>
            <w:tcW w:w="7649" w:type="dxa"/>
            <w:shd w:val="clear" w:color="auto" w:fill="FFFFFF"/>
          </w:tcPr>
          <w:p w14:paraId="7FE1C751" w14:textId="4E598C06" w:rsidR="00FE5D64" w:rsidRPr="00136B8C" w:rsidRDefault="00136B8C">
            <w:pPr>
              <w:pStyle w:val="P68B1DB1-Normal61"/>
              <w:spacing w:before="120" w:after="120" w:line="276" w:lineRule="auto"/>
              <w:rPr>
                <w:lang w:val="bg-BG"/>
              </w:rPr>
            </w:pPr>
            <w:r>
              <w:rPr>
                <w:lang w:val="bg-BG"/>
              </w:rPr>
              <w:t>И</w:t>
            </w:r>
            <w:r w:rsidR="00E40776">
              <w:t>дентификатор на услугата</w:t>
            </w:r>
          </w:p>
          <w:p w14:paraId="7FE1C752" w14:textId="5C5DB378" w:rsidR="00FE5D64" w:rsidRDefault="00E40776">
            <w:pPr>
              <w:pStyle w:val="P68B1DB1-Normal62"/>
              <w:spacing w:before="120" w:after="120" w:line="276" w:lineRule="auto"/>
            </w:pPr>
            <w:r>
              <w:t xml:space="preserve">Използва се идентификаторът на услугата, </w:t>
            </w:r>
            <w:r w:rsidR="00136B8C">
              <w:rPr>
                <w:lang w:val="bg-BG"/>
              </w:rPr>
              <w:t>посочен</w:t>
            </w:r>
            <w:r w:rsidR="00D86062">
              <w:t xml:space="preserve"> </w:t>
            </w:r>
            <w:r>
              <w:t>в Z 08.01 (SERV 1).</w:t>
            </w:r>
          </w:p>
          <w:p w14:paraId="7FE1C753" w14:textId="11BAF503" w:rsidR="00FE5D64" w:rsidRDefault="00E40776" w:rsidP="00D86062">
            <w:pPr>
              <w:pStyle w:val="P68B1DB1-Normal62"/>
              <w:spacing w:before="120" w:after="120" w:line="276" w:lineRule="auto"/>
              <w:rPr>
                <w:i/>
              </w:rPr>
            </w:pPr>
            <w:r>
              <w:t xml:space="preserve">Идентификаторът на услугата се отнася до услугата, </w:t>
            </w:r>
            <w:r w:rsidR="00136B8C">
              <w:rPr>
                <w:lang w:val="bg-BG"/>
              </w:rPr>
              <w:t>посочен</w:t>
            </w:r>
            <w:r w:rsidR="004F0DD5">
              <w:rPr>
                <w:lang w:val="bg-BG"/>
              </w:rPr>
              <w:t>а</w:t>
            </w:r>
            <w:r w:rsidR="00D86062">
              <w:t xml:space="preserve"> </w:t>
            </w:r>
            <w:r>
              <w:t>в c0020.</w:t>
            </w:r>
          </w:p>
        </w:tc>
      </w:tr>
      <w:tr w:rsidR="00FE5D64" w14:paraId="7FE1C798" w14:textId="77777777">
        <w:trPr>
          <w:trHeight w:val="450"/>
        </w:trPr>
        <w:tc>
          <w:tcPr>
            <w:tcW w:w="1418" w:type="dxa"/>
            <w:shd w:val="clear" w:color="auto" w:fill="FFFFFF"/>
          </w:tcPr>
          <w:p w14:paraId="7FE1C755" w14:textId="77777777" w:rsidR="00FE5D64" w:rsidRDefault="00E40776">
            <w:pPr>
              <w:pStyle w:val="P68B1DB1-Normal62"/>
              <w:spacing w:before="120" w:after="120" w:line="276" w:lineRule="auto"/>
            </w:pPr>
            <w:r>
              <w:t>0010</w:t>
            </w:r>
          </w:p>
        </w:tc>
        <w:tc>
          <w:tcPr>
            <w:tcW w:w="7649" w:type="dxa"/>
            <w:shd w:val="clear" w:color="auto" w:fill="FFFFFF"/>
          </w:tcPr>
          <w:p w14:paraId="7FE1C756" w14:textId="77777777" w:rsidR="00FE5D64" w:rsidRDefault="00E40776">
            <w:pPr>
              <w:pStyle w:val="P68B1DB1-Normal61"/>
              <w:autoSpaceDE w:val="0"/>
              <w:autoSpaceDN w:val="0"/>
              <w:adjustRightInd w:val="0"/>
              <w:rPr>
                <w:rFonts w:eastAsia="MS Mincho"/>
                <w:bCs/>
              </w:rPr>
            </w:pPr>
            <w:r>
              <w:t xml:space="preserve">Вид услуга </w:t>
            </w:r>
          </w:p>
          <w:p w14:paraId="7FE1C757" w14:textId="5CC80A27" w:rsidR="00FE5D64" w:rsidRDefault="00E40776">
            <w:pPr>
              <w:pStyle w:val="P68B1DB1-Normal63"/>
              <w:autoSpaceDE w:val="0"/>
              <w:autoSpaceDN w:val="0"/>
              <w:adjustRightInd w:val="0"/>
            </w:pPr>
            <w:r>
              <w:t>Видът на услугата е един от видовете услуги, изброени в Z 08.01 </w:t>
            </w:r>
            <w:r w:rsidR="00136B8C">
              <w:rPr>
                <w:lang w:val="bg-BG"/>
              </w:rPr>
              <w:t>с</w:t>
            </w:r>
            <w:r>
              <w:t xml:space="preserve">0010 по-горе. </w:t>
            </w:r>
          </w:p>
          <w:p w14:paraId="7FE1C797" w14:textId="77777777" w:rsidR="00FE5D64" w:rsidRDefault="00FE5D64">
            <w:pPr>
              <w:autoSpaceDE w:val="0"/>
              <w:autoSpaceDN w:val="0"/>
              <w:adjustRightInd w:val="0"/>
              <w:rPr>
                <w:rFonts w:ascii="Times New Roman" w:hAnsi="Times New Roman"/>
                <w:sz w:val="20"/>
                <w:szCs w:val="20"/>
              </w:rPr>
            </w:pPr>
          </w:p>
        </w:tc>
      </w:tr>
      <w:tr w:rsidR="00FE5D64" w14:paraId="7FE1C79D" w14:textId="77777777">
        <w:trPr>
          <w:trHeight w:val="450"/>
        </w:trPr>
        <w:tc>
          <w:tcPr>
            <w:tcW w:w="1418" w:type="dxa"/>
            <w:shd w:val="clear" w:color="auto" w:fill="FFFFFF"/>
          </w:tcPr>
          <w:p w14:paraId="7FE1C799" w14:textId="77777777" w:rsidR="00FE5D64" w:rsidRDefault="00E40776">
            <w:pPr>
              <w:pStyle w:val="P68B1DB1-Normal62"/>
              <w:spacing w:before="120" w:after="120" w:line="276" w:lineRule="auto"/>
            </w:pPr>
            <w:r>
              <w:t>0020</w:t>
            </w:r>
          </w:p>
        </w:tc>
        <w:tc>
          <w:tcPr>
            <w:tcW w:w="7649" w:type="dxa"/>
            <w:shd w:val="clear" w:color="auto" w:fill="FFFFFF"/>
          </w:tcPr>
          <w:p w14:paraId="7FE1C79A" w14:textId="77777777" w:rsidR="00FE5D64" w:rsidRDefault="00E40776">
            <w:pPr>
              <w:pStyle w:val="P68B1DB1-Normal65"/>
              <w:spacing w:line="276" w:lineRule="auto"/>
              <w:jc w:val="both"/>
            </w:pPr>
            <w:r>
              <w:rPr>
                <w:szCs w:val="20"/>
              </w:rPr>
              <w:t>Уникално наименование на услугата съгласно таксономията на банката</w:t>
            </w:r>
            <w:r>
              <w:t xml:space="preserve"> </w:t>
            </w:r>
          </w:p>
          <w:p w14:paraId="7FE1C79B" w14:textId="484E0446" w:rsidR="00FE5D64" w:rsidRDefault="00E40776">
            <w:pPr>
              <w:pStyle w:val="P68B1DB1-Normal64"/>
            </w:pPr>
            <w:r>
              <w:t>Наименование/кратко описание на услугата според собствената диференцирана таксономия на банката (</w:t>
            </w:r>
            <w:r w:rsidR="006D2A14">
              <w:rPr>
                <w:lang w:val="bg-BG"/>
              </w:rPr>
              <w:t>Н</w:t>
            </w:r>
            <w:r>
              <w:t xml:space="preserve">иво 3), както е отчетено в Z 08.01 (SERV 1), колона 0020. От банката се очаква да отчита услугите на по-детайлно ниво от предвиденото за </w:t>
            </w:r>
            <w:r w:rsidR="006D2A14">
              <w:rPr>
                <w:lang w:val="bg-BG"/>
              </w:rPr>
              <w:t>Н</w:t>
            </w:r>
            <w:r>
              <w:t xml:space="preserve">иво 2 (c0010), така че всяка конкретна услуга да бъде определена точно и </w:t>
            </w:r>
            <w:r w:rsidR="00136B8C">
              <w:rPr>
                <w:lang w:val="bg-BG"/>
              </w:rPr>
              <w:t>целесъобразно</w:t>
            </w:r>
            <w:r>
              <w:t>.</w:t>
            </w:r>
          </w:p>
          <w:p w14:paraId="7FE1C79C" w14:textId="77777777" w:rsidR="00FE5D64" w:rsidRDefault="00FE5D64">
            <w:pPr>
              <w:spacing w:before="120" w:after="120" w:line="276" w:lineRule="auto"/>
              <w:rPr>
                <w:rFonts w:ascii="Times New Roman" w:hAnsi="Times New Roman"/>
                <w:sz w:val="20"/>
                <w:szCs w:val="20"/>
              </w:rPr>
            </w:pPr>
          </w:p>
        </w:tc>
      </w:tr>
      <w:tr w:rsidR="00FE5D64" w14:paraId="7FE1C7A2" w14:textId="77777777">
        <w:trPr>
          <w:trHeight w:val="450"/>
        </w:trPr>
        <w:tc>
          <w:tcPr>
            <w:tcW w:w="1418" w:type="dxa"/>
            <w:shd w:val="clear" w:color="auto" w:fill="FFFFFF"/>
          </w:tcPr>
          <w:p w14:paraId="7FE1C79E" w14:textId="77777777" w:rsidR="00FE5D64" w:rsidRDefault="00E40776">
            <w:pPr>
              <w:pStyle w:val="P68B1DB1-Normal64"/>
              <w:spacing w:before="120" w:after="120" w:line="276" w:lineRule="auto"/>
              <w:rPr>
                <w:szCs w:val="20"/>
              </w:rPr>
            </w:pPr>
            <w:r>
              <w:t>0030—0040</w:t>
            </w:r>
          </w:p>
        </w:tc>
        <w:tc>
          <w:tcPr>
            <w:tcW w:w="7649" w:type="dxa"/>
            <w:shd w:val="clear" w:color="auto" w:fill="FFFFFF"/>
          </w:tcPr>
          <w:p w14:paraId="7FE1C79F" w14:textId="7C5B1201" w:rsidR="00FE5D64" w:rsidRDefault="00E40776">
            <w:pPr>
              <w:pStyle w:val="P68B1DB1-Normal65"/>
              <w:spacing w:line="276" w:lineRule="auto"/>
              <w:jc w:val="both"/>
            </w:pPr>
            <w:r>
              <w:rPr>
                <w:szCs w:val="20"/>
              </w:rPr>
              <w:t>Основна стопанска дейност</w:t>
            </w:r>
            <w:r>
              <w:t xml:space="preserve"> </w:t>
            </w:r>
          </w:p>
          <w:p w14:paraId="7FE1C7A0" w14:textId="4CCEBC1B" w:rsidR="00FE5D64" w:rsidRDefault="00E40776">
            <w:pPr>
              <w:pStyle w:val="P68B1DB1-Normal67"/>
              <w:spacing w:line="276" w:lineRule="auto"/>
              <w:jc w:val="both"/>
              <w:rPr>
                <w:sz w:val="20"/>
              </w:rPr>
            </w:pPr>
            <w:r>
              <w:rPr>
                <w:sz w:val="20"/>
              </w:rPr>
              <w:t>Основна стопанска дейност по смисъла на член 2, параграф 1, точка 36 и член 2, параграф 2 от Директива 2014/59/ЕС.</w:t>
            </w:r>
            <w:r>
              <w:t xml:space="preserve"> </w:t>
            </w:r>
          </w:p>
          <w:p w14:paraId="7FE1C7A1" w14:textId="77777777" w:rsidR="00FE5D64" w:rsidRDefault="00FE5D64">
            <w:pPr>
              <w:spacing w:line="276" w:lineRule="auto"/>
              <w:jc w:val="both"/>
              <w:rPr>
                <w:rFonts w:ascii="Times New Roman" w:hAnsi="Times New Roman"/>
                <w:sz w:val="20"/>
              </w:rPr>
            </w:pPr>
          </w:p>
        </w:tc>
      </w:tr>
      <w:tr w:rsidR="00FE5D64" w14:paraId="7FE1C7A7" w14:textId="77777777">
        <w:trPr>
          <w:trHeight w:val="450"/>
        </w:trPr>
        <w:tc>
          <w:tcPr>
            <w:tcW w:w="1418" w:type="dxa"/>
            <w:shd w:val="clear" w:color="auto" w:fill="FFFFFF"/>
          </w:tcPr>
          <w:p w14:paraId="7FE1C7A3" w14:textId="77777777" w:rsidR="00FE5D64" w:rsidRDefault="00E40776">
            <w:pPr>
              <w:pStyle w:val="P68B1DB1-Normal64"/>
              <w:spacing w:before="120" w:after="120" w:line="276" w:lineRule="auto"/>
              <w:rPr>
                <w:szCs w:val="20"/>
              </w:rPr>
            </w:pPr>
            <w:r>
              <w:t>0030</w:t>
            </w:r>
          </w:p>
        </w:tc>
        <w:tc>
          <w:tcPr>
            <w:tcW w:w="7649" w:type="dxa"/>
            <w:shd w:val="clear" w:color="auto" w:fill="FFFFFF"/>
          </w:tcPr>
          <w:p w14:paraId="7FE1C7A4" w14:textId="77777777" w:rsidR="00FE5D64" w:rsidRDefault="00E40776">
            <w:pPr>
              <w:pStyle w:val="P68B1DB1-Normal65"/>
              <w:spacing w:line="276" w:lineRule="auto"/>
              <w:jc w:val="both"/>
              <w:rPr>
                <w:bCs/>
              </w:rPr>
            </w:pPr>
            <w:r>
              <w:t>Наименование</w:t>
            </w:r>
          </w:p>
          <w:p w14:paraId="7FE1C7A5" w14:textId="7406DF59" w:rsidR="00FE5D64" w:rsidRDefault="00B33C88">
            <w:pPr>
              <w:pStyle w:val="P68B1DB1-Normal64"/>
              <w:jc w:val="both"/>
            </w:pPr>
            <w:r>
              <w:rPr>
                <w:lang w:val="bg-BG"/>
              </w:rPr>
              <w:t>Е</w:t>
            </w:r>
            <w:r w:rsidR="00E40776">
              <w:t>дна от основните стопански дейности, отчетени в образец Z 07.03 </w:t>
            </w:r>
            <w:r w:rsidR="002431F9">
              <w:rPr>
                <w:lang w:val="bg-BG"/>
              </w:rPr>
              <w:t>с</w:t>
            </w:r>
            <w:r w:rsidR="00E40776">
              <w:t>0010.</w:t>
            </w:r>
          </w:p>
          <w:p w14:paraId="7FE1C7A6" w14:textId="77777777" w:rsidR="00FE5D64" w:rsidRDefault="00FE5D64">
            <w:pPr>
              <w:spacing w:line="276" w:lineRule="auto"/>
              <w:jc w:val="both"/>
              <w:rPr>
                <w:rFonts w:ascii="Times New Roman" w:hAnsi="Times New Roman"/>
                <w:sz w:val="20"/>
              </w:rPr>
            </w:pPr>
          </w:p>
        </w:tc>
      </w:tr>
      <w:tr w:rsidR="00FE5D64" w14:paraId="7FE1C7AD" w14:textId="77777777">
        <w:trPr>
          <w:trHeight w:val="450"/>
        </w:trPr>
        <w:tc>
          <w:tcPr>
            <w:tcW w:w="1418" w:type="dxa"/>
            <w:shd w:val="clear" w:color="auto" w:fill="FFFFFF"/>
          </w:tcPr>
          <w:p w14:paraId="7FE1C7A8" w14:textId="77777777" w:rsidR="00FE5D64" w:rsidRDefault="00E40776">
            <w:pPr>
              <w:pStyle w:val="P68B1DB1-Normal64"/>
              <w:spacing w:before="120" w:after="120" w:line="276" w:lineRule="auto"/>
              <w:rPr>
                <w:szCs w:val="20"/>
              </w:rPr>
            </w:pPr>
            <w:r>
              <w:t>0040</w:t>
            </w:r>
          </w:p>
        </w:tc>
        <w:tc>
          <w:tcPr>
            <w:tcW w:w="7649" w:type="dxa"/>
            <w:shd w:val="clear" w:color="auto" w:fill="FFFFFF"/>
          </w:tcPr>
          <w:p w14:paraId="7FE1C7A9" w14:textId="46B34514" w:rsidR="00FE5D64" w:rsidRPr="00136B8C" w:rsidRDefault="00136B8C">
            <w:pPr>
              <w:pStyle w:val="P68B1DB1-Normal65"/>
              <w:spacing w:line="276" w:lineRule="auto"/>
              <w:jc w:val="both"/>
              <w:rPr>
                <w:lang w:val="bg-BG"/>
              </w:rPr>
            </w:pPr>
            <w:r>
              <w:rPr>
                <w:lang w:val="bg-BG"/>
              </w:rPr>
              <w:t>Идентификатор</w:t>
            </w:r>
          </w:p>
          <w:p w14:paraId="7FE1C7AA" w14:textId="666DF1E5" w:rsidR="00FE5D64" w:rsidRDefault="00E40776">
            <w:pPr>
              <w:pStyle w:val="P68B1DB1-Normal64"/>
              <w:spacing w:line="276" w:lineRule="auto"/>
              <w:jc w:val="both"/>
            </w:pPr>
            <w:r>
              <w:t xml:space="preserve">Идентификационен номер на основните стопански дейности, чиято непрекъснатост е необходима за ефективното изпълнение на стратегията за преструктуриране и всяко последващо </w:t>
            </w:r>
            <w:r w:rsidR="002730E4">
              <w:rPr>
                <w:lang w:val="bg-BG"/>
              </w:rPr>
              <w:t>преобразуване</w:t>
            </w:r>
            <w:r>
              <w:t>. Това е един от идентификаторите, докладвани в образец Z 07.03 </w:t>
            </w:r>
            <w:r w:rsidR="00136B8C">
              <w:rPr>
                <w:lang w:val="bg-BG"/>
              </w:rPr>
              <w:t>с</w:t>
            </w:r>
            <w:r>
              <w:t xml:space="preserve">0020. </w:t>
            </w:r>
          </w:p>
          <w:p w14:paraId="7FE1C7AB" w14:textId="77777777" w:rsidR="00FE5D64" w:rsidRDefault="00FE5D64">
            <w:pPr>
              <w:spacing w:line="276" w:lineRule="auto"/>
              <w:jc w:val="both"/>
              <w:rPr>
                <w:rFonts w:ascii="Times New Roman" w:hAnsi="Times New Roman"/>
                <w:sz w:val="20"/>
              </w:rPr>
            </w:pPr>
          </w:p>
          <w:p w14:paraId="7FE1C7AC" w14:textId="77777777" w:rsidR="00FE5D64" w:rsidRDefault="00FE5D64">
            <w:pPr>
              <w:spacing w:line="276" w:lineRule="auto"/>
              <w:jc w:val="both"/>
              <w:rPr>
                <w:rFonts w:ascii="Times New Roman" w:hAnsi="Times New Roman"/>
                <w:sz w:val="20"/>
              </w:rPr>
            </w:pPr>
          </w:p>
        </w:tc>
      </w:tr>
    </w:tbl>
    <w:p w14:paraId="7FE1C7B8" w14:textId="77777777" w:rsidR="00FE5D64" w:rsidRDefault="00FE5D64">
      <w:pPr>
        <w:rPr>
          <w:rFonts w:ascii="Times New Roman" w:hAnsi="Times New Roman" w:cs="Times New Roman"/>
        </w:rPr>
      </w:pPr>
    </w:p>
    <w:p w14:paraId="7FE1C7B9" w14:textId="77777777" w:rsidR="00FE5D64" w:rsidRPr="00C31950" w:rsidRDefault="00FE5D64">
      <w:pPr>
        <w:pStyle w:val="Instructionsberschrift2"/>
        <w:rPr>
          <w:rFonts w:ascii="Times New Roman" w:eastAsia="Calibri" w:hAnsi="Times New Roman" w:cs="Times New Roman"/>
          <w:szCs w:val="20"/>
        </w:rPr>
      </w:pPr>
    </w:p>
    <w:p w14:paraId="7FE1C7BA" w14:textId="22E5D208" w:rsidR="00FE5D64" w:rsidRDefault="00E40776">
      <w:pPr>
        <w:pStyle w:val="P68B1DB1-Instructionsberschrift271"/>
        <w:numPr>
          <w:ilvl w:val="1"/>
          <w:numId w:val="49"/>
        </w:numPr>
        <w:ind w:left="357" w:hanging="357"/>
      </w:pPr>
      <w:bookmarkStart w:id="147" w:name="_Toc208244478"/>
      <w:r>
        <w:t xml:space="preserve">Услуги </w:t>
      </w:r>
      <w:r w:rsidR="002730E4">
        <w:rPr>
          <w:lang w:val="bg-BG"/>
        </w:rPr>
        <w:t xml:space="preserve">във връзка с инфраструктурата </w:t>
      </w:r>
      <w:r w:rsidR="002730E4" w:rsidRPr="00136B8C">
        <w:rPr>
          <w:lang w:val="bg-BG"/>
        </w:rPr>
        <w:t xml:space="preserve">на </w:t>
      </w:r>
      <w:bookmarkEnd w:id="147"/>
      <w:r w:rsidR="002730E4">
        <w:rPr>
          <w:lang w:val="bg-BG"/>
        </w:rPr>
        <w:t>финансовите пазари</w:t>
      </w:r>
      <w:r w:rsidR="002730E4">
        <w:t xml:space="preserve"> </w:t>
      </w:r>
      <w:r w:rsidR="002730E4">
        <w:rPr>
          <w:lang w:val="bg-BG"/>
        </w:rPr>
        <w:t>(ИФП)</w:t>
      </w:r>
    </w:p>
    <w:p w14:paraId="7FE1C7BC" w14:textId="227D5127" w:rsidR="00FE5D64" w:rsidRDefault="00E40776">
      <w:pPr>
        <w:pStyle w:val="P68B1DB1-Numberedtitlelevel372"/>
      </w:pPr>
      <w:r>
        <w:t>Общи бележки</w:t>
      </w:r>
    </w:p>
    <w:p w14:paraId="7FE1C7BD" w14:textId="5228CD0B" w:rsidR="00FE5D64" w:rsidRDefault="00600FBA">
      <w:pPr>
        <w:pStyle w:val="P68B1DB1-InstructionsText26"/>
        <w:numPr>
          <w:ilvl w:val="2"/>
          <w:numId w:val="209"/>
        </w:numPr>
        <w:spacing w:before="0"/>
        <w:ind w:left="1276"/>
      </w:pPr>
      <w:r>
        <w:rPr>
          <w:lang w:val="bg-BG"/>
        </w:rPr>
        <w:t>Предоставя се информация относно</w:t>
      </w:r>
      <w:r w:rsidR="002730E4">
        <w:t xml:space="preserve"> </w:t>
      </w:r>
      <w:r>
        <w:rPr>
          <w:lang w:val="bg-BG"/>
        </w:rPr>
        <w:t>всеки</w:t>
      </w:r>
      <w:r w:rsidR="00E40776">
        <w:t xml:space="preserve"> пряк и непряк достъп до ИФП и системите, посочени в колона 0040 по-долу. В настоящия образец се предоставя информация веднъж за цялата институция или група.</w:t>
      </w:r>
    </w:p>
    <w:p w14:paraId="7FE1C7BE" w14:textId="2D815AD3" w:rsidR="00FE5D64" w:rsidRDefault="00E40776">
      <w:pPr>
        <w:pStyle w:val="P68B1DB1-InstructionsText26"/>
        <w:numPr>
          <w:ilvl w:val="2"/>
          <w:numId w:val="209"/>
        </w:numPr>
        <w:spacing w:before="0"/>
        <w:ind w:left="1276"/>
      </w:pPr>
      <w:r>
        <w:t xml:space="preserve">В настоящия образец се предоставя информация за цялата институция или група. Всеки съответен правен субект, който има пряк или непряк достъп до ИФП, се отчита отделно като </w:t>
      </w:r>
      <w:r w:rsidR="00600FBA">
        <w:rPr>
          <w:lang w:val="bg-BG"/>
        </w:rPr>
        <w:t>Ползвател</w:t>
      </w:r>
      <w:r>
        <w:t xml:space="preserve">. </w:t>
      </w:r>
      <w:r w:rsidR="00600FBA">
        <w:rPr>
          <w:lang w:val="bg-BG"/>
        </w:rPr>
        <w:t>Посочват се</w:t>
      </w:r>
      <w:r w:rsidR="002730E4">
        <w:t xml:space="preserve"> </w:t>
      </w:r>
      <w:r>
        <w:t>както вътрешногруповите, така и отношенията с трети страни.</w:t>
      </w:r>
    </w:p>
    <w:p w14:paraId="7FE1C7BF" w14:textId="687208B1" w:rsidR="00FE5D64" w:rsidRDefault="00E40776">
      <w:pPr>
        <w:pStyle w:val="P68B1DB1-ListParagraph32"/>
        <w:numPr>
          <w:ilvl w:val="2"/>
          <w:numId w:val="209"/>
        </w:numPr>
        <w:ind w:left="1276"/>
      </w:pPr>
      <w:r>
        <w:t xml:space="preserve">Комбинацията на стойностите, </w:t>
      </w:r>
      <w:r w:rsidR="002730E4">
        <w:rPr>
          <w:lang w:val="bg-BG"/>
        </w:rPr>
        <w:t>отчетени</w:t>
      </w:r>
      <w:r w:rsidR="002730E4">
        <w:t xml:space="preserve"> </w:t>
      </w:r>
      <w:r>
        <w:t xml:space="preserve">в колони 0030, 0040, 0070 и 0110 от настоящия образец, формира първичен код, който трябва да е </w:t>
      </w:r>
      <w:r w:rsidR="002730E4">
        <w:rPr>
          <w:lang w:val="bg-BG"/>
        </w:rPr>
        <w:t>уникален</w:t>
      </w:r>
      <w:r w:rsidR="002730E4">
        <w:t xml:space="preserve"> </w:t>
      </w:r>
      <w:r>
        <w:t xml:space="preserve">за всеки ред от образеца и се </w:t>
      </w:r>
      <w:r w:rsidR="00600FBA">
        <w:rPr>
          <w:lang w:val="bg-BG"/>
        </w:rPr>
        <w:t>посочва</w:t>
      </w:r>
      <w:r w:rsidR="002730E4">
        <w:t xml:space="preserve"> </w:t>
      </w:r>
      <w:r>
        <w:t>като първа колона на всеки образец.</w:t>
      </w:r>
    </w:p>
    <w:p w14:paraId="7FE1C7C0" w14:textId="77777777" w:rsidR="00FE5D64" w:rsidRDefault="00FE5D64">
      <w:pPr>
        <w:pStyle w:val="ListParagraph"/>
        <w:ind w:left="1276"/>
        <w:rPr>
          <w:rFonts w:ascii="Times New Roman" w:eastAsia="Times New Roman" w:hAnsi="Times New Roman"/>
          <w:sz w:val="20"/>
          <w:szCs w:val="20"/>
        </w:rPr>
      </w:pPr>
    </w:p>
    <w:p w14:paraId="7FE1C7C1" w14:textId="7BDC4A0E" w:rsidR="00FE5D64" w:rsidRDefault="00E40776">
      <w:pPr>
        <w:pStyle w:val="P68B1DB1-InstructionsText26"/>
        <w:numPr>
          <w:ilvl w:val="2"/>
          <w:numId w:val="209"/>
        </w:numPr>
        <w:spacing w:before="0"/>
        <w:ind w:left="1276"/>
      </w:pPr>
      <w:r>
        <w:t xml:space="preserve">Ако е необходимо да се </w:t>
      </w:r>
      <w:r w:rsidR="00600FBA">
        <w:rPr>
          <w:lang w:val="bg-BG"/>
        </w:rPr>
        <w:t>докладва</w:t>
      </w:r>
      <w:r w:rsidR="00600FBA">
        <w:t xml:space="preserve"> </w:t>
      </w:r>
      <w:r>
        <w:t>повече от една позиция в свободни</w:t>
      </w:r>
      <w:r w:rsidR="002730E4">
        <w:rPr>
          <w:lang w:val="bg-BG"/>
        </w:rPr>
        <w:t>те</w:t>
      </w:r>
      <w:r>
        <w:t xml:space="preserve"> полета, всяка позиция се разделя с точка и запетая (;).</w:t>
      </w:r>
    </w:p>
    <w:p w14:paraId="7FE1C7C2" w14:textId="77777777" w:rsidR="00FE5D64" w:rsidRDefault="00FE5D64">
      <w:pPr>
        <w:pStyle w:val="Instructionsberschrift2"/>
        <w:ind w:left="357"/>
        <w:rPr>
          <w:rFonts w:ascii="Times New Roman" w:eastAsia="Calibri" w:hAnsi="Times New Roman" w:cs="Times New Roman"/>
          <w:szCs w:val="20"/>
        </w:rPr>
      </w:pPr>
      <w:bookmarkStart w:id="148" w:name="_Hlk210145059"/>
    </w:p>
    <w:p w14:paraId="7FE1C7C3" w14:textId="4D11F3CC" w:rsidR="00FE5D64" w:rsidRDefault="00E40776">
      <w:pPr>
        <w:pStyle w:val="P68B1DB1-Instructionsberschrift271"/>
        <w:numPr>
          <w:ilvl w:val="1"/>
          <w:numId w:val="49"/>
        </w:numPr>
        <w:ind w:left="357" w:hanging="357"/>
      </w:pPr>
      <w:bookmarkStart w:id="149" w:name="_Toc208244479"/>
      <w:r>
        <w:t>Z 09.01 — Услуги, свързани</w:t>
      </w:r>
      <w:r w:rsidR="00067CE5" w:rsidRPr="009C1096">
        <w:t xml:space="preserve"> </w:t>
      </w:r>
      <w:r w:rsidR="00067CE5" w:rsidRPr="00600FBA">
        <w:rPr>
          <w:lang w:val="bg-BG"/>
        </w:rPr>
        <w:t xml:space="preserve">с </w:t>
      </w:r>
      <w:r>
        <w:t xml:space="preserve">ИФП — Доставчици и </w:t>
      </w:r>
      <w:r w:rsidR="00067CE5">
        <w:rPr>
          <w:lang w:val="bg-BG"/>
        </w:rPr>
        <w:t>ползватели</w:t>
      </w:r>
      <w:r w:rsidR="00067CE5">
        <w:t xml:space="preserve"> </w:t>
      </w:r>
      <w:r>
        <w:t>(</w:t>
      </w:r>
      <w:r w:rsidR="00067CE5">
        <w:rPr>
          <w:lang w:val="en-US"/>
        </w:rPr>
        <w:t>FMI</w:t>
      </w:r>
      <w:r w:rsidR="00067CE5">
        <w:t xml:space="preserve"> </w:t>
      </w:r>
      <w:r>
        <w:t>1)</w:t>
      </w:r>
      <w:bookmarkEnd w:id="149"/>
    </w:p>
    <w:p w14:paraId="7FE1C7C5" w14:textId="6BE08ACD" w:rsidR="00FE5D64" w:rsidRDefault="00FE5D6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FE5D64"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FE5D64" w:rsidRDefault="00E40776">
            <w:pPr>
              <w:pStyle w:val="P68B1DB1-TableParagraph17"/>
              <w:spacing w:before="108"/>
              <w:ind w:left="85"/>
            </w:pPr>
            <w:bookmarkStart w:id="150" w:name="_Hlk210207597"/>
            <w:r>
              <w:t xml:space="preserve">Колони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FE5D64" w:rsidRDefault="00E40776">
            <w:pPr>
              <w:pStyle w:val="P68B1DB1-TableParagraph17"/>
              <w:spacing w:before="108"/>
              <w:ind w:left="85"/>
            </w:pPr>
            <w:r>
              <w:t xml:space="preserve">Указания </w:t>
            </w:r>
          </w:p>
        </w:tc>
      </w:tr>
      <w:tr w:rsidR="00FE5D64"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FE5D64" w:rsidRDefault="00E40776">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A2FFEC7" w:rsidR="00FE5D64" w:rsidRDefault="00E40776">
            <w:pPr>
              <w:pStyle w:val="P68B1DB1-TableParagraph73"/>
              <w:spacing w:before="108"/>
              <w:jc w:val="both"/>
            </w:pPr>
            <w:r>
              <w:t xml:space="preserve">Идентификатор, представляващ комбинация от </w:t>
            </w:r>
            <w:r w:rsidR="00114793">
              <w:rPr>
                <w:lang w:val="bg-BG"/>
              </w:rPr>
              <w:t>ползвател</w:t>
            </w:r>
            <w:r>
              <w:t xml:space="preserve">, </w:t>
            </w:r>
            <w:r w:rsidR="00FB0A4E">
              <w:rPr>
                <w:lang w:val="bg-BG"/>
              </w:rPr>
              <w:t>ИФП</w:t>
            </w:r>
            <w:r>
              <w:t>, тип система и посредник</w:t>
            </w:r>
          </w:p>
          <w:p w14:paraId="7FE1C7CB" w14:textId="64372485" w:rsidR="00FE5D64" w:rsidRDefault="00E40776">
            <w:pPr>
              <w:pStyle w:val="P68B1DB1-Normal31"/>
            </w:pPr>
            <w:r>
              <w:t xml:space="preserve">За всеки ред се използва един идентификатор, който съответства на уникална комбинация от </w:t>
            </w:r>
            <w:r w:rsidR="00FB0A4E">
              <w:rPr>
                <w:lang w:val="bg-BG"/>
              </w:rPr>
              <w:t>ползвател на</w:t>
            </w:r>
            <w:r w:rsidR="00FB0A4E" w:rsidRPr="00600FBA">
              <w:rPr>
                <w:lang w:val="bg-BG"/>
              </w:rPr>
              <w:t xml:space="preserve"> ИФП</w:t>
            </w:r>
            <w:r>
              <w:t xml:space="preserve">, ИФП, </w:t>
            </w:r>
            <w:r w:rsidR="00FB0A4E">
              <w:rPr>
                <w:lang w:val="bg-BG"/>
              </w:rPr>
              <w:t>вид</w:t>
            </w:r>
            <w:r w:rsidR="00FB0A4E">
              <w:t xml:space="preserve"> </w:t>
            </w:r>
            <w:r>
              <w:t xml:space="preserve">система и посредник. Един и същ </w:t>
            </w:r>
            <w:r w:rsidR="00E54B8C">
              <w:rPr>
                <w:lang w:val="bg-BG"/>
              </w:rPr>
              <w:t>идентифи</w:t>
            </w:r>
            <w:r w:rsidR="000F5B99">
              <w:rPr>
                <w:lang w:val="bg-BG"/>
              </w:rPr>
              <w:t>катор</w:t>
            </w:r>
            <w:r>
              <w:t xml:space="preserve">, съответстващ на една и съща комбинация, трябва да се използва в образци Z 09.01 — Z 09.04, </w:t>
            </w:r>
            <w:r w:rsidR="000F5B99">
              <w:rPr>
                <w:lang w:val="bg-BG"/>
              </w:rPr>
              <w:t>където</w:t>
            </w:r>
            <w:r w:rsidR="000F5B99">
              <w:t xml:space="preserve"> </w:t>
            </w:r>
            <w:r>
              <w:t xml:space="preserve">е приложимо. </w:t>
            </w:r>
          </w:p>
          <w:p w14:paraId="7FE1C7CC" w14:textId="77777777" w:rsidR="00FE5D64" w:rsidRDefault="00FE5D64">
            <w:pPr>
              <w:rPr>
                <w:rFonts w:ascii="Times New Roman" w:eastAsia="Times New Roman" w:hAnsi="Times New Roman" w:cs="Times New Roman"/>
                <w:sz w:val="20"/>
                <w:szCs w:val="20"/>
              </w:rPr>
            </w:pPr>
          </w:p>
        </w:tc>
      </w:tr>
      <w:tr w:rsidR="00FE5D64"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FE5D64" w:rsidRDefault="00E40776">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3280FEA0" w:rsidR="00FE5D64" w:rsidRDefault="00E40776">
            <w:pPr>
              <w:pStyle w:val="P68B1DB1-TableParagraph75"/>
              <w:spacing w:before="108"/>
              <w:ind w:left="85"/>
              <w:jc w:val="both"/>
              <w:rPr>
                <w:color w:val="D13438"/>
                <w:u w:val="single"/>
              </w:rPr>
            </w:pPr>
            <w:r>
              <w:t>Ползвател</w:t>
            </w:r>
          </w:p>
        </w:tc>
      </w:tr>
      <w:tr w:rsidR="00FE5D64"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FE5D64" w:rsidRDefault="00E40776">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FE5D64" w:rsidRDefault="00E40776">
            <w:pPr>
              <w:pStyle w:val="P68B1DB1-TableParagraph73"/>
              <w:spacing w:before="108" w:after="120"/>
              <w:jc w:val="both"/>
            </w:pPr>
            <w:r>
              <w:t>Наименование на субекта</w:t>
            </w:r>
          </w:p>
          <w:p w14:paraId="7FE1C7D3" w14:textId="2AA1FC08" w:rsidR="00FE5D64" w:rsidRDefault="00E40776" w:rsidP="00FB0A4E">
            <w:pPr>
              <w:pStyle w:val="P68B1DB1-TableParagraph40"/>
              <w:spacing w:before="108"/>
              <w:ind w:left="85"/>
              <w:jc w:val="both"/>
              <w:rPr>
                <w:b/>
                <w:bCs/>
                <w:i/>
                <w:iCs/>
                <w:color w:val="D13438"/>
                <w:u w:val="single"/>
              </w:rPr>
            </w:pPr>
            <w:r>
              <w:t>Наименование на правн</w:t>
            </w:r>
            <w:r w:rsidR="00C357D7">
              <w:rPr>
                <w:lang w:val="bg-BG"/>
              </w:rPr>
              <w:t>ия</w:t>
            </w:r>
            <w:r>
              <w:t xml:space="preserve"> </w:t>
            </w:r>
            <w:r w:rsidR="00C357D7">
              <w:rPr>
                <w:lang w:val="bg-BG"/>
              </w:rPr>
              <w:t>субект</w:t>
            </w:r>
            <w:r>
              <w:t xml:space="preserve">, </w:t>
            </w:r>
            <w:r w:rsidR="009A14A7">
              <w:rPr>
                <w:lang w:val="bg-BG"/>
              </w:rPr>
              <w:t>използващ</w:t>
            </w:r>
            <w:r>
              <w:t xml:space="preserve"> платежни услуги, услуги по попечителство, сетълмент, клиринг или услуги, свързани с регистър на трансакции, както е посочено в </w:t>
            </w:r>
            <w:r w:rsidR="000F5B99">
              <w:rPr>
                <w:lang w:val="bg-BG"/>
              </w:rPr>
              <w:t>образец</w:t>
            </w:r>
            <w:r w:rsidR="000F5B99">
              <w:t xml:space="preserve"> </w:t>
            </w:r>
            <w:r>
              <w:t xml:space="preserve">Z 01.01 — Правни </w:t>
            </w:r>
            <w:r w:rsidR="000F5B99">
              <w:rPr>
                <w:lang w:val="bg-BG"/>
              </w:rPr>
              <w:t>субекти</w:t>
            </w:r>
            <w:r w:rsidR="000F5B99">
              <w:t xml:space="preserve"> </w:t>
            </w:r>
            <w:r>
              <w:t xml:space="preserve">(ORG 1). </w:t>
            </w:r>
            <w:r w:rsidR="000F5B99">
              <w:rPr>
                <w:lang w:val="bg-BG"/>
              </w:rPr>
              <w:t>Попълва се о</w:t>
            </w:r>
            <w:r>
              <w:t xml:space="preserve">фициално </w:t>
            </w:r>
            <w:r w:rsidR="000F5B99">
              <w:rPr>
                <w:lang w:val="bg-BG"/>
              </w:rPr>
              <w:t>наименование и правна форма</w:t>
            </w:r>
            <w:r>
              <w:t>, както е посочено в</w:t>
            </w:r>
            <w:r w:rsidR="00FB0A4E" w:rsidRPr="00600FBA">
              <w:rPr>
                <w:lang w:val="bg-BG"/>
              </w:rPr>
              <w:t xml:space="preserve"> </w:t>
            </w:r>
            <w:r w:rsidR="00FB0A4E">
              <w:rPr>
                <w:lang w:val="bg-BG"/>
              </w:rPr>
              <w:t>официалните регистри и учредителните актове</w:t>
            </w:r>
            <w:r>
              <w:t xml:space="preserve">. </w:t>
            </w:r>
          </w:p>
        </w:tc>
      </w:tr>
      <w:bookmarkEnd w:id="148"/>
      <w:tr w:rsidR="00FE5D64"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FE5D64" w:rsidRDefault="00E40776">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FE5D64" w:rsidRDefault="00E40776">
            <w:pPr>
              <w:pStyle w:val="P68B1DB1-TableParagraph73"/>
              <w:spacing w:before="108"/>
              <w:jc w:val="both"/>
            </w:pPr>
            <w:r>
              <w:t>Код на субекта</w:t>
            </w:r>
          </w:p>
          <w:p w14:paraId="7FE1C7D7" w14:textId="1760DEEB" w:rsidR="00FE5D64" w:rsidRDefault="00E40776">
            <w:pPr>
              <w:pStyle w:val="P68B1DB1-TableParagraph40"/>
              <w:spacing w:before="108"/>
              <w:jc w:val="both"/>
            </w:pPr>
            <w:r>
              <w:t>20-</w:t>
            </w:r>
            <w:r w:rsidR="00D83C92">
              <w:rPr>
                <w:lang w:val="bg-BG"/>
              </w:rPr>
              <w:t>знаков</w:t>
            </w:r>
            <w:r>
              <w:t>, буквено-цифров ИКПС на правния субект, използващ платежни</w:t>
            </w:r>
            <w:r w:rsidR="000F5B99">
              <w:rPr>
                <w:lang w:val="bg-BG"/>
              </w:rPr>
              <w:t xml:space="preserve"> услуги</w:t>
            </w:r>
            <w:r>
              <w:t>, попечителски</w:t>
            </w:r>
            <w:r w:rsidR="000F5B99">
              <w:rPr>
                <w:lang w:val="bg-BG"/>
              </w:rPr>
              <w:t xml:space="preserve"> услуги</w:t>
            </w:r>
            <w:r>
              <w:t xml:space="preserve">, сетълмент, клиринг или услуги, свързани с регистър на трансакции, както е посочено в образец Z 01.01 — Правни субекти (ORG 1). </w:t>
            </w:r>
          </w:p>
          <w:p w14:paraId="7FE1C7D8" w14:textId="1A177D11" w:rsidR="00FE5D64" w:rsidRDefault="00E40776" w:rsidP="00D83C92">
            <w:pPr>
              <w:pStyle w:val="P68B1DB1-Normal31"/>
            </w:pPr>
            <w:r>
              <w:t xml:space="preserve">При липса на ИКПС трябва да се използва </w:t>
            </w:r>
            <w:r w:rsidR="00D83C92">
              <w:rPr>
                <w:lang w:val="bg-BG"/>
              </w:rPr>
              <w:t>единният</w:t>
            </w:r>
            <w:r w:rsidR="00D83C92">
              <w:t xml:space="preserve"> </w:t>
            </w:r>
            <w:r>
              <w:t xml:space="preserve">идентификатор на парично-финансовите институции на ЕЦБ на субекта, който се използва в RIAD. </w:t>
            </w:r>
          </w:p>
        </w:tc>
      </w:tr>
      <w:bookmarkEnd w:id="150"/>
      <w:tr w:rsidR="00FE5D64"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FE5D64" w:rsidRDefault="00E40776">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FE5D64" w:rsidRDefault="00E40776">
            <w:pPr>
              <w:pStyle w:val="P68B1DB1-TableParagraph75"/>
              <w:spacing w:before="108"/>
              <w:ind w:left="85"/>
              <w:jc w:val="both"/>
            </w:pPr>
            <w:r>
              <w:t>Доставчик</w:t>
            </w:r>
          </w:p>
        </w:tc>
      </w:tr>
      <w:tr w:rsidR="00FE5D64"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FE5D64" w:rsidRDefault="00E40776">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5FC2D46B" w:rsidR="00FE5D64" w:rsidRPr="000F5B99" w:rsidRDefault="00F27741">
            <w:pPr>
              <w:pStyle w:val="P68B1DB1-TableParagraph75"/>
              <w:spacing w:before="108"/>
              <w:ind w:left="85"/>
              <w:jc w:val="both"/>
              <w:rPr>
                <w:lang w:val="bg-BG"/>
              </w:rPr>
            </w:pPr>
            <w:r>
              <w:rPr>
                <w:lang w:val="bg-BG"/>
              </w:rPr>
              <w:t>ИФП</w:t>
            </w:r>
          </w:p>
        </w:tc>
      </w:tr>
      <w:tr w:rsidR="00FE5D64"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FE5D64" w:rsidRDefault="00E40776">
            <w:pPr>
              <w:pStyle w:val="P68B1DB1-Normal31"/>
            </w:pPr>
            <w:bookmarkStart w:id="151" w:name="_Hlk210147246"/>
            <w:r>
              <w:t>0040</w:t>
            </w:r>
          </w:p>
        </w:tc>
        <w:tc>
          <w:tcPr>
            <w:tcW w:w="7832" w:type="dxa"/>
            <w:tcBorders>
              <w:top w:val="single" w:sz="8" w:space="0" w:color="auto"/>
              <w:left w:val="single" w:sz="8" w:space="0" w:color="auto"/>
              <w:bottom w:val="single" w:sz="8" w:space="0" w:color="auto"/>
            </w:tcBorders>
            <w:vAlign w:val="bottom"/>
          </w:tcPr>
          <w:p w14:paraId="7FE1C7E1" w14:textId="77777777" w:rsidR="00FE5D64" w:rsidRDefault="00E40776">
            <w:pPr>
              <w:pStyle w:val="P68B1DB1-TableParagraph73"/>
              <w:spacing w:before="108"/>
              <w:ind w:left="85"/>
              <w:jc w:val="both"/>
            </w:pPr>
            <w:r>
              <w:t>Вид система</w:t>
            </w:r>
          </w:p>
          <w:p w14:paraId="7FE1C7E2" w14:textId="49C817EA" w:rsidR="00FE5D64" w:rsidRDefault="00E40776">
            <w:pPr>
              <w:pStyle w:val="P68B1DB1-TableParagraph40"/>
              <w:spacing w:before="108"/>
              <w:ind w:left="85"/>
              <w:jc w:val="both"/>
            </w:pPr>
            <w:r>
              <w:t>Вид</w:t>
            </w:r>
            <w:r w:rsidR="00F27741">
              <w:rPr>
                <w:lang w:val="bg-BG"/>
              </w:rPr>
              <w:t>ът</w:t>
            </w:r>
            <w:r>
              <w:t xml:space="preserve"> на системата, предоставяща услуги на </w:t>
            </w:r>
            <w:r w:rsidR="00F27741">
              <w:rPr>
                <w:lang w:val="bg-BG"/>
              </w:rPr>
              <w:t>ползвателя</w:t>
            </w:r>
            <w:r>
              <w:t xml:space="preserve">. </w:t>
            </w:r>
            <w:r w:rsidR="005F0882">
              <w:rPr>
                <w:lang w:val="bg-BG"/>
              </w:rPr>
              <w:t>Посочва се</w:t>
            </w:r>
            <w:r w:rsidR="005F0882">
              <w:t xml:space="preserve"> </w:t>
            </w:r>
            <w:r>
              <w:t>един от следните видове:</w:t>
            </w:r>
          </w:p>
          <w:p w14:paraId="7FE1C7E3" w14:textId="67A2F04C" w:rsidR="00FE5D64" w:rsidRDefault="00F27741">
            <w:pPr>
              <w:pStyle w:val="P68B1DB1-TableParagraph40"/>
              <w:spacing w:before="108"/>
              <w:ind w:left="85"/>
              <w:jc w:val="both"/>
            </w:pPr>
            <w:r>
              <w:rPr>
                <w:lang w:val="bg-BG"/>
              </w:rPr>
              <w:t>„Платежна с</w:t>
            </w:r>
            <w:r w:rsidR="00E40776">
              <w:t>истем</w:t>
            </w:r>
            <w:r>
              <w:rPr>
                <w:lang w:val="bg-BG"/>
              </w:rPr>
              <w:t xml:space="preserve">а“ </w:t>
            </w:r>
            <w:r w:rsidR="00E40776">
              <w:t xml:space="preserve"> </w:t>
            </w:r>
          </w:p>
          <w:p w14:paraId="7FE1C7E4" w14:textId="70E978AF" w:rsidR="00FE5D64" w:rsidRPr="00842DB5" w:rsidRDefault="00F27741">
            <w:pPr>
              <w:pStyle w:val="P68B1DB1-TableParagraph40"/>
              <w:spacing w:before="108"/>
              <w:ind w:left="85"/>
              <w:jc w:val="both"/>
              <w:rPr>
                <w:lang w:val="bg-BG"/>
              </w:rPr>
            </w:pPr>
            <w:r>
              <w:rPr>
                <w:lang w:val="bg-BG"/>
              </w:rPr>
              <w:t>„(Международен) Централен депозитар на ценни книжа“ (</w:t>
            </w:r>
            <w:r w:rsidR="00E40776">
              <w:t>„ЦДЦК и МЦДЦК“</w:t>
            </w:r>
            <w:r>
              <w:rPr>
                <w:lang w:val="bg-BG"/>
              </w:rPr>
              <w:t>)</w:t>
            </w:r>
          </w:p>
          <w:p w14:paraId="7FE1C7E5" w14:textId="513B4E7C" w:rsidR="00FE5D64" w:rsidRDefault="00E40776">
            <w:pPr>
              <w:pStyle w:val="P68B1DB1-TableParagraph40"/>
              <w:spacing w:before="108"/>
              <w:ind w:left="85"/>
              <w:jc w:val="both"/>
            </w:pPr>
            <w:r>
              <w:t>„Система за сетълмент на ценни книжа“</w:t>
            </w:r>
          </w:p>
          <w:p w14:paraId="7FE1C7E6" w14:textId="61451372" w:rsidR="00FE5D64" w:rsidRDefault="00E40776">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„Централни контрагенти за клиринг на ценни книжа“</w:t>
            </w:r>
            <w:r>
              <w:rPr>
                <w:rStyle w:val="FootnoteReference"/>
                <w:rFonts w:ascii="Times New Roman" w:eastAsia="Times New Roman" w:hAnsi="Times New Roman" w:cs="Times New Roman"/>
              </w:rPr>
              <w:footnoteReference w:id="29"/>
            </w:r>
          </w:p>
          <w:p w14:paraId="7FE1C7E7" w14:textId="7A3CD22F" w:rsidR="00FE5D64" w:rsidRDefault="00E40776">
            <w:pPr>
              <w:pStyle w:val="P68B1DB1-TableParagraph40"/>
              <w:spacing w:before="108"/>
              <w:ind w:left="85"/>
              <w:jc w:val="both"/>
            </w:pPr>
            <w:r>
              <w:t>„Централни контрагенти за клиринг на деривати“</w:t>
            </w:r>
          </w:p>
          <w:p w14:paraId="7FE1C7E8" w14:textId="47C7D30D" w:rsidR="00FE5D64" w:rsidRPr="00842DB5" w:rsidRDefault="00E40776">
            <w:pPr>
              <w:pStyle w:val="P68B1DB1-TableParagraph40"/>
              <w:spacing w:before="108"/>
              <w:ind w:left="85"/>
              <w:jc w:val="both"/>
            </w:pPr>
            <w:r>
              <w:t>„Регистрирани регистри на трансакции“</w:t>
            </w:r>
          </w:p>
          <w:p w14:paraId="7FE1C7E9" w14:textId="424A35E7" w:rsidR="00FE5D64" w:rsidRDefault="00E40776">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„Многостранни системи за търговия“</w:t>
            </w:r>
            <w:r>
              <w:rPr>
                <w:rStyle w:val="FootnoteReference"/>
                <w:rFonts w:ascii="Times New Roman" w:eastAsia="Times New Roman" w:hAnsi="Times New Roman" w:cs="Times New Roman"/>
                <w:sz w:val="20"/>
                <w:szCs w:val="20"/>
              </w:rPr>
              <w:footnoteReference w:id="30"/>
            </w:r>
          </w:p>
          <w:p w14:paraId="7FE1C7EB" w14:textId="51093740" w:rsidR="00FE5D64" w:rsidRDefault="00E40776">
            <w:pPr>
              <w:pStyle w:val="P68B1DB1-TableParagraph40"/>
              <w:spacing w:before="108"/>
              <w:ind w:left="85"/>
              <w:jc w:val="both"/>
            </w:pPr>
            <w:r>
              <w:t>„Картови схеми, използвани за плащания на дребно“</w:t>
            </w:r>
          </w:p>
          <w:p w14:paraId="7FE1C7EC" w14:textId="54EBF082" w:rsidR="00FE5D64" w:rsidRDefault="00E40776" w:rsidP="00F27741">
            <w:pPr>
              <w:pStyle w:val="P68B1DB1-TableParagraph40"/>
              <w:spacing w:before="108"/>
              <w:ind w:left="85"/>
              <w:jc w:val="both"/>
            </w:pPr>
            <w:r>
              <w:t>„</w:t>
            </w:r>
            <w:r w:rsidR="00F27741">
              <w:rPr>
                <w:lang w:val="bg-BG"/>
              </w:rPr>
              <w:t>Не</w:t>
            </w:r>
            <w:r w:rsidR="00842DB5">
              <w:rPr>
                <w:lang w:val="bg-BG"/>
              </w:rPr>
              <w:t xml:space="preserve"> е </w:t>
            </w:r>
            <w:r w:rsidR="00F27741">
              <w:rPr>
                <w:lang w:val="bg-BG"/>
              </w:rPr>
              <w:t>приложимо</w:t>
            </w:r>
            <w:r>
              <w:t xml:space="preserve">“ — за други платежни, клирингови, сетълмент или попечителски услуги, предоставяни от субект, който не </w:t>
            </w:r>
            <w:r w:rsidR="00842DB5">
              <w:rPr>
                <w:lang w:val="bg-BG"/>
              </w:rPr>
              <w:t xml:space="preserve">попада в нито една </w:t>
            </w:r>
            <w:r>
              <w:t xml:space="preserve">от горепосочените категории, например банки кореспонденти и/или банки попечители, за които институцията не може да определи крайните ИФП. В колона 0110 </w:t>
            </w:r>
            <w:r w:rsidR="00842DB5">
              <w:rPr>
                <w:lang w:val="bg-BG"/>
              </w:rPr>
              <w:t>се посочва</w:t>
            </w:r>
            <w:r w:rsidR="00842DB5">
              <w:t xml:space="preserve"> </w:t>
            </w:r>
            <w:r>
              <w:t>предоставената услуга.</w:t>
            </w:r>
          </w:p>
        </w:tc>
      </w:tr>
      <w:bookmarkEnd w:id="151"/>
      <w:tr w:rsidR="00FE5D64"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FE5D64" w:rsidRDefault="00E40776">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2D4BB" w:rsidR="00FE5D64" w:rsidRPr="00842DB5" w:rsidRDefault="00A373B6">
            <w:pPr>
              <w:pStyle w:val="P68B1DB1-TableParagraph73"/>
              <w:spacing w:before="108"/>
              <w:ind w:left="85"/>
              <w:jc w:val="both"/>
              <w:rPr>
                <w:lang w:val="bg-BG"/>
              </w:rPr>
            </w:pPr>
            <w:r>
              <w:rPr>
                <w:lang w:val="bg-BG"/>
              </w:rPr>
              <w:t>Наименование</w:t>
            </w:r>
            <w:r w:rsidRPr="00842DB5">
              <w:rPr>
                <w:lang w:val="bg-BG"/>
              </w:rPr>
              <w:t xml:space="preserve"> на </w:t>
            </w:r>
            <w:r>
              <w:rPr>
                <w:lang w:val="bg-BG"/>
              </w:rPr>
              <w:t>ИФП</w:t>
            </w:r>
          </w:p>
          <w:p w14:paraId="7FE1C7F0" w14:textId="499B48B5" w:rsidR="00FE5D64" w:rsidRDefault="00E40776">
            <w:pPr>
              <w:pStyle w:val="P68B1DB1-TableParagraph40"/>
              <w:spacing w:before="108"/>
              <w:ind w:left="85"/>
              <w:jc w:val="both"/>
            </w:pPr>
            <w:r>
              <w:t xml:space="preserve">Търговско </w:t>
            </w:r>
            <w:r w:rsidR="005E6DE7">
              <w:rPr>
                <w:lang w:val="bg-BG"/>
              </w:rPr>
              <w:t>наименование</w:t>
            </w:r>
            <w:r w:rsidR="005E6DE7">
              <w:t xml:space="preserve"> </w:t>
            </w:r>
            <w:r>
              <w:t>на инфраструктурата на финансов пазар.</w:t>
            </w:r>
          </w:p>
          <w:p w14:paraId="7FE1C7F1" w14:textId="15442C60" w:rsidR="00FE5D64" w:rsidRDefault="00E40776">
            <w:pPr>
              <w:pStyle w:val="P68B1DB1-TableParagraph40"/>
              <w:numPr>
                <w:ilvl w:val="0"/>
                <w:numId w:val="246"/>
              </w:numPr>
              <w:spacing w:before="108"/>
              <w:jc w:val="both"/>
            </w:pPr>
            <w:r>
              <w:t xml:space="preserve">Ако </w:t>
            </w:r>
            <w:r w:rsidR="005E6DE7">
              <w:rPr>
                <w:lang w:val="bg-BG"/>
              </w:rPr>
              <w:t>фигурира</w:t>
            </w:r>
            <w:r w:rsidR="005E6DE7">
              <w:t xml:space="preserve"> </w:t>
            </w:r>
            <w:r>
              <w:t>в колона 0050</w:t>
            </w:r>
            <w:r w:rsidR="005E6DE7">
              <w:rPr>
                <w:lang w:val="bg-BG"/>
              </w:rPr>
              <w:t xml:space="preserve">, предварително зададен списък </w:t>
            </w:r>
            <w:r w:rsidR="002022C0">
              <w:rPr>
                <w:lang w:val="bg-BG"/>
              </w:rPr>
              <w:t xml:space="preserve">с </w:t>
            </w:r>
            <w:r w:rsidR="002022C0">
              <w:t>наименования</w:t>
            </w:r>
            <w:r>
              <w:t xml:space="preserve"> на </w:t>
            </w:r>
            <w:r w:rsidR="00A373B6">
              <w:rPr>
                <w:lang w:val="bg-BG"/>
              </w:rPr>
              <w:t>ИФП</w:t>
            </w:r>
            <w:r>
              <w:t>, посочен</w:t>
            </w:r>
            <w:r w:rsidR="00A373B6">
              <w:rPr>
                <w:lang w:val="bg-BG"/>
              </w:rPr>
              <w:t>и</w:t>
            </w:r>
            <w:r>
              <w:t xml:space="preserve"> в </w:t>
            </w:r>
            <w:r w:rsidR="00A373B6">
              <w:rPr>
                <w:lang w:val="bg-BG"/>
              </w:rPr>
              <w:t>П</w:t>
            </w:r>
            <w:r>
              <w:t xml:space="preserve">риложение I към настоящите </w:t>
            </w:r>
            <w:r w:rsidR="001A79CE">
              <w:rPr>
                <w:lang w:val="bg-BG"/>
              </w:rPr>
              <w:t>указания</w:t>
            </w:r>
            <w:r>
              <w:t>;</w:t>
            </w:r>
          </w:p>
          <w:p w14:paraId="7FE1C7F2" w14:textId="1727E881" w:rsidR="00FE5D64" w:rsidRDefault="00E40776" w:rsidP="002022C0">
            <w:pPr>
              <w:pStyle w:val="P68B1DB1-TableParagraph40"/>
              <w:numPr>
                <w:ilvl w:val="0"/>
                <w:numId w:val="246"/>
              </w:numPr>
              <w:spacing w:before="108" w:after="120"/>
              <w:ind w:left="442" w:hanging="357"/>
              <w:jc w:val="both"/>
            </w:pPr>
            <w:r>
              <w:t>Ако не</w:t>
            </w:r>
            <w:r w:rsidR="00A373B6" w:rsidRPr="00842DB5">
              <w:rPr>
                <w:lang w:val="bg-BG"/>
              </w:rPr>
              <w:t xml:space="preserve"> </w:t>
            </w:r>
            <w:r w:rsidR="002022C0">
              <w:rPr>
                <w:lang w:val="bg-BG"/>
              </w:rPr>
              <w:t>фигурира</w:t>
            </w:r>
            <w:r w:rsidR="002022C0">
              <w:t xml:space="preserve"> </w:t>
            </w:r>
            <w:r>
              <w:t>в колона 0050, наименование</w:t>
            </w:r>
            <w:r w:rsidR="002022C0">
              <w:rPr>
                <w:lang w:val="bg-BG"/>
              </w:rPr>
              <w:t>то се посочва в свободен текст</w:t>
            </w:r>
            <w:r>
              <w:t xml:space="preserve"> </w:t>
            </w:r>
            <w:r w:rsidR="00986625">
              <w:t>в колона 0060</w:t>
            </w:r>
            <w:r>
              <w:t>.</w:t>
            </w:r>
          </w:p>
          <w:p w14:paraId="7FE1C7F3" w14:textId="710F58BA" w:rsidR="00FE5D64" w:rsidRDefault="00E40776" w:rsidP="00A373B6">
            <w:pPr>
              <w:pStyle w:val="P68B1DB1-Normal31"/>
            </w:pPr>
            <w:r>
              <w:t xml:space="preserve">Когато в колона 0040 е </w:t>
            </w:r>
            <w:r w:rsidR="002022C0">
              <w:rPr>
                <w:lang w:val="bg-BG"/>
              </w:rPr>
              <w:t>посочено</w:t>
            </w:r>
            <w:r w:rsidR="002022C0">
              <w:t xml:space="preserve"> </w:t>
            </w:r>
            <w:r>
              <w:t xml:space="preserve">„Не е приложимо“, тези колони се оставят празни. </w:t>
            </w:r>
          </w:p>
        </w:tc>
      </w:tr>
      <w:tr w:rsidR="00FE5D64"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FE5D64" w:rsidRDefault="00E40776">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FE5D64" w:rsidRDefault="00E40776">
            <w:pPr>
              <w:pStyle w:val="P68B1DB1-TableParagraph73"/>
              <w:spacing w:before="108"/>
              <w:ind w:left="85"/>
              <w:jc w:val="both"/>
            </w:pPr>
            <w:r>
              <w:t>Код на ИФП</w:t>
            </w:r>
          </w:p>
          <w:p w14:paraId="7FE1C7F7" w14:textId="74CBDCCA" w:rsidR="00FE5D64" w:rsidRDefault="00E40776">
            <w:pPr>
              <w:pStyle w:val="P68B1DB1-TableParagraph40"/>
              <w:spacing w:before="108"/>
              <w:ind w:left="85"/>
              <w:jc w:val="both"/>
            </w:pPr>
            <w:r>
              <w:t>20-</w:t>
            </w:r>
            <w:r w:rsidR="00A373B6">
              <w:rPr>
                <w:lang w:val="bg-BG"/>
              </w:rPr>
              <w:t>знаковият</w:t>
            </w:r>
            <w:r w:rsidR="00A373B6">
              <w:t xml:space="preserve"> </w:t>
            </w:r>
            <w:r>
              <w:t xml:space="preserve">буквено-цифров ИКПС на ИФП. </w:t>
            </w:r>
          </w:p>
          <w:p w14:paraId="7FE1C7F8" w14:textId="4BE23016" w:rsidR="00FE5D64" w:rsidRDefault="00E40776">
            <w:pPr>
              <w:pStyle w:val="P68B1DB1-TableParagraph40"/>
              <w:spacing w:before="108"/>
              <w:ind w:left="85"/>
              <w:jc w:val="both"/>
            </w:pPr>
            <w:r>
              <w:t xml:space="preserve">Когато ИФП не разполага с ИКПС, </w:t>
            </w:r>
            <w:r w:rsidR="002022C0">
              <w:rPr>
                <w:lang w:val="bg-BG"/>
              </w:rPr>
              <w:t>използва се</w:t>
            </w:r>
            <w:r w:rsidR="002022C0">
              <w:t xml:space="preserve"> </w:t>
            </w:r>
            <w:r>
              <w:t xml:space="preserve">ИКПС на оператора. </w:t>
            </w:r>
          </w:p>
          <w:p w14:paraId="7FE1C7F9" w14:textId="3875D3B5" w:rsidR="00FE5D64" w:rsidRDefault="00E40776">
            <w:pPr>
              <w:pStyle w:val="P68B1DB1-TableParagraph40"/>
              <w:spacing w:before="108"/>
              <w:ind w:left="85"/>
              <w:jc w:val="both"/>
            </w:pPr>
            <w:r>
              <w:t>Когато в колона 0040 е посочено „Не е приложимо (вид на системата FMI)</w:t>
            </w:r>
            <w:r w:rsidR="002022C0">
              <w:rPr>
                <w:lang w:val="bg-BG"/>
              </w:rPr>
              <w:t xml:space="preserve">“ </w:t>
            </w:r>
            <w:r>
              <w:t xml:space="preserve">или когато ИФП няма код, </w:t>
            </w:r>
            <w:r w:rsidR="002022C0">
              <w:rPr>
                <w:lang w:val="bg-BG"/>
              </w:rPr>
              <w:t xml:space="preserve">в </w:t>
            </w:r>
            <w:r>
              <w:t xml:space="preserve">тази колона </w:t>
            </w:r>
            <w:r w:rsidR="002022C0">
              <w:rPr>
                <w:lang w:val="bg-BG"/>
              </w:rPr>
              <w:t>се посочва</w:t>
            </w:r>
            <w:r w:rsidR="002022C0">
              <w:t xml:space="preserve"> </w:t>
            </w:r>
            <w:r>
              <w:t>„NA“.</w:t>
            </w:r>
          </w:p>
          <w:p w14:paraId="7FE1C7FA" w14:textId="77777777" w:rsidR="00FE5D64" w:rsidRDefault="00FE5D64">
            <w:pPr>
              <w:rPr>
                <w:rFonts w:ascii="Times New Roman" w:eastAsia="Times New Roman" w:hAnsi="Times New Roman" w:cs="Times New Roman"/>
                <w:color w:val="D13438"/>
                <w:sz w:val="20"/>
                <w:szCs w:val="20"/>
                <w:u w:val="single"/>
              </w:rPr>
            </w:pPr>
          </w:p>
        </w:tc>
      </w:tr>
      <w:tr w:rsidR="00FE5D64"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FE5D64" w:rsidRDefault="00E40776">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1B47895E" w:rsidR="00FE5D64" w:rsidRPr="002022C0" w:rsidRDefault="00E40776">
            <w:pPr>
              <w:pStyle w:val="P68B1DB1-Normal76"/>
              <w:spacing w:after="120"/>
              <w:rPr>
                <w:lang w:val="bg-BG"/>
              </w:rPr>
            </w:pPr>
            <w:r>
              <w:t xml:space="preserve">Оператор на </w:t>
            </w:r>
            <w:r w:rsidR="00986625">
              <w:rPr>
                <w:lang w:val="bg-BG"/>
              </w:rPr>
              <w:t>ИФП</w:t>
            </w:r>
          </w:p>
          <w:p w14:paraId="7FE1C7FE" w14:textId="77777777" w:rsidR="00FE5D64" w:rsidRDefault="00E40776">
            <w:pPr>
              <w:pStyle w:val="P68B1DB1-Normal31"/>
              <w:rPr>
                <w:b/>
              </w:rPr>
            </w:pPr>
            <w:r>
              <w:t xml:space="preserve">Име на оператора на ИФП. </w:t>
            </w:r>
          </w:p>
          <w:p w14:paraId="7FE1C7FF" w14:textId="77777777" w:rsidR="00FE5D64" w:rsidRDefault="00FE5D64">
            <w:pPr>
              <w:rPr>
                <w:rFonts w:ascii="Times New Roman" w:hAnsi="Times New Roman" w:cs="Times New Roman"/>
                <w:color w:val="D13438"/>
                <w:sz w:val="20"/>
                <w:szCs w:val="20"/>
                <w:highlight w:val="yellow"/>
                <w:u w:val="single"/>
              </w:rPr>
            </w:pPr>
          </w:p>
        </w:tc>
      </w:tr>
      <w:tr w:rsidR="00FE5D64"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FE5D64" w:rsidRDefault="00E40776">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FE5D64" w:rsidRDefault="00E40776">
            <w:pPr>
              <w:pStyle w:val="P68B1DB1-Normal76"/>
            </w:pPr>
            <w:r>
              <w:t>Режим на участие</w:t>
            </w:r>
          </w:p>
          <w:p w14:paraId="7FE1C803" w14:textId="226DA0FC" w:rsidR="00FE5D64" w:rsidRDefault="006E0E9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bg-BG"/>
              </w:rPr>
              <w:t>Посочва се</w:t>
            </w:r>
            <w:r>
              <w:rPr>
                <w:rFonts w:ascii="Times New Roman" w:eastAsia="Times New Roman" w:hAnsi="Times New Roman" w:cs="Times New Roman"/>
                <w:sz w:val="20"/>
                <w:szCs w:val="20"/>
              </w:rPr>
              <w:t xml:space="preserve"> </w:t>
            </w:r>
            <w:r w:rsidR="00E40776">
              <w:rPr>
                <w:rFonts w:ascii="Times New Roman" w:eastAsia="Times New Roman" w:hAnsi="Times New Roman" w:cs="Times New Roman"/>
                <w:sz w:val="20"/>
                <w:szCs w:val="20"/>
              </w:rPr>
              <w:t>едно от следните</w:t>
            </w:r>
            <w:r w:rsidR="00E40776">
              <w:rPr>
                <w:rStyle w:val="FootnoteReference"/>
                <w:rFonts w:ascii="Times New Roman" w:eastAsia="Times New Roman" w:hAnsi="Times New Roman" w:cs="Times New Roman"/>
              </w:rPr>
              <w:footnoteReference w:id="31"/>
            </w:r>
            <w:r w:rsidR="00E40776">
              <w:rPr>
                <w:rFonts w:ascii="Times New Roman" w:eastAsia="Times New Roman" w:hAnsi="Times New Roman" w:cs="Times New Roman"/>
                <w:sz w:val="20"/>
                <w:szCs w:val="20"/>
              </w:rPr>
              <w:t>:</w:t>
            </w:r>
          </w:p>
          <w:p w14:paraId="7FE1C804" w14:textId="77777777" w:rsidR="00FE5D64" w:rsidRDefault="00E40776">
            <w:pPr>
              <w:pStyle w:val="P68B1DB1-TableParagraph40"/>
              <w:numPr>
                <w:ilvl w:val="0"/>
                <w:numId w:val="181"/>
              </w:numPr>
              <w:spacing w:before="108"/>
              <w:jc w:val="both"/>
            </w:pPr>
            <w:r>
              <w:t xml:space="preserve">„Пряко“ в случай на пряко участие/членство в ИФП. </w:t>
            </w:r>
          </w:p>
          <w:p w14:paraId="7FE1C805" w14:textId="77777777" w:rsidR="00FE5D64" w:rsidRDefault="00E40776">
            <w:pPr>
              <w:pStyle w:val="P68B1DB1-TableParagraph40"/>
              <w:numPr>
                <w:ilvl w:val="0"/>
                <w:numId w:val="181"/>
              </w:numPr>
              <w:spacing w:before="108"/>
              <w:jc w:val="both"/>
            </w:pPr>
            <w:r>
              <w:t xml:space="preserve">„Непряко“ в случай на непряко участие/членство в ИФП. </w:t>
            </w:r>
          </w:p>
          <w:p w14:paraId="7FE1C806" w14:textId="4FA6C667" w:rsidR="00FE5D64" w:rsidRDefault="00E40776">
            <w:pPr>
              <w:pStyle w:val="P68B1DB1-TableParagraph40"/>
              <w:numPr>
                <w:ilvl w:val="0"/>
                <w:numId w:val="181"/>
              </w:numPr>
              <w:spacing w:before="108"/>
              <w:jc w:val="both"/>
              <w:rPr>
                <w:b/>
              </w:rPr>
            </w:pPr>
            <w:r>
              <w:t>„</w:t>
            </w:r>
            <w:r w:rsidR="006E0E9C">
              <w:rPr>
                <w:lang w:val="bg-BG"/>
              </w:rPr>
              <w:t>Не е приложимо</w:t>
            </w:r>
            <w:r>
              <w:t xml:space="preserve"> (</w:t>
            </w:r>
            <w:r w:rsidR="006E0E9C">
              <w:rPr>
                <w:lang w:val="bg-BG"/>
              </w:rPr>
              <w:t>режим</w:t>
            </w:r>
            <w:r w:rsidR="006E0E9C">
              <w:t xml:space="preserve"> </w:t>
            </w:r>
            <w:r>
              <w:t>на участие в ИФП)</w:t>
            </w:r>
            <w:r w:rsidR="00BB22F6">
              <w:rPr>
                <w:lang w:val="bg-BG"/>
              </w:rPr>
              <w:t>“</w:t>
            </w:r>
            <w:r>
              <w:t>, когато в колона 0040 е посочено „</w:t>
            </w:r>
            <w:r w:rsidR="006E0E9C">
              <w:rPr>
                <w:lang w:val="bg-BG"/>
              </w:rPr>
              <w:t>Не е приложимо</w:t>
            </w:r>
            <w:r>
              <w:t xml:space="preserve"> (вид на системата за ИФП)“.</w:t>
            </w:r>
          </w:p>
          <w:p w14:paraId="7FE1C807" w14:textId="77777777" w:rsidR="00FE5D64" w:rsidRDefault="00FE5D64">
            <w:pPr>
              <w:pStyle w:val="TableParagraph"/>
              <w:spacing w:before="108"/>
              <w:ind w:left="85"/>
              <w:jc w:val="both"/>
              <w:rPr>
                <w:rFonts w:ascii="Times New Roman" w:eastAsia="Times New Roman" w:hAnsi="Times New Roman" w:cs="Times New Roman"/>
                <w:b/>
                <w:sz w:val="20"/>
                <w:szCs w:val="20"/>
              </w:rPr>
            </w:pPr>
          </w:p>
        </w:tc>
      </w:tr>
      <w:tr w:rsidR="00FE5D64"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FE5D64" w:rsidRDefault="00E40776">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FE5D64" w:rsidRDefault="00E40776">
            <w:pPr>
              <w:pStyle w:val="P68B1DB1-TableParagraph75"/>
              <w:spacing w:before="108"/>
              <w:ind w:left="85"/>
              <w:jc w:val="both"/>
            </w:pPr>
            <w:r>
              <w:t>Посредник</w:t>
            </w:r>
          </w:p>
        </w:tc>
      </w:tr>
      <w:tr w:rsidR="00FE5D64"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FE5D64" w:rsidRDefault="00E40776">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4C163CBA" w:rsidR="00FE5D64" w:rsidRDefault="007E1784">
            <w:pPr>
              <w:pStyle w:val="P68B1DB1-Normal76"/>
            </w:pPr>
            <w:r>
              <w:rPr>
                <w:lang w:val="bg-BG"/>
              </w:rPr>
              <w:t>Наименование</w:t>
            </w:r>
            <w:r>
              <w:t xml:space="preserve"> </w:t>
            </w:r>
            <w:r w:rsidR="00E40776">
              <w:t>на посредника</w:t>
            </w:r>
          </w:p>
          <w:p w14:paraId="7FE1C80E" w14:textId="1094B36A" w:rsidR="00FE5D64" w:rsidRDefault="00E40776">
            <w:pPr>
              <w:pStyle w:val="P68B1DB1-TableParagraph40"/>
              <w:spacing w:before="108"/>
              <w:ind w:left="85"/>
              <w:jc w:val="both"/>
            </w:pPr>
            <w:r>
              <w:t xml:space="preserve">Търговско наименование на посредника, с който </w:t>
            </w:r>
            <w:r w:rsidR="007E1784">
              <w:rPr>
                <w:lang w:val="bg-BG"/>
              </w:rPr>
              <w:t>Ползвателят</w:t>
            </w:r>
            <w:r w:rsidR="007E1784">
              <w:t xml:space="preserve"> </w:t>
            </w:r>
            <w:r>
              <w:t xml:space="preserve">има договорни отношения, и </w:t>
            </w:r>
            <w:r w:rsidR="007E1784">
              <w:rPr>
                <w:lang w:val="bg-BG"/>
              </w:rPr>
              <w:t>предоставя</w:t>
            </w:r>
            <w:r>
              <w:t xml:space="preserve"> достъп до ИФП. </w:t>
            </w:r>
            <w:r w:rsidR="007E1784">
              <w:rPr>
                <w:lang w:val="bg-BG"/>
              </w:rPr>
              <w:t>Попълва</w:t>
            </w:r>
            <w:r w:rsidR="00BB22F6">
              <w:t xml:space="preserve"> </w:t>
            </w:r>
            <w:r>
              <w:t xml:space="preserve">се, когато в колона </w:t>
            </w:r>
            <w:r w:rsidR="007E1784">
              <w:rPr>
                <w:lang w:val="bg-BG"/>
              </w:rPr>
              <w:t>0090</w:t>
            </w:r>
            <w:r w:rsidR="007E1784">
              <w:t xml:space="preserve"> </w:t>
            </w:r>
            <w:r>
              <w:t>„Режим на участие</w:t>
            </w:r>
            <w:r w:rsidR="00BB22F6">
              <w:rPr>
                <w:lang w:val="bg-BG"/>
              </w:rPr>
              <w:t xml:space="preserve">“ </w:t>
            </w:r>
            <w:r>
              <w:t xml:space="preserve">е </w:t>
            </w:r>
            <w:r w:rsidR="007E1784">
              <w:rPr>
                <w:lang w:val="bg-BG"/>
              </w:rPr>
              <w:t>посочено</w:t>
            </w:r>
            <w:r w:rsidR="00BB22F6">
              <w:t xml:space="preserve"> </w:t>
            </w:r>
            <w:r>
              <w:t>„Непряко</w:t>
            </w:r>
            <w:r w:rsidR="00BB22F6">
              <w:rPr>
                <w:lang w:val="bg-BG"/>
              </w:rPr>
              <w:t xml:space="preserve">“ </w:t>
            </w:r>
            <w:r>
              <w:t>или „Не е приложимо (</w:t>
            </w:r>
            <w:r w:rsidR="007E1784">
              <w:rPr>
                <w:lang w:val="bg-BG"/>
              </w:rPr>
              <w:t>режим</w:t>
            </w:r>
            <w:r w:rsidR="007E1784">
              <w:t xml:space="preserve"> </w:t>
            </w:r>
            <w:r>
              <w:t xml:space="preserve">на участие в ИФП)“. </w:t>
            </w:r>
          </w:p>
          <w:p w14:paraId="7FE1C80F" w14:textId="33B393B2" w:rsidR="00FE5D64" w:rsidRDefault="00E40776">
            <w:pPr>
              <w:pStyle w:val="P68B1DB1-TableParagraph40"/>
              <w:spacing w:before="108"/>
              <w:ind w:left="85"/>
              <w:jc w:val="both"/>
            </w:pPr>
            <w:r>
              <w:t xml:space="preserve">В случай че посредникът предлага непряк достъп до няколко ИФП, </w:t>
            </w:r>
            <w:r w:rsidR="007E1784">
              <w:rPr>
                <w:lang w:val="bg-BG"/>
              </w:rPr>
              <w:t>попълва се</w:t>
            </w:r>
            <w:r w:rsidR="00BB22F6">
              <w:t xml:space="preserve"> </w:t>
            </w:r>
            <w:r>
              <w:t>по един ред за всяка ИФП, за която посредникът предлага непряк достъп.</w:t>
            </w:r>
          </w:p>
          <w:p w14:paraId="7FE1C810" w14:textId="0B35D142" w:rsidR="00FE5D64" w:rsidRDefault="00E40776">
            <w:pPr>
              <w:pStyle w:val="P68B1DB1-TableParagraph40"/>
              <w:spacing w:before="108"/>
              <w:ind w:left="85"/>
              <w:jc w:val="both"/>
              <w:rPr>
                <w:b/>
              </w:rPr>
            </w:pPr>
            <w:r>
              <w:t xml:space="preserve">Когато в колона 0090 е посочено „Пряко“, тази колона </w:t>
            </w:r>
            <w:r w:rsidR="007E1784">
              <w:rPr>
                <w:lang w:val="bg-BG"/>
              </w:rPr>
              <w:t>се оставя</w:t>
            </w:r>
            <w:r w:rsidR="007E1784">
              <w:t xml:space="preserve"> </w:t>
            </w:r>
            <w:r>
              <w:t>празна.</w:t>
            </w:r>
          </w:p>
        </w:tc>
      </w:tr>
      <w:tr w:rsidR="00FE5D64"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FE5D64" w:rsidRDefault="00E40776">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FE5D64" w:rsidRDefault="00E40776">
            <w:pPr>
              <w:pStyle w:val="P68B1DB1-Normal76"/>
            </w:pPr>
            <w:r>
              <w:t>Код на посредника</w:t>
            </w:r>
          </w:p>
          <w:p w14:paraId="7FE1C814" w14:textId="2AA9904B" w:rsidR="00FE5D64" w:rsidRDefault="00E40776">
            <w:pPr>
              <w:pStyle w:val="P68B1DB1-TableParagraph40"/>
              <w:spacing w:before="108"/>
              <w:ind w:left="85"/>
              <w:jc w:val="both"/>
            </w:pPr>
            <w:r>
              <w:t>20-</w:t>
            </w:r>
            <w:r w:rsidR="00BB22F6">
              <w:rPr>
                <w:lang w:val="bg-BG"/>
              </w:rPr>
              <w:t>знаковият</w:t>
            </w:r>
            <w:r>
              <w:t xml:space="preserve">, буквено-цифров ИКПС на посредника. </w:t>
            </w:r>
          </w:p>
          <w:p w14:paraId="7FE1C815" w14:textId="77777777" w:rsidR="00FE5D64" w:rsidRDefault="00E40776">
            <w:pPr>
              <w:pStyle w:val="P68B1DB1-TableParagraph13"/>
              <w:spacing w:before="108"/>
              <w:ind w:left="85"/>
              <w:jc w:val="both"/>
              <w:rPr>
                <w:rFonts w:eastAsia="Cambria"/>
              </w:rPr>
            </w:pPr>
            <w:r>
              <w:t>За предпочитане е видът на кода да бъде ИКПС.</w:t>
            </w:r>
          </w:p>
          <w:p w14:paraId="7FE1C816" w14:textId="46115361" w:rsidR="00FE5D64" w:rsidRDefault="00E40776">
            <w:pPr>
              <w:pStyle w:val="P68B1DB1-TableParagraph17"/>
              <w:spacing w:before="108"/>
            </w:pPr>
            <w:r>
              <w:t xml:space="preserve">Когато ИКПС не е наличен, </w:t>
            </w:r>
            <w:r w:rsidR="007E1784">
              <w:rPr>
                <w:lang w:val="bg-BG"/>
              </w:rPr>
              <w:t>посочва се</w:t>
            </w:r>
            <w:r>
              <w:t xml:space="preserve"> идентификатор на ПФИ</w:t>
            </w:r>
            <w:r w:rsidR="00AF55D8" w:rsidRPr="007E1784">
              <w:t xml:space="preserve"> </w:t>
            </w:r>
            <w:r>
              <w:t>или, ако няма такъв, се посочва национален код.</w:t>
            </w:r>
          </w:p>
          <w:p w14:paraId="7FE1C817" w14:textId="21B88AAE" w:rsidR="00FE5D64" w:rsidRDefault="00E40776">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 xml:space="preserve">Идентифицирането на субектите се извършва по последователен начин в образци Z 09.01 — Z 09.05, </w:t>
            </w:r>
            <w:r w:rsidR="007E1784">
              <w:rPr>
                <w:rFonts w:ascii="Times New Roman" w:hAnsi="Times New Roman" w:cs="Times New Roman"/>
                <w:color w:val="000000" w:themeColor="text1"/>
                <w:lang w:val="bg-BG"/>
              </w:rPr>
              <w:t>където</w:t>
            </w:r>
            <w:r w:rsidR="007E1784">
              <w:rPr>
                <w:rFonts w:ascii="Times New Roman" w:hAnsi="Times New Roman" w:cs="Times New Roman"/>
                <w:color w:val="000000" w:themeColor="text1"/>
              </w:rPr>
              <w:t xml:space="preserve"> </w:t>
            </w:r>
            <w:r>
              <w:rPr>
                <w:rFonts w:ascii="Times New Roman" w:hAnsi="Times New Roman" w:cs="Times New Roman"/>
                <w:color w:val="000000" w:themeColor="text1"/>
              </w:rPr>
              <w:t>е приложимо.</w:t>
            </w:r>
            <w:r>
              <w:rPr>
                <w:rFonts w:ascii="Times New Roman" w:eastAsia="Times New Roman" w:hAnsi="Times New Roman" w:cs="Times New Roman"/>
              </w:rPr>
              <w:t xml:space="preserve"> </w:t>
            </w:r>
          </w:p>
          <w:p w14:paraId="7FE1C818" w14:textId="3FACF1E7" w:rsidR="00FE5D64" w:rsidRDefault="00E40776">
            <w:pPr>
              <w:pStyle w:val="P68B1DB1-TableParagraph40"/>
              <w:spacing w:before="108"/>
              <w:ind w:left="85"/>
              <w:jc w:val="both"/>
              <w:rPr>
                <w:b/>
              </w:rPr>
            </w:pPr>
            <w:r>
              <w:t xml:space="preserve">Когато в колона 0090 е посочено „Пряко“, тази колона </w:t>
            </w:r>
            <w:r w:rsidR="007E1784">
              <w:rPr>
                <w:lang w:val="bg-BG"/>
              </w:rPr>
              <w:t>се оставя</w:t>
            </w:r>
            <w:r w:rsidR="007E1784">
              <w:t xml:space="preserve"> </w:t>
            </w:r>
            <w:r>
              <w:t>празна.</w:t>
            </w:r>
          </w:p>
        </w:tc>
      </w:tr>
      <w:tr w:rsidR="00FE5D64"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FE5D64" w:rsidRDefault="00E40776">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68C909B3" w:rsidR="00FE5D64" w:rsidRDefault="00BB22F6">
            <w:pPr>
              <w:pStyle w:val="P68B1DB1-Normal77"/>
              <w:rPr>
                <w:color w:val="D13438"/>
                <w:u w:val="single"/>
              </w:rPr>
            </w:pPr>
            <w:r>
              <w:rPr>
                <w:lang w:val="bg-BG"/>
              </w:rPr>
              <w:t>Договори</w:t>
            </w:r>
            <w:r w:rsidRPr="007E1784">
              <w:rPr>
                <w:lang w:val="bg-BG"/>
              </w:rPr>
              <w:t xml:space="preserve"> </w:t>
            </w:r>
            <w:r w:rsidR="00E40776">
              <w:t>и услуги</w:t>
            </w:r>
          </w:p>
        </w:tc>
      </w:tr>
      <w:tr w:rsidR="00FE5D64"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FE5D64" w:rsidRDefault="00E40776">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FE5D64" w:rsidRDefault="00E40776">
            <w:pPr>
              <w:pStyle w:val="P68B1DB1-TableParagraph73"/>
              <w:spacing w:before="108"/>
              <w:ind w:left="85"/>
              <w:jc w:val="both"/>
            </w:pPr>
            <w:r>
              <w:t>Идентификационен код на договора</w:t>
            </w:r>
          </w:p>
          <w:p w14:paraId="7FE1C81F" w14:textId="4911CFFA" w:rsidR="00FE5D64" w:rsidRDefault="00E40776" w:rsidP="00BB22F6">
            <w:pPr>
              <w:pStyle w:val="P68B1DB1-TableParagraph40"/>
              <w:spacing w:before="108"/>
              <w:jc w:val="both"/>
              <w:rPr>
                <w:b/>
              </w:rPr>
            </w:pPr>
            <w:r>
              <w:t>Вътрешен идентификатор на договора</w:t>
            </w:r>
            <w:r w:rsidR="004F32F2">
              <w:rPr>
                <w:lang w:val="bg-BG"/>
              </w:rPr>
              <w:t xml:space="preserve"> на ползвателя</w:t>
            </w:r>
            <w:r>
              <w:t xml:space="preserve">, който урежда отношенията с </w:t>
            </w:r>
            <w:r w:rsidR="00BB22F6">
              <w:rPr>
                <w:lang w:val="bg-BG"/>
              </w:rPr>
              <w:t>ИФП</w:t>
            </w:r>
            <w:r>
              <w:t>/посредника, който предоставя услугата.</w:t>
            </w:r>
          </w:p>
        </w:tc>
      </w:tr>
      <w:tr w:rsidR="00FE5D64"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FE5D64" w:rsidRDefault="00E40776">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FE5D64" w:rsidRDefault="00E40776">
            <w:pPr>
              <w:pStyle w:val="P68B1DB1-TableParagraph73"/>
              <w:spacing w:before="108"/>
              <w:ind w:left="85"/>
              <w:jc w:val="both"/>
              <w:rPr>
                <w:bCs/>
              </w:rPr>
            </w:pPr>
            <w:r>
              <w:t>Приложимо право</w:t>
            </w:r>
          </w:p>
          <w:p w14:paraId="7FE1C823" w14:textId="6C12C56F" w:rsidR="00FE5D64" w:rsidRDefault="00E40776">
            <w:pPr>
              <w:pStyle w:val="P68B1DB1-TableParagraph40"/>
              <w:spacing w:before="108"/>
              <w:ind w:left="85"/>
              <w:jc w:val="both"/>
            </w:pPr>
            <w:r>
              <w:t xml:space="preserve">Кодът по ISO 3166—1 alpha-2 на държавата, чието право се прилага по отношение на </w:t>
            </w:r>
            <w:r w:rsidR="004F32F2">
              <w:rPr>
                <w:lang w:val="bg-BG"/>
              </w:rPr>
              <w:t>договорните</w:t>
            </w:r>
            <w:r>
              <w:t xml:space="preserve"> отношения с ИФП. </w:t>
            </w:r>
          </w:p>
          <w:p w14:paraId="7FE1C824" w14:textId="47F0043F" w:rsidR="00FE5D64" w:rsidRDefault="004F32F2">
            <w:pPr>
              <w:pStyle w:val="P68B1DB1-TableParagraph40"/>
              <w:numPr>
                <w:ilvl w:val="0"/>
                <w:numId w:val="247"/>
              </w:numPr>
              <w:spacing w:before="108"/>
              <w:jc w:val="both"/>
              <w:rPr>
                <w:b/>
                <w:bCs/>
              </w:rPr>
            </w:pPr>
            <w:r>
              <w:rPr>
                <w:lang w:val="bg-BG"/>
              </w:rPr>
              <w:t>При</w:t>
            </w:r>
            <w:r>
              <w:t xml:space="preserve"> </w:t>
            </w:r>
            <w:r w:rsidR="00E40776">
              <w:t xml:space="preserve">пряк достъп — приложимо право на договора между </w:t>
            </w:r>
            <w:r w:rsidR="00BB22F6">
              <w:rPr>
                <w:lang w:val="bg-BG"/>
              </w:rPr>
              <w:t>ИФП</w:t>
            </w:r>
            <w:r w:rsidR="00BB22F6">
              <w:t xml:space="preserve"> </w:t>
            </w:r>
            <w:r w:rsidR="00E40776">
              <w:t xml:space="preserve">и </w:t>
            </w:r>
            <w:r w:rsidR="00BB22F6">
              <w:rPr>
                <w:lang w:val="bg-BG"/>
              </w:rPr>
              <w:t>ползвателя</w:t>
            </w:r>
          </w:p>
          <w:p w14:paraId="7FE1C825" w14:textId="5DDFB116" w:rsidR="00FE5D64" w:rsidRDefault="004F32F2">
            <w:pPr>
              <w:pStyle w:val="P68B1DB1-TableParagraph40"/>
              <w:numPr>
                <w:ilvl w:val="0"/>
                <w:numId w:val="247"/>
              </w:numPr>
              <w:spacing w:before="108"/>
              <w:jc w:val="both"/>
            </w:pPr>
            <w:r>
              <w:rPr>
                <w:lang w:val="bg-BG"/>
              </w:rPr>
              <w:t>При</w:t>
            </w:r>
            <w:r>
              <w:t xml:space="preserve"> </w:t>
            </w:r>
            <w:r w:rsidR="00E40776">
              <w:t>непряк достъп — приложимо право на договора между посредника и ползвателя.</w:t>
            </w:r>
          </w:p>
        </w:tc>
      </w:tr>
      <w:tr w:rsidR="00FE5D64"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FE5D64" w:rsidRDefault="00E40776">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0B9A4055" w:rsidR="00FE5D64" w:rsidRDefault="00E40776">
            <w:pPr>
              <w:pStyle w:val="P68B1DB1-TableParagraph73"/>
              <w:spacing w:before="108"/>
              <w:ind w:left="85"/>
              <w:jc w:val="both"/>
              <w:rPr>
                <w:bCs/>
              </w:rPr>
            </w:pPr>
            <w:r>
              <w:t xml:space="preserve">Договор, устойчив </w:t>
            </w:r>
            <w:r w:rsidR="004F32F2">
              <w:rPr>
                <w:lang w:val="bg-BG"/>
              </w:rPr>
              <w:t>при</w:t>
            </w:r>
            <w:r w:rsidR="004F32F2">
              <w:t xml:space="preserve"> </w:t>
            </w:r>
            <w:r w:rsidR="006D583D">
              <w:rPr>
                <w:lang w:val="bg-BG"/>
              </w:rPr>
              <w:t>преструктуриране</w:t>
            </w:r>
            <w:r w:rsidR="006D583D">
              <w:t xml:space="preserve"> </w:t>
            </w:r>
          </w:p>
          <w:p w14:paraId="7FE1C829" w14:textId="37A2BD65" w:rsidR="00FE5D64" w:rsidRDefault="004F32F2">
            <w:pPr>
              <w:pStyle w:val="P68B1DB1-TableParagraph40"/>
              <w:spacing w:before="108"/>
              <w:ind w:left="85"/>
              <w:jc w:val="both"/>
            </w:pPr>
            <w:r>
              <w:rPr>
                <w:lang w:val="bg-BG"/>
              </w:rPr>
              <w:t>Посочва се</w:t>
            </w:r>
            <w:r>
              <w:t xml:space="preserve"> </w:t>
            </w:r>
            <w:r w:rsidR="00E40776">
              <w:t>едно от следните:</w:t>
            </w:r>
          </w:p>
          <w:p w14:paraId="7FE1C82A" w14:textId="630148BB" w:rsidR="00FE5D64" w:rsidRDefault="00E40776">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 — ако </w:t>
            </w:r>
            <w:r w:rsidR="004F32F2">
              <w:rPr>
                <w:rFonts w:ascii="Times New Roman" w:eastAsia="Times New Roman" w:hAnsi="Times New Roman" w:cs="Times New Roman"/>
                <w:sz w:val="20"/>
                <w:szCs w:val="20"/>
                <w:lang w:val="bg-BG"/>
              </w:rPr>
              <w:t>докладващият</w:t>
            </w:r>
            <w:r w:rsidR="006D583D">
              <w:rPr>
                <w:rFonts w:ascii="Times New Roman" w:eastAsia="Times New Roman" w:hAnsi="Times New Roman" w:cs="Times New Roman"/>
                <w:sz w:val="20"/>
                <w:szCs w:val="20"/>
                <w:lang w:val="bg-BG"/>
              </w:rPr>
              <w:t xml:space="preserve"> субект</w:t>
            </w:r>
            <w:r>
              <w:rPr>
                <w:rFonts w:ascii="Times New Roman" w:eastAsia="Times New Roman" w:hAnsi="Times New Roman" w:cs="Times New Roman"/>
                <w:sz w:val="20"/>
                <w:szCs w:val="20"/>
              </w:rPr>
              <w:t xml:space="preserve"> е оценил договора като устойчив </w:t>
            </w:r>
            <w:r w:rsidR="004F32F2">
              <w:rPr>
                <w:rFonts w:ascii="Times New Roman" w:eastAsia="Times New Roman" w:hAnsi="Times New Roman" w:cs="Times New Roman"/>
                <w:sz w:val="20"/>
                <w:szCs w:val="20"/>
                <w:lang w:val="bg-BG"/>
              </w:rPr>
              <w:t>при</w:t>
            </w:r>
            <w:r w:rsidR="004F32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преструктуриране</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06F4861B" w:rsidR="00FE5D64" w:rsidRDefault="00E40776">
            <w:pPr>
              <w:pStyle w:val="P68B1DB1-TableParagraph40"/>
              <w:spacing w:before="108"/>
              <w:ind w:left="85"/>
              <w:jc w:val="both"/>
            </w:pPr>
            <w:r>
              <w:t xml:space="preserve">„Не“ — ако </w:t>
            </w:r>
            <w:r w:rsidR="004F32F2">
              <w:rPr>
                <w:lang w:val="bg-BG"/>
              </w:rPr>
              <w:t>докладващият</w:t>
            </w:r>
            <w:r w:rsidR="006D583D">
              <w:rPr>
                <w:lang w:val="bg-BG"/>
              </w:rPr>
              <w:t xml:space="preserve"> субект</w:t>
            </w:r>
            <w:r>
              <w:t xml:space="preserve"> е оценил договора като неустойчив </w:t>
            </w:r>
            <w:r w:rsidR="004F32F2">
              <w:rPr>
                <w:lang w:val="bg-BG"/>
              </w:rPr>
              <w:t>при</w:t>
            </w:r>
            <w:r w:rsidR="004F32F2">
              <w:t xml:space="preserve"> </w:t>
            </w:r>
            <w:r>
              <w:t>преструктуриране.</w:t>
            </w:r>
          </w:p>
          <w:p w14:paraId="7FE1C82C" w14:textId="6DC96A23" w:rsidR="00FE5D64" w:rsidRDefault="00E40776">
            <w:pPr>
              <w:pStyle w:val="P68B1DB1-TableParagraph40"/>
              <w:spacing w:before="108"/>
              <w:ind w:left="85"/>
              <w:jc w:val="both"/>
            </w:pPr>
            <w:r>
              <w:t>„</w:t>
            </w:r>
            <w:r w:rsidR="006D583D">
              <w:rPr>
                <w:lang w:val="bg-BG"/>
              </w:rPr>
              <w:t>Без оценка</w:t>
            </w:r>
            <w:r>
              <w:t>“ — ако информацията не е налична.</w:t>
            </w:r>
          </w:p>
          <w:p w14:paraId="7FE1C82D" w14:textId="4D233D82" w:rsidR="00FE5D64" w:rsidRDefault="006D583D" w:rsidP="006D583D">
            <w:pPr>
              <w:pStyle w:val="P68B1DB1-TableParagraph40"/>
              <w:spacing w:before="108"/>
              <w:ind w:left="85"/>
              <w:jc w:val="both"/>
              <w:rPr>
                <w:b/>
                <w:bCs/>
                <w:i/>
                <w:iCs/>
                <w:u w:val="single"/>
              </w:rPr>
            </w:pPr>
            <w:r>
              <w:rPr>
                <w:lang w:val="bg-BG"/>
              </w:rPr>
              <w:t>Отчита</w:t>
            </w:r>
            <w:r w:rsidRPr="004F32F2">
              <w:t xml:space="preserve"> се само </w:t>
            </w:r>
            <w:r>
              <w:rPr>
                <w:lang w:val="bg-BG"/>
              </w:rPr>
              <w:t>по отношение на</w:t>
            </w:r>
            <w:r w:rsidR="00E40776">
              <w:t xml:space="preserve"> посредници. </w:t>
            </w:r>
            <w:r w:rsidR="001E4281">
              <w:rPr>
                <w:lang w:val="bg-BG"/>
              </w:rPr>
              <w:t>Посочва се</w:t>
            </w:r>
            <w:r w:rsidR="001E4281">
              <w:t xml:space="preserve"> </w:t>
            </w:r>
            <w:r w:rsidR="00E40776">
              <w:t xml:space="preserve">„Y“ за всички договори съгласно правото на ЕИП.  </w:t>
            </w:r>
          </w:p>
        </w:tc>
      </w:tr>
      <w:tr w:rsidR="00FE5D64"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FE5D64" w:rsidRDefault="00E40776">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5BFB90CC" w:rsidR="00FE5D64" w:rsidRPr="002A7C80" w:rsidRDefault="00E40776">
            <w:pPr>
              <w:pStyle w:val="P68B1DB1-TableParagraph73"/>
              <w:spacing w:before="108"/>
              <w:ind w:left="85"/>
              <w:jc w:val="both"/>
              <w:rPr>
                <w:lang w:val="bg-BG"/>
              </w:rPr>
            </w:pPr>
            <w:r>
              <w:t xml:space="preserve">Валути, </w:t>
            </w:r>
            <w:r w:rsidR="002A7C80">
              <w:rPr>
                <w:lang w:val="bg-BG"/>
              </w:rPr>
              <w:t>отнасящи се за отчетната институция</w:t>
            </w:r>
          </w:p>
          <w:p w14:paraId="7FE1C831" w14:textId="3AE8CE85" w:rsidR="00FE5D64" w:rsidRDefault="00E40776">
            <w:pPr>
              <w:pStyle w:val="P68B1DB1-TableParagraph40"/>
              <w:spacing w:before="108"/>
              <w:ind w:left="85"/>
              <w:jc w:val="both"/>
            </w:pPr>
            <w:r>
              <w:t xml:space="preserve">Валути, в които </w:t>
            </w:r>
            <w:r w:rsidR="00424283">
              <w:rPr>
                <w:lang w:val="bg-BG"/>
              </w:rPr>
              <w:t>трансакциите</w:t>
            </w:r>
            <w:r w:rsidR="00424283">
              <w:t xml:space="preserve"> </w:t>
            </w:r>
            <w:r>
              <w:t>на отчитащ</w:t>
            </w:r>
            <w:r w:rsidR="002A7C80">
              <w:rPr>
                <w:lang w:val="bg-BG"/>
              </w:rPr>
              <w:t>ия</w:t>
            </w:r>
            <w:r>
              <w:t xml:space="preserve"> се </w:t>
            </w:r>
            <w:r w:rsidR="002A7C80">
              <w:rPr>
                <w:lang w:val="bg-BG"/>
              </w:rPr>
              <w:t>субект</w:t>
            </w:r>
            <w:r w:rsidR="00424283">
              <w:t xml:space="preserve"> </w:t>
            </w:r>
            <w:r>
              <w:t xml:space="preserve">се приемат и уреждат в системата. Отчитат се само валути, които представляват най-малко 5% от </w:t>
            </w:r>
            <w:r w:rsidR="00B17808">
              <w:rPr>
                <w:lang w:val="bg-BG"/>
              </w:rPr>
              <w:t>всички</w:t>
            </w:r>
            <w:r w:rsidR="00B17808">
              <w:t xml:space="preserve"> </w:t>
            </w:r>
            <w:r>
              <w:t xml:space="preserve">операции на </w:t>
            </w:r>
            <w:r w:rsidR="002A7C80">
              <w:rPr>
                <w:lang w:val="bg-BG"/>
              </w:rPr>
              <w:t>отчетната</w:t>
            </w:r>
            <w:r w:rsidR="00424283">
              <w:t xml:space="preserve"> </w:t>
            </w:r>
            <w:r>
              <w:t>институция с ИФП/посредника.</w:t>
            </w:r>
          </w:p>
          <w:p w14:paraId="7FE1C832" w14:textId="2734CE93" w:rsidR="00FE5D64" w:rsidRDefault="00E40776" w:rsidP="00424283">
            <w:pPr>
              <w:pStyle w:val="P68B1DB1-TableParagraph40"/>
              <w:spacing w:before="108"/>
              <w:ind w:left="85"/>
              <w:jc w:val="both"/>
              <w:rPr>
                <w:b/>
              </w:rPr>
            </w:pPr>
            <w:r>
              <w:t>Колон</w:t>
            </w:r>
            <w:r w:rsidR="00424283">
              <w:rPr>
                <w:lang w:val="bg-BG"/>
              </w:rPr>
              <w:t>и</w:t>
            </w:r>
            <w:r>
              <w:t xml:space="preserve"> 150—200 не се изключват взаимно. За „други валути“ (колона </w:t>
            </w:r>
            <w:r w:rsidR="002A7C80">
              <w:rPr>
                <w:lang w:val="bg-BG"/>
              </w:rPr>
              <w:t>0200</w:t>
            </w:r>
            <w:r>
              <w:t>): ISO 4217—3-буквен код на валутата (ите).</w:t>
            </w:r>
          </w:p>
        </w:tc>
      </w:tr>
      <w:tr w:rsidR="00FE5D64"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FE5D64" w:rsidRDefault="00E40776">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FE5D64" w:rsidRDefault="00E40776">
            <w:pPr>
              <w:pStyle w:val="P68B1DB1-TableParagraph73"/>
              <w:spacing w:before="108"/>
              <w:ind w:left="85"/>
              <w:jc w:val="both"/>
            </w:pPr>
            <w:r>
              <w:t>Услуги, предоставяни на ИФП/посредник</w:t>
            </w:r>
          </w:p>
          <w:p w14:paraId="7FE1C836" w14:textId="5B802820" w:rsidR="00FE5D64" w:rsidRDefault="002A7C80" w:rsidP="00B32073">
            <w:pPr>
              <w:pStyle w:val="P68B1DB1-TableParagraph40"/>
              <w:spacing w:before="108"/>
              <w:ind w:left="85"/>
              <w:jc w:val="both"/>
            </w:pPr>
            <w:r>
              <w:rPr>
                <w:lang w:val="bg-BG"/>
              </w:rPr>
              <w:t>Посочва се</w:t>
            </w:r>
            <w:r w:rsidR="00B17808">
              <w:t xml:space="preserve"> </w:t>
            </w:r>
            <w:r w:rsidR="00E40776">
              <w:t xml:space="preserve">само когато ползвателят предоставя услуги на ИФП/посредник, като например </w:t>
            </w:r>
            <w:r w:rsidR="006B1BE2">
              <w:rPr>
                <w:lang w:val="bg-BG"/>
              </w:rPr>
              <w:t>субект, предоставящ цени</w:t>
            </w:r>
            <w:r w:rsidR="00E40776">
              <w:t xml:space="preserve">, доставчик на ликвидност, паричен сетълмент (посочете валутата), попечителство, непряк достъп до (чуждестранни) ЦДЦК, инвестиционен контрагент и други. </w:t>
            </w:r>
          </w:p>
        </w:tc>
      </w:tr>
      <w:tr w:rsidR="00FE5D64"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FE5D64" w:rsidRDefault="00E40776">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5E902B84" w:rsidR="00FE5D64" w:rsidRDefault="00E40776">
            <w:pPr>
              <w:pStyle w:val="P68B1DB1-TableParagraph73"/>
              <w:spacing w:before="108"/>
              <w:ind w:left="85"/>
              <w:jc w:val="both"/>
            </w:pPr>
            <w:r>
              <w:t xml:space="preserve">Услуга, предоставяна от </w:t>
            </w:r>
            <w:r w:rsidR="006B1BE2">
              <w:rPr>
                <w:lang w:val="bg-BG"/>
              </w:rPr>
              <w:t>ИФП</w:t>
            </w:r>
            <w:r>
              <w:t>/посредник</w:t>
            </w:r>
          </w:p>
          <w:p w14:paraId="7FE1C83A" w14:textId="09D7F1A8" w:rsidR="00FE5D64" w:rsidRDefault="00E40776" w:rsidP="00B17808">
            <w:pPr>
              <w:pStyle w:val="P68B1DB1-TableParagraph40"/>
              <w:spacing w:before="108"/>
              <w:ind w:left="85"/>
              <w:jc w:val="both"/>
            </w:pPr>
            <w:r>
              <w:t xml:space="preserve">Услуги, които ИФП/посредникът предоставя на </w:t>
            </w:r>
            <w:r w:rsidR="00463619">
              <w:rPr>
                <w:lang w:val="bg-BG"/>
              </w:rPr>
              <w:t>отчитащия се</w:t>
            </w:r>
            <w:r w:rsidR="00463619">
              <w:t xml:space="preserve"> </w:t>
            </w:r>
            <w:r>
              <w:t xml:space="preserve">субект. Докладва се, ако </w:t>
            </w:r>
            <w:r w:rsidR="00463619">
              <w:rPr>
                <w:lang w:val="bg-BG"/>
              </w:rPr>
              <w:t xml:space="preserve">в </w:t>
            </w:r>
            <w:r w:rsidR="00463619">
              <w:rPr>
                <w:lang w:val="en-US"/>
              </w:rPr>
              <w:t>c</w:t>
            </w:r>
            <w:r>
              <w:t xml:space="preserve">0040 е </w:t>
            </w:r>
            <w:r w:rsidR="0008026F">
              <w:rPr>
                <w:lang w:val="bg-BG"/>
              </w:rPr>
              <w:t xml:space="preserve">посочено </w:t>
            </w:r>
            <w:r>
              <w:t>„</w:t>
            </w:r>
            <w:r w:rsidR="00463619">
              <w:rPr>
                <w:lang w:val="bg-BG"/>
              </w:rPr>
              <w:t>Не</w:t>
            </w:r>
            <w:r w:rsidR="0008026F">
              <w:rPr>
                <w:lang w:val="bg-BG"/>
              </w:rPr>
              <w:t xml:space="preserve"> е </w:t>
            </w:r>
            <w:r w:rsidR="00463619">
              <w:rPr>
                <w:lang w:val="bg-BG"/>
              </w:rPr>
              <w:t>приложимо</w:t>
            </w:r>
            <w:r>
              <w:t>“.</w:t>
            </w:r>
          </w:p>
        </w:tc>
      </w:tr>
      <w:tr w:rsidR="00FE5D64"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FE5D64" w:rsidRDefault="00E40776">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FE5D64" w:rsidRDefault="00E40776">
            <w:pPr>
              <w:pStyle w:val="P68B1DB1-TableParagraph75"/>
              <w:spacing w:before="108"/>
              <w:ind w:left="85"/>
              <w:jc w:val="both"/>
            </w:pPr>
            <w:r>
              <w:t>Доставчици на услуги</w:t>
            </w:r>
          </w:p>
        </w:tc>
      </w:tr>
      <w:tr w:rsidR="00FE5D64"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FE5D64" w:rsidRDefault="00E40776">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3C5E6E42" w:rsidR="00FE5D64" w:rsidRDefault="00E40776">
            <w:pPr>
              <w:pStyle w:val="P68B1DB1-TableParagraph73"/>
              <w:spacing w:before="108"/>
              <w:ind w:left="85"/>
              <w:jc w:val="both"/>
            </w:pPr>
            <w:r>
              <w:t>Доставчиците на комуникационни услуги</w:t>
            </w:r>
          </w:p>
          <w:p w14:paraId="7FE1C841" w14:textId="7B818514" w:rsidR="00FE5D64" w:rsidRDefault="00E40776">
            <w:pPr>
              <w:pStyle w:val="P68B1DB1-TableParagraph40"/>
              <w:spacing w:before="108"/>
              <w:ind w:left="85"/>
              <w:jc w:val="both"/>
            </w:pPr>
            <w:r>
              <w:t xml:space="preserve">Доставчици на комуникационни услуги, използвани от институцията за достъп до ИФП. Колони 230—250 не се изключват взаимно. </w:t>
            </w:r>
          </w:p>
          <w:p w14:paraId="32DB4B00" w14:textId="5D932B29" w:rsidR="00FE5D64" w:rsidRDefault="00E40776">
            <w:pPr>
              <w:pStyle w:val="P68B1DB1-TableParagraph40"/>
              <w:spacing w:before="108"/>
              <w:ind w:left="85"/>
              <w:jc w:val="both"/>
            </w:pPr>
            <w:r>
              <w:t>За „</w:t>
            </w:r>
            <w:r w:rsidR="00E66657">
              <w:rPr>
                <w:lang w:val="bg-BG"/>
              </w:rPr>
              <w:t>Собственост</w:t>
            </w:r>
            <w:r w:rsidR="00E66657">
              <w:t xml:space="preserve"> </w:t>
            </w:r>
            <w:r>
              <w:t xml:space="preserve">на </w:t>
            </w:r>
            <w:r w:rsidR="00E66657">
              <w:rPr>
                <w:lang w:val="bg-BG"/>
              </w:rPr>
              <w:t>ИФП</w:t>
            </w:r>
            <w:r w:rsidR="00436CDD">
              <w:rPr>
                <w:lang w:val="bg-BG"/>
              </w:rPr>
              <w:t xml:space="preserve">“ </w:t>
            </w:r>
            <w:r w:rsidR="00436CDD">
              <w:t>—</w:t>
            </w:r>
            <w:r w:rsidR="00436CDD">
              <w:rPr>
                <w:lang w:val="bg-BG"/>
              </w:rPr>
              <w:t xml:space="preserve"> </w:t>
            </w:r>
            <w:r>
              <w:t>c0230</w:t>
            </w:r>
            <w:r w:rsidR="003D455D">
              <w:rPr>
                <w:lang w:val="bg-BG"/>
              </w:rPr>
              <w:t xml:space="preserve"> при собствени комуникационни системи</w:t>
            </w:r>
            <w:r>
              <w:t xml:space="preserve"> и „SWIFT“ — c0240, </w:t>
            </w:r>
            <w:r w:rsidR="00E66657">
              <w:rPr>
                <w:lang w:val="bg-BG"/>
              </w:rPr>
              <w:t>посочва се</w:t>
            </w:r>
            <w:r w:rsidR="00436CDD">
              <w:rPr>
                <w:lang w:val="bg-BG"/>
              </w:rPr>
              <w:t xml:space="preserve"> едно от следните</w:t>
            </w:r>
            <w:r>
              <w:t>:</w:t>
            </w:r>
          </w:p>
          <w:p w14:paraId="1D0FFCBE" w14:textId="12EDD7C9" w:rsidR="00FE5D64" w:rsidRDefault="003057E6">
            <w:pPr>
              <w:pStyle w:val="P68B1DB1-TableParagraph40"/>
              <w:numPr>
                <w:ilvl w:val="0"/>
                <w:numId w:val="181"/>
              </w:numPr>
              <w:spacing w:before="108"/>
              <w:jc w:val="both"/>
            </w:pPr>
            <w:r>
              <w:rPr>
                <w:lang w:val="bg-BG"/>
              </w:rPr>
              <w:t>Да</w:t>
            </w:r>
          </w:p>
          <w:p w14:paraId="26472FE9" w14:textId="497BFEF4" w:rsidR="00FE5D64" w:rsidRDefault="003057E6">
            <w:pPr>
              <w:pStyle w:val="P68B1DB1-TableParagraph40"/>
              <w:numPr>
                <w:ilvl w:val="0"/>
                <w:numId w:val="181"/>
              </w:numPr>
              <w:spacing w:before="108"/>
              <w:jc w:val="both"/>
            </w:pPr>
            <w:r>
              <w:rPr>
                <w:lang w:val="bg-BG"/>
              </w:rPr>
              <w:t>Не</w:t>
            </w:r>
          </w:p>
          <w:p w14:paraId="7FE1C842" w14:textId="71EBAF44" w:rsidR="00FE5D64" w:rsidRDefault="00E40776" w:rsidP="003057E6">
            <w:pPr>
              <w:pStyle w:val="P68B1DB1-TableParagraph40"/>
              <w:spacing w:before="108"/>
              <w:ind w:left="85"/>
              <w:jc w:val="both"/>
            </w:pPr>
            <w:r>
              <w:t xml:space="preserve">За „Други доставчици на комуникационни услуги“ — c0250: </w:t>
            </w:r>
            <w:r w:rsidR="00436CDD">
              <w:rPr>
                <w:lang w:val="bg-BG"/>
              </w:rPr>
              <w:t>посочва се</w:t>
            </w:r>
            <w:r w:rsidR="003057E6">
              <w:t xml:space="preserve"> </w:t>
            </w:r>
            <w:r>
              <w:t>търговското наименование на доставчика.</w:t>
            </w:r>
          </w:p>
        </w:tc>
      </w:tr>
      <w:tr w:rsidR="00FE5D64"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FE5D64" w:rsidRDefault="00E40776">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9AFA8B4" w:rsidR="00FE5D64" w:rsidRDefault="00E40776">
            <w:pPr>
              <w:pStyle w:val="P68B1DB1-TableParagraph75"/>
              <w:spacing w:before="108"/>
              <w:ind w:left="85"/>
              <w:jc w:val="both"/>
            </w:pPr>
            <w:r>
              <w:t xml:space="preserve">Други доставчици на услуги, </w:t>
            </w:r>
            <w:r w:rsidR="00A90820">
              <w:rPr>
                <w:lang w:val="bg-BG"/>
              </w:rPr>
              <w:t>предоставящи</w:t>
            </w:r>
            <w:r w:rsidR="00A90820">
              <w:t xml:space="preserve"> </w:t>
            </w:r>
            <w:r>
              <w:t>достъп до ИФП</w:t>
            </w:r>
          </w:p>
        </w:tc>
      </w:tr>
      <w:tr w:rsidR="00FE5D64"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FE5D64" w:rsidRDefault="00E40776">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FE5D64" w:rsidRDefault="00E40776">
            <w:pPr>
              <w:pStyle w:val="P68B1DB1-TableParagraph73"/>
              <w:spacing w:before="108"/>
              <w:ind w:left="85"/>
            </w:pPr>
            <w:r>
              <w:t xml:space="preserve">Име на допълнителните доставчици на услуги </w:t>
            </w:r>
          </w:p>
          <w:p w14:paraId="7FE1C849" w14:textId="78B77FCB" w:rsidR="00FE5D64" w:rsidRPr="00AC2B6B" w:rsidRDefault="00E40776" w:rsidP="00E035AC">
            <w:pPr>
              <w:pStyle w:val="P68B1DB1-TableParagraph40"/>
              <w:spacing w:before="108"/>
              <w:ind w:left="85"/>
              <w:jc w:val="both"/>
              <w:rPr>
                <w:b/>
                <w:lang w:val="bg-BG"/>
              </w:rPr>
            </w:pPr>
            <w:r>
              <w:t>Доставчици, различни от посредника, които са строго необходими на ползвателя, ако е приложимо: банка по сетълмента, паричен кореспондент/nostro</w:t>
            </w:r>
            <w:r w:rsidR="00E035AC">
              <w:t xml:space="preserve"> </w:t>
            </w:r>
            <w:r>
              <w:t xml:space="preserve">агент, доставчик на ликвидност.  </w:t>
            </w:r>
            <w:r w:rsidR="00AC2B6B">
              <w:rPr>
                <w:lang w:val="bg-BG"/>
              </w:rPr>
              <w:t>Посочва се т</w:t>
            </w:r>
            <w:r>
              <w:t>ърговско</w:t>
            </w:r>
            <w:r w:rsidR="00AC2B6B">
              <w:rPr>
                <w:lang w:val="bg-BG"/>
              </w:rPr>
              <w:t>то</w:t>
            </w:r>
            <w:r>
              <w:t xml:space="preserve"> наименование на доставчиците.</w:t>
            </w:r>
          </w:p>
        </w:tc>
      </w:tr>
      <w:tr w:rsidR="00FE5D64"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FE5D64" w:rsidRDefault="00E40776">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FE5D64" w:rsidRDefault="00E40776">
            <w:pPr>
              <w:pStyle w:val="P68B1DB1-TableParagraph73"/>
              <w:spacing w:before="108"/>
              <w:ind w:left="85"/>
              <w:jc w:val="both"/>
            </w:pPr>
            <w:r>
              <w:t xml:space="preserve">Допълнителни услуги </w:t>
            </w:r>
          </w:p>
          <w:p w14:paraId="7FE1C84D" w14:textId="32AE7566" w:rsidR="00FE5D64" w:rsidRDefault="00E40776" w:rsidP="00FB0A4E">
            <w:pPr>
              <w:pStyle w:val="P68B1DB1-TableParagraph40"/>
              <w:spacing w:before="108"/>
              <w:ind w:left="85"/>
              <w:jc w:val="both"/>
              <w:rPr>
                <w:b/>
              </w:rPr>
            </w:pPr>
            <w:r>
              <w:t xml:space="preserve">Услуги от доставчици, </w:t>
            </w:r>
            <w:r w:rsidR="00DF7E9F">
              <w:rPr>
                <w:lang w:val="bg-BG"/>
              </w:rPr>
              <w:t>посочени</w:t>
            </w:r>
            <w:r w:rsidR="00FB0A4E">
              <w:rPr>
                <w:lang w:val="bg-BG"/>
              </w:rPr>
              <w:t xml:space="preserve"> в</w:t>
            </w:r>
            <w:r>
              <w:t xml:space="preserve"> </w:t>
            </w:r>
            <w:r w:rsidR="00FB0A4E">
              <w:rPr>
                <w:lang w:val="bg-BG"/>
              </w:rPr>
              <w:t>с</w:t>
            </w:r>
            <w:r>
              <w:t xml:space="preserve">0260. </w:t>
            </w:r>
          </w:p>
        </w:tc>
      </w:tr>
      <w:tr w:rsidR="00FE5D64"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FE5D64" w:rsidRDefault="00E40776">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11E48E9E" w:rsidR="00FE5D64" w:rsidRDefault="00B17808">
            <w:pPr>
              <w:pStyle w:val="P68B1DB1-TableParagraph73"/>
              <w:spacing w:before="108"/>
              <w:ind w:left="85"/>
              <w:jc w:val="both"/>
            </w:pPr>
            <w:r>
              <w:rPr>
                <w:lang w:val="bg-BG"/>
              </w:rPr>
              <w:t>Лице</w:t>
            </w:r>
            <w:r>
              <w:t xml:space="preserve"> </w:t>
            </w:r>
            <w:r w:rsidR="00E40776">
              <w:t>за контакт при ИФП/посредник</w:t>
            </w:r>
          </w:p>
          <w:p w14:paraId="7FE1C851" w14:textId="02F3E3B2" w:rsidR="00FE5D64" w:rsidRDefault="00B17808">
            <w:pPr>
              <w:pStyle w:val="P68B1DB1-TableParagraph40"/>
              <w:spacing w:before="108"/>
              <w:ind w:left="85"/>
              <w:jc w:val="both"/>
            </w:pPr>
            <w:r>
              <w:rPr>
                <w:lang w:val="bg-BG"/>
              </w:rPr>
              <w:t>Посочва се лице</w:t>
            </w:r>
            <w:r w:rsidR="00E40776">
              <w:t xml:space="preserve"> за контакт при ИФП</w:t>
            </w:r>
            <w:r>
              <w:rPr>
                <w:lang w:val="bg-BG"/>
              </w:rPr>
              <w:t>, отговорно за въпроси,</w:t>
            </w:r>
            <w:r w:rsidRPr="00AC2B6B">
              <w:rPr>
                <w:lang w:val="bg-BG"/>
              </w:rPr>
              <w:t xml:space="preserve"> </w:t>
            </w:r>
            <w:r w:rsidR="00E40776">
              <w:t xml:space="preserve">в случай на преструктуриране на </w:t>
            </w:r>
            <w:r>
              <w:rPr>
                <w:lang w:val="bg-BG"/>
              </w:rPr>
              <w:t>отчетната институция</w:t>
            </w:r>
            <w:r w:rsidR="00E40776">
              <w:t xml:space="preserve">. </w:t>
            </w:r>
            <w:r w:rsidR="00DF7E9F">
              <w:rPr>
                <w:lang w:val="bg-BG"/>
              </w:rPr>
              <w:t>Посочва се</w:t>
            </w:r>
            <w:r w:rsidR="00E40776">
              <w:t>:</w:t>
            </w:r>
          </w:p>
          <w:p w14:paraId="3E2FA7AA" w14:textId="6172DCFC" w:rsidR="00FE5D64" w:rsidRDefault="00DF7E9F">
            <w:pPr>
              <w:pStyle w:val="P68B1DB1-TableParagraph40"/>
              <w:numPr>
                <w:ilvl w:val="0"/>
                <w:numId w:val="181"/>
              </w:numPr>
              <w:ind w:left="799" w:hanging="357"/>
              <w:jc w:val="both"/>
            </w:pPr>
            <w:r>
              <w:rPr>
                <w:lang w:val="bg-BG"/>
              </w:rPr>
              <w:t>Име</w:t>
            </w:r>
          </w:p>
          <w:p w14:paraId="7FE1C853" w14:textId="77777777" w:rsidR="00FE5D64" w:rsidRDefault="00E40776">
            <w:pPr>
              <w:pStyle w:val="P68B1DB1-TableParagraph40"/>
              <w:numPr>
                <w:ilvl w:val="0"/>
                <w:numId w:val="181"/>
              </w:numPr>
              <w:ind w:left="799" w:hanging="357"/>
              <w:jc w:val="both"/>
            </w:pPr>
            <w:r>
              <w:t>Длъжност</w:t>
            </w:r>
          </w:p>
          <w:p w14:paraId="7FE1C854" w14:textId="0E9487AB" w:rsidR="00FE5D64" w:rsidRDefault="00DF7E9F">
            <w:pPr>
              <w:pStyle w:val="P68B1DB1-TableParagraph40"/>
              <w:numPr>
                <w:ilvl w:val="0"/>
                <w:numId w:val="181"/>
              </w:numPr>
              <w:ind w:left="799" w:hanging="357"/>
              <w:jc w:val="both"/>
            </w:pPr>
            <w:r>
              <w:rPr>
                <w:lang w:val="bg-BG"/>
              </w:rPr>
              <w:t>Е</w:t>
            </w:r>
            <w:r w:rsidR="00E40776">
              <w:t>лектронна поща</w:t>
            </w:r>
          </w:p>
        </w:tc>
      </w:tr>
    </w:tbl>
    <w:p w14:paraId="7FE1C856" w14:textId="77777777" w:rsidR="00FE5D64" w:rsidRDefault="00E40776">
      <w:pPr>
        <w:pStyle w:val="P68B1DB1-Normal78"/>
      </w:pPr>
      <w:r>
        <w:br/>
      </w:r>
      <w:r>
        <w:br/>
      </w:r>
    </w:p>
    <w:p w14:paraId="7FE1C857" w14:textId="560966ED" w:rsidR="00FE5D64" w:rsidRDefault="00E40776">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Като например уникалния </w:t>
      </w:r>
      <w:r w:rsidR="002777DE">
        <w:rPr>
          <w:rFonts w:ascii="Times New Roman" w:eastAsia="Verdana" w:hAnsi="Times New Roman" w:cs="Times New Roman"/>
          <w:sz w:val="20"/>
          <w:szCs w:val="20"/>
          <w:lang w:val="bg-BG"/>
        </w:rPr>
        <w:t>идентификатор</w:t>
      </w:r>
      <w:r w:rsidR="002777DE">
        <w:rPr>
          <w:rFonts w:ascii="Times New Roman" w:eastAsia="Verdana" w:hAnsi="Times New Roman" w:cs="Times New Roman"/>
          <w:sz w:val="20"/>
          <w:szCs w:val="20"/>
        </w:rPr>
        <w:t xml:space="preserve"> </w:t>
      </w:r>
      <w:r>
        <w:rPr>
          <w:rFonts w:ascii="Times New Roman" w:eastAsia="Verdana" w:hAnsi="Times New Roman" w:cs="Times New Roman"/>
          <w:sz w:val="20"/>
          <w:szCs w:val="20"/>
        </w:rPr>
        <w:t xml:space="preserve">на ЕЦБ </w:t>
      </w:r>
      <w:r w:rsidR="00C40724">
        <w:rPr>
          <w:rFonts w:ascii="Times New Roman" w:eastAsia="Verdana" w:hAnsi="Times New Roman" w:cs="Times New Roman"/>
          <w:sz w:val="20"/>
          <w:szCs w:val="20"/>
          <w:lang w:val="bg-BG"/>
        </w:rPr>
        <w:t>на п</w:t>
      </w:r>
      <w:r>
        <w:rPr>
          <w:rFonts w:ascii="Times New Roman" w:eastAsia="Verdana" w:hAnsi="Times New Roman" w:cs="Times New Roman"/>
          <w:sz w:val="20"/>
          <w:szCs w:val="20"/>
        </w:rPr>
        <w:t>арично-финансови</w:t>
      </w:r>
      <w:r w:rsidR="00C40724">
        <w:rPr>
          <w:rFonts w:ascii="Times New Roman" w:eastAsia="Verdana" w:hAnsi="Times New Roman" w:cs="Times New Roman"/>
          <w:sz w:val="20"/>
          <w:szCs w:val="20"/>
          <w:lang w:val="bg-BG"/>
        </w:rPr>
        <w:t>те</w:t>
      </w:r>
      <w:r>
        <w:rPr>
          <w:rFonts w:ascii="Times New Roman" w:eastAsia="Verdana" w:hAnsi="Times New Roman" w:cs="Times New Roman"/>
          <w:sz w:val="20"/>
          <w:szCs w:val="20"/>
        </w:rPr>
        <w:t xml:space="preserve"> институции (ПФИ</w:t>
      </w:r>
      <w:r w:rsidR="002777DE">
        <w:rPr>
          <w:rFonts w:ascii="Times New Roman" w:eastAsia="Verdana" w:hAnsi="Times New Roman" w:cs="Times New Roman"/>
          <w:sz w:val="20"/>
          <w:szCs w:val="20"/>
          <w:lang w:val="bg-BG"/>
        </w:rPr>
        <w:t xml:space="preserve"> код</w:t>
      </w:r>
      <w:r>
        <w:rPr>
          <w:rFonts w:ascii="Times New Roman" w:eastAsia="Verdana" w:hAnsi="Times New Roman" w:cs="Times New Roman"/>
          <w:sz w:val="20"/>
          <w:szCs w:val="20"/>
        </w:rPr>
        <w:t xml:space="preserve">) </w:t>
      </w:r>
      <w:r w:rsidR="00C40724">
        <w:rPr>
          <w:rFonts w:ascii="Times New Roman" w:eastAsia="Verdana" w:hAnsi="Times New Roman" w:cs="Times New Roman"/>
          <w:sz w:val="20"/>
          <w:szCs w:val="20"/>
          <w:lang w:val="bg-BG"/>
        </w:rPr>
        <w:t>за</w:t>
      </w:r>
      <w:r w:rsidR="00C40724">
        <w:rPr>
          <w:rFonts w:ascii="Times New Roman" w:eastAsia="Verdana" w:hAnsi="Times New Roman" w:cs="Times New Roman"/>
          <w:sz w:val="20"/>
          <w:szCs w:val="20"/>
        </w:rPr>
        <w:t xml:space="preserve"> </w:t>
      </w:r>
      <w:r>
        <w:rPr>
          <w:rFonts w:ascii="Times New Roman" w:eastAsia="Verdana" w:hAnsi="Times New Roman" w:cs="Times New Roman"/>
          <w:sz w:val="20"/>
          <w:szCs w:val="20"/>
        </w:rPr>
        <w:t>субекта, който ще се използва в RIAD.</w:t>
      </w:r>
    </w:p>
    <w:p w14:paraId="7FE1C858" w14:textId="41BE759A" w:rsidR="00FE5D64" w:rsidRDefault="00664890">
      <w:pPr>
        <w:spacing w:line="257" w:lineRule="auto"/>
        <w:jc w:val="both"/>
        <w:rPr>
          <w:rFonts w:ascii="Times New Roman" w:eastAsia="Verdana" w:hAnsi="Times New Roman" w:cs="Times New Roman"/>
          <w:sz w:val="20"/>
          <w:szCs w:val="20"/>
        </w:rPr>
      </w:pPr>
      <w:hyperlink r:id="rId13" w:anchor="_ftnref2" w:history="1">
        <w:r w:rsidR="00E40776">
          <w:rPr>
            <w:rStyle w:val="Hyperlink"/>
            <w:rFonts w:ascii="Times New Roman" w:eastAsia="Verdana" w:hAnsi="Times New Roman" w:cs="Times New Roman"/>
            <w:sz w:val="20"/>
            <w:szCs w:val="20"/>
            <w:vertAlign w:val="superscript"/>
          </w:rPr>
          <w:t>[2]</w:t>
        </w:r>
      </w:hyperlink>
      <w:r w:rsidR="00E40776">
        <w:rPr>
          <w:rFonts w:ascii="Times New Roman" w:eastAsia="Verdana" w:hAnsi="Times New Roman" w:cs="Times New Roman"/>
          <w:sz w:val="20"/>
          <w:szCs w:val="20"/>
        </w:rPr>
        <w:t xml:space="preserve"> Речник на термините на ЕЦБ, свързани с</w:t>
      </w:r>
      <w:r w:rsidR="00D0728B">
        <w:rPr>
          <w:rFonts w:ascii="Times New Roman" w:eastAsia="Verdana" w:hAnsi="Times New Roman" w:cs="Times New Roman"/>
          <w:sz w:val="20"/>
          <w:szCs w:val="20"/>
          <w:lang w:val="bg-BG"/>
        </w:rPr>
        <w:t>ъс</w:t>
      </w:r>
      <w:r w:rsidR="00E40776">
        <w:rPr>
          <w:rFonts w:ascii="Times New Roman" w:eastAsia="Verdana" w:hAnsi="Times New Roman" w:cs="Times New Roman"/>
          <w:sz w:val="20"/>
          <w:szCs w:val="20"/>
        </w:rPr>
        <w:t xml:space="preserve"> системите за плащане, клиринг и сетълмент, декември 2009 г.</w:t>
      </w:r>
    </w:p>
    <w:p w14:paraId="7FE1C859" w14:textId="77777777" w:rsidR="00FE5D64" w:rsidRDefault="00E40776">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Пак там.</w:t>
      </w:r>
    </w:p>
    <w:p w14:paraId="7FE1C85A" w14:textId="5392D835" w:rsidR="00FE5D64" w:rsidRDefault="00E40776">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Като например уникалния идентификатор </w:t>
      </w:r>
      <w:r w:rsidR="008E3E19">
        <w:rPr>
          <w:rFonts w:ascii="Times New Roman" w:eastAsia="Verdana" w:hAnsi="Times New Roman" w:cs="Times New Roman"/>
          <w:sz w:val="20"/>
          <w:szCs w:val="20"/>
        </w:rPr>
        <w:t>на ЕЦБ</w:t>
      </w:r>
      <w:r w:rsidR="008E3E19">
        <w:rPr>
          <w:rFonts w:ascii="Times New Roman" w:eastAsia="Verdana" w:hAnsi="Times New Roman" w:cs="Times New Roman"/>
          <w:sz w:val="20"/>
          <w:szCs w:val="20"/>
          <w:lang w:val="bg-BG"/>
        </w:rPr>
        <w:t xml:space="preserve"> </w:t>
      </w:r>
      <w:r>
        <w:rPr>
          <w:rFonts w:ascii="Times New Roman" w:eastAsia="Verdana" w:hAnsi="Times New Roman" w:cs="Times New Roman"/>
          <w:sz w:val="20"/>
          <w:szCs w:val="20"/>
        </w:rPr>
        <w:t xml:space="preserve">на парично-финансовите институции </w:t>
      </w:r>
      <w:r w:rsidR="00C40724">
        <w:rPr>
          <w:rFonts w:ascii="Times New Roman" w:eastAsia="Verdana" w:hAnsi="Times New Roman" w:cs="Times New Roman"/>
          <w:sz w:val="20"/>
          <w:szCs w:val="20"/>
          <w:lang w:val="bg-BG"/>
        </w:rPr>
        <w:t>(ПФИ код)</w:t>
      </w:r>
      <w:r>
        <w:rPr>
          <w:rFonts w:ascii="Times New Roman" w:eastAsia="Verdana" w:hAnsi="Times New Roman" w:cs="Times New Roman"/>
          <w:sz w:val="20"/>
          <w:szCs w:val="20"/>
        </w:rPr>
        <w:t xml:space="preserve"> </w:t>
      </w:r>
      <w:r w:rsidR="00C40724">
        <w:rPr>
          <w:rFonts w:ascii="Times New Roman" w:eastAsia="Verdana" w:hAnsi="Times New Roman" w:cs="Times New Roman"/>
          <w:sz w:val="20"/>
          <w:szCs w:val="20"/>
          <w:lang w:val="bg-BG"/>
        </w:rPr>
        <w:t>за</w:t>
      </w:r>
      <w:r w:rsidR="00C40724">
        <w:rPr>
          <w:rFonts w:ascii="Times New Roman" w:eastAsia="Verdana" w:hAnsi="Times New Roman" w:cs="Times New Roman"/>
          <w:sz w:val="20"/>
          <w:szCs w:val="20"/>
        </w:rPr>
        <w:t xml:space="preserve"> </w:t>
      </w:r>
      <w:r>
        <w:rPr>
          <w:rFonts w:ascii="Times New Roman" w:eastAsia="Verdana" w:hAnsi="Times New Roman" w:cs="Times New Roman"/>
          <w:sz w:val="20"/>
          <w:szCs w:val="20"/>
        </w:rPr>
        <w:t>субекта, който ще се използва в RIAD.</w:t>
      </w:r>
    </w:p>
    <w:p w14:paraId="7FE1C8BF" w14:textId="77777777" w:rsidR="00FE5D64" w:rsidRDefault="00FE5D64">
      <w:pPr>
        <w:rPr>
          <w:rFonts w:ascii="Times New Roman" w:hAnsi="Times New Roman" w:cs="Times New Roman"/>
        </w:rPr>
      </w:pPr>
    </w:p>
    <w:p w14:paraId="7FE1C8C0" w14:textId="77777777" w:rsidR="00FE5D64" w:rsidRDefault="00FE5D64">
      <w:pPr>
        <w:rPr>
          <w:rFonts w:ascii="Times New Roman" w:hAnsi="Times New Roman"/>
          <w:sz w:val="20"/>
          <w:szCs w:val="20"/>
          <w:u w:val="single"/>
        </w:rPr>
      </w:pPr>
    </w:p>
    <w:p w14:paraId="7FE1C8C1" w14:textId="5A91D91F" w:rsidR="00FE5D64" w:rsidRDefault="00E40776">
      <w:pPr>
        <w:pStyle w:val="P68B1DB1-Instructionsberschrift25"/>
        <w:numPr>
          <w:ilvl w:val="1"/>
          <w:numId w:val="49"/>
        </w:numPr>
        <w:ind w:left="357" w:hanging="357"/>
        <w:rPr>
          <w:rFonts w:eastAsia="Calibri"/>
          <w:szCs w:val="20"/>
        </w:rPr>
      </w:pPr>
      <w:bookmarkStart w:id="152" w:name="_Toc208244480"/>
      <w:r>
        <w:t xml:space="preserve">Z 09.02 — </w:t>
      </w:r>
      <w:r w:rsidR="00FE3D3E">
        <w:rPr>
          <w:lang w:val="bg-BG"/>
        </w:rPr>
        <w:t>Онагледяване</w:t>
      </w:r>
      <w:r w:rsidR="00FE3D3E">
        <w:t xml:space="preserve"> </w:t>
      </w:r>
      <w:r>
        <w:t xml:space="preserve">на критични и </w:t>
      </w:r>
      <w:r w:rsidR="00FE3D3E">
        <w:t xml:space="preserve"> </w:t>
      </w:r>
      <w:r w:rsidR="006B21E5">
        <w:rPr>
          <w:lang w:val="bg-BG"/>
        </w:rPr>
        <w:t xml:space="preserve">важни </w:t>
      </w:r>
      <w:r>
        <w:t>ИФП (</w:t>
      </w:r>
      <w:r w:rsidR="00FE3D3E">
        <w:rPr>
          <w:lang w:val="en-US"/>
        </w:rPr>
        <w:t>FMI</w:t>
      </w:r>
      <w:r w:rsidR="00FE3D3E">
        <w:t xml:space="preserve"> </w:t>
      </w:r>
      <w:r>
        <w:t>2)</w:t>
      </w:r>
      <w:bookmarkEnd w:id="152"/>
    </w:p>
    <w:p w14:paraId="7FE1C8C3" w14:textId="4A80A8D5" w:rsidR="00FE5D64" w:rsidRDefault="00E40776">
      <w:pPr>
        <w:pStyle w:val="P68B1DB1-InstructionsText279"/>
        <w:numPr>
          <w:ilvl w:val="2"/>
          <w:numId w:val="209"/>
        </w:numPr>
        <w:spacing w:before="0"/>
        <w:ind w:left="1276"/>
      </w:pPr>
      <w:r>
        <w:t xml:space="preserve">Критични и </w:t>
      </w:r>
      <w:r w:rsidR="00917B2C">
        <w:rPr>
          <w:lang w:val="bg-BG"/>
        </w:rPr>
        <w:t>важни</w:t>
      </w:r>
      <w:r w:rsidR="00917B2C">
        <w:t xml:space="preserve"> </w:t>
      </w:r>
      <w:r>
        <w:t>доставчици на услуги</w:t>
      </w:r>
      <w:r w:rsidR="00FE3D3E">
        <w:rPr>
          <w:lang w:val="en-US"/>
        </w:rPr>
        <w:t xml:space="preserve"> </w:t>
      </w:r>
      <w:r w:rsidR="00FE3D3E">
        <w:rPr>
          <w:lang w:val="bg-BG"/>
        </w:rPr>
        <w:t>във връзка с ИФП</w:t>
      </w:r>
      <w:r>
        <w:t xml:space="preserve"> са услугите, до които има пряк или непряк достъп, чието прекратяване може да представлява сериозна пречка или да възпрепятства изпълнението на една или повече критични функции или основни стопански дейности на </w:t>
      </w:r>
      <w:r w:rsidR="00FE3D3E">
        <w:rPr>
          <w:lang w:val="bg-BG"/>
        </w:rPr>
        <w:t>Ползвателя</w:t>
      </w:r>
      <w:r>
        <w:t>.</w:t>
      </w:r>
    </w:p>
    <w:p w14:paraId="7FE1C8C4" w14:textId="2A5BFA74" w:rsidR="00FE5D64" w:rsidRDefault="00E40776">
      <w:pPr>
        <w:pStyle w:val="P68B1DB1-ListParagraph80"/>
        <w:numPr>
          <w:ilvl w:val="2"/>
          <w:numId w:val="209"/>
        </w:numPr>
        <w:ind w:left="1276"/>
      </w:pPr>
      <w:r>
        <w:t xml:space="preserve">В настоящия </w:t>
      </w:r>
      <w:r w:rsidR="00FE3D3E">
        <w:rPr>
          <w:lang w:val="bg-BG"/>
        </w:rPr>
        <w:t>образец</w:t>
      </w:r>
      <w:r w:rsidR="00FE3D3E">
        <w:t xml:space="preserve"> </w:t>
      </w:r>
      <w:r>
        <w:t>се отчитат само</w:t>
      </w:r>
      <w:r w:rsidR="00AA4664">
        <w:rPr>
          <w:lang w:val="bg-BG"/>
        </w:rPr>
        <w:t xml:space="preserve"> онези</w:t>
      </w:r>
      <w:r>
        <w:t xml:space="preserve"> ИФП </w:t>
      </w:r>
      <w:r w:rsidR="00AA4664">
        <w:rPr>
          <w:lang w:val="bg-BG"/>
        </w:rPr>
        <w:t>от</w:t>
      </w:r>
      <w:r w:rsidR="00AA4664">
        <w:t xml:space="preserve"> </w:t>
      </w:r>
      <w:r>
        <w:t xml:space="preserve">всички </w:t>
      </w:r>
      <w:r w:rsidR="00FE3D3E">
        <w:t>видове</w:t>
      </w:r>
      <w:r>
        <w:t xml:space="preserve"> системи, които </w:t>
      </w:r>
      <w:r w:rsidR="00FE3D3E">
        <w:rPr>
          <w:lang w:val="bg-BG"/>
        </w:rPr>
        <w:t>отчитащият се</w:t>
      </w:r>
      <w:r w:rsidR="00FE3D3E">
        <w:t xml:space="preserve"> </w:t>
      </w:r>
      <w:r>
        <w:t xml:space="preserve">субект </w:t>
      </w:r>
      <w:r w:rsidR="00AA4664">
        <w:rPr>
          <w:lang w:val="bg-BG"/>
        </w:rPr>
        <w:t>смята</w:t>
      </w:r>
      <w:r w:rsidR="00AA4664">
        <w:t xml:space="preserve"> </w:t>
      </w:r>
      <w:r>
        <w:t xml:space="preserve">за критични или </w:t>
      </w:r>
      <w:r w:rsidR="00AA4664">
        <w:rPr>
          <w:lang w:val="bg-BG"/>
        </w:rPr>
        <w:t>важни</w:t>
      </w:r>
      <w:r>
        <w:t xml:space="preserve">. Не </w:t>
      </w:r>
      <w:r w:rsidR="00AA4664">
        <w:rPr>
          <w:lang w:val="bg-BG"/>
        </w:rPr>
        <w:t>се посочват</w:t>
      </w:r>
      <w:r w:rsidR="00AA4664">
        <w:t xml:space="preserve"> </w:t>
      </w:r>
      <w:r>
        <w:t>друг</w:t>
      </w:r>
      <w:r w:rsidR="00FE3D3E">
        <w:rPr>
          <w:lang w:val="bg-BG"/>
        </w:rPr>
        <w:t>и</w:t>
      </w:r>
      <w:r>
        <w:t xml:space="preserve"> ИФП, </w:t>
      </w:r>
      <w:r w:rsidR="00FE3D3E">
        <w:rPr>
          <w:lang w:val="bg-BG"/>
        </w:rPr>
        <w:t>които</w:t>
      </w:r>
      <w:r w:rsidR="00FE3D3E" w:rsidRPr="00AA4664">
        <w:rPr>
          <w:lang w:val="bg-BG"/>
        </w:rPr>
        <w:t xml:space="preserve"> не </w:t>
      </w:r>
      <w:r w:rsidR="00FE3D3E">
        <w:rPr>
          <w:lang w:val="bg-BG"/>
        </w:rPr>
        <w:t>са</w:t>
      </w:r>
      <w:r>
        <w:t xml:space="preserve"> нито критичн</w:t>
      </w:r>
      <w:r w:rsidR="00FE3D3E">
        <w:rPr>
          <w:lang w:val="bg-BG"/>
        </w:rPr>
        <w:t>и</w:t>
      </w:r>
      <w:r>
        <w:t xml:space="preserve">, нито </w:t>
      </w:r>
      <w:r w:rsidR="00AA4664">
        <w:rPr>
          <w:lang w:val="bg-BG"/>
        </w:rPr>
        <w:t>важни</w:t>
      </w:r>
      <w:r>
        <w:t>.</w:t>
      </w:r>
    </w:p>
    <w:p w14:paraId="7FE1C8C5" w14:textId="77777777" w:rsidR="00FE5D64" w:rsidRDefault="00FE5D64">
      <w:pPr>
        <w:pStyle w:val="ListParagraph"/>
        <w:ind w:left="1276"/>
        <w:rPr>
          <w:rFonts w:ascii="Times New Roman" w:eastAsiaTheme="majorEastAsia" w:hAnsi="Times New Roman"/>
          <w:sz w:val="20"/>
          <w:szCs w:val="20"/>
        </w:rPr>
      </w:pPr>
    </w:p>
    <w:p w14:paraId="7FE1C8C6" w14:textId="1E778D5D" w:rsidR="00FE5D64" w:rsidRDefault="00E40776">
      <w:pPr>
        <w:pStyle w:val="P68B1DB1-InstructionsText279"/>
        <w:numPr>
          <w:ilvl w:val="2"/>
          <w:numId w:val="209"/>
        </w:numPr>
        <w:spacing w:before="0"/>
        <w:ind w:left="1276"/>
      </w:pPr>
      <w:r>
        <w:t xml:space="preserve">За целите на определянето на критични и </w:t>
      </w:r>
      <w:r w:rsidR="00AA4664">
        <w:rPr>
          <w:lang w:val="bg-BG"/>
        </w:rPr>
        <w:t>важни</w:t>
      </w:r>
      <w:r w:rsidR="00FE3D3E" w:rsidRPr="00AA4664">
        <w:rPr>
          <w:lang w:val="bg-BG"/>
        </w:rPr>
        <w:t xml:space="preserve"> </w:t>
      </w:r>
      <w:r>
        <w:t>ИФП се взема предвид възможността за едновременно прекратяване на участието.</w:t>
      </w:r>
    </w:p>
    <w:p w14:paraId="7FE1C8C7" w14:textId="77777777" w:rsidR="00FE5D64" w:rsidRDefault="00FE5D64">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FE5D64"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FE5D64" w:rsidRDefault="00E40776">
            <w:pPr>
              <w:pStyle w:val="P68B1DB1-TableParagraph17"/>
              <w:spacing w:before="108"/>
              <w:ind w:left="85"/>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FE5D64" w:rsidRDefault="00E40776">
            <w:pPr>
              <w:pStyle w:val="P68B1DB1-TableParagraph17"/>
              <w:spacing w:before="108"/>
              <w:ind w:left="85"/>
            </w:pPr>
            <w:r>
              <w:t xml:space="preserve">Указания </w:t>
            </w:r>
          </w:p>
        </w:tc>
      </w:tr>
      <w:tr w:rsidR="00FE5D6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FE5D64" w:rsidRDefault="00E40776">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1F8FBCC2" w:rsidR="00FE5D64" w:rsidRDefault="00AA4664">
            <w:pPr>
              <w:pStyle w:val="P68B1DB1-TableParagraph73"/>
              <w:spacing w:before="108"/>
              <w:ind w:left="85"/>
              <w:jc w:val="both"/>
            </w:pPr>
            <w:r>
              <w:rPr>
                <w:lang w:val="bg-BG"/>
              </w:rPr>
              <w:t>Идентификатор</w:t>
            </w:r>
            <w:r w:rsidR="00E40776">
              <w:t xml:space="preserve">, представляващ комбинация от </w:t>
            </w:r>
            <w:r w:rsidR="00800622">
              <w:rPr>
                <w:lang w:val="bg-BG"/>
              </w:rPr>
              <w:t>ползвател</w:t>
            </w:r>
            <w:r w:rsidR="00E40776">
              <w:t xml:space="preserve">, </w:t>
            </w:r>
            <w:r w:rsidR="00800622">
              <w:rPr>
                <w:lang w:val="bg-BG"/>
              </w:rPr>
              <w:t>ИФП</w:t>
            </w:r>
            <w:r w:rsidR="00E40776">
              <w:t>, тип система и посредник</w:t>
            </w:r>
          </w:p>
          <w:p w14:paraId="7FE1C8CD" w14:textId="3B4BB4A6" w:rsidR="00FE5D64" w:rsidRDefault="00E40776" w:rsidP="00800622">
            <w:pPr>
              <w:pStyle w:val="P68B1DB1-TableParagraph40"/>
              <w:spacing w:before="108"/>
              <w:ind w:left="85"/>
              <w:jc w:val="both"/>
              <w:rPr>
                <w:b/>
              </w:rPr>
            </w:pPr>
            <w:r>
              <w:t xml:space="preserve">За всеки ред се използва </w:t>
            </w:r>
            <w:r w:rsidR="00AA4664">
              <w:rPr>
                <w:lang w:val="bg-BG"/>
              </w:rPr>
              <w:t>един</w:t>
            </w:r>
            <w:r w:rsidR="00AA4664">
              <w:t xml:space="preserve"> </w:t>
            </w:r>
            <w:r>
              <w:t xml:space="preserve">идентификатор, който съответства на уникална комбинация от </w:t>
            </w:r>
            <w:r w:rsidR="00800622">
              <w:rPr>
                <w:lang w:val="bg-BG"/>
              </w:rPr>
              <w:t>ползвател</w:t>
            </w:r>
            <w:r>
              <w:t xml:space="preserve">, ИФП, тип система и посредник. Един и същ </w:t>
            </w:r>
            <w:r w:rsidR="00CC1771">
              <w:rPr>
                <w:lang w:val="bg-BG"/>
              </w:rPr>
              <w:t>идентификатор</w:t>
            </w:r>
            <w:r>
              <w:t xml:space="preserve">, съответстващ на една и съща комбинация, трябва да се използва в образци Z 09.01 — Z 09.05, </w:t>
            </w:r>
            <w:r w:rsidR="00CC1771">
              <w:rPr>
                <w:lang w:val="bg-BG"/>
              </w:rPr>
              <w:t>където</w:t>
            </w:r>
            <w:r w:rsidR="00CC1771">
              <w:t xml:space="preserve"> </w:t>
            </w:r>
            <w:r>
              <w:t>е приложимо.</w:t>
            </w:r>
          </w:p>
        </w:tc>
      </w:tr>
      <w:tr w:rsidR="00FE5D6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FE5D64" w:rsidRDefault="00E40776">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FE5D64" w:rsidRDefault="00E40776">
            <w:pPr>
              <w:pStyle w:val="P68B1DB1-TableParagraph75"/>
              <w:spacing w:before="108"/>
              <w:ind w:left="85"/>
              <w:jc w:val="both"/>
              <w:rPr>
                <w:bCs/>
                <w:iCs/>
              </w:rPr>
            </w:pPr>
            <w:r>
              <w:t>Критични ИФП</w:t>
            </w:r>
          </w:p>
        </w:tc>
      </w:tr>
      <w:tr w:rsidR="00FE5D6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FE5D64" w:rsidRDefault="00E40776">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FE5D64" w:rsidRDefault="00E40776">
            <w:pPr>
              <w:pStyle w:val="P68B1DB1-TableParagraph73"/>
              <w:spacing w:before="108"/>
              <w:ind w:left="85"/>
              <w:jc w:val="both"/>
            </w:pPr>
            <w:r>
              <w:t>Критичен ИФП: ДА/НЕ</w:t>
            </w:r>
          </w:p>
          <w:p w14:paraId="7FE1C8D4" w14:textId="625E142D" w:rsidR="00FE5D64" w:rsidRDefault="00E40776">
            <w:pPr>
              <w:pStyle w:val="P68B1DB1-TableParagraph40"/>
              <w:numPr>
                <w:ilvl w:val="0"/>
                <w:numId w:val="248"/>
              </w:numPr>
              <w:spacing w:before="108"/>
              <w:jc w:val="both"/>
            </w:pPr>
            <w:r>
              <w:t>„Да“, ако ИФП е критич</w:t>
            </w:r>
            <w:r w:rsidR="00CC1771">
              <w:rPr>
                <w:lang w:val="bg-BG"/>
              </w:rPr>
              <w:t>на</w:t>
            </w:r>
          </w:p>
          <w:p w14:paraId="7FE1C8D5" w14:textId="4E38F450" w:rsidR="00FE5D64" w:rsidRDefault="00E40776">
            <w:pPr>
              <w:pStyle w:val="P68B1DB1-TableParagraph40"/>
              <w:numPr>
                <w:ilvl w:val="0"/>
                <w:numId w:val="248"/>
              </w:numPr>
              <w:spacing w:before="108"/>
              <w:jc w:val="both"/>
              <w:rPr>
                <w:b/>
                <w:bCs/>
              </w:rPr>
            </w:pPr>
            <w:r>
              <w:t>„Не“, ако ИФП не е критич</w:t>
            </w:r>
            <w:r w:rsidR="00CC1771">
              <w:rPr>
                <w:lang w:val="bg-BG"/>
              </w:rPr>
              <w:t>на</w:t>
            </w:r>
            <w:r>
              <w:rPr>
                <w:b/>
              </w:rPr>
              <w:t xml:space="preserve"> </w:t>
            </w:r>
          </w:p>
          <w:p w14:paraId="7FE1C8D6" w14:textId="77777777" w:rsidR="00FE5D64" w:rsidRDefault="00E40776">
            <w:pPr>
              <w:pStyle w:val="P68B1DB1-TableParagraph40"/>
              <w:spacing w:before="108"/>
              <w:ind w:left="85"/>
              <w:jc w:val="both"/>
            </w:pPr>
            <w:r>
              <w:t>Колони 0020 и 0050 не се изключват взаимно.</w:t>
            </w:r>
          </w:p>
        </w:tc>
      </w:tr>
      <w:tr w:rsidR="00FE5D6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FE5D64" w:rsidRDefault="00E40776">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FE5D64" w:rsidRDefault="00E40776">
            <w:pPr>
              <w:pStyle w:val="P68B1DB1-TableParagraph73"/>
              <w:spacing w:before="108"/>
              <w:ind w:left="85"/>
              <w:jc w:val="both"/>
            </w:pPr>
            <w:r>
              <w:t>Държава</w:t>
            </w:r>
          </w:p>
          <w:p w14:paraId="7FE1C8DA" w14:textId="56240ABE" w:rsidR="00FE5D64" w:rsidRDefault="00E40776">
            <w:pPr>
              <w:pStyle w:val="P68B1DB1-TableParagraph40"/>
              <w:spacing w:before="108"/>
              <w:ind w:left="85"/>
              <w:jc w:val="both"/>
            </w:pPr>
            <w:r>
              <w:t xml:space="preserve">Държава, в която е предоставена критичната функция, както е отчетено в Z 07.01 </w:t>
            </w:r>
          </w:p>
        </w:tc>
      </w:tr>
      <w:tr w:rsidR="00FE5D6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FE5D64" w:rsidRDefault="00E40776">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FE5D64" w:rsidRDefault="00E40776">
            <w:pPr>
              <w:pStyle w:val="P68B1DB1-TableParagraph73"/>
              <w:spacing w:before="108"/>
              <w:ind w:left="85"/>
              <w:jc w:val="both"/>
            </w:pPr>
            <w:r>
              <w:t>Идентификатор на критична функция</w:t>
            </w:r>
          </w:p>
          <w:p w14:paraId="7FE1C8DE" w14:textId="61399F34" w:rsidR="00FE5D64" w:rsidRDefault="00E40776">
            <w:pPr>
              <w:pStyle w:val="P68B1DB1-TableParagraph40"/>
              <w:spacing w:before="108"/>
              <w:ind w:left="85"/>
              <w:jc w:val="both"/>
            </w:pPr>
            <w:r>
              <w:t xml:space="preserve">Критична(и) функция(и), изпълнявана(и) от субекта, чието изпълнение би било </w:t>
            </w:r>
            <w:r w:rsidR="00B4455E">
              <w:rPr>
                <w:lang w:val="bg-BG"/>
              </w:rPr>
              <w:t>затруднено</w:t>
            </w:r>
            <w:r w:rsidR="00B4455E">
              <w:t xml:space="preserve"> </w:t>
            </w:r>
            <w:r>
              <w:t>или възпрепятствано от прекъсването на достъпа до доставчика на услуги</w:t>
            </w:r>
            <w:r w:rsidR="00B4455E">
              <w:rPr>
                <w:lang w:val="bg-BG"/>
              </w:rPr>
              <w:t>те</w:t>
            </w:r>
            <w:r>
              <w:t xml:space="preserve"> </w:t>
            </w:r>
            <w:r w:rsidR="00800622">
              <w:rPr>
                <w:lang w:val="bg-BG"/>
              </w:rPr>
              <w:t>във връзка с</w:t>
            </w:r>
            <w:r w:rsidR="00800622">
              <w:t xml:space="preserve"> </w:t>
            </w:r>
            <w:r>
              <w:t>ИФП.</w:t>
            </w:r>
          </w:p>
          <w:p w14:paraId="79796B83" w14:textId="298E6F56" w:rsidR="00FE5D64" w:rsidRDefault="00E40776">
            <w:pPr>
              <w:pStyle w:val="P68B1DB1-TableParagraph40"/>
              <w:spacing w:before="108"/>
              <w:ind w:left="85"/>
              <w:jc w:val="both"/>
              <w:rPr>
                <w:b/>
                <w:bCs/>
              </w:rPr>
            </w:pPr>
            <w:r>
              <w:t>Идентификационен код на критичните функции, докладвани в Z07.01</w:t>
            </w:r>
            <w:r>
              <w:rPr>
                <w:b/>
              </w:rPr>
              <w:t>:</w:t>
            </w:r>
          </w:p>
          <w:p w14:paraId="58520404" w14:textId="77777777" w:rsidR="00FE5D64" w:rsidRDefault="00FE5D64">
            <w:pPr>
              <w:pStyle w:val="TableParagraph"/>
              <w:spacing w:before="108"/>
              <w:ind w:left="85"/>
              <w:jc w:val="both"/>
              <w:rPr>
                <w:rFonts w:ascii="Times New Roman" w:eastAsia="Times New Roman" w:hAnsi="Times New Roman" w:cs="Times New Roman"/>
                <w:b/>
                <w:bCs/>
                <w:sz w:val="20"/>
                <w:szCs w:val="20"/>
              </w:rPr>
            </w:pPr>
          </w:p>
          <w:p w14:paraId="0E718D7B" w14:textId="77777777" w:rsidR="00FE5D64" w:rsidRDefault="00E40776">
            <w:pPr>
              <w:pStyle w:val="P68B1DB1-Normal19"/>
              <w:rPr>
                <w:rFonts w:eastAsiaTheme="minorHAnsi"/>
              </w:rPr>
            </w:pPr>
            <w:r>
              <w:t>Депозити</w:t>
            </w:r>
          </w:p>
          <w:p w14:paraId="354D6B7F" w14:textId="77777777" w:rsidR="00FE5D64" w:rsidRDefault="00E40776">
            <w:pPr>
              <w:pStyle w:val="P68B1DB1-Normal19"/>
              <w:ind w:left="708"/>
            </w:pPr>
            <w:r>
              <w:t>Депозити от домакинства</w:t>
            </w:r>
          </w:p>
          <w:p w14:paraId="71C89914" w14:textId="77777777" w:rsidR="00FE5D64" w:rsidRDefault="00E40776">
            <w:pPr>
              <w:pStyle w:val="P68B1DB1-Normal19"/>
              <w:ind w:left="708"/>
            </w:pPr>
            <w:r>
              <w:t xml:space="preserve">Депозити от нефинансови предприятия </w:t>
            </w:r>
          </w:p>
          <w:p w14:paraId="7621A95F" w14:textId="69E34691" w:rsidR="00FE5D64" w:rsidRDefault="00E40776">
            <w:pPr>
              <w:pStyle w:val="P68B1DB1-Normal19"/>
              <w:ind w:left="1405"/>
            </w:pPr>
            <w:r>
              <w:t>Депозити от нефинансови предприятия (МСП)</w:t>
            </w:r>
          </w:p>
          <w:p w14:paraId="046B913C" w14:textId="73440AD0" w:rsidR="00FE5D64" w:rsidRDefault="00E40776">
            <w:pPr>
              <w:pStyle w:val="P68B1DB1-Normal19"/>
              <w:ind w:left="1405"/>
            </w:pPr>
            <w:r>
              <w:t>Депозити от нефинансови предприятия, различни от МСП</w:t>
            </w:r>
          </w:p>
          <w:p w14:paraId="2DAF57AE" w14:textId="77777777" w:rsidR="00FE5D64" w:rsidRDefault="00E40776">
            <w:pPr>
              <w:pStyle w:val="P68B1DB1-Normal19"/>
              <w:ind w:left="708"/>
            </w:pPr>
            <w:r>
              <w:t>Депозити от сектор „Държавно управление“</w:t>
            </w:r>
          </w:p>
          <w:p w14:paraId="3AC3807C" w14:textId="77777777" w:rsidR="00FE5D64" w:rsidRDefault="00E40776">
            <w:pPr>
              <w:pStyle w:val="P68B1DB1-Normal19"/>
              <w:ind w:left="708"/>
            </w:pPr>
            <w:r>
              <w:t>Депозити от други сектори/контрагенти (1)</w:t>
            </w:r>
          </w:p>
          <w:p w14:paraId="7924D974" w14:textId="77777777" w:rsidR="00FE5D64" w:rsidRDefault="00E40776">
            <w:pPr>
              <w:pStyle w:val="P68B1DB1-Normal19"/>
              <w:ind w:left="708"/>
            </w:pPr>
            <w:r>
              <w:t>Депозити от други сектори/контрагенти (2)</w:t>
            </w:r>
          </w:p>
          <w:p w14:paraId="15B73120" w14:textId="77777777" w:rsidR="00FE5D64" w:rsidRDefault="00E40776">
            <w:pPr>
              <w:pStyle w:val="P68B1DB1-Normal19"/>
              <w:ind w:left="708"/>
            </w:pPr>
            <w:r>
              <w:t>Депозити от други сектори/контрагенти (3)</w:t>
            </w:r>
          </w:p>
          <w:p w14:paraId="2FE46760" w14:textId="77777777" w:rsidR="00FE5D64" w:rsidRDefault="00FE5D64">
            <w:pPr>
              <w:rPr>
                <w:rFonts w:ascii="Times New Roman" w:hAnsi="Times New Roman" w:cs="Times New Roman"/>
                <w:sz w:val="20"/>
                <w:szCs w:val="20"/>
              </w:rPr>
            </w:pPr>
          </w:p>
          <w:p w14:paraId="685EA40A" w14:textId="7A9D8ADE" w:rsidR="00FE5D64" w:rsidRPr="001A79CE" w:rsidRDefault="00B4455E">
            <w:pPr>
              <w:pStyle w:val="P68B1DB1-Normal19"/>
              <w:rPr>
                <w:lang w:val="bg-BG"/>
              </w:rPr>
            </w:pPr>
            <w:r>
              <w:rPr>
                <w:lang w:val="bg-BG"/>
              </w:rPr>
              <w:t>Кредитиране</w:t>
            </w:r>
          </w:p>
          <w:p w14:paraId="11C80F7E" w14:textId="77777777" w:rsidR="00FE5D64" w:rsidRDefault="00E40776">
            <w:pPr>
              <w:pStyle w:val="P68B1DB1-Normal19"/>
              <w:ind w:left="708"/>
            </w:pPr>
            <w:r>
              <w:t>Кредитиране на домакинства</w:t>
            </w:r>
          </w:p>
          <w:p w14:paraId="430711EA" w14:textId="77777777" w:rsidR="00FE5D64" w:rsidRDefault="00E40776">
            <w:pPr>
              <w:pStyle w:val="P68B1DB1-Normal19"/>
              <w:ind w:left="1416"/>
            </w:pPr>
            <w:r>
              <w:t>Кредитиране на домакинства за покупка на жилище</w:t>
            </w:r>
          </w:p>
          <w:p w14:paraId="0147203E" w14:textId="08E565F5" w:rsidR="00FE5D64" w:rsidRDefault="00E40776">
            <w:pPr>
              <w:pStyle w:val="P68B1DB1-Normal19"/>
              <w:ind w:left="1416"/>
            </w:pPr>
            <w:r>
              <w:t>Кредитиране на домакинства, различн</w:t>
            </w:r>
            <w:r w:rsidR="00800622">
              <w:rPr>
                <w:lang w:val="bg-BG"/>
              </w:rPr>
              <w:t>о</w:t>
            </w:r>
            <w:r>
              <w:t xml:space="preserve"> от покупка на жилище</w:t>
            </w:r>
          </w:p>
          <w:p w14:paraId="20ACA306" w14:textId="77777777" w:rsidR="00FE5D64" w:rsidRDefault="00E40776">
            <w:pPr>
              <w:pStyle w:val="P68B1DB1-Normal19"/>
              <w:ind w:left="708"/>
            </w:pPr>
            <w:r>
              <w:t>Кредитиране на нефинансови предприятия</w:t>
            </w:r>
          </w:p>
          <w:p w14:paraId="19F6CF03" w14:textId="3FBCFA7C" w:rsidR="00FE5D64" w:rsidRDefault="00E40776">
            <w:pPr>
              <w:pStyle w:val="P68B1DB1-Normal19"/>
              <w:ind w:left="1416"/>
            </w:pPr>
            <w:r>
              <w:t>Кредитиране на малки и средни предприятия (МСП)</w:t>
            </w:r>
          </w:p>
          <w:p w14:paraId="2C705D0D" w14:textId="77777777" w:rsidR="00FE5D64" w:rsidRDefault="00E40776">
            <w:pPr>
              <w:pStyle w:val="P68B1DB1-Normal19"/>
              <w:ind w:left="1416"/>
            </w:pPr>
            <w:r>
              <w:t>Кредитиране на нефинансови предприятия, различни от МСП</w:t>
            </w:r>
          </w:p>
          <w:p w14:paraId="6DAE8B55" w14:textId="63850C7E" w:rsidR="00FE5D64" w:rsidRDefault="00E40776">
            <w:pPr>
              <w:pStyle w:val="P68B1DB1-Normal19"/>
              <w:ind w:left="708"/>
            </w:pPr>
            <w:r>
              <w:t>Кредитиране на сектор „Държавно управление“</w:t>
            </w:r>
          </w:p>
          <w:p w14:paraId="5C2428A3" w14:textId="023D293A" w:rsidR="00FE5D64" w:rsidRDefault="00800622">
            <w:pPr>
              <w:pStyle w:val="P68B1DB1-Normal19"/>
              <w:ind w:left="708"/>
            </w:pPr>
            <w:r>
              <w:rPr>
                <w:lang w:val="bg-BG"/>
              </w:rPr>
              <w:t>Кредитиране</w:t>
            </w:r>
            <w:r>
              <w:t xml:space="preserve"> </w:t>
            </w:r>
            <w:r w:rsidR="00E40776">
              <w:t>на други сектори/контрагенти (1)</w:t>
            </w:r>
          </w:p>
          <w:p w14:paraId="7237D4E5" w14:textId="7F633550" w:rsidR="00FE5D64" w:rsidRDefault="00800622">
            <w:pPr>
              <w:pStyle w:val="P68B1DB1-Normal19"/>
              <w:ind w:left="708"/>
            </w:pPr>
            <w:r>
              <w:rPr>
                <w:lang w:val="bg-BG"/>
              </w:rPr>
              <w:t>Кредитиране</w:t>
            </w:r>
            <w:r>
              <w:t xml:space="preserve"> </w:t>
            </w:r>
            <w:r w:rsidR="00E40776">
              <w:t>на други сектори/контрагенти (2)</w:t>
            </w:r>
          </w:p>
          <w:p w14:paraId="62EF53AB" w14:textId="1C013474" w:rsidR="00FE5D64" w:rsidRDefault="00800622">
            <w:pPr>
              <w:pStyle w:val="P68B1DB1-Normal19"/>
              <w:ind w:left="708"/>
            </w:pPr>
            <w:r>
              <w:rPr>
                <w:lang w:val="bg-BG"/>
              </w:rPr>
              <w:t>Кредитиране</w:t>
            </w:r>
            <w:r>
              <w:t xml:space="preserve"> </w:t>
            </w:r>
            <w:r w:rsidR="00E40776">
              <w:t>на други сектори/контрагенти (3)</w:t>
            </w:r>
          </w:p>
          <w:p w14:paraId="1269B857" w14:textId="77777777" w:rsidR="00FE5D64" w:rsidRDefault="00FE5D64">
            <w:pPr>
              <w:rPr>
                <w:rFonts w:ascii="Times New Roman" w:hAnsi="Times New Roman" w:cs="Times New Roman"/>
                <w:sz w:val="20"/>
                <w:szCs w:val="20"/>
              </w:rPr>
            </w:pPr>
          </w:p>
          <w:p w14:paraId="7CD1A6B0" w14:textId="77777777" w:rsidR="00FE5D64" w:rsidRDefault="00E40776">
            <w:pPr>
              <w:pStyle w:val="P68B1DB1-Normal19"/>
            </w:pPr>
            <w:r>
              <w:t xml:space="preserve">Платежни услуги, касови услуги, услуги по сетълмент, клиринг, попечителство </w:t>
            </w:r>
          </w:p>
          <w:p w14:paraId="11F499EA" w14:textId="77777777" w:rsidR="00FE5D64" w:rsidRDefault="00E40776">
            <w:pPr>
              <w:pStyle w:val="P68B1DB1-Normal19"/>
              <w:ind w:left="708"/>
            </w:pPr>
            <w:r>
              <w:t>Платежни услуги към парично-финансови институции (ПФИ)</w:t>
            </w:r>
          </w:p>
          <w:p w14:paraId="6FC14FBE" w14:textId="4F1706DC" w:rsidR="00FE5D64" w:rsidRDefault="00E40776">
            <w:pPr>
              <w:pStyle w:val="P68B1DB1-Normal19"/>
              <w:ind w:left="708"/>
            </w:pPr>
            <w:bookmarkStart w:id="153" w:name="_Hlk192600698"/>
            <w:r>
              <w:t>Платежни услуги към различни от ПФИ</w:t>
            </w:r>
          </w:p>
          <w:p w14:paraId="704B9B25" w14:textId="77777777" w:rsidR="00FE5D64" w:rsidRDefault="00E40776">
            <w:pPr>
              <w:pStyle w:val="P68B1DB1-Normal19"/>
              <w:ind w:left="1405"/>
            </w:pPr>
            <w:r>
              <w:t>Платежни услуги към различни от ПФИ за домакинства</w:t>
            </w:r>
          </w:p>
          <w:p w14:paraId="1F8BC691" w14:textId="4FE22A42" w:rsidR="00FE5D64" w:rsidRDefault="00E40776">
            <w:pPr>
              <w:pStyle w:val="P68B1DB1-Normal19"/>
              <w:ind w:left="1405"/>
            </w:pPr>
            <w:r>
              <w:t>Платежни услуги към НПФИ за нефинансови предприятия</w:t>
            </w:r>
          </w:p>
          <w:p w14:paraId="39782E47" w14:textId="1287030F" w:rsidR="00FE5D64" w:rsidRDefault="00E40776">
            <w:pPr>
              <w:pStyle w:val="P68B1DB1-Normal19"/>
              <w:ind w:left="1972"/>
            </w:pPr>
            <w:r>
              <w:t>Платежни услуги към НПФИ за нефинансови предприятия (МСП)</w:t>
            </w:r>
          </w:p>
          <w:p w14:paraId="416F0C20" w14:textId="504D6059" w:rsidR="00FE5D64" w:rsidRDefault="00E40776">
            <w:pPr>
              <w:pStyle w:val="P68B1DB1-Normal19"/>
              <w:ind w:left="1972"/>
            </w:pPr>
            <w:r>
              <w:t>Платежни услуги към НПФИ за нефинансови предприятия, различни от МСП</w:t>
            </w:r>
            <w:bookmarkEnd w:id="153"/>
          </w:p>
          <w:p w14:paraId="661D0C87" w14:textId="77777777" w:rsidR="00FE5D64" w:rsidRDefault="00E40776">
            <w:pPr>
              <w:pStyle w:val="P68B1DB1-Normal19"/>
              <w:ind w:left="708"/>
            </w:pPr>
            <w:r>
              <w:t>Касови услуги</w:t>
            </w:r>
          </w:p>
          <w:p w14:paraId="03769573" w14:textId="77777777" w:rsidR="00FE5D64" w:rsidRDefault="00E40776">
            <w:pPr>
              <w:pStyle w:val="P68B1DB1-Normal19"/>
              <w:ind w:left="708"/>
            </w:pPr>
            <w:r>
              <w:t>Услуги по сетълмент на ценни книжа</w:t>
            </w:r>
          </w:p>
          <w:p w14:paraId="775020A9" w14:textId="77777777" w:rsidR="00FE5D64" w:rsidRDefault="00E40776">
            <w:pPr>
              <w:pStyle w:val="P68B1DB1-Normal19"/>
              <w:ind w:left="708"/>
            </w:pPr>
            <w:r>
              <w:t>Услуги по клиринг към централни контрагенти</w:t>
            </w:r>
          </w:p>
          <w:p w14:paraId="5801E2F6" w14:textId="77777777" w:rsidR="00FE5D64" w:rsidRDefault="00E40776">
            <w:pPr>
              <w:pStyle w:val="P68B1DB1-Normal19"/>
              <w:ind w:left="708"/>
            </w:pPr>
            <w:r>
              <w:t>Попечителски услуги</w:t>
            </w:r>
          </w:p>
          <w:p w14:paraId="5B6CE30A" w14:textId="77777777" w:rsidR="00FE5D64" w:rsidRDefault="00E40776">
            <w:pPr>
              <w:pStyle w:val="P68B1DB1-Normal19"/>
              <w:ind w:left="708"/>
            </w:pPr>
            <w:r>
              <w:t>Други услуги/дейности/функции (1), свързани с плащания, пари в брой, сетълмент, клиринг и попечителски услуги</w:t>
            </w:r>
          </w:p>
          <w:p w14:paraId="7B4ED125" w14:textId="77777777" w:rsidR="00FE5D64" w:rsidRDefault="00E40776">
            <w:pPr>
              <w:pStyle w:val="P68B1DB1-Normal19"/>
              <w:ind w:left="708"/>
            </w:pPr>
            <w:r>
              <w:t>Други услуги/дейности/функции (2), свързани с плащания, пари в брой, сетълмент, клиринг и попечителски услуги</w:t>
            </w:r>
          </w:p>
          <w:p w14:paraId="19BA6278" w14:textId="77777777" w:rsidR="00FE5D64" w:rsidRDefault="00E40776">
            <w:pPr>
              <w:pStyle w:val="P68B1DB1-Normal19"/>
              <w:ind w:left="708"/>
            </w:pPr>
            <w:r>
              <w:t>Други услуги/дейности/функции (3), свързани с плащания, пари в брой, сетълмент, клиринг и попечителски услуги</w:t>
            </w:r>
          </w:p>
          <w:p w14:paraId="1E6049F9" w14:textId="77777777" w:rsidR="00FE5D64" w:rsidRDefault="00FE5D64">
            <w:pPr>
              <w:rPr>
                <w:rFonts w:ascii="Times New Roman" w:hAnsi="Times New Roman" w:cs="Times New Roman"/>
                <w:sz w:val="20"/>
                <w:szCs w:val="20"/>
              </w:rPr>
            </w:pPr>
          </w:p>
          <w:p w14:paraId="6F0287A8" w14:textId="77777777" w:rsidR="00FE5D64" w:rsidRDefault="00E40776">
            <w:pPr>
              <w:pStyle w:val="P68B1DB1-Normal19"/>
            </w:pPr>
            <w:r>
              <w:t>Капиталови пазари</w:t>
            </w:r>
          </w:p>
          <w:p w14:paraId="4F1B2CB2" w14:textId="2A84A89A" w:rsidR="00FE5D64" w:rsidRDefault="00E40776">
            <w:pPr>
              <w:pStyle w:val="P68B1DB1-Normal19"/>
              <w:ind w:left="708"/>
            </w:pPr>
            <w:r>
              <w:t xml:space="preserve">Деривати, държани за търгуване </w:t>
            </w:r>
          </w:p>
          <w:p w14:paraId="608E7B75" w14:textId="5B6D8911" w:rsidR="00FE5D64" w:rsidRPr="00B4455E" w:rsidRDefault="00E40776">
            <w:pPr>
              <w:pStyle w:val="P68B1DB1-Normal19"/>
              <w:ind w:left="1416"/>
              <w:rPr>
                <w:lang w:val="bg-BG"/>
              </w:rPr>
            </w:pPr>
            <w:r>
              <w:t xml:space="preserve">Деривати, държани за търгуване </w:t>
            </w:r>
            <w:r w:rsidR="00B4455E">
              <w:rPr>
                <w:lang w:val="bg-BG"/>
              </w:rPr>
              <w:t>(</w:t>
            </w:r>
            <w:r>
              <w:t>извънборсов</w:t>
            </w:r>
            <w:r w:rsidR="00B4455E">
              <w:rPr>
                <w:lang w:val="bg-BG"/>
              </w:rPr>
              <w:t>о)</w:t>
            </w:r>
          </w:p>
          <w:p w14:paraId="55232CB1" w14:textId="19E0283F" w:rsidR="00FE5D64" w:rsidRPr="00B4455E" w:rsidRDefault="00E40776">
            <w:pPr>
              <w:pStyle w:val="P68B1DB1-Normal19"/>
              <w:ind w:left="1416"/>
              <w:rPr>
                <w:lang w:val="bg-BG"/>
              </w:rPr>
            </w:pPr>
            <w:r>
              <w:t xml:space="preserve">Деривати, държани за търгуване </w:t>
            </w:r>
            <w:r w:rsidR="00B4455E">
              <w:rPr>
                <w:lang w:val="bg-BG"/>
              </w:rPr>
              <w:t>(различни от извънборсови)</w:t>
            </w:r>
          </w:p>
          <w:p w14:paraId="41765F70" w14:textId="4774A65E" w:rsidR="00FE5D64" w:rsidRPr="000B398C" w:rsidRDefault="00E40776">
            <w:pPr>
              <w:pStyle w:val="P68B1DB1-Normal19"/>
              <w:ind w:left="708"/>
              <w:rPr>
                <w:lang w:val="bg-BG"/>
              </w:rPr>
            </w:pPr>
            <w:r>
              <w:t>Вторични пазари/</w:t>
            </w:r>
            <w:r w:rsidR="000B398C">
              <w:rPr>
                <w:lang w:val="bg-BG"/>
              </w:rPr>
              <w:t xml:space="preserve">търговия </w:t>
            </w:r>
          </w:p>
          <w:p w14:paraId="75381D0F" w14:textId="0A379074" w:rsidR="00FE5D64" w:rsidRPr="000B398C" w:rsidRDefault="00E40776">
            <w:pPr>
              <w:pStyle w:val="P68B1DB1-Normal19"/>
              <w:ind w:left="708"/>
              <w:rPr>
                <w:lang w:val="bg-BG"/>
              </w:rPr>
            </w:pPr>
            <w:r>
              <w:t>Първични пазари/поемане</w:t>
            </w:r>
            <w:r w:rsidR="000B398C">
              <w:rPr>
                <w:lang w:val="bg-BG"/>
              </w:rPr>
              <w:t xml:space="preserve"> на емисии</w:t>
            </w:r>
          </w:p>
          <w:p w14:paraId="04BFAC55" w14:textId="77777777" w:rsidR="00FE5D64" w:rsidRDefault="00E40776">
            <w:pPr>
              <w:pStyle w:val="P68B1DB1-Normal19"/>
              <w:ind w:left="708"/>
            </w:pPr>
            <w:r>
              <w:t>Други услуги/дейности/функции (1) в капиталовите пазари</w:t>
            </w:r>
          </w:p>
          <w:p w14:paraId="4842F14D" w14:textId="77777777" w:rsidR="00FE5D64" w:rsidRDefault="00E40776">
            <w:pPr>
              <w:pStyle w:val="P68B1DB1-Normal19"/>
              <w:ind w:left="708"/>
            </w:pPr>
            <w:r>
              <w:t>Други услуги/дейности/функции (2) в капиталовите пазари</w:t>
            </w:r>
          </w:p>
          <w:p w14:paraId="4B2FE832" w14:textId="77777777" w:rsidR="00FE5D64" w:rsidRDefault="00E40776">
            <w:pPr>
              <w:pStyle w:val="P68B1DB1-Normal19"/>
              <w:ind w:left="708"/>
            </w:pPr>
            <w:r>
              <w:t>Други услуги/дейности/функции (3) в капиталовите пазари</w:t>
            </w:r>
          </w:p>
          <w:p w14:paraId="07EB9C1C" w14:textId="77777777" w:rsidR="00FE5D64" w:rsidRDefault="00FE5D64">
            <w:pPr>
              <w:ind w:left="708"/>
              <w:rPr>
                <w:rFonts w:ascii="Times New Roman" w:hAnsi="Times New Roman" w:cs="Times New Roman"/>
                <w:sz w:val="20"/>
                <w:szCs w:val="20"/>
              </w:rPr>
            </w:pPr>
          </w:p>
          <w:p w14:paraId="74D09EC2" w14:textId="77777777" w:rsidR="00FE5D64" w:rsidRDefault="00E40776">
            <w:pPr>
              <w:pStyle w:val="P68B1DB1-Normal19"/>
            </w:pPr>
            <w:r>
              <w:t>Финансиране на едро</w:t>
            </w:r>
          </w:p>
          <w:p w14:paraId="02676859" w14:textId="77777777" w:rsidR="00FE5D64" w:rsidRDefault="00E40776">
            <w:pPr>
              <w:pStyle w:val="P68B1DB1-ListParagraph60"/>
            </w:pPr>
            <w:r>
              <w:t>Получени заеми</w:t>
            </w:r>
          </w:p>
          <w:p w14:paraId="541AD926" w14:textId="690BB9F4" w:rsidR="00FE5D64" w:rsidRDefault="00E40776">
            <w:pPr>
              <w:pStyle w:val="P68B1DB1-ListParagraph60"/>
            </w:pPr>
            <w:r>
              <w:t>Деривати (активи)</w:t>
            </w:r>
          </w:p>
          <w:p w14:paraId="25097734" w14:textId="77777777" w:rsidR="00FE5D64" w:rsidRDefault="00E40776">
            <w:pPr>
              <w:pStyle w:val="P68B1DB1-ListParagraph60"/>
            </w:pPr>
            <w:r>
              <w:t>Кредитна дейност</w:t>
            </w:r>
          </w:p>
          <w:p w14:paraId="772EBBB0" w14:textId="7E273A5B" w:rsidR="00FE5D64" w:rsidRDefault="00E40776">
            <w:pPr>
              <w:pStyle w:val="P68B1DB1-ListParagraph60"/>
            </w:pPr>
            <w:r>
              <w:t>Деривати (пасиви)</w:t>
            </w:r>
          </w:p>
          <w:p w14:paraId="56E338CF" w14:textId="77777777" w:rsidR="00FE5D64" w:rsidRDefault="00E40776">
            <w:pPr>
              <w:pStyle w:val="P68B1DB1-ListParagraph60"/>
            </w:pPr>
            <w:r>
              <w:t>Други видове продукти (1) на пазарите на едро</w:t>
            </w:r>
          </w:p>
          <w:p w14:paraId="6607505D" w14:textId="77777777" w:rsidR="00FE5D64" w:rsidRDefault="00E40776">
            <w:pPr>
              <w:pStyle w:val="P68B1DB1-ListParagraph60"/>
            </w:pPr>
            <w:r>
              <w:t>Други видове продукти (2) на пазарите на едро</w:t>
            </w:r>
          </w:p>
          <w:p w14:paraId="41A2E098" w14:textId="77777777" w:rsidR="00FE5D64" w:rsidRDefault="00E40776">
            <w:pPr>
              <w:pStyle w:val="P68B1DB1-ListParagraph60"/>
            </w:pPr>
            <w:r>
              <w:t>Други видове продукти (3) на пазарите на едро</w:t>
            </w:r>
          </w:p>
          <w:p w14:paraId="7FE1C8DF" w14:textId="2134965F" w:rsidR="00FE5D64" w:rsidRDefault="00FE5D64">
            <w:pPr>
              <w:pStyle w:val="TableParagraph"/>
              <w:spacing w:before="108"/>
              <w:ind w:left="85"/>
              <w:jc w:val="both"/>
              <w:rPr>
                <w:rFonts w:ascii="Times New Roman" w:eastAsia="Times New Roman" w:hAnsi="Times New Roman" w:cs="Times New Roman"/>
                <w:b/>
                <w:bCs/>
                <w:i/>
                <w:iCs/>
                <w:sz w:val="20"/>
                <w:szCs w:val="20"/>
              </w:rPr>
            </w:pPr>
          </w:p>
        </w:tc>
      </w:tr>
      <w:tr w:rsidR="00FE5D6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FE5D64" w:rsidRDefault="00E40776">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8E2" w14:textId="611F47CD" w:rsidR="00FE5D64" w:rsidRDefault="00114793">
            <w:pPr>
              <w:pStyle w:val="P68B1DB1-Heading481"/>
              <w:numPr>
                <w:ilvl w:val="3"/>
                <w:numId w:val="0"/>
              </w:numPr>
              <w:ind w:left="360"/>
            </w:pPr>
            <w:r>
              <w:rPr>
                <w:lang w:val="bg-BG"/>
              </w:rPr>
              <w:t>Важни</w:t>
            </w:r>
            <w:r>
              <w:t xml:space="preserve"> </w:t>
            </w:r>
            <w:r w:rsidR="00E40776">
              <w:t>ИФП</w:t>
            </w:r>
          </w:p>
        </w:tc>
      </w:tr>
      <w:tr w:rsidR="00FE5D6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FE5D64" w:rsidRDefault="00E40776">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081273A5" w:rsidR="00FE5D64" w:rsidRDefault="006B21E5">
            <w:pPr>
              <w:pStyle w:val="P68B1DB1-TableParagraph73"/>
              <w:spacing w:before="108"/>
              <w:ind w:left="85"/>
              <w:jc w:val="both"/>
            </w:pPr>
            <w:r>
              <w:rPr>
                <w:lang w:val="bg-BG"/>
              </w:rPr>
              <w:t>Важни</w:t>
            </w:r>
            <w:r w:rsidR="00800622">
              <w:t xml:space="preserve"> </w:t>
            </w:r>
            <w:r w:rsidR="00E40776">
              <w:t>ИФП: ДА/НЕ</w:t>
            </w:r>
          </w:p>
          <w:p w14:paraId="7FE1C8E6" w14:textId="46EB3132" w:rsidR="00FE5D64" w:rsidRDefault="00E40776">
            <w:pPr>
              <w:pStyle w:val="P68B1DB1-TableParagraph40"/>
              <w:numPr>
                <w:ilvl w:val="0"/>
                <w:numId w:val="248"/>
              </w:numPr>
              <w:spacing w:before="108"/>
              <w:jc w:val="both"/>
            </w:pPr>
            <w:r>
              <w:t xml:space="preserve">„Да“, ако ИФП е от </w:t>
            </w:r>
            <w:r w:rsidR="00114793">
              <w:rPr>
                <w:lang w:val="bg-BG"/>
              </w:rPr>
              <w:t>важно</w:t>
            </w:r>
            <w:r w:rsidR="00114793">
              <w:t xml:space="preserve"> </w:t>
            </w:r>
            <w:r>
              <w:t>значение</w:t>
            </w:r>
          </w:p>
          <w:p w14:paraId="7FE1C8E7" w14:textId="47CB241B" w:rsidR="00FE5D64" w:rsidRDefault="00E40776">
            <w:pPr>
              <w:pStyle w:val="P68B1DB1-TableParagraph40"/>
              <w:numPr>
                <w:ilvl w:val="0"/>
                <w:numId w:val="248"/>
              </w:numPr>
              <w:spacing w:before="108"/>
              <w:jc w:val="both"/>
            </w:pPr>
            <w:r>
              <w:t xml:space="preserve">„Не“, ако ИФП не е от </w:t>
            </w:r>
            <w:r w:rsidR="00114793">
              <w:rPr>
                <w:lang w:val="bg-BG"/>
              </w:rPr>
              <w:t>важно</w:t>
            </w:r>
            <w:r w:rsidR="00114793">
              <w:t xml:space="preserve"> </w:t>
            </w:r>
            <w:r>
              <w:t>значение</w:t>
            </w:r>
          </w:p>
          <w:p w14:paraId="7FE1C8E8" w14:textId="77777777" w:rsidR="00FE5D64" w:rsidRDefault="00E40776">
            <w:pPr>
              <w:pStyle w:val="P68B1DB1-Heading482"/>
              <w:numPr>
                <w:ilvl w:val="3"/>
                <w:numId w:val="0"/>
              </w:numPr>
              <w:ind w:left="360"/>
            </w:pPr>
            <w:r>
              <w:t>Колони 0020 и 0050 не се изключват взаимно.</w:t>
            </w:r>
          </w:p>
        </w:tc>
      </w:tr>
      <w:tr w:rsidR="00FE5D6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FE5D64" w:rsidRDefault="00E40776">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FE5D64" w:rsidRDefault="00E40776">
            <w:pPr>
              <w:pStyle w:val="P68B1DB1-TableParagraph73"/>
              <w:spacing w:before="108"/>
              <w:ind w:left="85"/>
              <w:jc w:val="both"/>
            </w:pPr>
            <w:r>
              <w:t>Идентификационен код на основната стопанска дейност</w:t>
            </w:r>
          </w:p>
          <w:p w14:paraId="7FE1C8EC" w14:textId="564CFA2F" w:rsidR="00FE5D64" w:rsidRDefault="00E40776">
            <w:pPr>
              <w:pStyle w:val="P68B1DB1-TableParagraph40"/>
              <w:spacing w:before="108"/>
              <w:ind w:left="85"/>
              <w:jc w:val="both"/>
              <w:rPr>
                <w:u w:val="single"/>
              </w:rPr>
            </w:pPr>
            <w:r>
              <w:t xml:space="preserve">Основни </w:t>
            </w:r>
            <w:r w:rsidR="00800622">
              <w:rPr>
                <w:lang w:val="bg-BG"/>
              </w:rPr>
              <w:t>стопански дейности</w:t>
            </w:r>
            <w:r>
              <w:t xml:space="preserve">, извършвани от ползвателя, чието изпълнение би било </w:t>
            </w:r>
            <w:r w:rsidR="00800622">
              <w:rPr>
                <w:lang w:val="bg-BG"/>
              </w:rPr>
              <w:t>затруднено</w:t>
            </w:r>
            <w:r w:rsidR="00800622">
              <w:t xml:space="preserve"> </w:t>
            </w:r>
            <w:r>
              <w:t xml:space="preserve">или възпрепятствано от прекъсването на достъпа до доставчика на </w:t>
            </w:r>
            <w:r w:rsidR="00800622">
              <w:rPr>
                <w:lang w:val="bg-BG"/>
              </w:rPr>
              <w:t>ИФП</w:t>
            </w:r>
            <w:r w:rsidR="00800622">
              <w:t xml:space="preserve"> </w:t>
            </w:r>
            <w:r>
              <w:t>услуги.</w:t>
            </w:r>
          </w:p>
          <w:p w14:paraId="7FE1C8ED" w14:textId="77777777" w:rsidR="00FE5D64" w:rsidRDefault="00E40776">
            <w:pPr>
              <w:pStyle w:val="P68B1DB1-TableParagraph40"/>
              <w:spacing w:before="108"/>
              <w:ind w:left="85"/>
              <w:jc w:val="both"/>
              <w:rPr>
                <w:b/>
                <w:bCs/>
              </w:rPr>
            </w:pPr>
            <w:r>
              <w:t>Идентификационен код на основната стопанска дейност, както е отчетено в Z 07.03, колона 0010.</w:t>
            </w:r>
          </w:p>
        </w:tc>
      </w:tr>
    </w:tbl>
    <w:p w14:paraId="7FE1C8EF" w14:textId="77777777" w:rsidR="00FE5D64" w:rsidRDefault="00FE5D64">
      <w:pPr>
        <w:pStyle w:val="Instructionsberschrift2"/>
        <w:ind w:left="357"/>
        <w:rPr>
          <w:rFonts w:ascii="Times New Roman" w:eastAsia="Calibri" w:hAnsi="Times New Roman" w:cs="Times New Roman"/>
          <w:szCs w:val="20"/>
        </w:rPr>
      </w:pPr>
    </w:p>
    <w:p w14:paraId="7FE1C8F0" w14:textId="067CD00F" w:rsidR="00FE5D64" w:rsidRDefault="00E40776">
      <w:pPr>
        <w:pStyle w:val="P68B1DB1-Instructionsberschrift271"/>
        <w:numPr>
          <w:ilvl w:val="1"/>
          <w:numId w:val="49"/>
        </w:numPr>
        <w:ind w:left="357" w:hanging="357"/>
      </w:pPr>
      <w:bookmarkStart w:id="154" w:name="_Toc208244481"/>
      <w:r>
        <w:t>Z 09.03 — Услуги</w:t>
      </w:r>
      <w:r w:rsidR="009C1096">
        <w:rPr>
          <w:lang w:val="bg-BG"/>
        </w:rPr>
        <w:t>, свързани</w:t>
      </w:r>
      <w:r w:rsidR="00B76B79">
        <w:rPr>
          <w:lang w:val="bg-BG"/>
        </w:rPr>
        <w:t xml:space="preserve"> с ИФП</w:t>
      </w:r>
      <w:r>
        <w:t xml:space="preserve"> — ключови показатели (FMI 3)</w:t>
      </w:r>
      <w:bookmarkEnd w:id="154"/>
    </w:p>
    <w:p w14:paraId="7FE1C8F1" w14:textId="77777777" w:rsidR="00FE5D64" w:rsidRDefault="00E40776">
      <w:pPr>
        <w:pStyle w:val="P68B1DB1-Numberedtitlelevel383"/>
      </w:pPr>
      <w:r>
        <w:t>Указания относно определени позиции</w:t>
      </w:r>
    </w:p>
    <w:p w14:paraId="7FE1C8F2" w14:textId="3D0AE642" w:rsidR="00FE5D64" w:rsidRDefault="00114793">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lang w:val="bg-BG"/>
        </w:rPr>
        <w:t>Предоставя се информация с</w:t>
      </w:r>
      <w:r w:rsidR="00E40776">
        <w:rPr>
          <w:rFonts w:ascii="Times New Roman" w:eastAsiaTheme="majorEastAsia" w:hAnsi="Times New Roman" w:cs="Times New Roman"/>
          <w:sz w:val="20"/>
          <w:szCs w:val="20"/>
        </w:rPr>
        <w:t>амо за платежни системи, (международни) централни депозитари на ценни книжа, услуги по сетълмент на сделки с ценни книжа, централ</w:t>
      </w:r>
      <w:r w:rsidR="00E16F54">
        <w:rPr>
          <w:rFonts w:ascii="Times New Roman" w:eastAsiaTheme="majorEastAsia" w:hAnsi="Times New Roman" w:cs="Times New Roman"/>
          <w:sz w:val="20"/>
          <w:szCs w:val="20"/>
          <w:lang w:val="bg-BG"/>
        </w:rPr>
        <w:t>ни</w:t>
      </w:r>
      <w:r w:rsidR="00E40776">
        <w:rPr>
          <w:rFonts w:ascii="Times New Roman" w:eastAsiaTheme="majorEastAsia" w:hAnsi="Times New Roman" w:cs="Times New Roman"/>
          <w:sz w:val="20"/>
          <w:szCs w:val="20"/>
        </w:rPr>
        <w:t xml:space="preserve"> контрагент</w:t>
      </w:r>
      <w:r w:rsidR="00E16F54">
        <w:rPr>
          <w:rFonts w:ascii="Times New Roman" w:eastAsiaTheme="majorEastAsia" w:hAnsi="Times New Roman" w:cs="Times New Roman"/>
          <w:sz w:val="20"/>
          <w:szCs w:val="20"/>
          <w:lang w:val="bg-BG"/>
        </w:rPr>
        <w:t>и за клиринг на деривати</w:t>
      </w:r>
      <w:r w:rsidR="00E40776">
        <w:rPr>
          <w:rFonts w:ascii="Times New Roman" w:eastAsiaTheme="majorEastAsia" w:hAnsi="Times New Roman" w:cs="Times New Roman"/>
          <w:sz w:val="20"/>
          <w:szCs w:val="20"/>
        </w:rPr>
        <w:t>, централ</w:t>
      </w:r>
      <w:r w:rsidR="00E16F54">
        <w:rPr>
          <w:rFonts w:ascii="Times New Roman" w:eastAsiaTheme="majorEastAsia" w:hAnsi="Times New Roman" w:cs="Times New Roman"/>
          <w:sz w:val="20"/>
          <w:szCs w:val="20"/>
          <w:lang w:val="bg-BG"/>
        </w:rPr>
        <w:t>ни</w:t>
      </w:r>
      <w:r w:rsidR="00E40776">
        <w:rPr>
          <w:rFonts w:ascii="Times New Roman" w:eastAsiaTheme="majorEastAsia" w:hAnsi="Times New Roman" w:cs="Times New Roman"/>
          <w:sz w:val="20"/>
          <w:szCs w:val="20"/>
        </w:rPr>
        <w:t xml:space="preserve"> контрагент</w:t>
      </w:r>
      <w:r w:rsidR="00E16F54">
        <w:rPr>
          <w:rFonts w:ascii="Times New Roman" w:eastAsiaTheme="majorEastAsia" w:hAnsi="Times New Roman" w:cs="Times New Roman"/>
          <w:sz w:val="20"/>
          <w:szCs w:val="20"/>
          <w:lang w:val="bg-BG"/>
        </w:rPr>
        <w:t>и за клиринг на ценни книжа</w:t>
      </w:r>
      <w:r w:rsidR="00E40776">
        <w:rPr>
          <w:rFonts w:ascii="Times New Roman" w:eastAsiaTheme="majorEastAsia" w:hAnsi="Times New Roman" w:cs="Times New Roman"/>
          <w:sz w:val="20"/>
          <w:szCs w:val="20"/>
        </w:rPr>
        <w:t>, освен ако не е посочено друго</w:t>
      </w:r>
      <w:r w:rsidR="00E40776">
        <w:rPr>
          <w:rStyle w:val="FootnoteReference"/>
          <w:rFonts w:eastAsiaTheme="majorEastAsia" w:cs="Times New Roman"/>
        </w:rPr>
        <w:footnoteReference w:id="33"/>
      </w:r>
      <w:r w:rsidR="00E40776">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FE5D64"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FE5D64" w:rsidRDefault="00E40776">
            <w:pPr>
              <w:pStyle w:val="P68B1DB1-TableParagraph17"/>
              <w:spacing w:before="108"/>
              <w:ind w:left="85"/>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FE5D64" w:rsidRDefault="00E40776">
            <w:pPr>
              <w:pStyle w:val="P68B1DB1-TableParagraph17"/>
              <w:spacing w:before="108"/>
              <w:ind w:left="85"/>
            </w:pPr>
            <w:r>
              <w:t xml:space="preserve">Указания </w:t>
            </w:r>
          </w:p>
        </w:tc>
      </w:tr>
      <w:tr w:rsidR="00FE5D64"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FE5D64" w:rsidRDefault="00E40776">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66303616" w:rsidR="00FE5D64" w:rsidRDefault="00E40776">
            <w:pPr>
              <w:pStyle w:val="P68B1DB1-TableParagraph73"/>
              <w:spacing w:before="108"/>
              <w:jc w:val="both"/>
            </w:pPr>
            <w:r>
              <w:t xml:space="preserve">Идентификатор, представляващ комбинация от </w:t>
            </w:r>
            <w:r w:rsidR="00745708">
              <w:rPr>
                <w:lang w:val="bg-BG"/>
              </w:rPr>
              <w:t>ползвател</w:t>
            </w:r>
            <w:r>
              <w:t xml:space="preserve">, </w:t>
            </w:r>
            <w:r w:rsidR="00745708">
              <w:rPr>
                <w:lang w:val="bg-BG"/>
              </w:rPr>
              <w:t>ИФП</w:t>
            </w:r>
            <w:r>
              <w:t>, тип система и посредник</w:t>
            </w:r>
          </w:p>
          <w:p w14:paraId="7FE1C8F8" w14:textId="74AF5277" w:rsidR="00FE5D64" w:rsidRDefault="00E40776" w:rsidP="00745708">
            <w:pPr>
              <w:pStyle w:val="P68B1DB1-TableParagraph40"/>
              <w:spacing w:before="108"/>
              <w:jc w:val="both"/>
              <w:rPr>
                <w:b/>
                <w:bCs/>
                <w:i/>
                <w:iCs/>
              </w:rPr>
            </w:pPr>
            <w:r>
              <w:t xml:space="preserve">За всеки ред се използва един идентификатор, който съответства на уникална комбинация от </w:t>
            </w:r>
            <w:r w:rsidR="00745708">
              <w:rPr>
                <w:lang w:val="bg-BG"/>
              </w:rPr>
              <w:t>ползвател</w:t>
            </w:r>
            <w:r>
              <w:t xml:space="preserve">, ИФП, тип система и посредник. Един и същ </w:t>
            </w:r>
            <w:r w:rsidR="00C30869">
              <w:rPr>
                <w:lang w:val="bg-BG"/>
              </w:rPr>
              <w:t>идентификатор</w:t>
            </w:r>
            <w:r>
              <w:t xml:space="preserve">, съответстващ на една и съща комбинация, трябва да се използва в образци Z 09.01 — Z 09.05, </w:t>
            </w:r>
            <w:r w:rsidR="00C30869">
              <w:rPr>
                <w:lang w:val="bg-BG"/>
              </w:rPr>
              <w:t>където</w:t>
            </w:r>
            <w:r w:rsidR="00C30869">
              <w:t xml:space="preserve"> </w:t>
            </w:r>
            <w:r>
              <w:t>е приложимо.</w:t>
            </w:r>
          </w:p>
        </w:tc>
      </w:tr>
      <w:tr w:rsidR="00FE5D64"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FE5D64" w:rsidRDefault="00E40776">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FE5D64" w:rsidRDefault="00E40776">
            <w:pPr>
              <w:pStyle w:val="P68B1DB1-TableParagraph73"/>
              <w:spacing w:before="108"/>
              <w:jc w:val="both"/>
            </w:pPr>
            <w:r>
              <w:t>Сегмент</w:t>
            </w:r>
          </w:p>
          <w:p w14:paraId="7FE1C8FC" w14:textId="04FB965F" w:rsidR="00FE5D64" w:rsidRDefault="00E40776">
            <w:pPr>
              <w:pStyle w:val="P68B1DB1-TableParagraph40"/>
              <w:spacing w:before="108"/>
              <w:ind w:left="85"/>
              <w:jc w:val="both"/>
              <w:rPr>
                <w:b/>
                <w:bCs/>
                <w:i/>
                <w:iCs/>
                <w:strike/>
              </w:rPr>
            </w:pPr>
            <w:r>
              <w:t xml:space="preserve">Пазарни сегменти, в които </w:t>
            </w:r>
            <w:r w:rsidR="00C30869">
              <w:rPr>
                <w:lang w:val="bg-BG"/>
              </w:rPr>
              <w:t>ползвателят</w:t>
            </w:r>
            <w:r w:rsidR="00C30869">
              <w:t xml:space="preserve"> </w:t>
            </w:r>
            <w:r>
              <w:t xml:space="preserve">извършва дейност. По един ред на сегмент. Докладва се само за </w:t>
            </w:r>
            <w:r w:rsidR="00C30869">
              <w:rPr>
                <w:lang w:val="bg-BG"/>
              </w:rPr>
              <w:t>централни контрагенти (</w:t>
            </w:r>
            <w:r>
              <w:t>ЦК</w:t>
            </w:r>
            <w:r w:rsidR="00C30869">
              <w:rPr>
                <w:lang w:val="bg-BG"/>
              </w:rPr>
              <w:t>)</w:t>
            </w:r>
            <w:r>
              <w:t xml:space="preserve">. </w:t>
            </w:r>
          </w:p>
        </w:tc>
      </w:tr>
      <w:tr w:rsidR="00FE5D64"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FE5D64" w:rsidRDefault="00E40776">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42C466CB" w:rsidR="00FE5D64" w:rsidRPr="001A79CE" w:rsidRDefault="00E40776">
            <w:pPr>
              <w:pStyle w:val="P68B1DB1-TableParagraph73"/>
              <w:spacing w:before="108"/>
              <w:jc w:val="both"/>
              <w:rPr>
                <w:lang w:val="bg-BG"/>
              </w:rPr>
            </w:pPr>
            <w:r>
              <w:t xml:space="preserve">Вноска </w:t>
            </w:r>
            <w:r w:rsidR="00D442C8">
              <w:rPr>
                <w:lang w:val="bg-BG"/>
              </w:rPr>
              <w:t>към гаранционен фонд</w:t>
            </w:r>
          </w:p>
          <w:p w14:paraId="7FE1C900" w14:textId="03A86100" w:rsidR="00FE5D64" w:rsidRDefault="00E40776">
            <w:pPr>
              <w:pStyle w:val="P68B1DB1-TableParagraph40"/>
              <w:spacing w:before="108"/>
              <w:jc w:val="both"/>
            </w:pPr>
            <w:r>
              <w:t>Вноска в гаранцион</w:t>
            </w:r>
            <w:r w:rsidR="00745708">
              <w:rPr>
                <w:lang w:val="bg-BG"/>
              </w:rPr>
              <w:t>ен</w:t>
            </w:r>
            <w:r>
              <w:t xml:space="preserve"> фонд. Средна сума за годината. </w:t>
            </w:r>
          </w:p>
          <w:p w14:paraId="7FE1C901" w14:textId="6D9DFC03" w:rsidR="00FE5D64" w:rsidRDefault="00C30869" w:rsidP="00D442C8">
            <w:pPr>
              <w:pStyle w:val="P68B1DB1-TableParagraph40"/>
              <w:spacing w:before="108"/>
              <w:ind w:left="85"/>
              <w:jc w:val="both"/>
              <w:rPr>
                <w:b/>
                <w:bCs/>
                <w:i/>
                <w:iCs/>
              </w:rPr>
            </w:pPr>
            <w:r>
              <w:rPr>
                <w:lang w:val="bg-BG"/>
              </w:rPr>
              <w:t>О</w:t>
            </w:r>
            <w:r w:rsidR="00D442C8">
              <w:rPr>
                <w:lang w:val="bg-BG"/>
              </w:rPr>
              <w:t>тчита</w:t>
            </w:r>
            <w:r w:rsidR="00D442C8">
              <w:t xml:space="preserve"> </w:t>
            </w:r>
            <w:r w:rsidR="00E40776">
              <w:t>се само за ЦК.</w:t>
            </w:r>
          </w:p>
        </w:tc>
      </w:tr>
      <w:tr w:rsidR="00FE5D64"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FE5D64" w:rsidRDefault="00E40776">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0D9F613" w:rsidR="00FE5D64" w:rsidRDefault="007C0B7B">
            <w:pPr>
              <w:pStyle w:val="P68B1DB1-TableParagraph73"/>
              <w:spacing w:before="108"/>
              <w:jc w:val="both"/>
              <w:rPr>
                <w:bCs/>
              </w:rPr>
            </w:pPr>
            <w:r>
              <w:rPr>
                <w:lang w:val="bg-BG"/>
              </w:rPr>
              <w:t>Първоначално допълнително обезпечение</w:t>
            </w:r>
            <w:r w:rsidR="00D442C8" w:rsidRPr="001A79CE">
              <w:rPr>
                <w:lang w:val="bg-BG"/>
              </w:rPr>
              <w:t xml:space="preserve"> </w:t>
            </w:r>
            <w:r w:rsidR="00E40776">
              <w:t xml:space="preserve">по собствени </w:t>
            </w:r>
            <w:r w:rsidR="00D442C8">
              <w:rPr>
                <w:lang w:val="bg-BG"/>
              </w:rPr>
              <w:t>сметки на отчетната институция</w:t>
            </w:r>
            <w:r w:rsidR="00E40776">
              <w:t xml:space="preserve"> и клиентски сметки</w:t>
            </w:r>
          </w:p>
          <w:p w14:paraId="7FE1C905" w14:textId="67FC3175" w:rsidR="00FE5D64" w:rsidRDefault="007C0B7B" w:rsidP="00D442C8">
            <w:pPr>
              <w:pStyle w:val="P68B1DB1-TableParagraph40"/>
              <w:spacing w:before="108"/>
              <w:ind w:left="85"/>
              <w:jc w:val="both"/>
              <w:rPr>
                <w:b/>
              </w:rPr>
            </w:pPr>
            <w:r>
              <w:rPr>
                <w:lang w:val="bg-BG"/>
              </w:rPr>
              <w:t>Предоставено първоначално допълнително обезпечение</w:t>
            </w:r>
            <w:r w:rsidR="00E40776">
              <w:t>, разделен</w:t>
            </w:r>
            <w:r w:rsidR="00CC1DF8">
              <w:rPr>
                <w:lang w:val="bg-BG"/>
              </w:rPr>
              <w:t>о</w:t>
            </w:r>
            <w:r w:rsidR="00E40776">
              <w:t xml:space="preserve"> по </w:t>
            </w:r>
            <w:r w:rsidR="00D4374C">
              <w:rPr>
                <w:lang w:val="bg-BG"/>
              </w:rPr>
              <w:t>собствени</w:t>
            </w:r>
            <w:r w:rsidR="00D4374C">
              <w:t xml:space="preserve"> </w:t>
            </w:r>
            <w:r w:rsidR="00D442C8">
              <w:rPr>
                <w:lang w:val="bg-BG"/>
              </w:rPr>
              <w:t>(на отчетната институция)</w:t>
            </w:r>
            <w:r w:rsidR="00D442C8" w:rsidRPr="001A79CE">
              <w:rPr>
                <w:lang w:val="bg-BG"/>
              </w:rPr>
              <w:t xml:space="preserve"> </w:t>
            </w:r>
            <w:r w:rsidR="00E40776">
              <w:t xml:space="preserve">и клиентски сметки. Средна сума за годината. </w:t>
            </w:r>
            <w:r w:rsidR="00D442C8">
              <w:rPr>
                <w:lang w:val="bg-BG"/>
              </w:rPr>
              <w:t>Отчита</w:t>
            </w:r>
            <w:r w:rsidR="00D442C8">
              <w:t xml:space="preserve"> </w:t>
            </w:r>
            <w:r w:rsidR="00E40776">
              <w:t xml:space="preserve">се само за ЦК. </w:t>
            </w:r>
            <w:r w:rsidR="00CC1DF8">
              <w:rPr>
                <w:lang w:val="bg-BG"/>
              </w:rPr>
              <w:t>В к</w:t>
            </w:r>
            <w:r w:rsidR="00E40776">
              <w:t xml:space="preserve">олона 0050 </w:t>
            </w:r>
            <w:r w:rsidR="00CC1DF8">
              <w:rPr>
                <w:lang w:val="bg-BG"/>
              </w:rPr>
              <w:t xml:space="preserve">се </w:t>
            </w:r>
            <w:r w:rsidR="00E40776">
              <w:t>включва</w:t>
            </w:r>
            <w:r w:rsidR="00CC1DF8">
              <w:rPr>
                <w:lang w:val="bg-BG"/>
              </w:rPr>
              <w:t>т</w:t>
            </w:r>
            <w:r w:rsidR="00E40776">
              <w:t xml:space="preserve"> </w:t>
            </w:r>
            <w:r w:rsidR="00CC1DF8">
              <w:rPr>
                <w:lang w:val="bg-BG"/>
              </w:rPr>
              <w:t xml:space="preserve">стойностите </w:t>
            </w:r>
            <w:r w:rsidR="00E40776">
              <w:t xml:space="preserve">както </w:t>
            </w:r>
            <w:r w:rsidR="00CC1DF8">
              <w:rPr>
                <w:lang w:val="bg-BG"/>
              </w:rPr>
              <w:t>по</w:t>
            </w:r>
            <w:r w:rsidR="00D4374C">
              <w:rPr>
                <w:lang w:val="bg-BG"/>
              </w:rPr>
              <w:t xml:space="preserve"> омнибус сметки</w:t>
            </w:r>
            <w:r w:rsidR="00E40776">
              <w:t xml:space="preserve">, така и </w:t>
            </w:r>
            <w:r w:rsidR="00CC1DF8">
              <w:rPr>
                <w:lang w:val="bg-BG"/>
              </w:rPr>
              <w:t xml:space="preserve">по </w:t>
            </w:r>
            <w:r w:rsidR="00D442C8" w:rsidRPr="001A79CE">
              <w:rPr>
                <w:lang w:val="bg-BG"/>
              </w:rPr>
              <w:t>индивидуални</w:t>
            </w:r>
            <w:r w:rsidR="00CC1DF8">
              <w:rPr>
                <w:lang w:val="bg-BG"/>
              </w:rPr>
              <w:t xml:space="preserve"> </w:t>
            </w:r>
            <w:r w:rsidR="00E40776">
              <w:t>клиентски сметки.</w:t>
            </w:r>
          </w:p>
        </w:tc>
      </w:tr>
      <w:tr w:rsidR="00FE5D64"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FE5D64" w:rsidRDefault="00E40776">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449BA4F9" w:rsidR="00FE5D64" w:rsidRDefault="00E40776">
            <w:pPr>
              <w:pStyle w:val="P68B1DB1-TableParagraph73"/>
              <w:spacing w:before="108"/>
              <w:ind w:left="85"/>
              <w:jc w:val="both"/>
            </w:pPr>
            <w:r>
              <w:t>Стойност на позициите по собствени</w:t>
            </w:r>
            <w:r w:rsidR="008B1259">
              <w:rPr>
                <w:lang w:val="bg-BG"/>
              </w:rPr>
              <w:t xml:space="preserve"> </w:t>
            </w:r>
            <w:r w:rsidR="00D442C8">
              <w:rPr>
                <w:lang w:val="bg-BG"/>
              </w:rPr>
              <w:t>сметки на отчетната институция</w:t>
            </w:r>
            <w:r w:rsidR="00D442C8">
              <w:t xml:space="preserve"> </w:t>
            </w:r>
            <w:r>
              <w:t>и клиентски сметки</w:t>
            </w:r>
          </w:p>
          <w:p w14:paraId="7FE1C909" w14:textId="54CCD168" w:rsidR="00FE5D64" w:rsidRDefault="00D442C8">
            <w:pPr>
              <w:pStyle w:val="P68B1DB1-TableParagraph40"/>
              <w:spacing w:before="108"/>
              <w:ind w:left="85"/>
              <w:jc w:val="both"/>
            </w:pPr>
            <w:r>
              <w:rPr>
                <w:lang w:val="bg-BG"/>
              </w:rPr>
              <w:t>Отчита</w:t>
            </w:r>
            <w:r>
              <w:t xml:space="preserve"> </w:t>
            </w:r>
            <w:r w:rsidR="00E40776">
              <w:t xml:space="preserve">се само за ЦК и </w:t>
            </w:r>
            <w:r w:rsidR="00C15342" w:rsidRPr="00CC1DF8">
              <w:rPr>
                <w:lang w:val="bg-BG"/>
              </w:rPr>
              <w:t>(</w:t>
            </w:r>
            <w:r w:rsidR="00C15342">
              <w:rPr>
                <w:lang w:val="bg-BG"/>
              </w:rPr>
              <w:t>международни)</w:t>
            </w:r>
            <w:r w:rsidR="00E40776">
              <w:t xml:space="preserve"> ЦДЦК. </w:t>
            </w:r>
            <w:r w:rsidR="00CC1DF8">
              <w:rPr>
                <w:lang w:val="bg-BG"/>
              </w:rPr>
              <w:t>В к</w:t>
            </w:r>
            <w:r w:rsidR="00E40776">
              <w:t xml:space="preserve">олона 0070 </w:t>
            </w:r>
            <w:r w:rsidR="00CC1DF8">
              <w:rPr>
                <w:lang w:val="bg-BG"/>
              </w:rPr>
              <w:t xml:space="preserve">се </w:t>
            </w:r>
            <w:r w:rsidR="00E40776">
              <w:t>включва</w:t>
            </w:r>
            <w:r w:rsidR="00CC1DF8">
              <w:rPr>
                <w:lang w:val="bg-BG"/>
              </w:rPr>
              <w:t>т стойностите</w:t>
            </w:r>
            <w:r w:rsidR="00E40776">
              <w:t xml:space="preserve"> както </w:t>
            </w:r>
            <w:r w:rsidR="00995642">
              <w:rPr>
                <w:lang w:val="bg-BG"/>
              </w:rPr>
              <w:t>омнибус</w:t>
            </w:r>
            <w:r w:rsidR="00CC1DF8">
              <w:rPr>
                <w:lang w:val="bg-BG"/>
              </w:rPr>
              <w:t xml:space="preserve"> сметки</w:t>
            </w:r>
            <w:r w:rsidR="00E40776">
              <w:t xml:space="preserve">, така и </w:t>
            </w:r>
            <w:r w:rsidR="00CC1DF8">
              <w:rPr>
                <w:lang w:val="bg-BG"/>
              </w:rPr>
              <w:t xml:space="preserve">по </w:t>
            </w:r>
            <w:r w:rsidR="00E40776">
              <w:t>индивидуални клиентски сметки.</w:t>
            </w:r>
          </w:p>
          <w:p w14:paraId="7FE1C90A" w14:textId="286A0DFD" w:rsidR="00FE5D64" w:rsidRDefault="00E40776" w:rsidP="00C15342">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ЦК: Стойност на позициите в ЦК в съответните видове сметки</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508A562D" w:rsidR="00FE5D64" w:rsidRDefault="00B4691F">
            <w:pPr>
              <w:pStyle w:val="P68B1DB1-TableParagraph40"/>
              <w:numPr>
                <w:ilvl w:val="0"/>
                <w:numId w:val="249"/>
              </w:numPr>
              <w:spacing w:before="108"/>
              <w:jc w:val="both"/>
            </w:pPr>
            <w:r>
              <w:rPr>
                <w:lang w:val="bg-BG"/>
              </w:rPr>
              <w:t>(международни</w:t>
            </w:r>
            <w:r w:rsidR="00E40776">
              <w:t xml:space="preserve">) ЦДЦК: Стойност на ценните книжа, държани в съответните видове сметки. </w:t>
            </w:r>
          </w:p>
          <w:p w14:paraId="7FE1C90C" w14:textId="77777777" w:rsidR="00FE5D64" w:rsidRDefault="00E40776">
            <w:pPr>
              <w:pStyle w:val="P68B1DB1-TableParagraph40"/>
              <w:spacing w:before="108"/>
              <w:ind w:left="85"/>
              <w:jc w:val="both"/>
              <w:rPr>
                <w:b/>
              </w:rPr>
            </w:pPr>
            <w:r>
              <w:t xml:space="preserve">Средна стойност в края на деня на сетълмента за предходната година. </w:t>
            </w:r>
          </w:p>
        </w:tc>
      </w:tr>
      <w:tr w:rsidR="00FE5D64"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FE5D64" w:rsidRDefault="00E40776">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6618DC8E" w:rsidR="00FE5D64" w:rsidRDefault="00E40776">
            <w:pPr>
              <w:pStyle w:val="P68B1DB1-TableParagraph73"/>
              <w:spacing w:before="108"/>
              <w:ind w:left="85"/>
              <w:jc w:val="both"/>
            </w:pPr>
            <w:r>
              <w:t>Брой клиенти</w:t>
            </w:r>
          </w:p>
          <w:p w14:paraId="7FE1C910" w14:textId="62D2161D" w:rsidR="00FE5D64" w:rsidRDefault="00E40776">
            <w:pPr>
              <w:pStyle w:val="P68B1DB1-TableParagraph40"/>
              <w:spacing w:before="108"/>
              <w:ind w:left="85"/>
              <w:jc w:val="both"/>
            </w:pPr>
            <w:r>
              <w:t xml:space="preserve">Докладва се само за ЦК </w:t>
            </w:r>
            <w:r w:rsidR="00D442C8" w:rsidRPr="00D442C8">
              <w:t>и (</w:t>
            </w:r>
            <w:r w:rsidR="00B4691F">
              <w:rPr>
                <w:lang w:val="bg-BG"/>
              </w:rPr>
              <w:t>международни</w:t>
            </w:r>
            <w:r w:rsidR="00D442C8" w:rsidRPr="00D442C8">
              <w:t>)</w:t>
            </w:r>
            <w:r>
              <w:t xml:space="preserve"> ЦДЦК. </w:t>
            </w:r>
          </w:p>
          <w:p w14:paraId="7FE1C911" w14:textId="1DE58BC6" w:rsidR="00FE5D64" w:rsidRDefault="00E40776" w:rsidP="00D442C8">
            <w:pPr>
              <w:pStyle w:val="P68B1DB1-Heading482"/>
              <w:numPr>
                <w:ilvl w:val="3"/>
                <w:numId w:val="0"/>
              </w:numPr>
              <w:ind w:left="360"/>
              <w:rPr>
                <w:strike/>
                <w:color w:val="D13438"/>
              </w:rPr>
            </w:pPr>
            <w:r>
              <w:t xml:space="preserve">Общ брой клиенти, </w:t>
            </w:r>
            <w:r w:rsidR="00B4691F">
              <w:rPr>
                <w:lang w:val="bg-BG"/>
              </w:rPr>
              <w:t>обхванати в</w:t>
            </w:r>
            <w:r w:rsidR="00D442C8">
              <w:t xml:space="preserve"> </w:t>
            </w:r>
            <w:r>
              <w:t>различните видове клиентски сметки.</w:t>
            </w:r>
          </w:p>
        </w:tc>
      </w:tr>
      <w:tr w:rsidR="00FE5D64"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FE5D64" w:rsidRDefault="00E40776">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FE5D64" w:rsidRDefault="00E40776">
            <w:pPr>
              <w:pStyle w:val="P68B1DB1-TableParagraph73"/>
              <w:spacing w:before="108"/>
              <w:ind w:left="85"/>
              <w:jc w:val="both"/>
            </w:pPr>
            <w:r>
              <w:t>Брой на сделките със собствени сметки и клиентски сметки</w:t>
            </w:r>
          </w:p>
          <w:p w14:paraId="7FE1C915" w14:textId="77777777" w:rsidR="00FE5D64" w:rsidRDefault="00E40776">
            <w:pPr>
              <w:pStyle w:val="P68B1DB1-Heading482"/>
              <w:numPr>
                <w:ilvl w:val="3"/>
                <w:numId w:val="0"/>
              </w:numPr>
              <w:ind w:left="360"/>
              <w:rPr>
                <w:strike/>
                <w:color w:val="D13438"/>
                <w:u w:val="single"/>
              </w:rPr>
            </w:pPr>
            <w:r>
              <w:t xml:space="preserve">Общ брой на сделките, изпълнени през годината за съответните видове сметки. </w:t>
            </w:r>
          </w:p>
        </w:tc>
      </w:tr>
      <w:tr w:rsidR="00FE5D64"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FE5D64" w:rsidRDefault="00E40776">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160578D" w:rsidR="00FE5D64" w:rsidRDefault="00E40776">
            <w:pPr>
              <w:pStyle w:val="P68B1DB1-TableParagraph73"/>
              <w:spacing w:before="108"/>
              <w:ind w:left="85"/>
              <w:jc w:val="both"/>
            </w:pPr>
            <w:r>
              <w:t>Стойност на сделките по собствени</w:t>
            </w:r>
            <w:r w:rsidR="008B1259">
              <w:rPr>
                <w:lang w:val="bg-BG"/>
              </w:rPr>
              <w:t xml:space="preserve"> сметки</w:t>
            </w:r>
            <w:r>
              <w:t xml:space="preserve"> и клиентски сметки</w:t>
            </w:r>
          </w:p>
          <w:p w14:paraId="7FE1C919" w14:textId="1846F9F6" w:rsidR="00FE5D64" w:rsidRDefault="00E40776">
            <w:pPr>
              <w:pStyle w:val="P68B1DB1-TableParagraph40"/>
              <w:spacing w:before="108"/>
              <w:ind w:left="85"/>
              <w:jc w:val="both"/>
            </w:pPr>
            <w:r>
              <w:t xml:space="preserve">Стойност на трансакциите през отчетната година от съответните видове сметки. </w:t>
            </w:r>
            <w:r w:rsidR="008B1259">
              <w:rPr>
                <w:lang w:val="bg-BG"/>
              </w:rPr>
              <w:t>В к</w:t>
            </w:r>
            <w:r>
              <w:t xml:space="preserve">олона 0130 </w:t>
            </w:r>
            <w:r w:rsidR="008B1259">
              <w:rPr>
                <w:lang w:val="bg-BG"/>
              </w:rPr>
              <w:t xml:space="preserve">се </w:t>
            </w:r>
            <w:r>
              <w:t>включва</w:t>
            </w:r>
            <w:r w:rsidR="008B1259">
              <w:rPr>
                <w:lang w:val="bg-BG"/>
              </w:rPr>
              <w:t>т</w:t>
            </w:r>
            <w:r>
              <w:t xml:space="preserve"> </w:t>
            </w:r>
            <w:r w:rsidR="001B15DD">
              <w:t>стойност</w:t>
            </w:r>
            <w:r w:rsidR="008B1259">
              <w:rPr>
                <w:lang w:val="bg-BG"/>
              </w:rPr>
              <w:t>и</w:t>
            </w:r>
            <w:r w:rsidR="001B15DD">
              <w:t>т</w:t>
            </w:r>
            <w:r w:rsidR="008B1259">
              <w:rPr>
                <w:lang w:val="bg-BG"/>
              </w:rPr>
              <w:t>е</w:t>
            </w:r>
            <w:r w:rsidR="001B15DD">
              <w:t xml:space="preserve"> </w:t>
            </w:r>
            <w:r>
              <w:t>както</w:t>
            </w:r>
            <w:r w:rsidR="001B15DD" w:rsidRPr="00B4691F">
              <w:rPr>
                <w:lang w:val="bg-BG"/>
              </w:rPr>
              <w:t xml:space="preserve"> </w:t>
            </w:r>
            <w:r w:rsidR="001B15DD">
              <w:rPr>
                <w:lang w:val="bg-BG"/>
              </w:rPr>
              <w:t>по</w:t>
            </w:r>
            <w:r>
              <w:t xml:space="preserve"> </w:t>
            </w:r>
            <w:r w:rsidR="001B15DD">
              <w:rPr>
                <w:lang w:val="bg-BG"/>
              </w:rPr>
              <w:t>омнибус</w:t>
            </w:r>
            <w:r>
              <w:t xml:space="preserve">, така и </w:t>
            </w:r>
            <w:r w:rsidR="001B15DD">
              <w:rPr>
                <w:lang w:val="bg-BG"/>
              </w:rPr>
              <w:t>по сегрегирани</w:t>
            </w:r>
            <w:r>
              <w:t xml:space="preserve"> клиентски сметки. </w:t>
            </w:r>
          </w:p>
          <w:p w14:paraId="7FE1C91A" w14:textId="1541D39D" w:rsidR="00FE5D64" w:rsidRDefault="008B125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bg-BG"/>
              </w:rPr>
              <w:t>Отчита се</w:t>
            </w:r>
            <w:r>
              <w:rPr>
                <w:rFonts w:ascii="Times New Roman" w:eastAsia="Times New Roman" w:hAnsi="Times New Roman" w:cs="Times New Roman"/>
                <w:sz w:val="20"/>
                <w:szCs w:val="20"/>
              </w:rPr>
              <w:t xml:space="preserve"> </w:t>
            </w:r>
            <w:r w:rsidR="00E40776">
              <w:rPr>
                <w:rFonts w:ascii="Times New Roman" w:eastAsia="Times New Roman" w:hAnsi="Times New Roman" w:cs="Times New Roman"/>
                <w:sz w:val="20"/>
                <w:szCs w:val="20"/>
              </w:rPr>
              <w:t xml:space="preserve">за </w:t>
            </w:r>
            <w:r w:rsidR="001B15DD">
              <w:rPr>
                <w:rFonts w:ascii="Times New Roman" w:eastAsia="Times New Roman" w:hAnsi="Times New Roman" w:cs="Times New Roman"/>
                <w:sz w:val="20"/>
                <w:szCs w:val="20"/>
                <w:lang w:val="bg-BG"/>
              </w:rPr>
              <w:t>платежни</w:t>
            </w:r>
            <w:r>
              <w:rPr>
                <w:rFonts w:ascii="Times New Roman" w:eastAsia="Times New Roman" w:hAnsi="Times New Roman" w:cs="Times New Roman"/>
                <w:sz w:val="20"/>
                <w:szCs w:val="20"/>
                <w:lang w:val="bg-BG"/>
              </w:rPr>
              <w:t xml:space="preserve"> системи, ЦК</w:t>
            </w:r>
            <w:r w:rsidR="00E40776">
              <w:rPr>
                <w:rFonts w:ascii="Times New Roman" w:eastAsia="Times New Roman" w:hAnsi="Times New Roman" w:cs="Times New Roman"/>
                <w:sz w:val="20"/>
                <w:szCs w:val="20"/>
              </w:rPr>
              <w:t>, (</w:t>
            </w:r>
            <w:r>
              <w:rPr>
                <w:rFonts w:ascii="Times New Roman" w:eastAsia="Times New Roman" w:hAnsi="Times New Roman" w:cs="Times New Roman"/>
                <w:sz w:val="20"/>
                <w:szCs w:val="20"/>
                <w:lang w:val="bg-BG"/>
              </w:rPr>
              <w:t>международни</w:t>
            </w:r>
            <w:r w:rsidR="00E40776">
              <w:rPr>
                <w:rFonts w:ascii="Times New Roman" w:eastAsia="Times New Roman" w:hAnsi="Times New Roman" w:cs="Times New Roman"/>
                <w:sz w:val="20"/>
                <w:szCs w:val="20"/>
              </w:rPr>
              <w:t>) ЦДЦК</w:t>
            </w:r>
            <w:r w:rsidR="00E40776">
              <w:rPr>
                <w:rStyle w:val="FootnoteReference"/>
                <w:rFonts w:ascii="Times New Roman" w:eastAsia="Times New Roman" w:hAnsi="Times New Roman" w:cs="Times New Roman"/>
              </w:rPr>
              <w:footnoteReference w:id="35"/>
            </w:r>
            <w:r w:rsidR="00E40776">
              <w:rPr>
                <w:rFonts w:ascii="Times New Roman" w:eastAsia="Times New Roman" w:hAnsi="Times New Roman" w:cs="Times New Roman"/>
                <w:sz w:val="20"/>
                <w:szCs w:val="20"/>
              </w:rPr>
              <w:t>.</w:t>
            </w:r>
          </w:p>
          <w:p w14:paraId="7FE1C91B" w14:textId="11241031" w:rsidR="00FE5D64" w:rsidRDefault="00ED5940">
            <w:pPr>
              <w:pStyle w:val="P68B1DB1-TableParagraph40"/>
              <w:numPr>
                <w:ilvl w:val="0"/>
                <w:numId w:val="250"/>
              </w:numPr>
              <w:spacing w:before="108"/>
              <w:jc w:val="both"/>
            </w:pPr>
            <w:r>
              <w:rPr>
                <w:lang w:val="bg-BG"/>
              </w:rPr>
              <w:t>Платежни системи</w:t>
            </w:r>
            <w:r w:rsidR="00E40776">
              <w:t xml:space="preserve">: Стойност на </w:t>
            </w:r>
            <w:r>
              <w:rPr>
                <w:lang w:val="bg-BG"/>
              </w:rPr>
              <w:t>наредени плащания</w:t>
            </w:r>
            <w:r w:rsidR="00E40776">
              <w:t>.</w:t>
            </w:r>
          </w:p>
          <w:p w14:paraId="7FE1C91C" w14:textId="2F8DE89D" w:rsidR="00FE5D64" w:rsidRDefault="00E40776">
            <w:pPr>
              <w:pStyle w:val="P68B1DB1-TableParagraph40"/>
              <w:numPr>
                <w:ilvl w:val="0"/>
                <w:numId w:val="250"/>
              </w:numPr>
              <w:spacing w:before="108"/>
              <w:jc w:val="both"/>
            </w:pPr>
            <w:r>
              <w:t xml:space="preserve">ЦК: Обща стойност на сделките, изпълнени през годината. За </w:t>
            </w:r>
            <w:r w:rsidR="00ED5940">
              <w:rPr>
                <w:lang w:val="bg-BG"/>
              </w:rPr>
              <w:t>ц</w:t>
            </w:r>
            <w:r w:rsidR="00495BB6">
              <w:rPr>
                <w:lang w:val="bg-BG"/>
              </w:rPr>
              <w:t>ентралн</w:t>
            </w:r>
            <w:r w:rsidR="00ED5940">
              <w:rPr>
                <w:lang w:val="bg-BG"/>
              </w:rPr>
              <w:t>и</w:t>
            </w:r>
            <w:r w:rsidR="00495BB6">
              <w:rPr>
                <w:lang w:val="bg-BG"/>
              </w:rPr>
              <w:t xml:space="preserve"> контрагент</w:t>
            </w:r>
            <w:r w:rsidR="00ED5940">
              <w:rPr>
                <w:lang w:val="bg-BG"/>
              </w:rPr>
              <w:t>и</w:t>
            </w:r>
            <w:r w:rsidR="00495BB6">
              <w:rPr>
                <w:lang w:val="bg-BG"/>
              </w:rPr>
              <w:t xml:space="preserve"> за клиринг на деривати</w:t>
            </w:r>
            <w:r>
              <w:t>:</w:t>
            </w:r>
          </w:p>
          <w:p w14:paraId="7FE1C91D" w14:textId="4DB2E38E" w:rsidR="00FE5D64" w:rsidRDefault="00E40776">
            <w:pPr>
              <w:pStyle w:val="P68B1DB1-TableParagraph40"/>
              <w:numPr>
                <w:ilvl w:val="1"/>
                <w:numId w:val="250"/>
              </w:numPr>
              <w:spacing w:before="108"/>
              <w:jc w:val="both"/>
            </w:pPr>
            <w:r>
              <w:t>Опции = цена на упражняване;</w:t>
            </w:r>
          </w:p>
          <w:p w14:paraId="7FE1C91E" w14:textId="7221AD71" w:rsidR="00FE5D64" w:rsidRDefault="00E40776">
            <w:pPr>
              <w:pStyle w:val="P68B1DB1-TableParagraph40"/>
              <w:numPr>
                <w:ilvl w:val="1"/>
                <w:numId w:val="250"/>
              </w:numPr>
              <w:spacing w:before="108"/>
              <w:jc w:val="both"/>
            </w:pPr>
            <w:r>
              <w:t>Фючърси = стойността на базисния инструмент към момента на сделката или, ако съществува условен баз</w:t>
            </w:r>
            <w:r w:rsidR="009E12F5">
              <w:rPr>
                <w:lang w:val="bg-BG"/>
              </w:rPr>
              <w:t>исен</w:t>
            </w:r>
            <w:r>
              <w:t xml:space="preserve"> инструмент, пазарната цена на фючърсните договори към момента на сделката.</w:t>
            </w:r>
          </w:p>
          <w:p w14:paraId="7FE1C91F" w14:textId="77777777" w:rsidR="00FE5D64" w:rsidRDefault="00E40776">
            <w:pPr>
              <w:pStyle w:val="P68B1DB1-TableParagraph40"/>
              <w:numPr>
                <w:ilvl w:val="1"/>
                <w:numId w:val="250"/>
              </w:numPr>
              <w:spacing w:before="108"/>
              <w:jc w:val="both"/>
            </w:pPr>
            <w:r>
              <w:t>Суапове = общата пазарна стойност на неприключените сделки към края на годината.</w:t>
            </w:r>
          </w:p>
          <w:p w14:paraId="7FE1C920" w14:textId="71D6C027" w:rsidR="00FE5D64" w:rsidRDefault="0025302B" w:rsidP="009E12F5">
            <w:pPr>
              <w:pStyle w:val="P68B1DB1-TableParagraph40"/>
              <w:numPr>
                <w:ilvl w:val="0"/>
                <w:numId w:val="250"/>
              </w:numPr>
              <w:spacing w:before="108"/>
              <w:jc w:val="both"/>
              <w:rPr>
                <w:strike/>
                <w:color w:val="D13438"/>
                <w:u w:val="single"/>
              </w:rPr>
            </w:pPr>
            <w:r>
              <w:rPr>
                <w:lang w:val="bg-BG"/>
              </w:rPr>
              <w:t>(международни</w:t>
            </w:r>
            <w:r w:rsidR="00E40776">
              <w:t xml:space="preserve">) ЦДЦК: Обща стойност на инструкциите за </w:t>
            </w:r>
            <w:r>
              <w:rPr>
                <w:lang w:val="bg-BG"/>
              </w:rPr>
              <w:t>прехвърляне на ценни книжа</w:t>
            </w:r>
            <w:r w:rsidR="00E40776">
              <w:t xml:space="preserve">. </w:t>
            </w:r>
          </w:p>
        </w:tc>
      </w:tr>
      <w:tr w:rsidR="00FE5D64"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FE5D64" w:rsidRDefault="00E40776">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FE5D64" w:rsidRDefault="00E40776">
            <w:pPr>
              <w:pStyle w:val="P68B1DB1-TableParagraph73"/>
              <w:spacing w:before="108" w:after="120"/>
              <w:ind w:left="85"/>
              <w:jc w:val="both"/>
            </w:pPr>
            <w:r>
              <w:t>Кумулативна условна стойност</w:t>
            </w:r>
          </w:p>
          <w:p w14:paraId="7FE1C924" w14:textId="2A79CD9E" w:rsidR="00FE5D64" w:rsidRDefault="00E40776">
            <w:pPr>
              <w:pStyle w:val="P68B1DB1-TableParagraph40"/>
              <w:spacing w:before="108"/>
              <w:ind w:left="85"/>
              <w:jc w:val="both"/>
            </w:pPr>
            <w:r>
              <w:t xml:space="preserve">Сборът от условните стойности на сделките, изпълнени през годината, както </w:t>
            </w:r>
            <w:r w:rsidR="004F6F69">
              <w:rPr>
                <w:lang w:val="bg-BG"/>
              </w:rPr>
              <w:t>по собствени</w:t>
            </w:r>
            <w:r>
              <w:t xml:space="preserve"> сметки, така и </w:t>
            </w:r>
            <w:r w:rsidR="004F6F69">
              <w:rPr>
                <w:lang w:val="bg-BG"/>
              </w:rPr>
              <w:t>по</w:t>
            </w:r>
            <w:r>
              <w:t xml:space="preserve"> сметки на клиенти. Докладва се в млрд. евро. </w:t>
            </w:r>
          </w:p>
          <w:p w14:paraId="7FE1C925" w14:textId="1DD1FAB2" w:rsidR="00FE5D64" w:rsidRDefault="00E40776" w:rsidP="004F6F69">
            <w:pPr>
              <w:pStyle w:val="P68B1DB1-Heading482"/>
              <w:numPr>
                <w:ilvl w:val="3"/>
                <w:numId w:val="0"/>
              </w:numPr>
              <w:ind w:left="360"/>
              <w:rPr>
                <w:strike/>
                <w:color w:val="D13438"/>
                <w:u w:val="single"/>
              </w:rPr>
            </w:pPr>
            <w:r>
              <w:t xml:space="preserve">Само за </w:t>
            </w:r>
            <w:r w:rsidR="00633EAC">
              <w:rPr>
                <w:lang w:val="bg-BG"/>
              </w:rPr>
              <w:t>ц</w:t>
            </w:r>
            <w:r w:rsidR="00495BB6">
              <w:rPr>
                <w:lang w:val="bg-BG"/>
              </w:rPr>
              <w:t>ентрални контрагенти за клиринг на деривати</w:t>
            </w:r>
            <w:r>
              <w:t>.</w:t>
            </w:r>
          </w:p>
        </w:tc>
      </w:tr>
      <w:tr w:rsidR="00FE5D64"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FE5D64" w:rsidRDefault="00E40776">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FE5D64" w:rsidRDefault="00E40776">
            <w:pPr>
              <w:pStyle w:val="P68B1DB1-TableParagraph73"/>
              <w:spacing w:before="108"/>
              <w:ind w:left="85"/>
              <w:jc w:val="both"/>
            </w:pPr>
            <w:r>
              <w:t>Кредитна линия</w:t>
            </w:r>
          </w:p>
          <w:p w14:paraId="7FE1C929" w14:textId="1B8B3F68" w:rsidR="00FE5D64" w:rsidRDefault="00E40776" w:rsidP="003220B9">
            <w:pPr>
              <w:pStyle w:val="P68B1DB1-Heading482"/>
              <w:numPr>
                <w:ilvl w:val="3"/>
                <w:numId w:val="0"/>
              </w:numPr>
              <w:ind w:left="360"/>
              <w:rPr>
                <w:strike/>
                <w:color w:val="D13438"/>
                <w:u w:val="single"/>
              </w:rPr>
            </w:pPr>
            <w:r>
              <w:t>Кредитна линия, за която е поето задължение или не е поето задължение, предоставена от системата в случай на пряк достъп, или от посредника или друг доставчик на ликвидност в случай на непряк достъп. За неоповестените суми — максимално използван</w:t>
            </w:r>
            <w:r w:rsidR="00F74BC8">
              <w:rPr>
                <w:lang w:val="bg-BG"/>
              </w:rPr>
              <w:t>ата</w:t>
            </w:r>
            <w:r w:rsidR="00204F00">
              <w:rPr>
                <w:lang w:val="bg-BG"/>
              </w:rPr>
              <w:t xml:space="preserve"> сума</w:t>
            </w:r>
            <w:r>
              <w:t xml:space="preserve"> през годината. </w:t>
            </w:r>
          </w:p>
        </w:tc>
      </w:tr>
      <w:tr w:rsidR="00FE5D64"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FE5D64" w:rsidRDefault="00E40776">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480C29DC" w:rsidR="00FE5D64" w:rsidRDefault="00204F00">
            <w:pPr>
              <w:pStyle w:val="P68B1DB1-TableParagraph73"/>
              <w:spacing w:before="108"/>
              <w:ind w:left="85"/>
              <w:jc w:val="both"/>
            </w:pPr>
            <w:r>
              <w:rPr>
                <w:lang w:val="bg-BG"/>
              </w:rPr>
              <w:t>Най-висока</w:t>
            </w:r>
            <w:r w:rsidR="00E40776">
              <w:t xml:space="preserve"> стойност на изискванията за</w:t>
            </w:r>
            <w:r>
              <w:rPr>
                <w:lang w:val="bg-BG"/>
              </w:rPr>
              <w:t xml:space="preserve"> поддържане на</w:t>
            </w:r>
            <w:r w:rsidR="00E40776">
              <w:t xml:space="preserve"> ликвидност или обезпечение</w:t>
            </w:r>
          </w:p>
          <w:p w14:paraId="7FE1C92D" w14:textId="5D3812C5" w:rsidR="00FE5D64" w:rsidRDefault="00E40776">
            <w:pPr>
              <w:pStyle w:val="P68B1DB1-TableParagraph40"/>
              <w:spacing w:before="108"/>
              <w:ind w:left="85"/>
              <w:jc w:val="both"/>
            </w:pPr>
            <w:r>
              <w:t xml:space="preserve">Докладва се само за </w:t>
            </w:r>
            <w:r w:rsidR="00C66850">
              <w:rPr>
                <w:lang w:val="bg-BG"/>
              </w:rPr>
              <w:t>платежни системи</w:t>
            </w:r>
            <w:r w:rsidR="00F74BC8">
              <w:t>, (</w:t>
            </w:r>
            <w:r w:rsidR="00C66850">
              <w:rPr>
                <w:lang w:val="bg-BG"/>
              </w:rPr>
              <w:t>международни</w:t>
            </w:r>
            <w:r w:rsidR="00F74BC8">
              <w:t>)</w:t>
            </w:r>
            <w:r>
              <w:t xml:space="preserve"> ЦДЦК, ЦК, </w:t>
            </w:r>
            <w:r w:rsidR="00C66850">
              <w:rPr>
                <w:lang w:val="bg-BG"/>
              </w:rPr>
              <w:t>което е приложимо</w:t>
            </w:r>
            <w:r>
              <w:t xml:space="preserve">. </w:t>
            </w:r>
            <w:r w:rsidR="00C66850">
              <w:rPr>
                <w:lang w:val="bg-BG"/>
              </w:rPr>
              <w:t>Най-високата</w:t>
            </w:r>
            <w:r w:rsidR="00F74BC8">
              <w:t xml:space="preserve"> </w:t>
            </w:r>
            <w:r>
              <w:t>стойност през предходната година.</w:t>
            </w:r>
          </w:p>
          <w:p w14:paraId="7FE1C92E" w14:textId="0668F7B7" w:rsidR="00FE5D64" w:rsidRDefault="00E40776">
            <w:pPr>
              <w:pStyle w:val="P68B1DB1-TableParagraph40"/>
              <w:numPr>
                <w:ilvl w:val="0"/>
                <w:numId w:val="251"/>
              </w:numPr>
              <w:spacing w:before="108"/>
              <w:jc w:val="both"/>
            </w:pPr>
            <w:r>
              <w:t xml:space="preserve">За </w:t>
            </w:r>
            <w:r w:rsidR="00CA64E4">
              <w:t>(</w:t>
            </w:r>
            <w:r w:rsidR="00C66850">
              <w:rPr>
                <w:lang w:val="bg-BG"/>
              </w:rPr>
              <w:t>международни</w:t>
            </w:r>
            <w:r w:rsidR="00CA64E4">
              <w:t>)</w:t>
            </w:r>
            <w:r>
              <w:t xml:space="preserve"> ЦДЦК</w:t>
            </w:r>
            <w:r w:rsidR="00CA64E4" w:rsidDel="00CA64E4">
              <w:t xml:space="preserve"> </w:t>
            </w:r>
            <w:r>
              <w:t xml:space="preserve">и </w:t>
            </w:r>
            <w:r w:rsidR="00C66850">
              <w:rPr>
                <w:lang w:val="bg-BG"/>
              </w:rPr>
              <w:t>платежни системи</w:t>
            </w:r>
            <w:r>
              <w:t xml:space="preserve">: </w:t>
            </w:r>
            <w:r w:rsidR="00C66850">
              <w:rPr>
                <w:lang w:val="bg-BG"/>
              </w:rPr>
              <w:t>най-високия размер</w:t>
            </w:r>
            <w:r>
              <w:t>на използван</w:t>
            </w:r>
            <w:r w:rsidR="00C66850">
              <w:rPr>
                <w:lang w:val="bg-BG"/>
              </w:rPr>
              <w:t>а</w:t>
            </w:r>
            <w:r>
              <w:t xml:space="preserve"> кредитн</w:t>
            </w:r>
            <w:r w:rsidR="00C66850">
              <w:rPr>
                <w:lang w:val="bg-BG"/>
              </w:rPr>
              <w:t>а</w:t>
            </w:r>
            <w:r>
              <w:t xml:space="preserve"> лини</w:t>
            </w:r>
            <w:r w:rsidR="00C66850">
              <w:rPr>
                <w:lang w:val="bg-BG"/>
              </w:rPr>
              <w:t>я</w:t>
            </w:r>
            <w:r>
              <w:t xml:space="preserve">.  </w:t>
            </w:r>
          </w:p>
          <w:p w14:paraId="7FE1C92F" w14:textId="5DE90350" w:rsidR="00FE5D64" w:rsidRDefault="00E40776">
            <w:pPr>
              <w:pStyle w:val="P68B1DB1-TableParagraph40"/>
              <w:numPr>
                <w:ilvl w:val="0"/>
                <w:numId w:val="251"/>
              </w:numPr>
              <w:spacing w:before="108"/>
              <w:jc w:val="both"/>
            </w:pPr>
            <w:r>
              <w:t xml:space="preserve">За ЦК: </w:t>
            </w:r>
            <w:r w:rsidR="00C66850">
              <w:rPr>
                <w:lang w:val="bg-BG"/>
              </w:rPr>
              <w:t xml:space="preserve">най-високия размер на изискването </w:t>
            </w:r>
            <w:r w:rsidR="00CA64E4" w:rsidRPr="00CD349D">
              <w:rPr>
                <w:lang w:val="bg-BG"/>
              </w:rPr>
              <w:t xml:space="preserve">за </w:t>
            </w:r>
            <w:r>
              <w:t>допълнително обезпечение.</w:t>
            </w:r>
          </w:p>
          <w:p w14:paraId="7FE1C930" w14:textId="227CD018" w:rsidR="00FE5D64" w:rsidRDefault="00E40776" w:rsidP="00CA64E4">
            <w:pPr>
              <w:pStyle w:val="P68B1DB1-TableParagraph40"/>
              <w:numPr>
                <w:ilvl w:val="0"/>
                <w:numId w:val="251"/>
              </w:numPr>
              <w:spacing w:before="108"/>
              <w:jc w:val="both"/>
              <w:rPr>
                <w:strike/>
                <w:color w:val="D13438"/>
                <w:u w:val="single"/>
              </w:rPr>
            </w:pPr>
            <w:r>
              <w:t xml:space="preserve">За непряк достъп: </w:t>
            </w:r>
            <w:r w:rsidR="00C66850">
              <w:rPr>
                <w:lang w:val="bg-BG"/>
              </w:rPr>
              <w:t>най-високия размер</w:t>
            </w:r>
            <w:r w:rsidR="00CA64E4">
              <w:rPr>
                <w:lang w:val="bg-BG"/>
              </w:rPr>
              <w:t xml:space="preserve"> на</w:t>
            </w:r>
            <w:r w:rsidR="00CA64E4">
              <w:t xml:space="preserve"> </w:t>
            </w:r>
            <w:r>
              <w:t>финансиране, изискван от посредника.</w:t>
            </w:r>
          </w:p>
        </w:tc>
      </w:tr>
      <w:tr w:rsidR="00FE5D64"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FE5D64" w:rsidRDefault="00E40776">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FE5D64" w:rsidRDefault="00E40776">
            <w:pPr>
              <w:pStyle w:val="P68B1DB1-TableParagraph73"/>
              <w:spacing w:before="108"/>
              <w:ind w:left="85"/>
              <w:jc w:val="both"/>
            </w:pPr>
            <w:r>
              <w:t>Очаквани допълнителни изисквания за ликвидност или обезпечение при стресова ситуация</w:t>
            </w:r>
          </w:p>
          <w:p w14:paraId="7FE1C934" w14:textId="6350CCD0" w:rsidR="00FE5D64" w:rsidRDefault="00C66850" w:rsidP="003220B9">
            <w:pPr>
              <w:pStyle w:val="P68B1DB1-Heading482"/>
              <w:numPr>
                <w:ilvl w:val="3"/>
                <w:numId w:val="0"/>
              </w:numPr>
              <w:ind w:left="360"/>
              <w:rPr>
                <w:strike/>
                <w:color w:val="D13438"/>
                <w:u w:val="single"/>
              </w:rPr>
            </w:pPr>
            <w:r>
              <w:rPr>
                <w:lang w:val="bg-BG"/>
              </w:rPr>
              <w:t>Прогнозна стойност</w:t>
            </w:r>
            <w:r w:rsidR="00E40776">
              <w:t xml:space="preserve"> на потенциалн</w:t>
            </w:r>
            <w:r w:rsidR="00CA64E4">
              <w:rPr>
                <w:lang w:val="bg-BG"/>
              </w:rPr>
              <w:t xml:space="preserve">ите </w:t>
            </w:r>
            <w:r w:rsidR="00E40776">
              <w:t>допълнителн</w:t>
            </w:r>
            <w:r w:rsidR="00CA64E4">
              <w:rPr>
                <w:lang w:val="bg-BG"/>
              </w:rPr>
              <w:t>и изисквания за</w:t>
            </w:r>
            <w:r w:rsidR="00E40776">
              <w:t xml:space="preserve"> ликвидност или обезпечение над </w:t>
            </w:r>
            <w:r>
              <w:rPr>
                <w:lang w:val="bg-BG"/>
              </w:rPr>
              <w:t>най-високите</w:t>
            </w:r>
            <w:r w:rsidR="00E40776">
              <w:t xml:space="preserve"> стойности в колона 0160, </w:t>
            </w:r>
            <w:r w:rsidR="00CA64E4">
              <w:rPr>
                <w:lang w:val="bg-BG"/>
              </w:rPr>
              <w:t>които</w:t>
            </w:r>
            <w:r w:rsidR="00E40776">
              <w:t xml:space="preserve"> </w:t>
            </w:r>
            <w:r w:rsidR="002C219E">
              <w:rPr>
                <w:lang w:val="bg-BG"/>
              </w:rPr>
              <w:t xml:space="preserve">биха възникнали за </w:t>
            </w:r>
            <w:r w:rsidR="008454FF">
              <w:rPr>
                <w:lang w:val="bg-BG"/>
              </w:rPr>
              <w:t>ползвателят</w:t>
            </w:r>
            <w:r w:rsidR="008454FF">
              <w:t xml:space="preserve"> </w:t>
            </w:r>
            <w:r w:rsidR="00E40776">
              <w:t>в ситуация на сериоз</w:t>
            </w:r>
            <w:r w:rsidR="00CA64E4">
              <w:rPr>
                <w:lang w:val="bg-BG"/>
              </w:rPr>
              <w:t>е</w:t>
            </w:r>
            <w:r w:rsidR="00E40776">
              <w:t xml:space="preserve">н </w:t>
            </w:r>
            <w:r w:rsidR="00CA64E4">
              <w:rPr>
                <w:lang w:val="bg-BG"/>
              </w:rPr>
              <w:t>стрес</w:t>
            </w:r>
            <w:r w:rsidR="00E40776">
              <w:t xml:space="preserve">. </w:t>
            </w:r>
          </w:p>
        </w:tc>
      </w:tr>
    </w:tbl>
    <w:p w14:paraId="7FE1C936" w14:textId="77777777" w:rsidR="00FE5D64" w:rsidRDefault="00FE5D64">
      <w:pPr>
        <w:pStyle w:val="Instructionsberschrift2"/>
        <w:ind w:left="357"/>
        <w:rPr>
          <w:rFonts w:ascii="Times New Roman" w:eastAsia="Calibri" w:hAnsi="Times New Roman" w:cs="Times New Roman"/>
          <w:szCs w:val="20"/>
        </w:rPr>
      </w:pPr>
    </w:p>
    <w:p w14:paraId="7FE1C937" w14:textId="77777777" w:rsidR="00FE5D64" w:rsidRDefault="00E40776">
      <w:pPr>
        <w:pStyle w:val="P68B1DB1-Instructionsberschrift271"/>
        <w:numPr>
          <w:ilvl w:val="1"/>
          <w:numId w:val="49"/>
        </w:numPr>
        <w:ind w:left="357" w:hanging="357"/>
      </w:pPr>
      <w:bookmarkStart w:id="155" w:name="_Toc208244482"/>
      <w:r>
        <w:t>Z 09.04 — Услуги, свързани с ИФП — ЦК — алтернативни доставчици (ИФП 4)</w:t>
      </w:r>
      <w:bookmarkEnd w:id="155"/>
    </w:p>
    <w:tbl>
      <w:tblPr>
        <w:tblW w:w="0" w:type="auto"/>
        <w:tblInd w:w="135" w:type="dxa"/>
        <w:tblLook w:val="04A0" w:firstRow="1" w:lastRow="0" w:firstColumn="1" w:lastColumn="0" w:noHBand="0" w:noVBand="1"/>
      </w:tblPr>
      <w:tblGrid>
        <w:gridCol w:w="1178"/>
        <w:gridCol w:w="7713"/>
      </w:tblGrid>
      <w:tr w:rsidR="00FE5D6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FE5D64" w:rsidRDefault="00E40776">
            <w:pPr>
              <w:pStyle w:val="P68B1DB1-TableParagraph17"/>
              <w:spacing w:before="108"/>
              <w:ind w:left="85"/>
            </w:pPr>
            <w:bookmarkStart w:id="156" w:name="_Toc162265152"/>
            <w:bookmarkStart w:id="157" w:name="_Toc162265682"/>
            <w:bookmarkStart w:id="158" w:name="_Toc162265752"/>
            <w:bookmarkStart w:id="159" w:name="_Toc162266097"/>
            <w:bookmarkStart w:id="160" w:name="_Toc163639558"/>
            <w:bookmarkStart w:id="161" w:name="_Toc162265153"/>
            <w:bookmarkStart w:id="162" w:name="_Toc162265683"/>
            <w:bookmarkStart w:id="163" w:name="_Toc162265753"/>
            <w:bookmarkStart w:id="164" w:name="_Toc162266098"/>
            <w:bookmarkStart w:id="165" w:name="_Toc163639559"/>
            <w:bookmarkStart w:id="166" w:name="_Toc160027996"/>
            <w:bookmarkStart w:id="167" w:name="_Toc160028068"/>
            <w:bookmarkStart w:id="168" w:name="_Toc160028140"/>
            <w:bookmarkStart w:id="169" w:name="_Toc161034556"/>
            <w:bookmarkStart w:id="170" w:name="_Toc162265154"/>
            <w:bookmarkStart w:id="171" w:name="_Toc162265684"/>
            <w:bookmarkStart w:id="172" w:name="_Toc162265754"/>
            <w:bookmarkStart w:id="173" w:name="_Toc162266099"/>
            <w:bookmarkStart w:id="174" w:name="_Toc163639560"/>
            <w:bookmarkStart w:id="175" w:name="_Toc189493010"/>
            <w:bookmarkStart w:id="176" w:name="_Toc192249287"/>
            <w:bookmarkStart w:id="177" w:name="_Toc189493015"/>
            <w:bookmarkStart w:id="178" w:name="_Toc192249292"/>
            <w:bookmarkStart w:id="179" w:name="_Toc189493098"/>
            <w:bookmarkStart w:id="180" w:name="_Toc192249375"/>
            <w:bookmarkStart w:id="181" w:name="_Toc189493105"/>
            <w:bookmarkStart w:id="182" w:name="_Toc192249382"/>
            <w:bookmarkStart w:id="183" w:name="_Toc160027999"/>
            <w:bookmarkStart w:id="184" w:name="_Toc160028071"/>
            <w:bookmarkStart w:id="185" w:name="_Toc160028143"/>
            <w:bookmarkStart w:id="186" w:name="_Toc161034559"/>
            <w:bookmarkStart w:id="187" w:name="_Toc162265157"/>
            <w:bookmarkStart w:id="188" w:name="_Toc162265687"/>
            <w:bookmarkStart w:id="189" w:name="_Toc162265757"/>
            <w:bookmarkStart w:id="190" w:name="_Toc162266102"/>
            <w:bookmarkStart w:id="191" w:name="_Toc163639563"/>
            <w:bookmarkStart w:id="192" w:name="_Toc160028000"/>
            <w:bookmarkStart w:id="193" w:name="_Toc160028072"/>
            <w:bookmarkStart w:id="194" w:name="_Toc160028144"/>
            <w:bookmarkStart w:id="195" w:name="_Toc161034560"/>
            <w:bookmarkStart w:id="196" w:name="_Toc162265158"/>
            <w:bookmarkStart w:id="197" w:name="_Toc162265688"/>
            <w:bookmarkStart w:id="198" w:name="_Toc162265758"/>
            <w:bookmarkStart w:id="199" w:name="_Toc162266103"/>
            <w:bookmarkStart w:id="200" w:name="_Toc163639564"/>
            <w:bookmarkStart w:id="201" w:name="_Toc160028001"/>
            <w:bookmarkStart w:id="202" w:name="_Toc160028073"/>
            <w:bookmarkStart w:id="203" w:name="_Toc160028145"/>
            <w:bookmarkStart w:id="204" w:name="_Toc161034561"/>
            <w:bookmarkStart w:id="205" w:name="_Toc162265159"/>
            <w:bookmarkStart w:id="206" w:name="_Toc162265689"/>
            <w:bookmarkStart w:id="207" w:name="_Toc162265759"/>
            <w:bookmarkStart w:id="208" w:name="_Toc162266104"/>
            <w:bookmarkStart w:id="209" w:name="_Toc163639565"/>
            <w:bookmarkStart w:id="210" w:name="_Toc81454197"/>
            <w:bookmarkStart w:id="211" w:name="_Toc81485512"/>
            <w:bookmarkStart w:id="212" w:name="_Toc81485589"/>
            <w:bookmarkStart w:id="213" w:name="_Toc81485710"/>
            <w:bookmarkStart w:id="214" w:name="_Toc81485994"/>
            <w:bookmarkStart w:id="215" w:name="_Toc160028002"/>
            <w:bookmarkStart w:id="216" w:name="_Toc160028074"/>
            <w:bookmarkStart w:id="217" w:name="_Toc160028146"/>
            <w:bookmarkStart w:id="218" w:name="_Toc161034562"/>
            <w:bookmarkStart w:id="219" w:name="_Toc162265160"/>
            <w:bookmarkStart w:id="220" w:name="_Toc162265690"/>
            <w:bookmarkStart w:id="221" w:name="_Toc162265760"/>
            <w:bookmarkStart w:id="222" w:name="_Toc162266105"/>
            <w:bookmarkStart w:id="223" w:name="_Toc163639566"/>
            <w:bookmarkStart w:id="224" w:name="_Toc81454198"/>
            <w:bookmarkStart w:id="225" w:name="_Toc81485513"/>
            <w:bookmarkStart w:id="226" w:name="_Toc81485590"/>
            <w:bookmarkStart w:id="227" w:name="_Toc81485711"/>
            <w:bookmarkStart w:id="228" w:name="_Toc81485995"/>
            <w:bookmarkStart w:id="229" w:name="_Toc160028003"/>
            <w:bookmarkStart w:id="230" w:name="_Toc160028075"/>
            <w:bookmarkStart w:id="231" w:name="_Toc160028147"/>
            <w:bookmarkStart w:id="232" w:name="_Toc161034563"/>
            <w:bookmarkStart w:id="233" w:name="_Toc162265161"/>
            <w:bookmarkStart w:id="234" w:name="_Toc162265691"/>
            <w:bookmarkStart w:id="235" w:name="_Toc162265761"/>
            <w:bookmarkStart w:id="236" w:name="_Toc162266106"/>
            <w:bookmarkStart w:id="237" w:name="_Toc16363956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t xml:space="preserve">Колони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FE5D64" w:rsidRDefault="00E40776">
            <w:pPr>
              <w:pStyle w:val="P68B1DB1-TableParagraph17"/>
              <w:spacing w:before="108"/>
              <w:ind w:left="85"/>
            </w:pPr>
            <w:r>
              <w:t xml:space="preserve">Указания </w:t>
            </w:r>
          </w:p>
        </w:tc>
      </w:tr>
      <w:tr w:rsidR="00FE5D6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FE5D64" w:rsidRDefault="00E40776">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2DCE3A94" w:rsidR="00FE5D64" w:rsidRDefault="00E40776">
            <w:pPr>
              <w:pStyle w:val="P68B1DB1-TableParagraph73"/>
              <w:spacing w:before="108"/>
              <w:ind w:left="85"/>
              <w:jc w:val="both"/>
            </w:pPr>
            <w:r>
              <w:t xml:space="preserve">Идентификатор, представляващ комбинация от </w:t>
            </w:r>
            <w:r w:rsidR="008454FF">
              <w:rPr>
                <w:lang w:val="bg-BG"/>
              </w:rPr>
              <w:t>ползвател</w:t>
            </w:r>
            <w:r>
              <w:t>, FMI, тип система и посредник</w:t>
            </w:r>
          </w:p>
          <w:p w14:paraId="7FE1CBEF" w14:textId="4EB8CEC7" w:rsidR="00FE5D64" w:rsidRDefault="00E40776">
            <w:pPr>
              <w:pStyle w:val="P68B1DB1-TableParagraph40"/>
              <w:spacing w:before="108"/>
              <w:ind w:left="85"/>
              <w:jc w:val="both"/>
            </w:pPr>
            <w:r>
              <w:t>Идентификатор на</w:t>
            </w:r>
            <w:r w:rsidR="008454FF" w:rsidRPr="001F4D48">
              <w:t xml:space="preserve"> </w:t>
            </w:r>
            <w:r>
              <w:t xml:space="preserve">ЦК, както е посочено в Z 09.01, колона 0010. </w:t>
            </w:r>
          </w:p>
          <w:p w14:paraId="7FE1CBF2" w14:textId="3088B0C5" w:rsidR="00FE5D64" w:rsidRDefault="001F4D48" w:rsidP="00047F7B">
            <w:pPr>
              <w:pStyle w:val="P68B1DB1-TableParagraph40"/>
              <w:spacing w:before="108"/>
              <w:ind w:left="85"/>
              <w:jc w:val="both"/>
              <w:rPr>
                <w:b/>
                <w:bCs/>
                <w:i/>
                <w:iCs/>
              </w:rPr>
            </w:pPr>
            <w:r>
              <w:rPr>
                <w:lang w:val="bg-BG"/>
              </w:rPr>
              <w:t>Посочва се</w:t>
            </w:r>
            <w:r w:rsidR="00047F7B">
              <w:t xml:space="preserve"> </w:t>
            </w:r>
            <w:r w:rsidR="00E40776">
              <w:t xml:space="preserve">само за ЦК, до които е осъществен пряк или непряк достъп. </w:t>
            </w:r>
            <w:r>
              <w:rPr>
                <w:lang w:val="bg-BG"/>
              </w:rPr>
              <w:t>Посочват се</w:t>
            </w:r>
            <w:r w:rsidR="00047F7B">
              <w:t xml:space="preserve"> </w:t>
            </w:r>
            <w:r>
              <w:rPr>
                <w:lang w:val="bg-BG"/>
              </w:rPr>
              <w:t>всички достъпи до</w:t>
            </w:r>
            <w:r w:rsidR="00E40776">
              <w:t xml:space="preserve"> ЦК.</w:t>
            </w:r>
          </w:p>
        </w:tc>
      </w:tr>
      <w:tr w:rsidR="00FE5D6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FE5D64" w:rsidRDefault="00E40776">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FE5D64" w:rsidRDefault="00E40776">
            <w:pPr>
              <w:pStyle w:val="P68B1DB1-TableParagraph73"/>
              <w:spacing w:before="108"/>
              <w:ind w:left="85"/>
              <w:jc w:val="both"/>
              <w:rPr>
                <w:bCs/>
              </w:rPr>
            </w:pPr>
            <w:r>
              <w:t>Вид продукт</w:t>
            </w:r>
          </w:p>
          <w:p w14:paraId="7FE1CBF8" w14:textId="01D6D80F" w:rsidR="00FE5D64" w:rsidRDefault="00E40776" w:rsidP="00047F7B">
            <w:pPr>
              <w:pStyle w:val="P68B1DB1-TableParagraph40"/>
              <w:spacing w:before="108"/>
              <w:ind w:left="85"/>
              <w:jc w:val="both"/>
              <w:rPr>
                <w:b/>
                <w:bCs/>
                <w:i/>
                <w:iCs/>
              </w:rPr>
            </w:pPr>
            <w:r>
              <w:t xml:space="preserve">Вид продукт, обхванат от споразумението за клиринг. </w:t>
            </w:r>
            <w:r w:rsidR="001F4D48">
              <w:rPr>
                <w:lang w:val="bg-BG"/>
              </w:rPr>
              <w:t>Посочете в</w:t>
            </w:r>
            <w:r>
              <w:t xml:space="preserve"> подходящ</w:t>
            </w:r>
            <w:r w:rsidR="001F4D48">
              <w:rPr>
                <w:lang w:val="bg-BG"/>
              </w:rPr>
              <w:t>а</w:t>
            </w:r>
            <w:r>
              <w:t xml:space="preserve"> </w:t>
            </w:r>
            <w:r w:rsidR="001F4D48">
              <w:rPr>
                <w:lang w:val="bg-BG"/>
              </w:rPr>
              <w:t>степен</w:t>
            </w:r>
            <w:r w:rsidR="001F4D48">
              <w:t xml:space="preserve"> </w:t>
            </w:r>
            <w:r>
              <w:t>на детайлност, необходим</w:t>
            </w:r>
            <w:r w:rsidR="001F4D48">
              <w:rPr>
                <w:lang w:val="bg-BG"/>
              </w:rPr>
              <w:t>а</w:t>
            </w:r>
            <w:r>
              <w:t xml:space="preserve"> за анализа на заменяемостта. </w:t>
            </w:r>
          </w:p>
        </w:tc>
      </w:tr>
      <w:tr w:rsidR="00FE5D6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FE5D64" w:rsidRDefault="00E40776">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FE5D64" w:rsidRDefault="00E40776">
            <w:pPr>
              <w:pStyle w:val="P68B1DB1-TableParagraph73"/>
              <w:spacing w:before="108"/>
              <w:ind w:left="85"/>
              <w:jc w:val="both"/>
            </w:pPr>
            <w:r>
              <w:t>Заменяемост Да/Не</w:t>
            </w:r>
          </w:p>
          <w:p w14:paraId="7FE1CBFC" w14:textId="2F125DD3" w:rsidR="00FE5D64" w:rsidRDefault="00E40776">
            <w:pPr>
              <w:pStyle w:val="P68B1DB1-TableParagraph40"/>
              <w:spacing w:before="108"/>
              <w:ind w:left="85"/>
              <w:jc w:val="both"/>
            </w:pPr>
            <w:r>
              <w:t xml:space="preserve">Способност на </w:t>
            </w:r>
            <w:r w:rsidR="001F4D48">
              <w:rPr>
                <w:lang w:val="bg-BG"/>
              </w:rPr>
              <w:t>ползвателя</w:t>
            </w:r>
            <w:r w:rsidR="001F4D48">
              <w:t xml:space="preserve"> </w:t>
            </w:r>
            <w:r>
              <w:t>да замени доставчика на клирингови услуги в Z 09.01, колона 0020 с алтернатив</w:t>
            </w:r>
            <w:r w:rsidR="00047F7B">
              <w:rPr>
                <w:lang w:val="bg-BG"/>
              </w:rPr>
              <w:t>ен</w:t>
            </w:r>
            <w:r>
              <w:t xml:space="preserve"> ИФП/посредник, с който има договорни отношения към отчетната дата.</w:t>
            </w:r>
          </w:p>
          <w:p w14:paraId="7FE1CBFE" w14:textId="6EA63CFE" w:rsidR="00FE5D64" w:rsidRDefault="00E40776">
            <w:pPr>
              <w:pStyle w:val="P68B1DB1-TableParagraph40"/>
              <w:numPr>
                <w:ilvl w:val="0"/>
                <w:numId w:val="256"/>
              </w:numPr>
              <w:spacing w:before="108"/>
              <w:jc w:val="both"/>
            </w:pPr>
            <w:r>
              <w:t>„Да“, ако</w:t>
            </w:r>
            <w:r w:rsidR="00047F7B" w:rsidRPr="00911808">
              <w:rPr>
                <w:lang w:val="bg-BG"/>
              </w:rPr>
              <w:t xml:space="preserve"> </w:t>
            </w:r>
            <w:r w:rsidR="00047F7B">
              <w:rPr>
                <w:lang w:val="bg-BG"/>
              </w:rPr>
              <w:t>замяната</w:t>
            </w:r>
            <w:r>
              <w:t xml:space="preserve"> е възможн</w:t>
            </w:r>
            <w:r w:rsidR="00047F7B">
              <w:rPr>
                <w:lang w:val="bg-BG"/>
              </w:rPr>
              <w:t>а</w:t>
            </w:r>
            <w:r>
              <w:t xml:space="preserve"> </w:t>
            </w:r>
          </w:p>
          <w:p w14:paraId="7FE1CBFF" w14:textId="719E31EA" w:rsidR="00FE5D64" w:rsidRDefault="00E40776">
            <w:pPr>
              <w:pStyle w:val="P68B1DB1-TableParagraph40"/>
              <w:numPr>
                <w:ilvl w:val="0"/>
                <w:numId w:val="256"/>
              </w:numPr>
              <w:spacing w:before="108"/>
              <w:jc w:val="both"/>
            </w:pPr>
            <w:r>
              <w:t>„Не“, ако замяната не е възможна</w:t>
            </w:r>
          </w:p>
          <w:p w14:paraId="7FE1CC02" w14:textId="77777777" w:rsidR="00FE5D64" w:rsidRDefault="00FE5D64">
            <w:pPr>
              <w:pStyle w:val="TableParagraph"/>
              <w:spacing w:before="108"/>
              <w:jc w:val="both"/>
              <w:rPr>
                <w:rFonts w:ascii="Times New Roman" w:eastAsia="Times New Roman" w:hAnsi="Times New Roman" w:cs="Times New Roman"/>
                <w:b/>
                <w:sz w:val="20"/>
                <w:szCs w:val="20"/>
              </w:rPr>
            </w:pPr>
          </w:p>
        </w:tc>
      </w:tr>
      <w:tr w:rsidR="00FE5D6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FE5D64" w:rsidRDefault="00E40776">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FE5D64" w:rsidRDefault="00E40776">
            <w:pPr>
              <w:pStyle w:val="P68B1DB1-TableParagraph73"/>
              <w:spacing w:before="108" w:after="120"/>
              <w:jc w:val="both"/>
              <w:rPr>
                <w:bCs/>
              </w:rPr>
            </w:pPr>
            <w:r>
              <w:t>Алтернативен доставчик</w:t>
            </w:r>
          </w:p>
          <w:p w14:paraId="7FE1CC06" w14:textId="77777777" w:rsidR="00FE5D64" w:rsidRDefault="00E40776">
            <w:pPr>
              <w:pStyle w:val="P68B1DB1-Normal31"/>
              <w:spacing w:line="276" w:lineRule="auto"/>
              <w:jc w:val="both"/>
            </w:pPr>
            <w:r>
              <w:t xml:space="preserve">Наименование на ИФП/посредник, идентифициран като потенциален заместител. </w:t>
            </w:r>
          </w:p>
          <w:p w14:paraId="7FE1CC07" w14:textId="7A7ED834" w:rsidR="00FE5D64" w:rsidRDefault="00911808">
            <w:pPr>
              <w:pStyle w:val="P68B1DB1-TableParagraph40"/>
              <w:spacing w:before="108"/>
              <w:ind w:left="85"/>
              <w:jc w:val="both"/>
              <w:rPr>
                <w:b/>
                <w:bCs/>
              </w:rPr>
            </w:pPr>
            <w:r>
              <w:rPr>
                <w:lang w:val="bg-BG"/>
              </w:rPr>
              <w:t>Посочва</w:t>
            </w:r>
            <w:r w:rsidR="00D93669">
              <w:t xml:space="preserve"> </w:t>
            </w:r>
            <w:r w:rsidR="00E40776">
              <w:t xml:space="preserve">се само ако </w:t>
            </w:r>
            <w:r w:rsidR="00D93669">
              <w:rPr>
                <w:lang w:val="bg-BG"/>
              </w:rPr>
              <w:t xml:space="preserve">в </w:t>
            </w:r>
            <w:r w:rsidR="00E40776">
              <w:t xml:space="preserve">Z 09.04, колона 0030 е </w:t>
            </w:r>
            <w:r w:rsidR="00D93669">
              <w:rPr>
                <w:lang w:val="bg-BG"/>
              </w:rPr>
              <w:t xml:space="preserve">посочено </w:t>
            </w:r>
            <w:r w:rsidR="00E40776">
              <w:t>„Да“.</w:t>
            </w:r>
          </w:p>
        </w:tc>
      </w:tr>
      <w:tr w:rsidR="00FE5D6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FE5D64" w:rsidRDefault="00E40776">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FE5D64" w:rsidRDefault="00E40776">
            <w:pPr>
              <w:pStyle w:val="P68B1DB1-TableParagraph73"/>
              <w:spacing w:before="108"/>
              <w:jc w:val="both"/>
              <w:rPr>
                <w:bCs/>
              </w:rPr>
            </w:pPr>
            <w:r>
              <w:t>Идентификатор на алтернативен доставчик</w:t>
            </w:r>
          </w:p>
          <w:p w14:paraId="7FE1CC0B" w14:textId="6F392D83" w:rsidR="00FE5D64" w:rsidRDefault="00E40776">
            <w:pPr>
              <w:pStyle w:val="P68B1DB1-Normal31"/>
              <w:spacing w:after="120" w:line="276" w:lineRule="auto"/>
              <w:jc w:val="both"/>
              <w:rPr>
                <w:b/>
                <w:bCs/>
              </w:rPr>
            </w:pPr>
            <w:r>
              <w:t xml:space="preserve">Уникален идентификатор, представляващ комбинация от </w:t>
            </w:r>
            <w:r w:rsidR="00D93669">
              <w:rPr>
                <w:lang w:val="bg-BG"/>
              </w:rPr>
              <w:t>ползв</w:t>
            </w:r>
            <w:r w:rsidR="00E55252">
              <w:rPr>
                <w:lang w:val="bg-BG"/>
              </w:rPr>
              <w:t>а</w:t>
            </w:r>
            <w:r w:rsidR="00D93669">
              <w:rPr>
                <w:lang w:val="bg-BG"/>
              </w:rPr>
              <w:t>т</w:t>
            </w:r>
            <w:r w:rsidR="00E55252">
              <w:rPr>
                <w:lang w:val="bg-BG"/>
              </w:rPr>
              <w:t>е</w:t>
            </w:r>
            <w:r w:rsidR="00D93669">
              <w:rPr>
                <w:lang w:val="bg-BG"/>
              </w:rPr>
              <w:t>л</w:t>
            </w:r>
            <w:r>
              <w:t xml:space="preserve">, </w:t>
            </w:r>
            <w:r w:rsidR="00D93669">
              <w:rPr>
                <w:lang w:val="bg-BG"/>
              </w:rPr>
              <w:t>ИФП</w:t>
            </w:r>
            <w:r>
              <w:t>, вид система и посредник на алтернативния доставчик, с който потребителят има установени договорни отношения, както е посочено в Z 09.01, колона 0010.</w:t>
            </w:r>
            <w:r>
              <w:rPr>
                <w:b/>
              </w:rPr>
              <w:t xml:space="preserve"> </w:t>
            </w:r>
          </w:p>
          <w:p w14:paraId="7FE1CC0C" w14:textId="7F93E6B5" w:rsidR="00FE5D64" w:rsidRDefault="00911808">
            <w:pPr>
              <w:pStyle w:val="P68B1DB1-TableParagraph40"/>
              <w:spacing w:before="108"/>
              <w:ind w:left="85"/>
              <w:jc w:val="both"/>
              <w:rPr>
                <w:b/>
                <w:bCs/>
              </w:rPr>
            </w:pPr>
            <w:r>
              <w:rPr>
                <w:lang w:val="bg-BG"/>
              </w:rPr>
              <w:t>Посочва</w:t>
            </w:r>
            <w:r w:rsidR="00D93669">
              <w:t xml:space="preserve"> </w:t>
            </w:r>
            <w:r w:rsidR="00E40776">
              <w:t xml:space="preserve">се само ако </w:t>
            </w:r>
            <w:r w:rsidR="00D93669">
              <w:rPr>
                <w:lang w:val="bg-BG"/>
              </w:rPr>
              <w:t xml:space="preserve">в </w:t>
            </w:r>
            <w:r w:rsidR="00E40776">
              <w:t xml:space="preserve">Z 09.04, колона 0030 е </w:t>
            </w:r>
            <w:r w:rsidR="00D93669">
              <w:rPr>
                <w:lang w:val="bg-BG"/>
              </w:rPr>
              <w:t xml:space="preserve">посочено </w:t>
            </w:r>
            <w:r w:rsidR="00E40776">
              <w:t>„Да“.</w:t>
            </w:r>
          </w:p>
        </w:tc>
      </w:tr>
    </w:tbl>
    <w:p w14:paraId="7FE1CECA" w14:textId="77777777" w:rsidR="00FE5D64" w:rsidRDefault="00FE5D64">
      <w:pPr>
        <w:rPr>
          <w:rFonts w:ascii="Times New Roman" w:hAnsi="Times New Roman" w:cs="Times New Roman"/>
          <w:b/>
          <w:color w:val="000000" w:themeColor="text1"/>
          <w:sz w:val="20"/>
          <w:szCs w:val="20"/>
          <w:u w:val="single"/>
        </w:rPr>
      </w:pPr>
      <w:bookmarkStart w:id="238" w:name="_Toc80891744"/>
      <w:bookmarkStart w:id="239" w:name="_Toc81454206"/>
      <w:bookmarkStart w:id="240" w:name="_Toc81485521"/>
      <w:bookmarkStart w:id="241" w:name="_Toc81485598"/>
      <w:bookmarkStart w:id="242" w:name="_Toc81485719"/>
      <w:bookmarkStart w:id="243" w:name="_Toc81486003"/>
      <w:bookmarkStart w:id="244" w:name="_Toc160028011"/>
      <w:bookmarkStart w:id="245" w:name="_Toc160028083"/>
      <w:bookmarkStart w:id="246" w:name="_Toc160028155"/>
      <w:bookmarkStart w:id="247" w:name="_Toc80891746"/>
      <w:bookmarkStart w:id="248" w:name="_Toc81454208"/>
      <w:bookmarkStart w:id="249" w:name="_Toc81485523"/>
      <w:bookmarkStart w:id="250" w:name="_Toc81485600"/>
      <w:bookmarkStart w:id="251" w:name="_Toc81485721"/>
      <w:bookmarkStart w:id="252" w:name="_Toc81486005"/>
      <w:bookmarkStart w:id="253" w:name="_Toc160028013"/>
      <w:bookmarkStart w:id="254" w:name="_Toc160028085"/>
      <w:bookmarkStart w:id="255" w:name="_Toc16002815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FE1CF06" w14:textId="77777777" w:rsidR="00FE5D64" w:rsidRDefault="00FE5D64">
      <w:pPr>
        <w:pStyle w:val="Instructionsberschrift2"/>
        <w:ind w:left="357"/>
        <w:rPr>
          <w:rFonts w:ascii="Times New Roman" w:eastAsia="Calibri" w:hAnsi="Times New Roman" w:cs="Times New Roman"/>
          <w:szCs w:val="20"/>
        </w:rPr>
      </w:pPr>
    </w:p>
    <w:p w14:paraId="7FE1CF07" w14:textId="6806B226" w:rsidR="00FE5D64" w:rsidRDefault="00E40776">
      <w:pPr>
        <w:pStyle w:val="P68B1DB1-Instructionsberschrift284"/>
        <w:numPr>
          <w:ilvl w:val="1"/>
          <w:numId w:val="49"/>
        </w:numPr>
        <w:spacing w:before="0"/>
        <w:ind w:left="357" w:hanging="357"/>
      </w:pPr>
      <w:bookmarkStart w:id="256" w:name="_Toc208244483"/>
      <w:r>
        <w:t xml:space="preserve">Анализ на </w:t>
      </w:r>
      <w:bookmarkEnd w:id="256"/>
      <w:r w:rsidR="00BF53BF">
        <w:rPr>
          <w:lang w:val="bg-BG"/>
        </w:rPr>
        <w:t>задълженията</w:t>
      </w:r>
    </w:p>
    <w:p w14:paraId="7FE1CF08" w14:textId="63ED5A82" w:rsidR="00FE5D64" w:rsidRDefault="00E40776">
      <w:pPr>
        <w:pStyle w:val="Instructionsberschrift2"/>
        <w:numPr>
          <w:ilvl w:val="1"/>
          <w:numId w:val="49"/>
        </w:numPr>
        <w:spacing w:before="0"/>
        <w:ind w:left="357" w:hanging="357"/>
        <w:rPr>
          <w:rFonts w:ascii="Times New Roman" w:hAnsi="Times New Roman" w:cs="Times New Roman"/>
        </w:rPr>
      </w:pPr>
      <w:bookmarkStart w:id="257" w:name="_Toc208244484"/>
      <w:bookmarkStart w:id="258" w:name="_Hlk210298678"/>
      <w:r>
        <w:rPr>
          <w:rFonts w:ascii="Times New Roman" w:hAnsi="Times New Roman" w:cs="Times New Roman"/>
          <w:color w:val="000000" w:themeColor="text1"/>
        </w:rPr>
        <w:t xml:space="preserve">Z 11.00 </w:t>
      </w:r>
      <w:r w:rsidR="00BF53BF">
        <w:rPr>
          <w:rFonts w:ascii="Times New Roman" w:hAnsi="Times New Roman" w:cs="Times New Roman"/>
          <w:color w:val="000000" w:themeColor="text1"/>
          <w:lang w:val="bg-BG"/>
        </w:rPr>
        <w:t>Вътрешногрупови задължения</w:t>
      </w:r>
      <w:r>
        <w:rPr>
          <w:rFonts w:ascii="Times New Roman" w:eastAsia="Calibri" w:hAnsi="Times New Roman" w:cs="Times New Roman"/>
          <w:szCs w:val="20"/>
        </w:rPr>
        <w:t xml:space="preserve"> (LIAB-G-1)</w:t>
      </w:r>
      <w:bookmarkEnd w:id="257"/>
    </w:p>
    <w:p w14:paraId="7FE1CF0A" w14:textId="69A86E79" w:rsidR="00FE5D64" w:rsidRDefault="00E40776">
      <w:pPr>
        <w:pStyle w:val="P68B1DB1-Numberedtitlelevel385"/>
      </w:pPr>
      <w:bookmarkStart w:id="259" w:name="_Toc81454213"/>
      <w:r>
        <w:t>Общи бележки</w:t>
      </w:r>
    </w:p>
    <w:p w14:paraId="7FE1CF0B" w14:textId="65615395" w:rsidR="00FE5D64" w:rsidRDefault="00BF53BF">
      <w:pPr>
        <w:pStyle w:val="P68B1DB1-InstructionsText26"/>
        <w:numPr>
          <w:ilvl w:val="2"/>
          <w:numId w:val="209"/>
        </w:numPr>
        <w:spacing w:before="0"/>
        <w:ind w:left="1276"/>
        <w:rPr>
          <w:rFonts w:eastAsiaTheme="majorEastAsia"/>
        </w:rPr>
      </w:pPr>
      <w:r>
        <w:rPr>
          <w:lang w:val="bg-BG"/>
        </w:rPr>
        <w:t>В т</w:t>
      </w:r>
      <w:r w:rsidR="00E40776">
        <w:t xml:space="preserve">ази таблица </w:t>
      </w:r>
      <w:r>
        <w:rPr>
          <w:lang w:val="bg-BG"/>
        </w:rPr>
        <w:t xml:space="preserve">се </w:t>
      </w:r>
      <w:r w:rsidR="00E40776">
        <w:t xml:space="preserve">изисква информация за </w:t>
      </w:r>
      <w:r w:rsidR="00E40776" w:rsidRPr="00BF53BF">
        <w:t xml:space="preserve">вътрешногруповите </w:t>
      </w:r>
      <w:r>
        <w:rPr>
          <w:lang w:val="bg-BG"/>
        </w:rPr>
        <w:t>задължения</w:t>
      </w:r>
      <w:r w:rsidRPr="00BF53BF">
        <w:t xml:space="preserve"> </w:t>
      </w:r>
      <w:r w:rsidR="00C66B10">
        <w:rPr>
          <w:lang w:val="bg-BG"/>
        </w:rPr>
        <w:t xml:space="preserve">и </w:t>
      </w:r>
      <w:r w:rsidR="00E40776" w:rsidRPr="00BF53BF">
        <w:t>обхваща</w:t>
      </w:r>
      <w:r w:rsidR="00E40776">
        <w:t xml:space="preserve"> всички собствени средства и задължения.</w:t>
      </w:r>
    </w:p>
    <w:p w14:paraId="7FE1CF0C" w14:textId="3CF1CB4C" w:rsidR="00FE5D64" w:rsidRDefault="00C66B10">
      <w:pPr>
        <w:pStyle w:val="P68B1DB1-InstructionsText26"/>
        <w:numPr>
          <w:ilvl w:val="2"/>
          <w:numId w:val="209"/>
        </w:numPr>
        <w:spacing w:before="0"/>
        <w:ind w:left="1276"/>
        <w:rPr>
          <w:rFonts w:eastAsiaTheme="majorEastAsia"/>
        </w:rPr>
      </w:pPr>
      <w:r>
        <w:rPr>
          <w:lang w:val="bg-BG"/>
        </w:rPr>
        <w:t>Субектите</w:t>
      </w:r>
      <w:r w:rsidR="00E40776">
        <w:t xml:space="preserve">, които се </w:t>
      </w:r>
      <w:r>
        <w:rPr>
          <w:lang w:val="bg-BG"/>
        </w:rPr>
        <w:t>разглеждат като</w:t>
      </w:r>
      <w:r w:rsidR="00E40776">
        <w:t xml:space="preserve"> вътрешногрупови, са тези, които — в съответствие с определението в колона 0100 от Z02.00 — принадлежат към счетоводния обхват на консолидацията на крайното </w:t>
      </w:r>
      <w:r w:rsidR="00D93669">
        <w:rPr>
          <w:lang w:val="bg-BG"/>
        </w:rPr>
        <w:t>предприятие</w:t>
      </w:r>
      <w:r w:rsidR="00D93669">
        <w:t xml:space="preserve"> </w:t>
      </w:r>
      <w:r w:rsidR="00E40776">
        <w:t xml:space="preserve">майка. В резултат на това тези </w:t>
      </w:r>
      <w:r w:rsidR="00C017A1">
        <w:rPr>
          <w:lang w:val="bg-BG"/>
        </w:rPr>
        <w:t>задължения</w:t>
      </w:r>
      <w:r w:rsidR="00C017A1">
        <w:t xml:space="preserve"> </w:t>
      </w:r>
      <w:r w:rsidR="00E40776">
        <w:t xml:space="preserve">не се отчитат в подробните </w:t>
      </w:r>
      <w:r w:rsidR="00D93669">
        <w:rPr>
          <w:lang w:val="bg-BG"/>
        </w:rPr>
        <w:t>образци от</w:t>
      </w:r>
      <w:r w:rsidR="00D93669">
        <w:t xml:space="preserve"> </w:t>
      </w:r>
      <w:r w:rsidR="00E40776">
        <w:t xml:space="preserve">Z 12.00 </w:t>
      </w:r>
      <w:r w:rsidR="00D93669">
        <w:rPr>
          <w:lang w:val="bg-BG"/>
        </w:rPr>
        <w:t>до</w:t>
      </w:r>
      <w:r w:rsidR="00E40776">
        <w:t xml:space="preserve"> Z 17.00, с изключение на Z 15.00 Деривати (вж. по-долу).</w:t>
      </w:r>
    </w:p>
    <w:p w14:paraId="7FE1CF0D" w14:textId="18F90A73" w:rsidR="00FE5D64" w:rsidRDefault="00E40776">
      <w:pPr>
        <w:pStyle w:val="P68B1DB1-InstructionsText26"/>
        <w:numPr>
          <w:ilvl w:val="2"/>
          <w:numId w:val="209"/>
        </w:numPr>
        <w:spacing w:before="0"/>
        <w:ind w:left="1276"/>
        <w:rPr>
          <w:rFonts w:eastAsiaTheme="majorEastAsia"/>
        </w:rPr>
      </w:pPr>
      <w:r>
        <w:t>Дериватите са специфични по своето естество и не се отчитат в Z 11.00, а винаги в Z 15.00.</w:t>
      </w:r>
    </w:p>
    <w:p w14:paraId="7FE1CF0E" w14:textId="03C8B4F1" w:rsidR="00FE5D64" w:rsidRDefault="00E40776">
      <w:pPr>
        <w:pStyle w:val="P68B1DB1-InstructionsText26"/>
        <w:numPr>
          <w:ilvl w:val="2"/>
          <w:numId w:val="209"/>
        </w:numPr>
        <w:spacing w:before="0"/>
        <w:ind w:left="1276"/>
        <w:rPr>
          <w:rFonts w:eastAsiaTheme="majorEastAsia"/>
        </w:rPr>
      </w:pPr>
      <w:r>
        <w:t xml:space="preserve">Всички задължения, емитирани към субекти, попадащи в счетоводния обхват на консолидацията (включително </w:t>
      </w:r>
      <w:r w:rsidR="001A3953">
        <w:rPr>
          <w:lang w:val="bg-BG"/>
        </w:rPr>
        <w:t>дружества със специална цел</w:t>
      </w:r>
      <w:r w:rsidR="001A3953" w:rsidRPr="00C017A1">
        <w:rPr>
          <w:lang w:val="bg-BG"/>
        </w:rPr>
        <w:t xml:space="preserve"> в </w:t>
      </w:r>
      <w:r>
        <w:t xml:space="preserve">обхвата на консолидацията) както в рамките на групата за преструктуриране, така и извън нея, се </w:t>
      </w:r>
      <w:r w:rsidR="001A3953">
        <w:rPr>
          <w:lang w:val="bg-BG"/>
        </w:rPr>
        <w:t>отчитат</w:t>
      </w:r>
      <w:r w:rsidR="001A3953">
        <w:t xml:space="preserve"> </w:t>
      </w:r>
      <w:r>
        <w:t>в образец Z 11.00. За целите на настоящ</w:t>
      </w:r>
      <w:r w:rsidR="001A3953">
        <w:rPr>
          <w:lang w:val="bg-BG"/>
        </w:rPr>
        <w:t>ия образец</w:t>
      </w:r>
      <w:r>
        <w:t xml:space="preserve"> </w:t>
      </w:r>
      <w:r w:rsidR="00501129">
        <w:rPr>
          <w:lang w:val="bg-BG"/>
        </w:rPr>
        <w:t>задълженията</w:t>
      </w:r>
      <w:r w:rsidR="00501129">
        <w:t xml:space="preserve"> </w:t>
      </w:r>
      <w:r>
        <w:t xml:space="preserve">трябва да се отчитат на </w:t>
      </w:r>
      <w:r w:rsidR="00501129">
        <w:rPr>
          <w:lang w:val="bg-BG"/>
        </w:rPr>
        <w:t xml:space="preserve">ниво отделна </w:t>
      </w:r>
      <w:r w:rsidR="001A3953">
        <w:rPr>
          <w:lang w:val="bg-BG"/>
        </w:rPr>
        <w:t>трансакция</w:t>
      </w:r>
      <w:r>
        <w:t xml:space="preserve">, т.е. всяка </w:t>
      </w:r>
      <w:r w:rsidR="001A3953">
        <w:rPr>
          <w:lang w:val="bg-BG"/>
        </w:rPr>
        <w:t>трансакция се отчита</w:t>
      </w:r>
      <w:r w:rsidR="00501129">
        <w:rPr>
          <w:lang w:val="bg-BG"/>
        </w:rPr>
        <w:t xml:space="preserve"> на</w:t>
      </w:r>
      <w:r w:rsidR="001A3953" w:rsidRPr="00C017A1">
        <w:rPr>
          <w:lang w:val="bg-BG"/>
        </w:rPr>
        <w:t xml:space="preserve"> </w:t>
      </w:r>
      <w:r w:rsidR="001A3953">
        <w:rPr>
          <w:lang w:val="bg-BG"/>
        </w:rPr>
        <w:t>отделен</w:t>
      </w:r>
      <w:r w:rsidR="001A3953" w:rsidRPr="00C017A1">
        <w:rPr>
          <w:lang w:val="bg-BG"/>
        </w:rPr>
        <w:t xml:space="preserve"> ред</w:t>
      </w:r>
      <w:r>
        <w:t xml:space="preserve">. </w:t>
      </w:r>
      <w:r w:rsidR="001A3953">
        <w:rPr>
          <w:lang w:val="bg-BG"/>
        </w:rPr>
        <w:t>Въпреки това трансакциите</w:t>
      </w:r>
      <w:r>
        <w:t xml:space="preserve"> трябва да се отчитат в няколко реда, ако се отнасят до различен </w:t>
      </w:r>
      <w:r w:rsidR="001A3953">
        <w:rPr>
          <w:lang w:val="bg-BG"/>
        </w:rPr>
        <w:t>ред</w:t>
      </w:r>
      <w:r w:rsidR="00997AA6">
        <w:rPr>
          <w:lang w:val="bg-BG"/>
        </w:rPr>
        <w:t xml:space="preserve"> на вземането</w:t>
      </w:r>
      <w:r w:rsidR="001A3953" w:rsidRPr="00C017A1">
        <w:rPr>
          <w:lang w:val="bg-BG"/>
        </w:rPr>
        <w:t xml:space="preserve"> </w:t>
      </w:r>
      <w:r>
        <w:t xml:space="preserve">при </w:t>
      </w:r>
      <w:r w:rsidR="001A3953">
        <w:rPr>
          <w:lang w:val="bg-BG"/>
        </w:rPr>
        <w:t>производство по</w:t>
      </w:r>
      <w:r w:rsidR="001A3953" w:rsidRPr="00C017A1">
        <w:rPr>
          <w:lang w:val="bg-BG"/>
        </w:rPr>
        <w:t xml:space="preserve"> </w:t>
      </w:r>
      <w:r>
        <w:t>несъстоятелност.</w:t>
      </w:r>
    </w:p>
    <w:p w14:paraId="7FE1CF0F" w14:textId="77777777" w:rsidR="00FE5D64" w:rsidRDefault="00E40776">
      <w:pPr>
        <w:pStyle w:val="P68B1DB1-Numberedtitlelevel372"/>
      </w:pPr>
      <w:r>
        <w:t>Указания относно определени позиции</w:t>
      </w:r>
    </w:p>
    <w:tbl>
      <w:tblPr>
        <w:tblW w:w="0" w:type="auto"/>
        <w:tblLook w:val="01E0" w:firstRow="1" w:lastRow="1" w:firstColumn="1" w:lastColumn="1" w:noHBand="0" w:noVBand="0"/>
      </w:tblPr>
      <w:tblGrid>
        <w:gridCol w:w="1244"/>
        <w:gridCol w:w="7717"/>
        <w:gridCol w:w="65"/>
      </w:tblGrid>
      <w:tr w:rsidR="00FE5D64"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FE5D64" w:rsidRDefault="00E40776">
            <w:pPr>
              <w:pStyle w:val="P68B1DB1-TableParagraph17"/>
              <w:spacing w:before="108"/>
              <w:ind w:left="85"/>
            </w:pPr>
            <w:bookmarkStart w:id="260" w:name="_Hlk210223890"/>
            <w:r>
              <w:t xml:space="preserve">Колони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FE5D64" w:rsidRDefault="00E40776">
            <w:pPr>
              <w:pStyle w:val="P68B1DB1-TableParagraph17"/>
              <w:spacing w:before="108"/>
              <w:ind w:left="85" w:right="1"/>
            </w:pPr>
            <w:r>
              <w:t>Указания</w:t>
            </w:r>
          </w:p>
        </w:tc>
      </w:tr>
      <w:tr w:rsidR="00FE5D64"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FE5D64" w:rsidRDefault="00E40776">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45D22A63" w:rsidR="00FE5D64" w:rsidRPr="00997AA6" w:rsidRDefault="00997AA6">
            <w:pPr>
              <w:pStyle w:val="P68B1DB1-TableParagraph40"/>
              <w:spacing w:before="108"/>
              <w:ind w:left="85"/>
              <w:jc w:val="both"/>
              <w:rPr>
                <w:b/>
                <w:bCs/>
              </w:rPr>
            </w:pPr>
            <w:r>
              <w:rPr>
                <w:b/>
                <w:lang w:val="bg-BG"/>
              </w:rPr>
              <w:t>№</w:t>
            </w:r>
          </w:p>
          <w:p w14:paraId="7FE1CF17" w14:textId="2AB0F195" w:rsidR="00FE5D64" w:rsidRDefault="00E40776">
            <w:pPr>
              <w:pStyle w:val="P68B1DB1-TableParagraph40"/>
              <w:spacing w:before="108"/>
              <w:ind w:left="85"/>
              <w:jc w:val="both"/>
            </w:pPr>
            <w:r>
              <w:t xml:space="preserve">Уникален номер/първичен ключ за идентифициране на </w:t>
            </w:r>
            <w:r w:rsidR="00997AA6">
              <w:rPr>
                <w:lang w:val="bg-BG"/>
              </w:rPr>
              <w:t>записите по редове</w:t>
            </w:r>
            <w:r>
              <w:t xml:space="preserve">. </w:t>
            </w:r>
          </w:p>
        </w:tc>
      </w:tr>
      <w:bookmarkEnd w:id="260"/>
      <w:tr w:rsidR="00FE5D64"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FE5D64" w:rsidRDefault="00E40776">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FE5D64" w:rsidRDefault="00E40776">
            <w:pPr>
              <w:pStyle w:val="P68B1DB1-TableParagraph40"/>
              <w:spacing w:before="108"/>
              <w:ind w:left="85"/>
              <w:jc w:val="both"/>
              <w:rPr>
                <w:b/>
                <w:bCs/>
              </w:rPr>
            </w:pPr>
            <w:r>
              <w:t xml:space="preserve"> </w:t>
            </w:r>
            <w:r>
              <w:rPr>
                <w:b/>
              </w:rPr>
              <w:t>Ред</w:t>
            </w:r>
          </w:p>
          <w:p w14:paraId="7FE1CF1B" w14:textId="78E38E88" w:rsidR="00FE5D64" w:rsidRDefault="00E40776" w:rsidP="006C6FAD">
            <w:pPr>
              <w:pStyle w:val="P68B1DB1-TableParagraph40"/>
              <w:spacing w:before="108"/>
              <w:ind w:left="85"/>
              <w:jc w:val="both"/>
            </w:pPr>
            <w:r>
              <w:t xml:space="preserve">За всеки инструмент трябва да се </w:t>
            </w:r>
            <w:r w:rsidR="00997AA6">
              <w:rPr>
                <w:lang w:val="bg-BG"/>
              </w:rPr>
              <w:t>избере съответната категория на задължението</w:t>
            </w:r>
            <w:r w:rsidR="003D4409">
              <w:rPr>
                <w:lang w:val="bg-BG"/>
              </w:rPr>
              <w:t>,</w:t>
            </w:r>
            <w:r w:rsidR="00997AA6">
              <w:rPr>
                <w:lang w:val="bg-BG"/>
              </w:rPr>
              <w:t xml:space="preserve"> съгласно определената структура на задълженията</w:t>
            </w:r>
            <w:r>
              <w:t xml:space="preserve"> в Z02.00</w:t>
            </w:r>
            <w:r w:rsidR="003D4409">
              <w:rPr>
                <w:lang w:val="bg-BG"/>
              </w:rPr>
              <w:t>,</w:t>
            </w:r>
            <w:r>
              <w:t xml:space="preserve"> от</w:t>
            </w:r>
            <w:r w:rsidR="006C6FAD">
              <w:t xml:space="preserve"> </w:t>
            </w:r>
            <w:r>
              <w:t>предварително определен списък със стойности.</w:t>
            </w:r>
          </w:p>
        </w:tc>
      </w:tr>
      <w:tr w:rsidR="00FE5D64"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FE5D64" w:rsidRDefault="00E40776">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FE5D64" w:rsidRDefault="00E40776">
            <w:pPr>
              <w:pStyle w:val="P68B1DB1-TableParagraph73"/>
              <w:spacing w:before="108"/>
              <w:ind w:left="85"/>
              <w:jc w:val="both"/>
              <w:rPr>
                <w:bCs/>
              </w:rPr>
            </w:pPr>
            <w:r>
              <w:t xml:space="preserve">Колона </w:t>
            </w:r>
          </w:p>
          <w:p w14:paraId="7FE1CF1F" w14:textId="16D0CC3B" w:rsidR="00FE5D64" w:rsidRDefault="00E40776" w:rsidP="00D302BC">
            <w:pPr>
              <w:pStyle w:val="P68B1DB1-TableParagraph40"/>
              <w:spacing w:before="108"/>
              <w:ind w:left="85"/>
              <w:jc w:val="both"/>
            </w:pPr>
            <w:r>
              <w:t xml:space="preserve">За всеки инструмент трябва да се </w:t>
            </w:r>
            <w:r w:rsidR="003D4409">
              <w:rPr>
                <w:lang w:val="bg-BG"/>
              </w:rPr>
              <w:t>избере съответната категория контрагент</w:t>
            </w:r>
            <w:r w:rsidR="003D4409">
              <w:t xml:space="preserve">, към който </w:t>
            </w:r>
            <w:r w:rsidR="003D4409">
              <w:rPr>
                <w:lang w:val="bg-BG"/>
              </w:rPr>
              <w:t>е</w:t>
            </w:r>
            <w:r w:rsidR="003D4409">
              <w:t xml:space="preserve"> задължението,</w:t>
            </w:r>
            <w:r w:rsidR="003D4409">
              <w:rPr>
                <w:lang w:val="bg-BG"/>
              </w:rPr>
              <w:t xml:space="preserve"> съгласно структурата</w:t>
            </w:r>
            <w:r>
              <w:t xml:space="preserve"> в Z02.00 от</w:t>
            </w:r>
            <w:r w:rsidR="00D302BC">
              <w:t xml:space="preserve"> </w:t>
            </w:r>
            <w:r>
              <w:t>предварително определен списък със стойности.</w:t>
            </w:r>
          </w:p>
        </w:tc>
      </w:tr>
      <w:tr w:rsidR="00FE5D64"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FE5D64" w:rsidRDefault="00E40776">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6337B55E" w:rsidR="00FE5D64" w:rsidRDefault="00FC7A35">
            <w:pPr>
              <w:pStyle w:val="P68B1DB1-TableParagraph73"/>
              <w:spacing w:before="108"/>
              <w:ind w:left="85"/>
              <w:jc w:val="both"/>
              <w:rPr>
                <w:bCs/>
              </w:rPr>
            </w:pPr>
            <w:r w:rsidRPr="00FC7A35">
              <w:t>Ред на вземанията в производство по несъстоятелност</w:t>
            </w:r>
          </w:p>
          <w:p w14:paraId="7FE1CF23" w14:textId="482A2337" w:rsidR="00FE5D64" w:rsidRDefault="00FC7A35" w:rsidP="00D302BC">
            <w:pPr>
              <w:pStyle w:val="P68B1DB1-TableParagraph40"/>
              <w:spacing w:before="108"/>
              <w:ind w:left="85"/>
              <w:jc w:val="both"/>
            </w:pPr>
            <w:r>
              <w:rPr>
                <w:lang w:val="bg-BG"/>
              </w:rPr>
              <w:t xml:space="preserve">Редът </w:t>
            </w:r>
            <w:r w:rsidRPr="00FC7A35">
              <w:t xml:space="preserve">на вземанията в производство по </w:t>
            </w:r>
            <w:r w:rsidR="00E40776">
              <w:t xml:space="preserve">несъстоятелност </w:t>
            </w:r>
            <w:r w:rsidR="00D302BC">
              <w:rPr>
                <w:lang w:val="bg-BG"/>
              </w:rPr>
              <w:t xml:space="preserve">следва да </w:t>
            </w:r>
            <w:r w:rsidR="00E40776">
              <w:t xml:space="preserve">е един от </w:t>
            </w:r>
            <w:r w:rsidR="00D302BC">
              <w:rPr>
                <w:lang w:val="bg-BG"/>
              </w:rPr>
              <w:t>редовете</w:t>
            </w:r>
            <w:r>
              <w:rPr>
                <w:lang w:val="bg-BG"/>
              </w:rPr>
              <w:t>,</w:t>
            </w:r>
            <w:r w:rsidR="00D302BC">
              <w:rPr>
                <w:lang w:val="bg-BG"/>
              </w:rPr>
              <w:t xml:space="preserve"> </w:t>
            </w:r>
            <w:r w:rsidR="00E40776">
              <w:t>включен в публикуван</w:t>
            </w:r>
            <w:r>
              <w:rPr>
                <w:lang w:val="bg-BG"/>
              </w:rPr>
              <w:t>ия</w:t>
            </w:r>
            <w:r w:rsidR="00E40776">
              <w:t xml:space="preserve"> от органа за преструктуриране </w:t>
            </w:r>
            <w:r w:rsidR="00D302BC">
              <w:rPr>
                <w:lang w:val="bg-BG"/>
              </w:rPr>
              <w:t>за съответната</w:t>
            </w:r>
            <w:r w:rsidR="00E40776">
              <w:t xml:space="preserve"> юрисдикция</w:t>
            </w:r>
            <w:r>
              <w:rPr>
                <w:lang w:val="bg-BG"/>
              </w:rPr>
              <w:t xml:space="preserve"> р</w:t>
            </w:r>
            <w:r w:rsidRPr="00FC7A35">
              <w:rPr>
                <w:lang w:val="bg-BG"/>
              </w:rPr>
              <w:t>ед на вземанията в производство по несъстоятелност</w:t>
            </w:r>
            <w:r w:rsidR="00E40776">
              <w:t>.</w:t>
            </w:r>
          </w:p>
        </w:tc>
      </w:tr>
      <w:tr w:rsidR="00FE5D64"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FE5D64" w:rsidRDefault="00E40776">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FE5D64" w:rsidRDefault="00E40776">
            <w:pPr>
              <w:pStyle w:val="P68B1DB1-TableParagraph73"/>
              <w:spacing w:before="108"/>
              <w:ind w:left="85"/>
              <w:jc w:val="both"/>
              <w:rPr>
                <w:bCs/>
              </w:rPr>
            </w:pPr>
            <w:r>
              <w:t>Идентификатор на договора</w:t>
            </w:r>
          </w:p>
          <w:p w14:paraId="7FE1CF27" w14:textId="75B619C0" w:rsidR="00FE5D64" w:rsidRDefault="00E40776" w:rsidP="006B2F04">
            <w:pPr>
              <w:pStyle w:val="P68B1DB1-TableParagraph40"/>
              <w:spacing w:before="108"/>
              <w:ind w:left="85"/>
              <w:jc w:val="both"/>
            </w:pPr>
            <w:r>
              <w:t xml:space="preserve">Посочва се ISIN или, в случай че ISIN не е наличен, </w:t>
            </w:r>
            <w:r w:rsidR="00FC7A35">
              <w:rPr>
                <w:lang w:val="bg-BG"/>
              </w:rPr>
              <w:t>посочва се</w:t>
            </w:r>
            <w:r w:rsidR="006B2F04">
              <w:t xml:space="preserve"> </w:t>
            </w:r>
            <w:r>
              <w:t>друг идентификатор на договора на инструмента.</w:t>
            </w:r>
          </w:p>
        </w:tc>
      </w:tr>
      <w:tr w:rsidR="00FE5D64"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FE5D64" w:rsidRDefault="00E40776">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FE5D64" w:rsidRDefault="00E40776">
            <w:pPr>
              <w:pStyle w:val="P68B1DB1-TableParagraph73"/>
              <w:spacing w:before="108"/>
              <w:ind w:left="85"/>
              <w:jc w:val="both"/>
              <w:rPr>
                <w:bCs/>
              </w:rPr>
            </w:pPr>
            <w:r>
              <w:t>Наименование на контрагента</w:t>
            </w:r>
          </w:p>
          <w:p w14:paraId="7FE1CF2B" w14:textId="2F135F83" w:rsidR="00FE5D64" w:rsidRDefault="00E40776" w:rsidP="00E16672">
            <w:pPr>
              <w:pStyle w:val="P68B1DB1-TableParagraph40"/>
              <w:spacing w:before="108"/>
              <w:ind w:left="85"/>
              <w:jc w:val="both"/>
            </w:pPr>
            <w:r>
              <w:t xml:space="preserve">Наименованието на контрагента по </w:t>
            </w:r>
            <w:r w:rsidR="00E16672">
              <w:rPr>
                <w:lang w:val="bg-BG"/>
              </w:rPr>
              <w:t>задължението</w:t>
            </w:r>
            <w:r>
              <w:t>.</w:t>
            </w:r>
          </w:p>
        </w:tc>
      </w:tr>
      <w:tr w:rsidR="00FE5D64"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FE5D64" w:rsidRDefault="00E40776">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FE5D64" w:rsidRDefault="00E40776">
            <w:pPr>
              <w:pStyle w:val="P68B1DB1-TableParagraph73"/>
              <w:spacing w:before="108"/>
              <w:ind w:left="85"/>
              <w:jc w:val="both"/>
              <w:rPr>
                <w:bCs/>
              </w:rPr>
            </w:pPr>
            <w:r>
              <w:t>Идентификатор на контрагента</w:t>
            </w:r>
          </w:p>
          <w:p w14:paraId="7FE1CF2F" w14:textId="54965FB2" w:rsidR="00FE5D64" w:rsidRDefault="00E40776">
            <w:pPr>
              <w:pStyle w:val="P68B1DB1-TableParagraph40"/>
              <w:spacing w:before="108"/>
              <w:ind w:left="85"/>
              <w:jc w:val="both"/>
            </w:pPr>
            <w:r>
              <w:t xml:space="preserve">Уникалният ИКПС на контрагента. При липса на ИКПС, идентификационен код на ЕЦБ </w:t>
            </w:r>
            <w:r w:rsidR="00225B62">
              <w:rPr>
                <w:lang w:val="bg-BG"/>
              </w:rPr>
              <w:t>за</w:t>
            </w:r>
            <w:r w:rsidR="00225B62">
              <w:t xml:space="preserve"> </w:t>
            </w:r>
            <w:r>
              <w:t>парично-финансовите институции (</w:t>
            </w:r>
            <w:r w:rsidR="00225B62">
              <w:rPr>
                <w:lang w:val="bg-BG"/>
              </w:rPr>
              <w:t xml:space="preserve">Код на </w:t>
            </w:r>
            <w:r>
              <w:t xml:space="preserve">ПФИ) на кредитната институция, използван в RIAD. При липса </w:t>
            </w:r>
            <w:r w:rsidR="00225B62">
              <w:rPr>
                <w:lang w:val="bg-BG"/>
              </w:rPr>
              <w:t xml:space="preserve">и </w:t>
            </w:r>
            <w:r>
              <w:t>на два идентификатора може да се използва вътрешният</w:t>
            </w:r>
            <w:r w:rsidR="00E16672">
              <w:t xml:space="preserve"> </w:t>
            </w:r>
            <w:r>
              <w:t>идентификатор.</w:t>
            </w:r>
          </w:p>
          <w:p w14:paraId="7FE1CF30" w14:textId="585107E3" w:rsidR="00FE5D64" w:rsidRDefault="00FE5D64">
            <w:pPr>
              <w:pStyle w:val="TableParagraph"/>
              <w:spacing w:before="108"/>
              <w:ind w:left="85"/>
              <w:jc w:val="both"/>
              <w:rPr>
                <w:rFonts w:ascii="Times New Roman" w:eastAsia="Times New Roman" w:hAnsi="Times New Roman" w:cs="Times New Roman"/>
                <w:sz w:val="20"/>
                <w:szCs w:val="20"/>
              </w:rPr>
            </w:pPr>
          </w:p>
        </w:tc>
      </w:tr>
      <w:tr w:rsidR="00FE5D64"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FE5D64" w:rsidRDefault="00E40776">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FE5D64" w:rsidRDefault="00E40776">
            <w:pPr>
              <w:pStyle w:val="P68B1DB1-TableParagraph73"/>
              <w:spacing w:before="108"/>
              <w:ind w:left="85"/>
              <w:jc w:val="both"/>
              <w:rPr>
                <w:bCs/>
              </w:rPr>
            </w:pPr>
            <w:r>
              <w:t>Вид идентификатор</w:t>
            </w:r>
          </w:p>
          <w:p w14:paraId="7FE1CF34" w14:textId="27C6D230" w:rsidR="00FE5D64" w:rsidRDefault="00E40776" w:rsidP="00E16672">
            <w:pPr>
              <w:pStyle w:val="P68B1DB1-TableParagraph40"/>
              <w:spacing w:before="108"/>
              <w:ind w:left="85"/>
              <w:jc w:val="both"/>
            </w:pPr>
            <w:r>
              <w:t>Избира се измежду следните варианти: „ИКПС</w:t>
            </w:r>
            <w:r w:rsidR="00E16672">
              <w:rPr>
                <w:lang w:val="bg-BG"/>
              </w:rPr>
              <w:t>“,</w:t>
            </w:r>
            <w:r>
              <w:t xml:space="preserve"> „Код на ПФИ</w:t>
            </w:r>
            <w:r w:rsidR="00E16672">
              <w:rPr>
                <w:lang w:val="bg-BG"/>
              </w:rPr>
              <w:t xml:space="preserve">“ </w:t>
            </w:r>
            <w:r>
              <w:t>или „Вид идентификатор, различен от ИКПС или код на ПФИ“.</w:t>
            </w:r>
          </w:p>
        </w:tc>
      </w:tr>
      <w:tr w:rsidR="00FE5D64"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FE5D64" w:rsidRDefault="00E40776">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FE5D64" w:rsidRDefault="00E40776">
            <w:pPr>
              <w:pStyle w:val="P68B1DB1-TableParagraph73"/>
              <w:spacing w:before="108"/>
              <w:ind w:left="85"/>
              <w:jc w:val="both"/>
              <w:rPr>
                <w:bCs/>
              </w:rPr>
            </w:pPr>
            <w:r>
              <w:t>Отношения с контрагента</w:t>
            </w:r>
          </w:p>
          <w:p w14:paraId="7FE1CF38" w14:textId="3086E41E" w:rsidR="00FE5D64" w:rsidRDefault="00E40776" w:rsidP="00DF608D">
            <w:pPr>
              <w:pStyle w:val="P68B1DB1-TableParagraph40"/>
              <w:spacing w:before="108"/>
              <w:ind w:left="85"/>
              <w:jc w:val="both"/>
            </w:pPr>
            <w:r>
              <w:t xml:space="preserve">Това поле показва връзката на кредитиращото </w:t>
            </w:r>
            <w:r w:rsidR="00AF02EB">
              <w:rPr>
                <w:lang w:val="bg-BG"/>
              </w:rPr>
              <w:t>дружество</w:t>
            </w:r>
            <w:r w:rsidR="00DF608D">
              <w:t xml:space="preserve"> </w:t>
            </w:r>
            <w:r>
              <w:t>с отчитащ</w:t>
            </w:r>
            <w:r w:rsidR="00DF608D">
              <w:rPr>
                <w:lang w:val="bg-BG"/>
              </w:rPr>
              <w:t>ата</w:t>
            </w:r>
            <w:r>
              <w:t xml:space="preserve"> се </w:t>
            </w:r>
            <w:r w:rsidR="00DF608D">
              <w:rPr>
                <w:lang w:val="bg-BG"/>
              </w:rPr>
              <w:t>институция</w:t>
            </w:r>
            <w:r>
              <w:t>. За това поле е предвиден списък със стойности: контрагентът може да бъде „пряко или непряко предприятие майка</w:t>
            </w:r>
            <w:r w:rsidR="00DF608D">
              <w:rPr>
                <w:lang w:val="bg-BG"/>
              </w:rPr>
              <w:t>“,</w:t>
            </w:r>
            <w:r>
              <w:t xml:space="preserve"> „пряко или непряко дъщерно предприятие</w:t>
            </w:r>
            <w:r w:rsidR="00DF608D">
              <w:rPr>
                <w:lang w:val="bg-BG"/>
              </w:rPr>
              <w:t xml:space="preserve">“ </w:t>
            </w:r>
            <w:r>
              <w:t>или алтернативно „</w:t>
            </w:r>
            <w:r w:rsidR="005570FE">
              <w:rPr>
                <w:lang w:val="bg-BG"/>
              </w:rPr>
              <w:t xml:space="preserve">предприятие </w:t>
            </w:r>
            <w:r>
              <w:t>сестра“.</w:t>
            </w:r>
          </w:p>
        </w:tc>
      </w:tr>
      <w:tr w:rsidR="00FE5D64"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FE5D64" w:rsidRDefault="00E40776">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41EA28FE" w:rsidR="00FE5D64" w:rsidRPr="005570FE" w:rsidRDefault="00E40776">
            <w:pPr>
              <w:pStyle w:val="P68B1DB1-TableParagraph73"/>
              <w:spacing w:before="108"/>
              <w:ind w:left="85"/>
              <w:jc w:val="both"/>
              <w:rPr>
                <w:lang w:val="bg-BG"/>
              </w:rPr>
            </w:pPr>
            <w:r>
              <w:t xml:space="preserve">Вид </w:t>
            </w:r>
            <w:r w:rsidR="005570FE">
              <w:rPr>
                <w:lang w:val="bg-BG"/>
              </w:rPr>
              <w:t>задължение</w:t>
            </w:r>
          </w:p>
          <w:p w14:paraId="7FE1CF3C" w14:textId="0B38CF8E" w:rsidR="00FE5D64" w:rsidRDefault="00E40776" w:rsidP="00DF608D">
            <w:pPr>
              <w:pStyle w:val="P68B1DB1-TableParagraph40"/>
              <w:spacing w:before="108"/>
              <w:ind w:left="85"/>
              <w:jc w:val="both"/>
            </w:pPr>
            <w:r>
              <w:t xml:space="preserve">За задължения, които </w:t>
            </w:r>
            <w:r w:rsidR="005570FE">
              <w:rPr>
                <w:lang w:val="bg-BG"/>
              </w:rPr>
              <w:t>са отчетени</w:t>
            </w:r>
            <w:r>
              <w:t xml:space="preserve"> в Z02.00-c0020-ред като</w:t>
            </w:r>
            <w:r w:rsidR="00DF608D">
              <w:t xml:space="preserve"> </w:t>
            </w:r>
            <w:r>
              <w:t xml:space="preserve">„r0210 — </w:t>
            </w:r>
            <w:r w:rsidR="005570FE">
              <w:rPr>
                <w:lang w:val="bg-BG"/>
              </w:rPr>
              <w:t>Задължения</w:t>
            </w:r>
            <w:r w:rsidR="005570FE">
              <w:t xml:space="preserve"> </w:t>
            </w:r>
            <w:r>
              <w:t xml:space="preserve">към други субекти от групата за преструктуриране“, </w:t>
            </w:r>
            <w:r w:rsidR="005570FE">
              <w:rPr>
                <w:lang w:val="bg-BG"/>
              </w:rPr>
              <w:t>посочва се</w:t>
            </w:r>
            <w:r w:rsidR="005570FE">
              <w:t xml:space="preserve"> </w:t>
            </w:r>
            <w:r>
              <w:t>вида на задължението,</w:t>
            </w:r>
            <w:r w:rsidR="005570FE">
              <w:rPr>
                <w:lang w:val="bg-BG"/>
              </w:rPr>
              <w:t xml:space="preserve"> </w:t>
            </w:r>
            <w:r w:rsidR="00DF608D">
              <w:rPr>
                <w:lang w:val="bg-BG"/>
              </w:rPr>
              <w:t>така</w:t>
            </w:r>
            <w:r>
              <w:t xml:space="preserve"> както би било отчетено в Z02.00, ако задължението не беше </w:t>
            </w:r>
            <w:r w:rsidR="000F1F0F">
              <w:rPr>
                <w:lang w:val="bg-BG"/>
              </w:rPr>
              <w:t>разглеждано като</w:t>
            </w:r>
            <w:r>
              <w:t xml:space="preserve"> изключено.</w:t>
            </w:r>
          </w:p>
        </w:tc>
      </w:tr>
      <w:tr w:rsidR="00FE5D64"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FE5D64" w:rsidRDefault="00E40776">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FE5D64" w:rsidRDefault="00E40776">
            <w:pPr>
              <w:pStyle w:val="P68B1DB1-TableParagraph73"/>
              <w:spacing w:before="108"/>
              <w:ind w:left="85"/>
              <w:jc w:val="both"/>
              <w:rPr>
                <w:bCs/>
              </w:rPr>
            </w:pPr>
            <w:r>
              <w:t>Приложимо право</w:t>
            </w:r>
          </w:p>
          <w:p w14:paraId="7FE1CF40" w14:textId="3ED56230" w:rsidR="00FE5D64" w:rsidRDefault="00E40776" w:rsidP="00260757">
            <w:pPr>
              <w:pStyle w:val="P68B1DB1-TableParagraph40"/>
              <w:spacing w:before="108"/>
              <w:ind w:left="85"/>
              <w:jc w:val="both"/>
            </w:pPr>
            <w:r>
              <w:t>Кодът ISO 3166—1 alpha-2 на държавата, чието право урежда инструмента (</w:t>
            </w:r>
            <w:r w:rsidR="000F1F0F">
              <w:rPr>
                <w:lang w:val="bg-BG"/>
              </w:rPr>
              <w:t>използва се</w:t>
            </w:r>
            <w:r w:rsidR="000F1F0F">
              <w:t xml:space="preserve"> </w:t>
            </w:r>
            <w:r>
              <w:t xml:space="preserve">кода ISO 3166—2, когато е приложимо правото на административно подразделение, напр. „US-NY“). Ако договорът се урежда от правото на повече от една държава, </w:t>
            </w:r>
            <w:r w:rsidR="000F1F0F">
              <w:rPr>
                <w:lang w:val="bg-BG"/>
              </w:rPr>
              <w:t>посочва се</w:t>
            </w:r>
            <w:r w:rsidR="00DF608D">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FE5D64" w:rsidRDefault="00E40776">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1B24ABA6" w:rsidR="00FE5D64" w:rsidRDefault="000F1F0F">
            <w:pPr>
              <w:pStyle w:val="P68B1DB1-TableParagraph73"/>
              <w:spacing w:before="108"/>
              <w:ind w:left="85"/>
              <w:jc w:val="both"/>
              <w:rPr>
                <w:bCs/>
              </w:rPr>
            </w:pPr>
            <w:r w:rsidRPr="000F1F0F">
              <w:t>Договорно признаване на приложимо право на трета държава</w:t>
            </w:r>
          </w:p>
          <w:p w14:paraId="7FE1CF45" w14:textId="2F865107" w:rsidR="00FE5D64" w:rsidRDefault="001F16B5">
            <w:pPr>
              <w:pStyle w:val="P68B1DB1-TableParagraph40"/>
              <w:spacing w:before="108"/>
              <w:ind w:left="85"/>
              <w:jc w:val="both"/>
            </w:pPr>
            <w:r>
              <w:rPr>
                <w:lang w:val="bg-BG"/>
              </w:rPr>
              <w:t>Наличие</w:t>
            </w:r>
            <w:r>
              <w:t xml:space="preserve"> </w:t>
            </w:r>
            <w:r w:rsidR="00E40776">
              <w:t>на договорни разпоредби за признаване на правомощията за</w:t>
            </w:r>
            <w:r>
              <w:rPr>
                <w:lang w:val="bg-BG"/>
              </w:rPr>
              <w:t xml:space="preserve"> прилагане на инструмента за</w:t>
            </w:r>
            <w:r w:rsidR="00E40776">
              <w:t xml:space="preserve"> споделяне на загуби в съответствие с член 55 от </w:t>
            </w:r>
            <w:r w:rsidR="000A2435">
              <w:rPr>
                <w:lang w:val="bg-BG"/>
              </w:rPr>
              <w:t>Директива 2014/59/ЕС</w:t>
            </w:r>
            <w:r>
              <w:rPr>
                <w:lang w:val="bg-BG"/>
              </w:rPr>
              <w:t>. Посочва се едн</w:t>
            </w:r>
            <w:r w:rsidR="00FD418F">
              <w:rPr>
                <w:lang w:val="bg-BG"/>
              </w:rPr>
              <w:t xml:space="preserve">а от опциите от </w:t>
            </w:r>
            <w:r w:rsidR="00FD418F">
              <w:t>предварително определен списък</w:t>
            </w:r>
            <w:r>
              <w:rPr>
                <w:lang w:val="bg-BG"/>
              </w:rPr>
              <w:t>:</w:t>
            </w:r>
          </w:p>
          <w:p w14:paraId="7FE1CF46" w14:textId="6877A94E" w:rsidR="00FE5D64" w:rsidRDefault="00E40776">
            <w:pPr>
              <w:pStyle w:val="P68B1DB1-TableParagraph40"/>
              <w:spacing w:before="108"/>
              <w:ind w:left="85"/>
              <w:jc w:val="both"/>
            </w:pPr>
            <w:r>
              <w:t>„Да, подкрепено от правно становище“ = задължението включва клауза за признаване на</w:t>
            </w:r>
            <w:r w:rsidR="001F16B5">
              <w:rPr>
                <w:lang w:val="bg-BG"/>
              </w:rPr>
              <w:t xml:space="preserve"> правомощията за прилагане на инструмента за</w:t>
            </w:r>
            <w:r>
              <w:t xml:space="preserve"> споделяне на загуби в съответствие с член 55 от </w:t>
            </w:r>
            <w:r w:rsidR="001F16B5">
              <w:rPr>
                <w:lang w:val="bg-BG"/>
              </w:rPr>
              <w:t>Директива 2014/59/ЕС</w:t>
            </w:r>
            <w:r>
              <w:t>, която е подкрепена от правно становище;</w:t>
            </w:r>
          </w:p>
          <w:p w14:paraId="7FE1CF47" w14:textId="1111EAE5" w:rsidR="00FE5D64" w:rsidRDefault="00E40776">
            <w:pPr>
              <w:pStyle w:val="P68B1DB1-TableParagraph40"/>
              <w:spacing w:before="108"/>
              <w:ind w:left="85"/>
              <w:jc w:val="both"/>
            </w:pPr>
            <w:r>
              <w:t>„Да, не е подкрепено от правно становище“ = задължението включва клауза за признаване на</w:t>
            </w:r>
            <w:r w:rsidR="001F16B5">
              <w:rPr>
                <w:lang w:val="bg-BG"/>
              </w:rPr>
              <w:t xml:space="preserve"> правомощията за прилагане на инструмента за</w:t>
            </w:r>
            <w:r>
              <w:t xml:space="preserve"> споделяне на загуби в съответствие с член 55 от </w:t>
            </w:r>
            <w:r w:rsidR="001F16B5" w:rsidRPr="001F16B5">
              <w:t>Директива 2014/59/ЕС</w:t>
            </w:r>
            <w:r>
              <w:t>, която понастоящем не е подкрепена от правно становище;</w:t>
            </w:r>
          </w:p>
          <w:p w14:paraId="7FE1CF48" w14:textId="776D14C0" w:rsidR="00FE5D64" w:rsidRDefault="00E40776">
            <w:pPr>
              <w:pStyle w:val="P68B1DB1-TableParagraph40"/>
              <w:spacing w:before="108"/>
              <w:ind w:left="85"/>
              <w:jc w:val="both"/>
            </w:pPr>
            <w:r>
              <w:t xml:space="preserve">„Не“ = задължението не включва клауза за признаване на </w:t>
            </w:r>
            <w:r w:rsidR="00FD418F">
              <w:rPr>
                <w:lang w:val="bg-BG"/>
              </w:rPr>
              <w:t xml:space="preserve">правомощията за прилагане на инструмента за </w:t>
            </w:r>
            <w:r>
              <w:t>споделяне на загуби;</w:t>
            </w:r>
          </w:p>
          <w:p w14:paraId="7FE1CF49" w14:textId="64A5CBBA" w:rsidR="00FE5D64" w:rsidRDefault="00E40776" w:rsidP="00DF608D">
            <w:pPr>
              <w:pStyle w:val="P68B1DB1-TableParagraph40"/>
              <w:spacing w:before="108"/>
              <w:ind w:left="85"/>
              <w:jc w:val="both"/>
            </w:pPr>
            <w:r>
              <w:t xml:space="preserve">„Не </w:t>
            </w:r>
            <w:r w:rsidR="00FD418F">
              <w:rPr>
                <w:lang w:val="bg-BG"/>
              </w:rPr>
              <w:t>е приложимо</w:t>
            </w:r>
            <w:r>
              <w:t>“.  .</w:t>
            </w:r>
          </w:p>
        </w:tc>
      </w:tr>
      <w:tr w:rsidR="00FE5D64" w14:paraId="7FE1CF4E" w14:textId="77777777">
        <w:tc>
          <w:tcPr>
            <w:tcW w:w="1244" w:type="dxa"/>
            <w:vAlign w:val="center"/>
          </w:tcPr>
          <w:p w14:paraId="7FE1CF4B" w14:textId="77777777" w:rsidR="00FE5D64" w:rsidRDefault="00E40776">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6B908A74" w:rsidR="00FE5D64" w:rsidRDefault="005128D9">
            <w:pPr>
              <w:pStyle w:val="P68B1DB1-TableParagraph73"/>
              <w:spacing w:before="108"/>
              <w:ind w:left="85"/>
              <w:jc w:val="both"/>
              <w:rPr>
                <w:bCs/>
              </w:rPr>
            </w:pPr>
            <w:r>
              <w:rPr>
                <w:lang w:val="bg-BG"/>
              </w:rPr>
              <w:t>Дължима сума по</w:t>
            </w:r>
            <w:r>
              <w:t xml:space="preserve"> </w:t>
            </w:r>
            <w:r w:rsidR="00E40776">
              <w:t xml:space="preserve">главница </w:t>
            </w:r>
          </w:p>
          <w:p w14:paraId="7FE1CF4D" w14:textId="33C001CA" w:rsidR="00FE5D64" w:rsidRDefault="005128D9">
            <w:pPr>
              <w:pStyle w:val="P68B1DB1-TableParagraph40"/>
              <w:spacing w:before="108"/>
              <w:ind w:left="85"/>
              <w:jc w:val="both"/>
            </w:pPr>
            <w:r>
              <w:rPr>
                <w:lang w:val="bg-BG"/>
              </w:rPr>
              <w:t>Дължимата сума по</w:t>
            </w:r>
            <w:r w:rsidR="00E40776">
              <w:t xml:space="preserve"> главницата </w:t>
            </w:r>
            <w:r>
              <w:rPr>
                <w:lang w:val="bg-BG"/>
              </w:rPr>
              <w:t>на</w:t>
            </w:r>
            <w:r>
              <w:t xml:space="preserve"> </w:t>
            </w:r>
            <w:r w:rsidR="00E40776">
              <w:t>задължението.</w:t>
            </w:r>
          </w:p>
        </w:tc>
      </w:tr>
      <w:tr w:rsidR="00FE5D64"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FE5D64" w:rsidRDefault="00E40776">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68118044" w:rsidR="00FE5D64" w:rsidRDefault="005128D9">
            <w:pPr>
              <w:pStyle w:val="P68B1DB1-TableParagraph73"/>
              <w:spacing w:before="108"/>
              <w:ind w:left="85"/>
              <w:jc w:val="both"/>
              <w:rPr>
                <w:bCs/>
              </w:rPr>
            </w:pPr>
            <w:r>
              <w:rPr>
                <w:lang w:val="bg-BG"/>
              </w:rPr>
              <w:t>Начислена</w:t>
            </w:r>
            <w:r>
              <w:t xml:space="preserve"> </w:t>
            </w:r>
            <w:r w:rsidR="00E40776">
              <w:t>лихва</w:t>
            </w:r>
          </w:p>
          <w:p w14:paraId="7FE1CF51" w14:textId="02A680BA" w:rsidR="00FE5D64" w:rsidRDefault="00DF608D">
            <w:pPr>
              <w:pStyle w:val="P68B1DB1-TableParagraph40"/>
              <w:spacing w:before="108"/>
              <w:ind w:left="85"/>
              <w:jc w:val="both"/>
            </w:pPr>
            <w:r>
              <w:rPr>
                <w:lang w:val="bg-BG"/>
              </w:rPr>
              <w:t>Текущ</w:t>
            </w:r>
            <w:r w:rsidR="00765313">
              <w:rPr>
                <w:lang w:val="bg-BG"/>
              </w:rPr>
              <w:t>о</w:t>
            </w:r>
            <w:r>
              <w:t xml:space="preserve"> </w:t>
            </w:r>
            <w:r w:rsidR="00E40776">
              <w:t xml:space="preserve">начислена лихва по </w:t>
            </w:r>
            <w:r w:rsidR="005128D9">
              <w:rPr>
                <w:lang w:val="bg-BG"/>
              </w:rPr>
              <w:t>задължението</w:t>
            </w:r>
            <w:r w:rsidR="00E40776">
              <w:t>.</w:t>
            </w:r>
          </w:p>
        </w:tc>
      </w:tr>
      <w:tr w:rsidR="00FE5D64"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FE5D64" w:rsidRDefault="00E40776">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FE5D64" w:rsidRDefault="00E40776">
            <w:pPr>
              <w:pStyle w:val="P68B1DB1-TableParagraph73"/>
              <w:spacing w:before="108"/>
              <w:ind w:left="85"/>
              <w:jc w:val="both"/>
              <w:rPr>
                <w:bCs/>
              </w:rPr>
            </w:pPr>
            <w:r>
              <w:t>Валута</w:t>
            </w:r>
          </w:p>
          <w:p w14:paraId="7FE1CF55" w14:textId="48A51BAA" w:rsidR="00FE5D64" w:rsidRDefault="00E40776">
            <w:pPr>
              <w:pStyle w:val="P68B1DB1-TableParagraph40"/>
              <w:spacing w:before="108"/>
              <w:ind w:left="85"/>
              <w:jc w:val="both"/>
            </w:pPr>
            <w:r>
              <w:t xml:space="preserve">Валутата на задължението в съответствие с </w:t>
            </w:r>
            <w:r w:rsidR="005128D9">
              <w:rPr>
                <w:lang w:val="bg-BG"/>
              </w:rPr>
              <w:t>нейния</w:t>
            </w:r>
            <w:r w:rsidR="005128D9">
              <w:t xml:space="preserve"> </w:t>
            </w:r>
            <w:r>
              <w:t>3-буквен код по ISO 4217.</w:t>
            </w:r>
          </w:p>
        </w:tc>
      </w:tr>
      <w:tr w:rsidR="00FE5D64"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FE5D64" w:rsidRDefault="00E40776">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01232D29" w:rsidR="00FE5D64" w:rsidRPr="005128D9" w:rsidRDefault="00E40776">
            <w:pPr>
              <w:pStyle w:val="P68B1DB1-TableParagraph73"/>
              <w:spacing w:before="108"/>
              <w:ind w:left="85"/>
              <w:jc w:val="both"/>
              <w:rPr>
                <w:lang w:val="bg-BG"/>
              </w:rPr>
            </w:pPr>
            <w:r>
              <w:t xml:space="preserve">Дата на </w:t>
            </w:r>
            <w:r w:rsidR="005128D9">
              <w:rPr>
                <w:lang w:val="bg-BG"/>
              </w:rPr>
              <w:t>възникване на задължението</w:t>
            </w:r>
          </w:p>
          <w:p w14:paraId="7FE1CF59" w14:textId="77ECEF2A" w:rsidR="00FE5D64" w:rsidRDefault="00E40776" w:rsidP="00AA1F43">
            <w:pPr>
              <w:pStyle w:val="P68B1DB1-TableParagraph40"/>
              <w:spacing w:before="108"/>
              <w:ind w:left="85"/>
              <w:jc w:val="both"/>
            </w:pPr>
            <w:r>
              <w:t xml:space="preserve">Дата на първоначалното </w:t>
            </w:r>
            <w:r w:rsidR="005B44BC">
              <w:rPr>
                <w:lang w:val="bg-BG"/>
              </w:rPr>
              <w:t>възникване/</w:t>
            </w:r>
            <w:r w:rsidR="00AA1F43">
              <w:rPr>
                <w:lang w:val="bg-BG"/>
              </w:rPr>
              <w:t>емитиране</w:t>
            </w:r>
            <w:r w:rsidR="00AA1F43">
              <w:t xml:space="preserve"> </w:t>
            </w:r>
            <w:r>
              <w:t xml:space="preserve">на задължението. </w:t>
            </w:r>
            <w:r w:rsidR="003B278F">
              <w:rPr>
                <w:lang w:val="bg-BG"/>
              </w:rPr>
              <w:t>При</w:t>
            </w:r>
            <w:r w:rsidR="003B278F">
              <w:t xml:space="preserve"> </w:t>
            </w:r>
            <w:r>
              <w:t xml:space="preserve">сделки за финансиране с ценни книжа, които са предмет на споразумение за нетиране и се отчитат като нетираща съвкупност, датата на </w:t>
            </w:r>
            <w:r w:rsidR="00AA1F43">
              <w:rPr>
                <w:lang w:val="bg-BG"/>
              </w:rPr>
              <w:t>отчитане</w:t>
            </w:r>
            <w:r w:rsidR="00AA1F43">
              <w:t xml:space="preserve"> </w:t>
            </w:r>
            <w:r>
              <w:t xml:space="preserve">може да се </w:t>
            </w:r>
            <w:r w:rsidR="003B278F">
              <w:rPr>
                <w:lang w:val="bg-BG"/>
              </w:rPr>
              <w:t>посочи</w:t>
            </w:r>
            <w:r w:rsidR="003B278F">
              <w:t xml:space="preserve"> </w:t>
            </w:r>
            <w:r>
              <w:t xml:space="preserve">като дата на </w:t>
            </w:r>
            <w:r w:rsidR="003B278F">
              <w:rPr>
                <w:lang w:val="bg-BG"/>
              </w:rPr>
              <w:t>възникване на задължението</w:t>
            </w:r>
            <w:r>
              <w:t>.</w:t>
            </w:r>
          </w:p>
        </w:tc>
      </w:tr>
      <w:tr w:rsidR="00FE5D64"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FE5D64" w:rsidRDefault="00E40776">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57A0056F" w:rsidR="00FE5D64" w:rsidRPr="003B278F" w:rsidRDefault="00E40776">
            <w:pPr>
              <w:pStyle w:val="P68B1DB1-TableParagraph73"/>
              <w:spacing w:before="108"/>
              <w:ind w:left="85"/>
              <w:jc w:val="both"/>
              <w:rPr>
                <w:lang w:val="bg-BG"/>
              </w:rPr>
            </w:pPr>
            <w:r>
              <w:t xml:space="preserve">Най-ранна дата на </w:t>
            </w:r>
            <w:r w:rsidR="003B278F">
              <w:rPr>
                <w:lang w:val="bg-BG"/>
              </w:rPr>
              <w:t>изплащане</w:t>
            </w:r>
          </w:p>
          <w:p w14:paraId="7FE1CF5D" w14:textId="4E606854" w:rsidR="003B278F" w:rsidRDefault="00E40776" w:rsidP="006445F0">
            <w:pPr>
              <w:pStyle w:val="P68B1DB1-TableParagraph40"/>
              <w:spacing w:before="108"/>
              <w:ind w:left="85"/>
              <w:jc w:val="both"/>
            </w:pPr>
            <w:r>
              <w:t>Ако съществува възможност кредиторът да поиска предсрочно погасяване</w:t>
            </w:r>
            <w:r w:rsidR="003B278F">
              <w:rPr>
                <w:lang w:val="bg-BG"/>
              </w:rPr>
              <w:t xml:space="preserve"> на задължението</w:t>
            </w:r>
            <w:r>
              <w:t xml:space="preserve"> или условията за предсрочно погасяване на задължението са предвидени в договора, </w:t>
            </w:r>
            <w:r w:rsidR="003B278F">
              <w:rPr>
                <w:lang w:val="bg-BG"/>
              </w:rPr>
              <w:t xml:space="preserve">посочва се </w:t>
            </w:r>
            <w:r>
              <w:t xml:space="preserve">най-ранната дата на настъпване на събитието. Ако предсрочното </w:t>
            </w:r>
            <w:r w:rsidR="00AA1F43">
              <w:rPr>
                <w:lang w:val="bg-BG"/>
              </w:rPr>
              <w:t>погасяване</w:t>
            </w:r>
            <w:r w:rsidR="00AA1F43">
              <w:t xml:space="preserve"> </w:t>
            </w:r>
            <w:r>
              <w:t xml:space="preserve">се отнася само до част от задължението (напр. предсрочно погасяване на 50% от номиналната стойност), задължението се разделя, за да се вземе предвид тази клауза за частично предсрочно погасяване. </w:t>
            </w:r>
            <w:r w:rsidR="003B278F">
              <w:rPr>
                <w:lang w:val="bg-BG"/>
              </w:rPr>
              <w:t>При</w:t>
            </w:r>
            <w:r w:rsidR="003B278F">
              <w:t xml:space="preserve"> </w:t>
            </w:r>
            <w:r>
              <w:t xml:space="preserve">сделки за финансиране с ценни книжа, които са предмет на споразумение за нетиране и се отчитат като нетираща съвкупност, </w:t>
            </w:r>
            <w:r w:rsidR="006445F0">
              <w:rPr>
                <w:lang w:val="bg-BG"/>
              </w:rPr>
              <w:t xml:space="preserve">посочва се </w:t>
            </w:r>
            <w:r>
              <w:t>денят след отчетната дата.</w:t>
            </w:r>
          </w:p>
        </w:tc>
      </w:tr>
      <w:tr w:rsidR="00FE5D64"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FE5D64" w:rsidRDefault="00E40776">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638F3D4C" w:rsidR="00FE5D64" w:rsidRDefault="006445F0">
            <w:pPr>
              <w:pStyle w:val="P68B1DB1-TableParagraph73"/>
              <w:spacing w:before="108"/>
              <w:ind w:left="85"/>
              <w:jc w:val="both"/>
              <w:rPr>
                <w:bCs/>
              </w:rPr>
            </w:pPr>
            <w:r>
              <w:rPr>
                <w:lang w:val="bg-BG"/>
              </w:rPr>
              <w:t>Краен договорен</w:t>
            </w:r>
            <w:r>
              <w:t xml:space="preserve"> </w:t>
            </w:r>
            <w:r w:rsidR="00E40776">
              <w:t>падеж</w:t>
            </w:r>
          </w:p>
          <w:p w14:paraId="7FE1CF61" w14:textId="583CD6F1" w:rsidR="00FE5D64" w:rsidRPr="006445F0" w:rsidRDefault="00E40776">
            <w:pPr>
              <w:pStyle w:val="P68B1DB1-TableParagraph40"/>
              <w:spacing w:before="108"/>
              <w:ind w:left="85"/>
              <w:jc w:val="both"/>
              <w:rPr>
                <w:lang w:val="bg-BG"/>
              </w:rPr>
            </w:pPr>
            <w:r>
              <w:t xml:space="preserve">Дата на </w:t>
            </w:r>
            <w:r w:rsidR="006445F0">
              <w:rPr>
                <w:lang w:val="bg-BG"/>
              </w:rPr>
              <w:t xml:space="preserve">крайния договорен </w:t>
            </w:r>
            <w:r>
              <w:t xml:space="preserve">падеж на </w:t>
            </w:r>
            <w:r w:rsidR="006445F0">
              <w:rPr>
                <w:lang w:val="bg-BG"/>
              </w:rPr>
              <w:t>задължението</w:t>
            </w:r>
            <w:r>
              <w:t xml:space="preserve">. За безсрочните </w:t>
            </w:r>
            <w:r w:rsidR="00AA1F43">
              <w:rPr>
                <w:lang w:val="bg-BG"/>
              </w:rPr>
              <w:t xml:space="preserve">инструменти </w:t>
            </w:r>
            <w:r>
              <w:t xml:space="preserve"> се </w:t>
            </w:r>
            <w:r w:rsidR="006445F0">
              <w:rPr>
                <w:lang w:val="bg-BG"/>
              </w:rPr>
              <w:t>посочва</w:t>
            </w:r>
            <w:r w:rsidR="00AA1F43">
              <w:t xml:space="preserve"> </w:t>
            </w:r>
            <w:r>
              <w:t>„2099</w:t>
            </w:r>
            <w:r w:rsidR="00AA1F43">
              <w:rPr>
                <w:lang w:val="bg-BG"/>
              </w:rPr>
              <w:t>-</w:t>
            </w:r>
            <w:r>
              <w:t>01</w:t>
            </w:r>
            <w:r w:rsidR="00AA1F43">
              <w:rPr>
                <w:lang w:val="bg-BG"/>
              </w:rPr>
              <w:t>-</w:t>
            </w:r>
            <w:r>
              <w:t>31“</w:t>
            </w:r>
            <w:r w:rsidR="006445F0">
              <w:rPr>
                <w:lang w:val="bg-BG"/>
              </w:rPr>
              <w:t>.</w:t>
            </w:r>
          </w:p>
          <w:p w14:paraId="7FE1CF62" w14:textId="1DBBBEB5" w:rsidR="00FE5D64" w:rsidRDefault="006445F0">
            <w:pPr>
              <w:pStyle w:val="P68B1DB1-TableParagraph40"/>
              <w:spacing w:before="108"/>
              <w:ind w:left="85"/>
              <w:jc w:val="both"/>
            </w:pPr>
            <w:r>
              <w:rPr>
                <w:lang w:val="bg-BG"/>
              </w:rPr>
              <w:t>При</w:t>
            </w:r>
            <w:r>
              <w:t xml:space="preserve"> </w:t>
            </w:r>
            <w:r w:rsidR="00E40776">
              <w:t xml:space="preserve">сделки за финансиране с ценни книжа, които са предмет на споразумение за нетиране и се отчитат като нетираща съвкупност, </w:t>
            </w:r>
            <w:r>
              <w:rPr>
                <w:lang w:val="bg-BG"/>
              </w:rPr>
              <w:t>посочва се</w:t>
            </w:r>
            <w:r w:rsidR="00E40776">
              <w:t xml:space="preserve"> денят след отчетната дата.</w:t>
            </w:r>
          </w:p>
        </w:tc>
      </w:tr>
      <w:tr w:rsidR="00FE5D64"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FE5D64" w:rsidRDefault="00E40776">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468FEA9D" w:rsidR="00FE5D64" w:rsidRDefault="00E40776">
            <w:pPr>
              <w:pStyle w:val="P68B1DB1-TableParagraph73"/>
              <w:spacing w:before="108"/>
              <w:ind w:left="85"/>
              <w:jc w:val="both"/>
              <w:rPr>
                <w:bCs/>
              </w:rPr>
            </w:pPr>
            <w:r>
              <w:t xml:space="preserve">Размер на залог, </w:t>
            </w:r>
            <w:r w:rsidR="00D60CA3">
              <w:rPr>
                <w:lang w:val="bg-BG"/>
              </w:rPr>
              <w:t>реално обезпечение</w:t>
            </w:r>
            <w:r>
              <w:t xml:space="preserve"> или </w:t>
            </w:r>
            <w:r w:rsidR="00B134C0">
              <w:rPr>
                <w:lang w:val="bg-BG"/>
              </w:rPr>
              <w:t xml:space="preserve">друго </w:t>
            </w:r>
            <w:r>
              <w:t>обезпечение</w:t>
            </w:r>
          </w:p>
          <w:p w14:paraId="7FE1CF66" w14:textId="490C3F68" w:rsidR="00FE5D64" w:rsidRDefault="00E40776" w:rsidP="008945A2">
            <w:pPr>
              <w:pStyle w:val="P68B1DB1-TableParagraph40"/>
              <w:spacing w:before="108"/>
              <w:ind w:left="85"/>
              <w:jc w:val="both"/>
            </w:pPr>
            <w:r>
              <w:t xml:space="preserve">Когато задължението е обезпечено със залог, </w:t>
            </w:r>
            <w:r w:rsidR="006F3704">
              <w:rPr>
                <w:lang w:val="bg-BG"/>
              </w:rPr>
              <w:t>реално обезпечение</w:t>
            </w:r>
            <w:r w:rsidR="00B134C0">
              <w:t xml:space="preserve"> </w:t>
            </w:r>
            <w:r>
              <w:t xml:space="preserve">или </w:t>
            </w:r>
            <w:r w:rsidR="00B134C0">
              <w:rPr>
                <w:lang w:val="bg-BG"/>
              </w:rPr>
              <w:t>друго</w:t>
            </w:r>
            <w:r w:rsidR="00B134C0" w:rsidRPr="006445F0">
              <w:rPr>
                <w:lang w:val="bg-BG"/>
              </w:rPr>
              <w:t xml:space="preserve"> </w:t>
            </w:r>
            <w:r>
              <w:t xml:space="preserve">обезпечение, се предоставя брутната стойност на </w:t>
            </w:r>
            <w:r w:rsidR="001A2BB2">
              <w:rPr>
                <w:lang w:val="bg-BG"/>
              </w:rPr>
              <w:t>обезпечени</w:t>
            </w:r>
            <w:r w:rsidR="00A97E96">
              <w:rPr>
                <w:lang w:val="bg-BG"/>
              </w:rPr>
              <w:t>е</w:t>
            </w:r>
            <w:r w:rsidR="001A2BB2">
              <w:rPr>
                <w:lang w:val="bg-BG"/>
              </w:rPr>
              <w:t>то</w:t>
            </w:r>
            <w:r>
              <w:t xml:space="preserve">. В противен случай за необезпечените задължения тази категория се отчита като нула. Тази сума </w:t>
            </w:r>
            <w:r w:rsidR="00B1774F">
              <w:rPr>
                <w:lang w:val="bg-BG"/>
              </w:rPr>
              <w:t>определя</w:t>
            </w:r>
            <w:r>
              <w:t xml:space="preserve"> обезпечената </w:t>
            </w:r>
            <w:r w:rsidR="00B1774F" w:rsidRPr="006445F0">
              <w:rPr>
                <w:lang w:val="bg-BG"/>
              </w:rPr>
              <w:t xml:space="preserve">и </w:t>
            </w:r>
            <w:r w:rsidR="00B1774F">
              <w:rPr>
                <w:lang w:val="bg-BG"/>
              </w:rPr>
              <w:t>евентуално</w:t>
            </w:r>
            <w:r>
              <w:t xml:space="preserve"> необезпечената част от всяко задължение</w:t>
            </w:r>
            <w:r w:rsidR="001A2BB2">
              <w:rPr>
                <w:lang w:val="bg-BG"/>
              </w:rPr>
              <w:t>, по което е представено обезпечение</w:t>
            </w:r>
            <w:r>
              <w:t>. За групите обезпечения, които обезпечават множество позиции</w:t>
            </w:r>
            <w:r w:rsidR="001A2BB2">
              <w:rPr>
                <w:lang w:val="bg-BG"/>
              </w:rPr>
              <w:t xml:space="preserve"> задължения</w:t>
            </w:r>
            <w:r>
              <w:t xml:space="preserve">, се определя общото покритие и се прилага пропорционално за всички позиции </w:t>
            </w:r>
            <w:r w:rsidR="001A2BB2">
              <w:rPr>
                <w:lang w:val="bg-BG"/>
              </w:rPr>
              <w:t>по редове</w:t>
            </w:r>
            <w:r>
              <w:t xml:space="preserve">, обхванати от </w:t>
            </w:r>
            <w:r w:rsidR="001A2BB2">
              <w:rPr>
                <w:lang w:val="bg-BG"/>
              </w:rPr>
              <w:t>тази група обезпечения</w:t>
            </w:r>
            <w:r>
              <w:t>.</w:t>
            </w:r>
          </w:p>
        </w:tc>
      </w:tr>
      <w:tr w:rsidR="00FE5D64"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FE5D64" w:rsidRDefault="00E40776">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FE5D64" w:rsidRDefault="00E40776">
            <w:pPr>
              <w:pStyle w:val="P68B1DB1-TableParagraph73"/>
              <w:spacing w:before="108"/>
              <w:ind w:left="85"/>
              <w:jc w:val="both"/>
              <w:rPr>
                <w:bCs/>
              </w:rPr>
            </w:pPr>
            <w:r>
              <w:t>Гарант, ако е приложимо</w:t>
            </w:r>
          </w:p>
          <w:p w14:paraId="7FE1CF6A" w14:textId="404E6058" w:rsidR="00FE5D64" w:rsidRDefault="00E40776" w:rsidP="00D2019A">
            <w:pPr>
              <w:pStyle w:val="P68B1DB1-TableParagraph40"/>
              <w:spacing w:before="108"/>
              <w:ind w:left="85"/>
              <w:jc w:val="both"/>
            </w:pPr>
            <w:r>
              <w:t xml:space="preserve">Ако </w:t>
            </w:r>
            <w:r w:rsidR="001A2BB2">
              <w:rPr>
                <w:lang w:val="bg-BG"/>
              </w:rPr>
              <w:t>по</w:t>
            </w:r>
            <w:r w:rsidR="001A2BB2">
              <w:t xml:space="preserve"> </w:t>
            </w:r>
            <w:r>
              <w:t xml:space="preserve">инструмента са </w:t>
            </w:r>
            <w:r w:rsidR="00D2019A">
              <w:rPr>
                <w:lang w:val="bg-BG"/>
              </w:rPr>
              <w:t>предоставени</w:t>
            </w:r>
            <w:r w:rsidR="00D2019A" w:rsidRPr="006445F0">
              <w:rPr>
                <w:lang w:val="bg-BG"/>
              </w:rPr>
              <w:t xml:space="preserve"> </w:t>
            </w:r>
            <w:r>
              <w:t xml:space="preserve">гаранции, </w:t>
            </w:r>
            <w:r w:rsidR="001A2BB2">
              <w:rPr>
                <w:lang w:val="bg-BG"/>
              </w:rPr>
              <w:t>се посочва</w:t>
            </w:r>
            <w:r w:rsidR="001A2BB2">
              <w:t xml:space="preserve"> </w:t>
            </w:r>
            <w:r>
              <w:t xml:space="preserve">подробна идентификация на </w:t>
            </w:r>
            <w:r w:rsidR="001A2BB2">
              <w:rPr>
                <w:lang w:val="bg-BG"/>
              </w:rPr>
              <w:t>издателя на гаранцията</w:t>
            </w:r>
            <w:r w:rsidR="001A2BB2">
              <w:t xml:space="preserve"> </w:t>
            </w:r>
            <w:r>
              <w:t xml:space="preserve">(ИКПС, ISO 3166—1 alpha-2 код на държавата за </w:t>
            </w:r>
            <w:r w:rsidR="00BD2399">
              <w:rPr>
                <w:lang w:val="bg-BG"/>
              </w:rPr>
              <w:t>правителства</w:t>
            </w:r>
            <w:r w:rsidR="00BD2399">
              <w:t xml:space="preserve"> </w:t>
            </w:r>
            <w:r>
              <w:t xml:space="preserve">и т.н.). Когато има </w:t>
            </w:r>
            <w:r w:rsidR="001A2BB2">
              <w:rPr>
                <w:lang w:val="bg-BG"/>
              </w:rPr>
              <w:t>повече от един</w:t>
            </w:r>
            <w:r w:rsidR="001A2BB2">
              <w:t xml:space="preserve"> </w:t>
            </w:r>
            <w:r>
              <w:t xml:space="preserve">гарант, </w:t>
            </w:r>
            <w:r w:rsidR="001A2BB2">
              <w:rPr>
                <w:lang w:val="bg-BG"/>
              </w:rPr>
              <w:t>посочват се</w:t>
            </w:r>
            <w:r>
              <w:t xml:space="preserve"> идентификатори</w:t>
            </w:r>
            <w:r w:rsidR="001A2BB2">
              <w:rPr>
                <w:lang w:val="bg-BG"/>
              </w:rPr>
              <w:t xml:space="preserve"> за всеки от тях</w:t>
            </w:r>
            <w:r>
              <w:t>, разделени с точка и запетая.</w:t>
            </w:r>
          </w:p>
        </w:tc>
      </w:tr>
      <w:tr w:rsidR="00FE5D64"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FE5D64" w:rsidRDefault="00E40776">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49A92A1A" w:rsidR="00FE5D64" w:rsidRDefault="00E40776">
            <w:pPr>
              <w:pStyle w:val="P68B1DB1-TableParagraph73"/>
              <w:spacing w:before="108"/>
              <w:ind w:left="85"/>
              <w:jc w:val="both"/>
              <w:rPr>
                <w:bCs/>
              </w:rPr>
            </w:pPr>
            <w:r>
              <w:t>Сума, отговаряща на условията за  МИ</w:t>
            </w:r>
            <w:r w:rsidR="00D2019A">
              <w:rPr>
                <w:lang w:val="bg-BG"/>
              </w:rPr>
              <w:t>СК</w:t>
            </w:r>
            <w:r>
              <w:t>ПЗ</w:t>
            </w:r>
          </w:p>
          <w:p w14:paraId="7FE1CF6F" w14:textId="7DF34CD3" w:rsidR="00FE5D64" w:rsidRDefault="00CA1AD1">
            <w:pPr>
              <w:pStyle w:val="P68B1DB1-TableParagraph40"/>
              <w:spacing w:before="108"/>
              <w:ind w:left="85"/>
              <w:jc w:val="both"/>
            </w:pPr>
            <w:r>
              <w:rPr>
                <w:lang w:val="bg-BG"/>
              </w:rPr>
              <w:t xml:space="preserve">Посочва се сумата на собствения капитал </w:t>
            </w:r>
            <w:r w:rsidR="00E40776">
              <w:t xml:space="preserve">и приемливите задължения, </w:t>
            </w:r>
            <w:r>
              <w:rPr>
                <w:lang w:val="bg-BG"/>
              </w:rPr>
              <w:t>отговарящи на</w:t>
            </w:r>
            <w:r w:rsidR="00E40776">
              <w:t xml:space="preserve"> изискването, определено в съответствие с член 45, параграф 1 от Директива 2014/59/ЕС. </w:t>
            </w:r>
          </w:p>
        </w:tc>
      </w:tr>
      <w:tr w:rsidR="00FE5D64"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FE5D64" w:rsidRDefault="00E40776">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4F72C6E5" w:rsidR="00FE5D64" w:rsidRPr="006445F0" w:rsidRDefault="00CA1AD1">
            <w:pPr>
              <w:pStyle w:val="P68B1DB1-TableParagraph73"/>
              <w:spacing w:before="108"/>
              <w:ind w:left="85"/>
              <w:jc w:val="both"/>
              <w:rPr>
                <w:lang w:val="bg-BG"/>
              </w:rPr>
            </w:pPr>
            <w:r>
              <w:rPr>
                <w:lang w:val="bg-BG"/>
              </w:rPr>
              <w:t>Отговарящи на изискванията за</w:t>
            </w:r>
            <w:r w:rsidR="00E40776">
              <w:t xml:space="preserve"> собствен </w:t>
            </w:r>
            <w:r w:rsidR="00A53632">
              <w:rPr>
                <w:lang w:val="bg-BG"/>
              </w:rPr>
              <w:t>капитал</w:t>
            </w:r>
          </w:p>
          <w:p w14:paraId="7FE1CF73" w14:textId="56A5FFA5" w:rsidR="00FE5D64" w:rsidRDefault="000D1353">
            <w:pPr>
              <w:pStyle w:val="P68B1DB1-TableParagraph40"/>
              <w:spacing w:before="108"/>
              <w:ind w:left="85"/>
              <w:jc w:val="both"/>
            </w:pPr>
            <w:r>
              <w:rPr>
                <w:lang w:val="bg-BG"/>
              </w:rPr>
              <w:t>Посочва се</w:t>
            </w:r>
            <w:r>
              <w:t xml:space="preserve"> </w:t>
            </w:r>
            <w:r w:rsidR="00E40776">
              <w:t xml:space="preserve">дали и на какво </w:t>
            </w:r>
            <w:r>
              <w:rPr>
                <w:lang w:val="bg-BG"/>
              </w:rPr>
              <w:t>ниво</w:t>
            </w:r>
            <w:r>
              <w:t xml:space="preserve"> </w:t>
            </w:r>
            <w:r w:rsidR="00E40776">
              <w:t xml:space="preserve">инструментът е включен в собствения капитал, заедно с информация относно режима за </w:t>
            </w:r>
            <w:r>
              <w:rPr>
                <w:lang w:val="bg-BG"/>
              </w:rPr>
              <w:t xml:space="preserve">поетапна </w:t>
            </w:r>
            <w:r w:rsidR="00A53632">
              <w:rPr>
                <w:lang w:val="bg-BG"/>
              </w:rPr>
              <w:t>амортиз</w:t>
            </w:r>
            <w:r>
              <w:rPr>
                <w:lang w:val="bg-BG"/>
              </w:rPr>
              <w:t>ация</w:t>
            </w:r>
            <w:r w:rsidR="00E40776">
              <w:t xml:space="preserve"> и</w:t>
            </w:r>
            <w:r>
              <w:rPr>
                <w:lang w:val="bg-BG"/>
              </w:rPr>
              <w:t xml:space="preserve"> унаследяване </w:t>
            </w:r>
            <w:r>
              <w:rPr>
                <w:lang w:val="en-US"/>
              </w:rPr>
              <w:t>(grandfathering)</w:t>
            </w:r>
            <w:r w:rsidR="00E40776">
              <w:t xml:space="preserve">. </w:t>
            </w:r>
            <w:r>
              <w:rPr>
                <w:lang w:val="bg-BG"/>
              </w:rPr>
              <w:t xml:space="preserve">Посочва се една от стойностите от </w:t>
            </w:r>
            <w:r>
              <w:t>предварително определен списък</w:t>
            </w:r>
            <w:r>
              <w:rPr>
                <w:lang w:val="bg-BG"/>
              </w:rPr>
              <w:t xml:space="preserve">: </w:t>
            </w:r>
            <w:r w:rsidR="00E40776">
              <w:t>„Не</w:t>
            </w:r>
            <w:r w:rsidR="00D2019A">
              <w:rPr>
                <w:lang w:val="bg-BG"/>
              </w:rPr>
              <w:t>“,</w:t>
            </w:r>
            <w:r w:rsidR="00E40776">
              <w:t xml:space="preserve"> „Частично AT1, T1 и T2</w:t>
            </w:r>
            <w:r w:rsidR="00D2019A">
              <w:rPr>
                <w:lang w:val="bg-BG"/>
              </w:rPr>
              <w:t>“</w:t>
            </w:r>
            <w:r w:rsidR="00E40776">
              <w:t>, „T2 при поетапн</w:t>
            </w:r>
            <w:r w:rsidR="00D2019A">
              <w:rPr>
                <w:lang w:val="bg-BG"/>
              </w:rPr>
              <w:t>а амортизация“</w:t>
            </w:r>
            <w:r w:rsidR="00E40776">
              <w:t>, „</w:t>
            </w:r>
            <w:r w:rsidR="00D2019A">
              <w:rPr>
                <w:lang w:val="bg-BG"/>
              </w:rPr>
              <w:t>Унаследен</w:t>
            </w:r>
            <w:r w:rsidR="00D2019A">
              <w:t xml:space="preserve"> </w:t>
            </w:r>
            <w:r w:rsidR="00E40776">
              <w:t>T2“, „</w:t>
            </w:r>
            <w:r w:rsidR="00D2019A">
              <w:rPr>
                <w:lang w:val="bg-BG"/>
              </w:rPr>
              <w:t>Н</w:t>
            </w:r>
            <w:r w:rsidR="00E40776">
              <w:t>апълно съответстващ T2</w:t>
            </w:r>
            <w:r w:rsidR="00D2019A">
              <w:rPr>
                <w:lang w:val="bg-BG"/>
              </w:rPr>
              <w:t>“</w:t>
            </w:r>
            <w:r w:rsidR="00E40776">
              <w:t>, „</w:t>
            </w:r>
            <w:r w:rsidR="00D2019A">
              <w:rPr>
                <w:lang w:val="bg-BG"/>
              </w:rPr>
              <w:t>Унаследен</w:t>
            </w:r>
            <w:r w:rsidR="00E40776">
              <w:t xml:space="preserve"> AT1</w:t>
            </w:r>
            <w:r w:rsidR="00D2019A">
              <w:rPr>
                <w:lang w:val="bg-BG"/>
              </w:rPr>
              <w:t>“</w:t>
            </w:r>
            <w:r w:rsidR="00E40776">
              <w:t>, „</w:t>
            </w:r>
            <w:r w:rsidR="00D2019A">
              <w:rPr>
                <w:lang w:val="bg-BG"/>
              </w:rPr>
              <w:t>Н</w:t>
            </w:r>
            <w:r w:rsidR="00E40776">
              <w:t>апълно съответстващ AT1</w:t>
            </w:r>
            <w:r w:rsidR="00D2019A">
              <w:rPr>
                <w:lang w:val="bg-BG"/>
              </w:rPr>
              <w:t xml:space="preserve">“ </w:t>
            </w:r>
            <w:r w:rsidR="00E40776">
              <w:t>или „CET1“.</w:t>
            </w:r>
          </w:p>
          <w:p w14:paraId="7FE1CF74" w14:textId="1952A124" w:rsidR="00FE5D64" w:rsidRDefault="00E40776">
            <w:pPr>
              <w:pStyle w:val="P68B1DB1-TableParagraph40"/>
              <w:spacing w:before="108"/>
              <w:ind w:left="85"/>
              <w:jc w:val="both"/>
            </w:pPr>
            <w:r>
              <w:t>В списъка с опции терминът „поетапн</w:t>
            </w:r>
            <w:r w:rsidR="00D2019A">
              <w:rPr>
                <w:lang w:val="bg-BG"/>
              </w:rPr>
              <w:t>а амортизация</w:t>
            </w:r>
            <w:r>
              <w:t>“</w:t>
            </w:r>
            <w:r w:rsidR="00D2019A">
              <w:rPr>
                <w:lang w:val="en-US"/>
              </w:rPr>
              <w:t xml:space="preserve"> </w:t>
            </w:r>
            <w:r w:rsidR="00D2019A">
              <w:rPr>
                <w:lang w:val="bg-BG"/>
              </w:rPr>
              <w:t>(</w:t>
            </w:r>
            <w:r w:rsidR="00D2019A">
              <w:rPr>
                <w:lang w:val="en-US"/>
              </w:rPr>
              <w:t>“phase-out”)</w:t>
            </w:r>
            <w:r>
              <w:t xml:space="preserve"> се отнася за периода от 5</w:t>
            </w:r>
            <w:r w:rsidR="00D2019A">
              <w:rPr>
                <w:lang w:val="en-US"/>
              </w:rPr>
              <w:t xml:space="preserve"> </w:t>
            </w:r>
            <w:r>
              <w:t xml:space="preserve">години преди падежа на даден инструмент </w:t>
            </w:r>
            <w:r w:rsidR="00D01477">
              <w:rPr>
                <w:lang w:val="bg-BG"/>
              </w:rPr>
              <w:t>на капитала от втори ред (</w:t>
            </w:r>
            <w:r>
              <w:t>Т2</w:t>
            </w:r>
            <w:r w:rsidR="00D01477">
              <w:rPr>
                <w:lang w:val="bg-BG"/>
              </w:rPr>
              <w:t>)</w:t>
            </w:r>
            <w:r>
              <w:t>, през който има само пропорционално признаване въз основа на оставащия срок до падежа. „Унаследяване</w:t>
            </w:r>
            <w:r w:rsidR="00D2019A">
              <w:rPr>
                <w:lang w:val="en-US"/>
              </w:rPr>
              <w:t xml:space="preserve">” </w:t>
            </w:r>
            <w:r>
              <w:t xml:space="preserve">се отнася до всяка преходна мярка, приложима за инструмент </w:t>
            </w:r>
            <w:r w:rsidR="00D01477">
              <w:rPr>
                <w:lang w:val="bg-BG"/>
              </w:rPr>
              <w:t>на капитала от втори ред (</w:t>
            </w:r>
            <w:r>
              <w:t>Т2</w:t>
            </w:r>
            <w:r w:rsidR="00D01477">
              <w:rPr>
                <w:lang w:val="bg-BG"/>
              </w:rPr>
              <w:t>)</w:t>
            </w:r>
            <w:r>
              <w:t>, без да се включва „</w:t>
            </w:r>
            <w:r w:rsidR="00A36A7B">
              <w:rPr>
                <w:lang w:val="bg-BG"/>
              </w:rPr>
              <w:t>поетапна амортизация</w:t>
            </w:r>
            <w:r>
              <w:t>“. По време на това „</w:t>
            </w:r>
            <w:r w:rsidR="00D01477">
              <w:rPr>
                <w:lang w:val="bg-BG"/>
              </w:rPr>
              <w:t>унаследяване</w:t>
            </w:r>
            <w:r>
              <w:t>“ признаването може да бъде пълно или частично.</w:t>
            </w:r>
          </w:p>
          <w:p w14:paraId="7FE1CF75" w14:textId="77777777" w:rsidR="00FE5D64" w:rsidRDefault="00FE5D64">
            <w:pPr>
              <w:pStyle w:val="TableParagraph"/>
              <w:spacing w:before="108"/>
              <w:ind w:left="85"/>
              <w:jc w:val="both"/>
              <w:rPr>
                <w:rFonts w:ascii="Times New Roman" w:eastAsia="Times New Roman" w:hAnsi="Times New Roman" w:cs="Times New Roman"/>
                <w:sz w:val="20"/>
                <w:szCs w:val="20"/>
              </w:rPr>
            </w:pPr>
          </w:p>
        </w:tc>
      </w:tr>
      <w:tr w:rsidR="00FE5D64"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FE5D64" w:rsidRDefault="00E40776">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11FC9867" w:rsidR="00FE5D64" w:rsidRDefault="00E40776">
            <w:pPr>
              <w:pStyle w:val="P68B1DB1-TableParagraph73"/>
              <w:spacing w:before="108"/>
              <w:ind w:left="85"/>
              <w:jc w:val="both"/>
              <w:rPr>
                <w:bCs/>
              </w:rPr>
            </w:pPr>
            <w:r>
              <w:t xml:space="preserve">Сума, </w:t>
            </w:r>
            <w:r w:rsidR="00A563C9">
              <w:rPr>
                <w:lang w:val="bg-BG"/>
              </w:rPr>
              <w:t>включена в</w:t>
            </w:r>
            <w:r>
              <w:t xml:space="preserve"> собствен</w:t>
            </w:r>
            <w:r w:rsidR="00A563C9">
              <w:rPr>
                <w:lang w:val="bg-BG"/>
              </w:rPr>
              <w:t>ия</w:t>
            </w:r>
            <w:r>
              <w:t xml:space="preserve"> капитал</w:t>
            </w:r>
          </w:p>
          <w:p w14:paraId="7FE1CF79" w14:textId="28EFFBCF" w:rsidR="00FE5D64" w:rsidRDefault="00E40776">
            <w:pPr>
              <w:pStyle w:val="P68B1DB1-TableParagraph40"/>
              <w:spacing w:before="108"/>
              <w:ind w:left="85"/>
              <w:jc w:val="both"/>
            </w:pPr>
            <w:r>
              <w:t>Размерът на инструмента, който отговаря на условията за собствен капитал.</w:t>
            </w:r>
          </w:p>
        </w:tc>
      </w:tr>
    </w:tbl>
    <w:p w14:paraId="7FE1CF7B" w14:textId="77777777" w:rsidR="00FE5D64" w:rsidRDefault="00FE5D64">
      <w:pPr>
        <w:pStyle w:val="Instructionsberschrift2"/>
        <w:ind w:left="357"/>
        <w:rPr>
          <w:rFonts w:ascii="Times New Roman" w:eastAsia="Calibri" w:hAnsi="Times New Roman" w:cs="Times New Roman"/>
          <w:szCs w:val="20"/>
        </w:rPr>
      </w:pPr>
    </w:p>
    <w:p w14:paraId="7FE1CF7C" w14:textId="6E50FF14" w:rsidR="00FE5D64" w:rsidRDefault="00E40776">
      <w:pPr>
        <w:pStyle w:val="Instructionsberschrift2"/>
        <w:numPr>
          <w:ilvl w:val="1"/>
          <w:numId w:val="49"/>
        </w:numPr>
        <w:spacing w:before="0"/>
        <w:ind w:left="357" w:hanging="357"/>
        <w:rPr>
          <w:rFonts w:ascii="Times New Roman" w:hAnsi="Times New Roman" w:cs="Times New Roman"/>
        </w:rPr>
      </w:pPr>
      <w:bookmarkStart w:id="261" w:name="_Toc208244485"/>
      <w:bookmarkEnd w:id="258"/>
      <w:r>
        <w:rPr>
          <w:rFonts w:ascii="Times New Roman" w:hAnsi="Times New Roman" w:cs="Times New Roman"/>
          <w:color w:val="000000" w:themeColor="text1"/>
        </w:rPr>
        <w:t xml:space="preserve">Z 12.00 — Ценни </w:t>
      </w:r>
      <w:r>
        <w:rPr>
          <w:rFonts w:ascii="Times New Roman" w:eastAsia="Cambria" w:hAnsi="Times New Roman" w:cs="Times New Roman"/>
        </w:rPr>
        <w:t xml:space="preserve">книжа (включително </w:t>
      </w:r>
      <w:r w:rsidR="00A563C9">
        <w:rPr>
          <w:rFonts w:ascii="Times New Roman" w:eastAsia="Cambria" w:hAnsi="Times New Roman" w:cs="Times New Roman"/>
          <w:lang w:val="bg-BG"/>
        </w:rPr>
        <w:t>инструменти на базовия собствен капитал от първи ре</w:t>
      </w:r>
      <w:r w:rsidR="00920103">
        <w:rPr>
          <w:rFonts w:ascii="Times New Roman" w:eastAsia="Cambria" w:hAnsi="Times New Roman" w:cs="Times New Roman"/>
          <w:lang w:val="bg-BG"/>
        </w:rPr>
        <w:t>д</w:t>
      </w:r>
      <w:r w:rsidR="00A563C9">
        <w:rPr>
          <w:rFonts w:ascii="Times New Roman" w:eastAsia="Cambria" w:hAnsi="Times New Roman" w:cs="Times New Roman"/>
          <w:lang w:val="bg-BG"/>
        </w:rPr>
        <w:t xml:space="preserve"> (</w:t>
      </w:r>
      <w:r w:rsidR="00AD2BC8" w:rsidRPr="002F61BB">
        <w:rPr>
          <w:rFonts w:ascii="Times New Roman" w:eastAsia="Cambria" w:hAnsi="Times New Roman" w:cs="Times New Roman"/>
        </w:rPr>
        <w:t>CET1</w:t>
      </w:r>
      <w:r w:rsidR="00A563C9">
        <w:rPr>
          <w:rFonts w:ascii="Times New Roman" w:eastAsia="Cambria" w:hAnsi="Times New Roman" w:cs="Times New Roman"/>
          <w:lang w:val="bg-BG"/>
        </w:rPr>
        <w:t>)</w:t>
      </w:r>
      <w:r w:rsidR="00AD2BC8" w:rsidRPr="002F61BB">
        <w:rPr>
          <w:rFonts w:ascii="Times New Roman" w:eastAsia="Cambria" w:hAnsi="Times New Roman" w:cs="Times New Roman"/>
        </w:rPr>
        <w:t>,</w:t>
      </w:r>
      <w:r w:rsidR="00A563C9">
        <w:rPr>
          <w:rFonts w:ascii="Times New Roman" w:eastAsia="Cambria" w:hAnsi="Times New Roman" w:cs="Times New Roman"/>
          <w:lang w:val="bg-BG"/>
        </w:rPr>
        <w:t xml:space="preserve"> допълнителния капитал от първи ред</w:t>
      </w:r>
      <w:r w:rsidR="00AD2BC8" w:rsidRPr="002F61BB">
        <w:rPr>
          <w:rFonts w:ascii="Times New Roman" w:eastAsia="Cambria" w:hAnsi="Times New Roman" w:cs="Times New Roman"/>
        </w:rPr>
        <w:t xml:space="preserve"> </w:t>
      </w:r>
      <w:r w:rsidR="00A563C9">
        <w:rPr>
          <w:rFonts w:ascii="Times New Roman" w:eastAsia="Cambria" w:hAnsi="Times New Roman" w:cs="Times New Roman"/>
          <w:lang w:val="bg-BG"/>
        </w:rPr>
        <w:t>(</w:t>
      </w:r>
      <w:r w:rsidR="00AD2BC8" w:rsidRPr="002F61BB">
        <w:rPr>
          <w:rFonts w:ascii="Times New Roman" w:eastAsia="Cambria" w:hAnsi="Times New Roman" w:cs="Times New Roman"/>
        </w:rPr>
        <w:t>AT1</w:t>
      </w:r>
      <w:r w:rsidR="00A563C9">
        <w:rPr>
          <w:rFonts w:ascii="Times New Roman" w:eastAsia="Cambria" w:hAnsi="Times New Roman" w:cs="Times New Roman"/>
          <w:lang w:val="bg-BG"/>
        </w:rPr>
        <w:t>)</w:t>
      </w:r>
      <w:r w:rsidR="00AD2BC8" w:rsidRPr="002F61BB">
        <w:rPr>
          <w:rFonts w:ascii="Times New Roman" w:eastAsia="Cambria" w:hAnsi="Times New Roman" w:cs="Times New Roman"/>
        </w:rPr>
        <w:t xml:space="preserve"> </w:t>
      </w:r>
      <w:r w:rsidR="00A563C9">
        <w:rPr>
          <w:rFonts w:ascii="Times New Roman" w:eastAsia="Cambria" w:hAnsi="Times New Roman" w:cs="Times New Roman"/>
          <w:lang w:val="bg-BG"/>
        </w:rPr>
        <w:t>и</w:t>
      </w:r>
      <w:r w:rsidR="00AD2BC8" w:rsidRPr="002F61BB">
        <w:rPr>
          <w:rFonts w:ascii="Times New Roman" w:eastAsia="Cambria" w:hAnsi="Times New Roman" w:cs="Times New Roman"/>
        </w:rPr>
        <w:t xml:space="preserve"> </w:t>
      </w:r>
      <w:r w:rsidR="00A563C9">
        <w:rPr>
          <w:rFonts w:ascii="Times New Roman" w:eastAsia="Cambria" w:hAnsi="Times New Roman" w:cs="Times New Roman"/>
          <w:lang w:val="bg-BG"/>
        </w:rPr>
        <w:t>капитал от втори ред (</w:t>
      </w:r>
      <w:r w:rsidR="00AD2BC8" w:rsidRPr="002F61BB">
        <w:rPr>
          <w:rFonts w:ascii="Times New Roman" w:eastAsia="Cambria" w:hAnsi="Times New Roman" w:cs="Times New Roman"/>
        </w:rPr>
        <w:t>T2</w:t>
      </w:r>
      <w:r w:rsidR="00A563C9">
        <w:rPr>
          <w:rFonts w:ascii="Times New Roman" w:eastAsia="Cambria" w:hAnsi="Times New Roman" w:cs="Times New Roman"/>
          <w:lang w:val="bg-BG"/>
        </w:rPr>
        <w:t>)</w:t>
      </w:r>
      <w:r>
        <w:rPr>
          <w:rFonts w:ascii="Times New Roman" w:eastAsia="Cambria" w:hAnsi="Times New Roman" w:cs="Times New Roman"/>
        </w:rPr>
        <w:t>; с изключение на вътрешногрупови)</w:t>
      </w:r>
      <w:bookmarkEnd w:id="259"/>
      <w:r>
        <w:rPr>
          <w:rFonts w:ascii="Times New Roman" w:eastAsia="Cambria" w:hAnsi="Times New Roman" w:cs="Times New Roman"/>
        </w:rPr>
        <w:t xml:space="preserve"> </w:t>
      </w:r>
      <w:r>
        <w:rPr>
          <w:rFonts w:ascii="Times New Roman" w:eastAsia="Calibri" w:hAnsi="Times New Roman" w:cs="Times New Roman"/>
          <w:szCs w:val="20"/>
        </w:rPr>
        <w:t>(LIAB-G-2)</w:t>
      </w:r>
      <w:bookmarkEnd w:id="261"/>
    </w:p>
    <w:p w14:paraId="7FE1CF7D" w14:textId="77777777" w:rsidR="00FE5D64" w:rsidRDefault="00E40776">
      <w:pPr>
        <w:pStyle w:val="P68B1DB1-Numberedtitlelevel372"/>
      </w:pPr>
      <w:r>
        <w:t>Общи бележки</w:t>
      </w:r>
    </w:p>
    <w:p w14:paraId="7FE1CF7F" w14:textId="4604B7A2" w:rsidR="00FE5D64" w:rsidRDefault="00E40776">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 xml:space="preserve">Ценната книга е заменяем, прехвърляем финансов инструмент, който </w:t>
      </w:r>
      <w:r w:rsidR="00395F66">
        <w:rPr>
          <w:rFonts w:ascii="Times New Roman" w:eastAsia="Cambria" w:hAnsi="Times New Roman" w:cs="Times New Roman"/>
          <w:sz w:val="20"/>
          <w:szCs w:val="20"/>
          <w:lang w:val="bg-BG"/>
        </w:rPr>
        <w:t>е носител на</w:t>
      </w:r>
      <w:r w:rsidR="00395F66">
        <w:rPr>
          <w:rFonts w:ascii="Times New Roman" w:eastAsia="Cambria" w:hAnsi="Times New Roman" w:cs="Times New Roman"/>
          <w:sz w:val="20"/>
          <w:szCs w:val="20"/>
        </w:rPr>
        <w:t xml:space="preserve"> </w:t>
      </w:r>
      <w:r>
        <w:rPr>
          <w:rFonts w:ascii="Times New Roman" w:eastAsia="Cambria" w:hAnsi="Times New Roman" w:cs="Times New Roman"/>
          <w:sz w:val="20"/>
          <w:szCs w:val="20"/>
        </w:rPr>
        <w:t xml:space="preserve">финансова стойност, независимо от действителните му </w:t>
      </w:r>
      <w:r w:rsidR="00395F66">
        <w:rPr>
          <w:rFonts w:ascii="Times New Roman" w:eastAsia="Cambria" w:hAnsi="Times New Roman" w:cs="Times New Roman"/>
          <w:sz w:val="20"/>
          <w:szCs w:val="20"/>
          <w:lang w:val="bg-BG"/>
        </w:rPr>
        <w:t>специфики</w:t>
      </w:r>
      <w:r w:rsidR="00395F66">
        <w:rPr>
          <w:rFonts w:ascii="Times New Roman" w:eastAsia="Cambria" w:hAnsi="Times New Roman" w:cs="Times New Roman"/>
          <w:sz w:val="20"/>
          <w:szCs w:val="20"/>
        </w:rPr>
        <w:t xml:space="preserve"> </w:t>
      </w:r>
      <w:r>
        <w:rPr>
          <w:rFonts w:ascii="Times New Roman" w:eastAsia="Cambria" w:hAnsi="Times New Roman" w:cs="Times New Roman"/>
          <w:sz w:val="20"/>
          <w:szCs w:val="20"/>
        </w:rPr>
        <w:t xml:space="preserve">(напр. тези инструменти са обезпечени или необезпечени). </w:t>
      </w:r>
      <w:r w:rsidR="00920103">
        <w:rPr>
          <w:rFonts w:ascii="Times New Roman" w:eastAsia="Cambria" w:hAnsi="Times New Roman" w:cs="Times New Roman"/>
          <w:sz w:val="20"/>
          <w:szCs w:val="20"/>
          <w:lang w:val="bg-BG"/>
        </w:rPr>
        <w:t>Тук се включват</w:t>
      </w:r>
      <w:r>
        <w:rPr>
          <w:rFonts w:ascii="Times New Roman" w:eastAsia="Cambria" w:hAnsi="Times New Roman" w:cs="Times New Roman"/>
          <w:sz w:val="20"/>
          <w:szCs w:val="20"/>
        </w:rPr>
        <w:t xml:space="preserve"> и инструментите на собствения капитал</w:t>
      </w:r>
      <w:r>
        <w:rPr>
          <w:rStyle w:val="FootnoteReference"/>
          <w:rFonts w:eastAsia="Cambria" w:cs="Times New Roman"/>
        </w:rPr>
        <w:footnoteReference w:id="36"/>
      </w:r>
      <w:r>
        <w:rPr>
          <w:rFonts w:ascii="Times New Roman" w:eastAsia="Cambria" w:hAnsi="Times New Roman" w:cs="Times New Roman"/>
          <w:sz w:val="20"/>
          <w:szCs w:val="20"/>
        </w:rPr>
        <w:t xml:space="preserve">. За целите на инструментите на </w:t>
      </w:r>
      <w:r w:rsidR="00395F66">
        <w:rPr>
          <w:rFonts w:ascii="Times New Roman" w:eastAsia="Cambria" w:hAnsi="Times New Roman" w:cs="Times New Roman"/>
          <w:sz w:val="20"/>
          <w:szCs w:val="20"/>
          <w:lang w:val="en-US"/>
        </w:rPr>
        <w:t>CET</w:t>
      </w:r>
      <w:r>
        <w:rPr>
          <w:rFonts w:ascii="Times New Roman" w:eastAsia="Cambria" w:hAnsi="Times New Roman" w:cs="Times New Roman"/>
          <w:sz w:val="20"/>
          <w:szCs w:val="20"/>
        </w:rPr>
        <w:t>1</w:t>
      </w:r>
      <w:r w:rsidR="00920103">
        <w:rPr>
          <w:rFonts w:ascii="Times New Roman" w:eastAsia="Cambria" w:hAnsi="Times New Roman" w:cs="Times New Roman"/>
          <w:sz w:val="20"/>
          <w:szCs w:val="20"/>
          <w:lang w:val="bg-BG"/>
        </w:rPr>
        <w:t>,</w:t>
      </w:r>
      <w:r w:rsidR="000A712F">
        <w:rPr>
          <w:rFonts w:ascii="Times New Roman" w:eastAsia="Cambria" w:hAnsi="Times New Roman" w:cs="Times New Roman"/>
          <w:sz w:val="20"/>
          <w:szCs w:val="20"/>
          <w:lang w:val="bg-BG"/>
        </w:rPr>
        <w:t xml:space="preserve"> на ниво инструмент се отчита</w:t>
      </w:r>
      <w:r>
        <w:rPr>
          <w:rFonts w:ascii="Times New Roman" w:eastAsia="Cambria" w:hAnsi="Times New Roman" w:cs="Times New Roman"/>
          <w:sz w:val="20"/>
          <w:szCs w:val="20"/>
        </w:rPr>
        <w:t xml:space="preserve"> остатъчното вземане</w:t>
      </w:r>
      <w:r w:rsidR="000A712F" w:rsidRPr="00A563C9">
        <w:rPr>
          <w:rFonts w:ascii="Times New Roman" w:eastAsia="Cambria" w:hAnsi="Times New Roman"/>
          <w:sz w:val="20"/>
          <w:lang w:val="bg-BG"/>
        </w:rPr>
        <w:t xml:space="preserve"> </w:t>
      </w:r>
      <w:r>
        <w:rPr>
          <w:rFonts w:ascii="Times New Roman" w:eastAsia="Cambria" w:hAnsi="Times New Roman" w:cs="Times New Roman"/>
          <w:sz w:val="20"/>
          <w:szCs w:val="20"/>
        </w:rPr>
        <w:t xml:space="preserve">на акции от общия </w:t>
      </w:r>
      <w:r w:rsidR="000A712F">
        <w:rPr>
          <w:rFonts w:ascii="Times New Roman" w:eastAsia="Cambria" w:hAnsi="Times New Roman" w:cs="Times New Roman"/>
          <w:sz w:val="20"/>
          <w:szCs w:val="20"/>
          <w:lang w:val="bg-BG"/>
        </w:rPr>
        <w:t>счетоводен</w:t>
      </w:r>
      <w:r w:rsidR="000A712F">
        <w:rPr>
          <w:rFonts w:ascii="Times New Roman" w:eastAsia="Cambria" w:hAnsi="Times New Roman" w:cs="Times New Roman"/>
          <w:sz w:val="20"/>
          <w:szCs w:val="20"/>
        </w:rPr>
        <w:t xml:space="preserve"> </w:t>
      </w:r>
      <w:r>
        <w:rPr>
          <w:rFonts w:ascii="Times New Roman" w:eastAsia="Cambria" w:hAnsi="Times New Roman" w:cs="Times New Roman"/>
          <w:sz w:val="20"/>
          <w:szCs w:val="20"/>
        </w:rPr>
        <w:t>капитал (</w:t>
      </w:r>
      <w:r w:rsidR="000A712F">
        <w:rPr>
          <w:rFonts w:ascii="Times New Roman" w:eastAsia="Cambria" w:hAnsi="Times New Roman" w:cs="Times New Roman"/>
          <w:sz w:val="20"/>
          <w:szCs w:val="20"/>
          <w:lang w:val="bg-BG"/>
        </w:rPr>
        <w:t>съгласно определението</w:t>
      </w:r>
      <w:r>
        <w:rPr>
          <w:rFonts w:ascii="Times New Roman" w:eastAsia="Cambria" w:hAnsi="Times New Roman" w:cs="Times New Roman"/>
          <w:sz w:val="20"/>
          <w:szCs w:val="20"/>
        </w:rPr>
        <w:t xml:space="preserve"> в Z 02.00 — </w:t>
      </w:r>
      <w:r w:rsidR="000A712F">
        <w:rPr>
          <w:rFonts w:ascii="Times New Roman" w:eastAsia="Cambria" w:hAnsi="Times New Roman" w:cs="Times New Roman"/>
          <w:sz w:val="20"/>
          <w:szCs w:val="20"/>
          <w:lang w:val="en-US"/>
        </w:rPr>
        <w:t>r</w:t>
      </w:r>
      <w:r>
        <w:rPr>
          <w:rFonts w:ascii="Times New Roman" w:eastAsia="Cambria" w:hAnsi="Times New Roman" w:cs="Times New Roman"/>
          <w:sz w:val="20"/>
          <w:szCs w:val="20"/>
        </w:rPr>
        <w:t>0511).</w:t>
      </w:r>
    </w:p>
    <w:p w14:paraId="7FE1CF81" w14:textId="3270DE3A" w:rsidR="00FE5D64" w:rsidRDefault="00E40776">
      <w:pPr>
        <w:pStyle w:val="P68B1DB1-InstructionsText286"/>
        <w:numPr>
          <w:ilvl w:val="2"/>
          <w:numId w:val="209"/>
        </w:numPr>
        <w:spacing w:before="0"/>
        <w:ind w:left="1134"/>
      </w:pPr>
      <w:r>
        <w:t xml:space="preserve">Когато идентификаторът на кредитора (колона 0210) не е наличен (напр. в случай на инструменти, търгувани на платформи), </w:t>
      </w:r>
      <w:r w:rsidR="0068249E">
        <w:rPr>
          <w:lang w:val="bg-BG"/>
        </w:rPr>
        <w:t xml:space="preserve">на </w:t>
      </w:r>
      <w:r>
        <w:t xml:space="preserve">всеки ред се </w:t>
      </w:r>
      <w:r w:rsidR="0068249E">
        <w:rPr>
          <w:lang w:val="bg-BG"/>
        </w:rPr>
        <w:t>посочва</w:t>
      </w:r>
      <w:r w:rsidR="000A712F">
        <w:t xml:space="preserve"> </w:t>
      </w:r>
      <w:r w:rsidR="0068249E">
        <w:rPr>
          <w:lang w:val="bg-BG"/>
        </w:rPr>
        <w:t>пълния размер</w:t>
      </w:r>
      <w:r>
        <w:t xml:space="preserve"> по отношение на това поле.</w:t>
      </w:r>
    </w:p>
    <w:p w14:paraId="7FE1CF83" w14:textId="63200F4D" w:rsidR="00FE5D64" w:rsidRDefault="00E40776">
      <w:pPr>
        <w:pStyle w:val="P68B1DB1-InstructionsText286"/>
        <w:numPr>
          <w:ilvl w:val="2"/>
          <w:numId w:val="209"/>
        </w:numPr>
        <w:spacing w:before="0"/>
        <w:ind w:left="1134"/>
      </w:pPr>
      <w:r>
        <w:t>За целите на настоящ</w:t>
      </w:r>
      <w:r w:rsidR="0068249E">
        <w:rPr>
          <w:lang w:val="bg-BG"/>
        </w:rPr>
        <w:t>ия</w:t>
      </w:r>
      <w:r>
        <w:t xml:space="preserve"> </w:t>
      </w:r>
      <w:r w:rsidR="0068249E">
        <w:rPr>
          <w:lang w:val="bg-BG"/>
        </w:rPr>
        <w:t>образец</w:t>
      </w:r>
      <w:r w:rsidR="0068249E">
        <w:t xml:space="preserve"> </w:t>
      </w:r>
      <w:r w:rsidR="0068249E">
        <w:rPr>
          <w:lang w:val="bg-BG"/>
        </w:rPr>
        <w:t>задълженията</w:t>
      </w:r>
      <w:r w:rsidR="0068249E">
        <w:t xml:space="preserve"> </w:t>
      </w:r>
      <w:r>
        <w:t xml:space="preserve">се </w:t>
      </w:r>
      <w:r w:rsidR="0068249E">
        <w:rPr>
          <w:lang w:val="bg-BG"/>
        </w:rPr>
        <w:t>отчитат</w:t>
      </w:r>
      <w:r w:rsidR="0068249E">
        <w:t xml:space="preserve"> </w:t>
      </w:r>
      <w:r w:rsidR="0068249E">
        <w:rPr>
          <w:lang w:val="bg-BG"/>
        </w:rPr>
        <w:t>по</w:t>
      </w:r>
      <w:r>
        <w:t xml:space="preserve"> редове с ниво на детайлност, определено </w:t>
      </w:r>
      <w:r w:rsidR="00E55252">
        <w:rPr>
          <w:lang w:val="bg-BG"/>
        </w:rPr>
        <w:t xml:space="preserve">в </w:t>
      </w:r>
      <w:r w:rsidR="0068249E">
        <w:rPr>
          <w:lang w:val="bg-BG"/>
        </w:rPr>
        <w:t xml:space="preserve">изискуемите </w:t>
      </w:r>
      <w:r>
        <w:t>полет</w:t>
      </w:r>
      <w:r w:rsidR="0068249E">
        <w:rPr>
          <w:lang w:val="bg-BG"/>
        </w:rPr>
        <w:t>а</w:t>
      </w:r>
      <w:r>
        <w:t>.</w:t>
      </w:r>
    </w:p>
    <w:p w14:paraId="7FE1CF86" w14:textId="77777777" w:rsidR="00FE5D64" w:rsidRDefault="00FE5D64">
      <w:pPr>
        <w:spacing w:line="276" w:lineRule="auto"/>
        <w:rPr>
          <w:rFonts w:ascii="Times New Roman" w:hAnsi="Times New Roman" w:cs="Times New Roman"/>
          <w:sz w:val="20"/>
          <w:szCs w:val="20"/>
        </w:rPr>
      </w:pPr>
    </w:p>
    <w:p w14:paraId="7FE1CF87" w14:textId="77777777" w:rsidR="00FE5D64" w:rsidRDefault="00E40776">
      <w:pPr>
        <w:pStyle w:val="P68B1DB1-Numberedtitlelevel372"/>
      </w:pPr>
      <w:r>
        <w:t>Указания относно определени позиции</w:t>
      </w:r>
    </w:p>
    <w:p w14:paraId="7FE1CF88" w14:textId="77777777" w:rsidR="00FE5D64" w:rsidRDefault="00FE5D64">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FE5D64"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FE5D64" w:rsidRDefault="00E40776">
            <w:pPr>
              <w:pStyle w:val="P68B1DB1-TableParagraph17"/>
              <w:spacing w:before="108"/>
              <w:ind w:left="85"/>
            </w:pPr>
            <w:r>
              <w:t>Колони</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FE5D64" w:rsidRDefault="00E40776">
            <w:pPr>
              <w:pStyle w:val="P68B1DB1-TableParagraph17"/>
              <w:spacing w:before="108"/>
              <w:ind w:left="85" w:right="1"/>
            </w:pPr>
            <w:r>
              <w:t>Указания</w:t>
            </w:r>
          </w:p>
        </w:tc>
      </w:tr>
      <w:tr w:rsidR="00FE5D64"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FE5D64" w:rsidRDefault="00E40776">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06D14203" w14:textId="5FF7EF63" w:rsidR="00DF2ABE" w:rsidRPr="008D593A" w:rsidRDefault="008D593A">
            <w:pPr>
              <w:pStyle w:val="P68B1DB1-TableParagraph40"/>
              <w:spacing w:before="108"/>
              <w:ind w:left="85"/>
              <w:jc w:val="both"/>
            </w:pPr>
            <w:r>
              <w:rPr>
                <w:b/>
                <w:lang w:val="bg-BG"/>
              </w:rPr>
              <w:t>№</w:t>
            </w:r>
            <w:r w:rsidRPr="002F61BB">
              <w:rPr>
                <w:b/>
                <w:bCs/>
              </w:rPr>
              <w:t xml:space="preserve"> </w:t>
            </w:r>
          </w:p>
          <w:p w14:paraId="7FE1CF8E" w14:textId="45A790D1" w:rsidR="00FE5D64" w:rsidRDefault="00E40776" w:rsidP="00DF2ABE">
            <w:pPr>
              <w:pStyle w:val="P68B1DB1-TableParagraph40"/>
              <w:spacing w:before="108"/>
              <w:ind w:left="85"/>
              <w:jc w:val="both"/>
            </w:pPr>
            <w:r>
              <w:t xml:space="preserve">Уникален номер/първичен ключ за идентифициране на </w:t>
            </w:r>
            <w:r w:rsidR="008D593A">
              <w:rPr>
                <w:lang w:val="bg-BG"/>
              </w:rPr>
              <w:t>записите по</w:t>
            </w:r>
            <w:r w:rsidR="00DF2ABE">
              <w:rPr>
                <w:lang w:val="bg-BG"/>
              </w:rPr>
              <w:t xml:space="preserve"> редове</w:t>
            </w:r>
            <w:r>
              <w:t>.</w:t>
            </w:r>
          </w:p>
        </w:tc>
      </w:tr>
      <w:tr w:rsidR="00FE5D64"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FE5D64" w:rsidRDefault="00E40776">
            <w:pPr>
              <w:pStyle w:val="P68B1DB1-Normal31"/>
            </w:pPr>
            <w:bookmarkStart w:id="262" w:name="_Hlk210307492"/>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FE5D64" w:rsidRDefault="00E40776">
            <w:pPr>
              <w:pStyle w:val="P68B1DB1-TableParagraph73"/>
              <w:spacing w:before="108"/>
              <w:ind w:left="85"/>
              <w:jc w:val="both"/>
              <w:rPr>
                <w:bCs/>
              </w:rPr>
            </w:pPr>
            <w:r>
              <w:t>Ред</w:t>
            </w:r>
          </w:p>
          <w:p w14:paraId="7FE1CF92" w14:textId="5168E13B" w:rsidR="00FE5D64" w:rsidRDefault="00E40776" w:rsidP="00AF2F85">
            <w:pPr>
              <w:pStyle w:val="P68B1DB1-TableParagraph40"/>
              <w:spacing w:before="108"/>
              <w:ind w:left="85"/>
              <w:jc w:val="both"/>
            </w:pPr>
            <w:r>
              <w:t xml:space="preserve">За всеки </w:t>
            </w:r>
            <w:r w:rsidR="00465788">
              <w:rPr>
                <w:lang w:val="bg-BG"/>
              </w:rPr>
              <w:t>запис по</w:t>
            </w:r>
            <w:r w:rsidR="00465788">
              <w:t xml:space="preserve"> </w:t>
            </w:r>
            <w:r>
              <w:t>ред</w:t>
            </w:r>
            <w:r w:rsidR="00465788">
              <w:rPr>
                <w:lang w:val="bg-BG"/>
              </w:rPr>
              <w:t>ове</w:t>
            </w:r>
            <w:r>
              <w:t xml:space="preserve"> трябва да се</w:t>
            </w:r>
            <w:r w:rsidR="00465788">
              <w:rPr>
                <w:lang w:val="bg-BG"/>
              </w:rPr>
              <w:t xml:space="preserve"> избере от</w:t>
            </w:r>
            <w:r w:rsidR="00465788">
              <w:t xml:space="preserve"> предварително определен списък със стойности</w:t>
            </w:r>
            <w:r w:rsidR="00465788">
              <w:rPr>
                <w:lang w:val="bg-BG"/>
              </w:rPr>
              <w:t xml:space="preserve"> съответната категория на задължението, съгласно определената структура на задълженията</w:t>
            </w:r>
            <w:r>
              <w:t xml:space="preserve"> в Z02.00 </w:t>
            </w:r>
            <w:r w:rsidR="00AF2F85">
              <w:rPr>
                <w:lang w:val="bg-BG"/>
              </w:rPr>
              <w:t>според</w:t>
            </w:r>
            <w:r>
              <w:t xml:space="preserve"> падежа.</w:t>
            </w:r>
          </w:p>
        </w:tc>
      </w:tr>
      <w:tr w:rsidR="00FE5D64"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FE5D64" w:rsidRDefault="00E40776">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FE5D64" w:rsidRDefault="00E40776">
            <w:pPr>
              <w:pStyle w:val="P68B1DB1-TableParagraph73"/>
              <w:spacing w:before="108"/>
              <w:ind w:left="85"/>
              <w:jc w:val="both"/>
              <w:rPr>
                <w:bCs/>
              </w:rPr>
            </w:pPr>
            <w:r>
              <w:t xml:space="preserve">Колона </w:t>
            </w:r>
          </w:p>
          <w:p w14:paraId="7FE1CF96" w14:textId="69243A7D" w:rsidR="00FE5D64" w:rsidRDefault="00E40776" w:rsidP="001B6B3C">
            <w:pPr>
              <w:pStyle w:val="P68B1DB1-TableParagraph40"/>
              <w:spacing w:before="108"/>
              <w:ind w:left="85"/>
              <w:jc w:val="both"/>
            </w:pPr>
            <w:r>
              <w:t>За всеки</w:t>
            </w:r>
            <w:r w:rsidR="00465788">
              <w:rPr>
                <w:lang w:val="bg-BG"/>
              </w:rPr>
              <w:t xml:space="preserve"> запис по редове</w:t>
            </w:r>
            <w:r>
              <w:t xml:space="preserve"> трябва да се </w:t>
            </w:r>
            <w:r w:rsidR="00465788">
              <w:rPr>
                <w:lang w:val="bg-BG"/>
              </w:rPr>
              <w:t xml:space="preserve">избере съответната категория контрагент, към който е задължението, съгласно структурата </w:t>
            </w:r>
            <w:r>
              <w:t xml:space="preserve">в </w:t>
            </w:r>
            <w:r w:rsidR="001B6B3C">
              <w:rPr>
                <w:lang w:val="en-US"/>
              </w:rPr>
              <w:t>Z</w:t>
            </w:r>
            <w:r>
              <w:t>02.00</w:t>
            </w:r>
            <w:r w:rsidR="001B6B3C">
              <w:rPr>
                <w:lang w:val="bg-BG"/>
              </w:rPr>
              <w:t xml:space="preserve"> </w:t>
            </w:r>
            <w:r w:rsidR="00465788">
              <w:rPr>
                <w:lang w:val="bg-BG"/>
              </w:rPr>
              <w:t xml:space="preserve">от </w:t>
            </w:r>
            <w:r w:rsidR="001B6B3C">
              <w:rPr>
                <w:lang w:val="bg-BG"/>
              </w:rPr>
              <w:t>предварително определен списък със стойности</w:t>
            </w:r>
            <w:r>
              <w:t>.</w:t>
            </w:r>
          </w:p>
        </w:tc>
      </w:tr>
      <w:bookmarkEnd w:id="262"/>
      <w:tr w:rsidR="00FE5D64"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FE5D64" w:rsidRDefault="00E40776">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37B1B0D1" w14:textId="2CE25743" w:rsidR="00E55252" w:rsidRDefault="00465788">
            <w:pPr>
              <w:pStyle w:val="P68B1DB1-TableParagraph40"/>
              <w:spacing w:before="108"/>
              <w:ind w:left="85"/>
              <w:jc w:val="both"/>
              <w:rPr>
                <w:b/>
                <w:bCs/>
              </w:rPr>
            </w:pPr>
            <w:r w:rsidRPr="00465788">
              <w:rPr>
                <w:b/>
              </w:rPr>
              <w:t>Ред на вземанията в производство по несъстоятелност</w:t>
            </w:r>
          </w:p>
          <w:p w14:paraId="7FE1CF9A" w14:textId="6B16CD10" w:rsidR="00FE5D64" w:rsidRDefault="00465788" w:rsidP="001B6B3C">
            <w:pPr>
              <w:pStyle w:val="P68B1DB1-TableParagraph40"/>
              <w:spacing w:before="108"/>
              <w:ind w:left="85"/>
              <w:jc w:val="both"/>
            </w:pPr>
            <w:r w:rsidRPr="00465788">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r w:rsidR="00E40776">
              <w:t xml:space="preserve">. </w:t>
            </w:r>
          </w:p>
        </w:tc>
      </w:tr>
      <w:tr w:rsidR="00FE5D64"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FE5D64" w:rsidRDefault="00E40776">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FE5D64" w:rsidRDefault="00E40776">
            <w:pPr>
              <w:pStyle w:val="P68B1DB1-TableParagraph73"/>
              <w:spacing w:before="108"/>
              <w:ind w:left="85"/>
              <w:jc w:val="both"/>
              <w:rPr>
                <w:bCs/>
              </w:rPr>
            </w:pPr>
            <w:r>
              <w:t>ISIN</w:t>
            </w:r>
          </w:p>
          <w:p w14:paraId="7FE1CF9E" w14:textId="16290CDB" w:rsidR="00FE5D64" w:rsidRDefault="00E40776" w:rsidP="001B6B3C">
            <w:pPr>
              <w:pStyle w:val="P68B1DB1-TableParagraph40"/>
              <w:spacing w:before="108"/>
              <w:ind w:left="85"/>
              <w:jc w:val="both"/>
            </w:pPr>
            <w:r>
              <w:t xml:space="preserve">Посочва се ISIN или, в случай че ISIN не е наличен, </w:t>
            </w:r>
            <w:r w:rsidR="00465788">
              <w:rPr>
                <w:lang w:val="bg-BG"/>
              </w:rPr>
              <w:t>посочва се</w:t>
            </w:r>
            <w:r w:rsidR="001B6B3C">
              <w:t xml:space="preserve"> </w:t>
            </w:r>
            <w:r>
              <w:t>друг идентификатор на договора на инструмента.</w:t>
            </w:r>
          </w:p>
        </w:tc>
      </w:tr>
      <w:tr w:rsidR="00FE5D64"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FE5D64" w:rsidRDefault="00E40776">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52FE20B6" w:rsidR="00FE5D64" w:rsidRDefault="00E40776">
            <w:pPr>
              <w:pStyle w:val="P68B1DB1-TableParagraph73"/>
              <w:spacing w:before="108"/>
              <w:ind w:left="85"/>
              <w:jc w:val="both"/>
              <w:rPr>
                <w:bCs/>
              </w:rPr>
            </w:pPr>
            <w:r>
              <w:t xml:space="preserve">Вид инструмент </w:t>
            </w:r>
          </w:p>
          <w:p w14:paraId="7FE1CFA2" w14:textId="6565FCB0" w:rsidR="00FE5D64" w:rsidRPr="007F379F" w:rsidRDefault="00E40776">
            <w:pPr>
              <w:pStyle w:val="P68B1DB1-TableParagraph40"/>
              <w:spacing w:before="108"/>
              <w:ind w:left="85"/>
              <w:jc w:val="both"/>
              <w:rPr>
                <w:lang w:val="bg-BG"/>
              </w:rPr>
            </w:pPr>
            <w:r>
              <w:t>Идентификация на вида инструмент</w:t>
            </w:r>
            <w:r w:rsidR="007F379F">
              <w:rPr>
                <w:lang w:val="bg-BG"/>
              </w:rPr>
              <w:t>. Посочва се един от следните видове</w:t>
            </w:r>
            <w:r w:rsidR="007F379F">
              <w:t xml:space="preserve"> от предварително определен списък</w:t>
            </w:r>
            <w:r w:rsidR="007F379F">
              <w:rPr>
                <w:lang w:val="bg-BG"/>
              </w:rPr>
              <w:t>:</w:t>
            </w:r>
            <w:r w:rsidR="007F379F" w:rsidDel="007F379F">
              <w:t xml:space="preserve"> </w:t>
            </w:r>
          </w:p>
          <w:p w14:paraId="7FE1CFA3" w14:textId="3AB0EA6B" w:rsidR="00FE5D64" w:rsidRPr="007F379F" w:rsidRDefault="00B642C4">
            <w:pPr>
              <w:pStyle w:val="P68B1DB1-TableParagraph40"/>
              <w:spacing w:before="108"/>
              <w:ind w:left="85"/>
              <w:jc w:val="both"/>
              <w:rPr>
                <w:lang w:val="bg-BG"/>
              </w:rPr>
            </w:pPr>
            <w:r>
              <w:rPr>
                <w:lang w:val="bg-BG"/>
              </w:rPr>
              <w:t>-</w:t>
            </w:r>
            <w:r w:rsidR="00E40776">
              <w:t xml:space="preserve"> </w:t>
            </w:r>
            <w:r w:rsidR="007F379F">
              <w:rPr>
                <w:lang w:val="bg-BG"/>
              </w:rPr>
              <w:t>Поименн</w:t>
            </w:r>
            <w:r w:rsidR="00B47626">
              <w:rPr>
                <w:lang w:val="bg-BG"/>
              </w:rPr>
              <w:t>а</w:t>
            </w:r>
            <w:r w:rsidR="007F379F">
              <w:rPr>
                <w:lang w:val="bg-BG"/>
              </w:rPr>
              <w:t xml:space="preserve"> облигаци</w:t>
            </w:r>
            <w:r w:rsidR="00B47626">
              <w:rPr>
                <w:lang w:val="bg-BG"/>
              </w:rPr>
              <w:t>я</w:t>
            </w:r>
          </w:p>
          <w:p w14:paraId="7FE1CFA4" w14:textId="301DD726" w:rsidR="00FE5D64" w:rsidRDefault="00B642C4" w:rsidP="001118F2">
            <w:pPr>
              <w:pStyle w:val="P68B1DB1-TableParagraph40"/>
              <w:spacing w:before="108"/>
              <w:ind w:left="85"/>
              <w:jc w:val="both"/>
            </w:pPr>
            <w:r>
              <w:rPr>
                <w:lang w:val="bg-BG"/>
              </w:rPr>
              <w:t xml:space="preserve">- </w:t>
            </w:r>
            <w:r w:rsidR="00E40776">
              <w:t>Облигаци</w:t>
            </w:r>
            <w:r w:rsidR="00B47626">
              <w:rPr>
                <w:lang w:val="bg-BG"/>
              </w:rPr>
              <w:t>я</w:t>
            </w:r>
            <w:r w:rsidR="00E40776">
              <w:t xml:space="preserve"> на приносител</w:t>
            </w:r>
          </w:p>
          <w:p w14:paraId="7FE1CFA5" w14:textId="41C8FB7F" w:rsidR="00FE5D64" w:rsidRDefault="00B642C4">
            <w:pPr>
              <w:pStyle w:val="P68B1DB1-TableParagraph40"/>
              <w:spacing w:before="108"/>
              <w:ind w:left="85"/>
              <w:jc w:val="both"/>
            </w:pPr>
            <w:r w:rsidRPr="00A279AB">
              <w:rPr>
                <w:lang w:val="bg-BG"/>
              </w:rPr>
              <w:t xml:space="preserve">- </w:t>
            </w:r>
            <w:r w:rsidR="00A279AB" w:rsidRPr="00A279AB">
              <w:rPr>
                <w:lang w:val="bg-BG"/>
              </w:rPr>
              <w:t>Сертификат за дълг, основан на заем, който не се търгува на регулиран пазар</w:t>
            </w:r>
            <w:r w:rsidR="00A279AB">
              <w:rPr>
                <w:lang w:val="bg-BG"/>
              </w:rPr>
              <w:t xml:space="preserve"> (</w:t>
            </w:r>
            <w:r w:rsidR="00A279AB" w:rsidRPr="00A279AB">
              <w:rPr>
                <w:lang w:val="bg-BG"/>
              </w:rPr>
              <w:t>Borrower Note Loan</w:t>
            </w:r>
            <w:r w:rsidR="00A279AB">
              <w:rPr>
                <w:lang w:val="bg-BG"/>
              </w:rPr>
              <w:t>)</w:t>
            </w:r>
          </w:p>
          <w:p w14:paraId="7FE1CFA7" w14:textId="617C41A0" w:rsidR="00FE5D64" w:rsidRPr="003220B9" w:rsidRDefault="00B642C4">
            <w:pPr>
              <w:pStyle w:val="P68B1DB1-TableParagraph40"/>
              <w:spacing w:before="108"/>
              <w:ind w:left="85"/>
              <w:jc w:val="both"/>
              <w:rPr>
                <w:lang w:val="bg-BG"/>
              </w:rPr>
            </w:pPr>
            <w:r>
              <w:rPr>
                <w:lang w:val="bg-BG"/>
              </w:rPr>
              <w:t xml:space="preserve">- </w:t>
            </w:r>
            <w:r w:rsidR="002C5138">
              <w:rPr>
                <w:lang w:val="bg-BG"/>
              </w:rPr>
              <w:t>Депозит</w:t>
            </w:r>
            <w:r w:rsidR="0017709A">
              <w:rPr>
                <w:lang w:val="bg-BG"/>
              </w:rPr>
              <w:t>ни сертификати</w:t>
            </w:r>
            <w:r w:rsidR="00E40776">
              <w:t>/търговск</w:t>
            </w:r>
            <w:r w:rsidR="002C5138">
              <w:rPr>
                <w:lang w:val="bg-BG"/>
              </w:rPr>
              <w:t>и</w:t>
            </w:r>
            <w:r w:rsidR="00E40776">
              <w:t xml:space="preserve"> </w:t>
            </w:r>
            <w:r w:rsidR="002C5138">
              <w:rPr>
                <w:lang w:val="bg-BG"/>
              </w:rPr>
              <w:t>ценни книжа</w:t>
            </w:r>
          </w:p>
          <w:p w14:paraId="7FE1CFA8" w14:textId="56650B6E" w:rsidR="00FE5D64" w:rsidRDefault="00B642C4">
            <w:pPr>
              <w:pStyle w:val="P68B1DB1-TableParagraph40"/>
              <w:spacing w:before="108"/>
              <w:ind w:left="85"/>
              <w:jc w:val="both"/>
            </w:pPr>
            <w:r>
              <w:rPr>
                <w:lang w:val="bg-BG"/>
              </w:rPr>
              <w:t>-</w:t>
            </w:r>
            <w:r w:rsidR="00E40776">
              <w:t xml:space="preserve"> </w:t>
            </w:r>
            <w:r w:rsidR="002C5138">
              <w:rPr>
                <w:lang w:val="bg-BG"/>
              </w:rPr>
              <w:t>Прав</w:t>
            </w:r>
            <w:r w:rsidR="00E54BB1">
              <w:rPr>
                <w:lang w:val="bg-BG"/>
              </w:rPr>
              <w:t>о</w:t>
            </w:r>
            <w:r w:rsidR="002C5138" w:rsidRPr="007F379F">
              <w:rPr>
                <w:lang w:val="bg-BG"/>
              </w:rPr>
              <w:t xml:space="preserve"> на </w:t>
            </w:r>
            <w:r w:rsidR="002C5138">
              <w:rPr>
                <w:lang w:val="bg-BG"/>
              </w:rPr>
              <w:t>собственост</w:t>
            </w:r>
          </w:p>
          <w:p w14:paraId="7FE1CFA9" w14:textId="7D74620F" w:rsidR="00FE5D64" w:rsidRDefault="00B642C4">
            <w:pPr>
              <w:pStyle w:val="P68B1DB1-TableParagraph40"/>
              <w:spacing w:before="108"/>
              <w:ind w:left="85"/>
              <w:jc w:val="both"/>
            </w:pPr>
            <w:r>
              <w:rPr>
                <w:lang w:val="bg-BG"/>
              </w:rPr>
              <w:t>-</w:t>
            </w:r>
            <w:r w:rsidR="00E40776">
              <w:t>Други</w:t>
            </w:r>
          </w:p>
          <w:p w14:paraId="7FE1CFAA" w14:textId="2BCDE67E" w:rsidR="00FE5D64" w:rsidRDefault="00E40776">
            <w:pPr>
              <w:pStyle w:val="P68B1DB1-TableParagraph40"/>
              <w:spacing w:before="108"/>
              <w:ind w:left="85"/>
              <w:jc w:val="both"/>
            </w:pPr>
            <w:r>
              <w:t xml:space="preserve"> </w:t>
            </w:r>
          </w:p>
          <w:p w14:paraId="7FE1CFAB" w14:textId="74E2D740" w:rsidR="00FE5D64" w:rsidRDefault="00E40776">
            <w:pPr>
              <w:pStyle w:val="P68B1DB1-TableParagraph40"/>
              <w:spacing w:before="108"/>
              <w:ind w:left="85"/>
              <w:jc w:val="both"/>
            </w:pPr>
            <w:r>
              <w:t>.</w:t>
            </w:r>
          </w:p>
        </w:tc>
      </w:tr>
      <w:tr w:rsidR="00FE5D64"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FE5D64" w:rsidRDefault="00E40776">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FE5D64" w:rsidRDefault="00E40776">
            <w:pPr>
              <w:pStyle w:val="P68B1DB1-TableParagraph73"/>
              <w:spacing w:before="108"/>
              <w:ind w:left="85"/>
              <w:jc w:val="both"/>
              <w:rPr>
                <w:bCs/>
              </w:rPr>
            </w:pPr>
            <w:r>
              <w:t xml:space="preserve">Приложимо право  </w:t>
            </w:r>
          </w:p>
          <w:p w14:paraId="7FE1CFAF" w14:textId="74705F70" w:rsidR="00FE5D64" w:rsidRDefault="00E40776" w:rsidP="00E718B5">
            <w:pPr>
              <w:pStyle w:val="P68B1DB1-TableParagraph40"/>
              <w:spacing w:before="108"/>
              <w:ind w:left="85"/>
              <w:jc w:val="both"/>
            </w:pPr>
            <w:r>
              <w:t xml:space="preserve">Кодът ISO 3166—1 alpha-2 на държавата, чието право урежда инструмента (използвайте кода ISO 3166—2, когато е приложимо правото на административно подразделение, напр. „US-NY“). Ако договорът се урежда от правото на повече от една държава, </w:t>
            </w:r>
            <w:r w:rsidR="007F379F">
              <w:rPr>
                <w:lang w:val="bg-BG"/>
              </w:rPr>
              <w:t>посочва се</w:t>
            </w:r>
            <w:r w:rsidR="00E718B5">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FE5D64" w:rsidRDefault="00E40776">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50C06165" w14:textId="20F1FF7A" w:rsidR="00C17DE4" w:rsidRDefault="00B124AE">
            <w:pPr>
              <w:pStyle w:val="P68B1DB1-TableParagraph73"/>
              <w:spacing w:before="108"/>
              <w:ind w:left="85"/>
              <w:jc w:val="both"/>
              <w:rPr>
                <w:bCs/>
              </w:rPr>
            </w:pPr>
            <w:r w:rsidRPr="00B124AE">
              <w:t>Договорно признаване на приложимо право на трета държава</w:t>
            </w:r>
          </w:p>
          <w:p w14:paraId="7FE1CFB3" w14:textId="0435D09C" w:rsidR="00FE5D64" w:rsidRPr="00B124AE" w:rsidRDefault="00B124AE">
            <w:pPr>
              <w:pStyle w:val="P68B1DB1-TableParagraph40"/>
              <w:spacing w:before="108"/>
              <w:ind w:left="85"/>
              <w:jc w:val="both"/>
              <w:rPr>
                <w:lang w:val="bg-BG"/>
              </w:rPr>
            </w:pPr>
            <w:r>
              <w:rPr>
                <w:lang w:val="bg-BG"/>
              </w:rPr>
              <w:t xml:space="preserve">Наличие </w:t>
            </w:r>
            <w:r w:rsidR="00E40776">
              <w:t>на договорни разпоредби за признаване на правомощията за</w:t>
            </w:r>
            <w:r>
              <w:rPr>
                <w:lang w:val="bg-BG"/>
              </w:rPr>
              <w:t xml:space="preserve"> прилагане на инструмента за</w:t>
            </w:r>
            <w:r w:rsidR="00E40776">
              <w:t xml:space="preserve"> споделяне на загуби в съответствие с член 55 от </w:t>
            </w:r>
            <w:r w:rsidRPr="00B124AE">
              <w:t>Директива 2014/59/ЕС</w:t>
            </w:r>
            <w:r>
              <w:rPr>
                <w:lang w:val="bg-BG"/>
              </w:rPr>
              <w:t xml:space="preserve">. </w:t>
            </w:r>
            <w:r w:rsidRPr="00B124AE">
              <w:rPr>
                <w:lang w:val="bg-BG"/>
              </w:rPr>
              <w:t>Посочва се една от опциите от предварително определен списък:</w:t>
            </w:r>
          </w:p>
          <w:p w14:paraId="7FE1CFB4" w14:textId="1F90B66F" w:rsidR="00FE5D64" w:rsidRDefault="00E40776">
            <w:pPr>
              <w:pStyle w:val="P68B1DB1-TableParagraph40"/>
              <w:spacing w:before="108"/>
              <w:ind w:left="85"/>
              <w:jc w:val="both"/>
            </w:pPr>
            <w:r>
              <w:t xml:space="preserve">„Да, подкрепено от правно становище“ = задължението включва клауза за признаване на </w:t>
            </w:r>
            <w:r w:rsidR="00B124AE">
              <w:rPr>
                <w:lang w:val="bg-BG"/>
              </w:rPr>
              <w:t xml:space="preserve">правомощията за прилагане на инструмента за </w:t>
            </w:r>
            <w:r>
              <w:t xml:space="preserve">споделянето на загуби в съответствие с член 55 от </w:t>
            </w:r>
            <w:r w:rsidR="00B124AE" w:rsidRPr="00B124AE">
              <w:t>Директива 2014/59/ЕС</w:t>
            </w:r>
            <w:r>
              <w:t>, която е подкрепена от правно становище;</w:t>
            </w:r>
          </w:p>
          <w:p w14:paraId="7FE1CFB5" w14:textId="390C6A08" w:rsidR="00FE5D64" w:rsidRDefault="00E40776">
            <w:pPr>
              <w:pStyle w:val="P68B1DB1-TableParagraph40"/>
              <w:spacing w:before="108"/>
              <w:ind w:left="85"/>
              <w:jc w:val="both"/>
            </w:pPr>
            <w:r>
              <w:t>„Да, не е подкрепено от правно становище“ = задължението включва клауза за признаване на</w:t>
            </w:r>
            <w:r w:rsidR="00B124AE">
              <w:rPr>
                <w:lang w:val="bg-BG"/>
              </w:rPr>
              <w:t xml:space="preserve"> правомощията за прилагане на инструмента за</w:t>
            </w:r>
            <w:r>
              <w:t xml:space="preserve"> споделяне на загуби в съответствие с член 55 от </w:t>
            </w:r>
            <w:r w:rsidR="00B124AE" w:rsidRPr="00B124AE">
              <w:t>Директива 2014/59/ЕС</w:t>
            </w:r>
            <w:r>
              <w:t>, която понастоящем не е подкрепена от правно становище;</w:t>
            </w:r>
          </w:p>
          <w:p w14:paraId="7FE1CFB6" w14:textId="2C4C91D2" w:rsidR="00FE5D64" w:rsidRDefault="00E40776">
            <w:pPr>
              <w:pStyle w:val="P68B1DB1-TableParagraph40"/>
              <w:spacing w:before="108"/>
              <w:ind w:left="85"/>
              <w:jc w:val="both"/>
            </w:pPr>
            <w:r>
              <w:t>„Не“ = задължението не включва клауза за признаване на</w:t>
            </w:r>
            <w:r w:rsidR="00B124AE">
              <w:rPr>
                <w:lang w:val="bg-BG"/>
              </w:rPr>
              <w:t xml:space="preserve"> правомощията за прилагане на инструмента за</w:t>
            </w:r>
            <w:r>
              <w:t xml:space="preserve"> споделяне на загуби;</w:t>
            </w:r>
          </w:p>
          <w:p w14:paraId="7FE1CFB8" w14:textId="47662FC3" w:rsidR="00FE5D64" w:rsidRDefault="00E40776" w:rsidP="00B124AE">
            <w:pPr>
              <w:pStyle w:val="P68B1DB1-TableParagraph40"/>
              <w:spacing w:before="108"/>
              <w:ind w:left="85"/>
              <w:jc w:val="both"/>
            </w:pPr>
            <w:r>
              <w:t>„</w:t>
            </w:r>
            <w:r w:rsidR="00B124AE">
              <w:rPr>
                <w:lang w:val="bg-BG"/>
              </w:rPr>
              <w:t>Не е приложимо</w:t>
            </w:r>
            <w:r>
              <w:t>“</w:t>
            </w:r>
            <w:r w:rsidR="00B124AE">
              <w:rPr>
                <w:lang w:val="bg-BG"/>
              </w:rPr>
              <w:t>.</w:t>
            </w:r>
          </w:p>
        </w:tc>
      </w:tr>
      <w:tr w:rsidR="00FE5D64"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FE5D64" w:rsidRDefault="00E40776">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FE5D64" w:rsidRDefault="00E40776">
            <w:pPr>
              <w:pStyle w:val="P68B1DB1-TableParagraph73"/>
              <w:spacing w:before="108"/>
              <w:ind w:left="85"/>
              <w:jc w:val="both"/>
              <w:rPr>
                <w:bCs/>
              </w:rPr>
            </w:pPr>
            <w:r>
              <w:t xml:space="preserve">Валута </w:t>
            </w:r>
          </w:p>
          <w:p w14:paraId="7FE1CFBC" w14:textId="364316FE" w:rsidR="00FE5D64" w:rsidRDefault="00E40776">
            <w:pPr>
              <w:pStyle w:val="P68B1DB1-TableParagraph40"/>
              <w:spacing w:before="108"/>
              <w:ind w:left="85"/>
              <w:jc w:val="both"/>
            </w:pPr>
            <w:r>
              <w:t xml:space="preserve">Валутата на задължението в съответствие с </w:t>
            </w:r>
            <w:r w:rsidR="00B124AE">
              <w:rPr>
                <w:lang w:val="bg-BG"/>
              </w:rPr>
              <w:t>нейния</w:t>
            </w:r>
            <w:r w:rsidR="00B124AE">
              <w:t xml:space="preserve"> </w:t>
            </w:r>
            <w:r>
              <w:t>3-буквен код по ISO 4217.</w:t>
            </w:r>
          </w:p>
        </w:tc>
      </w:tr>
      <w:tr w:rsidR="00FE5D64"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FE5D64" w:rsidRDefault="00E40776">
            <w:pPr>
              <w:pStyle w:val="P68B1DB1-Normal31"/>
            </w:pPr>
            <w:r>
              <w:t>0110</w:t>
            </w:r>
          </w:p>
          <w:p w14:paraId="7FE1CFC3" w14:textId="77777777" w:rsidR="00FE5D64" w:rsidRDefault="00E40776">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184785EC" w:rsidR="00FE5D64" w:rsidRDefault="00B124AE">
            <w:pPr>
              <w:pStyle w:val="P68B1DB1-TableParagraph73"/>
              <w:spacing w:before="108"/>
              <w:ind w:left="85"/>
              <w:jc w:val="both"/>
              <w:rPr>
                <w:bCs/>
              </w:rPr>
            </w:pPr>
            <w:r>
              <w:rPr>
                <w:lang w:val="bg-BG"/>
              </w:rPr>
              <w:t>Дължима сума по</w:t>
            </w:r>
            <w:r>
              <w:t xml:space="preserve"> </w:t>
            </w:r>
            <w:r w:rsidR="00E40776">
              <w:t xml:space="preserve">главница  </w:t>
            </w:r>
          </w:p>
          <w:p w14:paraId="7FE1CFC5" w14:textId="2680A3AF" w:rsidR="00FE5D64" w:rsidRDefault="00B124AE">
            <w:pPr>
              <w:pStyle w:val="P68B1DB1-TableParagraph40"/>
              <w:spacing w:before="108"/>
              <w:ind w:left="85"/>
              <w:jc w:val="both"/>
            </w:pPr>
            <w:r>
              <w:rPr>
                <w:lang w:val="bg-BG"/>
              </w:rPr>
              <w:t>Дължимата сума по</w:t>
            </w:r>
            <w:r w:rsidR="00E40776">
              <w:t xml:space="preserve"> главница на инструмента, държан от контрагента, посочен в колона 0210. Ако </w:t>
            </w:r>
            <w:r>
              <w:rPr>
                <w:lang w:val="bg-BG"/>
              </w:rPr>
              <w:t>контрагентът-</w:t>
            </w:r>
            <w:r w:rsidR="001B263B">
              <w:rPr>
                <w:lang w:val="bg-BG"/>
              </w:rPr>
              <w:t>кредитор</w:t>
            </w:r>
            <w:r>
              <w:rPr>
                <w:lang w:val="bg-BG"/>
              </w:rPr>
              <w:t xml:space="preserve">  не може</w:t>
            </w:r>
            <w:r w:rsidR="001B263B" w:rsidRPr="00765313">
              <w:rPr>
                <w:lang w:val="bg-BG"/>
              </w:rPr>
              <w:t xml:space="preserve"> </w:t>
            </w:r>
            <w:r w:rsidR="00E40776">
              <w:t>да бъд</w:t>
            </w:r>
            <w:r>
              <w:rPr>
                <w:lang w:val="bg-BG"/>
              </w:rPr>
              <w:t>е</w:t>
            </w:r>
            <w:r w:rsidR="00E40776">
              <w:t xml:space="preserve"> идентифицирани, </w:t>
            </w:r>
            <w:r w:rsidR="00765313">
              <w:rPr>
                <w:lang w:val="bg-BG"/>
              </w:rPr>
              <w:t>дължимите</w:t>
            </w:r>
            <w:r w:rsidR="00765313">
              <w:t xml:space="preserve"> </w:t>
            </w:r>
            <w:r w:rsidR="00E40776">
              <w:t xml:space="preserve">суми по главницата се групират, </w:t>
            </w:r>
            <w:r w:rsidR="001B263B">
              <w:rPr>
                <w:lang w:val="bg-BG"/>
              </w:rPr>
              <w:t>без да</w:t>
            </w:r>
            <w:r w:rsidR="00E40776">
              <w:t xml:space="preserve"> се взема предвид контрагентът. За акциите тази сума включва резервите в съответствие с </w:t>
            </w:r>
            <w:r w:rsidR="00765313">
              <w:rPr>
                <w:lang w:val="bg-BG"/>
              </w:rPr>
              <w:t xml:space="preserve">указанията относно </w:t>
            </w:r>
            <w:r w:rsidR="00E40776">
              <w:t xml:space="preserve"> Z02.00-r0511. </w:t>
            </w:r>
          </w:p>
          <w:p w14:paraId="7FE1CFC7" w14:textId="1EFD62D1" w:rsidR="00FE5D64" w:rsidRDefault="00FE5D64">
            <w:pPr>
              <w:pStyle w:val="TableParagraph"/>
              <w:spacing w:before="108"/>
              <w:ind w:left="85"/>
              <w:jc w:val="both"/>
              <w:rPr>
                <w:rFonts w:ascii="Times New Roman" w:eastAsia="Times New Roman" w:hAnsi="Times New Roman" w:cs="Times New Roman"/>
                <w:sz w:val="20"/>
                <w:szCs w:val="20"/>
              </w:rPr>
            </w:pPr>
          </w:p>
        </w:tc>
      </w:tr>
      <w:tr w:rsidR="00FE5D64"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FE5D64" w:rsidRDefault="00E40776">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FE5D64" w:rsidRDefault="00E40776">
            <w:pPr>
              <w:pStyle w:val="P68B1DB1-TableParagraph73"/>
              <w:spacing w:before="108"/>
              <w:ind w:left="85"/>
              <w:jc w:val="both"/>
              <w:rPr>
                <w:bCs/>
              </w:rPr>
            </w:pPr>
            <w:r>
              <w:t xml:space="preserve">Начислена лихва </w:t>
            </w:r>
          </w:p>
          <w:p w14:paraId="7FE1CFCB" w14:textId="30144073" w:rsidR="00FE5D64" w:rsidRDefault="002C3614">
            <w:pPr>
              <w:pStyle w:val="P68B1DB1-TableParagraph40"/>
              <w:spacing w:before="108"/>
              <w:ind w:left="85"/>
              <w:jc w:val="both"/>
            </w:pPr>
            <w:r>
              <w:rPr>
                <w:lang w:val="bg-BG"/>
              </w:rPr>
              <w:t>Текущ</w:t>
            </w:r>
            <w:r w:rsidR="00765313">
              <w:rPr>
                <w:lang w:val="bg-BG"/>
              </w:rPr>
              <w:t>о</w:t>
            </w:r>
            <w:r w:rsidR="001B263B">
              <w:t xml:space="preserve"> </w:t>
            </w:r>
            <w:r w:rsidR="00E40776">
              <w:t>начислена</w:t>
            </w:r>
            <w:r w:rsidR="00765313">
              <w:rPr>
                <w:lang w:val="bg-BG"/>
              </w:rPr>
              <w:t>та</w:t>
            </w:r>
            <w:r w:rsidR="00E40776">
              <w:t xml:space="preserve"> лихва по инструмента.</w:t>
            </w:r>
          </w:p>
        </w:tc>
      </w:tr>
      <w:tr w:rsidR="00FE5D64"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FE5D64" w:rsidRDefault="00E40776">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36849BE4" w14:textId="77777777" w:rsidR="00FE5D64" w:rsidRDefault="002C3614">
            <w:pPr>
              <w:pStyle w:val="P68B1DB1-TableParagraph73"/>
              <w:spacing w:before="108"/>
              <w:ind w:left="85"/>
              <w:jc w:val="both"/>
              <w:rPr>
                <w:bCs/>
              </w:rPr>
            </w:pPr>
            <w:r>
              <w:rPr>
                <w:lang w:val="bg-BG"/>
              </w:rPr>
              <w:t>В</w:t>
            </w:r>
            <w:r w:rsidR="00E40776">
              <w:t>ид купон</w:t>
            </w:r>
          </w:p>
          <w:p w14:paraId="7FE1CFCF" w14:textId="562D9DFA" w:rsidR="00FE5D64" w:rsidRDefault="00765313" w:rsidP="006F2AA5">
            <w:pPr>
              <w:pStyle w:val="P68B1DB1-TableParagraph40"/>
              <w:spacing w:before="108"/>
              <w:ind w:left="85"/>
              <w:jc w:val="both"/>
            </w:pPr>
            <w:r>
              <w:rPr>
                <w:lang w:val="bg-BG"/>
              </w:rPr>
              <w:t>Посочва се</w:t>
            </w:r>
            <w:r>
              <w:t xml:space="preserve"> </w:t>
            </w:r>
            <w:r w:rsidR="00E40776">
              <w:t>текущия вид купонно плащане</w:t>
            </w:r>
            <w:r>
              <w:rPr>
                <w:lang w:val="bg-BG"/>
              </w:rPr>
              <w:t xml:space="preserve"> от предварително определен списък:</w:t>
            </w:r>
            <w:r w:rsidR="00E40776">
              <w:t xml:space="preserve"> — „фиксиран купон</w:t>
            </w:r>
            <w:r>
              <w:rPr>
                <w:lang w:val="bg-BG"/>
              </w:rPr>
              <w:t>“,</w:t>
            </w:r>
            <w:r w:rsidR="00E40776">
              <w:t xml:space="preserve"> „плаващ купон</w:t>
            </w:r>
            <w:r>
              <w:rPr>
                <w:lang w:val="bg-BG"/>
              </w:rPr>
              <w:t>“,</w:t>
            </w:r>
            <w:r w:rsidR="00E40776">
              <w:t xml:space="preserve"> „</w:t>
            </w:r>
            <w:r w:rsidR="00885AFD">
              <w:rPr>
                <w:lang w:val="bg-BG"/>
              </w:rPr>
              <w:t>с</w:t>
            </w:r>
            <w:r w:rsidR="00E40776">
              <w:t>труктуриран купон</w:t>
            </w:r>
            <w:r>
              <w:rPr>
                <w:lang w:val="bg-BG"/>
              </w:rPr>
              <w:t>“</w:t>
            </w:r>
            <w:r w:rsidR="00E40776">
              <w:t xml:space="preserve"> </w:t>
            </w:r>
            <w:r>
              <w:rPr>
                <w:lang w:val="bg-BG"/>
              </w:rPr>
              <w:t xml:space="preserve"> </w:t>
            </w:r>
            <w:r w:rsidR="006F2AA5" w:rsidRPr="00765313">
              <w:rPr>
                <w:lang w:val="bg-BG"/>
              </w:rPr>
              <w:t>или</w:t>
            </w:r>
            <w:r w:rsidR="00E40776">
              <w:t xml:space="preserve"> „</w:t>
            </w:r>
            <w:r w:rsidR="00885AFD">
              <w:rPr>
                <w:lang w:val="bg-BG"/>
              </w:rPr>
              <w:t>н</w:t>
            </w:r>
            <w:r w:rsidR="002C3614">
              <w:rPr>
                <w:lang w:val="bg-BG"/>
              </w:rPr>
              <w:t>улев купон</w:t>
            </w:r>
            <w:r w:rsidR="00E40776">
              <w:t>“.</w:t>
            </w:r>
          </w:p>
        </w:tc>
      </w:tr>
      <w:tr w:rsidR="00FE5D64"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FE5D64" w:rsidRDefault="00E40776">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2F056248" w:rsidR="00FE5D64" w:rsidRDefault="00E40776">
            <w:pPr>
              <w:pStyle w:val="P68B1DB1-TableParagraph73"/>
              <w:spacing w:before="108"/>
              <w:ind w:left="85"/>
              <w:jc w:val="both"/>
              <w:rPr>
                <w:bCs/>
              </w:rPr>
            </w:pPr>
            <w:r>
              <w:t>Текущ купон (%)</w:t>
            </w:r>
          </w:p>
          <w:p w14:paraId="7FE1CFD3" w14:textId="6EDB307E" w:rsidR="00FE5D64" w:rsidRDefault="00E40776" w:rsidP="00D975B1">
            <w:pPr>
              <w:pStyle w:val="P68B1DB1-TableParagraph40"/>
              <w:spacing w:before="108"/>
              <w:ind w:left="85"/>
              <w:jc w:val="both"/>
            </w:pPr>
            <w:r>
              <w:t>Равнище на лихвения процент на купон</w:t>
            </w:r>
            <w:r w:rsidR="00D975B1">
              <w:rPr>
                <w:lang w:val="bg-BG"/>
              </w:rPr>
              <w:t>ното плащане</w:t>
            </w:r>
            <w:r>
              <w:t xml:space="preserve">, приложим за инструмента към датата на </w:t>
            </w:r>
            <w:r w:rsidR="00D975B1">
              <w:rPr>
                <w:lang w:val="bg-BG"/>
              </w:rPr>
              <w:t>отчитане</w:t>
            </w:r>
            <w:r>
              <w:t xml:space="preserve">. </w:t>
            </w:r>
          </w:p>
        </w:tc>
      </w:tr>
      <w:tr w:rsidR="00FE5D64"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FE5D64" w:rsidRDefault="00E40776">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DEF32FB" w:rsidR="00FE5D64" w:rsidRDefault="00E40776">
            <w:pPr>
              <w:pStyle w:val="P68B1DB1-TableParagraph73"/>
              <w:spacing w:before="108"/>
              <w:ind w:left="85"/>
              <w:jc w:val="both"/>
              <w:rPr>
                <w:bCs/>
              </w:rPr>
            </w:pPr>
            <w:r>
              <w:t xml:space="preserve">Дата на </w:t>
            </w:r>
            <w:r w:rsidR="00765313">
              <w:rPr>
                <w:lang w:val="bg-BG"/>
              </w:rPr>
              <w:t>издаване на емисията</w:t>
            </w:r>
          </w:p>
          <w:p w14:paraId="7FE1CFD7" w14:textId="77777777" w:rsidR="00FE5D64" w:rsidRDefault="00E40776">
            <w:pPr>
              <w:pStyle w:val="P68B1DB1-TableParagraph40"/>
              <w:spacing w:before="108"/>
              <w:ind w:left="85"/>
              <w:jc w:val="both"/>
            </w:pPr>
            <w:r>
              <w:t>Дата на първоначалното емитиране на инструмента.</w:t>
            </w:r>
          </w:p>
        </w:tc>
      </w:tr>
      <w:tr w:rsidR="00FE5D64"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FE5D64" w:rsidRDefault="00E40776">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3C83A1D9" w:rsidR="00FE5D64" w:rsidRDefault="00E40776">
            <w:pPr>
              <w:pStyle w:val="P68B1DB1-TableParagraph73"/>
              <w:spacing w:before="108"/>
              <w:ind w:left="85"/>
              <w:jc w:val="both"/>
              <w:rPr>
                <w:bCs/>
              </w:rPr>
            </w:pPr>
            <w:r>
              <w:t>Най-ранна дата на обратно изкупуване</w:t>
            </w:r>
          </w:p>
          <w:p w14:paraId="7FE1CFDB" w14:textId="7EA95EB3" w:rsidR="00FE5D64" w:rsidRDefault="00E40776" w:rsidP="00D975B1">
            <w:pPr>
              <w:pStyle w:val="P68B1DB1-TableParagraph40"/>
              <w:spacing w:before="108"/>
              <w:ind w:left="85"/>
              <w:jc w:val="both"/>
            </w:pPr>
            <w:r>
              <w:t xml:space="preserve">Ако съществува възможност притежателите на инструмента да поискат предсрочно </w:t>
            </w:r>
            <w:r w:rsidR="00D975B1">
              <w:rPr>
                <w:lang w:val="bg-BG"/>
              </w:rPr>
              <w:t>погасяване</w:t>
            </w:r>
            <w:r>
              <w:t xml:space="preserve"> или ако в договора са предвидени условия за предсрочно </w:t>
            </w:r>
            <w:r w:rsidR="00D975B1">
              <w:rPr>
                <w:lang w:val="bg-BG"/>
              </w:rPr>
              <w:t>погасяване</w:t>
            </w:r>
            <w:r>
              <w:t xml:space="preserve">, </w:t>
            </w:r>
            <w:r w:rsidR="00765313">
              <w:rPr>
                <w:lang w:val="bg-BG"/>
              </w:rPr>
              <w:t>посочва се</w:t>
            </w:r>
            <w:r w:rsidR="00D975B1">
              <w:t xml:space="preserve"> </w:t>
            </w:r>
            <w:r>
              <w:t xml:space="preserve">най-ранната дата на настъпване на събитието. </w:t>
            </w:r>
            <w:r w:rsidR="00D975B1">
              <w:rPr>
                <w:lang w:val="bg-BG"/>
              </w:rPr>
              <w:t>Ако възможността за предсрочно погасяване</w:t>
            </w:r>
            <w:r>
              <w:t xml:space="preserve"> не </w:t>
            </w:r>
            <w:r w:rsidR="00D975B1">
              <w:rPr>
                <w:lang w:val="bg-BG"/>
              </w:rPr>
              <w:t>е</w:t>
            </w:r>
            <w:r>
              <w:t xml:space="preserve"> свързан</w:t>
            </w:r>
            <w:r w:rsidR="00D975B1">
              <w:rPr>
                <w:lang w:val="bg-BG"/>
              </w:rPr>
              <w:t>а</w:t>
            </w:r>
            <w:r>
              <w:t xml:space="preserve"> с определена дата, а по-скоро с настъпването на каквото и да е </w:t>
            </w:r>
            <w:r w:rsidR="00D975B1">
              <w:rPr>
                <w:lang w:val="bg-BG"/>
              </w:rPr>
              <w:t xml:space="preserve">бъдещо </w:t>
            </w:r>
            <w:r>
              <w:t xml:space="preserve">събитие, </w:t>
            </w:r>
            <w:r w:rsidR="00765313">
              <w:rPr>
                <w:lang w:val="bg-BG"/>
              </w:rPr>
              <w:t>посочва се</w:t>
            </w:r>
            <w:r>
              <w:t xml:space="preserve"> най-ранната дата, на която може да настъпи събитието. Ако предсрочното </w:t>
            </w:r>
            <w:r w:rsidR="00D975B1">
              <w:rPr>
                <w:lang w:val="bg-BG"/>
              </w:rPr>
              <w:t>погасяване</w:t>
            </w:r>
            <w:r>
              <w:t xml:space="preserve"> се отнася само до част от задължението (напр. предсрочно погасяване на 50% от номиналната стойност), задължението се разделя, за да се вземе предвид тази клауза за частично предсрочно погасяване.</w:t>
            </w:r>
          </w:p>
        </w:tc>
      </w:tr>
      <w:tr w:rsidR="00FE5D64"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FE5D64" w:rsidRDefault="00E40776">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02C14CDB" w:rsidR="00FE5D64" w:rsidRDefault="004052C5">
            <w:pPr>
              <w:pStyle w:val="P68B1DB1-TableParagraph73"/>
              <w:spacing w:before="108"/>
              <w:ind w:left="85"/>
              <w:jc w:val="both"/>
              <w:rPr>
                <w:bCs/>
              </w:rPr>
            </w:pPr>
            <w:r>
              <w:rPr>
                <w:lang w:val="bg-BG"/>
              </w:rPr>
              <w:t>Краен договорен</w:t>
            </w:r>
            <w:r>
              <w:t xml:space="preserve"> </w:t>
            </w:r>
            <w:r w:rsidR="00E40776">
              <w:t>падеж</w:t>
            </w:r>
          </w:p>
          <w:p w14:paraId="7FE1CFDF" w14:textId="0DF859C2" w:rsidR="00FE5D64" w:rsidRDefault="00E40776" w:rsidP="00494F86">
            <w:pPr>
              <w:pStyle w:val="P68B1DB1-TableParagraph40"/>
              <w:spacing w:before="108"/>
              <w:ind w:left="85"/>
              <w:jc w:val="both"/>
            </w:pPr>
            <w:r>
              <w:t xml:space="preserve">Дата на </w:t>
            </w:r>
            <w:r w:rsidR="004052C5">
              <w:rPr>
                <w:lang w:val="bg-BG"/>
              </w:rPr>
              <w:t>крайния договорен падеж</w:t>
            </w:r>
            <w:r>
              <w:t xml:space="preserve"> на инструмента. За безсрочните ценни книжа се </w:t>
            </w:r>
            <w:r w:rsidR="004052C5">
              <w:rPr>
                <w:lang w:val="bg-BG"/>
              </w:rPr>
              <w:t>попълва</w:t>
            </w:r>
            <w:r w:rsidR="00494F86">
              <w:t xml:space="preserve"> </w:t>
            </w:r>
            <w:r>
              <w:t>„</w:t>
            </w:r>
            <w:r w:rsidR="004052C5">
              <w:rPr>
                <w:lang w:val="bg-BG"/>
              </w:rPr>
              <w:t>2099-01-31</w:t>
            </w:r>
            <w:r>
              <w:t>“</w:t>
            </w:r>
          </w:p>
        </w:tc>
      </w:tr>
      <w:tr w:rsidR="00FE5D64"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FE5D64" w:rsidRDefault="00E40776">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0B98230C" w:rsidR="00FE5D64" w:rsidRDefault="00E40776">
            <w:pPr>
              <w:pStyle w:val="P68B1DB1-TableParagraph73"/>
              <w:spacing w:before="108"/>
              <w:ind w:left="85"/>
              <w:jc w:val="both"/>
              <w:rPr>
                <w:bCs/>
              </w:rPr>
            </w:pPr>
            <w:r>
              <w:t>Публично/частно пласиране</w:t>
            </w:r>
          </w:p>
          <w:p w14:paraId="7FE1CFE3" w14:textId="44C2DA3F" w:rsidR="00FE5D64" w:rsidRDefault="00E40776" w:rsidP="00715500">
            <w:pPr>
              <w:pStyle w:val="P68B1DB1-TableParagraph40"/>
              <w:spacing w:before="108"/>
              <w:ind w:left="85"/>
              <w:jc w:val="both"/>
            </w:pPr>
            <w:r>
              <w:t xml:space="preserve">При публично пласиране субектът </w:t>
            </w:r>
            <w:r w:rsidR="00715500">
              <w:rPr>
                <w:lang w:val="bg-BG"/>
              </w:rPr>
              <w:t>следва да</w:t>
            </w:r>
            <w:r w:rsidR="00715500">
              <w:t xml:space="preserve"> </w:t>
            </w:r>
            <w:r>
              <w:t>е публикувал емисията с конкретен график за процедура</w:t>
            </w:r>
            <w:r w:rsidR="00B673D7">
              <w:rPr>
                <w:lang w:val="bg-BG"/>
              </w:rPr>
              <w:t>та по публичното предлагане</w:t>
            </w:r>
            <w:r>
              <w:t xml:space="preserve">. </w:t>
            </w:r>
            <w:r w:rsidR="00715500">
              <w:rPr>
                <w:lang w:val="bg-BG"/>
              </w:rPr>
              <w:t>От друга страна</w:t>
            </w:r>
            <w:r>
              <w:t xml:space="preserve">, </w:t>
            </w:r>
            <w:r w:rsidR="009E410E">
              <w:rPr>
                <w:lang w:val="bg-BG"/>
              </w:rPr>
              <w:t xml:space="preserve">при частното пласиране на </w:t>
            </w:r>
            <w:r>
              <w:t>емисии ценни книжа отделни лица, действащи за своя сметка или за сметка на трети лица</w:t>
            </w:r>
            <w:r w:rsidR="009E410E">
              <w:rPr>
                <w:lang w:val="bg-BG"/>
              </w:rPr>
              <w:t xml:space="preserve"> </w:t>
            </w:r>
            <w:r w:rsidR="009E410E" w:rsidRPr="009E410E">
              <w:rPr>
                <w:lang w:val="bg-BG"/>
              </w:rPr>
              <w:t xml:space="preserve">се договарят </w:t>
            </w:r>
            <w:r w:rsidR="009E410E">
              <w:rPr>
                <w:lang w:val="bg-BG"/>
              </w:rPr>
              <w:t>по</w:t>
            </w:r>
            <w:r w:rsidR="009E410E" w:rsidRPr="009E410E">
              <w:rPr>
                <w:lang w:val="bg-BG"/>
              </w:rPr>
              <w:t>между</w:t>
            </w:r>
            <w:r w:rsidR="009E410E">
              <w:rPr>
                <w:lang w:val="bg-BG"/>
              </w:rPr>
              <w:t xml:space="preserve"> си</w:t>
            </w:r>
            <w:r>
              <w:t xml:space="preserve">. </w:t>
            </w:r>
            <w:r w:rsidR="009E410E">
              <w:rPr>
                <w:lang w:val="bg-BG"/>
              </w:rPr>
              <w:t xml:space="preserve">Посочва се </w:t>
            </w:r>
            <w:r>
              <w:t xml:space="preserve">„Публично </w:t>
            </w:r>
            <w:r w:rsidR="00715500">
              <w:rPr>
                <w:lang w:val="bg-BG"/>
              </w:rPr>
              <w:t xml:space="preserve">пласиране“ </w:t>
            </w:r>
            <w:r>
              <w:t xml:space="preserve">или „Частно </w:t>
            </w:r>
            <w:r w:rsidR="00715500">
              <w:rPr>
                <w:lang w:val="bg-BG"/>
              </w:rPr>
              <w:t>пласиране</w:t>
            </w:r>
            <w:r>
              <w:t>“ от предварително определен списък.</w:t>
            </w:r>
          </w:p>
        </w:tc>
      </w:tr>
      <w:tr w:rsidR="00FE5D64"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FE5D64" w:rsidRDefault="00E40776">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076FECB1" w14:textId="023B7889" w:rsidR="00FE5D64" w:rsidRDefault="005E6457">
            <w:pPr>
              <w:pStyle w:val="P68B1DB1-TableParagraph73"/>
              <w:spacing w:before="108"/>
              <w:ind w:left="85"/>
              <w:jc w:val="both"/>
              <w:rPr>
                <w:bCs/>
              </w:rPr>
            </w:pPr>
            <w:r>
              <w:rPr>
                <w:lang w:val="bg-BG"/>
              </w:rPr>
              <w:t>Агент по плащанията</w:t>
            </w:r>
            <w:r w:rsidR="00E40776">
              <w:t xml:space="preserve"> </w:t>
            </w:r>
          </w:p>
          <w:p w14:paraId="7FE1CFE7" w14:textId="40CDD266" w:rsidR="00FE5D64" w:rsidRDefault="00E40776" w:rsidP="00CE1D75">
            <w:pPr>
              <w:pStyle w:val="P68B1DB1-TableParagraph40"/>
              <w:spacing w:before="108"/>
              <w:ind w:left="85"/>
              <w:jc w:val="both"/>
            </w:pPr>
            <w:r>
              <w:t xml:space="preserve">Идентификация на </w:t>
            </w:r>
            <w:r w:rsidR="00CE1D75">
              <w:rPr>
                <w:lang w:val="bg-BG"/>
              </w:rPr>
              <w:t>агент</w:t>
            </w:r>
            <w:r w:rsidR="005E6457">
              <w:rPr>
                <w:lang w:val="bg-BG"/>
              </w:rPr>
              <w:t>а по плащанията</w:t>
            </w:r>
            <w:r>
              <w:t xml:space="preserve"> за инструмента, като се </w:t>
            </w:r>
            <w:r w:rsidR="005E6457">
              <w:rPr>
                <w:lang w:val="bg-BG"/>
              </w:rPr>
              <w:t>посочва</w:t>
            </w:r>
            <w:r w:rsidR="005E6457">
              <w:t xml:space="preserve"> </w:t>
            </w:r>
            <w:r>
              <w:t>неговият ИКПС. „</w:t>
            </w:r>
            <w:r w:rsidR="005E6457">
              <w:rPr>
                <w:lang w:val="bg-BG"/>
              </w:rPr>
              <w:t>А</w:t>
            </w:r>
            <w:r w:rsidR="00CE1D75">
              <w:rPr>
                <w:lang w:val="bg-BG"/>
              </w:rPr>
              <w:t>гент</w:t>
            </w:r>
            <w:r w:rsidR="005E6457">
              <w:rPr>
                <w:lang w:val="bg-BG"/>
              </w:rPr>
              <w:t xml:space="preserve"> по плащанията</w:t>
            </w:r>
            <w:r>
              <w:t xml:space="preserve">“ е институция, обикновено инвестиционна банка, която приема средства от емитента на ценна книга и ги разпределя </w:t>
            </w:r>
            <w:r w:rsidR="00CE1D75">
              <w:rPr>
                <w:lang w:val="bg-BG"/>
              </w:rPr>
              <w:t>между</w:t>
            </w:r>
            <w:r>
              <w:t xml:space="preserve"> притежателите на ценната книга. </w:t>
            </w:r>
            <w:r w:rsidR="005E6457">
              <w:rPr>
                <w:lang w:val="bg-BG"/>
              </w:rPr>
              <w:t>По отношение на акциите</w:t>
            </w:r>
            <w:r>
              <w:t>, агентът по плащанията</w:t>
            </w:r>
            <w:r w:rsidR="00CE1D75" w:rsidRPr="009E410E">
              <w:rPr>
                <w:lang w:val="bg-BG"/>
              </w:rPr>
              <w:t xml:space="preserve"> </w:t>
            </w:r>
            <w:r>
              <w:t xml:space="preserve">разпределя дивиденти на </w:t>
            </w:r>
            <w:r w:rsidR="005E6457">
              <w:rPr>
                <w:lang w:val="bg-BG"/>
              </w:rPr>
              <w:t xml:space="preserve">акционерите, докато за </w:t>
            </w:r>
            <w:r>
              <w:t xml:space="preserve">облигациите, разпределя купонни плащания и </w:t>
            </w:r>
            <w:r w:rsidR="005E6457">
              <w:rPr>
                <w:lang w:val="bg-BG"/>
              </w:rPr>
              <w:t>изплаща</w:t>
            </w:r>
            <w:r>
              <w:t xml:space="preserve"> главницата на </w:t>
            </w:r>
            <w:r w:rsidR="005E6457">
              <w:rPr>
                <w:lang w:val="bg-BG"/>
              </w:rPr>
              <w:t>облигационерите</w:t>
            </w:r>
            <w:r>
              <w:t>.</w:t>
            </w:r>
          </w:p>
        </w:tc>
      </w:tr>
      <w:tr w:rsidR="00FE5D64"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FE5D64" w:rsidRDefault="00E40776">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408A3976" w:rsidR="00FE5D64" w:rsidRDefault="00E40776">
            <w:pPr>
              <w:pStyle w:val="P68B1DB1-TableParagraph73"/>
              <w:spacing w:before="108"/>
              <w:ind w:left="85"/>
              <w:jc w:val="both"/>
              <w:rPr>
                <w:bCs/>
              </w:rPr>
            </w:pPr>
            <w:r>
              <w:t>Идентификатор</w:t>
            </w:r>
            <w:r w:rsidR="00400A51">
              <w:t xml:space="preserve"> </w:t>
            </w:r>
            <w:r>
              <w:t xml:space="preserve">на контрагента </w:t>
            </w:r>
          </w:p>
          <w:p w14:paraId="7FE1CFEF" w14:textId="081AD084" w:rsidR="00FE5D64" w:rsidRDefault="00E40776" w:rsidP="00400A51">
            <w:pPr>
              <w:pStyle w:val="P68B1DB1-TableParagraph40"/>
              <w:spacing w:before="108"/>
              <w:ind w:left="85"/>
              <w:jc w:val="both"/>
            </w:pPr>
            <w:r>
              <w:t xml:space="preserve">Посочва се ИКПС на кредитора. При липса на ИКПС, когато става въпрос за банки, </w:t>
            </w:r>
            <w:r w:rsidR="005E6457">
              <w:rPr>
                <w:lang w:val="bg-BG"/>
              </w:rPr>
              <w:t>посочва се</w:t>
            </w:r>
            <w:r>
              <w:t xml:space="preserve"> използваният в RIAD </w:t>
            </w:r>
            <w:r w:rsidR="00F05DE6">
              <w:rPr>
                <w:lang w:val="bg-BG"/>
              </w:rPr>
              <w:t>идентификационен код</w:t>
            </w:r>
            <w:r w:rsidR="00F05DE6">
              <w:t xml:space="preserve"> </w:t>
            </w:r>
            <w:r>
              <w:t xml:space="preserve">на ЕЦБ </w:t>
            </w:r>
            <w:r w:rsidR="005E6457">
              <w:rPr>
                <w:lang w:val="bg-BG"/>
              </w:rPr>
              <w:t>за</w:t>
            </w:r>
            <w:r w:rsidR="005E6457">
              <w:t xml:space="preserve"> </w:t>
            </w:r>
            <w:r>
              <w:t>паричн</w:t>
            </w:r>
            <w:r w:rsidR="005E6457">
              <w:rPr>
                <w:lang w:val="bg-BG"/>
              </w:rPr>
              <w:t>о-</w:t>
            </w:r>
            <w:r>
              <w:t>финансови институции (</w:t>
            </w:r>
            <w:r w:rsidR="005E6457">
              <w:rPr>
                <w:lang w:val="bg-BG"/>
              </w:rPr>
              <w:t xml:space="preserve">Код на </w:t>
            </w:r>
            <w:r>
              <w:t>ПФИ). Само при липса</w:t>
            </w:r>
            <w:r w:rsidR="00627519">
              <w:rPr>
                <w:lang w:val="bg-BG"/>
              </w:rPr>
              <w:t xml:space="preserve"> и</w:t>
            </w:r>
            <w:r>
              <w:t xml:space="preserve"> на двата идентификатора се </w:t>
            </w:r>
            <w:r w:rsidR="00627519">
              <w:rPr>
                <w:lang w:val="bg-BG"/>
              </w:rPr>
              <w:t>посочва</w:t>
            </w:r>
            <w:r w:rsidR="00400A51">
              <w:t xml:space="preserve"> </w:t>
            </w:r>
            <w:r>
              <w:t>вътрешен идентификатор.</w:t>
            </w:r>
          </w:p>
        </w:tc>
      </w:tr>
      <w:tr w:rsidR="00FE5D64"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FE5D64" w:rsidRDefault="00E40776">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FE5D64" w:rsidRDefault="00E40776">
            <w:pPr>
              <w:pStyle w:val="P68B1DB1-TableParagraph73"/>
              <w:spacing w:before="108"/>
              <w:ind w:left="85"/>
              <w:jc w:val="both"/>
              <w:rPr>
                <w:bCs/>
              </w:rPr>
            </w:pPr>
            <w:r>
              <w:t xml:space="preserve">Вид идентификатор </w:t>
            </w:r>
          </w:p>
          <w:p w14:paraId="7FE1CFF3" w14:textId="229817D0" w:rsidR="00FE5D64" w:rsidRDefault="00E40776" w:rsidP="00DE2329">
            <w:pPr>
              <w:pStyle w:val="P68B1DB1-TableParagraph40"/>
              <w:spacing w:before="108"/>
              <w:ind w:left="85"/>
              <w:jc w:val="both"/>
            </w:pPr>
            <w:r>
              <w:t>Избира се измежду следните варианти: „ИКПС</w:t>
            </w:r>
            <w:r w:rsidR="00DE2329">
              <w:rPr>
                <w:lang w:val="bg-BG"/>
              </w:rPr>
              <w:t>“</w:t>
            </w:r>
            <w:r>
              <w:t>, „Код на ПФИ</w:t>
            </w:r>
            <w:r w:rsidR="00DE2329">
              <w:rPr>
                <w:lang w:val="bg-BG"/>
              </w:rPr>
              <w:t xml:space="preserve">“ </w:t>
            </w:r>
            <w:r>
              <w:t>или „Вид идентификатор, различен от ИКПС или код на ПФИ“.</w:t>
            </w:r>
          </w:p>
        </w:tc>
      </w:tr>
      <w:tr w:rsidR="00FE5D64"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FE5D64" w:rsidRDefault="00E40776">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3FD654A3" w:rsidR="00FE5D64" w:rsidRDefault="00627519">
            <w:pPr>
              <w:pStyle w:val="P68B1DB1-TableParagraph73"/>
              <w:spacing w:before="108"/>
              <w:ind w:left="85"/>
              <w:jc w:val="both"/>
              <w:rPr>
                <w:bCs/>
              </w:rPr>
            </w:pPr>
            <w:r>
              <w:rPr>
                <w:lang w:val="bg-BG"/>
              </w:rPr>
              <w:t>Списък на регулираните пазари, на които се търгуват ценните книжа</w:t>
            </w:r>
            <w:r w:rsidR="00E40776">
              <w:t xml:space="preserve"> </w:t>
            </w:r>
          </w:p>
          <w:p w14:paraId="7FE1CFF7" w14:textId="6828D1ED" w:rsidR="00FE5D64" w:rsidRDefault="00627519" w:rsidP="003E7A80">
            <w:pPr>
              <w:pStyle w:val="P68B1DB1-TableParagraph40"/>
              <w:spacing w:before="108"/>
              <w:ind w:left="85"/>
              <w:jc w:val="both"/>
            </w:pPr>
            <w:r>
              <w:rPr>
                <w:lang w:val="bg-BG"/>
              </w:rPr>
              <w:t xml:space="preserve">Посочват се регулираните пазари, на които </w:t>
            </w:r>
            <w:r w:rsidR="00E40776">
              <w:t>инструментите са регистрирани</w:t>
            </w:r>
            <w:r>
              <w:rPr>
                <w:lang w:val="bg-BG"/>
              </w:rPr>
              <w:t xml:space="preserve"> за търговия</w:t>
            </w:r>
            <w:r w:rsidR="00E40776">
              <w:t xml:space="preserve">. </w:t>
            </w:r>
            <w:r>
              <w:rPr>
                <w:lang w:val="bg-BG"/>
              </w:rPr>
              <w:t xml:space="preserve">Ако регулираните пазари, на които се търгуват инструментите, са повече от един, при изброяването </w:t>
            </w:r>
            <w:r w:rsidR="00E40776">
              <w:t>се разделят с точка и запетая.</w:t>
            </w:r>
          </w:p>
        </w:tc>
      </w:tr>
      <w:tr w:rsidR="00FE5D64"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FE5D64" w:rsidRDefault="00E40776">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FE5D64" w:rsidRDefault="00E40776">
            <w:pPr>
              <w:pStyle w:val="P68B1DB1-TableParagraph73"/>
              <w:spacing w:before="108"/>
              <w:ind w:left="85"/>
              <w:jc w:val="both"/>
              <w:rPr>
                <w:bCs/>
              </w:rPr>
            </w:pPr>
            <w:r>
              <w:t xml:space="preserve">Системи за сетълмент  </w:t>
            </w:r>
          </w:p>
          <w:p w14:paraId="7FE1CFFB" w14:textId="5CBD041E" w:rsidR="00FE5D64" w:rsidRDefault="00326071">
            <w:pPr>
              <w:pStyle w:val="P68B1DB1-TableParagraph40"/>
              <w:spacing w:before="108"/>
              <w:ind w:left="85"/>
              <w:jc w:val="both"/>
            </w:pPr>
            <w:r>
              <w:rPr>
                <w:lang w:val="bg-BG"/>
              </w:rPr>
              <w:t>Посочват се</w:t>
            </w:r>
            <w:r>
              <w:t xml:space="preserve"> </w:t>
            </w:r>
            <w:r w:rsidR="00E40776">
              <w:t xml:space="preserve">системите за сетълмент на ценни книжа, </w:t>
            </w:r>
            <w:r>
              <w:rPr>
                <w:lang w:val="bg-BG"/>
              </w:rPr>
              <w:t>при</w:t>
            </w:r>
            <w:r w:rsidR="00E40776">
              <w:t xml:space="preserve"> които може да се извършва сетълмент на тези ценни книжа. </w:t>
            </w:r>
            <w:r>
              <w:rPr>
                <w:lang w:val="bg-BG"/>
              </w:rPr>
              <w:t xml:space="preserve">Ако са повече от една, при изброяването </w:t>
            </w:r>
            <w:r w:rsidR="00E40776">
              <w:t>се разделя</w:t>
            </w:r>
            <w:r>
              <w:rPr>
                <w:lang w:val="bg-BG"/>
              </w:rPr>
              <w:t>т</w:t>
            </w:r>
            <w:r w:rsidR="00E40776">
              <w:t xml:space="preserve"> с точка и запетая.</w:t>
            </w:r>
          </w:p>
        </w:tc>
      </w:tr>
      <w:tr w:rsidR="00FE5D64"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FE5D64" w:rsidRDefault="00E40776">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5F5BBA56" w:rsidR="00FE5D64" w:rsidRDefault="00326071">
            <w:pPr>
              <w:pStyle w:val="P68B1DB1-TableParagraph73"/>
              <w:spacing w:before="108"/>
              <w:ind w:left="85"/>
              <w:jc w:val="both"/>
              <w:rPr>
                <w:bCs/>
              </w:rPr>
            </w:pPr>
            <w:r>
              <w:rPr>
                <w:lang w:val="bg-BG"/>
              </w:rPr>
              <w:t>Регистратор/Регистър на емисията</w:t>
            </w:r>
          </w:p>
          <w:p w14:paraId="7FE1CFFF" w14:textId="5B118F68" w:rsidR="00FE5D64" w:rsidRDefault="00E40776" w:rsidP="003E7A80">
            <w:pPr>
              <w:pStyle w:val="P68B1DB1-TableParagraph40"/>
              <w:spacing w:before="108"/>
              <w:ind w:left="85"/>
              <w:jc w:val="both"/>
            </w:pPr>
            <w:r>
              <w:t xml:space="preserve">Посочете </w:t>
            </w:r>
            <w:r w:rsidR="00326071">
              <w:rPr>
                <w:lang w:val="bg-BG"/>
              </w:rPr>
              <w:t>регистраторът/регистърът</w:t>
            </w:r>
            <w:r>
              <w:t xml:space="preserve"> (отговор</w:t>
            </w:r>
            <w:r w:rsidR="00326071">
              <w:rPr>
                <w:lang w:val="bg-BG"/>
              </w:rPr>
              <w:t>е</w:t>
            </w:r>
            <w:r>
              <w:t xml:space="preserve">н за </w:t>
            </w:r>
            <w:r w:rsidR="00326071">
              <w:rPr>
                <w:lang w:val="bg-BG"/>
              </w:rPr>
              <w:t>съхраняването на данните</w:t>
            </w:r>
            <w:r>
              <w:t xml:space="preserve"> на собствениците на тези ценни книжа). Регистраторът или регистър</w:t>
            </w:r>
            <w:r w:rsidR="00326071">
              <w:rPr>
                <w:lang w:val="bg-BG"/>
              </w:rPr>
              <w:t>ът</w:t>
            </w:r>
            <w:r>
              <w:t xml:space="preserve"> обикновено е самият емитент, ЦДЦК или друг субект. </w:t>
            </w:r>
          </w:p>
        </w:tc>
      </w:tr>
      <w:tr w:rsidR="00FE5D64" w14:paraId="7FE1D004" w14:textId="77777777">
        <w:tc>
          <w:tcPr>
            <w:tcW w:w="1415" w:type="dxa"/>
            <w:tcBorders>
              <w:top w:val="single" w:sz="8" w:space="0" w:color="1A171C"/>
              <w:left w:val="nil"/>
              <w:right w:val="single" w:sz="8" w:space="0" w:color="1A171C"/>
            </w:tcBorders>
            <w:vAlign w:val="center"/>
          </w:tcPr>
          <w:p w14:paraId="7FE1D001" w14:textId="4BB75CDA" w:rsidR="00FE5D64" w:rsidRDefault="00884CFF">
            <w:pPr>
              <w:pStyle w:val="P68B1DB1-Normal31"/>
            </w:pPr>
            <w:r>
              <w:rPr>
                <w:lang w:val="bg-BG"/>
              </w:rPr>
              <w:t>0</w:t>
            </w:r>
            <w:r>
              <w:t>250</w:t>
            </w:r>
          </w:p>
        </w:tc>
        <w:tc>
          <w:tcPr>
            <w:tcW w:w="7611" w:type="dxa"/>
            <w:gridSpan w:val="2"/>
            <w:tcBorders>
              <w:top w:val="single" w:sz="8" w:space="0" w:color="1A171C"/>
              <w:left w:val="single" w:sz="8" w:space="0" w:color="1A171C"/>
              <w:right w:val="nil"/>
            </w:tcBorders>
            <w:vAlign w:val="bottom"/>
          </w:tcPr>
          <w:p w14:paraId="7FE1D002" w14:textId="200E4E8A" w:rsidR="00FE5D64" w:rsidRDefault="00E40776">
            <w:pPr>
              <w:pStyle w:val="P68B1DB1-TableParagraph73"/>
              <w:spacing w:before="108"/>
              <w:ind w:left="85"/>
              <w:jc w:val="both"/>
              <w:rPr>
                <w:bCs/>
              </w:rPr>
            </w:pPr>
            <w:r>
              <w:t xml:space="preserve">Централен депозитар на ценни книжа </w:t>
            </w:r>
          </w:p>
          <w:p w14:paraId="7FE1D003" w14:textId="54E74117" w:rsidR="00FE5D64" w:rsidRDefault="00E40776">
            <w:pPr>
              <w:pStyle w:val="P68B1DB1-TableParagraph40"/>
              <w:spacing w:before="108"/>
              <w:ind w:left="85"/>
              <w:jc w:val="both"/>
            </w:pPr>
            <w:r>
              <w:t xml:space="preserve">Посочва се </w:t>
            </w:r>
            <w:r w:rsidR="00884CFF">
              <w:t xml:space="preserve">ЦДЦК </w:t>
            </w:r>
            <w:r w:rsidR="00884CFF">
              <w:rPr>
                <w:lang w:val="bg-BG"/>
              </w:rPr>
              <w:t>на емисията</w:t>
            </w:r>
            <w:r>
              <w:t xml:space="preserve"> ценни книжа.</w:t>
            </w:r>
          </w:p>
        </w:tc>
      </w:tr>
      <w:tr w:rsidR="00FE5D64" w14:paraId="7FE1D02F" w14:textId="77777777">
        <w:tc>
          <w:tcPr>
            <w:tcW w:w="1415" w:type="dxa"/>
            <w:tcBorders>
              <w:left w:val="nil"/>
              <w:bottom w:val="single" w:sz="8" w:space="0" w:color="1A171C"/>
              <w:right w:val="single" w:sz="8" w:space="0" w:color="1A171C"/>
            </w:tcBorders>
            <w:vAlign w:val="center"/>
          </w:tcPr>
          <w:p w14:paraId="7FE1D005" w14:textId="77777777" w:rsidR="00FE5D64" w:rsidRDefault="00E40776">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7C3A0DE0" w:rsidR="00FE5D64" w:rsidRDefault="00E40776">
            <w:pPr>
              <w:pStyle w:val="P68B1DB1-TableParagraph40"/>
              <w:spacing w:before="108"/>
              <w:ind w:left="85"/>
              <w:jc w:val="both"/>
            </w:pPr>
            <w:r>
              <w:t xml:space="preserve">Когато се </w:t>
            </w:r>
            <w:r w:rsidR="00884CFF">
              <w:rPr>
                <w:lang w:val="bg-BG"/>
              </w:rPr>
              <w:t>посочва</w:t>
            </w:r>
            <w:r w:rsidR="003E7A80">
              <w:t xml:space="preserve"> </w:t>
            </w:r>
            <w:r>
              <w:t>ЦДЦК</w:t>
            </w:r>
            <w:r w:rsidR="00884CFF">
              <w:rPr>
                <w:lang w:val="bg-BG"/>
              </w:rPr>
              <w:t xml:space="preserve"> на емисията</w:t>
            </w:r>
            <w:r>
              <w:t xml:space="preserve">, </w:t>
            </w:r>
            <w:r w:rsidR="00884CFF">
              <w:rPr>
                <w:lang w:val="bg-BG"/>
              </w:rPr>
              <w:t xml:space="preserve">се използва </w:t>
            </w:r>
            <w:r>
              <w:t>съкращението, посочено в таблицата по-долу, освен ако съответният ЦДЦК не е в списъка:</w:t>
            </w:r>
          </w:p>
          <w:p w14:paraId="2D12E751" w14:textId="77777777" w:rsidR="00E34E34" w:rsidRPr="00884CFF" w:rsidRDefault="00E34E34" w:rsidP="00884CFF">
            <w:pPr>
              <w:pStyle w:val="P68B1DB1-TableParagraph40"/>
              <w:spacing w:before="108"/>
              <w:ind w:left="85"/>
              <w:jc w:val="both"/>
            </w:pPr>
            <w:r w:rsidRPr="00884CFF">
              <w:t>ATHEX CSD_EL</w:t>
            </w:r>
          </w:p>
          <w:p w14:paraId="4940E1D2" w14:textId="77777777" w:rsidR="00E34E34" w:rsidRPr="00884CFF" w:rsidRDefault="00E34E34" w:rsidP="00884CFF">
            <w:pPr>
              <w:pStyle w:val="P68B1DB1-TableParagraph40"/>
              <w:spacing w:before="108"/>
              <w:ind w:left="85"/>
              <w:jc w:val="both"/>
            </w:pPr>
            <w:r w:rsidRPr="00884CFF">
              <w:t>BOGS_EL</w:t>
            </w:r>
          </w:p>
          <w:p w14:paraId="5924157F" w14:textId="77777777" w:rsidR="00E34E34" w:rsidRPr="00884CFF" w:rsidRDefault="00E34E34" w:rsidP="00884CFF">
            <w:pPr>
              <w:pStyle w:val="P68B1DB1-TableParagraph40"/>
              <w:spacing w:before="108"/>
              <w:ind w:left="85"/>
              <w:jc w:val="both"/>
            </w:pPr>
            <w:r w:rsidRPr="00884CFF">
              <w:t>CBF_DE</w:t>
            </w:r>
          </w:p>
          <w:p w14:paraId="58598BAB" w14:textId="77777777" w:rsidR="00E34E34" w:rsidRPr="00884CFF" w:rsidRDefault="00E34E34" w:rsidP="00884CFF">
            <w:pPr>
              <w:pStyle w:val="P68B1DB1-TableParagraph40"/>
              <w:spacing w:before="108"/>
              <w:ind w:left="85"/>
              <w:jc w:val="both"/>
            </w:pPr>
            <w:r w:rsidRPr="00884CFF">
              <w:t>CBL_LU</w:t>
            </w:r>
          </w:p>
          <w:p w14:paraId="7E4FF37D" w14:textId="77777777" w:rsidR="00E34E34" w:rsidRPr="00884CFF" w:rsidRDefault="00E34E34" w:rsidP="00884CFF">
            <w:pPr>
              <w:pStyle w:val="P68B1DB1-TableParagraph40"/>
              <w:spacing w:before="108"/>
              <w:ind w:left="85"/>
              <w:jc w:val="both"/>
            </w:pPr>
            <w:r w:rsidRPr="00884CFF">
              <w:t>CDCP SR_SK</w:t>
            </w:r>
          </w:p>
          <w:p w14:paraId="5C3CF07A" w14:textId="77777777" w:rsidR="00E34E34" w:rsidRPr="00884CFF" w:rsidRDefault="00E34E34" w:rsidP="00884CFF">
            <w:pPr>
              <w:pStyle w:val="P68B1DB1-TableParagraph40"/>
              <w:spacing w:before="108"/>
              <w:ind w:left="85"/>
              <w:jc w:val="both"/>
            </w:pPr>
            <w:r w:rsidRPr="00884CFF">
              <w:t>CDCP_CZ</w:t>
            </w:r>
          </w:p>
          <w:p w14:paraId="43923C07" w14:textId="5A33525E" w:rsidR="00FE5D64" w:rsidRDefault="00884CFF">
            <w:pPr>
              <w:pStyle w:val="P68B1DB1-TableParagraph40"/>
              <w:spacing w:before="108"/>
              <w:ind w:left="85"/>
              <w:jc w:val="both"/>
            </w:pPr>
            <w:r w:rsidRPr="00884CFF">
              <w:t>Central Depository &amp; Clearing Company_HR</w:t>
            </w:r>
          </w:p>
          <w:p w14:paraId="123F497A" w14:textId="58B44F9E" w:rsidR="00E34E34" w:rsidRPr="00887877" w:rsidRDefault="00884CFF" w:rsidP="00884CFF">
            <w:pPr>
              <w:pStyle w:val="P68B1DB1-TableParagraph40"/>
              <w:spacing w:before="108"/>
              <w:ind w:left="85"/>
              <w:jc w:val="both"/>
            </w:pPr>
            <w:r w:rsidRPr="00884CFF">
              <w:t>Central Depository of Securities Prague_CZ</w:t>
            </w:r>
          </w:p>
          <w:p w14:paraId="20F2897D" w14:textId="1AED8971" w:rsidR="00E34E34" w:rsidRPr="00CF45E7" w:rsidRDefault="00CF45E7" w:rsidP="00884CFF">
            <w:pPr>
              <w:pStyle w:val="P68B1DB1-TableParagraph40"/>
              <w:spacing w:before="108"/>
              <w:ind w:left="85"/>
              <w:jc w:val="both"/>
              <w:rPr>
                <w:lang w:val="bg-BG"/>
              </w:rPr>
            </w:pPr>
            <w:r w:rsidRPr="00CF45E7">
              <w:t>Central Depository_BG</w:t>
            </w:r>
            <w:r>
              <w:rPr>
                <w:lang w:val="bg-BG"/>
              </w:rPr>
              <w:t xml:space="preserve"> (Централен депозитар)</w:t>
            </w:r>
          </w:p>
          <w:p w14:paraId="139154C8" w14:textId="18DDA672" w:rsidR="00E34E34" w:rsidRPr="00887877" w:rsidRDefault="00CF45E7" w:rsidP="00884CFF">
            <w:pPr>
              <w:pStyle w:val="P68B1DB1-TableParagraph40"/>
              <w:spacing w:before="108"/>
              <w:ind w:left="85"/>
              <w:jc w:val="both"/>
            </w:pPr>
            <w:r w:rsidRPr="00CF45E7">
              <w:t>Cyprus CDCR_CY</w:t>
            </w:r>
          </w:p>
          <w:p w14:paraId="496E445D" w14:textId="77777777" w:rsidR="00E34E34" w:rsidRPr="00887877" w:rsidRDefault="00E34E34" w:rsidP="00884CFF">
            <w:pPr>
              <w:pStyle w:val="P68B1DB1-TableParagraph40"/>
              <w:spacing w:before="108"/>
              <w:ind w:left="85"/>
              <w:jc w:val="both"/>
            </w:pPr>
            <w:r w:rsidRPr="00884CFF">
              <w:t>Depozitarul Central_RO</w:t>
            </w:r>
          </w:p>
          <w:p w14:paraId="2641771B" w14:textId="77777777" w:rsidR="00E34E34" w:rsidRPr="00887877" w:rsidRDefault="00E34E34" w:rsidP="00884CFF">
            <w:pPr>
              <w:pStyle w:val="P68B1DB1-TableParagraph40"/>
              <w:spacing w:before="108"/>
              <w:ind w:left="85"/>
              <w:jc w:val="both"/>
            </w:pPr>
            <w:r w:rsidRPr="00884CFF">
              <w:t>DTC_US</w:t>
            </w:r>
          </w:p>
          <w:p w14:paraId="3883200D" w14:textId="77777777" w:rsidR="00E34E34" w:rsidRPr="00887877" w:rsidRDefault="00E34E34" w:rsidP="00884CFF">
            <w:pPr>
              <w:pStyle w:val="P68B1DB1-TableParagraph40"/>
              <w:spacing w:before="108"/>
              <w:ind w:left="85"/>
              <w:jc w:val="both"/>
            </w:pPr>
            <w:r w:rsidRPr="00884CFF">
              <w:t>Euroclear Bank_BE</w:t>
            </w:r>
          </w:p>
          <w:p w14:paraId="19715304" w14:textId="77777777" w:rsidR="00E34E34" w:rsidRPr="00887877" w:rsidRDefault="00E34E34" w:rsidP="00884CFF">
            <w:pPr>
              <w:pStyle w:val="P68B1DB1-TableParagraph40"/>
              <w:spacing w:before="108"/>
              <w:ind w:left="85"/>
              <w:jc w:val="both"/>
            </w:pPr>
            <w:r w:rsidRPr="00884CFF">
              <w:t>Euroclear Belgium_BE</w:t>
            </w:r>
          </w:p>
          <w:p w14:paraId="2B8A6E16" w14:textId="77777777" w:rsidR="00E34E34" w:rsidRPr="00887877" w:rsidRDefault="00E34E34" w:rsidP="00884CFF">
            <w:pPr>
              <w:pStyle w:val="P68B1DB1-TableParagraph40"/>
              <w:spacing w:before="108"/>
              <w:ind w:left="85"/>
              <w:jc w:val="both"/>
            </w:pPr>
            <w:r w:rsidRPr="00884CFF">
              <w:t>Euroclear Finland_FI</w:t>
            </w:r>
          </w:p>
          <w:p w14:paraId="78AE0D38" w14:textId="77777777" w:rsidR="00E34E34" w:rsidRPr="00887877" w:rsidRDefault="00E34E34" w:rsidP="00884CFF">
            <w:pPr>
              <w:pStyle w:val="P68B1DB1-TableParagraph40"/>
              <w:spacing w:before="108"/>
              <w:ind w:left="85"/>
              <w:jc w:val="both"/>
            </w:pPr>
            <w:r w:rsidRPr="00884CFF">
              <w:t>Euroclear France_FR</w:t>
            </w:r>
          </w:p>
          <w:p w14:paraId="483E0545" w14:textId="462EAC80" w:rsidR="00E34E34" w:rsidRPr="00887877" w:rsidRDefault="00CF45E7" w:rsidP="00CF45E7">
            <w:pPr>
              <w:pStyle w:val="P68B1DB1-TableParagraph40"/>
              <w:spacing w:before="108"/>
              <w:ind w:left="85"/>
              <w:jc w:val="both"/>
            </w:pPr>
            <w:r w:rsidRPr="00CF45E7">
              <w:t>Euroclear Netherlands_NL</w:t>
            </w:r>
          </w:p>
          <w:p w14:paraId="0E5CFF83" w14:textId="77777777" w:rsidR="00E34E34" w:rsidRPr="00887877" w:rsidRDefault="00E34E34" w:rsidP="00884CFF">
            <w:pPr>
              <w:pStyle w:val="P68B1DB1-TableParagraph40"/>
              <w:spacing w:before="108"/>
              <w:ind w:left="85"/>
              <w:jc w:val="both"/>
            </w:pPr>
            <w:r w:rsidRPr="00884CFF">
              <w:t>Euroclear Sweden_SE</w:t>
            </w:r>
          </w:p>
          <w:p w14:paraId="20C2F718" w14:textId="079C8458" w:rsidR="00E34E34" w:rsidRPr="00887877" w:rsidRDefault="00CF45E7" w:rsidP="00CF45E7">
            <w:pPr>
              <w:pStyle w:val="P68B1DB1-TableParagraph40"/>
              <w:spacing w:before="108"/>
              <w:ind w:left="85"/>
              <w:jc w:val="both"/>
            </w:pPr>
            <w:r w:rsidRPr="00CF45E7">
              <w:t>Euroclear UK &amp; Ireland_UK</w:t>
            </w:r>
          </w:p>
          <w:p w14:paraId="728E1787" w14:textId="6B54C94C" w:rsidR="00E34E34" w:rsidRPr="00887877" w:rsidRDefault="00CF45E7" w:rsidP="00CF45E7">
            <w:pPr>
              <w:pStyle w:val="P68B1DB1-TableParagraph40"/>
              <w:spacing w:before="108"/>
              <w:ind w:left="85"/>
              <w:jc w:val="both"/>
            </w:pPr>
            <w:r w:rsidRPr="00CF45E7">
              <w:t xml:space="preserve">Government Securities Depository (GSD)_BG </w:t>
            </w:r>
            <w:r>
              <w:rPr>
                <w:lang w:val="bg-BG"/>
              </w:rPr>
              <w:t>(</w:t>
            </w:r>
            <w:r w:rsidR="00E40776">
              <w:t>Депозитар на държавни ценни книжа</w:t>
            </w:r>
            <w:r>
              <w:rPr>
                <w:lang w:val="bg-BG"/>
              </w:rPr>
              <w:t>)</w:t>
            </w:r>
          </w:p>
          <w:p w14:paraId="50297EA4" w14:textId="77777777" w:rsidR="00E34E34" w:rsidRPr="00884CFF" w:rsidRDefault="00E34E34" w:rsidP="00884CFF">
            <w:pPr>
              <w:pStyle w:val="P68B1DB1-TableParagraph40"/>
              <w:spacing w:before="108"/>
              <w:ind w:left="85"/>
              <w:jc w:val="both"/>
            </w:pPr>
            <w:r w:rsidRPr="00884CFF">
              <w:t>Iberclear_ES</w:t>
            </w:r>
          </w:p>
          <w:p w14:paraId="62EC494B" w14:textId="77777777" w:rsidR="00E34E34" w:rsidRPr="00884CFF" w:rsidRDefault="00E34E34" w:rsidP="00884CFF">
            <w:pPr>
              <w:pStyle w:val="P68B1DB1-TableParagraph40"/>
              <w:spacing w:before="108"/>
              <w:ind w:left="85"/>
              <w:jc w:val="both"/>
            </w:pPr>
            <w:r w:rsidRPr="00884CFF">
              <w:t>INTERBOLSA_PT</w:t>
            </w:r>
          </w:p>
          <w:p w14:paraId="1DC4BBC8" w14:textId="77777777" w:rsidR="00E34E34" w:rsidRPr="00884CFF" w:rsidRDefault="00E34E34" w:rsidP="00884CFF">
            <w:pPr>
              <w:pStyle w:val="P68B1DB1-TableParagraph40"/>
              <w:spacing w:before="108"/>
              <w:ind w:left="85"/>
              <w:jc w:val="both"/>
            </w:pPr>
            <w:r w:rsidRPr="00884CFF">
              <w:t>KDD_SI</w:t>
            </w:r>
          </w:p>
          <w:p w14:paraId="1F64B2F6" w14:textId="77777777" w:rsidR="00E34E34" w:rsidRPr="00884CFF" w:rsidRDefault="00E34E34" w:rsidP="00884CFF">
            <w:pPr>
              <w:pStyle w:val="P68B1DB1-TableParagraph40"/>
              <w:spacing w:before="108"/>
              <w:ind w:left="85"/>
              <w:jc w:val="both"/>
            </w:pPr>
            <w:r w:rsidRPr="00884CFF">
              <w:t>KDPW_PL</w:t>
            </w:r>
          </w:p>
          <w:p w14:paraId="75324FE5" w14:textId="77777777" w:rsidR="00E34E34" w:rsidRPr="00884CFF" w:rsidRDefault="00E34E34" w:rsidP="00884CFF">
            <w:pPr>
              <w:pStyle w:val="P68B1DB1-TableParagraph40"/>
              <w:spacing w:before="108"/>
              <w:ind w:left="85"/>
              <w:jc w:val="both"/>
            </w:pPr>
            <w:r w:rsidRPr="00884CFF">
              <w:t>KELER_HU</w:t>
            </w:r>
          </w:p>
          <w:p w14:paraId="262FFDCD" w14:textId="77777777" w:rsidR="00E34E34" w:rsidRPr="00884CFF" w:rsidRDefault="00E34E34" w:rsidP="00884CFF">
            <w:pPr>
              <w:pStyle w:val="P68B1DB1-TableParagraph40"/>
              <w:spacing w:before="108"/>
              <w:ind w:left="85"/>
              <w:jc w:val="both"/>
            </w:pPr>
            <w:r w:rsidRPr="00884CFF">
              <w:t>LUX CSD_LU</w:t>
            </w:r>
          </w:p>
          <w:p w14:paraId="1A2873D2" w14:textId="64945D9F" w:rsidR="00E34E34" w:rsidRPr="00ED2CF1" w:rsidRDefault="00ED2CF1" w:rsidP="00ED2CF1">
            <w:pPr>
              <w:pStyle w:val="P68B1DB1-TableParagraph40"/>
              <w:spacing w:before="108"/>
              <w:ind w:left="85"/>
              <w:jc w:val="both"/>
            </w:pPr>
            <w:r w:rsidRPr="00ED2CF1">
              <w:t>Malta Stock Exchange CSD_MT</w:t>
            </w:r>
          </w:p>
          <w:p w14:paraId="1CF00AAB" w14:textId="77777777" w:rsidR="00E34E34" w:rsidRPr="00887877" w:rsidRDefault="00E34E34" w:rsidP="00884CFF">
            <w:pPr>
              <w:pStyle w:val="P68B1DB1-TableParagraph40"/>
              <w:spacing w:before="108"/>
              <w:ind w:left="85"/>
              <w:jc w:val="both"/>
            </w:pPr>
            <w:r w:rsidRPr="00884CFF">
              <w:t>Euronext Securities Milan_IT</w:t>
            </w:r>
          </w:p>
          <w:p w14:paraId="3FD6119F" w14:textId="77777777" w:rsidR="00E34E34" w:rsidRPr="00887877" w:rsidRDefault="00E34E34" w:rsidP="00884CFF">
            <w:pPr>
              <w:pStyle w:val="P68B1DB1-TableParagraph40"/>
              <w:spacing w:before="108"/>
              <w:ind w:left="85"/>
              <w:jc w:val="both"/>
            </w:pPr>
            <w:r w:rsidRPr="00884CFF">
              <w:t>Nasdaq CSD_EE</w:t>
            </w:r>
          </w:p>
          <w:p w14:paraId="126ECFE4" w14:textId="77777777" w:rsidR="00E34E34" w:rsidRPr="00887877" w:rsidRDefault="00E34E34" w:rsidP="00884CFF">
            <w:pPr>
              <w:pStyle w:val="P68B1DB1-TableParagraph40"/>
              <w:spacing w:before="108"/>
              <w:ind w:left="85"/>
              <w:jc w:val="both"/>
            </w:pPr>
            <w:r w:rsidRPr="00884CFF">
              <w:t>Nasdaq CSD_LT</w:t>
            </w:r>
          </w:p>
          <w:p w14:paraId="402A0A1C" w14:textId="77777777" w:rsidR="00E34E34" w:rsidRPr="00887877" w:rsidRDefault="00E34E34" w:rsidP="00884CFF">
            <w:pPr>
              <w:pStyle w:val="P68B1DB1-TableParagraph40"/>
              <w:spacing w:before="108"/>
              <w:ind w:left="85"/>
              <w:jc w:val="both"/>
            </w:pPr>
            <w:r w:rsidRPr="00884CFF">
              <w:t>Nasdaq CSD_LV</w:t>
            </w:r>
          </w:p>
          <w:p w14:paraId="27D2BB6D" w14:textId="77777777" w:rsidR="00E34E34" w:rsidRPr="00887877" w:rsidRDefault="00E34E34" w:rsidP="00884CFF">
            <w:pPr>
              <w:pStyle w:val="P68B1DB1-TableParagraph40"/>
              <w:spacing w:before="108"/>
              <w:ind w:left="85"/>
              <w:jc w:val="both"/>
            </w:pPr>
            <w:r w:rsidRPr="00884CFF">
              <w:t>NBB SSS_BE</w:t>
            </w:r>
          </w:p>
          <w:p w14:paraId="5A6D039C" w14:textId="77777777" w:rsidR="00E34E34" w:rsidRPr="00887877" w:rsidRDefault="00E34E34" w:rsidP="00884CFF">
            <w:pPr>
              <w:pStyle w:val="P68B1DB1-TableParagraph40"/>
              <w:spacing w:before="108"/>
              <w:ind w:left="85"/>
              <w:jc w:val="both"/>
            </w:pPr>
            <w:r w:rsidRPr="00884CFF">
              <w:t>nCDCP_SK</w:t>
            </w:r>
          </w:p>
          <w:p w14:paraId="23306EA9" w14:textId="77777777" w:rsidR="00E34E34" w:rsidRPr="00887877" w:rsidRDefault="00E34E34" w:rsidP="00884CFF">
            <w:pPr>
              <w:pStyle w:val="P68B1DB1-TableParagraph40"/>
              <w:spacing w:before="108"/>
              <w:ind w:left="85"/>
              <w:jc w:val="both"/>
            </w:pPr>
            <w:r w:rsidRPr="00884CFF">
              <w:t>OeKB CSD_AT</w:t>
            </w:r>
          </w:p>
          <w:p w14:paraId="14120DF5" w14:textId="77777777" w:rsidR="00E34E34" w:rsidRPr="00887877" w:rsidRDefault="00E34E34" w:rsidP="00884CFF">
            <w:pPr>
              <w:pStyle w:val="P68B1DB1-TableParagraph40"/>
              <w:spacing w:before="108"/>
              <w:ind w:left="85"/>
              <w:jc w:val="both"/>
            </w:pPr>
            <w:r w:rsidRPr="00884CFF">
              <w:t>SAFIR_RO</w:t>
            </w:r>
          </w:p>
          <w:p w14:paraId="13AE2B33" w14:textId="4F644B6F" w:rsidR="00E34E34" w:rsidRPr="00887877" w:rsidRDefault="00ED2CF1" w:rsidP="00ED2CF1">
            <w:pPr>
              <w:pStyle w:val="P68B1DB1-TableParagraph40"/>
              <w:spacing w:before="108"/>
              <w:ind w:left="85"/>
              <w:jc w:val="both"/>
            </w:pPr>
            <w:r w:rsidRPr="00ED2CF1">
              <w:t>SIX SIS_CH</w:t>
            </w:r>
          </w:p>
          <w:p w14:paraId="1BBC0A0A" w14:textId="77777777" w:rsidR="00E34E34" w:rsidRPr="00887877" w:rsidRDefault="00E34E34" w:rsidP="00ED2CF1">
            <w:pPr>
              <w:pStyle w:val="P68B1DB1-TableParagraph40"/>
              <w:spacing w:before="108"/>
              <w:ind w:left="85"/>
              <w:jc w:val="both"/>
            </w:pPr>
            <w:r w:rsidRPr="00ED2CF1">
              <w:rPr>
                <w:rFonts w:asciiTheme="minorHAnsi" w:hAnsiTheme="minorHAnsi"/>
                <w:sz w:val="22"/>
              </w:rPr>
              <w:t>SKARBNET4_PL</w:t>
            </w:r>
          </w:p>
          <w:p w14:paraId="17D9D230" w14:textId="77777777" w:rsidR="00E34E34" w:rsidRPr="00887877" w:rsidRDefault="00E34E34" w:rsidP="00ED2CF1">
            <w:pPr>
              <w:pStyle w:val="P68B1DB1-TableParagraph40"/>
              <w:spacing w:before="108"/>
              <w:ind w:left="85"/>
              <w:jc w:val="both"/>
            </w:pPr>
            <w:r w:rsidRPr="00ED2CF1">
              <w:rPr>
                <w:rFonts w:asciiTheme="minorHAnsi" w:hAnsiTheme="minorHAnsi"/>
                <w:sz w:val="22"/>
              </w:rPr>
              <w:t>SKD_CZ</w:t>
            </w:r>
          </w:p>
          <w:p w14:paraId="1A6149E4" w14:textId="2ABC7287" w:rsidR="00E34E34" w:rsidRPr="00887877" w:rsidRDefault="00ED2CF1" w:rsidP="00ED2CF1">
            <w:pPr>
              <w:pStyle w:val="P68B1DB1-TableParagraph40"/>
              <w:spacing w:before="108"/>
              <w:ind w:left="85"/>
              <w:jc w:val="both"/>
            </w:pPr>
            <w:r w:rsidRPr="00ED2CF1">
              <w:t>VP Securities_DK</w:t>
            </w:r>
          </w:p>
          <w:p w14:paraId="7FE1D02E" w14:textId="3E62A97F" w:rsidR="00FE5D64" w:rsidRDefault="00E34E34">
            <w:pPr>
              <w:pStyle w:val="P68B1DB1-TableParagraph40"/>
              <w:spacing w:before="108"/>
              <w:ind w:left="85"/>
              <w:jc w:val="both"/>
            </w:pPr>
            <w:r w:rsidRPr="002F61BB">
              <w:t>VPS_NO</w:t>
            </w:r>
          </w:p>
        </w:tc>
      </w:tr>
      <w:tr w:rsidR="00FE5D64"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FE5D64" w:rsidRDefault="00E40776">
            <w:pPr>
              <w:pStyle w:val="P68B1DB1-Normal31"/>
            </w:pPr>
            <w:r>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1A826A6E" w:rsidR="00FE5D64" w:rsidRDefault="00E40776">
            <w:pPr>
              <w:pStyle w:val="P68B1DB1-TableParagraph73"/>
              <w:spacing w:before="108"/>
              <w:ind w:left="85"/>
              <w:jc w:val="both"/>
              <w:rPr>
                <w:bCs/>
              </w:rPr>
            </w:pPr>
            <w:r>
              <w:t xml:space="preserve">Размер на залог, </w:t>
            </w:r>
            <w:r w:rsidR="00A97E96">
              <w:rPr>
                <w:lang w:val="bg-BG"/>
              </w:rPr>
              <w:t>реално обе</w:t>
            </w:r>
            <w:r w:rsidR="00EE4A7B">
              <w:rPr>
                <w:lang w:val="bg-BG"/>
              </w:rPr>
              <w:t>з</w:t>
            </w:r>
            <w:r w:rsidR="00A97E96">
              <w:rPr>
                <w:lang w:val="bg-BG"/>
              </w:rPr>
              <w:t>печение</w:t>
            </w:r>
            <w:r w:rsidR="008945A2">
              <w:t xml:space="preserve"> </w:t>
            </w:r>
            <w:r>
              <w:t>или</w:t>
            </w:r>
            <w:r w:rsidR="00A97E96">
              <w:rPr>
                <w:lang w:val="bg-BG"/>
              </w:rPr>
              <w:t xml:space="preserve"> друго</w:t>
            </w:r>
            <w:r>
              <w:t xml:space="preserve"> обезпечение</w:t>
            </w:r>
          </w:p>
          <w:p w14:paraId="7FE1D035" w14:textId="62C95DCE" w:rsidR="00FE5D64" w:rsidRDefault="00E40776" w:rsidP="008945A2">
            <w:pPr>
              <w:pStyle w:val="P68B1DB1-TableParagraph40"/>
              <w:spacing w:before="108"/>
              <w:ind w:left="85"/>
              <w:jc w:val="both"/>
            </w:pPr>
            <w:r>
              <w:t xml:space="preserve">Когато дадено задължение е обезпечено със залог, </w:t>
            </w:r>
            <w:r w:rsidR="00A97E96">
              <w:rPr>
                <w:lang w:val="bg-BG"/>
              </w:rPr>
              <w:t>реално обезпечение</w:t>
            </w:r>
            <w:r w:rsidR="008945A2">
              <w:t xml:space="preserve"> </w:t>
            </w:r>
            <w:r>
              <w:t xml:space="preserve">или </w:t>
            </w:r>
            <w:r w:rsidR="00A97E96">
              <w:rPr>
                <w:lang w:val="bg-BG"/>
              </w:rPr>
              <w:t xml:space="preserve">друго </w:t>
            </w:r>
            <w:r>
              <w:t xml:space="preserve">обезпечение, се </w:t>
            </w:r>
            <w:r w:rsidR="00A97E96">
              <w:rPr>
                <w:lang w:val="bg-BG"/>
              </w:rPr>
              <w:t>посочва</w:t>
            </w:r>
            <w:r w:rsidR="00A97E96">
              <w:t xml:space="preserve"> </w:t>
            </w:r>
            <w:r>
              <w:t xml:space="preserve">брутната пазарна стойност на </w:t>
            </w:r>
            <w:r w:rsidR="00A97E96">
              <w:rPr>
                <w:lang w:val="bg-BG"/>
              </w:rPr>
              <w:t>обезпечението</w:t>
            </w:r>
            <w:r>
              <w:t>. В противен случай за необезпечените задължения тази категория се отчита като нула. Тази сума</w:t>
            </w:r>
            <w:r w:rsidR="008945A2" w:rsidRPr="00D11C71">
              <w:rPr>
                <w:lang w:val="bg-BG"/>
              </w:rPr>
              <w:t xml:space="preserve"> </w:t>
            </w:r>
            <w:r>
              <w:t>определ</w:t>
            </w:r>
            <w:r w:rsidR="008945A2">
              <w:rPr>
                <w:lang w:val="bg-BG"/>
              </w:rPr>
              <w:t>я</w:t>
            </w:r>
            <w:r>
              <w:t xml:space="preserve"> обезпечената и </w:t>
            </w:r>
            <w:r w:rsidR="008945A2">
              <w:rPr>
                <w:lang w:val="bg-BG"/>
              </w:rPr>
              <w:t>евентуално</w:t>
            </w:r>
            <w:r>
              <w:t xml:space="preserve"> необезпечената част от всяко обезпечено задължение. За </w:t>
            </w:r>
            <w:r w:rsidR="00BD69FA">
              <w:rPr>
                <w:lang w:val="bg-BG"/>
              </w:rPr>
              <w:t>групите</w:t>
            </w:r>
            <w:r>
              <w:t xml:space="preserve"> обезпечения, които обезпечават множество позиции</w:t>
            </w:r>
            <w:r w:rsidR="00BD69FA">
              <w:rPr>
                <w:lang w:val="bg-BG"/>
              </w:rPr>
              <w:t xml:space="preserve"> задължения</w:t>
            </w:r>
            <w:r>
              <w:t xml:space="preserve">, се определя </w:t>
            </w:r>
            <w:r w:rsidR="00BD69FA">
              <w:t>общ</w:t>
            </w:r>
            <w:r w:rsidR="00BD69FA">
              <w:rPr>
                <w:lang w:val="bg-BG"/>
              </w:rPr>
              <w:t xml:space="preserve"> процент на</w:t>
            </w:r>
            <w:r w:rsidR="00BD69FA">
              <w:t xml:space="preserve"> </w:t>
            </w:r>
            <w:r>
              <w:t>покритие и се прилага пропорционално за всички позиции</w:t>
            </w:r>
            <w:r w:rsidR="008945A2">
              <w:rPr>
                <w:lang w:val="bg-BG"/>
              </w:rPr>
              <w:t xml:space="preserve"> </w:t>
            </w:r>
            <w:r w:rsidR="00BD69FA">
              <w:rPr>
                <w:lang w:val="bg-BG"/>
              </w:rPr>
              <w:t>по</w:t>
            </w:r>
            <w:r w:rsidR="008945A2">
              <w:rPr>
                <w:lang w:val="bg-BG"/>
              </w:rPr>
              <w:t xml:space="preserve"> ред</w:t>
            </w:r>
            <w:r w:rsidR="00BD69FA">
              <w:rPr>
                <w:lang w:val="bg-BG"/>
              </w:rPr>
              <w:t>ове</w:t>
            </w:r>
            <w:r>
              <w:t>, обхванати от т</w:t>
            </w:r>
            <w:r w:rsidR="00BD69FA">
              <w:rPr>
                <w:lang w:val="bg-BG"/>
              </w:rPr>
              <w:t>а</w:t>
            </w:r>
            <w:r>
              <w:t xml:space="preserve">зи </w:t>
            </w:r>
            <w:r w:rsidR="00BD69FA">
              <w:rPr>
                <w:lang w:val="bg-BG"/>
              </w:rPr>
              <w:t>група обезпечения</w:t>
            </w:r>
            <w:r>
              <w:t>.</w:t>
            </w:r>
          </w:p>
        </w:tc>
      </w:tr>
      <w:tr w:rsidR="00FE5D64"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FE5D64" w:rsidRDefault="00E40776">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5FD409C1" w14:textId="622095AE" w:rsidR="00FE5D64" w:rsidRPr="003431EC" w:rsidRDefault="003431EC">
            <w:pPr>
              <w:pStyle w:val="P68B1DB1-TableParagraph73"/>
              <w:spacing w:before="108"/>
              <w:ind w:left="85"/>
              <w:jc w:val="both"/>
              <w:rPr>
                <w:bCs/>
                <w:lang w:val="bg-BG"/>
              </w:rPr>
            </w:pPr>
            <w:r>
              <w:rPr>
                <w:lang w:val="bg-BG"/>
              </w:rPr>
              <w:t>Гарант</w:t>
            </w:r>
          </w:p>
          <w:p w14:paraId="7FE1D039" w14:textId="437B6DF0" w:rsidR="00FE5D64" w:rsidRDefault="00E40776" w:rsidP="00BF1782">
            <w:pPr>
              <w:pStyle w:val="P68B1DB1-TableParagraph40"/>
              <w:spacing w:before="108"/>
              <w:ind w:left="85"/>
              <w:jc w:val="both"/>
            </w:pPr>
            <w:r>
              <w:t xml:space="preserve">Ако </w:t>
            </w:r>
            <w:r w:rsidR="003431EC">
              <w:rPr>
                <w:lang w:val="bg-BG"/>
              </w:rPr>
              <w:t>са предоставени гаранции по</w:t>
            </w:r>
            <w:r>
              <w:t xml:space="preserve"> инструмента, </w:t>
            </w:r>
            <w:r w:rsidR="003431EC">
              <w:rPr>
                <w:lang w:val="bg-BG"/>
              </w:rPr>
              <w:t xml:space="preserve">се посочва </w:t>
            </w:r>
            <w:r>
              <w:t xml:space="preserve">подробна идентификация на гаранта (ИКПС, ISO 3166—1 alpha-2 код на държавата за </w:t>
            </w:r>
            <w:r w:rsidR="003431EC">
              <w:rPr>
                <w:lang w:val="bg-BG"/>
              </w:rPr>
              <w:t>правителство</w:t>
            </w:r>
            <w:r w:rsidR="003431EC">
              <w:t xml:space="preserve"> </w:t>
            </w:r>
            <w:r>
              <w:t xml:space="preserve">и т.н.). </w:t>
            </w:r>
            <w:r w:rsidR="003431EC">
              <w:rPr>
                <w:lang w:val="bg-BG"/>
              </w:rPr>
              <w:t xml:space="preserve">При повече от един гарант се изброяват </w:t>
            </w:r>
            <w:r>
              <w:t>всички идентификатори, разделени с точка и запетая.</w:t>
            </w:r>
          </w:p>
        </w:tc>
      </w:tr>
      <w:tr w:rsidR="00FE5D64"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FE5D64" w:rsidRDefault="00E40776">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27B5F14A" w:rsidR="00FE5D64" w:rsidRDefault="00E40776">
            <w:pPr>
              <w:pStyle w:val="P68B1DB1-TableParagraph73"/>
              <w:spacing w:before="108"/>
              <w:ind w:left="85"/>
              <w:jc w:val="both"/>
              <w:rPr>
                <w:bCs/>
              </w:rPr>
            </w:pPr>
            <w:r>
              <w:t>Сума, отговаряща на условията за МИ</w:t>
            </w:r>
            <w:r w:rsidR="00BF1782">
              <w:rPr>
                <w:lang w:val="bg-BG"/>
              </w:rPr>
              <w:t>СК</w:t>
            </w:r>
            <w:r>
              <w:t>ПЗ</w:t>
            </w:r>
          </w:p>
          <w:p w14:paraId="7FE1D044" w14:textId="4B7F2AB6" w:rsidR="00FE5D64" w:rsidRDefault="00D111EC">
            <w:pPr>
              <w:pStyle w:val="P68B1DB1-TableParagraph40"/>
              <w:spacing w:before="108"/>
              <w:ind w:left="85"/>
              <w:jc w:val="both"/>
            </w:pPr>
            <w:r>
              <w:rPr>
                <w:lang w:val="bg-BG"/>
              </w:rPr>
              <w:t xml:space="preserve">Посочва се сумата </w:t>
            </w:r>
            <w:r w:rsidR="00E40776">
              <w:t>на собствени</w:t>
            </w:r>
            <w:r w:rsidR="001A4E47">
              <w:rPr>
                <w:lang w:val="bg-BG"/>
              </w:rPr>
              <w:t>я</w:t>
            </w:r>
            <w:r w:rsidR="00E40776">
              <w:t xml:space="preserve"> </w:t>
            </w:r>
            <w:r w:rsidR="001A4E47">
              <w:rPr>
                <w:lang w:val="bg-BG"/>
              </w:rPr>
              <w:t>капитал</w:t>
            </w:r>
            <w:r w:rsidR="00E40776">
              <w:t xml:space="preserve"> и приемливите задължения, </w:t>
            </w:r>
            <w:r>
              <w:rPr>
                <w:lang w:val="bg-BG"/>
              </w:rPr>
              <w:t xml:space="preserve">отговарящи на </w:t>
            </w:r>
            <w:r w:rsidR="00E40776">
              <w:t>изискването, определено в съответствие с член 45, параграф 1 от Директива 2014/59/ЕС.</w:t>
            </w:r>
          </w:p>
        </w:tc>
      </w:tr>
      <w:tr w:rsidR="00FE5D6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FE5D64" w:rsidRDefault="00E40776">
            <w:pPr>
              <w:pStyle w:val="P68B1DB1-Normal31"/>
            </w:pPr>
            <w:r>
              <w:t>0310</w:t>
            </w:r>
          </w:p>
          <w:p w14:paraId="7FE1D047" w14:textId="77777777" w:rsidR="00FE5D64" w:rsidRDefault="00E40776">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6F4C623D" w:rsidR="00FE5D64" w:rsidRDefault="009C3900">
            <w:pPr>
              <w:pStyle w:val="P68B1DB1-TableParagraph73"/>
              <w:spacing w:before="108"/>
              <w:ind w:left="85"/>
              <w:jc w:val="both"/>
              <w:rPr>
                <w:bCs/>
              </w:rPr>
            </w:pPr>
            <w:r>
              <w:rPr>
                <w:lang w:val="bg-BG"/>
              </w:rPr>
              <w:t>Отговарящи на изискванията за</w:t>
            </w:r>
            <w:r w:rsidR="00E40776">
              <w:t xml:space="preserve"> собствен капитал</w:t>
            </w:r>
          </w:p>
          <w:p w14:paraId="7FE1D049" w14:textId="5B12FD9B" w:rsidR="00FE5D64" w:rsidRDefault="00BA5C55">
            <w:pPr>
              <w:pStyle w:val="P68B1DB1-TableParagraph40"/>
              <w:spacing w:before="108"/>
              <w:ind w:left="85"/>
              <w:jc w:val="both"/>
            </w:pPr>
            <w:r>
              <w:rPr>
                <w:lang w:val="bg-BG"/>
              </w:rPr>
              <w:t>Посочва се</w:t>
            </w:r>
            <w:r>
              <w:t xml:space="preserve"> </w:t>
            </w:r>
            <w:r w:rsidR="00E40776">
              <w:t xml:space="preserve">дали и на какво </w:t>
            </w:r>
            <w:r>
              <w:rPr>
                <w:lang w:val="bg-BG"/>
              </w:rPr>
              <w:t>ниво</w:t>
            </w:r>
            <w:r>
              <w:t xml:space="preserve"> </w:t>
            </w:r>
            <w:r w:rsidR="00E40776">
              <w:t xml:space="preserve">инструментът е включен в собствения капитал, заедно с информация относно режима за </w:t>
            </w:r>
            <w:r>
              <w:rPr>
                <w:lang w:val="bg-BG"/>
              </w:rPr>
              <w:t xml:space="preserve">поетапна </w:t>
            </w:r>
            <w:r w:rsidR="008F0F47">
              <w:rPr>
                <w:lang w:val="bg-BG"/>
              </w:rPr>
              <w:t>амортиз</w:t>
            </w:r>
            <w:r>
              <w:rPr>
                <w:lang w:val="bg-BG"/>
              </w:rPr>
              <w:t>ация</w:t>
            </w:r>
            <w:r w:rsidR="00E40776">
              <w:t xml:space="preserve"> и </w:t>
            </w:r>
            <w:r>
              <w:rPr>
                <w:lang w:val="bg-BG"/>
              </w:rPr>
              <w:t>унаследяване (</w:t>
            </w:r>
            <w:r>
              <w:rPr>
                <w:lang w:val="en-US"/>
              </w:rPr>
              <w:t>grandfathering</w:t>
            </w:r>
            <w:r>
              <w:rPr>
                <w:lang w:val="bg-BG"/>
              </w:rPr>
              <w:t>)</w:t>
            </w:r>
            <w:r w:rsidR="00E40776">
              <w:t xml:space="preserve">. </w:t>
            </w:r>
            <w:r>
              <w:rPr>
                <w:lang w:val="bg-BG"/>
              </w:rPr>
              <w:t>Посочва се една от стойностите от предварително определен списък:</w:t>
            </w:r>
            <w:r w:rsidR="00E40776">
              <w:t xml:space="preserve"> „Не</w:t>
            </w:r>
            <w:r w:rsidR="008F0F47">
              <w:rPr>
                <w:lang w:val="bg-BG"/>
              </w:rPr>
              <w:t>“</w:t>
            </w:r>
            <w:r w:rsidR="00E40776">
              <w:t>, „Частично AT1, T1 и T2</w:t>
            </w:r>
            <w:r w:rsidR="008F0F47">
              <w:rPr>
                <w:lang w:val="bg-BG"/>
              </w:rPr>
              <w:t>“</w:t>
            </w:r>
            <w:r w:rsidR="00E40776">
              <w:t xml:space="preserve">, „T2 при </w:t>
            </w:r>
            <w:r w:rsidR="008F0F47">
              <w:rPr>
                <w:lang w:val="bg-BG"/>
              </w:rPr>
              <w:t>поетапна амортизация“</w:t>
            </w:r>
            <w:r w:rsidR="00E40776">
              <w:t>, „</w:t>
            </w:r>
            <w:r>
              <w:rPr>
                <w:lang w:val="bg-BG"/>
              </w:rPr>
              <w:t>Унаследен</w:t>
            </w:r>
            <w:r>
              <w:t xml:space="preserve"> </w:t>
            </w:r>
            <w:r w:rsidR="00E40776">
              <w:t>T2“, „</w:t>
            </w:r>
            <w:r>
              <w:rPr>
                <w:lang w:val="bg-BG"/>
              </w:rPr>
              <w:t>Н</w:t>
            </w:r>
            <w:r>
              <w:t xml:space="preserve">апълно </w:t>
            </w:r>
            <w:r w:rsidR="00E40776">
              <w:t>съответстващ T2</w:t>
            </w:r>
            <w:r w:rsidR="008F0F47">
              <w:rPr>
                <w:lang w:val="bg-BG"/>
              </w:rPr>
              <w:t>“</w:t>
            </w:r>
            <w:r w:rsidR="00E40776">
              <w:t>, „</w:t>
            </w:r>
            <w:r>
              <w:rPr>
                <w:lang w:val="bg-BG"/>
              </w:rPr>
              <w:t>У</w:t>
            </w:r>
            <w:r w:rsidR="008F0F47">
              <w:rPr>
                <w:lang w:val="bg-BG"/>
              </w:rPr>
              <w:t>наследен</w:t>
            </w:r>
            <w:r w:rsidR="00E40776">
              <w:t xml:space="preserve"> AT1</w:t>
            </w:r>
            <w:r w:rsidR="008F0F47">
              <w:rPr>
                <w:lang w:val="bg-BG"/>
              </w:rPr>
              <w:t>“</w:t>
            </w:r>
            <w:r w:rsidR="00E40776">
              <w:t>, „</w:t>
            </w:r>
            <w:r>
              <w:rPr>
                <w:lang w:val="bg-BG"/>
              </w:rPr>
              <w:t>Н</w:t>
            </w:r>
            <w:r>
              <w:t xml:space="preserve">апълно </w:t>
            </w:r>
            <w:r w:rsidR="00E40776">
              <w:t xml:space="preserve">съответстващ AT1 „или „CET1“. </w:t>
            </w:r>
          </w:p>
          <w:p w14:paraId="7FE1D04A" w14:textId="345041C7" w:rsidR="00FE5D64" w:rsidRDefault="00E40776">
            <w:pPr>
              <w:pStyle w:val="P68B1DB1-TableParagraph40"/>
              <w:spacing w:before="108"/>
              <w:ind w:left="85"/>
              <w:jc w:val="both"/>
            </w:pPr>
            <w:r>
              <w:t>В списъка с опции терминът „</w:t>
            </w:r>
            <w:r w:rsidR="008F0F47">
              <w:rPr>
                <w:lang w:val="bg-BG"/>
              </w:rPr>
              <w:t>поетапна амортизация</w:t>
            </w:r>
            <w:r>
              <w:t>“</w:t>
            </w:r>
            <w:r w:rsidR="009E5EFE">
              <w:rPr>
                <w:lang w:val="bg-BG"/>
              </w:rPr>
              <w:t>(„</w:t>
            </w:r>
            <w:r w:rsidR="009E5EFE">
              <w:rPr>
                <w:lang w:val="en-US"/>
              </w:rPr>
              <w:t>phase-out”)</w:t>
            </w:r>
            <w:r>
              <w:t xml:space="preserve"> се отнася за периода от 5 години преди падежа на даден инструмент</w:t>
            </w:r>
            <w:r w:rsidR="001667F6">
              <w:rPr>
                <w:lang w:val="bg-BG"/>
              </w:rPr>
              <w:t xml:space="preserve"> на капитала от втори ред</w:t>
            </w:r>
            <w:r>
              <w:t xml:space="preserve"> </w:t>
            </w:r>
            <w:r w:rsidR="001667F6">
              <w:rPr>
                <w:lang w:val="bg-BG"/>
              </w:rPr>
              <w:t>(</w:t>
            </w:r>
            <w:r>
              <w:t>Т2</w:t>
            </w:r>
            <w:r w:rsidR="001667F6">
              <w:rPr>
                <w:lang w:val="bg-BG"/>
              </w:rPr>
              <w:t>)</w:t>
            </w:r>
            <w:r>
              <w:t>, през който има само пропорционално признаване въз основа на оставащия срок до падежа. „Унаследяване</w:t>
            </w:r>
            <w:r w:rsidR="001667F6">
              <w:rPr>
                <w:lang w:val="bg-BG"/>
              </w:rPr>
              <w:t>“</w:t>
            </w:r>
            <w:r>
              <w:t xml:space="preserve"> се отнася до всяка преходна мярка, приложима за инструмент</w:t>
            </w:r>
            <w:r w:rsidR="001667F6">
              <w:rPr>
                <w:lang w:val="bg-BG"/>
              </w:rPr>
              <w:t xml:space="preserve"> на капитала от втори ред</w:t>
            </w:r>
            <w:r>
              <w:t xml:space="preserve"> </w:t>
            </w:r>
            <w:r w:rsidR="001667F6">
              <w:rPr>
                <w:lang w:val="bg-BG"/>
              </w:rPr>
              <w:t>(</w:t>
            </w:r>
            <w:r>
              <w:t>Т2</w:t>
            </w:r>
            <w:r w:rsidR="001667F6">
              <w:rPr>
                <w:lang w:val="bg-BG"/>
              </w:rPr>
              <w:t>)</w:t>
            </w:r>
            <w:r>
              <w:t>, без да се включва „</w:t>
            </w:r>
            <w:r w:rsidR="00B43600">
              <w:rPr>
                <w:lang w:val="bg-BG"/>
              </w:rPr>
              <w:t xml:space="preserve">поетапна </w:t>
            </w:r>
            <w:r w:rsidR="002C3614">
              <w:rPr>
                <w:lang w:val="bg-BG"/>
              </w:rPr>
              <w:t>амортизация</w:t>
            </w:r>
            <w:r>
              <w:t>“. По време на това „</w:t>
            </w:r>
            <w:r w:rsidR="002C3614">
              <w:rPr>
                <w:lang w:val="bg-BG"/>
              </w:rPr>
              <w:t>унаследяване</w:t>
            </w:r>
            <w:r>
              <w:t>“ признаването може да бъде пълно или частично.</w:t>
            </w:r>
          </w:p>
          <w:p w14:paraId="7FE1D04B" w14:textId="56289907" w:rsidR="00FE5D64" w:rsidRDefault="00E40776">
            <w:pPr>
              <w:pStyle w:val="P68B1DB1-TableParagraph40"/>
              <w:spacing w:before="108"/>
              <w:ind w:left="85"/>
              <w:jc w:val="both"/>
            </w:pPr>
            <w:r>
              <w:t xml:space="preserve"> </w:t>
            </w:r>
          </w:p>
        </w:tc>
      </w:tr>
      <w:tr w:rsidR="00FE5D64"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FE5D64" w:rsidRDefault="00E40776">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05F83BA6" w:rsidR="00FE5D64" w:rsidRDefault="00E40776">
            <w:pPr>
              <w:pStyle w:val="P68B1DB1-TableParagraph40"/>
              <w:spacing w:before="108"/>
              <w:ind w:left="85"/>
              <w:jc w:val="both"/>
              <w:rPr>
                <w:b/>
                <w:bCs/>
              </w:rPr>
            </w:pPr>
            <w:r>
              <w:rPr>
                <w:b/>
              </w:rPr>
              <w:t xml:space="preserve">Сума, </w:t>
            </w:r>
            <w:r w:rsidR="00EF4865">
              <w:rPr>
                <w:b/>
                <w:lang w:val="bg-BG"/>
              </w:rPr>
              <w:t>включена в</w:t>
            </w:r>
            <w:r>
              <w:rPr>
                <w:b/>
              </w:rPr>
              <w:t xml:space="preserve"> собствен</w:t>
            </w:r>
            <w:r w:rsidR="00EF4865">
              <w:rPr>
                <w:b/>
                <w:lang w:val="bg-BG"/>
              </w:rPr>
              <w:t>ия</w:t>
            </w:r>
            <w:r>
              <w:rPr>
                <w:b/>
              </w:rPr>
              <w:t xml:space="preserve"> капитал</w:t>
            </w:r>
          </w:p>
          <w:p w14:paraId="7FE1D050" w14:textId="1253231B" w:rsidR="00FE5D64" w:rsidRDefault="00E40776">
            <w:pPr>
              <w:pStyle w:val="P68B1DB1-TableParagraph40"/>
              <w:spacing w:before="108"/>
              <w:ind w:left="85"/>
              <w:jc w:val="both"/>
            </w:pPr>
            <w:r>
              <w:t>Размерът на инструмента, който отговаря на условията за собствен капитал.</w:t>
            </w:r>
          </w:p>
        </w:tc>
      </w:tr>
    </w:tbl>
    <w:p w14:paraId="7FE1D052" w14:textId="77777777" w:rsidR="00FE5D64" w:rsidRDefault="00FE5D64">
      <w:pPr>
        <w:rPr>
          <w:rFonts w:ascii="Times New Roman" w:hAnsi="Times New Roman" w:cs="Times New Roman"/>
        </w:rPr>
      </w:pPr>
    </w:p>
    <w:p w14:paraId="7FE1D053" w14:textId="77777777" w:rsidR="00FE5D64" w:rsidRPr="00B43600" w:rsidRDefault="00FE5D64">
      <w:pPr>
        <w:pStyle w:val="Instructionsberschrift2"/>
        <w:ind w:left="357"/>
        <w:rPr>
          <w:rFonts w:ascii="Times New Roman" w:eastAsia="Calibri" w:hAnsi="Times New Roman"/>
          <w:lang w:val="bg-BG"/>
        </w:rPr>
      </w:pPr>
    </w:p>
    <w:p w14:paraId="7FE1D054" w14:textId="6B5C3BCC" w:rsidR="00FE5D64" w:rsidRDefault="00E40776">
      <w:pPr>
        <w:pStyle w:val="Instructionsberschrift2"/>
        <w:numPr>
          <w:ilvl w:val="1"/>
          <w:numId w:val="49"/>
        </w:numPr>
        <w:spacing w:before="0"/>
        <w:ind w:left="357" w:hanging="357"/>
        <w:rPr>
          <w:rFonts w:ascii="Times New Roman" w:hAnsi="Times New Roman" w:cs="Times New Roman"/>
        </w:rPr>
      </w:pPr>
      <w:bookmarkStart w:id="263" w:name="_Toc208244486"/>
      <w:r>
        <w:rPr>
          <w:rFonts w:ascii="Times New Roman" w:eastAsiaTheme="minorEastAsia" w:hAnsi="Times New Roman" w:cs="Times New Roman"/>
        </w:rPr>
        <w:t xml:space="preserve">Z 13.00 — Всички депозити (с изключение на вътрешногруповите) </w:t>
      </w:r>
      <w:r>
        <w:rPr>
          <w:rFonts w:ascii="Times New Roman" w:eastAsia="Calibri" w:hAnsi="Times New Roman" w:cs="Times New Roman"/>
          <w:szCs w:val="20"/>
        </w:rPr>
        <w:t>(LIAB-G-3)</w:t>
      </w:r>
      <w:bookmarkEnd w:id="263"/>
    </w:p>
    <w:p w14:paraId="7FE1D057" w14:textId="77777777" w:rsidR="00FE5D64" w:rsidRDefault="00E40776">
      <w:pPr>
        <w:pStyle w:val="P68B1DB1-Numberedtitlelevel372"/>
      </w:pPr>
      <w:r>
        <w:t>Общи бележки</w:t>
      </w:r>
    </w:p>
    <w:p w14:paraId="7FE1D058" w14:textId="049F9E41" w:rsidR="00FE5D64" w:rsidRDefault="008B40A2">
      <w:pPr>
        <w:pStyle w:val="P68B1DB1-InstructionsText26"/>
        <w:numPr>
          <w:ilvl w:val="2"/>
          <w:numId w:val="209"/>
        </w:numPr>
        <w:spacing w:before="0"/>
        <w:ind w:left="1418"/>
        <w:rPr>
          <w:rFonts w:eastAsia="Cambria"/>
        </w:rPr>
      </w:pPr>
      <w:r>
        <w:rPr>
          <w:lang w:val="bg-BG"/>
        </w:rPr>
        <w:t xml:space="preserve">В обхвата </w:t>
      </w:r>
      <w:r w:rsidR="00E40776">
        <w:t xml:space="preserve">на настоящия отчет </w:t>
      </w:r>
      <w:r>
        <w:rPr>
          <w:lang w:val="bg-BG"/>
        </w:rPr>
        <w:t>попадат</w:t>
      </w:r>
      <w:r>
        <w:t xml:space="preserve"> </w:t>
      </w:r>
      <w:r w:rsidR="00E40776">
        <w:t>всички депозити, с изключение на вътрешногруповите сделки, независимо от естеството на депозита или срока. Депозитите следва да бъдат идентифицирани въз основа на определението, дадено в член 2, параграф 1 (3) от Директива 2014/49/ЕС.</w:t>
      </w:r>
    </w:p>
    <w:p w14:paraId="7FE1D05A" w14:textId="54C8CC34" w:rsidR="00FE5D64" w:rsidRDefault="00E40776">
      <w:pPr>
        <w:pStyle w:val="P68B1DB1-InstructionsText286"/>
        <w:numPr>
          <w:ilvl w:val="2"/>
          <w:numId w:val="209"/>
        </w:numPr>
        <w:spacing w:before="0"/>
        <w:ind w:left="1418"/>
      </w:pPr>
      <w:r>
        <w:t xml:space="preserve">За целите на настоящата таблица всички </w:t>
      </w:r>
      <w:r w:rsidR="001A78EE">
        <w:rPr>
          <w:lang w:val="bg-BG"/>
        </w:rPr>
        <w:t>негарантирани</w:t>
      </w:r>
      <w:r w:rsidR="001A78EE">
        <w:t xml:space="preserve"> </w:t>
      </w:r>
      <w:r>
        <w:t xml:space="preserve">и </w:t>
      </w:r>
      <w:r w:rsidR="001A78EE">
        <w:rPr>
          <w:lang w:val="bg-BG"/>
        </w:rPr>
        <w:t>непр</w:t>
      </w:r>
      <w:r w:rsidR="00EE4A7B">
        <w:rPr>
          <w:lang w:val="bg-BG"/>
        </w:rPr>
        <w:t>е</w:t>
      </w:r>
      <w:r w:rsidR="001A78EE">
        <w:rPr>
          <w:lang w:val="bg-BG"/>
        </w:rPr>
        <w:t>ференциални</w:t>
      </w:r>
      <w:r w:rsidR="001A78EE">
        <w:t xml:space="preserve"> </w:t>
      </w:r>
      <w:r>
        <w:t>депозити (съгласно определението в Z 02.00-</w:t>
      </w:r>
      <w:r w:rsidR="00EE4A7B">
        <w:rPr>
          <w:lang w:val="en-US"/>
        </w:rPr>
        <w:t>r</w:t>
      </w:r>
      <w:r>
        <w:t xml:space="preserve">0320) с остатъчен срок до падежа под 1 година, всички гарантирани депозити и </w:t>
      </w:r>
      <w:r w:rsidR="001A78EE">
        <w:rPr>
          <w:lang w:val="bg-BG"/>
        </w:rPr>
        <w:t xml:space="preserve">негарантирани, но </w:t>
      </w:r>
      <w:r>
        <w:t>преференциални депозити (съгласно определението в Z 02.00-</w:t>
      </w:r>
      <w:r w:rsidR="00EE4A7B">
        <w:rPr>
          <w:lang w:val="en-US"/>
        </w:rPr>
        <w:t>r</w:t>
      </w:r>
      <w:r>
        <w:t xml:space="preserve">0310 и независимо от остатъчния им срок до падежа) се групират по категории задължения (колона 0020), вид контрагент (колона 0025) и </w:t>
      </w:r>
      <w:r w:rsidR="001A78EE">
        <w:rPr>
          <w:lang w:val="bg-BG"/>
        </w:rPr>
        <w:t>по ред на вземанията в производство по несъстоятелност</w:t>
      </w:r>
      <w:r>
        <w:t xml:space="preserve"> (колона 0030). </w:t>
      </w:r>
      <w:r w:rsidR="00CE66D5">
        <w:rPr>
          <w:lang w:val="bg-BG"/>
        </w:rPr>
        <w:t xml:space="preserve">Депозити, които не са гарантирани и не са преференциални </w:t>
      </w:r>
      <w:r>
        <w:t xml:space="preserve">с остатъчен срок до падежа по-голям или равен на 1 година се отчитат </w:t>
      </w:r>
      <w:r w:rsidR="00CE66D5">
        <w:rPr>
          <w:lang w:val="bg-BG"/>
        </w:rPr>
        <w:t>на ниво</w:t>
      </w:r>
      <w:r w:rsidR="00CE66D5">
        <w:t xml:space="preserve"> </w:t>
      </w:r>
      <w:r>
        <w:t xml:space="preserve">отделна </w:t>
      </w:r>
      <w:r w:rsidR="00CE66D5">
        <w:rPr>
          <w:lang w:val="bg-BG"/>
        </w:rPr>
        <w:t>трансакция</w:t>
      </w:r>
      <w:r w:rsidR="00CE66D5">
        <w:t xml:space="preserve"> </w:t>
      </w:r>
      <w:r>
        <w:t xml:space="preserve">по отношение на всички </w:t>
      </w:r>
      <w:r w:rsidR="00733471">
        <w:rPr>
          <w:lang w:val="bg-BG"/>
        </w:rPr>
        <w:t>изискуеми</w:t>
      </w:r>
      <w:r w:rsidR="00733471">
        <w:t xml:space="preserve"> </w:t>
      </w:r>
      <w:r>
        <w:t>полета</w:t>
      </w:r>
      <w:r w:rsidR="00705D12">
        <w:rPr>
          <w:lang w:val="bg-BG"/>
        </w:rPr>
        <w:t>, подавана на отделен ред</w:t>
      </w:r>
      <w:r>
        <w:t xml:space="preserve">. </w:t>
      </w:r>
    </w:p>
    <w:p w14:paraId="7FE1D05B" w14:textId="4E15CA5E" w:rsidR="00FE5D64" w:rsidRDefault="00E40776">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Независимо от точка 67) всеки депозит от кредитна институция, независимо от вида на депозита, се отчита като отделна позиция</w:t>
      </w:r>
      <w:r>
        <w:rPr>
          <w:rFonts w:ascii="Times New Roman" w:hAnsi="Times New Roman" w:cs="Times New Roman"/>
        </w:rPr>
        <w:t xml:space="preserve"> по </w:t>
      </w:r>
      <w:r>
        <w:rPr>
          <w:rFonts w:ascii="Times New Roman" w:eastAsia="Cambria" w:hAnsi="Times New Roman" w:cs="Times New Roman"/>
          <w:sz w:val="20"/>
          <w:szCs w:val="20"/>
        </w:rPr>
        <w:t xml:space="preserve">отношение на всички </w:t>
      </w:r>
      <w:r w:rsidR="004E766E">
        <w:rPr>
          <w:rFonts w:ascii="Times New Roman" w:eastAsia="Cambria" w:hAnsi="Times New Roman" w:cs="Times New Roman"/>
          <w:sz w:val="20"/>
          <w:szCs w:val="20"/>
          <w:lang w:val="bg-BG"/>
        </w:rPr>
        <w:t>изискуеми</w:t>
      </w:r>
      <w:r w:rsidR="004E766E">
        <w:rPr>
          <w:rFonts w:ascii="Times New Roman" w:eastAsia="Cambria" w:hAnsi="Times New Roman" w:cs="Times New Roman"/>
          <w:sz w:val="20"/>
          <w:szCs w:val="20"/>
        </w:rPr>
        <w:t xml:space="preserve"> </w:t>
      </w:r>
      <w:r>
        <w:rPr>
          <w:rFonts w:ascii="Times New Roman" w:eastAsia="Cambria" w:hAnsi="Times New Roman" w:cs="Times New Roman"/>
          <w:sz w:val="20"/>
          <w:szCs w:val="20"/>
        </w:rPr>
        <w:t>полета. Например</w:t>
      </w:r>
      <w:r w:rsidR="004E766E">
        <w:rPr>
          <w:rFonts w:ascii="Times New Roman" w:eastAsia="Cambria" w:hAnsi="Times New Roman" w:cs="Times New Roman"/>
          <w:sz w:val="20"/>
          <w:szCs w:val="20"/>
          <w:lang w:val="bg-BG"/>
        </w:rPr>
        <w:t>,</w:t>
      </w:r>
      <w:r>
        <w:rPr>
          <w:rFonts w:ascii="Times New Roman" w:eastAsia="Cambria" w:hAnsi="Times New Roman" w:cs="Times New Roman"/>
          <w:sz w:val="20"/>
          <w:szCs w:val="20"/>
        </w:rPr>
        <w:t xml:space="preserve"> една </w:t>
      </w:r>
      <w:r w:rsidR="004E766E">
        <w:rPr>
          <w:rFonts w:ascii="Times New Roman" w:eastAsia="Cambria" w:hAnsi="Times New Roman" w:cs="Times New Roman"/>
          <w:sz w:val="20"/>
          <w:szCs w:val="20"/>
          <w:lang w:val="bg-BG"/>
        </w:rPr>
        <w:t>трансакция</w:t>
      </w:r>
      <w:r w:rsidR="004E766E">
        <w:rPr>
          <w:rFonts w:ascii="Times New Roman" w:eastAsia="Cambria" w:hAnsi="Times New Roman" w:cs="Times New Roman"/>
          <w:sz w:val="20"/>
          <w:szCs w:val="20"/>
        </w:rPr>
        <w:t xml:space="preserve"> </w:t>
      </w:r>
      <w:r>
        <w:rPr>
          <w:rFonts w:ascii="Times New Roman" w:eastAsia="Cambria" w:hAnsi="Times New Roman" w:cs="Times New Roman"/>
          <w:sz w:val="20"/>
          <w:szCs w:val="20"/>
        </w:rPr>
        <w:t xml:space="preserve">трябва да се отчита в няколко реда, ако се отнася до различен </w:t>
      </w:r>
      <w:r w:rsidR="004E766E">
        <w:rPr>
          <w:rFonts w:ascii="Times New Roman" w:eastAsia="Cambria" w:hAnsi="Times New Roman" w:cs="Times New Roman"/>
          <w:sz w:val="20"/>
          <w:szCs w:val="20"/>
          <w:lang w:val="bg-BG"/>
        </w:rPr>
        <w:t>ред на вземанията в производство по</w:t>
      </w:r>
      <w:r>
        <w:rPr>
          <w:rFonts w:ascii="Times New Roman" w:eastAsia="Cambria" w:hAnsi="Times New Roman" w:cs="Times New Roman"/>
          <w:sz w:val="20"/>
          <w:szCs w:val="20"/>
        </w:rPr>
        <w:t xml:space="preserve"> несъстоятелност.</w:t>
      </w:r>
    </w:p>
    <w:p w14:paraId="7FE1D05C" w14:textId="10203829" w:rsidR="00FE5D64" w:rsidRDefault="00E40776">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 xml:space="preserve">Всички други </w:t>
      </w:r>
      <w:r w:rsidR="00F07C17">
        <w:rPr>
          <w:rFonts w:ascii="Times New Roman" w:eastAsia="Cambria" w:hAnsi="Times New Roman" w:cs="Times New Roman"/>
          <w:sz w:val="20"/>
          <w:szCs w:val="20"/>
          <w:lang w:val="bg-BG"/>
        </w:rPr>
        <w:t>депозити</w:t>
      </w:r>
      <w:r>
        <w:rPr>
          <w:rFonts w:ascii="Times New Roman" w:eastAsia="Cambria" w:hAnsi="Times New Roman" w:cs="Times New Roman"/>
          <w:sz w:val="20"/>
          <w:szCs w:val="20"/>
        </w:rPr>
        <w:t>, които не са изрично посочени по-горе, трябва да се отчитат като отделна позиция</w:t>
      </w:r>
      <w:r>
        <w:rPr>
          <w:rFonts w:ascii="Times New Roman" w:hAnsi="Times New Roman" w:cs="Times New Roman"/>
        </w:rPr>
        <w:t xml:space="preserve"> </w:t>
      </w:r>
      <w:r>
        <w:rPr>
          <w:rFonts w:ascii="Times New Roman" w:eastAsia="Cambria" w:hAnsi="Times New Roman" w:cs="Times New Roman"/>
          <w:sz w:val="20"/>
          <w:szCs w:val="20"/>
        </w:rPr>
        <w:t xml:space="preserve">по отношение на всички </w:t>
      </w:r>
      <w:r w:rsidR="004E766E">
        <w:rPr>
          <w:rFonts w:ascii="Times New Roman" w:eastAsia="Cambria" w:hAnsi="Times New Roman" w:cs="Times New Roman"/>
          <w:sz w:val="20"/>
          <w:szCs w:val="20"/>
          <w:lang w:val="bg-BG"/>
        </w:rPr>
        <w:t>изискуеми</w:t>
      </w:r>
      <w:r w:rsidR="004E766E">
        <w:rPr>
          <w:rFonts w:ascii="Times New Roman" w:eastAsia="Cambria" w:hAnsi="Times New Roman" w:cs="Times New Roman"/>
          <w:sz w:val="20"/>
          <w:szCs w:val="20"/>
        </w:rPr>
        <w:t xml:space="preserve"> </w:t>
      </w:r>
      <w:r>
        <w:rPr>
          <w:rFonts w:ascii="Times New Roman" w:eastAsia="Cambria" w:hAnsi="Times New Roman" w:cs="Times New Roman"/>
          <w:sz w:val="20"/>
          <w:szCs w:val="20"/>
        </w:rPr>
        <w:t>полета</w:t>
      </w:r>
      <w:r w:rsidR="004E766E">
        <w:rPr>
          <w:rFonts w:ascii="Times New Roman" w:eastAsia="Cambria" w:hAnsi="Times New Roman" w:cs="Times New Roman"/>
          <w:sz w:val="20"/>
          <w:szCs w:val="20"/>
          <w:lang w:val="bg-BG"/>
        </w:rPr>
        <w:t>, подавана на отделен ред</w:t>
      </w:r>
      <w:r>
        <w:rPr>
          <w:rFonts w:ascii="Times New Roman" w:eastAsia="Cambria" w:hAnsi="Times New Roman" w:cs="Times New Roman"/>
          <w:sz w:val="20"/>
          <w:szCs w:val="20"/>
        </w:rPr>
        <w:t>.</w:t>
      </w:r>
    </w:p>
    <w:p w14:paraId="7FE1D061" w14:textId="77777777" w:rsidR="00FE5D64" w:rsidRDefault="00E40776">
      <w:pPr>
        <w:pStyle w:val="P68B1DB1-InstructionsText287"/>
        <w:numPr>
          <w:ilvl w:val="0"/>
          <w:numId w:val="0"/>
        </w:numPr>
        <w:ind w:left="753"/>
      </w:pPr>
      <w:r>
        <w:t>Указания относно определени позиции</w:t>
      </w:r>
    </w:p>
    <w:tbl>
      <w:tblPr>
        <w:tblW w:w="0" w:type="auto"/>
        <w:tblLook w:val="01E0" w:firstRow="1" w:lastRow="1" w:firstColumn="1" w:lastColumn="1" w:noHBand="0" w:noVBand="0"/>
      </w:tblPr>
      <w:tblGrid>
        <w:gridCol w:w="1188"/>
        <w:gridCol w:w="7772"/>
        <w:gridCol w:w="66"/>
      </w:tblGrid>
      <w:tr w:rsidR="00FE5D64"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FE5D64" w:rsidRDefault="00E40776">
            <w:pPr>
              <w:pStyle w:val="P68B1DB1-TableParagraph17"/>
              <w:spacing w:before="108"/>
              <w:ind w:left="85"/>
            </w:pPr>
            <w:r>
              <w:t>Колони</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FE5D64" w:rsidRDefault="00E40776">
            <w:pPr>
              <w:pStyle w:val="P68B1DB1-TableParagraph17"/>
              <w:spacing w:before="108"/>
              <w:ind w:left="85" w:right="1"/>
            </w:pPr>
            <w:r>
              <w:t>Указания</w:t>
            </w:r>
          </w:p>
        </w:tc>
      </w:tr>
      <w:tr w:rsidR="00FE5D64"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FE5D64" w:rsidRDefault="00E40776">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3F173DA2" w:rsidR="00FE5D64" w:rsidRDefault="00286EA9">
            <w:pPr>
              <w:pStyle w:val="P68B1DB1-TableParagraph73"/>
              <w:spacing w:before="108"/>
              <w:ind w:left="85"/>
              <w:jc w:val="both"/>
              <w:rPr>
                <w:bCs/>
              </w:rPr>
            </w:pPr>
            <w:r w:rsidRPr="00286EA9">
              <w:rPr>
                <w:lang w:val="en-US"/>
              </w:rPr>
              <w:t>№</w:t>
            </w:r>
          </w:p>
          <w:p w14:paraId="7FE1D067" w14:textId="79A4474A" w:rsidR="00FE5D64" w:rsidRDefault="00E40776">
            <w:pPr>
              <w:pStyle w:val="P68B1DB1-TableParagraph40"/>
              <w:spacing w:before="108"/>
              <w:ind w:left="85"/>
              <w:jc w:val="both"/>
            </w:pPr>
            <w:r>
              <w:t xml:space="preserve">Уникален номер/първичен ключ за идентифициране на </w:t>
            </w:r>
            <w:r w:rsidR="004E766E">
              <w:rPr>
                <w:lang w:val="bg-BG"/>
              </w:rPr>
              <w:t>записите по редове</w:t>
            </w:r>
            <w:r>
              <w:t>.</w:t>
            </w:r>
          </w:p>
        </w:tc>
      </w:tr>
      <w:tr w:rsidR="00FE5D64"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FE5D64" w:rsidRDefault="00E40776">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FE5D64" w:rsidRDefault="00E40776">
            <w:pPr>
              <w:pStyle w:val="P68B1DB1-TableParagraph73"/>
              <w:spacing w:before="108"/>
              <w:ind w:left="85"/>
              <w:jc w:val="both"/>
              <w:rPr>
                <w:bCs/>
              </w:rPr>
            </w:pPr>
            <w:r>
              <w:t xml:space="preserve">Ред </w:t>
            </w:r>
          </w:p>
          <w:p w14:paraId="7FE1D06B" w14:textId="121832BD" w:rsidR="00FE5D64" w:rsidRDefault="00E40776" w:rsidP="00D06601">
            <w:pPr>
              <w:pStyle w:val="P68B1DB1-TableParagraph40"/>
              <w:spacing w:before="108"/>
              <w:ind w:left="85"/>
              <w:jc w:val="both"/>
            </w:pPr>
            <w:r>
              <w:t xml:space="preserve">За всеки </w:t>
            </w:r>
            <w:r w:rsidR="00286EA9">
              <w:rPr>
                <w:lang w:val="bg-BG"/>
              </w:rPr>
              <w:t>запис по</w:t>
            </w:r>
            <w:r w:rsidR="00286EA9">
              <w:t xml:space="preserve"> </w:t>
            </w:r>
            <w:r>
              <w:t>ред</w:t>
            </w:r>
            <w:r w:rsidR="00286EA9">
              <w:rPr>
                <w:lang w:val="bg-BG"/>
              </w:rPr>
              <w:t>ове</w:t>
            </w:r>
            <w:r>
              <w:t xml:space="preserve"> трябва да се </w:t>
            </w:r>
            <w:r w:rsidR="00286EA9">
              <w:rPr>
                <w:lang w:val="bg-BG"/>
              </w:rPr>
              <w:t xml:space="preserve">избере от </w:t>
            </w:r>
            <w:r w:rsidR="00286EA9">
              <w:t xml:space="preserve">предварително определен списък със стойности </w:t>
            </w:r>
            <w:r w:rsidR="00286EA9">
              <w:rPr>
                <w:lang w:val="bg-BG"/>
              </w:rPr>
              <w:t>съответната</w:t>
            </w:r>
            <w:r>
              <w:t xml:space="preserve"> </w:t>
            </w:r>
            <w:r w:rsidR="00286EA9">
              <w:rPr>
                <w:lang w:val="bg-BG"/>
              </w:rPr>
              <w:t xml:space="preserve">категория на задължението, съгласно определената </w:t>
            </w:r>
            <w:r>
              <w:t xml:space="preserve">структурата на </w:t>
            </w:r>
            <w:r w:rsidR="00286EA9">
              <w:rPr>
                <w:lang w:val="bg-BG"/>
              </w:rPr>
              <w:t>задълженията</w:t>
            </w:r>
            <w:r w:rsidR="00286EA9">
              <w:t xml:space="preserve"> </w:t>
            </w:r>
            <w:r>
              <w:t xml:space="preserve">в Z02.00 </w:t>
            </w:r>
            <w:r w:rsidR="00286EA9">
              <w:rPr>
                <w:lang w:val="bg-BG"/>
              </w:rPr>
              <w:t>според</w:t>
            </w:r>
            <w:r>
              <w:t xml:space="preserve"> падежа</w:t>
            </w:r>
            <w:r w:rsidR="00286EA9">
              <w:rPr>
                <w:lang w:val="bg-BG"/>
              </w:rPr>
              <w:t>.</w:t>
            </w:r>
            <w:r>
              <w:t xml:space="preserve"> </w:t>
            </w:r>
          </w:p>
        </w:tc>
      </w:tr>
      <w:tr w:rsidR="00FE5D64"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FE5D64" w:rsidRDefault="00E40776">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FE5D64" w:rsidRDefault="00E40776">
            <w:pPr>
              <w:pStyle w:val="P68B1DB1-TableParagraph73"/>
              <w:spacing w:before="108"/>
              <w:ind w:left="85"/>
              <w:jc w:val="both"/>
              <w:rPr>
                <w:bCs/>
              </w:rPr>
            </w:pPr>
            <w:r>
              <w:t xml:space="preserve">Колона </w:t>
            </w:r>
          </w:p>
          <w:p w14:paraId="7FE1D06F" w14:textId="2BEF15E1" w:rsidR="00FE5D64" w:rsidRDefault="00E40776" w:rsidP="00AF5071">
            <w:pPr>
              <w:pStyle w:val="P68B1DB1-TableParagraph40"/>
              <w:spacing w:before="108"/>
              <w:ind w:left="85"/>
              <w:jc w:val="both"/>
            </w:pPr>
            <w:r>
              <w:t xml:space="preserve">За всеки </w:t>
            </w:r>
            <w:r w:rsidR="00286EA9">
              <w:rPr>
                <w:lang w:val="bg-BG"/>
              </w:rPr>
              <w:t>запис по</w:t>
            </w:r>
            <w:r w:rsidR="00286EA9" w:rsidRPr="00286EA9">
              <w:rPr>
                <w:lang w:val="bg-BG"/>
              </w:rPr>
              <w:t xml:space="preserve"> </w:t>
            </w:r>
            <w:r>
              <w:t>ред</w:t>
            </w:r>
            <w:r w:rsidR="00286EA9">
              <w:rPr>
                <w:lang w:val="bg-BG"/>
              </w:rPr>
              <w:t xml:space="preserve">ове трябва да се избере съответната категория контрагент, към който е задължението, съгласно структурата в </w:t>
            </w:r>
            <w:r w:rsidR="00F07C17" w:rsidRPr="002F61BB">
              <w:t>Ζ02.00</w:t>
            </w:r>
            <w:r>
              <w:t>.</w:t>
            </w:r>
          </w:p>
        </w:tc>
      </w:tr>
      <w:tr w:rsidR="00FE5D64"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FE5D64" w:rsidRDefault="00E40776">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0EEC2A8A" w:rsidR="00FE5D64" w:rsidRDefault="00286EA9">
            <w:pPr>
              <w:pStyle w:val="P68B1DB1-TableParagraph73"/>
              <w:spacing w:before="108"/>
              <w:ind w:left="85"/>
              <w:jc w:val="both"/>
              <w:rPr>
                <w:bCs/>
              </w:rPr>
            </w:pPr>
            <w:r>
              <w:t xml:space="preserve"> </w:t>
            </w:r>
            <w:r w:rsidRPr="00286EA9">
              <w:t>Ред на вземанията в производство по</w:t>
            </w:r>
            <w:r w:rsidR="00E40776">
              <w:t xml:space="preserve"> несъстоятелност  </w:t>
            </w:r>
          </w:p>
          <w:p w14:paraId="7FE1D073" w14:textId="407EBF3D" w:rsidR="00FE5D64" w:rsidRDefault="00F05DE6" w:rsidP="00016132">
            <w:pPr>
              <w:pStyle w:val="P68B1DB1-TableParagraph40"/>
              <w:spacing w:before="108"/>
              <w:ind w:left="85"/>
              <w:jc w:val="both"/>
            </w:pPr>
            <w:r w:rsidRPr="00F05DE6">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p>
        </w:tc>
      </w:tr>
      <w:tr w:rsidR="00FE5D64"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FE5D64" w:rsidRDefault="00E40776">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FE5D64" w:rsidRDefault="00E40776">
            <w:pPr>
              <w:pStyle w:val="P68B1DB1-TableParagraph73"/>
              <w:spacing w:before="108"/>
              <w:ind w:left="85"/>
              <w:jc w:val="both"/>
              <w:rPr>
                <w:bCs/>
              </w:rPr>
            </w:pPr>
            <w:r>
              <w:t xml:space="preserve">Идентификатор на договора </w:t>
            </w:r>
          </w:p>
          <w:p w14:paraId="7FE1D077" w14:textId="77777777" w:rsidR="00FE5D64" w:rsidRDefault="00E40776">
            <w:pPr>
              <w:pStyle w:val="P68B1DB1-TableParagraph40"/>
              <w:spacing w:before="108"/>
              <w:ind w:left="85"/>
              <w:jc w:val="both"/>
            </w:pPr>
            <w:r>
              <w:t>Вътрешен идентификатор на договора.</w:t>
            </w:r>
          </w:p>
        </w:tc>
      </w:tr>
      <w:tr w:rsidR="00FE5D64"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FE5D64" w:rsidRDefault="00E40776">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FE5D64" w:rsidRDefault="00E40776">
            <w:pPr>
              <w:pStyle w:val="P68B1DB1-TableParagraph73"/>
              <w:spacing w:before="108"/>
              <w:ind w:left="85"/>
              <w:jc w:val="both"/>
              <w:rPr>
                <w:bCs/>
              </w:rPr>
            </w:pPr>
            <w:r>
              <w:t xml:space="preserve">Идентификатор на контрагента  </w:t>
            </w:r>
          </w:p>
          <w:p w14:paraId="7FE1D07B" w14:textId="08EC8079" w:rsidR="00FE5D64" w:rsidRDefault="00E40776" w:rsidP="003017C5">
            <w:pPr>
              <w:pStyle w:val="P68B1DB1-TableParagraph40"/>
              <w:spacing w:before="108"/>
              <w:ind w:left="85"/>
              <w:jc w:val="both"/>
            </w:pPr>
            <w:r>
              <w:t>Посочва се ИКПС на вложителя. При липса на ИКПС, използваният в RIAD</w:t>
            </w:r>
            <w:r w:rsidR="003017C5" w:rsidRPr="00F05DE6">
              <w:rPr>
                <w:lang w:val="bg-BG"/>
              </w:rPr>
              <w:t xml:space="preserve"> </w:t>
            </w:r>
            <w:r w:rsidR="00F05DE6">
              <w:rPr>
                <w:lang w:val="bg-BG"/>
              </w:rPr>
              <w:t>идентификационен код</w:t>
            </w:r>
            <w:r w:rsidR="00F05DE6">
              <w:t xml:space="preserve"> </w:t>
            </w:r>
            <w:r w:rsidR="003017C5">
              <w:t xml:space="preserve">на ЕЦБ </w:t>
            </w:r>
            <w:r w:rsidR="00F05DE6">
              <w:rPr>
                <w:lang w:val="bg-BG"/>
              </w:rPr>
              <w:t>за</w:t>
            </w:r>
            <w:r w:rsidR="003017C5">
              <w:t xml:space="preserve"> паричн</w:t>
            </w:r>
            <w:r w:rsidR="00F05DE6">
              <w:rPr>
                <w:lang w:val="bg-BG"/>
              </w:rPr>
              <w:t>о-</w:t>
            </w:r>
            <w:r w:rsidR="003017C5">
              <w:t>финансови институции (</w:t>
            </w:r>
            <w:r w:rsidR="00F05DE6">
              <w:rPr>
                <w:lang w:val="bg-BG"/>
              </w:rPr>
              <w:t xml:space="preserve">Код на </w:t>
            </w:r>
            <w:r w:rsidR="003017C5">
              <w:t>ПФИ</w:t>
            </w:r>
            <w:r>
              <w:t xml:space="preserve">). Само при липса </w:t>
            </w:r>
            <w:r w:rsidR="00F05DE6">
              <w:rPr>
                <w:lang w:val="bg-BG"/>
              </w:rPr>
              <w:t xml:space="preserve">и </w:t>
            </w:r>
            <w:r>
              <w:t xml:space="preserve">на двата идентификатора се </w:t>
            </w:r>
            <w:r w:rsidR="00F05DE6">
              <w:rPr>
                <w:lang w:val="bg-BG"/>
              </w:rPr>
              <w:t>посочва</w:t>
            </w:r>
            <w:r w:rsidR="00F05DE6">
              <w:t xml:space="preserve"> </w:t>
            </w:r>
            <w:r>
              <w:t xml:space="preserve">вътрешен идентификатор (очаква се само един уникален идентификатор за всеки контрагент). </w:t>
            </w:r>
          </w:p>
        </w:tc>
      </w:tr>
      <w:tr w:rsidR="00FE5D64" w14:paraId="7FE1D07F" w14:textId="77777777">
        <w:tc>
          <w:tcPr>
            <w:tcW w:w="1188" w:type="dxa"/>
            <w:vMerge/>
            <w:tcBorders>
              <w:bottom w:val="single" w:sz="4" w:space="0" w:color="auto"/>
              <w:right w:val="single" w:sz="8" w:space="0" w:color="1A171C"/>
            </w:tcBorders>
            <w:vAlign w:val="center"/>
          </w:tcPr>
          <w:p w14:paraId="7FE1D07D" w14:textId="77777777" w:rsidR="00FE5D64" w:rsidRDefault="00FE5D6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74094E89" w:rsidR="00FE5D64" w:rsidRDefault="00E40776">
            <w:pPr>
              <w:pStyle w:val="P68B1DB1-TableParagraph40"/>
              <w:spacing w:before="108"/>
              <w:ind w:left="85"/>
              <w:jc w:val="both"/>
            </w:pPr>
            <w:r>
              <w:t xml:space="preserve">За депозитите, отчетени на съвкупно </w:t>
            </w:r>
            <w:r w:rsidR="00F05DE6">
              <w:rPr>
                <w:lang w:val="bg-BG"/>
              </w:rPr>
              <w:t>ниво</w:t>
            </w:r>
            <w:r>
              <w:t>, се посочва „0000“, тъй като това поле е задължително.</w:t>
            </w:r>
          </w:p>
        </w:tc>
      </w:tr>
      <w:tr w:rsidR="00FE5D64"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FE5D64" w:rsidRDefault="00E40776">
            <w:pPr>
              <w:pStyle w:val="P68B1DB1-Normal31"/>
            </w:pPr>
            <w:r>
              <w:t>0045</w:t>
            </w:r>
          </w:p>
        </w:tc>
        <w:tc>
          <w:tcPr>
            <w:tcW w:w="7838" w:type="dxa"/>
            <w:gridSpan w:val="2"/>
            <w:tcBorders>
              <w:top w:val="single" w:sz="4" w:space="0" w:color="auto"/>
              <w:left w:val="single" w:sz="4" w:space="0" w:color="auto"/>
            </w:tcBorders>
          </w:tcPr>
          <w:p w14:paraId="7FE1D081" w14:textId="05C93935" w:rsidR="00FE5D64" w:rsidRDefault="00E40776">
            <w:pPr>
              <w:pStyle w:val="P68B1DB1-TableParagraph73"/>
              <w:spacing w:before="108"/>
              <w:ind w:left="85"/>
              <w:jc w:val="both"/>
              <w:rPr>
                <w:bCs/>
              </w:rPr>
            </w:pPr>
            <w:r>
              <w:t xml:space="preserve">Вид идентификатор </w:t>
            </w:r>
          </w:p>
          <w:p w14:paraId="7FE1D082" w14:textId="1CBE863D" w:rsidR="00FE5D64" w:rsidRDefault="00E40776" w:rsidP="003017C5">
            <w:pPr>
              <w:pStyle w:val="P68B1DB1-TableParagraph40"/>
              <w:spacing w:before="108"/>
              <w:ind w:left="85"/>
              <w:jc w:val="both"/>
            </w:pPr>
            <w:r>
              <w:t>Избира се измежду следните варианти: „ИКПС</w:t>
            </w:r>
            <w:r w:rsidR="003017C5">
              <w:rPr>
                <w:lang w:val="bg-BG"/>
              </w:rPr>
              <w:t>“</w:t>
            </w:r>
            <w:r>
              <w:t>, „Код на ПФИ</w:t>
            </w:r>
            <w:r w:rsidR="003017C5">
              <w:rPr>
                <w:lang w:val="bg-BG"/>
              </w:rPr>
              <w:t xml:space="preserve">“ </w:t>
            </w:r>
            <w:r>
              <w:t>или „Вид идентификатор, различен от ИКПС или код на ПФИ“.</w:t>
            </w:r>
          </w:p>
        </w:tc>
      </w:tr>
      <w:tr w:rsidR="00FE5D64"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FE5D64" w:rsidRDefault="00FE5D6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65722527" w:rsidR="00FE5D64" w:rsidRDefault="00E40776">
            <w:pPr>
              <w:pStyle w:val="P68B1DB1-TableParagraph40"/>
              <w:spacing w:before="108"/>
              <w:ind w:left="85"/>
              <w:jc w:val="both"/>
            </w:pPr>
            <w:r>
              <w:t xml:space="preserve">За депозитите, отчетени на съвкупно </w:t>
            </w:r>
            <w:r w:rsidR="00FD2DBC">
              <w:rPr>
                <w:lang w:val="bg-BG"/>
              </w:rPr>
              <w:t>ниво</w:t>
            </w:r>
            <w:r>
              <w:t xml:space="preserve">, се посочва „Вид </w:t>
            </w:r>
            <w:r w:rsidR="00FD2DBC">
              <w:rPr>
                <w:lang w:val="bg-BG"/>
              </w:rPr>
              <w:t>идентификатор</w:t>
            </w:r>
            <w:r>
              <w:t>, различен от ИКПС или код на ПФИ“.</w:t>
            </w:r>
          </w:p>
        </w:tc>
      </w:tr>
      <w:tr w:rsidR="00FE5D64" w14:paraId="7FE1D08A" w14:textId="77777777">
        <w:tc>
          <w:tcPr>
            <w:tcW w:w="1188" w:type="dxa"/>
            <w:tcBorders>
              <w:top w:val="single" w:sz="4" w:space="0" w:color="auto"/>
              <w:left w:val="nil"/>
              <w:bottom w:val="single" w:sz="8" w:space="0" w:color="1A171C"/>
              <w:right w:val="single" w:sz="8" w:space="0" w:color="1A171C"/>
            </w:tcBorders>
          </w:tcPr>
          <w:p w14:paraId="7FE1D087" w14:textId="11ED3EAB" w:rsidR="00FE5D64" w:rsidRPr="004E23DD" w:rsidRDefault="00E40776">
            <w:pPr>
              <w:pStyle w:val="P68B1DB1-Normal31"/>
              <w:rPr>
                <w:lang w:val="en-US"/>
              </w:rPr>
            </w:pPr>
            <w:r>
              <w:t xml:space="preserve"> 005</w:t>
            </w:r>
            <w:r w:rsidR="004E23DD">
              <w:rPr>
                <w:lang w:val="en-US"/>
              </w:rPr>
              <w:t>0</w:t>
            </w:r>
          </w:p>
        </w:tc>
        <w:tc>
          <w:tcPr>
            <w:tcW w:w="7838" w:type="dxa"/>
            <w:gridSpan w:val="2"/>
            <w:tcBorders>
              <w:top w:val="single" w:sz="4" w:space="0" w:color="auto"/>
              <w:left w:val="single" w:sz="8" w:space="0" w:color="1A171C"/>
              <w:bottom w:val="single" w:sz="8" w:space="0" w:color="1A171C"/>
              <w:right w:val="nil"/>
            </w:tcBorders>
          </w:tcPr>
          <w:p w14:paraId="7FE1D088" w14:textId="70C0260E" w:rsidR="00FE5D64" w:rsidRDefault="00E40776">
            <w:pPr>
              <w:pStyle w:val="P68B1DB1-TableParagraph73"/>
              <w:spacing w:before="108"/>
              <w:ind w:left="85"/>
              <w:jc w:val="both"/>
              <w:rPr>
                <w:bCs/>
              </w:rPr>
            </w:pPr>
            <w:r>
              <w:t xml:space="preserve">Приложимо право  </w:t>
            </w:r>
          </w:p>
          <w:p w14:paraId="4B0393AB" w14:textId="3E9E309D" w:rsidR="00FD2DBC" w:rsidRDefault="00E40776" w:rsidP="003017C5">
            <w:pPr>
              <w:pStyle w:val="P68B1DB1-TableParagraph40"/>
              <w:spacing w:before="108"/>
              <w:ind w:left="85"/>
              <w:jc w:val="both"/>
            </w:pPr>
            <w:r>
              <w:t xml:space="preserve">Кодът ISO 3166—1 alpha-2 на държавата, чието право урежда инструмента (използвайте кода ISO 3166—2, когато е приложимо правото на административно подразделение, напр. „US-NY“). Ако договорът се урежда от правото на повече от една държава, се </w:t>
            </w:r>
            <w:r w:rsidR="00FD2DBC">
              <w:rPr>
                <w:lang w:val="bg-BG"/>
              </w:rPr>
              <w:t>посочва</w:t>
            </w:r>
            <w:r w:rsidR="003017C5">
              <w:t xml:space="preserve"> </w:t>
            </w:r>
            <w:r>
              <w:t xml:space="preserve">държавата, чието право има най-голямо значение за признаването на правомощията за обезценяване и преобразуване. </w:t>
            </w:r>
          </w:p>
          <w:p w14:paraId="7FE1D089" w14:textId="215D1225" w:rsidR="00FE5D64" w:rsidRDefault="00E40776" w:rsidP="003017C5">
            <w:pPr>
              <w:pStyle w:val="P68B1DB1-TableParagraph40"/>
              <w:spacing w:before="108"/>
              <w:ind w:left="85"/>
              <w:jc w:val="both"/>
            </w:pPr>
            <w:r>
              <w:t xml:space="preserve">За депозити, отчетени на съвкупно </w:t>
            </w:r>
            <w:r w:rsidR="00FD2DBC">
              <w:rPr>
                <w:lang w:val="bg-BG"/>
              </w:rPr>
              <w:t>ниво</w:t>
            </w:r>
            <w:r>
              <w:t xml:space="preserve">, се </w:t>
            </w:r>
            <w:r w:rsidR="00FD2DBC">
              <w:rPr>
                <w:lang w:val="bg-BG"/>
              </w:rPr>
              <w:t>посочва</w:t>
            </w:r>
            <w:r>
              <w:t xml:space="preserve"> „Други държави“.</w:t>
            </w:r>
          </w:p>
        </w:tc>
      </w:tr>
      <w:tr w:rsidR="00FE5D64"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FE5D64" w:rsidRDefault="00E40776">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FE5D64" w:rsidRDefault="00E40776">
            <w:pPr>
              <w:pStyle w:val="P68B1DB1-TableParagraph73"/>
              <w:spacing w:before="108"/>
              <w:ind w:left="85"/>
              <w:jc w:val="both"/>
              <w:rPr>
                <w:bCs/>
              </w:rPr>
            </w:pPr>
            <w:r>
              <w:t xml:space="preserve">Валута  </w:t>
            </w:r>
          </w:p>
          <w:p w14:paraId="7FE1D08D" w14:textId="7DBD8164" w:rsidR="00FE5D64" w:rsidRDefault="00E40776" w:rsidP="003017C5">
            <w:pPr>
              <w:pStyle w:val="P68B1DB1-TableParagraph40"/>
              <w:spacing w:before="108"/>
              <w:ind w:left="85"/>
              <w:jc w:val="both"/>
            </w:pPr>
            <w:r>
              <w:t xml:space="preserve">Валутата на депозита в съответствие с </w:t>
            </w:r>
            <w:r w:rsidR="003017C5">
              <w:rPr>
                <w:lang w:val="bg-BG"/>
              </w:rPr>
              <w:t>нейния</w:t>
            </w:r>
            <w:r w:rsidR="003017C5">
              <w:t xml:space="preserve"> </w:t>
            </w:r>
            <w:r>
              <w:t xml:space="preserve">3-буквен код по ISO 4217. За депозити, отчетени на съвкупно </w:t>
            </w:r>
            <w:r w:rsidR="00FD2DBC">
              <w:rPr>
                <w:lang w:val="bg-BG"/>
              </w:rPr>
              <w:t>ниво</w:t>
            </w:r>
            <w:r>
              <w:t>, се използва стойността „XXX“.</w:t>
            </w:r>
          </w:p>
        </w:tc>
      </w:tr>
      <w:tr w:rsidR="00FE5D64"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FE5D64" w:rsidRDefault="00E40776">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7CACA8DF" w:rsidR="00FE5D64" w:rsidRDefault="00FD2DBC">
            <w:pPr>
              <w:pStyle w:val="P68B1DB1-TableParagraph73"/>
              <w:spacing w:before="108"/>
              <w:ind w:left="85"/>
              <w:jc w:val="both"/>
              <w:rPr>
                <w:bCs/>
              </w:rPr>
            </w:pPr>
            <w:r>
              <w:rPr>
                <w:lang w:val="bg-BG"/>
              </w:rPr>
              <w:t>Дължима сума по</w:t>
            </w:r>
            <w:r>
              <w:t xml:space="preserve"> </w:t>
            </w:r>
            <w:r w:rsidR="00E40776">
              <w:t xml:space="preserve">главница  </w:t>
            </w:r>
          </w:p>
          <w:p w14:paraId="7FE1D091" w14:textId="06D76EF2" w:rsidR="00FE5D64" w:rsidRDefault="00FD2DBC">
            <w:pPr>
              <w:pStyle w:val="P68B1DB1-TableParagraph40"/>
              <w:spacing w:before="108"/>
              <w:ind w:left="85"/>
              <w:jc w:val="both"/>
            </w:pPr>
            <w:r>
              <w:rPr>
                <w:lang w:val="bg-BG"/>
              </w:rPr>
              <w:t xml:space="preserve">Дължимата сума по </w:t>
            </w:r>
            <w:r w:rsidR="00E40776">
              <w:t xml:space="preserve"> главница на депозита.</w:t>
            </w:r>
          </w:p>
        </w:tc>
      </w:tr>
      <w:tr w:rsidR="00FE5D64"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FE5D64" w:rsidRDefault="00E40776">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11C7FE2D" w:rsidR="00FE5D64" w:rsidRDefault="00FD2DBC">
            <w:pPr>
              <w:pStyle w:val="P68B1DB1-TableParagraph73"/>
              <w:spacing w:before="108"/>
              <w:ind w:left="85"/>
              <w:jc w:val="both"/>
              <w:rPr>
                <w:bCs/>
              </w:rPr>
            </w:pPr>
            <w:r>
              <w:rPr>
                <w:lang w:val="bg-BG"/>
              </w:rPr>
              <w:t>Начислена</w:t>
            </w:r>
            <w:r>
              <w:t xml:space="preserve"> </w:t>
            </w:r>
            <w:r w:rsidR="00E40776">
              <w:t xml:space="preserve">лихва </w:t>
            </w:r>
          </w:p>
          <w:p w14:paraId="7FE1D095" w14:textId="406ECA08" w:rsidR="00FE5D64" w:rsidRDefault="00A016CB">
            <w:pPr>
              <w:pStyle w:val="P68B1DB1-TableParagraph40"/>
              <w:spacing w:before="108"/>
              <w:ind w:left="85"/>
              <w:jc w:val="both"/>
            </w:pPr>
            <w:r>
              <w:rPr>
                <w:lang w:val="bg-BG"/>
              </w:rPr>
              <w:t>Текущ</w:t>
            </w:r>
            <w:r w:rsidR="00FD2DBC">
              <w:rPr>
                <w:lang w:val="bg-BG"/>
              </w:rPr>
              <w:t>о</w:t>
            </w:r>
            <w:r w:rsidRPr="00FD2DBC">
              <w:rPr>
                <w:lang w:val="bg-BG"/>
              </w:rPr>
              <w:t xml:space="preserve"> </w:t>
            </w:r>
            <w:r w:rsidR="00E40776">
              <w:t>начислена</w:t>
            </w:r>
            <w:r w:rsidR="00FD2DBC">
              <w:rPr>
                <w:lang w:val="bg-BG"/>
              </w:rPr>
              <w:t>та</w:t>
            </w:r>
            <w:r w:rsidR="00E40776">
              <w:t xml:space="preserve"> лихва по депозита.</w:t>
            </w:r>
          </w:p>
        </w:tc>
      </w:tr>
      <w:tr w:rsidR="00FE5D64"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FE5D64" w:rsidRDefault="00E40776">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FE5D64" w:rsidRDefault="00E40776">
            <w:pPr>
              <w:pStyle w:val="P68B1DB1-TableParagraph73"/>
              <w:spacing w:before="108"/>
              <w:ind w:left="85"/>
              <w:jc w:val="both"/>
              <w:rPr>
                <w:bCs/>
              </w:rPr>
            </w:pPr>
            <w:r>
              <w:t xml:space="preserve">Текущ лихвен процент (%). </w:t>
            </w:r>
          </w:p>
          <w:p w14:paraId="7FE1D099" w14:textId="75496BE5" w:rsidR="00FE5D64" w:rsidRDefault="00E40776">
            <w:pPr>
              <w:pStyle w:val="P68B1DB1-TableParagraph40"/>
              <w:spacing w:before="108"/>
              <w:ind w:left="85"/>
              <w:jc w:val="both"/>
            </w:pPr>
            <w:r>
              <w:t xml:space="preserve">Текущо равнище на лихвения процент, приложим </w:t>
            </w:r>
            <w:r w:rsidR="00FD2DBC">
              <w:rPr>
                <w:lang w:val="bg-BG"/>
              </w:rPr>
              <w:t>по</w:t>
            </w:r>
            <w:r w:rsidR="00FD2DBC">
              <w:t xml:space="preserve"> </w:t>
            </w:r>
            <w:r>
              <w:t xml:space="preserve">депозита. </w:t>
            </w:r>
          </w:p>
        </w:tc>
      </w:tr>
      <w:tr w:rsidR="00FE5D64"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FE5D64" w:rsidRDefault="00E40776">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1CBD2BFA" w:rsidR="00FE5D64" w:rsidRDefault="00E40776">
            <w:pPr>
              <w:pStyle w:val="P68B1DB1-TableParagraph73"/>
              <w:spacing w:before="108"/>
              <w:ind w:left="85"/>
              <w:jc w:val="both"/>
              <w:rPr>
                <w:bCs/>
              </w:rPr>
            </w:pPr>
            <w:r>
              <w:t xml:space="preserve">Размер на залог, </w:t>
            </w:r>
            <w:r w:rsidR="00FD2DBC">
              <w:rPr>
                <w:lang w:val="bg-BG"/>
              </w:rPr>
              <w:t>реално обезпечение</w:t>
            </w:r>
            <w:r w:rsidR="00FE6BFE">
              <w:t xml:space="preserve"> </w:t>
            </w:r>
            <w:r>
              <w:t xml:space="preserve">или </w:t>
            </w:r>
            <w:r w:rsidR="00FD2DBC">
              <w:rPr>
                <w:lang w:val="bg-BG"/>
              </w:rPr>
              <w:t xml:space="preserve">друго </w:t>
            </w:r>
            <w:r>
              <w:t xml:space="preserve">обезпечение </w:t>
            </w:r>
          </w:p>
          <w:p w14:paraId="7FE1D0A2" w14:textId="2A47763B" w:rsidR="00FE5D64" w:rsidRDefault="00E40776" w:rsidP="00FE6BFE">
            <w:pPr>
              <w:pStyle w:val="P68B1DB1-TableParagraph40"/>
              <w:spacing w:before="108"/>
              <w:ind w:left="85"/>
              <w:jc w:val="both"/>
            </w:pPr>
            <w:r>
              <w:t xml:space="preserve">Когато задължението е обезпечено със залог, </w:t>
            </w:r>
            <w:r w:rsidR="00B44B07">
              <w:rPr>
                <w:lang w:val="bg-BG"/>
              </w:rPr>
              <w:t>реално обезпечение</w:t>
            </w:r>
            <w:r w:rsidR="00FE6BFE">
              <w:t xml:space="preserve"> </w:t>
            </w:r>
            <w:r>
              <w:t xml:space="preserve">или </w:t>
            </w:r>
            <w:r w:rsidR="00B44B07">
              <w:rPr>
                <w:lang w:val="bg-BG"/>
              </w:rPr>
              <w:t xml:space="preserve">друго </w:t>
            </w:r>
            <w:r>
              <w:t xml:space="preserve">обезпечение, се предоставя брутната пазарна стойност на </w:t>
            </w:r>
            <w:r w:rsidR="00B44B07">
              <w:rPr>
                <w:lang w:val="bg-BG"/>
              </w:rPr>
              <w:t>обезпечението</w:t>
            </w:r>
            <w:r>
              <w:t>. В противен случай за необезпечените задължения тази категория се отчита като нула. Тази сума определ</w:t>
            </w:r>
            <w:r w:rsidR="00FE6BFE">
              <w:rPr>
                <w:lang w:val="bg-BG"/>
              </w:rPr>
              <w:t>я</w:t>
            </w:r>
            <w:r>
              <w:t xml:space="preserve"> обезпечената </w:t>
            </w:r>
            <w:r w:rsidR="00B44B07">
              <w:rPr>
                <w:lang w:val="bg-BG"/>
              </w:rPr>
              <w:t>и евентуално</w:t>
            </w:r>
            <w:r>
              <w:t xml:space="preserve"> необезпечената част от обезпечения депозит. За групите</w:t>
            </w:r>
            <w:r w:rsidR="00FE6BFE" w:rsidRPr="00FD2DBC">
              <w:rPr>
                <w:lang w:val="bg-BG"/>
              </w:rPr>
              <w:t xml:space="preserve"> </w:t>
            </w:r>
            <w:r>
              <w:t xml:space="preserve">обезпечения, които обезпечават множество позиции, се определя </w:t>
            </w:r>
            <w:r w:rsidR="00B44B07">
              <w:rPr>
                <w:lang w:val="bg-BG"/>
              </w:rPr>
              <w:t>общ процент</w:t>
            </w:r>
            <w:r>
              <w:t xml:space="preserve"> на покритие и се прилага пропорционално за всички позиции </w:t>
            </w:r>
            <w:r w:rsidR="00B44B07">
              <w:rPr>
                <w:lang w:val="bg-BG"/>
              </w:rPr>
              <w:t>по редове</w:t>
            </w:r>
            <w:r>
              <w:t xml:space="preserve">, обхванати от </w:t>
            </w:r>
            <w:r w:rsidR="00B44B07">
              <w:rPr>
                <w:lang w:val="bg-BG"/>
              </w:rPr>
              <w:t>тази група обезпечения</w:t>
            </w:r>
            <w:r>
              <w:t>.</w:t>
            </w:r>
          </w:p>
        </w:tc>
      </w:tr>
      <w:tr w:rsidR="00FE5D64"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FE5D64" w:rsidRDefault="00E40776">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24ACADD1" w:rsidR="00FE5D64" w:rsidRDefault="00E40776">
            <w:pPr>
              <w:pStyle w:val="P68B1DB1-TableParagraph73"/>
              <w:spacing w:before="108"/>
              <w:ind w:left="85"/>
              <w:jc w:val="both"/>
              <w:rPr>
                <w:bCs/>
              </w:rPr>
            </w:pPr>
            <w:r>
              <w:t>Сума, отговаряща на условията за МИ</w:t>
            </w:r>
            <w:r w:rsidR="00B33FAE">
              <w:rPr>
                <w:lang w:val="bg-BG"/>
              </w:rPr>
              <w:t>СК</w:t>
            </w:r>
            <w:r>
              <w:t xml:space="preserve">ПЗ </w:t>
            </w:r>
          </w:p>
          <w:p w14:paraId="7FE1D0A6" w14:textId="65911620" w:rsidR="00FE5D64" w:rsidRDefault="00B44B07">
            <w:pPr>
              <w:pStyle w:val="P68B1DB1-TableParagraph40"/>
              <w:spacing w:before="108"/>
              <w:ind w:left="85"/>
              <w:jc w:val="both"/>
            </w:pPr>
            <w:r>
              <w:rPr>
                <w:lang w:val="bg-BG"/>
              </w:rPr>
              <w:t xml:space="preserve">Посочва се сумата </w:t>
            </w:r>
            <w:r w:rsidR="00E40776">
              <w:t xml:space="preserve"> на собствени</w:t>
            </w:r>
            <w:r w:rsidR="001A4E47">
              <w:rPr>
                <w:lang w:val="bg-BG"/>
              </w:rPr>
              <w:t>я</w:t>
            </w:r>
            <w:r w:rsidR="00E40776">
              <w:t xml:space="preserve"> </w:t>
            </w:r>
            <w:r w:rsidR="001A4E47">
              <w:rPr>
                <w:lang w:val="bg-BG"/>
              </w:rPr>
              <w:t>капитал</w:t>
            </w:r>
            <w:r w:rsidR="00E40776">
              <w:t xml:space="preserve"> и приемливите задължения, </w:t>
            </w:r>
            <w:r>
              <w:rPr>
                <w:lang w:val="bg-BG"/>
              </w:rPr>
              <w:t xml:space="preserve">отговарящи на </w:t>
            </w:r>
            <w:r w:rsidR="00E40776">
              <w:t>изискването, определено в съответствие с член 45, параграф 1 от Директива 2014/59/ЕС.</w:t>
            </w:r>
          </w:p>
        </w:tc>
      </w:tr>
      <w:tr w:rsidR="00FE5D64"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FE5D64" w:rsidRDefault="00E40776">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0A0AAA70" w:rsidR="00FE5D64" w:rsidRDefault="00E40776">
            <w:pPr>
              <w:pStyle w:val="P68B1DB1-TableParagraph73"/>
              <w:spacing w:before="108"/>
              <w:ind w:left="85"/>
              <w:jc w:val="both"/>
              <w:rPr>
                <w:bCs/>
              </w:rPr>
            </w:pPr>
            <w:r>
              <w:t xml:space="preserve">Дата на </w:t>
            </w:r>
            <w:r w:rsidR="00B44B07">
              <w:rPr>
                <w:lang w:val="bg-BG"/>
              </w:rPr>
              <w:t>откриване</w:t>
            </w:r>
            <w:r w:rsidR="00B44B07">
              <w:t xml:space="preserve"> </w:t>
            </w:r>
            <w:r>
              <w:t xml:space="preserve">на срочни депозити </w:t>
            </w:r>
          </w:p>
          <w:p w14:paraId="7FE1D0AA" w14:textId="563931E0" w:rsidR="00FE5D64" w:rsidRDefault="00E40776">
            <w:pPr>
              <w:pStyle w:val="P68B1DB1-TableParagraph40"/>
              <w:spacing w:before="108"/>
              <w:ind w:left="85"/>
              <w:jc w:val="both"/>
            </w:pPr>
            <w:r>
              <w:t xml:space="preserve">Дата на първоначалното </w:t>
            </w:r>
            <w:r w:rsidR="00B44B07">
              <w:rPr>
                <w:lang w:val="bg-BG"/>
              </w:rPr>
              <w:t>откриване</w:t>
            </w:r>
            <w:r w:rsidR="00B44B07">
              <w:t xml:space="preserve"> </w:t>
            </w:r>
            <w:r>
              <w:t>на срочния депозит.</w:t>
            </w:r>
          </w:p>
        </w:tc>
      </w:tr>
      <w:tr w:rsidR="00FE5D64" w14:paraId="7FE1D0AF" w14:textId="77777777">
        <w:tc>
          <w:tcPr>
            <w:tcW w:w="1188" w:type="dxa"/>
            <w:vMerge w:val="restart"/>
            <w:tcBorders>
              <w:top w:val="single" w:sz="8" w:space="0" w:color="1A171C"/>
              <w:left w:val="nil"/>
              <w:right w:val="single" w:sz="8" w:space="0" w:color="1A171C"/>
            </w:tcBorders>
          </w:tcPr>
          <w:p w14:paraId="7FE1D0AC" w14:textId="77777777" w:rsidR="00FE5D64" w:rsidRDefault="00E40776">
            <w:pPr>
              <w:pStyle w:val="P68B1DB1-Normal31"/>
            </w:pPr>
            <w:r>
              <w:t>0130</w:t>
            </w:r>
          </w:p>
        </w:tc>
        <w:tc>
          <w:tcPr>
            <w:tcW w:w="7838" w:type="dxa"/>
            <w:gridSpan w:val="2"/>
            <w:tcBorders>
              <w:top w:val="single" w:sz="8" w:space="0" w:color="1A171C"/>
              <w:left w:val="single" w:sz="8" w:space="0" w:color="1A171C"/>
              <w:right w:val="nil"/>
            </w:tcBorders>
          </w:tcPr>
          <w:p w14:paraId="7FE1D0AD" w14:textId="6B3B3823" w:rsidR="00FE5D64" w:rsidRDefault="00E40776">
            <w:pPr>
              <w:pStyle w:val="P68B1DB1-TableParagraph73"/>
              <w:spacing w:before="108"/>
              <w:ind w:left="85"/>
              <w:jc w:val="both"/>
              <w:rPr>
                <w:bCs/>
              </w:rPr>
            </w:pPr>
            <w:r>
              <w:t xml:space="preserve">Най-ранна дата на </w:t>
            </w:r>
            <w:r w:rsidR="00B44B07">
              <w:rPr>
                <w:lang w:val="bg-BG"/>
              </w:rPr>
              <w:t>изплащане</w:t>
            </w:r>
            <w:r>
              <w:t xml:space="preserve">  </w:t>
            </w:r>
          </w:p>
          <w:p w14:paraId="7FE1D0AE" w14:textId="53FB58E6" w:rsidR="00FE5D64" w:rsidRDefault="00E40776" w:rsidP="00B33FAE">
            <w:pPr>
              <w:pStyle w:val="P68B1DB1-TableParagraph40"/>
              <w:spacing w:before="108"/>
              <w:ind w:left="85"/>
              <w:jc w:val="both"/>
            </w:pPr>
            <w:r>
              <w:t xml:space="preserve">Ако съществува възможност държателите на </w:t>
            </w:r>
            <w:r w:rsidR="00436A0D">
              <w:rPr>
                <w:lang w:val="bg-BG"/>
              </w:rPr>
              <w:t>инструмента</w:t>
            </w:r>
            <w:r w:rsidR="00436A0D">
              <w:t xml:space="preserve"> </w:t>
            </w:r>
            <w:r>
              <w:t xml:space="preserve">да поискат предсрочно погасяване на задължението или условията за предсрочно погасяване са предвидени в договора, </w:t>
            </w:r>
            <w:r w:rsidR="00436A0D">
              <w:rPr>
                <w:lang w:val="bg-BG"/>
              </w:rPr>
              <w:t>посочва се</w:t>
            </w:r>
            <w:r w:rsidR="00436A0D">
              <w:t xml:space="preserve"> </w:t>
            </w:r>
            <w:r w:rsidR="00436A0D">
              <w:rPr>
                <w:lang w:val="bg-BG"/>
              </w:rPr>
              <w:t xml:space="preserve">възможно </w:t>
            </w:r>
            <w:r>
              <w:t>най-ранната дата на настъпване</w:t>
            </w:r>
            <w:r w:rsidR="00B33FAE">
              <w:rPr>
                <w:lang w:val="bg-BG"/>
              </w:rPr>
              <w:t xml:space="preserve"> на събитието</w:t>
            </w:r>
            <w:r>
              <w:t xml:space="preserve">, в противен случай </w:t>
            </w:r>
            <w:r w:rsidR="00436A0D">
              <w:rPr>
                <w:lang w:val="bg-BG"/>
              </w:rPr>
              <w:t xml:space="preserve">се посочва </w:t>
            </w:r>
            <w:r>
              <w:t>датата на</w:t>
            </w:r>
            <w:r w:rsidR="00436A0D">
              <w:rPr>
                <w:lang w:val="bg-BG"/>
              </w:rPr>
              <w:t xml:space="preserve"> установения краен</w:t>
            </w:r>
            <w:r>
              <w:t xml:space="preserve"> падеж на депозита. Ако предсрочното </w:t>
            </w:r>
            <w:r w:rsidR="00B33FAE">
              <w:rPr>
                <w:lang w:val="bg-BG"/>
              </w:rPr>
              <w:t>погасяване</w:t>
            </w:r>
            <w:r w:rsidR="00B33FAE">
              <w:t xml:space="preserve"> </w:t>
            </w:r>
            <w:r>
              <w:t>се отнася само до част от задължението (напр. предсрочно погасяване на 50% от номиналната стойност), задължението се разделя, за да се вземе предвид тази клауза за частично предсрочно погасяване.</w:t>
            </w:r>
          </w:p>
        </w:tc>
      </w:tr>
      <w:tr w:rsidR="00FE5D64" w14:paraId="7FE1D0B2" w14:textId="77777777">
        <w:tc>
          <w:tcPr>
            <w:tcW w:w="1188" w:type="dxa"/>
            <w:vMerge/>
            <w:tcBorders>
              <w:bottom w:val="single" w:sz="8" w:space="0" w:color="1A171C"/>
              <w:right w:val="single" w:sz="8" w:space="0" w:color="1A171C"/>
            </w:tcBorders>
            <w:vAlign w:val="center"/>
          </w:tcPr>
          <w:p w14:paraId="7FE1D0B0" w14:textId="77777777" w:rsidR="00FE5D64" w:rsidRDefault="00FE5D6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77F49332" w:rsidR="00FE5D64" w:rsidRDefault="00E40776">
            <w:pPr>
              <w:pStyle w:val="P68B1DB1-TableParagraph40"/>
              <w:spacing w:before="108"/>
              <w:ind w:left="85"/>
              <w:jc w:val="both"/>
            </w:pPr>
            <w:r>
              <w:t xml:space="preserve">За депозитите, отчетени на съвкупно </w:t>
            </w:r>
            <w:r w:rsidR="00436A0D">
              <w:rPr>
                <w:lang w:val="bg-BG"/>
              </w:rPr>
              <w:t>ниво</w:t>
            </w:r>
            <w:r>
              <w:t xml:space="preserve">, </w:t>
            </w:r>
            <w:r w:rsidR="00436A0D">
              <w:rPr>
                <w:lang w:val="bg-BG"/>
              </w:rPr>
              <w:t xml:space="preserve">като </w:t>
            </w:r>
            <w:r>
              <w:t xml:space="preserve">най-ранна дата на </w:t>
            </w:r>
            <w:r w:rsidR="00436A0D">
              <w:rPr>
                <w:lang w:val="bg-BG"/>
              </w:rPr>
              <w:t xml:space="preserve">изплащане </w:t>
            </w:r>
            <w:r>
              <w:t xml:space="preserve">се </w:t>
            </w:r>
            <w:r w:rsidR="00436A0D">
              <w:rPr>
                <w:lang w:val="bg-BG"/>
              </w:rPr>
              <w:t>посочва</w:t>
            </w:r>
            <w:r>
              <w:t xml:space="preserve"> „2199—12—31“. </w:t>
            </w:r>
          </w:p>
        </w:tc>
      </w:tr>
      <w:tr w:rsidR="00FE5D64" w14:paraId="7FE1D0B6" w14:textId="77777777">
        <w:tc>
          <w:tcPr>
            <w:tcW w:w="1188" w:type="dxa"/>
            <w:vMerge w:val="restart"/>
            <w:tcBorders>
              <w:top w:val="single" w:sz="8" w:space="0" w:color="1A171C"/>
              <w:left w:val="nil"/>
              <w:right w:val="single" w:sz="8" w:space="0" w:color="1A171C"/>
            </w:tcBorders>
          </w:tcPr>
          <w:p w14:paraId="7FE1D0B3" w14:textId="413885FF" w:rsidR="00FE5D64" w:rsidRDefault="00FE5D6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FE5D64" w:rsidRDefault="00FE5D64">
            <w:pPr>
              <w:pStyle w:val="TableParagraph"/>
              <w:spacing w:before="108"/>
              <w:ind w:left="85"/>
              <w:jc w:val="both"/>
              <w:rPr>
                <w:rFonts w:ascii="Times New Roman" w:eastAsia="Times New Roman" w:hAnsi="Times New Roman" w:cs="Times New Roman"/>
                <w:sz w:val="20"/>
                <w:szCs w:val="20"/>
              </w:rPr>
            </w:pPr>
          </w:p>
        </w:tc>
      </w:tr>
      <w:tr w:rsidR="00FE5D64" w14:paraId="7FE1D0B9" w14:textId="77777777">
        <w:tc>
          <w:tcPr>
            <w:tcW w:w="1188" w:type="dxa"/>
            <w:vMerge/>
            <w:tcBorders>
              <w:bottom w:val="single" w:sz="8" w:space="0" w:color="1A171C"/>
              <w:right w:val="single" w:sz="8" w:space="0" w:color="1A171C"/>
            </w:tcBorders>
            <w:vAlign w:val="center"/>
          </w:tcPr>
          <w:p w14:paraId="7FE1D0B7" w14:textId="77777777" w:rsidR="00FE5D64" w:rsidRDefault="00FE5D6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FE5D64" w:rsidRDefault="00FE5D64">
            <w:pPr>
              <w:rPr>
                <w:rFonts w:ascii="Times New Roman" w:hAnsi="Times New Roman" w:cs="Times New Roman"/>
              </w:rPr>
            </w:pPr>
          </w:p>
        </w:tc>
      </w:tr>
    </w:tbl>
    <w:p w14:paraId="7FE1D0BA" w14:textId="77777777" w:rsidR="00FE5D64" w:rsidRDefault="00FE5D64">
      <w:pPr>
        <w:pStyle w:val="body"/>
        <w:rPr>
          <w:rFonts w:ascii="Times New Roman" w:hAnsi="Times New Roman" w:cs="Times New Roman"/>
          <w:color w:val="000000" w:themeColor="text1"/>
          <w:sz w:val="20"/>
          <w:szCs w:val="20"/>
        </w:rPr>
      </w:pPr>
    </w:p>
    <w:p w14:paraId="7FE1D0BB" w14:textId="77777777" w:rsidR="00FE5D64" w:rsidRDefault="00FE5D64">
      <w:pPr>
        <w:rPr>
          <w:rFonts w:ascii="Times New Roman" w:hAnsi="Times New Roman" w:cs="Times New Roman"/>
        </w:rPr>
      </w:pPr>
    </w:p>
    <w:p w14:paraId="7FE1D0BC" w14:textId="77777777" w:rsidR="00FE5D64" w:rsidRDefault="00FE5D64">
      <w:pPr>
        <w:pStyle w:val="Instructionsberschrift2"/>
        <w:ind w:left="357"/>
        <w:rPr>
          <w:rFonts w:ascii="Times New Roman" w:eastAsia="Calibri" w:hAnsi="Times New Roman" w:cs="Times New Roman"/>
          <w:szCs w:val="20"/>
        </w:rPr>
      </w:pPr>
    </w:p>
    <w:p w14:paraId="7FE1D0BD" w14:textId="5C7054A8" w:rsidR="00FE5D64" w:rsidRDefault="00E40776">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64" w:name="_Toc20824448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Други финансови </w:t>
      </w:r>
      <w:r w:rsidR="00436A0D">
        <w:rPr>
          <w:rFonts w:ascii="Times New Roman" w:hAnsi="Times New Roman"/>
          <w:color w:val="000000" w:themeColor="text1"/>
          <w:lang w:val="bg-BG"/>
        </w:rPr>
        <w:t>задължения</w:t>
      </w:r>
      <w:r w:rsidR="00436A0D">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436A0D">
        <w:rPr>
          <w:rFonts w:ascii="Times New Roman" w:hAnsi="Times New Roman" w:cs="Times New Roman"/>
          <w:color w:val="000000" w:themeColor="text1"/>
          <w:lang w:val="bg-BG"/>
        </w:rPr>
        <w:t xml:space="preserve">които не са </w:t>
      </w:r>
      <w:r>
        <w:rPr>
          <w:rFonts w:ascii="Times New Roman" w:hAnsi="Times New Roman" w:cs="Times New Roman"/>
          <w:color w:val="000000" w:themeColor="text1"/>
        </w:rPr>
        <w:t>включени в други</w:t>
      </w:r>
      <w:r w:rsidR="00436A0D">
        <w:rPr>
          <w:rFonts w:ascii="Times New Roman" w:hAnsi="Times New Roman" w:cs="Times New Roman"/>
          <w:color w:val="000000" w:themeColor="text1"/>
          <w:lang w:val="bg-BG"/>
        </w:rPr>
        <w:t>те</w:t>
      </w:r>
      <w:r>
        <w:rPr>
          <w:rFonts w:ascii="Times New Roman" w:hAnsi="Times New Roman" w:cs="Times New Roman"/>
          <w:color w:val="000000" w:themeColor="text1"/>
        </w:rPr>
        <w:t xml:space="preserve"> </w:t>
      </w:r>
      <w:r w:rsidR="00436A0D">
        <w:rPr>
          <w:rFonts w:ascii="Times New Roman" w:hAnsi="Times New Roman" w:cs="Times New Roman"/>
          <w:color w:val="000000" w:themeColor="text1"/>
          <w:lang w:val="bg-BG"/>
        </w:rPr>
        <w:t>таблици</w:t>
      </w:r>
      <w:r>
        <w:rPr>
          <w:rFonts w:ascii="Times New Roman" w:hAnsi="Times New Roman" w:cs="Times New Roman"/>
          <w:color w:val="000000" w:themeColor="text1"/>
        </w:rPr>
        <w:t xml:space="preserve">, с изключение на вътрешногруповите) </w:t>
      </w:r>
      <w:r>
        <w:rPr>
          <w:rFonts w:ascii="Times New Roman" w:eastAsia="Calibri" w:hAnsi="Times New Roman" w:cs="Times New Roman"/>
          <w:szCs w:val="20"/>
        </w:rPr>
        <w:t>(LIAB-G-4)</w:t>
      </w:r>
      <w:bookmarkEnd w:id="264"/>
    </w:p>
    <w:p w14:paraId="7FE1D0BE" w14:textId="56404057" w:rsidR="00FE5D64" w:rsidRDefault="00FE5D64">
      <w:pPr>
        <w:pStyle w:val="Instructionsberschrift2"/>
        <w:ind w:left="357"/>
        <w:rPr>
          <w:rFonts w:ascii="Times New Roman" w:eastAsiaTheme="minorEastAsia" w:hAnsi="Times New Roman" w:cs="Times New Roman"/>
          <w:color w:val="000000" w:themeColor="text1"/>
        </w:rPr>
      </w:pPr>
    </w:p>
    <w:p w14:paraId="7FE1D0BF" w14:textId="77777777" w:rsidR="00FE5D64" w:rsidRDefault="00E40776">
      <w:pPr>
        <w:pStyle w:val="P68B1DB1-Numberedtitlelevel372"/>
      </w:pPr>
      <w:r>
        <w:t>Общи бележки</w:t>
      </w:r>
    </w:p>
    <w:p w14:paraId="7FE1D0C0" w14:textId="6DD05FCC" w:rsidR="00FE5D64" w:rsidRDefault="00E40776">
      <w:pPr>
        <w:pStyle w:val="P68B1DB1-InstructionsText286"/>
        <w:numPr>
          <w:ilvl w:val="2"/>
          <w:numId w:val="209"/>
        </w:numPr>
        <w:spacing w:before="0"/>
        <w:ind w:left="1276"/>
      </w:pPr>
      <w:r>
        <w:t xml:space="preserve">Тази таблица обхваща </w:t>
      </w:r>
      <w:r w:rsidRPr="00436A0D">
        <w:t xml:space="preserve">всички </w:t>
      </w:r>
      <w:r w:rsidR="00436A0D">
        <w:rPr>
          <w:lang w:val="bg-BG"/>
        </w:rPr>
        <w:t>задължения</w:t>
      </w:r>
      <w:r>
        <w:t>, които не са отчетени в нико</w:t>
      </w:r>
      <w:r w:rsidR="00A94B32">
        <w:rPr>
          <w:lang w:val="bg-BG"/>
        </w:rPr>
        <w:t>й</w:t>
      </w:r>
      <w:r>
        <w:t xml:space="preserve"> от другите </w:t>
      </w:r>
      <w:r w:rsidR="00A94B32">
        <w:rPr>
          <w:lang w:val="bg-BG"/>
        </w:rPr>
        <w:t>образци</w:t>
      </w:r>
      <w:r w:rsidR="00A94B32">
        <w:t xml:space="preserve"> </w:t>
      </w:r>
      <w:r>
        <w:t>за подробна информация (т.е. Z11.00, Z12.00, Z13.00, Z15.00, Z16.00 и Z17.00), като</w:t>
      </w:r>
      <w:r w:rsidR="00F84B10">
        <w:rPr>
          <w:lang w:val="bg-BG"/>
        </w:rPr>
        <w:t xml:space="preserve"> например</w:t>
      </w:r>
      <w:r>
        <w:t xml:space="preserve"> </w:t>
      </w:r>
      <w:r w:rsidR="00F84B10">
        <w:rPr>
          <w:lang w:val="bg-BG"/>
        </w:rPr>
        <w:t>кредити</w:t>
      </w:r>
      <w:r>
        <w:t>, оперативни задължения, задължения към клирингови къщи и др.</w:t>
      </w:r>
    </w:p>
    <w:p w14:paraId="7FE1D0C2" w14:textId="61732E84" w:rsidR="00FE5D64" w:rsidRDefault="00F84B10">
      <w:pPr>
        <w:pStyle w:val="P68B1DB1-InstructionsText286"/>
        <w:numPr>
          <w:ilvl w:val="2"/>
          <w:numId w:val="209"/>
        </w:numPr>
        <w:spacing w:before="0"/>
        <w:ind w:left="1276"/>
      </w:pPr>
      <w:r>
        <w:rPr>
          <w:lang w:val="bg-BG"/>
        </w:rPr>
        <w:t>Полета</w:t>
      </w:r>
      <w:r w:rsidR="00E40776">
        <w:t xml:space="preserve">, които не са приложими за </w:t>
      </w:r>
      <w:r>
        <w:rPr>
          <w:lang w:val="bg-BG"/>
        </w:rPr>
        <w:t>дадено задължение</w:t>
      </w:r>
      <w:r w:rsidR="00E40776">
        <w:t xml:space="preserve"> (напр. начислена лихва, текущ лихвен процент, дата на емитиране и т.н.), могат да бъдат оставени празни.</w:t>
      </w:r>
    </w:p>
    <w:p w14:paraId="7FE1D0C3" w14:textId="0F5924FD" w:rsidR="00FE5D64" w:rsidRDefault="00E40776">
      <w:pPr>
        <w:pStyle w:val="P68B1DB1-InstructionsText286"/>
        <w:numPr>
          <w:ilvl w:val="2"/>
          <w:numId w:val="209"/>
        </w:numPr>
        <w:spacing w:before="0"/>
        <w:ind w:left="1276"/>
      </w:pPr>
      <w:r>
        <w:t xml:space="preserve">За целите на настоящата таблица </w:t>
      </w:r>
      <w:r w:rsidR="00F84B10">
        <w:rPr>
          <w:lang w:val="bg-BG"/>
        </w:rPr>
        <w:t>задълженията</w:t>
      </w:r>
      <w:r w:rsidR="00F84B10">
        <w:t xml:space="preserve"> </w:t>
      </w:r>
      <w:r>
        <w:t xml:space="preserve">се </w:t>
      </w:r>
      <w:r w:rsidR="00A94B32">
        <w:rPr>
          <w:lang w:val="bg-BG"/>
        </w:rPr>
        <w:t>отчитат</w:t>
      </w:r>
      <w:r w:rsidR="00A94B32">
        <w:t xml:space="preserve"> </w:t>
      </w:r>
      <w:r>
        <w:t xml:space="preserve">в редове с ниво на детайлност, определено </w:t>
      </w:r>
      <w:r w:rsidR="00A94B32">
        <w:rPr>
          <w:lang w:val="bg-BG"/>
        </w:rPr>
        <w:t>от</w:t>
      </w:r>
      <w:r>
        <w:t xml:space="preserve"> </w:t>
      </w:r>
      <w:r w:rsidR="00F84B10">
        <w:rPr>
          <w:lang w:val="bg-BG"/>
        </w:rPr>
        <w:t>изискуемите</w:t>
      </w:r>
      <w:r w:rsidR="00F84B10">
        <w:t xml:space="preserve"> </w:t>
      </w:r>
      <w:r>
        <w:t xml:space="preserve">полета (по принцип всяка </w:t>
      </w:r>
      <w:r w:rsidR="00A94B32">
        <w:rPr>
          <w:lang w:val="bg-BG"/>
        </w:rPr>
        <w:t>трансакция</w:t>
      </w:r>
      <w:r w:rsidR="00A94B32">
        <w:t xml:space="preserve"> </w:t>
      </w:r>
      <w:r>
        <w:t>се отчита като отделна позиция</w:t>
      </w:r>
      <w:r w:rsidR="00A94B32" w:rsidRPr="00F84B10">
        <w:rPr>
          <w:lang w:val="bg-BG"/>
        </w:rPr>
        <w:t xml:space="preserve"> на </w:t>
      </w:r>
      <w:r w:rsidR="00A94B32">
        <w:rPr>
          <w:lang w:val="bg-BG"/>
        </w:rPr>
        <w:t>отделен ред</w:t>
      </w:r>
      <w:r>
        <w:t xml:space="preserve">). </w:t>
      </w:r>
      <w:r w:rsidR="00F84B10">
        <w:rPr>
          <w:lang w:val="bg-BG"/>
        </w:rPr>
        <w:t xml:space="preserve">Задълженията </w:t>
      </w:r>
      <w:r w:rsidR="00A94B32">
        <w:rPr>
          <w:lang w:val="bg-BG"/>
        </w:rPr>
        <w:t>към служители</w:t>
      </w:r>
      <w:r w:rsidR="00F84B10">
        <w:rPr>
          <w:lang w:val="bg-BG"/>
        </w:rPr>
        <w:t xml:space="preserve"> се групират</w:t>
      </w:r>
      <w:r>
        <w:t xml:space="preserve"> по вид и </w:t>
      </w:r>
      <w:r w:rsidR="00A94B32">
        <w:rPr>
          <w:lang w:val="bg-BG"/>
        </w:rPr>
        <w:t>ред</w:t>
      </w:r>
      <w:r w:rsidR="00F84B10">
        <w:rPr>
          <w:lang w:val="bg-BG"/>
        </w:rPr>
        <w:t xml:space="preserve"> на вземанията в производство по </w:t>
      </w:r>
      <w:r>
        <w:t>несъстоятелност.</w:t>
      </w:r>
    </w:p>
    <w:p w14:paraId="6D4A9338" w14:textId="77777777" w:rsidR="00FE5D64" w:rsidRDefault="00E40776" w:rsidP="005B5701">
      <w:pPr>
        <w:pStyle w:val="P68B1DB1-InstructionsText287"/>
        <w:numPr>
          <w:ilvl w:val="0"/>
          <w:numId w:val="0"/>
        </w:numPr>
        <w:spacing w:before="0"/>
      </w:pPr>
      <w:r>
        <w:t>Указания относно определени позиции</w:t>
      </w:r>
    </w:p>
    <w:tbl>
      <w:tblPr>
        <w:tblW w:w="9015" w:type="dxa"/>
        <w:tblInd w:w="135" w:type="dxa"/>
        <w:tblLayout w:type="fixed"/>
        <w:tblLook w:val="04A0" w:firstRow="1" w:lastRow="0" w:firstColumn="1" w:lastColumn="0" w:noHBand="0" w:noVBand="1"/>
      </w:tblPr>
      <w:tblGrid>
        <w:gridCol w:w="1183"/>
        <w:gridCol w:w="7832"/>
      </w:tblGrid>
      <w:tr w:rsidR="00FE5D64" w14:paraId="3F85667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60FEC83F" w14:textId="77777777" w:rsidR="00FE5D64" w:rsidRDefault="00E40776" w:rsidP="005B5701">
            <w:pPr>
              <w:pStyle w:val="P68B1DB1-TableParagraph17"/>
              <w:spacing w:before="108"/>
              <w:ind w:left="85"/>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2955114C" w14:textId="77777777" w:rsidR="00FE5D64" w:rsidRDefault="00E40776" w:rsidP="005B5701">
            <w:pPr>
              <w:pStyle w:val="P68B1DB1-TableParagraph17"/>
              <w:spacing w:before="108"/>
              <w:ind w:left="85"/>
            </w:pPr>
            <w:r>
              <w:t xml:space="preserve">Указания </w:t>
            </w:r>
          </w:p>
        </w:tc>
      </w:tr>
      <w:tr w:rsidR="00FE5D64" w14:paraId="1AA7E508" w14:textId="77777777">
        <w:tc>
          <w:tcPr>
            <w:tcW w:w="1183" w:type="dxa"/>
            <w:tcBorders>
              <w:top w:val="single" w:sz="8" w:space="0" w:color="1A171C"/>
              <w:left w:val="nil"/>
              <w:bottom w:val="single" w:sz="8" w:space="0" w:color="1A171C"/>
              <w:right w:val="single" w:sz="8" w:space="0" w:color="1A171C"/>
            </w:tcBorders>
            <w:vAlign w:val="center"/>
          </w:tcPr>
          <w:p w14:paraId="7BB9364D" w14:textId="77777777" w:rsidR="00FE5D64" w:rsidRDefault="00E40776">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0B651BF7" w14:textId="77777777" w:rsidR="00FE5D64" w:rsidRDefault="00006C3C">
            <w:pPr>
              <w:pStyle w:val="P68B1DB1-TableParagraph73"/>
              <w:spacing w:before="108"/>
              <w:ind w:left="85"/>
              <w:jc w:val="both"/>
              <w:rPr>
                <w:bCs/>
              </w:rPr>
            </w:pPr>
            <w:r>
              <w:rPr>
                <w:lang w:val="bg-BG"/>
              </w:rPr>
              <w:t>№</w:t>
            </w:r>
            <w:r w:rsidR="00E40776">
              <w:t xml:space="preserve"> </w:t>
            </w:r>
          </w:p>
          <w:p w14:paraId="40EE8D1A" w14:textId="69ECAA91" w:rsidR="00FE5D64" w:rsidRDefault="00E40776">
            <w:pPr>
              <w:pStyle w:val="P68B1DB1-TableParagraph40"/>
              <w:spacing w:before="108"/>
              <w:ind w:left="85"/>
              <w:jc w:val="both"/>
            </w:pPr>
            <w:r>
              <w:t xml:space="preserve">Уникален номер/първичен ключ за идентифициране на </w:t>
            </w:r>
            <w:r w:rsidR="005B5701">
              <w:rPr>
                <w:lang w:val="bg-BG"/>
              </w:rPr>
              <w:t>записите по редове</w:t>
            </w:r>
            <w:r>
              <w:t>.</w:t>
            </w:r>
          </w:p>
        </w:tc>
      </w:tr>
      <w:tr w:rsidR="00FE5D64" w14:paraId="56832B76" w14:textId="77777777">
        <w:tc>
          <w:tcPr>
            <w:tcW w:w="1183" w:type="dxa"/>
            <w:tcBorders>
              <w:top w:val="single" w:sz="8" w:space="0" w:color="1A171C"/>
              <w:left w:val="nil"/>
              <w:bottom w:val="single" w:sz="8" w:space="0" w:color="1A171C"/>
              <w:right w:val="single" w:sz="8" w:space="0" w:color="1A171C"/>
            </w:tcBorders>
            <w:vAlign w:val="center"/>
          </w:tcPr>
          <w:p w14:paraId="360A1B6E" w14:textId="77777777" w:rsidR="00FE5D64" w:rsidRDefault="00E40776">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3CCB154A" w14:textId="77777777" w:rsidR="00FE5D64" w:rsidRDefault="00E40776">
            <w:pPr>
              <w:pStyle w:val="P68B1DB1-TableParagraph73"/>
              <w:spacing w:before="108"/>
              <w:ind w:left="85"/>
              <w:jc w:val="both"/>
              <w:rPr>
                <w:bCs/>
              </w:rPr>
            </w:pPr>
            <w:r>
              <w:t xml:space="preserve">Ред </w:t>
            </w:r>
          </w:p>
          <w:p w14:paraId="55FC98EA" w14:textId="37586068" w:rsidR="00FE5D64" w:rsidRDefault="00E43FD7">
            <w:pPr>
              <w:pStyle w:val="P68B1DB1-TableParagraph40"/>
              <w:spacing w:before="108"/>
              <w:ind w:left="85"/>
              <w:jc w:val="both"/>
            </w:pPr>
            <w:r w:rsidRPr="00E43FD7">
              <w:t>За всеки запис по редове трябва да се избере от предварително определен списък със стойности съответната категория на задължението, съгласно определената структура на задълженията в Z02.00 според падежа.</w:t>
            </w:r>
          </w:p>
        </w:tc>
      </w:tr>
      <w:tr w:rsidR="00FE5D64" w14:paraId="1E49DBC2" w14:textId="77777777">
        <w:tc>
          <w:tcPr>
            <w:tcW w:w="1183" w:type="dxa"/>
            <w:tcBorders>
              <w:top w:val="single" w:sz="8" w:space="0" w:color="1A171C"/>
              <w:left w:val="nil"/>
              <w:bottom w:val="single" w:sz="8" w:space="0" w:color="1A171C"/>
              <w:right w:val="single" w:sz="8" w:space="0" w:color="1A171C"/>
            </w:tcBorders>
            <w:vAlign w:val="center"/>
          </w:tcPr>
          <w:p w14:paraId="012741A3" w14:textId="77777777" w:rsidR="00FE5D64" w:rsidRDefault="00E40776">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5A0DAFAD" w14:textId="77777777" w:rsidR="00FE5D64" w:rsidRDefault="00E40776">
            <w:pPr>
              <w:pStyle w:val="P68B1DB1-TableParagraph73"/>
              <w:spacing w:before="108"/>
              <w:ind w:left="85"/>
              <w:jc w:val="both"/>
              <w:rPr>
                <w:bCs/>
              </w:rPr>
            </w:pPr>
            <w:r>
              <w:t xml:space="preserve">Колона </w:t>
            </w:r>
          </w:p>
          <w:p w14:paraId="5A197928" w14:textId="5477468E" w:rsidR="00FE5D64" w:rsidRDefault="00E43FD7">
            <w:pPr>
              <w:pStyle w:val="P68B1DB1-TableParagraph40"/>
              <w:spacing w:before="108"/>
              <w:ind w:left="85"/>
              <w:jc w:val="both"/>
            </w:pPr>
            <w:r w:rsidRPr="00E43FD7">
              <w:t>За всеки запис по редове трябва да се избере съответната категория контрагент, към който е задължението, съгласно структурата в Z02.00 от предварително определен списък със стойности</w:t>
            </w:r>
            <w:r w:rsidR="00E40776">
              <w:t>.</w:t>
            </w:r>
          </w:p>
        </w:tc>
      </w:tr>
      <w:tr w:rsidR="00FE5D64" w14:paraId="4837B91A" w14:textId="77777777">
        <w:tc>
          <w:tcPr>
            <w:tcW w:w="1183" w:type="dxa"/>
            <w:tcBorders>
              <w:top w:val="single" w:sz="8" w:space="0" w:color="1A171C"/>
              <w:left w:val="nil"/>
              <w:bottom w:val="single" w:sz="8" w:space="0" w:color="1A171C"/>
              <w:right w:val="single" w:sz="8" w:space="0" w:color="1A171C"/>
            </w:tcBorders>
            <w:vAlign w:val="center"/>
          </w:tcPr>
          <w:p w14:paraId="12806E5B" w14:textId="77777777" w:rsidR="00FE5D64" w:rsidRDefault="00E40776">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64165A78" w14:textId="7EDA8814" w:rsidR="00FE5D64" w:rsidRDefault="00E43FD7">
            <w:pPr>
              <w:pStyle w:val="P68B1DB1-TableParagraph73"/>
              <w:spacing w:before="108"/>
              <w:ind w:left="85"/>
              <w:jc w:val="both"/>
              <w:rPr>
                <w:bCs/>
              </w:rPr>
            </w:pPr>
            <w:r>
              <w:rPr>
                <w:lang w:val="bg-BG"/>
              </w:rPr>
              <w:t>Ред на вземанията в производство по</w:t>
            </w:r>
            <w:r w:rsidR="00E40776">
              <w:t xml:space="preserve"> несъстоятелност  </w:t>
            </w:r>
          </w:p>
          <w:p w14:paraId="48999D63" w14:textId="20A366F2" w:rsidR="00FE5D64" w:rsidRDefault="00E43FD7">
            <w:pPr>
              <w:pStyle w:val="P68B1DB1-TableParagraph40"/>
              <w:spacing w:before="108"/>
              <w:ind w:left="85"/>
              <w:jc w:val="both"/>
            </w:pPr>
            <w:r w:rsidRPr="00E43FD7">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r w:rsidR="00E40776">
              <w:t>.</w:t>
            </w:r>
          </w:p>
        </w:tc>
      </w:tr>
      <w:tr w:rsidR="00FE5D6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FE5D64" w:rsidRDefault="00E40776">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FE5D64" w:rsidRDefault="00E40776">
            <w:pPr>
              <w:pStyle w:val="P68B1DB1-TableParagraph73"/>
              <w:spacing w:before="108"/>
              <w:ind w:left="85"/>
              <w:jc w:val="both"/>
              <w:rPr>
                <w:bCs/>
              </w:rPr>
            </w:pPr>
            <w:r>
              <w:t xml:space="preserve">Идентификатор на договора </w:t>
            </w:r>
          </w:p>
          <w:p w14:paraId="7FE1D0DB" w14:textId="37B1192C" w:rsidR="00FE5D64" w:rsidRDefault="00E40776">
            <w:pPr>
              <w:pStyle w:val="P68B1DB1-TableParagraph40"/>
              <w:spacing w:before="108"/>
              <w:ind w:left="85"/>
              <w:jc w:val="both"/>
            </w:pPr>
            <w:r>
              <w:t xml:space="preserve">Посочва се ISIN или, в случай че ISIN не е наличен, се </w:t>
            </w:r>
            <w:r w:rsidR="00E43FD7">
              <w:rPr>
                <w:lang w:val="bg-BG"/>
              </w:rPr>
              <w:t>посочва</w:t>
            </w:r>
            <w:r w:rsidR="00E43FD7">
              <w:t xml:space="preserve"> </w:t>
            </w:r>
            <w:r>
              <w:t>друг идентификатор на договора на инструмента.</w:t>
            </w:r>
          </w:p>
        </w:tc>
      </w:tr>
      <w:tr w:rsidR="00FE5D6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FE5D64" w:rsidRDefault="00E40776">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FE5D64" w:rsidRDefault="00E40776">
            <w:pPr>
              <w:pStyle w:val="P68B1DB1-TableParagraph73"/>
              <w:spacing w:before="108"/>
              <w:ind w:left="85"/>
              <w:jc w:val="both"/>
              <w:rPr>
                <w:bCs/>
              </w:rPr>
            </w:pPr>
            <w:r>
              <w:t xml:space="preserve">Наименование на контрагента </w:t>
            </w:r>
          </w:p>
          <w:p w14:paraId="7FE1D0DF" w14:textId="7305CF86" w:rsidR="00FE5D64" w:rsidRDefault="00E40776">
            <w:pPr>
              <w:pStyle w:val="P68B1DB1-TableParagraph40"/>
              <w:spacing w:before="108"/>
              <w:ind w:left="85"/>
              <w:jc w:val="both"/>
            </w:pPr>
            <w:r>
              <w:t xml:space="preserve">Наименованието на контрагента по </w:t>
            </w:r>
            <w:r w:rsidR="00E43FD7">
              <w:rPr>
                <w:lang w:val="bg-BG"/>
              </w:rPr>
              <w:t>задължението</w:t>
            </w:r>
            <w:r>
              <w:t>.</w:t>
            </w:r>
          </w:p>
        </w:tc>
      </w:tr>
      <w:tr w:rsidR="00FE5D6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FE5D64" w:rsidRDefault="00E40776">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FE5D64" w:rsidRDefault="00E40776">
            <w:pPr>
              <w:pStyle w:val="P68B1DB1-TableParagraph73"/>
              <w:spacing w:before="108"/>
              <w:ind w:left="85"/>
              <w:jc w:val="both"/>
            </w:pPr>
            <w:r>
              <w:t>Идентификатор на контрагента</w:t>
            </w:r>
          </w:p>
          <w:p w14:paraId="7FE1D0E3" w14:textId="6C7C82F0" w:rsidR="00FE5D64" w:rsidRDefault="00E40776">
            <w:pPr>
              <w:pStyle w:val="P68B1DB1-TableParagraph40"/>
              <w:spacing w:before="108"/>
              <w:ind w:left="85"/>
              <w:jc w:val="both"/>
            </w:pPr>
            <w:r>
              <w:t>Посочва се ИКПС на кредитора</w:t>
            </w:r>
            <w:r w:rsidR="00E43FD7">
              <w:rPr>
                <w:lang w:val="bg-BG"/>
              </w:rPr>
              <w:t>/контрагента</w:t>
            </w:r>
            <w:r>
              <w:t xml:space="preserve">. При липса на ИКПС, използваният в RIAD </w:t>
            </w:r>
            <w:r w:rsidR="00B739ED">
              <w:t xml:space="preserve">идентификационен код на ЕЦБ </w:t>
            </w:r>
            <w:r w:rsidR="00E43FD7">
              <w:rPr>
                <w:lang w:val="bg-BG"/>
              </w:rPr>
              <w:t>за</w:t>
            </w:r>
            <w:r w:rsidR="00B739ED">
              <w:t xml:space="preserve"> паричн</w:t>
            </w:r>
            <w:r w:rsidR="00E43FD7">
              <w:rPr>
                <w:lang w:val="bg-BG"/>
              </w:rPr>
              <w:t>о-</w:t>
            </w:r>
            <w:r w:rsidR="00B739ED">
              <w:t>финансови институции (</w:t>
            </w:r>
            <w:r w:rsidR="00E43FD7">
              <w:rPr>
                <w:lang w:val="bg-BG"/>
              </w:rPr>
              <w:t xml:space="preserve">Код на </w:t>
            </w:r>
            <w:r w:rsidR="00B739ED">
              <w:t>ПФИ</w:t>
            </w:r>
            <w:r>
              <w:t xml:space="preserve">). Само при липса </w:t>
            </w:r>
            <w:r w:rsidR="00E43FD7">
              <w:rPr>
                <w:lang w:val="bg-BG"/>
              </w:rPr>
              <w:t xml:space="preserve">и </w:t>
            </w:r>
            <w:r>
              <w:t xml:space="preserve">на двата идентификатора се </w:t>
            </w:r>
            <w:r w:rsidR="00E43FD7">
              <w:rPr>
                <w:lang w:val="bg-BG"/>
              </w:rPr>
              <w:t>посочва</w:t>
            </w:r>
            <w:r w:rsidR="00E43FD7">
              <w:t xml:space="preserve"> </w:t>
            </w:r>
            <w:r>
              <w:t>вътрешен идентификатор.</w:t>
            </w:r>
          </w:p>
          <w:p w14:paraId="7FE1D0E4" w14:textId="1D573481" w:rsidR="00FE5D64" w:rsidRDefault="00FE5D64">
            <w:pPr>
              <w:pStyle w:val="TableParagraph"/>
              <w:spacing w:before="108"/>
              <w:ind w:left="85"/>
              <w:jc w:val="both"/>
              <w:rPr>
                <w:rFonts w:ascii="Times New Roman" w:eastAsia="Times New Roman" w:hAnsi="Times New Roman" w:cs="Times New Roman"/>
                <w:sz w:val="20"/>
                <w:szCs w:val="20"/>
              </w:rPr>
            </w:pPr>
          </w:p>
        </w:tc>
      </w:tr>
      <w:tr w:rsidR="00FE5D6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FE5D64" w:rsidRDefault="00E40776">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FE5D64" w:rsidRDefault="00E40776">
            <w:pPr>
              <w:pStyle w:val="P68B1DB1-TableParagraph73"/>
              <w:spacing w:before="108"/>
              <w:ind w:left="85"/>
              <w:jc w:val="both"/>
              <w:rPr>
                <w:bCs/>
              </w:rPr>
            </w:pPr>
            <w:r>
              <w:t xml:space="preserve">Вид идентификатор </w:t>
            </w:r>
          </w:p>
          <w:p w14:paraId="7FE1D0E8" w14:textId="58B0369F" w:rsidR="00FE5D64" w:rsidRDefault="00E40776" w:rsidP="00B739ED">
            <w:pPr>
              <w:pStyle w:val="P68B1DB1-TableParagraph40"/>
              <w:spacing w:before="108"/>
              <w:ind w:left="85"/>
              <w:jc w:val="both"/>
            </w:pPr>
            <w:r>
              <w:t>Избира се измежду следните варианти: „ИКПС</w:t>
            </w:r>
            <w:r w:rsidR="00B739ED">
              <w:rPr>
                <w:lang w:val="bg-BG"/>
              </w:rPr>
              <w:t>“</w:t>
            </w:r>
            <w:r>
              <w:t>, „Код на ПФИ</w:t>
            </w:r>
            <w:r w:rsidR="00B739ED">
              <w:rPr>
                <w:lang w:val="bg-BG"/>
              </w:rPr>
              <w:t xml:space="preserve">“ </w:t>
            </w:r>
            <w:r>
              <w:t>или „Вид идентификатор, различен от ИКПС или код на ПФИ“.</w:t>
            </w:r>
          </w:p>
        </w:tc>
      </w:tr>
      <w:tr w:rsidR="00FE5D6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FE5D64" w:rsidRDefault="00E40776">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FE5D64" w:rsidRDefault="00E40776">
            <w:pPr>
              <w:pStyle w:val="P68B1DB1-TableParagraph73"/>
              <w:spacing w:before="108"/>
              <w:ind w:left="85"/>
              <w:jc w:val="both"/>
              <w:rPr>
                <w:bCs/>
              </w:rPr>
            </w:pPr>
            <w:r>
              <w:t xml:space="preserve">Приложимо право  </w:t>
            </w:r>
          </w:p>
          <w:p w14:paraId="7FE1D0EC" w14:textId="70C6FD4D" w:rsidR="00FE5D64" w:rsidRDefault="00E40776" w:rsidP="00B739ED">
            <w:pPr>
              <w:pStyle w:val="P68B1DB1-TableParagraph40"/>
              <w:spacing w:before="108"/>
              <w:ind w:left="85"/>
              <w:jc w:val="both"/>
            </w:pPr>
            <w:r>
              <w:t>Кодът ISO 3166—1 alpha-2 на държавата, чието право урежда инструмента (</w:t>
            </w:r>
            <w:r w:rsidR="00E43FD7">
              <w:rPr>
                <w:lang w:val="bg-BG"/>
              </w:rPr>
              <w:t>използва се</w:t>
            </w:r>
            <w:r w:rsidR="00E43FD7">
              <w:t xml:space="preserve"> </w:t>
            </w:r>
            <w:r>
              <w:t xml:space="preserve">кода ISO 3166—2, когато е приложимо правото на административно подразделение, напр. „US-NY“). Ако договорът се урежда от правото на повече от една държава, се </w:t>
            </w:r>
            <w:r w:rsidR="000955E4">
              <w:rPr>
                <w:lang w:val="bg-BG"/>
              </w:rPr>
              <w:t>посочва</w:t>
            </w:r>
            <w:r w:rsidR="00B739ED">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FE5D64" w:rsidRDefault="00E40776">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4BAE0311" w:rsidR="00FE5D64" w:rsidRPr="00F354B6" w:rsidRDefault="00E40776">
            <w:pPr>
              <w:pStyle w:val="P68B1DB1-TableParagraph73"/>
              <w:spacing w:before="108"/>
              <w:ind w:left="85"/>
              <w:jc w:val="both"/>
              <w:rPr>
                <w:bCs/>
              </w:rPr>
            </w:pPr>
            <w:r>
              <w:t>Вид на финансов</w:t>
            </w:r>
            <w:r w:rsidR="00F354B6">
              <w:rPr>
                <w:lang w:val="bg-BG"/>
              </w:rPr>
              <w:t>ото</w:t>
            </w:r>
            <w:r>
              <w:t xml:space="preserve"> </w:t>
            </w:r>
            <w:r w:rsidR="00F354B6">
              <w:rPr>
                <w:lang w:val="bg-BG"/>
              </w:rPr>
              <w:t>задължение</w:t>
            </w:r>
          </w:p>
          <w:p w14:paraId="7FE1D0F0" w14:textId="150C95D7" w:rsidR="00FE5D64" w:rsidRDefault="00E40776" w:rsidP="005C244C">
            <w:pPr>
              <w:pStyle w:val="P68B1DB1-TableParagraph40"/>
              <w:spacing w:before="108"/>
              <w:ind w:left="85"/>
              <w:jc w:val="both"/>
            </w:pPr>
            <w:r>
              <w:t>Избира се измежду следните опции: „</w:t>
            </w:r>
            <w:r w:rsidR="00F9080D" w:rsidRPr="00F9080D">
              <w:t>Сертификат за дълг, основан на заем, който не се търгува на регулиран пазар</w:t>
            </w:r>
            <w:r w:rsidR="00475861" w:rsidRPr="00F9080D">
              <w:rPr>
                <w:lang w:val="bg-BG"/>
              </w:rPr>
              <w:t>“</w:t>
            </w:r>
            <w:r w:rsidR="00F9080D">
              <w:rPr>
                <w:lang w:val="bg-BG"/>
              </w:rPr>
              <w:t xml:space="preserve"> (</w:t>
            </w:r>
            <w:r w:rsidR="00F9080D" w:rsidRPr="00F9080D">
              <w:rPr>
                <w:lang w:val="bg-BG"/>
              </w:rPr>
              <w:t>Borrower Note Loan</w:t>
            </w:r>
            <w:r w:rsidR="00F9080D">
              <w:rPr>
                <w:lang w:val="bg-BG"/>
              </w:rPr>
              <w:t>)</w:t>
            </w:r>
            <w:r w:rsidRPr="00F9080D">
              <w:t>, „</w:t>
            </w:r>
            <w:r w:rsidR="00E8782A">
              <w:rPr>
                <w:lang w:val="bg-BG"/>
              </w:rPr>
              <w:t>Поименна</w:t>
            </w:r>
            <w:r w:rsidR="00E8782A" w:rsidRPr="00F9080D">
              <w:t xml:space="preserve"> </w:t>
            </w:r>
            <w:r w:rsidRPr="00F9080D">
              <w:t>облигация</w:t>
            </w:r>
            <w:r w:rsidR="00475861" w:rsidRPr="00F9080D">
              <w:rPr>
                <w:lang w:val="bg-BG"/>
              </w:rPr>
              <w:t>“</w:t>
            </w:r>
            <w:r w:rsidRPr="00F9080D">
              <w:t>, „</w:t>
            </w:r>
            <w:r w:rsidR="00E8782A">
              <w:rPr>
                <w:lang w:val="bg-BG"/>
              </w:rPr>
              <w:t>Полица</w:t>
            </w:r>
            <w:r w:rsidR="00475861" w:rsidRPr="00F9080D">
              <w:rPr>
                <w:lang w:val="bg-BG"/>
              </w:rPr>
              <w:t>“</w:t>
            </w:r>
            <w:r w:rsidRPr="00F9080D">
              <w:t xml:space="preserve">, „Вноски </w:t>
            </w:r>
            <w:r w:rsidR="00E8782A">
              <w:rPr>
                <w:lang w:val="bg-BG"/>
              </w:rPr>
              <w:t>при</w:t>
            </w:r>
            <w:r w:rsidR="00CF15B5" w:rsidRPr="00F9080D">
              <w:t xml:space="preserve"> </w:t>
            </w:r>
            <w:r w:rsidR="005C244C" w:rsidRPr="00F9080D">
              <w:rPr>
                <w:lang w:val="bg-BG"/>
              </w:rPr>
              <w:t>мълчаливо</w:t>
            </w:r>
            <w:r w:rsidR="00E8782A">
              <w:rPr>
                <w:lang w:val="bg-BG"/>
              </w:rPr>
              <w:t xml:space="preserve"> (скрито)</w:t>
            </w:r>
            <w:r w:rsidR="005C244C" w:rsidRPr="00F9080D">
              <w:t xml:space="preserve"> </w:t>
            </w:r>
            <w:r w:rsidRPr="00F9080D">
              <w:t xml:space="preserve">партньорство“, „Други финансови </w:t>
            </w:r>
            <w:r w:rsidR="000955E4" w:rsidRPr="00F9080D">
              <w:rPr>
                <w:lang w:val="bg-BG"/>
              </w:rPr>
              <w:t>задължения</w:t>
            </w:r>
            <w:r w:rsidRPr="00F9080D">
              <w:t>“.</w:t>
            </w:r>
          </w:p>
        </w:tc>
      </w:tr>
      <w:tr w:rsidR="00FE5D6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FE5D64" w:rsidRDefault="00E40776">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395D9E98" w:rsidR="00FE5D64" w:rsidRPr="007A4B70" w:rsidRDefault="007A4B70">
            <w:pPr>
              <w:pStyle w:val="P68B1DB1-TableParagraph73"/>
              <w:spacing w:before="108"/>
              <w:ind w:left="85"/>
              <w:jc w:val="both"/>
              <w:rPr>
                <w:lang w:val="bg-BG"/>
              </w:rPr>
            </w:pPr>
            <w:r>
              <w:rPr>
                <w:lang w:val="bg-BG"/>
              </w:rPr>
              <w:t>Д</w:t>
            </w:r>
            <w:r w:rsidR="00E40776">
              <w:t xml:space="preserve">оговорно признаване </w:t>
            </w:r>
            <w:r>
              <w:rPr>
                <w:lang w:val="bg-BG"/>
              </w:rPr>
              <w:t>на приложимо право на трета държава</w:t>
            </w:r>
          </w:p>
          <w:p w14:paraId="7FE1D0F6" w14:textId="44D4850D" w:rsidR="00FE5D64" w:rsidRDefault="007A4B70">
            <w:pPr>
              <w:pStyle w:val="P68B1DB1-TableParagraph40"/>
              <w:spacing w:before="108"/>
              <w:ind w:left="85"/>
              <w:jc w:val="both"/>
            </w:pPr>
            <w:r>
              <w:rPr>
                <w:lang w:val="bg-BG"/>
              </w:rPr>
              <w:t>Наличие</w:t>
            </w:r>
            <w:r w:rsidR="00E40776">
              <w:t xml:space="preserve"> на договорни разпоредби за признаване на правомощията за</w:t>
            </w:r>
            <w:r>
              <w:rPr>
                <w:lang w:val="bg-BG"/>
              </w:rPr>
              <w:t xml:space="preserve"> прилагане на инструмента за</w:t>
            </w:r>
            <w:r w:rsidR="00E40776">
              <w:t xml:space="preserve"> споделяне на загуби в съответствие с член 55 от </w:t>
            </w:r>
            <w:r w:rsidRPr="007A4B70">
              <w:t>Директива 2014/59/ЕС</w:t>
            </w:r>
            <w:r>
              <w:rPr>
                <w:lang w:val="bg-BG"/>
              </w:rPr>
              <w:t>. Посочва се една от опциите от предварително определен списък:</w:t>
            </w:r>
          </w:p>
          <w:p w14:paraId="7FE1D0F7" w14:textId="4C2E8220" w:rsidR="00FE5D64" w:rsidRDefault="00EC1BDB">
            <w:pPr>
              <w:pStyle w:val="P68B1DB1-TableParagraph40"/>
              <w:spacing w:before="108"/>
              <w:ind w:left="85"/>
              <w:jc w:val="both"/>
            </w:pPr>
            <w:r>
              <w:rPr>
                <w:lang w:val="bg-BG"/>
              </w:rPr>
              <w:t>„</w:t>
            </w:r>
            <w:r w:rsidR="00E40776">
              <w:t xml:space="preserve">Да, подкрепено от правно становище“ = задължението включва клауза за признаване на </w:t>
            </w:r>
            <w:r w:rsidR="007A4B70">
              <w:rPr>
                <w:lang w:val="bg-BG"/>
              </w:rPr>
              <w:t xml:space="preserve">правомощията за прилагане на инструмента за </w:t>
            </w:r>
            <w:r w:rsidR="00E40776">
              <w:t xml:space="preserve">споделяне на загуби в съответствие с член 55 от </w:t>
            </w:r>
            <w:r w:rsidR="007A4B70" w:rsidRPr="007A4B70">
              <w:t>Директива 2014/59/ЕС</w:t>
            </w:r>
            <w:r w:rsidR="00E40776">
              <w:t>, която е подкрепена от правно становище;</w:t>
            </w:r>
          </w:p>
          <w:p w14:paraId="7FE1D0F8" w14:textId="32DCF168" w:rsidR="00FE5D64" w:rsidRDefault="00E40776">
            <w:pPr>
              <w:pStyle w:val="P68B1DB1-TableParagraph40"/>
              <w:spacing w:before="108"/>
              <w:ind w:left="85"/>
              <w:jc w:val="both"/>
            </w:pPr>
            <w:r>
              <w:t xml:space="preserve">„Да, не е подкрепено от правно становище“ = задължението включва клауза за признаване на </w:t>
            </w:r>
            <w:r w:rsidR="007A4B70">
              <w:rPr>
                <w:lang w:val="bg-BG"/>
              </w:rPr>
              <w:t xml:space="preserve">правомощията за прилагане на инструмента за </w:t>
            </w:r>
            <w:r>
              <w:t xml:space="preserve">споделяне на загуби в съответствие с член 55 от </w:t>
            </w:r>
            <w:r w:rsidR="007A4B70" w:rsidRPr="007A4B70">
              <w:t>Директива 2014/59/ЕС</w:t>
            </w:r>
            <w:r>
              <w:t>, която понастоящем не е подкрепена от правно становище;</w:t>
            </w:r>
          </w:p>
          <w:p w14:paraId="7FE1D0F9" w14:textId="6125DEA6" w:rsidR="00FE5D64" w:rsidRDefault="00E40776">
            <w:pPr>
              <w:pStyle w:val="P68B1DB1-TableParagraph40"/>
              <w:spacing w:before="108"/>
              <w:ind w:left="85"/>
              <w:jc w:val="both"/>
            </w:pPr>
            <w:r>
              <w:t>„Не“ = задължението не включва клауза за признаване на</w:t>
            </w:r>
            <w:r w:rsidR="007A4B70">
              <w:rPr>
                <w:lang w:val="bg-BG"/>
              </w:rPr>
              <w:t xml:space="preserve"> правомощията за прилагане на инструмента за</w:t>
            </w:r>
            <w:r>
              <w:t xml:space="preserve"> споделяне на загуби;</w:t>
            </w:r>
          </w:p>
          <w:p w14:paraId="7FE1D0FB" w14:textId="290B01E9" w:rsidR="00FE5D64" w:rsidRDefault="00E40776" w:rsidP="002D5D72">
            <w:pPr>
              <w:pStyle w:val="P68B1DB1-TableParagraph40"/>
              <w:spacing w:before="108"/>
              <w:ind w:left="85"/>
              <w:jc w:val="both"/>
            </w:pPr>
            <w:r>
              <w:t xml:space="preserve">„Не </w:t>
            </w:r>
            <w:r w:rsidR="007A4B70">
              <w:rPr>
                <w:lang w:val="bg-BG"/>
              </w:rPr>
              <w:t>е приложимо</w:t>
            </w:r>
            <w:r>
              <w:t>“.</w:t>
            </w:r>
          </w:p>
        </w:tc>
      </w:tr>
      <w:tr w:rsidR="00FE5D6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FE5D64" w:rsidRDefault="00E40776">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7FB85DD" w:rsidR="00FE5D64" w:rsidRDefault="007A4B70">
            <w:pPr>
              <w:pStyle w:val="P68B1DB1-TableParagraph73"/>
              <w:spacing w:before="108"/>
              <w:ind w:left="85"/>
              <w:jc w:val="both"/>
              <w:rPr>
                <w:bCs/>
              </w:rPr>
            </w:pPr>
            <w:r>
              <w:rPr>
                <w:lang w:val="bg-BG"/>
              </w:rPr>
              <w:t>Дължима сума по</w:t>
            </w:r>
            <w:r>
              <w:t xml:space="preserve"> </w:t>
            </w:r>
            <w:r w:rsidR="00E40776">
              <w:t>главница</w:t>
            </w:r>
          </w:p>
          <w:p w14:paraId="7FE1D0FF" w14:textId="73960580" w:rsidR="00FE5D64" w:rsidRDefault="007A4B70">
            <w:pPr>
              <w:pStyle w:val="P68B1DB1-TableParagraph40"/>
              <w:spacing w:before="108"/>
              <w:ind w:left="85"/>
              <w:jc w:val="both"/>
            </w:pPr>
            <w:r>
              <w:rPr>
                <w:lang w:val="bg-BG"/>
              </w:rPr>
              <w:t>Дължимата сума по</w:t>
            </w:r>
            <w:r w:rsidR="00E40776">
              <w:t xml:space="preserve"> главницата </w:t>
            </w:r>
            <w:r>
              <w:rPr>
                <w:lang w:val="bg-BG"/>
              </w:rPr>
              <w:t>на</w:t>
            </w:r>
            <w:r>
              <w:t xml:space="preserve"> </w:t>
            </w:r>
            <w:r w:rsidR="00E40776">
              <w:t>задължението.</w:t>
            </w:r>
          </w:p>
        </w:tc>
      </w:tr>
      <w:tr w:rsidR="00FE5D6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FE5D64" w:rsidRDefault="00E40776">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5D5DE494" w:rsidR="00FE5D64" w:rsidRDefault="007A4B70">
            <w:pPr>
              <w:pStyle w:val="P68B1DB1-TableParagraph73"/>
              <w:spacing w:before="108"/>
              <w:ind w:left="85"/>
              <w:jc w:val="both"/>
              <w:rPr>
                <w:bCs/>
              </w:rPr>
            </w:pPr>
            <w:r>
              <w:rPr>
                <w:lang w:val="bg-BG"/>
              </w:rPr>
              <w:t>Начислена</w:t>
            </w:r>
            <w:r>
              <w:t xml:space="preserve"> </w:t>
            </w:r>
            <w:r w:rsidR="00E40776">
              <w:t xml:space="preserve">лихва </w:t>
            </w:r>
          </w:p>
          <w:p w14:paraId="7FE1D103" w14:textId="662758A7" w:rsidR="00FE5D64" w:rsidRDefault="002D5D72">
            <w:pPr>
              <w:pStyle w:val="P68B1DB1-TableParagraph40"/>
              <w:spacing w:before="108"/>
              <w:ind w:left="85"/>
              <w:jc w:val="both"/>
            </w:pPr>
            <w:r>
              <w:rPr>
                <w:lang w:val="bg-BG"/>
              </w:rPr>
              <w:t>Текущо</w:t>
            </w:r>
            <w:r>
              <w:t xml:space="preserve"> </w:t>
            </w:r>
            <w:r w:rsidR="00E40776">
              <w:t xml:space="preserve">начислена лихва по </w:t>
            </w:r>
            <w:r>
              <w:rPr>
                <w:lang w:val="bg-BG"/>
              </w:rPr>
              <w:t>задължението</w:t>
            </w:r>
            <w:r w:rsidR="00E40776">
              <w:t>.</w:t>
            </w:r>
          </w:p>
        </w:tc>
      </w:tr>
      <w:tr w:rsidR="00FE5D6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FE5D64" w:rsidRDefault="00E40776">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FE5D64" w:rsidRDefault="00E40776">
            <w:pPr>
              <w:pStyle w:val="P68B1DB1-TableParagraph73"/>
              <w:spacing w:before="108"/>
              <w:ind w:left="85"/>
              <w:jc w:val="both"/>
              <w:rPr>
                <w:bCs/>
              </w:rPr>
            </w:pPr>
            <w:r>
              <w:t xml:space="preserve">Текущ лихвен процент (%). </w:t>
            </w:r>
          </w:p>
          <w:p w14:paraId="7FE1D107" w14:textId="7B8819E1" w:rsidR="00FE5D64" w:rsidRDefault="00E40776">
            <w:pPr>
              <w:pStyle w:val="P68B1DB1-TableParagraph40"/>
              <w:spacing w:before="108"/>
              <w:ind w:left="85"/>
              <w:jc w:val="both"/>
            </w:pPr>
            <w:r>
              <w:t>Текущ</w:t>
            </w:r>
            <w:r w:rsidR="002D5D72">
              <w:rPr>
                <w:lang w:val="bg-BG"/>
              </w:rPr>
              <w:t>ият</w:t>
            </w:r>
            <w:r>
              <w:t xml:space="preserve"> лихвен процент, приложим </w:t>
            </w:r>
            <w:r w:rsidR="002D5D72">
              <w:rPr>
                <w:lang w:val="bg-BG"/>
              </w:rPr>
              <w:t>за</w:t>
            </w:r>
            <w:r w:rsidR="002D5D72">
              <w:t xml:space="preserve"> </w:t>
            </w:r>
            <w:r>
              <w:t xml:space="preserve">задължението. </w:t>
            </w:r>
          </w:p>
        </w:tc>
      </w:tr>
      <w:tr w:rsidR="00FE5D6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FE5D64" w:rsidRDefault="00E40776">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FE5D64" w:rsidRDefault="00E40776">
            <w:pPr>
              <w:pStyle w:val="P68B1DB1-TableParagraph73"/>
              <w:spacing w:before="108"/>
              <w:ind w:left="85"/>
              <w:jc w:val="both"/>
              <w:rPr>
                <w:bCs/>
              </w:rPr>
            </w:pPr>
            <w:r>
              <w:t xml:space="preserve">Валута  </w:t>
            </w:r>
          </w:p>
          <w:p w14:paraId="7FE1D10B" w14:textId="2F55CBD2" w:rsidR="00FE5D64" w:rsidRDefault="00E40776" w:rsidP="008E5835">
            <w:pPr>
              <w:pStyle w:val="P68B1DB1-TableParagraph40"/>
              <w:spacing w:before="108"/>
              <w:ind w:left="85"/>
              <w:jc w:val="both"/>
            </w:pPr>
            <w:r>
              <w:t xml:space="preserve">Валутата на задължението в съответствие с </w:t>
            </w:r>
            <w:r w:rsidR="008E5835">
              <w:rPr>
                <w:lang w:val="bg-BG"/>
              </w:rPr>
              <w:t>нейния</w:t>
            </w:r>
            <w:r w:rsidR="008E5835">
              <w:t xml:space="preserve"> </w:t>
            </w:r>
            <w:r>
              <w:t>3-буквен код по ISO 4217.</w:t>
            </w:r>
          </w:p>
        </w:tc>
      </w:tr>
      <w:tr w:rsidR="00FE5D6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FE5D64" w:rsidRDefault="00E40776">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1659A41E" w:rsidR="00FE5D64" w:rsidRDefault="00E40776">
            <w:pPr>
              <w:pStyle w:val="P68B1DB1-TableParagraph73"/>
              <w:spacing w:before="108"/>
              <w:ind w:left="85"/>
              <w:jc w:val="both"/>
              <w:rPr>
                <w:bCs/>
              </w:rPr>
            </w:pPr>
            <w:r>
              <w:t>Дата на издаване</w:t>
            </w:r>
            <w:r w:rsidR="008E5835">
              <w:t xml:space="preserve"> </w:t>
            </w:r>
          </w:p>
          <w:p w14:paraId="7FE1D10F" w14:textId="0978FB8D" w:rsidR="00FE5D64" w:rsidRDefault="00E40776" w:rsidP="008E5835">
            <w:pPr>
              <w:pStyle w:val="P68B1DB1-TableParagraph40"/>
              <w:spacing w:before="108"/>
              <w:ind w:left="85"/>
              <w:jc w:val="both"/>
            </w:pPr>
            <w:r>
              <w:t xml:space="preserve">Дата на първоначалното </w:t>
            </w:r>
            <w:r w:rsidR="002D5D72">
              <w:rPr>
                <w:lang w:val="bg-BG"/>
              </w:rPr>
              <w:t>възникване</w:t>
            </w:r>
            <w:r w:rsidR="008E5835" w:rsidRPr="002D5D72">
              <w:rPr>
                <w:lang w:val="bg-BG"/>
              </w:rPr>
              <w:t xml:space="preserve"> </w:t>
            </w:r>
            <w:r>
              <w:t>на задължението.</w:t>
            </w:r>
          </w:p>
        </w:tc>
      </w:tr>
      <w:tr w:rsidR="00FE5D6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FE5D64" w:rsidRDefault="00E40776">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015715E9" w:rsidR="00FE5D64" w:rsidRDefault="00E40776">
            <w:pPr>
              <w:pStyle w:val="P68B1DB1-TableParagraph73"/>
              <w:spacing w:before="108"/>
              <w:ind w:left="85"/>
              <w:jc w:val="both"/>
              <w:rPr>
                <w:bCs/>
              </w:rPr>
            </w:pPr>
            <w:r>
              <w:t xml:space="preserve">Най-ранна дата на </w:t>
            </w:r>
            <w:r w:rsidR="002D5D72">
              <w:rPr>
                <w:lang w:val="bg-BG"/>
              </w:rPr>
              <w:t>изплащане</w:t>
            </w:r>
            <w:r>
              <w:t xml:space="preserve">  </w:t>
            </w:r>
          </w:p>
          <w:p w14:paraId="7FE1D113" w14:textId="69BD52DD" w:rsidR="00FE5D64" w:rsidRDefault="00E40776" w:rsidP="008E5835">
            <w:pPr>
              <w:pStyle w:val="P68B1DB1-TableParagraph40"/>
              <w:spacing w:before="108"/>
              <w:ind w:left="85"/>
              <w:jc w:val="both"/>
            </w:pPr>
            <w:r>
              <w:t>Ако съществува възможност кредиторът да поиска предсрочно погасяване</w:t>
            </w:r>
            <w:r w:rsidR="00464F95">
              <w:rPr>
                <w:lang w:val="bg-BG"/>
              </w:rPr>
              <w:t xml:space="preserve"> на задължението</w:t>
            </w:r>
            <w:r>
              <w:t xml:space="preserve"> или условията за предсрочно погасяване на задължението са предвидени в договора, </w:t>
            </w:r>
            <w:r w:rsidR="00BD2399">
              <w:rPr>
                <w:lang w:val="bg-BG"/>
              </w:rPr>
              <w:t>посочва се</w:t>
            </w:r>
            <w:r w:rsidR="00BD2399">
              <w:t xml:space="preserve"> </w:t>
            </w:r>
            <w:r>
              <w:t xml:space="preserve">най-ранната дата на настъпване на събитието. Ако предсрочното </w:t>
            </w:r>
            <w:r w:rsidR="008E5835">
              <w:rPr>
                <w:lang w:val="bg-BG"/>
              </w:rPr>
              <w:t>погасяване</w:t>
            </w:r>
            <w:r w:rsidR="008E5835">
              <w:t xml:space="preserve"> </w:t>
            </w:r>
            <w:r>
              <w:t>се отнася само до част от задължението (напр. предсрочно погасяване на 50% от номиналната стойност), задължението се разделя, за да се вземе предвид тази клауза за частично предсрочно погасяване.</w:t>
            </w:r>
          </w:p>
        </w:tc>
      </w:tr>
      <w:tr w:rsidR="00FE5D6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FE5D64" w:rsidRDefault="00E40776">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1F20D5AA" w:rsidR="00FE5D64" w:rsidRDefault="00E40776">
            <w:pPr>
              <w:pStyle w:val="P68B1DB1-TableParagraph73"/>
              <w:spacing w:before="108"/>
              <w:ind w:left="85"/>
              <w:jc w:val="both"/>
              <w:rPr>
                <w:bCs/>
              </w:rPr>
            </w:pPr>
            <w:r>
              <w:t xml:space="preserve"> </w:t>
            </w:r>
            <w:r w:rsidR="00BD2399">
              <w:rPr>
                <w:lang w:val="bg-BG"/>
              </w:rPr>
              <w:t>Краен договорен</w:t>
            </w:r>
            <w:r w:rsidR="00BD2399">
              <w:t xml:space="preserve"> </w:t>
            </w:r>
            <w:r>
              <w:t xml:space="preserve">падеж </w:t>
            </w:r>
          </w:p>
          <w:p w14:paraId="7FE1D117" w14:textId="2D541C57" w:rsidR="00FE5D64" w:rsidRDefault="00E40776" w:rsidP="008E5835">
            <w:pPr>
              <w:pStyle w:val="P68B1DB1-TableParagraph40"/>
              <w:spacing w:before="108"/>
              <w:ind w:left="85"/>
              <w:jc w:val="both"/>
            </w:pPr>
            <w:r>
              <w:t>Дата на</w:t>
            </w:r>
            <w:r w:rsidR="008E5835">
              <w:rPr>
                <w:lang w:val="bg-BG"/>
              </w:rPr>
              <w:t>кра</w:t>
            </w:r>
            <w:r w:rsidR="00BD2399">
              <w:rPr>
                <w:lang w:val="bg-BG"/>
              </w:rPr>
              <w:t>й</w:t>
            </w:r>
            <w:r w:rsidR="008E5835">
              <w:rPr>
                <w:lang w:val="bg-BG"/>
              </w:rPr>
              <w:t>н</w:t>
            </w:r>
            <w:r w:rsidR="00BD2399">
              <w:rPr>
                <w:lang w:val="bg-BG"/>
              </w:rPr>
              <w:t>ия договорен</w:t>
            </w:r>
            <w:r w:rsidR="008E5835">
              <w:rPr>
                <w:lang w:val="bg-BG"/>
              </w:rPr>
              <w:t xml:space="preserve"> падежа</w:t>
            </w:r>
            <w:r>
              <w:t xml:space="preserve"> на инструмента. За безсрочните </w:t>
            </w:r>
            <w:r w:rsidR="00BD2399">
              <w:rPr>
                <w:lang w:val="bg-BG"/>
              </w:rPr>
              <w:t>инструменти</w:t>
            </w:r>
            <w:r>
              <w:t xml:space="preserve"> се </w:t>
            </w:r>
            <w:r w:rsidR="00BD2399">
              <w:rPr>
                <w:lang w:val="bg-BG"/>
              </w:rPr>
              <w:t>попълва</w:t>
            </w:r>
            <w:r w:rsidR="00BD2399">
              <w:t xml:space="preserve"> </w:t>
            </w:r>
            <w:r>
              <w:t>„2099—01—31“</w:t>
            </w:r>
          </w:p>
        </w:tc>
      </w:tr>
      <w:tr w:rsidR="00FE5D6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FE5D64" w:rsidRDefault="00E40776">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0ED00854" w:rsidR="00FE5D64" w:rsidRDefault="00E40776">
            <w:pPr>
              <w:pStyle w:val="P68B1DB1-TableParagraph73"/>
              <w:spacing w:before="108"/>
              <w:ind w:left="85"/>
              <w:jc w:val="both"/>
              <w:rPr>
                <w:bCs/>
              </w:rPr>
            </w:pPr>
            <w:r>
              <w:t xml:space="preserve">Размер на залог, </w:t>
            </w:r>
            <w:r w:rsidR="00BD2399">
              <w:rPr>
                <w:lang w:val="bg-BG"/>
              </w:rPr>
              <w:t>реално обезпечение</w:t>
            </w:r>
            <w:r w:rsidR="008E5835" w:rsidRPr="00BD2399">
              <w:rPr>
                <w:lang w:val="bg-BG"/>
              </w:rPr>
              <w:t xml:space="preserve"> </w:t>
            </w:r>
            <w:r>
              <w:t xml:space="preserve">или </w:t>
            </w:r>
            <w:r w:rsidR="00BD2399">
              <w:rPr>
                <w:lang w:val="bg-BG"/>
              </w:rPr>
              <w:t xml:space="preserve">друго </w:t>
            </w:r>
            <w:r>
              <w:t xml:space="preserve">обезпечение </w:t>
            </w:r>
          </w:p>
          <w:p w14:paraId="7FE1D120" w14:textId="12DD6F7F" w:rsidR="00FE5D64" w:rsidRDefault="00E40776" w:rsidP="00864B76">
            <w:pPr>
              <w:pStyle w:val="P68B1DB1-TableParagraph40"/>
              <w:spacing w:before="108"/>
              <w:ind w:left="85"/>
              <w:jc w:val="both"/>
            </w:pPr>
            <w:r>
              <w:t xml:space="preserve">Когато задължението е обезпечено със залог, </w:t>
            </w:r>
            <w:r w:rsidR="00BD2399">
              <w:rPr>
                <w:lang w:val="bg-BG"/>
              </w:rPr>
              <w:t>реално обезпечение</w:t>
            </w:r>
            <w:r w:rsidR="008E5835" w:rsidRPr="00BD2399">
              <w:rPr>
                <w:lang w:val="bg-BG"/>
              </w:rPr>
              <w:t xml:space="preserve"> </w:t>
            </w:r>
            <w:r>
              <w:t>или</w:t>
            </w:r>
            <w:r w:rsidR="00BD2399">
              <w:rPr>
                <w:lang w:val="bg-BG"/>
              </w:rPr>
              <w:t xml:space="preserve"> друго</w:t>
            </w:r>
            <w:r>
              <w:t xml:space="preserve"> обезпечение, се предоставя брутната пазарна стойност на </w:t>
            </w:r>
            <w:r w:rsidR="00BD2399">
              <w:rPr>
                <w:lang w:val="bg-BG"/>
              </w:rPr>
              <w:t>обезпечението</w:t>
            </w:r>
            <w:r>
              <w:t xml:space="preserve">. В противен случай за необезпечените задължения тази категория се отчита като нула. Тази сума </w:t>
            </w:r>
            <w:r w:rsidR="00864B76">
              <w:rPr>
                <w:lang w:val="bg-BG"/>
              </w:rPr>
              <w:t>определя</w:t>
            </w:r>
            <w:r>
              <w:t xml:space="preserve"> обезпечената </w:t>
            </w:r>
            <w:r w:rsidR="00BD2399">
              <w:rPr>
                <w:lang w:val="bg-BG"/>
              </w:rPr>
              <w:t xml:space="preserve">и </w:t>
            </w:r>
            <w:r w:rsidR="00864B76">
              <w:rPr>
                <w:lang w:val="bg-BG"/>
              </w:rPr>
              <w:t>евентуално</w:t>
            </w:r>
            <w:r>
              <w:t xml:space="preserve"> необезпечената част от всяко обезпечено задължение. За </w:t>
            </w:r>
            <w:r w:rsidR="00BD2399">
              <w:rPr>
                <w:lang w:val="bg-BG"/>
              </w:rPr>
              <w:t xml:space="preserve">групи </w:t>
            </w:r>
            <w:r>
              <w:t>обезпечения, които обезпечават множество позиции</w:t>
            </w:r>
            <w:r w:rsidR="00BD2399">
              <w:rPr>
                <w:lang w:val="bg-BG"/>
              </w:rPr>
              <w:t xml:space="preserve"> задължения</w:t>
            </w:r>
            <w:r>
              <w:t xml:space="preserve">, се определя общ </w:t>
            </w:r>
            <w:r w:rsidR="00BD2399">
              <w:rPr>
                <w:lang w:val="bg-BG"/>
              </w:rPr>
              <w:t>процент</w:t>
            </w:r>
            <w:r w:rsidR="00BD2399">
              <w:t xml:space="preserve"> </w:t>
            </w:r>
            <w:r>
              <w:t xml:space="preserve">на покритие и се прилага пропорционално за всички позиции </w:t>
            </w:r>
            <w:r w:rsidR="00BD2399">
              <w:rPr>
                <w:lang w:val="bg-BG"/>
              </w:rPr>
              <w:t>по редове</w:t>
            </w:r>
            <w:r>
              <w:t xml:space="preserve">, обхванати от </w:t>
            </w:r>
            <w:r w:rsidR="00BD2399">
              <w:rPr>
                <w:lang w:val="bg-BG"/>
              </w:rPr>
              <w:t>тази група обезпечения</w:t>
            </w:r>
            <w:r>
              <w:t>.</w:t>
            </w:r>
          </w:p>
        </w:tc>
      </w:tr>
      <w:tr w:rsidR="00FE5D6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FE5D64" w:rsidRDefault="00E40776">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0F3E3329" w14:textId="540B064B" w:rsidR="00FE5D64" w:rsidRPr="00BD2399" w:rsidRDefault="00BD2399">
            <w:pPr>
              <w:pStyle w:val="P68B1DB1-TableParagraph73"/>
              <w:spacing w:before="108"/>
              <w:ind w:left="85"/>
              <w:jc w:val="both"/>
              <w:rPr>
                <w:bCs/>
                <w:lang w:val="bg-BG"/>
              </w:rPr>
            </w:pPr>
            <w:r>
              <w:rPr>
                <w:lang w:val="bg-BG"/>
              </w:rPr>
              <w:t>Гарант</w:t>
            </w:r>
          </w:p>
          <w:p w14:paraId="7FE1D124" w14:textId="24A0C99B" w:rsidR="00FE5D64" w:rsidRDefault="00E40776" w:rsidP="005938A6">
            <w:pPr>
              <w:pStyle w:val="P68B1DB1-TableParagraph40"/>
              <w:spacing w:before="108"/>
              <w:ind w:left="85"/>
              <w:jc w:val="both"/>
            </w:pPr>
            <w:r>
              <w:t xml:space="preserve">Ако </w:t>
            </w:r>
            <w:r w:rsidR="00BD2399">
              <w:rPr>
                <w:lang w:val="bg-BG"/>
              </w:rPr>
              <w:t>по</w:t>
            </w:r>
            <w:r w:rsidR="00BD2399">
              <w:t xml:space="preserve"> </w:t>
            </w:r>
            <w:r>
              <w:t xml:space="preserve">инструмента са </w:t>
            </w:r>
            <w:r w:rsidR="00BD2399">
              <w:rPr>
                <w:lang w:val="bg-BG"/>
              </w:rPr>
              <w:t>предоставени</w:t>
            </w:r>
            <w:r w:rsidR="00BD2399">
              <w:t xml:space="preserve"> </w:t>
            </w:r>
            <w:r>
              <w:t xml:space="preserve">гаранции, </w:t>
            </w:r>
            <w:r w:rsidR="00BD2399">
              <w:rPr>
                <w:lang w:val="bg-BG"/>
              </w:rPr>
              <w:t>се посочва</w:t>
            </w:r>
            <w:r>
              <w:t xml:space="preserve"> подробна идентификация на гаранта (ИКПС, ISO 3166—1 alpha-2 код на държавата за </w:t>
            </w:r>
            <w:r w:rsidR="00BD2399">
              <w:rPr>
                <w:lang w:val="bg-BG"/>
              </w:rPr>
              <w:t>правителства</w:t>
            </w:r>
            <w:r w:rsidR="00BD2399">
              <w:t xml:space="preserve"> </w:t>
            </w:r>
            <w:r>
              <w:t xml:space="preserve">и т.н.). Когато има </w:t>
            </w:r>
            <w:r w:rsidR="00BD2399">
              <w:rPr>
                <w:lang w:val="bg-BG"/>
              </w:rPr>
              <w:t>повече от един</w:t>
            </w:r>
            <w:r w:rsidR="00BD2399">
              <w:t xml:space="preserve"> </w:t>
            </w:r>
            <w:r>
              <w:t xml:space="preserve">гарант, </w:t>
            </w:r>
            <w:r w:rsidR="005938A6">
              <w:rPr>
                <w:lang w:val="bg-BG"/>
              </w:rPr>
              <w:t>посоч</w:t>
            </w:r>
            <w:r w:rsidR="00BD2399">
              <w:rPr>
                <w:lang w:val="bg-BG"/>
              </w:rPr>
              <w:t>ват се</w:t>
            </w:r>
            <w:r w:rsidR="005938A6">
              <w:t xml:space="preserve"> </w:t>
            </w:r>
            <w:r>
              <w:t>идентификатори</w:t>
            </w:r>
            <w:r w:rsidR="00BD2399">
              <w:rPr>
                <w:lang w:val="bg-BG"/>
              </w:rPr>
              <w:t xml:space="preserve"> за всеки от тях</w:t>
            </w:r>
            <w:r>
              <w:t>, разделени с точка и запетая.</w:t>
            </w:r>
          </w:p>
        </w:tc>
      </w:tr>
      <w:tr w:rsidR="00FE5D6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FE5D64" w:rsidRDefault="00E40776">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3CFFB88D" w:rsidR="00FE5D64" w:rsidRDefault="00E40776">
            <w:pPr>
              <w:pStyle w:val="P68B1DB1-TableParagraph73"/>
              <w:spacing w:before="108"/>
              <w:ind w:left="85"/>
              <w:jc w:val="both"/>
              <w:rPr>
                <w:bCs/>
              </w:rPr>
            </w:pPr>
            <w:r>
              <w:t>Сума, отговаряща на условията за МИ</w:t>
            </w:r>
            <w:r w:rsidR="005938A6">
              <w:rPr>
                <w:lang w:val="bg-BG"/>
              </w:rPr>
              <w:t>СК</w:t>
            </w:r>
            <w:r>
              <w:t xml:space="preserve">ПЗ </w:t>
            </w:r>
          </w:p>
          <w:p w14:paraId="7FE1D130" w14:textId="23497D36" w:rsidR="00FE5D64" w:rsidRDefault="0008655F">
            <w:pPr>
              <w:pStyle w:val="P68B1DB1-TableParagraph40"/>
              <w:spacing w:before="108"/>
              <w:ind w:left="85"/>
              <w:jc w:val="both"/>
            </w:pPr>
            <w:r>
              <w:rPr>
                <w:lang w:val="bg-BG"/>
              </w:rPr>
              <w:t xml:space="preserve">Посочва се сумата </w:t>
            </w:r>
            <w:r w:rsidR="00E40776">
              <w:t>на собствени</w:t>
            </w:r>
            <w:r w:rsidR="001A4E47">
              <w:rPr>
                <w:lang w:val="bg-BG"/>
              </w:rPr>
              <w:t>я</w:t>
            </w:r>
            <w:r w:rsidR="00E40776">
              <w:t xml:space="preserve"> </w:t>
            </w:r>
            <w:r w:rsidR="001A4E47">
              <w:rPr>
                <w:lang w:val="bg-BG"/>
              </w:rPr>
              <w:t>капитал</w:t>
            </w:r>
            <w:r w:rsidR="00E40776">
              <w:t xml:space="preserve"> и приемливите задължения, </w:t>
            </w:r>
            <w:r>
              <w:rPr>
                <w:lang w:val="bg-BG"/>
              </w:rPr>
              <w:t>отговарящи на</w:t>
            </w:r>
            <w:r w:rsidR="00E40776">
              <w:t xml:space="preserve"> изискването, определено в съответствие с член 45, параграф 1 от Директива 2014/59/ЕС.</w:t>
            </w:r>
          </w:p>
        </w:tc>
      </w:tr>
      <w:tr w:rsidR="00FE5D6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FE5D64" w:rsidRDefault="00E40776">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55555476" w:rsidR="00FE5D64" w:rsidRDefault="0008655F">
            <w:pPr>
              <w:pStyle w:val="P68B1DB1-TableParagraph73"/>
              <w:spacing w:before="108"/>
              <w:ind w:left="85"/>
              <w:jc w:val="both"/>
              <w:rPr>
                <w:bCs/>
              </w:rPr>
            </w:pPr>
            <w:r>
              <w:rPr>
                <w:lang w:val="bg-BG"/>
              </w:rPr>
              <w:t>Отговарящи на изискванията за</w:t>
            </w:r>
            <w:r w:rsidR="00E40776">
              <w:t xml:space="preserve"> собствен капитал </w:t>
            </w:r>
          </w:p>
          <w:p w14:paraId="7FE1D134" w14:textId="0C927C69" w:rsidR="00FE5D64" w:rsidRDefault="0008655F" w:rsidP="00602E41">
            <w:pPr>
              <w:pStyle w:val="P68B1DB1-TableParagraph40"/>
              <w:spacing w:before="108"/>
              <w:ind w:left="85"/>
              <w:jc w:val="both"/>
            </w:pPr>
            <w:r>
              <w:rPr>
                <w:lang w:val="bg-BG"/>
              </w:rPr>
              <w:t>Посочва се</w:t>
            </w:r>
            <w:r>
              <w:t xml:space="preserve"> </w:t>
            </w:r>
            <w:r w:rsidR="00E40776">
              <w:t xml:space="preserve">дали и на какво </w:t>
            </w:r>
            <w:r>
              <w:rPr>
                <w:lang w:val="bg-BG"/>
              </w:rPr>
              <w:t>ниво</w:t>
            </w:r>
            <w:r>
              <w:t xml:space="preserve"> </w:t>
            </w:r>
            <w:r w:rsidR="00E40776">
              <w:t xml:space="preserve">инструментът е включен в собствения капитал, заедно с информация относно режима за </w:t>
            </w:r>
            <w:r>
              <w:rPr>
                <w:lang w:val="bg-BG"/>
              </w:rPr>
              <w:t xml:space="preserve">поетапна </w:t>
            </w:r>
            <w:r w:rsidR="00602E41">
              <w:rPr>
                <w:lang w:val="bg-BG"/>
              </w:rPr>
              <w:t>амортиза</w:t>
            </w:r>
            <w:r>
              <w:rPr>
                <w:lang w:val="bg-BG"/>
              </w:rPr>
              <w:t>ция</w:t>
            </w:r>
            <w:r w:rsidR="00E40776">
              <w:t xml:space="preserve"> и </w:t>
            </w:r>
            <w:r>
              <w:rPr>
                <w:lang w:val="bg-BG"/>
              </w:rPr>
              <w:t>унаследяване (</w:t>
            </w:r>
            <w:r>
              <w:rPr>
                <w:lang w:val="en-US"/>
              </w:rPr>
              <w:t>grandfathering</w:t>
            </w:r>
            <w:r>
              <w:rPr>
                <w:lang w:val="bg-BG"/>
              </w:rPr>
              <w:t>)</w:t>
            </w:r>
            <w:r w:rsidR="00E40776">
              <w:t xml:space="preserve">. </w:t>
            </w:r>
            <w:r>
              <w:rPr>
                <w:lang w:val="bg-BG"/>
              </w:rPr>
              <w:t>Посочва се една от стойностите от предварително о</w:t>
            </w:r>
            <w:r w:rsidR="000C5E05">
              <w:rPr>
                <w:lang w:val="bg-BG"/>
              </w:rPr>
              <w:t>п</w:t>
            </w:r>
            <w:r>
              <w:rPr>
                <w:lang w:val="bg-BG"/>
              </w:rPr>
              <w:t xml:space="preserve">ределен списък: </w:t>
            </w:r>
            <w:r w:rsidR="00E40776">
              <w:t>„Не</w:t>
            </w:r>
            <w:r w:rsidR="00602E41">
              <w:rPr>
                <w:lang w:val="bg-BG"/>
              </w:rPr>
              <w:t>“</w:t>
            </w:r>
            <w:r w:rsidR="00E40776">
              <w:t>, „Частично AT1, T1 и T2</w:t>
            </w:r>
            <w:r w:rsidR="00602E41">
              <w:rPr>
                <w:lang w:val="bg-BG"/>
              </w:rPr>
              <w:t>“</w:t>
            </w:r>
            <w:r w:rsidR="00E40776">
              <w:t>, „T2 при поетапн</w:t>
            </w:r>
            <w:r w:rsidR="00602E41">
              <w:rPr>
                <w:lang w:val="bg-BG"/>
              </w:rPr>
              <w:t>а амортизация“</w:t>
            </w:r>
            <w:r w:rsidR="00E40776">
              <w:t>, „</w:t>
            </w:r>
            <w:r w:rsidR="00602E41">
              <w:rPr>
                <w:lang w:val="bg-BG"/>
              </w:rPr>
              <w:t>Унаследен</w:t>
            </w:r>
            <w:r w:rsidR="00602E41">
              <w:t xml:space="preserve"> </w:t>
            </w:r>
            <w:r w:rsidR="00E40776">
              <w:t>T2“, „</w:t>
            </w:r>
            <w:r w:rsidR="00602E41">
              <w:rPr>
                <w:lang w:val="bg-BG"/>
              </w:rPr>
              <w:t>Н</w:t>
            </w:r>
            <w:r w:rsidR="00E40776">
              <w:t>апълно съответстващ T2</w:t>
            </w:r>
            <w:r w:rsidR="00602E41">
              <w:rPr>
                <w:lang w:val="bg-BG"/>
              </w:rPr>
              <w:t>“</w:t>
            </w:r>
            <w:r w:rsidR="00E40776">
              <w:t>, „</w:t>
            </w:r>
            <w:r w:rsidR="00602E41">
              <w:rPr>
                <w:lang w:val="bg-BG"/>
              </w:rPr>
              <w:t>Унаследен</w:t>
            </w:r>
            <w:r w:rsidR="00602E41">
              <w:t xml:space="preserve"> </w:t>
            </w:r>
            <w:r w:rsidR="00E40776">
              <w:t>AT1</w:t>
            </w:r>
            <w:r w:rsidR="00602E41">
              <w:rPr>
                <w:lang w:val="bg-BG"/>
              </w:rPr>
              <w:t>“</w:t>
            </w:r>
            <w:r w:rsidR="00E40776">
              <w:t>, „</w:t>
            </w:r>
            <w:r w:rsidR="00602E41">
              <w:rPr>
                <w:lang w:val="bg-BG"/>
              </w:rPr>
              <w:t>Н</w:t>
            </w:r>
            <w:r w:rsidR="00E40776">
              <w:t>апълно съответстващ AT1</w:t>
            </w:r>
            <w:r w:rsidR="00602E41">
              <w:rPr>
                <w:lang w:val="bg-BG"/>
              </w:rPr>
              <w:t xml:space="preserve">“ </w:t>
            </w:r>
            <w:r w:rsidR="00E40776">
              <w:t>или „CET1“.</w:t>
            </w:r>
          </w:p>
        </w:tc>
      </w:tr>
      <w:tr w:rsidR="00FE5D6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FE5D64" w:rsidRDefault="00E40776">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FE5D64" w:rsidRDefault="00E40776">
            <w:pPr>
              <w:pStyle w:val="P68B1DB1-TableParagraph40"/>
              <w:spacing w:before="108"/>
              <w:ind w:left="85"/>
              <w:jc w:val="both"/>
              <w:rPr>
                <w:b/>
                <w:bCs/>
              </w:rPr>
            </w:pPr>
            <w:r>
              <w:t xml:space="preserve"> </w:t>
            </w:r>
            <w:r>
              <w:rPr>
                <w:b/>
              </w:rPr>
              <w:t>Сума, квалифицирана като собствен капитал</w:t>
            </w:r>
          </w:p>
          <w:p w14:paraId="7FE1D138" w14:textId="48ED7147" w:rsidR="00FE5D64" w:rsidRDefault="00E40776">
            <w:pPr>
              <w:pStyle w:val="P68B1DB1-TableParagraph40"/>
              <w:spacing w:before="108"/>
              <w:ind w:left="85"/>
              <w:jc w:val="both"/>
            </w:pPr>
            <w:r>
              <w:t>Размерът на инструмента, който отговаря на условията за собствен капитал.</w:t>
            </w:r>
          </w:p>
        </w:tc>
      </w:tr>
    </w:tbl>
    <w:p w14:paraId="7FE1D13A" w14:textId="77777777" w:rsidR="00FE5D64" w:rsidRDefault="00FE5D64">
      <w:pPr>
        <w:pStyle w:val="Instructionsberschrift2"/>
        <w:ind w:left="357"/>
        <w:rPr>
          <w:rFonts w:ascii="Times New Roman" w:eastAsia="Calibri" w:hAnsi="Times New Roman" w:cs="Times New Roman"/>
          <w:szCs w:val="20"/>
        </w:rPr>
      </w:pPr>
      <w:bookmarkStart w:id="265" w:name="_Toc81454216"/>
    </w:p>
    <w:p w14:paraId="7FE1D13B" w14:textId="45E5A92D" w:rsidR="00FE5D64" w:rsidRDefault="00E40776">
      <w:pPr>
        <w:pStyle w:val="Instructionsberschrift2"/>
        <w:numPr>
          <w:ilvl w:val="1"/>
          <w:numId w:val="49"/>
        </w:numPr>
        <w:spacing w:before="0"/>
        <w:ind w:left="357" w:hanging="357"/>
        <w:rPr>
          <w:rFonts w:ascii="Times New Roman" w:hAnsi="Times New Roman" w:cs="Times New Roman"/>
        </w:rPr>
      </w:pPr>
      <w:bookmarkStart w:id="266" w:name="_Toc208244488"/>
      <w:r>
        <w:rPr>
          <w:rFonts w:ascii="Times New Roman" w:eastAsiaTheme="minorEastAsia" w:hAnsi="Times New Roman" w:cs="Times New Roman"/>
        </w:rPr>
        <w:t xml:space="preserve">Z 15.00 — Деривати </w:t>
      </w:r>
      <w:r>
        <w:rPr>
          <w:rFonts w:ascii="Times New Roman" w:eastAsia="Calibri" w:hAnsi="Times New Roman" w:cs="Times New Roman"/>
          <w:szCs w:val="20"/>
        </w:rPr>
        <w:t>(LIAB-G-5)</w:t>
      </w:r>
      <w:bookmarkEnd w:id="266"/>
    </w:p>
    <w:bookmarkEnd w:id="265"/>
    <w:p w14:paraId="7FE1D13D" w14:textId="77777777" w:rsidR="00FE5D64" w:rsidRDefault="00E40776">
      <w:pPr>
        <w:pStyle w:val="P68B1DB1-Numberedtitlelevel388"/>
      </w:pPr>
      <w:r>
        <w:t>Общи бележки</w:t>
      </w:r>
    </w:p>
    <w:p w14:paraId="7FE1D13E" w14:textId="7BC20976" w:rsidR="00FE5D64" w:rsidRDefault="00E40776">
      <w:pPr>
        <w:pStyle w:val="P68B1DB1-InstructionsText286"/>
        <w:numPr>
          <w:ilvl w:val="2"/>
          <w:numId w:val="209"/>
        </w:numPr>
        <w:spacing w:before="0"/>
        <w:ind w:left="1276"/>
        <w:rPr>
          <w:rFonts w:eastAsiaTheme="majorEastAsia"/>
        </w:rPr>
      </w:pPr>
      <w:r>
        <w:t xml:space="preserve">За целите на настоящата таблица задълженията, произтичащи от деривати, се </w:t>
      </w:r>
      <w:r w:rsidR="000D710C">
        <w:rPr>
          <w:lang w:val="bg-BG"/>
        </w:rPr>
        <w:t>отчитат на ниво</w:t>
      </w:r>
      <w:r>
        <w:t xml:space="preserve"> нетираща съвкупност, т.е. всяка нетираща съвкупност</w:t>
      </w:r>
      <w:r w:rsidR="000D710C">
        <w:rPr>
          <w:lang w:val="bg-BG"/>
        </w:rPr>
        <w:t xml:space="preserve"> се отчита на отделен</w:t>
      </w:r>
      <w:r>
        <w:t xml:space="preserve"> ред. </w:t>
      </w:r>
    </w:p>
    <w:p w14:paraId="7FE1D140" w14:textId="31924442" w:rsidR="00FE5D64" w:rsidRDefault="00E40776">
      <w:pPr>
        <w:pStyle w:val="P68B1DB1-InstructionsText286"/>
        <w:numPr>
          <w:ilvl w:val="2"/>
          <w:numId w:val="209"/>
        </w:numPr>
        <w:spacing w:before="0"/>
        <w:ind w:left="1276"/>
      </w:pPr>
      <w:r>
        <w:t xml:space="preserve">Отчита се само </w:t>
      </w:r>
      <w:r w:rsidR="000D710C">
        <w:rPr>
          <w:lang w:val="bg-BG"/>
        </w:rPr>
        <w:t xml:space="preserve">дериватите </w:t>
      </w:r>
      <w:r>
        <w:t xml:space="preserve">нетиращи съвкупности/отделни договори, </w:t>
      </w:r>
      <w:r w:rsidR="000D710C">
        <w:rPr>
          <w:lang w:val="bg-BG"/>
        </w:rPr>
        <w:t>формиращи задължения на база нетна стойност по пазарни цени</w:t>
      </w:r>
      <w:r>
        <w:t xml:space="preserve"> (колона в0120).</w:t>
      </w:r>
    </w:p>
    <w:p w14:paraId="2F96C2E7" w14:textId="77777777" w:rsidR="00FE5D64" w:rsidRDefault="00E40776" w:rsidP="00F65B8F">
      <w:pPr>
        <w:pStyle w:val="P68B1DB1-InstructionsText287"/>
        <w:numPr>
          <w:ilvl w:val="0"/>
          <w:numId w:val="0"/>
        </w:numPr>
        <w:spacing w:before="0"/>
      </w:pPr>
      <w:r>
        <w:t>Указания относно определени позиции</w:t>
      </w:r>
    </w:p>
    <w:tbl>
      <w:tblPr>
        <w:tblW w:w="9015" w:type="dxa"/>
        <w:tblInd w:w="135" w:type="dxa"/>
        <w:tblLayout w:type="fixed"/>
        <w:tblLook w:val="04A0" w:firstRow="1" w:lastRow="0" w:firstColumn="1" w:lastColumn="0" w:noHBand="0" w:noVBand="1"/>
      </w:tblPr>
      <w:tblGrid>
        <w:gridCol w:w="1183"/>
        <w:gridCol w:w="7832"/>
      </w:tblGrid>
      <w:tr w:rsidR="00FE5D64" w14:paraId="10AE4EED"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45BFE64B" w14:textId="77777777" w:rsidR="00FE5D64" w:rsidRDefault="00E40776" w:rsidP="00F65B8F">
            <w:pPr>
              <w:pStyle w:val="P68B1DB1-TableParagraph17"/>
              <w:spacing w:before="108"/>
              <w:ind w:left="85"/>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6DF2A4EF" w14:textId="77777777" w:rsidR="00FE5D64" w:rsidRDefault="00E40776" w:rsidP="00F65B8F">
            <w:pPr>
              <w:pStyle w:val="P68B1DB1-TableParagraph17"/>
              <w:spacing w:before="108"/>
              <w:ind w:left="85"/>
            </w:pPr>
            <w:r>
              <w:t xml:space="preserve">Указания </w:t>
            </w:r>
          </w:p>
        </w:tc>
      </w:tr>
      <w:tr w:rsidR="00FE5D64" w14:paraId="12626C90" w14:textId="77777777">
        <w:tc>
          <w:tcPr>
            <w:tcW w:w="1183" w:type="dxa"/>
            <w:tcBorders>
              <w:top w:val="single" w:sz="8" w:space="0" w:color="1A171C"/>
              <w:left w:val="nil"/>
              <w:bottom w:val="single" w:sz="8" w:space="0" w:color="1A171C"/>
              <w:right w:val="single" w:sz="8" w:space="0" w:color="1A171C"/>
            </w:tcBorders>
            <w:vAlign w:val="center"/>
          </w:tcPr>
          <w:p w14:paraId="0A16955F" w14:textId="77777777" w:rsidR="00FE5D64" w:rsidRDefault="00E40776">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1F6D04A0" w14:textId="53515951" w:rsidR="00FE5D64" w:rsidRDefault="00AD50AD">
            <w:pPr>
              <w:pStyle w:val="P68B1DB1-TableParagraph73"/>
              <w:spacing w:before="108"/>
              <w:ind w:left="85"/>
              <w:jc w:val="both"/>
              <w:rPr>
                <w:bCs/>
              </w:rPr>
            </w:pPr>
            <w:r w:rsidRPr="00AD50AD">
              <w:rPr>
                <w:lang w:val="en-US"/>
              </w:rPr>
              <w:t>№</w:t>
            </w:r>
          </w:p>
          <w:p w14:paraId="345740EC" w14:textId="72DC51E3" w:rsidR="00FE5D64" w:rsidRDefault="00E40776">
            <w:pPr>
              <w:pStyle w:val="P68B1DB1-TableParagraph40"/>
              <w:spacing w:before="108"/>
              <w:ind w:left="85"/>
              <w:jc w:val="both"/>
            </w:pPr>
            <w:r>
              <w:t xml:space="preserve">Уникален номер/първичен ключ за идентифициране на </w:t>
            </w:r>
            <w:r w:rsidR="00AD50AD">
              <w:rPr>
                <w:lang w:val="bg-BG"/>
              </w:rPr>
              <w:t>записите по редове</w:t>
            </w:r>
            <w:r>
              <w:t>.</w:t>
            </w:r>
          </w:p>
        </w:tc>
      </w:tr>
      <w:tr w:rsidR="00FE5D64" w14:paraId="76586777" w14:textId="77777777">
        <w:tc>
          <w:tcPr>
            <w:tcW w:w="1183" w:type="dxa"/>
            <w:tcBorders>
              <w:top w:val="single" w:sz="8" w:space="0" w:color="1A171C"/>
              <w:left w:val="nil"/>
              <w:bottom w:val="single" w:sz="8" w:space="0" w:color="1A171C"/>
              <w:right w:val="single" w:sz="8" w:space="0" w:color="1A171C"/>
            </w:tcBorders>
            <w:vAlign w:val="center"/>
          </w:tcPr>
          <w:p w14:paraId="64EB8715" w14:textId="77777777" w:rsidR="00FE5D64" w:rsidRDefault="00E40776">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3AAA285D" w14:textId="77777777" w:rsidR="00FE5D64" w:rsidRDefault="00E40776">
            <w:pPr>
              <w:pStyle w:val="P68B1DB1-TableParagraph73"/>
              <w:spacing w:before="108"/>
              <w:ind w:left="85"/>
              <w:jc w:val="both"/>
              <w:rPr>
                <w:bCs/>
              </w:rPr>
            </w:pPr>
            <w:r>
              <w:t>Колона</w:t>
            </w:r>
          </w:p>
          <w:p w14:paraId="2CDB5BAB" w14:textId="225145CA" w:rsidR="00FE5D64" w:rsidRDefault="00E40776">
            <w:pPr>
              <w:pStyle w:val="P68B1DB1-TableParagraph40"/>
              <w:spacing w:before="108"/>
              <w:ind w:left="85"/>
              <w:jc w:val="both"/>
            </w:pPr>
            <w:r>
              <w:t xml:space="preserve">За всяка нетираща съвкупност от предварително определени стойности трябва да </w:t>
            </w:r>
            <w:r w:rsidR="00AD50AD">
              <w:rPr>
                <w:lang w:val="bg-BG"/>
              </w:rPr>
              <w:t>избере съответната категория контрагент, с който</w:t>
            </w:r>
            <w:r w:rsidR="00E73EEA">
              <w:rPr>
                <w:lang w:val="bg-BG"/>
              </w:rPr>
              <w:t xml:space="preserve"> е</w:t>
            </w:r>
            <w:r w:rsidR="00AD50AD">
              <w:rPr>
                <w:lang w:val="bg-BG"/>
              </w:rPr>
              <w:t xml:space="preserve"> сключен договорът, съгласно</w:t>
            </w:r>
            <w:r>
              <w:t xml:space="preserve"> структурата на </w:t>
            </w:r>
            <w:r w:rsidR="00AD50AD">
              <w:rPr>
                <w:lang w:val="bg-BG"/>
              </w:rPr>
              <w:t>задълженията</w:t>
            </w:r>
            <w:r w:rsidR="00AD50AD">
              <w:t xml:space="preserve"> </w:t>
            </w:r>
            <w:r>
              <w:t>в Z 02.00.</w:t>
            </w:r>
          </w:p>
        </w:tc>
      </w:tr>
      <w:tr w:rsidR="00FE5D64" w14:paraId="62E5757B" w14:textId="77777777">
        <w:tc>
          <w:tcPr>
            <w:tcW w:w="1183" w:type="dxa"/>
            <w:tcBorders>
              <w:top w:val="single" w:sz="8" w:space="0" w:color="1A171C"/>
              <w:left w:val="nil"/>
              <w:bottom w:val="single" w:sz="8" w:space="0" w:color="1A171C"/>
              <w:right w:val="single" w:sz="8" w:space="0" w:color="1A171C"/>
            </w:tcBorders>
            <w:vAlign w:val="center"/>
          </w:tcPr>
          <w:p w14:paraId="388630D9" w14:textId="77777777" w:rsidR="00FE5D64" w:rsidRDefault="00E40776">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0F0CCEF9" w14:textId="22EF0943" w:rsidR="00FE5D64" w:rsidRDefault="00E73EEA">
            <w:pPr>
              <w:pStyle w:val="P68B1DB1-TableParagraph73"/>
              <w:spacing w:before="108"/>
              <w:ind w:left="85"/>
              <w:jc w:val="both"/>
              <w:rPr>
                <w:bCs/>
              </w:rPr>
            </w:pPr>
            <w:r>
              <w:rPr>
                <w:lang w:val="bg-BG"/>
              </w:rPr>
              <w:t>Ред на вземанията в производство по</w:t>
            </w:r>
            <w:r w:rsidR="00E40776">
              <w:t xml:space="preserve"> несъстоятелност  </w:t>
            </w:r>
          </w:p>
          <w:p w14:paraId="796CEDA3" w14:textId="47430FA1" w:rsidR="00FE5D64" w:rsidRDefault="00E73EEA">
            <w:pPr>
              <w:pStyle w:val="P68B1DB1-TableParagraph40"/>
              <w:spacing w:before="108"/>
              <w:ind w:left="85"/>
              <w:jc w:val="both"/>
            </w:pPr>
            <w:r w:rsidRPr="00E73EEA">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r w:rsidR="00E40776">
              <w:t>.</w:t>
            </w:r>
          </w:p>
        </w:tc>
      </w:tr>
      <w:tr w:rsidR="00FE5D6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FE5D64" w:rsidRDefault="00E40776">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FE5D64" w:rsidRDefault="00E40776">
            <w:pPr>
              <w:pStyle w:val="P68B1DB1-TableParagraph73"/>
              <w:spacing w:before="108"/>
              <w:ind w:left="85"/>
              <w:jc w:val="both"/>
              <w:rPr>
                <w:bCs/>
              </w:rPr>
            </w:pPr>
            <w:r>
              <w:t xml:space="preserve">Идентификационен номер на рамковото споразумение  </w:t>
            </w:r>
          </w:p>
          <w:p w14:paraId="7FE1D154" w14:textId="77777777" w:rsidR="00FE5D64" w:rsidRDefault="00E40776">
            <w:pPr>
              <w:pStyle w:val="P68B1DB1-TableParagraph40"/>
              <w:spacing w:before="108"/>
              <w:ind w:left="85"/>
              <w:jc w:val="both"/>
            </w:pPr>
            <w:r>
              <w:t>Вътрешен идентификатор на рамковото споразумение или на отделния договор.</w:t>
            </w:r>
          </w:p>
        </w:tc>
      </w:tr>
      <w:tr w:rsidR="00FE5D6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FE5D64" w:rsidRDefault="00E40776">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FE5D64" w:rsidRDefault="00E40776">
            <w:pPr>
              <w:pStyle w:val="P68B1DB1-TableParagraph73"/>
              <w:spacing w:before="108"/>
              <w:ind w:left="85"/>
              <w:jc w:val="both"/>
              <w:rPr>
                <w:bCs/>
              </w:rPr>
            </w:pPr>
            <w:r>
              <w:t xml:space="preserve">Вид на рамковото споразумение </w:t>
            </w:r>
          </w:p>
          <w:p w14:paraId="7FE1D158" w14:textId="5884BFCF" w:rsidR="00FE5D64" w:rsidRDefault="00E73EEA" w:rsidP="00C80D4C">
            <w:pPr>
              <w:pStyle w:val="P68B1DB1-TableParagraph40"/>
              <w:spacing w:before="108"/>
              <w:ind w:left="85"/>
              <w:jc w:val="both"/>
            </w:pPr>
            <w:r>
              <w:rPr>
                <w:lang w:val="bg-BG"/>
              </w:rPr>
              <w:t>Посочва се</w:t>
            </w:r>
            <w:r w:rsidR="00C80D4C">
              <w:rPr>
                <w:lang w:val="bg-BG"/>
              </w:rPr>
              <w:t xml:space="preserve"> вид</w:t>
            </w:r>
            <w:r>
              <w:rPr>
                <w:lang w:val="bg-BG"/>
              </w:rPr>
              <w:t>а на</w:t>
            </w:r>
            <w:r w:rsidR="00C80D4C">
              <w:rPr>
                <w:lang w:val="bg-BG"/>
              </w:rPr>
              <w:t xml:space="preserve"> </w:t>
            </w:r>
            <w:r w:rsidR="00E40776">
              <w:t xml:space="preserve">рамковото споразумение </w:t>
            </w:r>
            <w:r w:rsidR="00C80D4C">
              <w:rPr>
                <w:lang w:val="bg-BG"/>
              </w:rPr>
              <w:t>от предварително определен списък, както следва:</w:t>
            </w:r>
            <w:r w:rsidR="00E40776">
              <w:t xml:space="preserve"> „ISDA 2002 Master Agreement</w:t>
            </w:r>
            <w:r w:rsidR="00C80D4C">
              <w:rPr>
                <w:lang w:val="bg-BG"/>
              </w:rPr>
              <w:t>“</w:t>
            </w:r>
            <w:r w:rsidR="00E40776">
              <w:t>, „ISDA 1992 Master Agreement</w:t>
            </w:r>
            <w:r w:rsidR="00C80D4C">
              <w:rPr>
                <w:lang w:val="bg-BG"/>
              </w:rPr>
              <w:t>“</w:t>
            </w:r>
            <w:r w:rsidR="00E40776">
              <w:t>, „ISDA 1987 Master Agreement</w:t>
            </w:r>
            <w:r w:rsidR="00C80D4C">
              <w:rPr>
                <w:lang w:val="bg-BG"/>
              </w:rPr>
              <w:t>“</w:t>
            </w:r>
            <w:r w:rsidR="00E40776">
              <w:t>, „ISDA 1986 Master Agreement“, „ISDA 1985 Master Agreement</w:t>
            </w:r>
            <w:r w:rsidR="00C80D4C">
              <w:rPr>
                <w:lang w:val="bg-BG"/>
              </w:rPr>
              <w:t>“</w:t>
            </w:r>
            <w:r w:rsidR="00E40776">
              <w:t>, „ISDA Master Agreement</w:t>
            </w:r>
            <w:r w:rsidR="00C80D4C">
              <w:rPr>
                <w:lang w:val="bg-BG"/>
              </w:rPr>
              <w:t>“</w:t>
            </w:r>
            <w:r w:rsidR="00E40776">
              <w:t>, „Друго рамково споразумение</w:t>
            </w:r>
            <w:r>
              <w:rPr>
                <w:lang w:val="bg-BG"/>
              </w:rPr>
              <w:t>“,</w:t>
            </w:r>
            <w:r w:rsidR="00E40776">
              <w:t xml:space="preserve">  „</w:t>
            </w:r>
            <w:r>
              <w:rPr>
                <w:lang w:val="bg-BG"/>
              </w:rPr>
              <w:t>Отделен</w:t>
            </w:r>
            <w:r>
              <w:t xml:space="preserve"> </w:t>
            </w:r>
            <w:r w:rsidR="00E40776">
              <w:t>договор“.</w:t>
            </w:r>
          </w:p>
        </w:tc>
      </w:tr>
      <w:tr w:rsidR="00FE5D6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FE5D64" w:rsidRDefault="00E40776">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024C292B" w:rsidR="00FE5D64" w:rsidRDefault="00E40776">
            <w:pPr>
              <w:pStyle w:val="P68B1DB1-TableParagraph73"/>
              <w:spacing w:before="108"/>
              <w:ind w:left="85"/>
              <w:jc w:val="both"/>
              <w:rPr>
                <w:bCs/>
              </w:rPr>
            </w:pPr>
            <w:r>
              <w:t xml:space="preserve">Субект, </w:t>
            </w:r>
            <w:r w:rsidR="001551F6">
              <w:rPr>
                <w:lang w:val="bg-BG"/>
              </w:rPr>
              <w:t>спазващ</w:t>
            </w:r>
            <w:r w:rsidR="001551F6">
              <w:t xml:space="preserve"> </w:t>
            </w:r>
            <w:r>
              <w:t>протокол ISDA</w:t>
            </w:r>
          </w:p>
          <w:p w14:paraId="7FE1D15C" w14:textId="3111F731" w:rsidR="00FE5D64" w:rsidRPr="00E73EEA" w:rsidRDefault="00E73EEA" w:rsidP="0004098B">
            <w:pPr>
              <w:pStyle w:val="P68B1DB1-TableParagraph40"/>
              <w:spacing w:before="108"/>
              <w:ind w:left="85"/>
              <w:jc w:val="both"/>
              <w:rPr>
                <w:lang w:val="en-US"/>
              </w:rPr>
            </w:pPr>
            <w:r>
              <w:rPr>
                <w:lang w:val="bg-BG"/>
              </w:rPr>
              <w:t>Посочва се</w:t>
            </w:r>
            <w:r>
              <w:t xml:space="preserve"> </w:t>
            </w:r>
            <w:r w:rsidR="00E40776">
              <w:t xml:space="preserve">дали самият субект е </w:t>
            </w:r>
            <w:r>
              <w:rPr>
                <w:lang w:val="bg-BG"/>
              </w:rPr>
              <w:t>страна по</w:t>
            </w:r>
            <w:r>
              <w:t xml:space="preserve"> </w:t>
            </w:r>
            <w:r w:rsidR="00E40776">
              <w:t>ISDA Universal Stay Protocol</w:t>
            </w:r>
            <w:r w:rsidR="0004098B" w:rsidRPr="00E73EEA">
              <w:rPr>
                <w:lang w:val="bg-BG"/>
              </w:rPr>
              <w:t xml:space="preserve"> </w:t>
            </w:r>
            <w:r w:rsidR="0004098B">
              <w:rPr>
                <w:lang w:val="bg-BG"/>
              </w:rPr>
              <w:t>от предварително определен списък:</w:t>
            </w:r>
            <w:r w:rsidR="00E40776">
              <w:t xml:space="preserve"> „ISDA Universal Protocol</w:t>
            </w:r>
            <w:r w:rsidR="0004098B">
              <w:rPr>
                <w:lang w:val="bg-BG"/>
              </w:rPr>
              <w:t>“</w:t>
            </w:r>
            <w:r w:rsidR="00E40776">
              <w:t>, „ISDA JMP Module</w:t>
            </w:r>
            <w:r w:rsidR="0004098B">
              <w:rPr>
                <w:lang w:val="bg-BG"/>
              </w:rPr>
              <w:t>“</w:t>
            </w:r>
            <w:r w:rsidR="00E40776">
              <w:t>, „BRRD II Omnibus Jurisdictional Module</w:t>
            </w:r>
            <w:r w:rsidR="0004098B">
              <w:rPr>
                <w:lang w:val="bg-BG"/>
              </w:rPr>
              <w:t xml:space="preserve">“ </w:t>
            </w:r>
            <w:r w:rsidR="00E40776">
              <w:t>или „</w:t>
            </w:r>
            <w:r w:rsidR="0004098B">
              <w:rPr>
                <w:lang w:val="bg-BG"/>
              </w:rPr>
              <w:t>Не</w:t>
            </w:r>
            <w:r w:rsidR="00E40776">
              <w:t xml:space="preserve">“. </w:t>
            </w:r>
          </w:p>
        </w:tc>
      </w:tr>
      <w:tr w:rsidR="00FE5D6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FE5D64" w:rsidRDefault="00E40776">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59801245" w:rsidR="00FE5D64" w:rsidRDefault="00E40776">
            <w:pPr>
              <w:pStyle w:val="P68B1DB1-TableParagraph73"/>
              <w:spacing w:before="108"/>
              <w:ind w:left="85"/>
              <w:jc w:val="both"/>
              <w:rPr>
                <w:bCs/>
              </w:rPr>
            </w:pPr>
            <w:r>
              <w:t>Признаване на спиране</w:t>
            </w:r>
            <w:r w:rsidR="00A51659">
              <w:t xml:space="preserve"> </w:t>
            </w:r>
            <w:r w:rsidR="00E73EEA">
              <w:rPr>
                <w:lang w:val="bg-BG"/>
              </w:rPr>
              <w:t>при</w:t>
            </w:r>
            <w:r w:rsidR="00E73EEA">
              <w:t xml:space="preserve"> </w:t>
            </w:r>
            <w:r>
              <w:t>преструктуриране</w:t>
            </w:r>
          </w:p>
          <w:p w14:paraId="7FE1D160" w14:textId="768563C6" w:rsidR="00FE5D64" w:rsidRDefault="00E40776" w:rsidP="00A51659">
            <w:pPr>
              <w:pStyle w:val="P68B1DB1-TableParagraph40"/>
              <w:spacing w:before="108"/>
              <w:ind w:left="85"/>
              <w:jc w:val="both"/>
            </w:pPr>
            <w:r>
              <w:t>Посочва се дали контрагентът се  придържа към „ISDA Universal Protocol</w:t>
            </w:r>
            <w:r w:rsidR="00A51659">
              <w:rPr>
                <w:lang w:val="bg-BG"/>
              </w:rPr>
              <w:t>“</w:t>
            </w:r>
            <w:r>
              <w:t>, „ISDA JMP Module</w:t>
            </w:r>
            <w:r w:rsidR="00A51659">
              <w:rPr>
                <w:lang w:val="bg-BG"/>
              </w:rPr>
              <w:t>“</w:t>
            </w:r>
            <w:r>
              <w:t xml:space="preserve">, „Друго споразумение за признаване на </w:t>
            </w:r>
            <w:r w:rsidR="00F65B8F">
              <w:rPr>
                <w:lang w:val="bg-BG"/>
              </w:rPr>
              <w:t>спиране при</w:t>
            </w:r>
            <w:r>
              <w:t xml:space="preserve"> преструктуриране</w:t>
            </w:r>
            <w:r w:rsidR="00A51659">
              <w:rPr>
                <w:lang w:val="bg-BG"/>
              </w:rPr>
              <w:t xml:space="preserve">“ </w:t>
            </w:r>
            <w:r>
              <w:t xml:space="preserve">или „Без признаване на </w:t>
            </w:r>
            <w:r w:rsidR="00F65B8F">
              <w:rPr>
                <w:lang w:val="bg-BG"/>
              </w:rPr>
              <w:t>спиране при</w:t>
            </w:r>
            <w:r w:rsidR="00A51659">
              <w:rPr>
                <w:lang w:val="bg-BG"/>
              </w:rPr>
              <w:t xml:space="preserve"> преструктуриране</w:t>
            </w:r>
            <w:r>
              <w:t>“.</w:t>
            </w:r>
          </w:p>
        </w:tc>
      </w:tr>
      <w:tr w:rsidR="00FE5D6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FE5D64" w:rsidRDefault="00E40776">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43E13B2B" w:rsidR="00FE5D64" w:rsidRDefault="00E40776">
            <w:pPr>
              <w:pStyle w:val="P68B1DB1-TableParagraph73"/>
              <w:spacing w:before="108"/>
              <w:ind w:left="85"/>
              <w:jc w:val="both"/>
              <w:rPr>
                <w:bCs/>
              </w:rPr>
            </w:pPr>
            <w:r>
              <w:t>Наименование</w:t>
            </w:r>
            <w:r w:rsidR="00EB1138">
              <w:t xml:space="preserve"> </w:t>
            </w:r>
            <w:r>
              <w:t xml:space="preserve">на контрагента </w:t>
            </w:r>
          </w:p>
          <w:p w14:paraId="7FE1D164" w14:textId="629A53D1" w:rsidR="00FE5D64" w:rsidRDefault="00E40776" w:rsidP="00EB1138">
            <w:pPr>
              <w:pStyle w:val="P68B1DB1-TableParagraph40"/>
              <w:spacing w:before="108"/>
              <w:ind w:left="85"/>
              <w:jc w:val="both"/>
            </w:pPr>
            <w:bookmarkStart w:id="267" w:name="_Hlk189839311"/>
            <w:r>
              <w:t>Наименованието</w:t>
            </w:r>
            <w:r w:rsidR="00EB1138" w:rsidRPr="00F65B8F">
              <w:t xml:space="preserve"> на </w:t>
            </w:r>
            <w:r>
              <w:t>контрагента.</w:t>
            </w:r>
            <w:bookmarkEnd w:id="267"/>
            <w:r>
              <w:t xml:space="preserve"> В случай на деривати, преминали клиринг </w:t>
            </w:r>
            <w:r w:rsidR="00F65B8F">
              <w:rPr>
                <w:lang w:val="bg-BG"/>
              </w:rPr>
              <w:t>чрез</w:t>
            </w:r>
            <w:r w:rsidR="00F65B8F">
              <w:t xml:space="preserve"> </w:t>
            </w:r>
            <w:r>
              <w:t xml:space="preserve">ЦК, се </w:t>
            </w:r>
            <w:r w:rsidR="00F65B8F">
              <w:rPr>
                <w:lang w:val="bg-BG"/>
              </w:rPr>
              <w:t>посочва</w:t>
            </w:r>
            <w:r w:rsidR="00F65B8F">
              <w:t xml:space="preserve"> </w:t>
            </w:r>
            <w:r>
              <w:t>съответният ЦК</w:t>
            </w:r>
            <w:r w:rsidR="00EB1138">
              <w:t xml:space="preserve"> </w:t>
            </w:r>
            <w:r>
              <w:t>като контрагент.</w:t>
            </w:r>
          </w:p>
        </w:tc>
      </w:tr>
      <w:tr w:rsidR="00FE5D6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FE5D64" w:rsidRDefault="00E40776">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FE5D64" w:rsidRDefault="00E40776">
            <w:pPr>
              <w:pStyle w:val="P68B1DB1-TableParagraph73"/>
              <w:spacing w:before="108"/>
              <w:ind w:left="85"/>
              <w:jc w:val="both"/>
              <w:rPr>
                <w:bCs/>
              </w:rPr>
            </w:pPr>
            <w:r>
              <w:t xml:space="preserve">Идентификатор на контрагента </w:t>
            </w:r>
          </w:p>
          <w:p w14:paraId="7FE1D168" w14:textId="0FE5AC1A" w:rsidR="00FE5D64" w:rsidRDefault="00F65B8F" w:rsidP="00E75EDC">
            <w:pPr>
              <w:pStyle w:val="P68B1DB1-TableParagraph40"/>
              <w:spacing w:before="108"/>
              <w:ind w:left="85"/>
              <w:jc w:val="both"/>
            </w:pPr>
            <w:r>
              <w:rPr>
                <w:lang w:val="bg-BG"/>
              </w:rPr>
              <w:t>Посочва</w:t>
            </w:r>
            <w:r>
              <w:t xml:space="preserve"> </w:t>
            </w:r>
            <w:r w:rsidR="00E40776">
              <w:t xml:space="preserve">се ИКПС на контрагента. При липса на ИКПС, използваният в RIAD </w:t>
            </w:r>
            <w:r w:rsidR="00E75EDC">
              <w:rPr>
                <w:lang w:val="bg-BG"/>
              </w:rPr>
              <w:t>идентификационен код</w:t>
            </w:r>
            <w:r w:rsidR="00E75EDC" w:rsidRPr="00F65B8F">
              <w:rPr>
                <w:lang w:val="bg-BG"/>
              </w:rPr>
              <w:t xml:space="preserve"> </w:t>
            </w:r>
            <w:r w:rsidR="00E40776">
              <w:t xml:space="preserve">на ЕЦБ </w:t>
            </w:r>
            <w:r>
              <w:rPr>
                <w:lang w:val="bg-BG"/>
              </w:rPr>
              <w:t>за</w:t>
            </w:r>
            <w:r>
              <w:t xml:space="preserve"> </w:t>
            </w:r>
            <w:r w:rsidR="00E40776">
              <w:t>паричн</w:t>
            </w:r>
            <w:r w:rsidR="00E75EDC">
              <w:rPr>
                <w:lang w:val="bg-BG"/>
              </w:rPr>
              <w:t>о</w:t>
            </w:r>
            <w:r>
              <w:rPr>
                <w:lang w:val="bg-BG"/>
              </w:rPr>
              <w:t>-</w:t>
            </w:r>
            <w:r w:rsidR="00E40776">
              <w:t>финансови институции (</w:t>
            </w:r>
            <w:r>
              <w:rPr>
                <w:lang w:val="bg-BG"/>
              </w:rPr>
              <w:t xml:space="preserve">Код на </w:t>
            </w:r>
            <w:r w:rsidR="00E40776">
              <w:t>ПФИ). При липса</w:t>
            </w:r>
            <w:r w:rsidR="00E75EDC" w:rsidRPr="00F65B8F">
              <w:t xml:space="preserve"> </w:t>
            </w:r>
            <w:r w:rsidR="00E75EDC">
              <w:rPr>
                <w:lang w:val="bg-BG"/>
              </w:rPr>
              <w:t>и</w:t>
            </w:r>
            <w:r w:rsidR="00E40776">
              <w:t xml:space="preserve"> на двата идентификатора се докладва вътрешен идентификатор. </w:t>
            </w:r>
          </w:p>
        </w:tc>
      </w:tr>
      <w:tr w:rsidR="00FE5D6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FE5D64" w:rsidRDefault="00E40776">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FE5D64" w:rsidRDefault="00E40776">
            <w:pPr>
              <w:pStyle w:val="P68B1DB1-TableParagraph73"/>
              <w:spacing w:before="108"/>
              <w:ind w:left="85"/>
              <w:jc w:val="both"/>
              <w:rPr>
                <w:bCs/>
              </w:rPr>
            </w:pPr>
            <w:r>
              <w:t xml:space="preserve">Вид идентификатор </w:t>
            </w:r>
          </w:p>
          <w:p w14:paraId="7FE1D16C" w14:textId="474265F5" w:rsidR="00FE5D64" w:rsidRDefault="00E40776" w:rsidP="00904039">
            <w:pPr>
              <w:pStyle w:val="P68B1DB1-TableParagraph40"/>
              <w:spacing w:before="108"/>
              <w:ind w:left="85"/>
              <w:jc w:val="both"/>
            </w:pPr>
            <w:r>
              <w:t>Избира се измежду следните варианти: „ИКПС</w:t>
            </w:r>
            <w:r w:rsidR="00904039">
              <w:rPr>
                <w:lang w:val="bg-BG"/>
              </w:rPr>
              <w:t>“</w:t>
            </w:r>
            <w:r>
              <w:t>, „Код на ПФИ</w:t>
            </w:r>
            <w:r w:rsidR="00904039">
              <w:rPr>
                <w:lang w:val="bg-BG"/>
              </w:rPr>
              <w:t xml:space="preserve">“ </w:t>
            </w:r>
            <w:r>
              <w:t>или „Вид идентификатор, различен от ИКПС или код на ПФИ“.</w:t>
            </w:r>
          </w:p>
        </w:tc>
      </w:tr>
      <w:tr w:rsidR="00FE5D6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FE5D64" w:rsidRDefault="00E40776">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FE5D64" w:rsidRDefault="00E40776">
            <w:pPr>
              <w:pStyle w:val="P68B1DB1-TableParagraph73"/>
              <w:spacing w:before="108"/>
              <w:ind w:left="85"/>
              <w:jc w:val="both"/>
              <w:rPr>
                <w:bCs/>
              </w:rPr>
            </w:pPr>
            <w:r>
              <w:t xml:space="preserve">Държава на контрагента  </w:t>
            </w:r>
          </w:p>
          <w:p w14:paraId="7FE1D170" w14:textId="594E3AF3" w:rsidR="00FE5D64" w:rsidRDefault="00F65B8F">
            <w:pPr>
              <w:pStyle w:val="P68B1DB1-TableParagraph40"/>
              <w:spacing w:before="108"/>
              <w:ind w:left="85"/>
              <w:jc w:val="both"/>
            </w:pPr>
            <w:r>
              <w:rPr>
                <w:lang w:val="bg-BG"/>
              </w:rPr>
              <w:t xml:space="preserve">Идентификационният код по </w:t>
            </w:r>
            <w:r w:rsidR="00E40776">
              <w:t>ISO 3166—1 alpha-2 на държавата, в която е учреден контрагентът.</w:t>
            </w:r>
          </w:p>
        </w:tc>
      </w:tr>
      <w:tr w:rsidR="00FE5D64"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FE5D64" w:rsidRDefault="00E40776">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FE5D64" w:rsidRDefault="00E40776">
            <w:pPr>
              <w:pStyle w:val="P68B1DB1-TableParagraph73"/>
              <w:spacing w:before="108"/>
              <w:ind w:left="85"/>
              <w:jc w:val="both"/>
              <w:rPr>
                <w:bCs/>
              </w:rPr>
            </w:pPr>
            <w:r>
              <w:t>Вътрешногрупова сделка</w:t>
            </w:r>
          </w:p>
          <w:p w14:paraId="1EA32667" w14:textId="6DC07229" w:rsidR="00FE5D64" w:rsidRDefault="00E40776" w:rsidP="003D675B">
            <w:pPr>
              <w:pStyle w:val="P68B1DB1-TableParagraph40"/>
              <w:spacing w:before="108"/>
              <w:ind w:left="85"/>
              <w:jc w:val="both"/>
            </w:pPr>
            <w:r>
              <w:t xml:space="preserve">Отчитащото се предприятие трябва да посочи дали отчитаната сделка е извършена с контрагент, принадлежащ към счетоводния обхват на консолидацията на крайното </w:t>
            </w:r>
            <w:r w:rsidR="003D675B">
              <w:rPr>
                <w:lang w:val="bg-BG"/>
              </w:rPr>
              <w:t>предприятие</w:t>
            </w:r>
            <w:r w:rsidR="003D675B" w:rsidRPr="00F65B8F">
              <w:rPr>
                <w:lang w:val="bg-BG"/>
              </w:rPr>
              <w:t xml:space="preserve"> </w:t>
            </w:r>
            <w:r>
              <w:t>майка. Допустимите стойности са „</w:t>
            </w:r>
            <w:r w:rsidR="003D675B">
              <w:rPr>
                <w:lang w:val="bg-BG"/>
              </w:rPr>
              <w:t>В</w:t>
            </w:r>
            <w:r>
              <w:t>ярно</w:t>
            </w:r>
            <w:r w:rsidR="003D675B">
              <w:rPr>
                <w:lang w:val="bg-BG"/>
              </w:rPr>
              <w:t>“ (</w:t>
            </w:r>
            <w:r w:rsidR="003D675B">
              <w:rPr>
                <w:lang w:val="en-US"/>
              </w:rPr>
              <w:t>“True”)</w:t>
            </w:r>
            <w:r>
              <w:t xml:space="preserve"> „или „</w:t>
            </w:r>
            <w:r w:rsidR="003D675B">
              <w:rPr>
                <w:lang w:val="bg-BG"/>
              </w:rPr>
              <w:t>Н</w:t>
            </w:r>
            <w:r>
              <w:t>евярно“</w:t>
            </w:r>
            <w:r w:rsidR="003D675B">
              <w:rPr>
                <w:lang w:val="bg-BG"/>
              </w:rPr>
              <w:t xml:space="preserve"> (</w:t>
            </w:r>
            <w:r w:rsidR="003D675B">
              <w:rPr>
                <w:lang w:val="en-US"/>
              </w:rPr>
              <w:t>“False”</w:t>
            </w:r>
            <w:r w:rsidR="003D675B">
              <w:rPr>
                <w:lang w:val="bg-BG"/>
              </w:rPr>
              <w:t>)</w:t>
            </w:r>
            <w:r>
              <w:t>.</w:t>
            </w:r>
          </w:p>
        </w:tc>
      </w:tr>
      <w:tr w:rsidR="00FE5D6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FE5D64" w:rsidRDefault="00E40776">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0AE89219" w:rsidR="00FE5D64" w:rsidRDefault="00E40776">
            <w:pPr>
              <w:pStyle w:val="P68B1DB1-TableParagraph73"/>
              <w:spacing w:before="108"/>
              <w:ind w:left="85"/>
              <w:jc w:val="both"/>
              <w:rPr>
                <w:bCs/>
              </w:rPr>
            </w:pPr>
            <w:r>
              <w:t>Приложимо право на рамковото споразумение/</w:t>
            </w:r>
            <w:r w:rsidR="00635B6A">
              <w:rPr>
                <w:lang w:val="bg-BG"/>
              </w:rPr>
              <w:t>отделен</w:t>
            </w:r>
            <w:r w:rsidR="00635B6A">
              <w:t xml:space="preserve"> </w:t>
            </w:r>
            <w:r>
              <w:t>договор</w:t>
            </w:r>
          </w:p>
          <w:p w14:paraId="7FE1D178" w14:textId="4C518117" w:rsidR="00FE5D64" w:rsidRDefault="00E40776" w:rsidP="003D675B">
            <w:pPr>
              <w:pStyle w:val="P68B1DB1-TableParagraph40"/>
              <w:spacing w:before="108"/>
              <w:ind w:left="85"/>
              <w:jc w:val="both"/>
            </w:pPr>
            <w:r>
              <w:t>Кодът</w:t>
            </w:r>
            <w:r w:rsidR="00635B6A">
              <w:rPr>
                <w:lang w:val="bg-BG"/>
              </w:rPr>
              <w:t xml:space="preserve"> по</w:t>
            </w:r>
            <w:r>
              <w:t xml:space="preserve"> ISO 3166—1 alpha-2 на държавата, чието право урежда рамковото споразумение/</w:t>
            </w:r>
            <w:r w:rsidR="00635B6A">
              <w:rPr>
                <w:lang w:val="bg-BG"/>
              </w:rPr>
              <w:t>отделния</w:t>
            </w:r>
            <w:r w:rsidR="00635B6A">
              <w:t xml:space="preserve"> </w:t>
            </w:r>
            <w:r>
              <w:t>договор (</w:t>
            </w:r>
            <w:r w:rsidR="00635B6A">
              <w:rPr>
                <w:lang w:val="bg-BG"/>
              </w:rPr>
              <w:t>използва се</w:t>
            </w:r>
            <w:r w:rsidR="00635B6A">
              <w:t xml:space="preserve"> </w:t>
            </w:r>
            <w:r>
              <w:t>кода</w:t>
            </w:r>
            <w:r w:rsidR="00635B6A">
              <w:rPr>
                <w:lang w:val="bg-BG"/>
              </w:rPr>
              <w:t xml:space="preserve"> по</w:t>
            </w:r>
            <w:r>
              <w:t xml:space="preserve"> ISO 3166—2, когато е приложимо правото на административно подразделение, напр. „US-NY“). Ако договорът се урежда от правото на повече от една държава, се </w:t>
            </w:r>
            <w:r w:rsidR="00635B6A">
              <w:rPr>
                <w:lang w:val="bg-BG"/>
              </w:rPr>
              <w:t>посочва</w:t>
            </w:r>
            <w:r w:rsidR="00635B6A">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FE5D64" w:rsidRDefault="00E40776">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786E9AD8" w:rsidR="00FE5D64" w:rsidRPr="00635B6A" w:rsidRDefault="00E40776">
            <w:pPr>
              <w:pStyle w:val="P68B1DB1-TableParagraph73"/>
              <w:spacing w:before="108"/>
              <w:ind w:left="85"/>
              <w:jc w:val="both"/>
              <w:rPr>
                <w:bCs/>
                <w:lang w:val="bg-BG"/>
              </w:rPr>
            </w:pPr>
            <w:r>
              <w:t xml:space="preserve">Брой на </w:t>
            </w:r>
            <w:r w:rsidR="00635B6A">
              <w:rPr>
                <w:lang w:val="bg-BG"/>
              </w:rPr>
              <w:t>обхванати</w:t>
            </w:r>
            <w:r w:rsidR="00635B6A">
              <w:t xml:space="preserve"> </w:t>
            </w:r>
            <w:r w:rsidR="00635B6A">
              <w:rPr>
                <w:lang w:val="bg-BG"/>
              </w:rPr>
              <w:t>трансакции</w:t>
            </w:r>
          </w:p>
          <w:p w14:paraId="7FE1D17C" w14:textId="46374668" w:rsidR="00FE5D64" w:rsidRDefault="00E40776">
            <w:pPr>
              <w:pStyle w:val="P68B1DB1-TableParagraph40"/>
              <w:spacing w:before="108"/>
              <w:ind w:left="85"/>
              <w:jc w:val="both"/>
            </w:pPr>
            <w:r>
              <w:t xml:space="preserve">Посочва се броят на отделните договори, които са включени в нетиращата съвкупност </w:t>
            </w:r>
            <w:r w:rsidR="001C23C6">
              <w:rPr>
                <w:lang w:val="bg-BG"/>
              </w:rPr>
              <w:t>по</w:t>
            </w:r>
            <w:r w:rsidR="001C23C6">
              <w:t xml:space="preserve"> </w:t>
            </w:r>
            <w:r>
              <w:t>рамкови споразумения.</w:t>
            </w:r>
          </w:p>
        </w:tc>
      </w:tr>
      <w:tr w:rsidR="00FE5D6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FE5D64" w:rsidRDefault="00E40776">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567CF4A4" w:rsidR="00FE5D64" w:rsidRPr="00401985" w:rsidRDefault="00E40776">
            <w:pPr>
              <w:pStyle w:val="P68B1DB1-TableParagraph73"/>
              <w:spacing w:before="108"/>
              <w:ind w:left="85"/>
              <w:jc w:val="both"/>
              <w:rPr>
                <w:bCs/>
                <w:lang w:val="bg-BG"/>
              </w:rPr>
            </w:pPr>
            <w:r>
              <w:t>Нетна стойност</w:t>
            </w:r>
            <w:r w:rsidR="00401985">
              <w:rPr>
                <w:lang w:val="bg-BG"/>
              </w:rPr>
              <w:t>по пазарни цени</w:t>
            </w:r>
          </w:p>
          <w:p w14:paraId="7FE1D180" w14:textId="13843721" w:rsidR="00FE5D64" w:rsidRDefault="00E40776" w:rsidP="002163CA">
            <w:pPr>
              <w:pStyle w:val="P68B1DB1-TableParagraph40"/>
              <w:spacing w:before="108"/>
              <w:ind w:left="85"/>
              <w:jc w:val="both"/>
            </w:pPr>
            <w:r>
              <w:t xml:space="preserve">Нетната пазарна стойност на </w:t>
            </w:r>
            <w:r w:rsidR="00534625">
              <w:rPr>
                <w:lang w:val="bg-BG"/>
              </w:rPr>
              <w:t>задълженията, произтичащи от деривати за всяка</w:t>
            </w:r>
            <w:r>
              <w:t xml:space="preserve"> договорн</w:t>
            </w:r>
            <w:r w:rsidR="00534625">
              <w:rPr>
                <w:lang w:val="bg-BG"/>
              </w:rPr>
              <w:t>а</w:t>
            </w:r>
            <w:r>
              <w:t xml:space="preserve"> нетиращ</w:t>
            </w:r>
            <w:r w:rsidR="00534625">
              <w:rPr>
                <w:lang w:val="bg-BG"/>
              </w:rPr>
              <w:t>а</w:t>
            </w:r>
            <w:r>
              <w:t xml:space="preserve"> съвкупност, като се приема, че </w:t>
            </w:r>
            <w:r w:rsidR="00534625">
              <w:rPr>
                <w:lang w:val="bg-BG"/>
              </w:rPr>
              <w:t xml:space="preserve">договорите за </w:t>
            </w:r>
            <w:r>
              <w:t xml:space="preserve">деривати са </w:t>
            </w:r>
            <w:r w:rsidR="00534625">
              <w:rPr>
                <w:lang w:val="bg-BG"/>
              </w:rPr>
              <w:t>приключват</w:t>
            </w:r>
            <w:r w:rsidR="002163CA" w:rsidRPr="00F65B8F">
              <w:rPr>
                <w:lang w:val="bg-BG"/>
              </w:rPr>
              <w:t xml:space="preserve"> </w:t>
            </w:r>
            <w:r>
              <w:t xml:space="preserve">към референтната дата. </w:t>
            </w:r>
          </w:p>
        </w:tc>
      </w:tr>
      <w:tr w:rsidR="00FE5D6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FE5D64" w:rsidRDefault="00E40776">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6D76DC3" w:rsidR="00FE5D64" w:rsidRDefault="00534625">
            <w:pPr>
              <w:pStyle w:val="P68B1DB1-TableParagraph73"/>
              <w:spacing w:before="108"/>
              <w:ind w:left="85"/>
              <w:jc w:val="both"/>
              <w:rPr>
                <w:bCs/>
              </w:rPr>
            </w:pPr>
            <w:r>
              <w:rPr>
                <w:lang w:val="bg-BG"/>
              </w:rPr>
              <w:t>Нетна с</w:t>
            </w:r>
            <w:r w:rsidR="00E40776">
              <w:t xml:space="preserve">тойност на предоставеното обезпечение </w:t>
            </w:r>
          </w:p>
          <w:p w14:paraId="7FE1D184" w14:textId="7A850D47" w:rsidR="00FE5D64" w:rsidRDefault="00E40776">
            <w:pPr>
              <w:pStyle w:val="P68B1DB1-TableParagraph40"/>
              <w:spacing w:before="108"/>
              <w:ind w:left="85"/>
              <w:jc w:val="both"/>
            </w:pPr>
            <w:r>
              <w:t>Нетната пазарна стойност на обезпечени</w:t>
            </w:r>
            <w:r w:rsidR="00534625">
              <w:rPr>
                <w:lang w:val="bg-BG"/>
              </w:rPr>
              <w:t>ята, включе</w:t>
            </w:r>
            <w:r w:rsidR="00EE4A7B">
              <w:rPr>
                <w:lang w:val="bg-BG"/>
              </w:rPr>
              <w:t>н</w:t>
            </w:r>
            <w:r w:rsidR="00534625">
              <w:rPr>
                <w:lang w:val="bg-BG"/>
              </w:rPr>
              <w:t>и</w:t>
            </w:r>
            <w:r>
              <w:t xml:space="preserve"> в нетираща съвкупност (т.е. предоставеното обезпечение се намалява с всяко получено обезпечение). Това включва всякакви маржин сметки </w:t>
            </w:r>
            <w:r w:rsidR="00534625">
              <w:rPr>
                <w:lang w:val="bg-BG"/>
              </w:rPr>
              <w:t>по</w:t>
            </w:r>
            <w:r w:rsidR="00534625">
              <w:t xml:space="preserve"> </w:t>
            </w:r>
            <w:r>
              <w:t>споразуменията за нетиране. Отчита се като положителна стойност за нетни обезпечения, предоставени на контрагенти.</w:t>
            </w:r>
          </w:p>
        </w:tc>
      </w:tr>
      <w:tr w:rsidR="00FE5D6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FE5D64" w:rsidRDefault="00E40776">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14CF172D" w:rsidR="00FE5D64" w:rsidRPr="00EE4BA3" w:rsidRDefault="00EE4BA3">
            <w:pPr>
              <w:pStyle w:val="P68B1DB1-TableParagraph40"/>
              <w:spacing w:before="108"/>
              <w:ind w:left="85"/>
              <w:jc w:val="both"/>
              <w:rPr>
                <w:b/>
                <w:bCs/>
                <w:lang w:val="bg-BG"/>
              </w:rPr>
            </w:pPr>
            <w:r>
              <w:rPr>
                <w:b/>
                <w:lang w:val="bg-BG"/>
              </w:rPr>
              <w:t>Прогнозна</w:t>
            </w:r>
            <w:r w:rsidR="00E40776">
              <w:rPr>
                <w:b/>
              </w:rPr>
              <w:t xml:space="preserve"> сума </w:t>
            </w:r>
            <w:r>
              <w:rPr>
                <w:b/>
                <w:lang w:val="bg-BG"/>
              </w:rPr>
              <w:t>при приключване</w:t>
            </w:r>
          </w:p>
          <w:p w14:paraId="7FE1D188" w14:textId="5881D065" w:rsidR="00FE5D64" w:rsidRDefault="00EE4BA3" w:rsidP="00CE52E8">
            <w:pPr>
              <w:pStyle w:val="P68B1DB1-TableParagraph40"/>
              <w:spacing w:before="108"/>
              <w:ind w:left="85"/>
              <w:jc w:val="both"/>
            </w:pPr>
            <w:r>
              <w:rPr>
                <w:lang w:val="bg-BG"/>
              </w:rPr>
              <w:t>Прогнозна</w:t>
            </w:r>
            <w:r>
              <w:t xml:space="preserve"> </w:t>
            </w:r>
            <w:r w:rsidR="00E40776">
              <w:t>сума при приключване, покриваща размера на загубите или разходите, направени</w:t>
            </w:r>
            <w:r w:rsidR="00CE52E8">
              <w:t xml:space="preserve"> </w:t>
            </w:r>
            <w:r w:rsidR="00E40776">
              <w:t>от контрагентите по деривати, или реализираните от тях печалби, в резултат на замяната или получаването на икономическия еквивалент на съществените условия по прекратените договори и правото на избор на страните във връзка с тези прекратени договори. В някои случаи</w:t>
            </w:r>
            <w:r>
              <w:rPr>
                <w:lang w:val="bg-BG"/>
              </w:rPr>
              <w:t>,</w:t>
            </w:r>
            <w:r w:rsidR="00E40776">
              <w:t xml:space="preserve"> </w:t>
            </w:r>
            <w:r>
              <w:rPr>
                <w:lang w:val="bg-BG"/>
              </w:rPr>
              <w:t xml:space="preserve">прогнозните </w:t>
            </w:r>
            <w:r w:rsidR="00E40776">
              <w:t xml:space="preserve">оценки, необходими за определяне на тази стойност в съответствие с </w:t>
            </w:r>
            <w:r>
              <w:rPr>
                <w:lang w:val="bg-BG"/>
              </w:rPr>
              <w:t>Д</w:t>
            </w:r>
            <w:r w:rsidR="00E40776">
              <w:t xml:space="preserve">елегиран регламент (ЕС) 2016/1401, са трудни за отчитане на индивидуална основа. Затова вместо нея се използват </w:t>
            </w:r>
            <w:r>
              <w:rPr>
                <w:lang w:val="bg-BG"/>
              </w:rPr>
              <w:t>приблизителни</w:t>
            </w:r>
            <w:r>
              <w:t xml:space="preserve"> </w:t>
            </w:r>
            <w:r w:rsidR="00E40776">
              <w:t>стойности, които могат да се базират на наличните данни, като например пруденциалните изисквания за пазарен риск. Положителната стойност на прогнозната сума при приключване води до увеличение на прогнозната сума при предсрочно прекратяване, докато отрицателният знак би намалил прогнозната сума при предсрочно прекратяване.</w:t>
            </w:r>
          </w:p>
        </w:tc>
      </w:tr>
      <w:tr w:rsidR="00FE5D6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FE5D64" w:rsidRDefault="00E40776">
            <w:pPr>
              <w:pStyle w:val="P68B1DB1-Normal31"/>
            </w:pPr>
            <w:r>
              <w:t>0150</w:t>
            </w:r>
          </w:p>
        </w:tc>
        <w:tc>
          <w:tcPr>
            <w:tcW w:w="7832" w:type="dxa"/>
            <w:tcBorders>
              <w:top w:val="single" w:sz="8" w:space="0" w:color="1A171C"/>
              <w:left w:val="single" w:sz="8" w:space="0" w:color="1A171C"/>
              <w:right w:val="nil"/>
            </w:tcBorders>
            <w:vAlign w:val="bottom"/>
          </w:tcPr>
          <w:p w14:paraId="7FE1D18B" w14:textId="24661596" w:rsidR="00FE5D64" w:rsidRDefault="00E40776">
            <w:pPr>
              <w:pStyle w:val="P68B1DB1-TableParagraph40"/>
              <w:spacing w:before="108"/>
              <w:ind w:left="85"/>
              <w:jc w:val="both"/>
              <w:rPr>
                <w:b/>
                <w:bCs/>
              </w:rPr>
            </w:pPr>
            <w:r>
              <w:t xml:space="preserve"> </w:t>
            </w:r>
            <w:r w:rsidR="00EE4BA3">
              <w:rPr>
                <w:b/>
                <w:lang w:val="bg-BG"/>
              </w:rPr>
              <w:t>Прогнозна</w:t>
            </w:r>
            <w:r w:rsidR="00EE4BA3">
              <w:rPr>
                <w:b/>
              </w:rPr>
              <w:t xml:space="preserve"> </w:t>
            </w:r>
            <w:r>
              <w:rPr>
                <w:b/>
              </w:rPr>
              <w:t xml:space="preserve">сума </w:t>
            </w:r>
            <w:r w:rsidR="00FD6EA7">
              <w:rPr>
                <w:b/>
                <w:lang w:val="bg-BG"/>
              </w:rPr>
              <w:t>при предсрочно</w:t>
            </w:r>
            <w:r>
              <w:rPr>
                <w:b/>
              </w:rPr>
              <w:t xml:space="preserve"> прекратяване</w:t>
            </w:r>
          </w:p>
          <w:p w14:paraId="7FE1D18C" w14:textId="68D56B80" w:rsidR="00FE5D64" w:rsidRDefault="00E40776" w:rsidP="00FD6EA7">
            <w:pPr>
              <w:pStyle w:val="P68B1DB1-TableParagraph40"/>
              <w:spacing w:before="108"/>
              <w:ind w:left="85"/>
              <w:jc w:val="both"/>
            </w:pPr>
            <w:r>
              <w:t xml:space="preserve">Във връзка с </w:t>
            </w:r>
            <w:r w:rsidR="00EE4BA3">
              <w:rPr>
                <w:lang w:val="bg-BG"/>
              </w:rPr>
              <w:t>Д</w:t>
            </w:r>
            <w:r>
              <w:t xml:space="preserve">елегиран регламент (ЕС) 2016/1401 относно оценката на дериватите съгласно член 49, параграф 4 от </w:t>
            </w:r>
            <w:r w:rsidR="00EE4BA3" w:rsidRPr="00EE4BA3">
              <w:t xml:space="preserve">Директива 2014/59/ЕС </w:t>
            </w:r>
            <w:r>
              <w:t>този размер се определя, както следва:</w:t>
            </w:r>
          </w:p>
        </w:tc>
      </w:tr>
      <w:tr w:rsidR="00FE5D64" w14:paraId="7FE1D190" w14:textId="77777777">
        <w:tc>
          <w:tcPr>
            <w:tcW w:w="1183" w:type="dxa"/>
            <w:vMerge/>
            <w:tcBorders>
              <w:right w:val="single" w:sz="8" w:space="0" w:color="1A171C"/>
            </w:tcBorders>
            <w:vAlign w:val="center"/>
          </w:tcPr>
          <w:p w14:paraId="7FE1D18E" w14:textId="77777777" w:rsidR="00FE5D64" w:rsidRDefault="00FE5D64">
            <w:pPr>
              <w:rPr>
                <w:rFonts w:ascii="Times New Roman" w:hAnsi="Times New Roman" w:cs="Times New Roman"/>
              </w:rPr>
            </w:pPr>
          </w:p>
        </w:tc>
        <w:tc>
          <w:tcPr>
            <w:tcW w:w="7832" w:type="dxa"/>
            <w:tcBorders>
              <w:left w:val="single" w:sz="8" w:space="0" w:color="1A171C"/>
              <w:right w:val="nil"/>
            </w:tcBorders>
            <w:vAlign w:val="bottom"/>
          </w:tcPr>
          <w:p w14:paraId="7FE1D18F" w14:textId="5E89F6D9" w:rsidR="00FE5D64" w:rsidRDefault="00E40776" w:rsidP="00FD6EA7">
            <w:pPr>
              <w:pStyle w:val="P68B1DB1-TableParagraph40"/>
              <w:spacing w:before="108"/>
              <w:ind w:left="85"/>
              <w:jc w:val="both"/>
            </w:pPr>
            <w:r>
              <w:t xml:space="preserve"> "Оценителят определя стойността на задълженията, произтичащи от договори за деривати в рамките на </w:t>
            </w:r>
            <w:r w:rsidR="00FD6EA7">
              <w:rPr>
                <w:lang w:val="bg-BG"/>
              </w:rPr>
              <w:t>нетираща съвкупност</w:t>
            </w:r>
            <w:r>
              <w:t xml:space="preserve">, като сума при предсрочно прекратяване, изчислена като сбор от следните суми: </w:t>
            </w:r>
          </w:p>
        </w:tc>
      </w:tr>
      <w:tr w:rsidR="00FE5D64" w14:paraId="7FE1D193" w14:textId="77777777">
        <w:tc>
          <w:tcPr>
            <w:tcW w:w="1183" w:type="dxa"/>
            <w:vMerge/>
            <w:tcBorders>
              <w:right w:val="single" w:sz="8" w:space="0" w:color="1A171C"/>
            </w:tcBorders>
            <w:vAlign w:val="center"/>
          </w:tcPr>
          <w:p w14:paraId="7FE1D191" w14:textId="77777777" w:rsidR="00FE5D64" w:rsidRDefault="00FE5D6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FE5D64" w:rsidRDefault="00E40776">
            <w:pPr>
              <w:pStyle w:val="P68B1DB1-TableParagraph40"/>
              <w:spacing w:before="108"/>
              <w:ind w:left="85"/>
              <w:jc w:val="both"/>
            </w:pPr>
            <w:r>
              <w:t xml:space="preserve"> · Неизплатените суми, обезпечения или други суми, дължими на контрагента от институцията в режим на преструктуриране, минус неизплатените суми, обезпечения или други суми, дължими на институцията в режим на преструктуриране от контрагента, на датата на приключване; както и</w:t>
            </w:r>
          </w:p>
        </w:tc>
      </w:tr>
      <w:tr w:rsidR="00FE5D64" w14:paraId="7FE1D196" w14:textId="77777777">
        <w:tc>
          <w:tcPr>
            <w:tcW w:w="1183" w:type="dxa"/>
            <w:vMerge/>
            <w:tcBorders>
              <w:right w:val="single" w:sz="8" w:space="0" w:color="1A171C"/>
            </w:tcBorders>
            <w:vAlign w:val="center"/>
          </w:tcPr>
          <w:p w14:paraId="7FE1D194" w14:textId="77777777" w:rsidR="00FE5D64" w:rsidRDefault="00FE5D64">
            <w:pPr>
              <w:rPr>
                <w:rFonts w:ascii="Times New Roman" w:hAnsi="Times New Roman" w:cs="Times New Roman"/>
              </w:rPr>
            </w:pPr>
          </w:p>
        </w:tc>
        <w:tc>
          <w:tcPr>
            <w:tcW w:w="7832" w:type="dxa"/>
            <w:tcBorders>
              <w:left w:val="single" w:sz="8" w:space="0" w:color="1A171C"/>
              <w:right w:val="nil"/>
            </w:tcBorders>
            <w:vAlign w:val="bottom"/>
          </w:tcPr>
          <w:p w14:paraId="7FE1D195" w14:textId="7210988C" w:rsidR="00FE5D64" w:rsidRPr="003739F8" w:rsidRDefault="00E40776">
            <w:pPr>
              <w:pStyle w:val="P68B1DB1-TableParagraph40"/>
              <w:spacing w:before="108"/>
              <w:ind w:left="85"/>
              <w:jc w:val="both"/>
              <w:rPr>
                <w:lang w:val="bg-BG"/>
              </w:rPr>
            </w:pPr>
            <w:r>
              <w:t xml:space="preserve"> · Сума при приключване, покриваща размера на загубите или разходите, направени от контрагентите по деривати, или реализираните от тях печалби, в резултат на замяната или получаването на икономическия еквивалент на съществените условия по прекратените договори и правото на избор на страните във връзка с тези договори.</w:t>
            </w:r>
            <w:r w:rsidR="003739F8">
              <w:rPr>
                <w:lang w:val="bg-BG"/>
              </w:rPr>
              <w:t>“</w:t>
            </w:r>
          </w:p>
        </w:tc>
      </w:tr>
      <w:tr w:rsidR="00FE5D64" w14:paraId="7FE1D199" w14:textId="77777777">
        <w:tc>
          <w:tcPr>
            <w:tcW w:w="1183" w:type="dxa"/>
            <w:vMerge/>
            <w:tcBorders>
              <w:right w:val="single" w:sz="8" w:space="0" w:color="1A171C"/>
            </w:tcBorders>
            <w:vAlign w:val="center"/>
          </w:tcPr>
          <w:p w14:paraId="7FE1D197" w14:textId="77777777" w:rsidR="00FE5D64" w:rsidRDefault="00FE5D6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D3BAFB6" w:rsidR="00FE5D64" w:rsidRDefault="00E40776" w:rsidP="00954F1A">
            <w:pPr>
              <w:pStyle w:val="P68B1DB1-TableParagraph40"/>
              <w:spacing w:before="108"/>
              <w:ind w:left="85"/>
              <w:jc w:val="both"/>
            </w:pPr>
            <w:r>
              <w:t xml:space="preserve"> Поради това </w:t>
            </w:r>
            <w:r w:rsidR="003739F8">
              <w:rPr>
                <w:lang w:val="bg-BG"/>
              </w:rPr>
              <w:t>прогнозната</w:t>
            </w:r>
            <w:r w:rsidR="003739F8">
              <w:t xml:space="preserve"> </w:t>
            </w:r>
            <w:r>
              <w:t xml:space="preserve">сума при </w:t>
            </w:r>
            <w:r w:rsidR="00954F1A">
              <w:rPr>
                <w:lang w:val="bg-BG"/>
              </w:rPr>
              <w:t>предсрочно</w:t>
            </w:r>
            <w:r w:rsidR="00954F1A">
              <w:t xml:space="preserve"> </w:t>
            </w:r>
            <w:r>
              <w:t xml:space="preserve">прекратяване трябва да е равна на нетната пазарна стойност (c0120) — </w:t>
            </w:r>
            <w:r w:rsidR="003739F8">
              <w:rPr>
                <w:lang w:val="bg-BG"/>
              </w:rPr>
              <w:t xml:space="preserve">Нетна стойност на </w:t>
            </w:r>
            <w:r>
              <w:t>предоставено</w:t>
            </w:r>
            <w:r w:rsidR="003739F8">
              <w:rPr>
                <w:lang w:val="bg-BG"/>
              </w:rPr>
              <w:t>то</w:t>
            </w:r>
            <w:r>
              <w:t xml:space="preserve"> обезпечение (c0130) + </w:t>
            </w:r>
            <w:r w:rsidR="003739F8">
              <w:rPr>
                <w:lang w:val="bg-BG"/>
              </w:rPr>
              <w:t>П</w:t>
            </w:r>
            <w:r>
              <w:t>рогнозната</w:t>
            </w:r>
            <w:r w:rsidR="00954F1A" w:rsidRPr="003739F8">
              <w:rPr>
                <w:lang w:val="bg-BG"/>
              </w:rPr>
              <w:t xml:space="preserve"> сума </w:t>
            </w:r>
            <w:r w:rsidR="003739F8">
              <w:rPr>
                <w:lang w:val="bg-BG"/>
              </w:rPr>
              <w:t>при приключване</w:t>
            </w:r>
            <w:r w:rsidR="00954F1A" w:rsidRPr="003739F8">
              <w:rPr>
                <w:lang w:val="bg-BG"/>
              </w:rPr>
              <w:t xml:space="preserve"> </w:t>
            </w:r>
            <w:r>
              <w:t>(c0140).</w:t>
            </w:r>
          </w:p>
        </w:tc>
      </w:tr>
    </w:tbl>
    <w:p w14:paraId="7FE1D19A" w14:textId="77777777" w:rsidR="00FE5D64" w:rsidRDefault="00FE5D64">
      <w:pPr>
        <w:pStyle w:val="Instructionsberschrift2"/>
        <w:ind w:left="357"/>
        <w:rPr>
          <w:rFonts w:ascii="Times New Roman" w:eastAsia="Calibri" w:hAnsi="Times New Roman" w:cs="Times New Roman"/>
          <w:szCs w:val="20"/>
        </w:rPr>
      </w:pPr>
      <w:bookmarkStart w:id="268" w:name="_Toc81454217"/>
    </w:p>
    <w:p w14:paraId="7FE1D19B" w14:textId="088A2884" w:rsidR="00FE5D64" w:rsidRDefault="00E40776">
      <w:pPr>
        <w:pStyle w:val="Instructionsberschrift2"/>
        <w:numPr>
          <w:ilvl w:val="1"/>
          <w:numId w:val="49"/>
        </w:numPr>
        <w:spacing w:before="0"/>
        <w:ind w:left="357" w:hanging="357"/>
        <w:rPr>
          <w:rFonts w:ascii="Times New Roman" w:hAnsi="Times New Roman" w:cs="Times New Roman"/>
        </w:rPr>
      </w:pPr>
      <w:bookmarkStart w:id="269" w:name="_Toc208244489"/>
      <w:r>
        <w:rPr>
          <w:rFonts w:ascii="Times New Roman" w:eastAsiaTheme="minorEastAsia" w:hAnsi="Times New Roman" w:cs="Times New Roman"/>
        </w:rPr>
        <w:t xml:space="preserve">Z 16.00 — </w:t>
      </w:r>
      <w:r w:rsidR="00067680">
        <w:rPr>
          <w:rFonts w:ascii="Times New Roman" w:eastAsiaTheme="minorEastAsia" w:hAnsi="Times New Roman" w:cs="Times New Roman"/>
          <w:lang w:val="bg-BG"/>
        </w:rPr>
        <w:t>О</w:t>
      </w:r>
      <w:r w:rsidR="002C3614">
        <w:rPr>
          <w:rFonts w:ascii="Times New Roman" w:eastAsiaTheme="minorEastAsia" w:hAnsi="Times New Roman" w:cs="Times New Roman"/>
          <w:lang w:val="bg-BG"/>
        </w:rPr>
        <w:t>безпечено</w:t>
      </w:r>
      <w:r>
        <w:rPr>
          <w:rFonts w:ascii="Times New Roman" w:eastAsiaTheme="minorEastAsia" w:hAnsi="Times New Roman" w:cs="Times New Roman"/>
        </w:rPr>
        <w:t xml:space="preserve"> финансиране, с изключение на вътрешногрупов</w:t>
      </w:r>
      <w:r w:rsidR="00067680">
        <w:rPr>
          <w:rFonts w:ascii="Times New Roman" w:eastAsiaTheme="minorEastAsia" w:hAnsi="Times New Roman" w:cs="Times New Roman"/>
          <w:lang w:val="bg-BG"/>
        </w:rPr>
        <w:t>ото</w:t>
      </w:r>
      <w:r w:rsidR="006B21E5">
        <w:rPr>
          <w:rFonts w:ascii="Times New Roman" w:eastAsiaTheme="minorEastAsia" w:hAnsi="Times New Roman" w:cs="Times New Roman"/>
          <w:lang w:val="bg-BG"/>
        </w:rPr>
        <w:t xml:space="preserve"> финансиране</w:t>
      </w:r>
      <w:r>
        <w:rPr>
          <w:rFonts w:ascii="Times New Roman" w:eastAsiaTheme="minorEastAsia" w:hAnsi="Times New Roman" w:cs="Times New Roman"/>
        </w:rPr>
        <w:t xml:space="preserve"> </w:t>
      </w:r>
      <w:r>
        <w:rPr>
          <w:rFonts w:ascii="Times New Roman" w:eastAsia="Calibri" w:hAnsi="Times New Roman" w:cs="Times New Roman"/>
          <w:szCs w:val="20"/>
        </w:rPr>
        <w:t>(LIAB-G-6)</w:t>
      </w:r>
      <w:bookmarkEnd w:id="269"/>
    </w:p>
    <w:p w14:paraId="7FE1D19C" w14:textId="07C13721" w:rsidR="00FE5D64" w:rsidRDefault="00E40776">
      <w:pPr>
        <w:pStyle w:val="P68B1DB1-Instructionsberschrift289"/>
        <w:rPr>
          <w:rFonts w:eastAsiaTheme="minorEastAsia"/>
        </w:rPr>
      </w:pPr>
      <w:r>
        <w:t xml:space="preserve"> </w:t>
      </w:r>
      <w:bookmarkEnd w:id="268"/>
    </w:p>
    <w:p w14:paraId="7FE1D19D" w14:textId="77777777" w:rsidR="00FE5D64" w:rsidRDefault="00E40776">
      <w:pPr>
        <w:pStyle w:val="P68B1DB1-Numberedtitlelevel388"/>
      </w:pPr>
      <w:r>
        <w:t>Общи бележки</w:t>
      </w:r>
    </w:p>
    <w:p w14:paraId="7FE1D19E" w14:textId="535945E6" w:rsidR="00FE5D64" w:rsidRDefault="00E40776">
      <w:pPr>
        <w:pStyle w:val="P68B1DB1-InstructionsText286"/>
        <w:numPr>
          <w:ilvl w:val="2"/>
          <w:numId w:val="209"/>
        </w:numPr>
        <w:spacing w:before="0"/>
        <w:ind w:left="1276"/>
        <w:rPr>
          <w:rFonts w:eastAsiaTheme="majorEastAsia"/>
        </w:rPr>
      </w:pPr>
      <w:r>
        <w:t xml:space="preserve">Обезпеченото финансиране включва всички </w:t>
      </w:r>
      <w:r w:rsidR="0012152C">
        <w:rPr>
          <w:lang w:val="bg-BG"/>
        </w:rPr>
        <w:t>финансови споразумения</w:t>
      </w:r>
      <w:r>
        <w:t xml:space="preserve">, </w:t>
      </w:r>
      <w:r w:rsidR="0012152C">
        <w:rPr>
          <w:lang w:val="bg-BG"/>
        </w:rPr>
        <w:t xml:space="preserve">при </w:t>
      </w:r>
      <w:r>
        <w:t xml:space="preserve">които </w:t>
      </w:r>
      <w:r w:rsidR="0012152C">
        <w:rPr>
          <w:lang w:val="bg-BG"/>
        </w:rPr>
        <w:t>се предоставя</w:t>
      </w:r>
      <w:r>
        <w:t xml:space="preserve"> обезпечение, </w:t>
      </w:r>
      <w:r w:rsidR="00096E15">
        <w:rPr>
          <w:lang w:val="bg-BG"/>
        </w:rPr>
        <w:t>права на задържане</w:t>
      </w:r>
      <w:r w:rsidR="00096E15">
        <w:t xml:space="preserve"> </w:t>
      </w:r>
      <w:r>
        <w:t xml:space="preserve">или залози, с изключение например на ценни книжа, които трябва да се отчитат в Z12.00. </w:t>
      </w:r>
    </w:p>
    <w:p w14:paraId="7FE1D19F" w14:textId="77777777" w:rsidR="00FE5D64" w:rsidRDefault="00E40776">
      <w:pPr>
        <w:pStyle w:val="P68B1DB1-InstructionsText286"/>
        <w:numPr>
          <w:ilvl w:val="2"/>
          <w:numId w:val="209"/>
        </w:numPr>
        <w:spacing w:before="0"/>
        <w:ind w:left="1276"/>
      </w:pPr>
      <w:r>
        <w:t>Типични примери за такива споразумения са споразумения за финансиране от централна банка или споразумения за обратно изкупуване.</w:t>
      </w:r>
    </w:p>
    <w:p w14:paraId="7FE1D1A0" w14:textId="22DB591B" w:rsidR="00FE5D64" w:rsidRDefault="00096E15">
      <w:pPr>
        <w:pStyle w:val="P68B1DB1-InstructionsText286"/>
        <w:numPr>
          <w:ilvl w:val="2"/>
          <w:numId w:val="209"/>
        </w:numPr>
        <w:spacing w:before="0"/>
        <w:ind w:left="1276"/>
      </w:pPr>
      <w:r>
        <w:rPr>
          <w:lang w:val="bg-BG"/>
        </w:rPr>
        <w:t>Отчита</w:t>
      </w:r>
      <w:r>
        <w:t xml:space="preserve"> </w:t>
      </w:r>
      <w:r w:rsidR="00E40776">
        <w:t>се обезпеченото задължение, а не самото обезпечение.</w:t>
      </w:r>
    </w:p>
    <w:p w14:paraId="7FE1D1A1" w14:textId="259D366F" w:rsidR="00FE5D64" w:rsidRDefault="00E40776">
      <w:pPr>
        <w:pStyle w:val="P68B1DB1-InstructionsText286"/>
        <w:numPr>
          <w:ilvl w:val="2"/>
          <w:numId w:val="209"/>
        </w:numPr>
        <w:spacing w:before="0"/>
        <w:ind w:left="1276"/>
      </w:pPr>
      <w:r>
        <w:t xml:space="preserve">За целите на настоящата таблица обезпечените финансови споразумения трябва да се отчитат </w:t>
      </w:r>
      <w:r w:rsidR="000B0788">
        <w:rPr>
          <w:lang w:val="bg-BG"/>
        </w:rPr>
        <w:t>на база на</w:t>
      </w:r>
      <w:r>
        <w:t xml:space="preserve"> нетираща съвкупност, т.е. всяка нетираща съвкупност, отчетена като отделна позиция в ред. Обезпечената част и необезпечената част от една и съща нетираща съвкупност обаче трябва да се отчитат в различни редове, ако се отнасят до различен </w:t>
      </w:r>
      <w:r w:rsidR="000B0788">
        <w:rPr>
          <w:lang w:val="bg-BG"/>
        </w:rPr>
        <w:t>ред на вземанията в производство по</w:t>
      </w:r>
      <w:r>
        <w:t xml:space="preserve"> несъстоятелност. </w:t>
      </w:r>
    </w:p>
    <w:p w14:paraId="7FE1D1A2" w14:textId="32D5D01C" w:rsidR="00FE5D64" w:rsidRDefault="00E40776">
      <w:pPr>
        <w:pStyle w:val="P68B1DB1-InstructionsText286"/>
        <w:numPr>
          <w:ilvl w:val="2"/>
          <w:numId w:val="209"/>
        </w:numPr>
        <w:spacing w:before="0"/>
        <w:ind w:left="1276"/>
      </w:pPr>
      <w:r>
        <w:t xml:space="preserve">В </w:t>
      </w:r>
      <w:r w:rsidR="006414DF">
        <w:rPr>
          <w:lang w:val="bg-BG"/>
        </w:rPr>
        <w:t>тази връзка при отчитане</w:t>
      </w:r>
      <w:r>
        <w:t xml:space="preserve"> не са приложими прагове.</w:t>
      </w:r>
    </w:p>
    <w:p w14:paraId="7FE1D1A3" w14:textId="77777777" w:rsidR="00FE5D64" w:rsidRDefault="00E40776">
      <w:pPr>
        <w:pStyle w:val="P68B1DB1-Numberedtitlelevel388"/>
      </w:pPr>
      <w:r>
        <w:t>Указания относно определени позиции</w:t>
      </w:r>
    </w:p>
    <w:tbl>
      <w:tblPr>
        <w:tblW w:w="9015" w:type="dxa"/>
        <w:tblInd w:w="135" w:type="dxa"/>
        <w:tblLayout w:type="fixed"/>
        <w:tblLook w:val="04A0" w:firstRow="1" w:lastRow="0" w:firstColumn="1" w:lastColumn="0" w:noHBand="0" w:noVBand="1"/>
      </w:tblPr>
      <w:tblGrid>
        <w:gridCol w:w="1183"/>
        <w:gridCol w:w="7832"/>
      </w:tblGrid>
      <w:tr w:rsidR="00FE5D64"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FE5D64" w:rsidRDefault="00E40776">
            <w:pPr>
              <w:pStyle w:val="P68B1DB1-Normal31"/>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FE5D64" w:rsidRDefault="00E40776">
            <w:pPr>
              <w:pStyle w:val="P68B1DB1-Normal31"/>
            </w:pPr>
            <w:r>
              <w:t xml:space="preserve">Указания </w:t>
            </w:r>
          </w:p>
        </w:tc>
      </w:tr>
      <w:tr w:rsidR="00FE5D6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FE5D64" w:rsidRDefault="00E40776">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4F9DA0F5" w:rsidR="00FE5D64" w:rsidRPr="0012152C" w:rsidRDefault="0012152C">
            <w:pPr>
              <w:pStyle w:val="P68B1DB1-TableParagraph40"/>
              <w:spacing w:before="108"/>
              <w:ind w:left="85"/>
              <w:jc w:val="both"/>
              <w:rPr>
                <w:b/>
                <w:bCs/>
                <w:lang w:val="bg-BG"/>
              </w:rPr>
            </w:pPr>
            <w:r>
              <w:rPr>
                <w:b/>
                <w:lang w:val="bg-BG"/>
              </w:rPr>
              <w:t>№</w:t>
            </w:r>
          </w:p>
          <w:p w14:paraId="7FE1D1A9" w14:textId="7C09A169" w:rsidR="00FE5D64" w:rsidRDefault="00E40776">
            <w:pPr>
              <w:pStyle w:val="P68B1DB1-TableParagraph40"/>
              <w:spacing w:before="108"/>
              <w:ind w:left="85"/>
              <w:jc w:val="both"/>
            </w:pPr>
            <w:r>
              <w:t>Уникален номер/първичен ключ за идентифициране на редовите позиции.</w:t>
            </w:r>
          </w:p>
        </w:tc>
      </w:tr>
      <w:tr w:rsidR="00FE5D6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FE5D64" w:rsidRDefault="00E40776">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FE5D64" w:rsidRDefault="00E40776">
            <w:pPr>
              <w:pStyle w:val="P68B1DB1-TableParagraph40"/>
              <w:spacing w:before="108"/>
              <w:ind w:left="85"/>
              <w:jc w:val="both"/>
              <w:rPr>
                <w:b/>
                <w:bCs/>
              </w:rPr>
            </w:pPr>
            <w:r>
              <w:t xml:space="preserve"> </w:t>
            </w:r>
            <w:r>
              <w:rPr>
                <w:b/>
              </w:rPr>
              <w:t>Колона</w:t>
            </w:r>
          </w:p>
          <w:p w14:paraId="7FE1D1AD" w14:textId="36854180" w:rsidR="00FE5D64" w:rsidRDefault="00E40776" w:rsidP="00715738">
            <w:pPr>
              <w:pStyle w:val="P68B1DB1-TableParagraph40"/>
              <w:spacing w:before="108"/>
              <w:ind w:left="85"/>
              <w:jc w:val="both"/>
            </w:pPr>
            <w:r>
              <w:t xml:space="preserve">За всяка нетираща съвкупност трябва да се </w:t>
            </w:r>
            <w:r w:rsidR="000B0788">
              <w:rPr>
                <w:lang w:val="bg-BG"/>
              </w:rPr>
              <w:t>избере съответния вид контрагент, към който е задължението, съгласно структура</w:t>
            </w:r>
            <w:r w:rsidR="00DB6C03">
              <w:rPr>
                <w:lang w:val="bg-BG"/>
              </w:rPr>
              <w:t>та</w:t>
            </w:r>
            <w:r w:rsidR="000B0788">
              <w:rPr>
                <w:lang w:val="bg-BG"/>
              </w:rPr>
              <w:t xml:space="preserve"> </w:t>
            </w:r>
            <w:r>
              <w:t>в Z02.00 от</w:t>
            </w:r>
            <w:r w:rsidR="00715738">
              <w:t xml:space="preserve"> </w:t>
            </w:r>
            <w:r>
              <w:t>предварително определен списък със стойности.</w:t>
            </w:r>
          </w:p>
        </w:tc>
      </w:tr>
      <w:tr w:rsidR="00FE5D6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FE5D64" w:rsidRDefault="00E40776">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622E52F2" w:rsidR="00FE5D64" w:rsidRDefault="00CF6326">
            <w:pPr>
              <w:pStyle w:val="P68B1DB1-TableParagraph40"/>
              <w:spacing w:before="108"/>
              <w:ind w:left="85"/>
              <w:jc w:val="both"/>
              <w:rPr>
                <w:b/>
                <w:bCs/>
              </w:rPr>
            </w:pPr>
            <w:r>
              <w:rPr>
                <w:b/>
                <w:lang w:val="bg-BG"/>
              </w:rPr>
              <w:t>Ред на вземанията в производство по</w:t>
            </w:r>
            <w:r w:rsidR="00E40776">
              <w:rPr>
                <w:b/>
              </w:rPr>
              <w:t xml:space="preserve"> несъстоятелност</w:t>
            </w:r>
          </w:p>
          <w:p w14:paraId="7FE1D1B1" w14:textId="4C73C065" w:rsidR="00FE5D64" w:rsidRDefault="00DB6C03" w:rsidP="00956F85">
            <w:pPr>
              <w:pStyle w:val="P68B1DB1-TableParagraph40"/>
              <w:spacing w:before="108"/>
              <w:ind w:left="85"/>
              <w:jc w:val="both"/>
            </w:pPr>
            <w:r w:rsidRPr="00DB6C03">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r w:rsidR="00E40776">
              <w:t>.</w:t>
            </w:r>
          </w:p>
        </w:tc>
      </w:tr>
      <w:tr w:rsidR="00FE5D6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FE5D64" w:rsidRDefault="00E40776">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FE5D64" w:rsidRDefault="00E40776">
            <w:pPr>
              <w:pStyle w:val="P68B1DB1-TableParagraph73"/>
              <w:spacing w:before="108"/>
              <w:ind w:left="85"/>
              <w:jc w:val="both"/>
              <w:rPr>
                <w:bCs/>
              </w:rPr>
            </w:pPr>
            <w:r>
              <w:t xml:space="preserve"> Идентификационен номер на рамковото споразумение </w:t>
            </w:r>
          </w:p>
          <w:p w14:paraId="7FE1D1B5" w14:textId="77777777" w:rsidR="00FE5D64" w:rsidRDefault="00E40776">
            <w:pPr>
              <w:pStyle w:val="P68B1DB1-TableParagraph40"/>
              <w:spacing w:before="108"/>
              <w:ind w:left="85"/>
              <w:jc w:val="both"/>
            </w:pPr>
            <w:r>
              <w:t>Вътрешен идентификатор на рамковото споразумение или на отделния договор.</w:t>
            </w:r>
          </w:p>
        </w:tc>
      </w:tr>
      <w:tr w:rsidR="00FE5D6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FE5D64" w:rsidRDefault="00E40776">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36FA9E89" w:rsidR="00FE5D64" w:rsidRDefault="00E40776">
            <w:pPr>
              <w:pStyle w:val="P68B1DB1-TableParagraph73"/>
              <w:spacing w:before="108"/>
              <w:ind w:left="85"/>
              <w:jc w:val="both"/>
              <w:rPr>
                <w:bCs/>
              </w:rPr>
            </w:pPr>
            <w:r>
              <w:t xml:space="preserve"> </w:t>
            </w:r>
            <w:r w:rsidR="00956F85">
              <w:rPr>
                <w:lang w:val="bg-BG"/>
              </w:rPr>
              <w:t>Вид</w:t>
            </w:r>
            <w:r w:rsidR="00956F85">
              <w:t xml:space="preserve"> </w:t>
            </w:r>
            <w:r>
              <w:t xml:space="preserve">на </w:t>
            </w:r>
            <w:r w:rsidR="00956F85">
              <w:rPr>
                <w:lang w:val="bg-BG"/>
              </w:rPr>
              <w:t>рамково споразумение</w:t>
            </w:r>
            <w:r w:rsidR="00956F85">
              <w:t xml:space="preserve"> </w:t>
            </w:r>
            <w:r>
              <w:t xml:space="preserve">(напр. </w:t>
            </w:r>
            <w:r w:rsidR="00956F85">
              <w:rPr>
                <w:lang w:val="en-US"/>
              </w:rPr>
              <w:t>GMRA</w:t>
            </w:r>
            <w:r>
              <w:t xml:space="preserve">) </w:t>
            </w:r>
          </w:p>
          <w:p w14:paraId="7FE1D1B9" w14:textId="719CA179" w:rsidR="00FE5D64" w:rsidRDefault="00E6040D" w:rsidP="00956F85">
            <w:pPr>
              <w:pStyle w:val="P68B1DB1-TableParagraph40"/>
              <w:spacing w:before="108"/>
              <w:ind w:left="85"/>
              <w:jc w:val="both"/>
            </w:pPr>
            <w:r>
              <w:rPr>
                <w:lang w:val="bg-BG"/>
              </w:rPr>
              <w:t>Посочва се вида на</w:t>
            </w:r>
            <w:r w:rsidR="00956F85">
              <w:rPr>
                <w:lang w:val="bg-BG"/>
              </w:rPr>
              <w:t xml:space="preserve"> </w:t>
            </w:r>
            <w:r w:rsidR="00E40776">
              <w:t>рамковото споразумение</w:t>
            </w:r>
            <w:r w:rsidR="00956F85" w:rsidRPr="00CF6326">
              <w:rPr>
                <w:lang w:val="bg-BG"/>
              </w:rPr>
              <w:t xml:space="preserve"> </w:t>
            </w:r>
            <w:r w:rsidR="00956F85">
              <w:rPr>
                <w:lang w:val="bg-BG"/>
              </w:rPr>
              <w:t>от предварително определен списък, както следва:</w:t>
            </w:r>
            <w:r w:rsidR="00E40776">
              <w:t xml:space="preserve"> „ICMA 2011 </w:t>
            </w:r>
            <w:r w:rsidR="00956F85">
              <w:t>Global Master repurchase agreements</w:t>
            </w:r>
            <w:r w:rsidR="00956F85">
              <w:rPr>
                <w:lang w:val="bg-BG"/>
              </w:rPr>
              <w:t>“</w:t>
            </w:r>
            <w:r w:rsidR="00E40776">
              <w:t>, „ICMA 2000 Global Master repurchase agreements</w:t>
            </w:r>
            <w:r w:rsidR="00956F85">
              <w:rPr>
                <w:lang w:val="bg-BG"/>
              </w:rPr>
              <w:t>“</w:t>
            </w:r>
            <w:r w:rsidR="00E40776">
              <w:t>, „ICMA 1995 Global Master repurchase agreements</w:t>
            </w:r>
            <w:r w:rsidR="00956F85">
              <w:rPr>
                <w:lang w:val="bg-BG"/>
              </w:rPr>
              <w:t>“</w:t>
            </w:r>
            <w:r w:rsidR="00E40776">
              <w:t>, „ICMA 1992 Global Master repurchase agreements“, „Други глобални рамкови споразумения за обратно изкупуване</w:t>
            </w:r>
            <w:r w:rsidR="00956F85">
              <w:rPr>
                <w:lang w:val="bg-BG"/>
              </w:rPr>
              <w:t>“</w:t>
            </w:r>
            <w:r w:rsidR="00E40776">
              <w:t>.</w:t>
            </w:r>
          </w:p>
        </w:tc>
      </w:tr>
      <w:tr w:rsidR="00FE5D6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FE5D64" w:rsidRDefault="00E40776">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FE5D64" w:rsidRDefault="00E40776">
            <w:pPr>
              <w:pStyle w:val="P68B1DB1-TableParagraph73"/>
              <w:spacing w:before="108"/>
              <w:ind w:left="85"/>
              <w:jc w:val="both"/>
              <w:rPr>
                <w:bCs/>
              </w:rPr>
            </w:pPr>
            <w:bookmarkStart w:id="270" w:name="_Hlk189839338"/>
            <w:r>
              <w:t xml:space="preserve">Наименование на контрагента </w:t>
            </w:r>
          </w:p>
          <w:bookmarkEnd w:id="270"/>
          <w:p w14:paraId="7FE1D1BD" w14:textId="20EB9C9D" w:rsidR="00FE5D64" w:rsidRDefault="00E40776" w:rsidP="00956F85">
            <w:pPr>
              <w:pStyle w:val="P68B1DB1-TableParagraph40"/>
              <w:spacing w:before="108"/>
              <w:ind w:left="85"/>
              <w:jc w:val="both"/>
            </w:pPr>
            <w:r>
              <w:t>Наименованието на контрагента.</w:t>
            </w:r>
          </w:p>
        </w:tc>
      </w:tr>
      <w:tr w:rsidR="00FE5D6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FE5D64" w:rsidRDefault="00E40776">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FE5D64" w:rsidRDefault="00E40776">
            <w:pPr>
              <w:pStyle w:val="P68B1DB1-TableParagraph40"/>
              <w:spacing w:before="108"/>
              <w:ind w:left="85"/>
              <w:jc w:val="both"/>
              <w:rPr>
                <w:b/>
                <w:bCs/>
              </w:rPr>
            </w:pPr>
            <w:r>
              <w:t xml:space="preserve"> </w:t>
            </w:r>
            <w:r>
              <w:rPr>
                <w:b/>
              </w:rPr>
              <w:t>Контрагент (ИКПС/ПФИ/местен идентификатор)</w:t>
            </w:r>
          </w:p>
          <w:p w14:paraId="7FE1D1C1" w14:textId="6BE1AB89" w:rsidR="00FE5D64" w:rsidRDefault="00E40776" w:rsidP="0082067D">
            <w:pPr>
              <w:pStyle w:val="P68B1DB1-TableParagraph40"/>
              <w:spacing w:before="108"/>
              <w:ind w:left="85"/>
              <w:jc w:val="both"/>
            </w:pPr>
            <w:r>
              <w:t>Посочва се ИКПС на кредитора. При липса на ИКПС</w:t>
            </w:r>
            <w:r w:rsidR="00EE4A7B">
              <w:rPr>
                <w:lang w:val="bg-BG"/>
              </w:rPr>
              <w:t xml:space="preserve"> </w:t>
            </w:r>
            <w:r>
              <w:t>използваният в RIAD идентифик</w:t>
            </w:r>
            <w:r w:rsidR="0082067D">
              <w:rPr>
                <w:lang w:val="bg-BG"/>
              </w:rPr>
              <w:t>ационен код</w:t>
            </w:r>
            <w:r>
              <w:t xml:space="preserve"> на ЕЦБ </w:t>
            </w:r>
            <w:r w:rsidR="00E6040D">
              <w:rPr>
                <w:lang w:val="bg-BG"/>
              </w:rPr>
              <w:t>за</w:t>
            </w:r>
            <w:r w:rsidR="00E6040D">
              <w:t xml:space="preserve"> </w:t>
            </w:r>
            <w:r>
              <w:t>паричн</w:t>
            </w:r>
            <w:r w:rsidR="00E6040D">
              <w:rPr>
                <w:lang w:val="bg-BG"/>
              </w:rPr>
              <w:t>о-</w:t>
            </w:r>
            <w:r>
              <w:t>финансови институции (</w:t>
            </w:r>
            <w:r w:rsidR="00E6040D">
              <w:rPr>
                <w:lang w:val="bg-BG"/>
              </w:rPr>
              <w:t xml:space="preserve">Код на </w:t>
            </w:r>
            <w:r>
              <w:t xml:space="preserve">ПФИ). При липса </w:t>
            </w:r>
            <w:r w:rsidR="0082067D">
              <w:rPr>
                <w:lang w:val="bg-BG"/>
              </w:rPr>
              <w:t xml:space="preserve">и </w:t>
            </w:r>
            <w:r>
              <w:t xml:space="preserve">на двата идентификатора се </w:t>
            </w:r>
            <w:r w:rsidR="00E6040D">
              <w:rPr>
                <w:lang w:val="bg-BG"/>
              </w:rPr>
              <w:t>посочва</w:t>
            </w:r>
            <w:r w:rsidR="0082067D">
              <w:t xml:space="preserve"> </w:t>
            </w:r>
            <w:r>
              <w:t>вътрешен идентификатор.</w:t>
            </w:r>
          </w:p>
        </w:tc>
      </w:tr>
      <w:tr w:rsidR="00FE5D6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FE5D64" w:rsidRDefault="00E40776">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FE5D64" w:rsidRDefault="00E40776">
            <w:pPr>
              <w:pStyle w:val="P68B1DB1-TableParagraph73"/>
              <w:spacing w:before="108"/>
              <w:ind w:left="85"/>
              <w:jc w:val="both"/>
              <w:rPr>
                <w:bCs/>
              </w:rPr>
            </w:pPr>
            <w:r>
              <w:t xml:space="preserve">Вид идентификатор </w:t>
            </w:r>
          </w:p>
          <w:p w14:paraId="7FE1D1C5" w14:textId="535A217A" w:rsidR="00FE5D64" w:rsidRDefault="00E40776" w:rsidP="0082067D">
            <w:pPr>
              <w:pStyle w:val="P68B1DB1-TableParagraph40"/>
              <w:spacing w:before="108"/>
              <w:ind w:left="85"/>
              <w:jc w:val="both"/>
            </w:pPr>
            <w:r>
              <w:t>Избира се измежду следните варианти: „ИКПС</w:t>
            </w:r>
            <w:r w:rsidR="0082067D">
              <w:rPr>
                <w:lang w:val="bg-BG"/>
              </w:rPr>
              <w:t>“</w:t>
            </w:r>
            <w:r>
              <w:t>, „Код на ПФИ</w:t>
            </w:r>
            <w:r w:rsidR="0082067D">
              <w:rPr>
                <w:lang w:val="bg-BG"/>
              </w:rPr>
              <w:t xml:space="preserve">“ </w:t>
            </w:r>
            <w:r>
              <w:t>или „Вид идентификатор, различен от ИКПС или код на ПФИ“.</w:t>
            </w:r>
          </w:p>
        </w:tc>
      </w:tr>
      <w:tr w:rsidR="00FE5D6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FE5D64" w:rsidRDefault="00E40776">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43C337A9" w:rsidR="00FE5D64" w:rsidRDefault="00E40776">
            <w:pPr>
              <w:pStyle w:val="P68B1DB1-TableParagraph40"/>
              <w:spacing w:before="108"/>
              <w:ind w:left="85"/>
              <w:jc w:val="both"/>
              <w:rPr>
                <w:b/>
                <w:bCs/>
              </w:rPr>
            </w:pPr>
            <w:r>
              <w:t xml:space="preserve"> </w:t>
            </w:r>
            <w:r>
              <w:rPr>
                <w:b/>
              </w:rPr>
              <w:t>Държава на контрагент</w:t>
            </w:r>
          </w:p>
          <w:p w14:paraId="7FE1D1C9" w14:textId="333B2F47" w:rsidR="00FE5D64" w:rsidRDefault="00E40776">
            <w:pPr>
              <w:pStyle w:val="P68B1DB1-TableParagraph40"/>
              <w:spacing w:before="108"/>
              <w:ind w:left="85"/>
              <w:jc w:val="both"/>
            </w:pPr>
            <w:r>
              <w:t xml:space="preserve">Наименованието на държавата, в която </w:t>
            </w:r>
            <w:r w:rsidR="00E6040D">
              <w:t xml:space="preserve">е учреден </w:t>
            </w:r>
            <w:r>
              <w:t>контрагентът.</w:t>
            </w:r>
          </w:p>
        </w:tc>
      </w:tr>
      <w:tr w:rsidR="00FE5D6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FE5D64" w:rsidRDefault="00E40776">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00918B51" w:rsidR="00FE5D64" w:rsidRPr="00E6040D" w:rsidRDefault="00E40776">
            <w:pPr>
              <w:pStyle w:val="P68B1DB1-TableParagraph40"/>
              <w:spacing w:before="108"/>
              <w:ind w:left="85"/>
              <w:jc w:val="both"/>
              <w:rPr>
                <w:b/>
                <w:lang w:val="bg-BG"/>
              </w:rPr>
            </w:pPr>
            <w:r>
              <w:t xml:space="preserve"> </w:t>
            </w:r>
            <w:r>
              <w:rPr>
                <w:b/>
              </w:rPr>
              <w:t xml:space="preserve">Приложимо право на </w:t>
            </w:r>
            <w:r w:rsidR="00DF6308">
              <w:rPr>
                <w:b/>
                <w:lang w:val="bg-BG"/>
              </w:rPr>
              <w:t>рамково</w:t>
            </w:r>
            <w:r w:rsidR="001617D3">
              <w:rPr>
                <w:b/>
                <w:lang w:val="bg-BG"/>
              </w:rPr>
              <w:t>то</w:t>
            </w:r>
            <w:r w:rsidR="00DF6308">
              <w:rPr>
                <w:b/>
                <w:lang w:val="bg-BG"/>
              </w:rPr>
              <w:t xml:space="preserve"> споразумение</w:t>
            </w:r>
            <w:r>
              <w:rPr>
                <w:b/>
              </w:rPr>
              <w:t>/</w:t>
            </w:r>
            <w:r w:rsidR="00DF6308">
              <w:rPr>
                <w:b/>
                <w:lang w:val="bg-BG"/>
              </w:rPr>
              <w:t>отделен договор</w:t>
            </w:r>
          </w:p>
          <w:p w14:paraId="7FE1D1CD" w14:textId="755F6BD4" w:rsidR="00FE5D64" w:rsidRDefault="00E40776" w:rsidP="00DF6308">
            <w:pPr>
              <w:pStyle w:val="P68B1DB1-TableParagraph40"/>
              <w:spacing w:before="108"/>
              <w:ind w:left="85"/>
              <w:jc w:val="both"/>
            </w:pPr>
            <w:r>
              <w:t xml:space="preserve">Името на държавата, чието право урежда </w:t>
            </w:r>
            <w:r w:rsidR="00DF6308">
              <w:rPr>
                <w:lang w:val="bg-BG"/>
              </w:rPr>
              <w:t>рамковото споразумение</w:t>
            </w:r>
            <w:r>
              <w:t>/</w:t>
            </w:r>
            <w:r w:rsidR="001617D3">
              <w:rPr>
                <w:lang w:val="bg-BG"/>
              </w:rPr>
              <w:t>отделния</w:t>
            </w:r>
            <w:r w:rsidR="001617D3">
              <w:t xml:space="preserve"> </w:t>
            </w:r>
            <w:r>
              <w:t xml:space="preserve">договор. Ако договорът се урежда от правото на повече от една държава, се </w:t>
            </w:r>
            <w:r w:rsidR="00597011">
              <w:rPr>
                <w:lang w:val="bg-BG"/>
              </w:rPr>
              <w:t>посочва</w:t>
            </w:r>
            <w:r w:rsidR="00597011">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FE5D64" w:rsidRDefault="00E40776">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68B8A1F8" w:rsidR="00FE5D64" w:rsidRDefault="00E40776">
            <w:pPr>
              <w:pStyle w:val="P68B1DB1-TableParagraph40"/>
              <w:spacing w:before="108"/>
              <w:ind w:left="85"/>
              <w:jc w:val="both"/>
              <w:rPr>
                <w:b/>
                <w:bCs/>
              </w:rPr>
            </w:pPr>
            <w:r>
              <w:t xml:space="preserve"> </w:t>
            </w:r>
            <w:r>
              <w:rPr>
                <w:b/>
              </w:rPr>
              <w:t xml:space="preserve">Брой </w:t>
            </w:r>
            <w:r w:rsidR="00597011">
              <w:rPr>
                <w:b/>
              </w:rPr>
              <w:t>обхванати</w:t>
            </w:r>
            <w:r w:rsidR="00597011">
              <w:rPr>
                <w:b/>
                <w:lang w:val="bg-BG"/>
              </w:rPr>
              <w:t xml:space="preserve"> сделки</w:t>
            </w:r>
          </w:p>
          <w:p w14:paraId="7FE1D1D1" w14:textId="11954BFF" w:rsidR="00FE5D64" w:rsidRDefault="00E40776" w:rsidP="00302D31">
            <w:pPr>
              <w:pStyle w:val="P68B1DB1-TableParagraph40"/>
              <w:spacing w:before="108"/>
              <w:ind w:left="85"/>
              <w:jc w:val="both"/>
            </w:pPr>
            <w:r>
              <w:t xml:space="preserve">Посочва се броят на отделните договори, които са включени в нетиращата съвкупност </w:t>
            </w:r>
            <w:r w:rsidR="00597011">
              <w:rPr>
                <w:lang w:val="bg-BG"/>
              </w:rPr>
              <w:t>по</w:t>
            </w:r>
            <w:r>
              <w:t xml:space="preserve"> </w:t>
            </w:r>
            <w:r w:rsidR="00302D31">
              <w:rPr>
                <w:lang w:val="bg-BG"/>
              </w:rPr>
              <w:t>рамковото споразумение</w:t>
            </w:r>
            <w:r>
              <w:t>.</w:t>
            </w:r>
          </w:p>
        </w:tc>
      </w:tr>
      <w:tr w:rsidR="00FE5D6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FE5D64" w:rsidRDefault="00E40776">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FE5D64" w:rsidRDefault="00E40776">
            <w:pPr>
              <w:pStyle w:val="P68B1DB1-TableParagraph40"/>
              <w:spacing w:before="108"/>
              <w:ind w:left="85"/>
              <w:jc w:val="both"/>
              <w:rPr>
                <w:b/>
                <w:bCs/>
              </w:rPr>
            </w:pPr>
            <w:r>
              <w:t xml:space="preserve"> </w:t>
            </w:r>
            <w:r>
              <w:rPr>
                <w:b/>
              </w:rPr>
              <w:t>Нетен размер на полученото финансиране</w:t>
            </w:r>
          </w:p>
          <w:p w14:paraId="7FE1D1D5" w14:textId="645E0AA1" w:rsidR="00FE5D64" w:rsidRDefault="00E40776">
            <w:pPr>
              <w:pStyle w:val="P68B1DB1-TableParagraph40"/>
              <w:spacing w:before="108"/>
              <w:ind w:left="85"/>
              <w:jc w:val="both"/>
            </w:pPr>
            <w:r>
              <w:t xml:space="preserve">Посочва се нетният размер на финансирането, получено по </w:t>
            </w:r>
            <w:r w:rsidR="00597011">
              <w:rPr>
                <w:lang w:val="bg-BG"/>
              </w:rPr>
              <w:t xml:space="preserve">силата на </w:t>
            </w:r>
            <w:r>
              <w:t>споразумения за</w:t>
            </w:r>
            <w:r w:rsidR="00597011">
              <w:rPr>
                <w:lang w:val="bg-BG"/>
              </w:rPr>
              <w:t xml:space="preserve"> обезпечено</w:t>
            </w:r>
            <w:r>
              <w:t xml:space="preserve"> финансиране, като се вземат предвид всички </w:t>
            </w:r>
            <w:r w:rsidR="00597011">
              <w:rPr>
                <w:lang w:val="bg-BG"/>
              </w:rPr>
              <w:t>трансакции</w:t>
            </w:r>
            <w:r>
              <w:t xml:space="preserve">, които са предмет на </w:t>
            </w:r>
            <w:r w:rsidR="00597011">
              <w:rPr>
                <w:lang w:val="bg-BG"/>
              </w:rPr>
              <w:t xml:space="preserve">нетиращото </w:t>
            </w:r>
            <w:r>
              <w:t>споразумение. Следва да се отбележи, че тази сума не включва начислените лихви, докато съответната сума в Z02.00</w:t>
            </w:r>
            <w:r w:rsidR="00597011">
              <w:t xml:space="preserve"> ред </w:t>
            </w:r>
            <w:r>
              <w:t>0120</w:t>
            </w:r>
            <w:r w:rsidR="008D6C66">
              <w:rPr>
                <w:lang w:val="bg-BG"/>
              </w:rPr>
              <w:t xml:space="preserve"> включва начислените лихви</w:t>
            </w:r>
            <w:r>
              <w:t>.</w:t>
            </w:r>
          </w:p>
        </w:tc>
      </w:tr>
      <w:tr w:rsidR="00FE5D6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FE5D64" w:rsidRDefault="00E40776">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FE5D64" w:rsidRDefault="00E40776">
            <w:pPr>
              <w:pStyle w:val="P68B1DB1-TableParagraph73"/>
              <w:spacing w:before="108"/>
              <w:ind w:left="85"/>
              <w:jc w:val="both"/>
              <w:rPr>
                <w:bCs/>
              </w:rPr>
            </w:pPr>
            <w:r>
              <w:t xml:space="preserve"> Нетен размер на предоставеното обезпечение  </w:t>
            </w:r>
          </w:p>
          <w:p w14:paraId="7FE1D1D9" w14:textId="32A963C5" w:rsidR="00FE5D64" w:rsidRDefault="00E40776">
            <w:pPr>
              <w:pStyle w:val="P68B1DB1-TableParagraph40"/>
              <w:spacing w:before="108"/>
              <w:ind w:left="85"/>
              <w:jc w:val="both"/>
            </w:pPr>
            <w:r>
              <w:t xml:space="preserve">За всяка нетираща съвкупност се посочва нетната стойност на обезпечението, предоставено за покриване на </w:t>
            </w:r>
            <w:r w:rsidR="00597011">
              <w:rPr>
                <w:lang w:val="bg-BG"/>
              </w:rPr>
              <w:t>финансови трансакции</w:t>
            </w:r>
            <w:r>
              <w:t xml:space="preserve">, като се вземат предвид всички </w:t>
            </w:r>
            <w:r w:rsidR="00597011">
              <w:rPr>
                <w:lang w:val="bg-BG"/>
              </w:rPr>
              <w:t>обезпечения</w:t>
            </w:r>
            <w:r>
              <w:t>,</w:t>
            </w:r>
            <w:r w:rsidR="00597011">
              <w:rPr>
                <w:lang w:val="bg-BG"/>
              </w:rPr>
              <w:t xml:space="preserve"> предвидени в нетиращото споразумение</w:t>
            </w:r>
            <w:r>
              <w:t xml:space="preserve">. Това включва </w:t>
            </w:r>
            <w:r w:rsidR="00597011">
              <w:rPr>
                <w:lang w:val="bg-BG"/>
              </w:rPr>
              <w:t xml:space="preserve">всякакви суми на </w:t>
            </w:r>
            <w:r>
              <w:t xml:space="preserve">обезпечения или </w:t>
            </w:r>
            <w:r w:rsidR="00597011">
              <w:rPr>
                <w:lang w:val="bg-BG"/>
              </w:rPr>
              <w:t>маржове</w:t>
            </w:r>
            <w:r>
              <w:t xml:space="preserve">, които се </w:t>
            </w:r>
            <w:r w:rsidR="00597011">
              <w:rPr>
                <w:lang w:val="bg-BG"/>
              </w:rPr>
              <w:t>обменят</w:t>
            </w:r>
            <w:r>
              <w:t>.</w:t>
            </w:r>
          </w:p>
        </w:tc>
      </w:tr>
    </w:tbl>
    <w:p w14:paraId="7FE1D1DB" w14:textId="77777777" w:rsidR="00FE5D64" w:rsidRDefault="00FE5D64">
      <w:pPr>
        <w:pStyle w:val="Instructionsberschrift2"/>
        <w:ind w:left="357"/>
        <w:rPr>
          <w:rFonts w:ascii="Times New Roman" w:eastAsia="Calibri" w:hAnsi="Times New Roman" w:cs="Times New Roman"/>
          <w:szCs w:val="20"/>
        </w:rPr>
      </w:pPr>
      <w:bookmarkStart w:id="271" w:name="_Toc81454218"/>
    </w:p>
    <w:p w14:paraId="7FE1D1DC" w14:textId="71C85275" w:rsidR="00FE5D64" w:rsidRDefault="00E40776">
      <w:pPr>
        <w:pStyle w:val="Instructionsberschrift2"/>
        <w:numPr>
          <w:ilvl w:val="1"/>
          <w:numId w:val="49"/>
        </w:numPr>
        <w:spacing w:before="0"/>
        <w:ind w:left="357" w:hanging="357"/>
        <w:rPr>
          <w:rFonts w:ascii="Times New Roman" w:hAnsi="Times New Roman" w:cs="Times New Roman"/>
        </w:rPr>
      </w:pPr>
      <w:bookmarkStart w:id="272" w:name="_Toc20824449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Други нефинансови </w:t>
      </w:r>
      <w:r w:rsidR="00597011">
        <w:rPr>
          <w:rFonts w:ascii="Times New Roman" w:hAnsi="Times New Roman"/>
          <w:color w:val="000000" w:themeColor="text1"/>
          <w:lang w:val="bg-BG"/>
        </w:rPr>
        <w:t>задължения</w:t>
      </w:r>
      <w:r w:rsidR="0059701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(невключени в други раздели, с изключение на вътрешногруповите) </w:t>
      </w:r>
      <w:r>
        <w:rPr>
          <w:rFonts w:ascii="Times New Roman" w:eastAsia="Calibri" w:hAnsi="Times New Roman" w:cs="Times New Roman"/>
          <w:szCs w:val="20"/>
        </w:rPr>
        <w:t>(LIAB-G-7)</w:t>
      </w:r>
      <w:bookmarkEnd w:id="272"/>
    </w:p>
    <w:bookmarkEnd w:id="271"/>
    <w:p w14:paraId="7FE1D1DD" w14:textId="28BEEC11" w:rsidR="00FE5D64" w:rsidRDefault="00FE5D64">
      <w:pPr>
        <w:pStyle w:val="Instructionsberschrift2"/>
        <w:ind w:left="357"/>
        <w:rPr>
          <w:rFonts w:ascii="Times New Roman" w:eastAsiaTheme="minorEastAsia" w:hAnsi="Times New Roman" w:cs="Times New Roman"/>
          <w:u w:val="none"/>
        </w:rPr>
      </w:pPr>
    </w:p>
    <w:p w14:paraId="7FE1D1DE" w14:textId="77777777" w:rsidR="00FE5D64" w:rsidRDefault="00E40776">
      <w:pPr>
        <w:pStyle w:val="P68B1DB1-Numberedtitlelevel388"/>
      </w:pPr>
      <w:r>
        <w:t>Общи бележки</w:t>
      </w:r>
    </w:p>
    <w:p w14:paraId="7FE1D1DF" w14:textId="0546BF06" w:rsidR="00FE5D64" w:rsidRDefault="00E40776">
      <w:pPr>
        <w:pStyle w:val="P68B1DB1-InstructionsText286"/>
        <w:numPr>
          <w:ilvl w:val="2"/>
          <w:numId w:val="209"/>
        </w:numPr>
        <w:spacing w:before="0"/>
        <w:ind w:left="1276"/>
        <w:rPr>
          <w:rFonts w:eastAsiaTheme="majorEastAsia"/>
        </w:rPr>
      </w:pPr>
      <w:r>
        <w:t xml:space="preserve">Тази таблица обхваща нефинансови </w:t>
      </w:r>
      <w:r w:rsidR="00597011">
        <w:rPr>
          <w:lang w:val="bg-BG"/>
        </w:rPr>
        <w:t>задължения</w:t>
      </w:r>
      <w:r w:rsidR="00597011">
        <w:t xml:space="preserve"> </w:t>
      </w:r>
      <w:r>
        <w:t xml:space="preserve">като провизии, данъчни </w:t>
      </w:r>
      <w:r w:rsidR="00597011">
        <w:rPr>
          <w:lang w:val="bg-BG"/>
        </w:rPr>
        <w:t>задължения</w:t>
      </w:r>
      <w:r w:rsidR="00597011">
        <w:t xml:space="preserve"> </w:t>
      </w:r>
      <w:r>
        <w:t>и приходи за бъдещи периоди.</w:t>
      </w:r>
    </w:p>
    <w:p w14:paraId="7FE1D1E0" w14:textId="02DC502D" w:rsidR="00FE5D64" w:rsidRDefault="00E40776">
      <w:pPr>
        <w:pStyle w:val="P68B1DB1-InstructionsText286"/>
        <w:numPr>
          <w:ilvl w:val="2"/>
          <w:numId w:val="209"/>
        </w:numPr>
        <w:spacing w:before="0"/>
        <w:ind w:left="1276"/>
      </w:pPr>
      <w:r>
        <w:t xml:space="preserve">Тези </w:t>
      </w:r>
      <w:r w:rsidR="00597011">
        <w:rPr>
          <w:lang w:val="bg-BG"/>
        </w:rPr>
        <w:t>задължения</w:t>
      </w:r>
      <w:r w:rsidR="00597011">
        <w:t xml:space="preserve"> </w:t>
      </w:r>
      <w:r>
        <w:t>се групират по вид нефинансов</w:t>
      </w:r>
      <w:r w:rsidR="00597011">
        <w:rPr>
          <w:lang w:val="bg-BG"/>
        </w:rPr>
        <w:t>о</w:t>
      </w:r>
      <w:r>
        <w:t xml:space="preserve"> </w:t>
      </w:r>
      <w:r w:rsidR="00597011">
        <w:rPr>
          <w:lang w:val="bg-BG"/>
        </w:rPr>
        <w:t>задължение</w:t>
      </w:r>
      <w:r w:rsidR="00597011">
        <w:t xml:space="preserve"> </w:t>
      </w:r>
      <w:r>
        <w:t xml:space="preserve">и </w:t>
      </w:r>
      <w:r w:rsidR="00597011">
        <w:rPr>
          <w:lang w:val="bg-BG"/>
        </w:rPr>
        <w:t xml:space="preserve">ред в производството по </w:t>
      </w:r>
      <w:r>
        <w:t>несъстоятелност.</w:t>
      </w:r>
    </w:p>
    <w:p w14:paraId="7FE1D1E2" w14:textId="77777777" w:rsidR="00FE5D64" w:rsidRDefault="00E40776">
      <w:pPr>
        <w:pStyle w:val="P68B1DB1-Numberedtitlelevel388"/>
      </w:pPr>
      <w:r>
        <w:t>Указания относно определени позиции</w:t>
      </w:r>
    </w:p>
    <w:tbl>
      <w:tblPr>
        <w:tblW w:w="9015" w:type="dxa"/>
        <w:tblInd w:w="135" w:type="dxa"/>
        <w:tblLayout w:type="fixed"/>
        <w:tblLook w:val="04A0" w:firstRow="1" w:lastRow="0" w:firstColumn="1" w:lastColumn="0" w:noHBand="0" w:noVBand="1"/>
      </w:tblPr>
      <w:tblGrid>
        <w:gridCol w:w="1183"/>
        <w:gridCol w:w="7832"/>
      </w:tblGrid>
      <w:tr w:rsidR="00FE5D64"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FE5D64" w:rsidRDefault="00E40776">
            <w:pPr>
              <w:pStyle w:val="P68B1DB1-Normal31"/>
            </w:pPr>
            <w:r>
              <w:t xml:space="preserve">Колони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FE5D64" w:rsidRDefault="00E40776">
            <w:pPr>
              <w:pStyle w:val="P68B1DB1-Normal31"/>
            </w:pPr>
            <w:r>
              <w:t xml:space="preserve">Указания </w:t>
            </w:r>
          </w:p>
        </w:tc>
      </w:tr>
      <w:tr w:rsidR="00FE5D6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FE5D64" w:rsidRDefault="00E40776">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58FC8199" w:rsidR="00FE5D64" w:rsidRPr="00B74EEC" w:rsidRDefault="00B74EEC">
            <w:pPr>
              <w:pStyle w:val="P68B1DB1-TableParagraph73"/>
              <w:spacing w:before="108"/>
              <w:ind w:left="85"/>
              <w:jc w:val="both"/>
              <w:rPr>
                <w:bCs/>
                <w:lang w:val="bg-BG"/>
              </w:rPr>
            </w:pPr>
            <w:r>
              <w:rPr>
                <w:lang w:val="bg-BG"/>
              </w:rPr>
              <w:t>№</w:t>
            </w:r>
          </w:p>
          <w:p w14:paraId="7FE1D1E8" w14:textId="6A04ADB6" w:rsidR="00FE5D64" w:rsidRDefault="00E40776">
            <w:pPr>
              <w:pStyle w:val="P68B1DB1-TableParagraph40"/>
              <w:spacing w:before="108"/>
              <w:ind w:left="85"/>
              <w:jc w:val="both"/>
            </w:pPr>
            <w:r>
              <w:t xml:space="preserve">Уникален номер/първичен ключ за идентифициране на </w:t>
            </w:r>
            <w:r w:rsidR="00B74EEC">
              <w:rPr>
                <w:lang w:val="bg-BG"/>
              </w:rPr>
              <w:t>записите по редове</w:t>
            </w:r>
            <w:r>
              <w:t>.</w:t>
            </w:r>
          </w:p>
        </w:tc>
      </w:tr>
      <w:tr w:rsidR="00FE5D6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FE5D64" w:rsidRDefault="00E40776">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FE5D64" w:rsidRDefault="00E40776">
            <w:pPr>
              <w:pStyle w:val="P68B1DB1-TableParagraph73"/>
              <w:spacing w:before="108"/>
              <w:ind w:left="85"/>
              <w:jc w:val="both"/>
              <w:rPr>
                <w:bCs/>
              </w:rPr>
            </w:pPr>
            <w:r>
              <w:t xml:space="preserve"> Ред </w:t>
            </w:r>
          </w:p>
          <w:p w14:paraId="7FE1D1EC" w14:textId="1E3A2BD2" w:rsidR="00FE5D64" w:rsidRDefault="00E40776" w:rsidP="00404D70">
            <w:pPr>
              <w:pStyle w:val="P68B1DB1-TableParagraph40"/>
              <w:spacing w:before="108"/>
              <w:ind w:left="85"/>
              <w:jc w:val="both"/>
            </w:pPr>
            <w:r>
              <w:t xml:space="preserve">За </w:t>
            </w:r>
            <w:r w:rsidR="009A7A1F">
              <w:rPr>
                <w:lang w:val="bg-BG"/>
              </w:rPr>
              <w:t>всяко задължение</w:t>
            </w:r>
            <w:r>
              <w:t xml:space="preserve"> трябва да се </w:t>
            </w:r>
            <w:r w:rsidR="009A7A1F">
              <w:rPr>
                <w:lang w:val="bg-BG"/>
              </w:rPr>
              <w:t>избере съответната категория на задължението, съгласно определената</w:t>
            </w:r>
            <w:r w:rsidR="00404D70">
              <w:t xml:space="preserve"> </w:t>
            </w:r>
            <w:r>
              <w:t xml:space="preserve">структура на </w:t>
            </w:r>
            <w:r w:rsidR="009A7A1F">
              <w:rPr>
                <w:lang w:val="bg-BG"/>
              </w:rPr>
              <w:t>задълженията</w:t>
            </w:r>
            <w:r w:rsidR="009A7A1F">
              <w:t xml:space="preserve"> </w:t>
            </w:r>
            <w:r>
              <w:t>в Z02.00 от предварително определен списък от стойности.</w:t>
            </w:r>
          </w:p>
        </w:tc>
      </w:tr>
      <w:tr w:rsidR="00FE5D6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FE5D64" w:rsidRDefault="00E40776">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FE5D64" w:rsidRDefault="00E40776">
            <w:pPr>
              <w:pStyle w:val="P68B1DB1-TableParagraph40"/>
              <w:spacing w:before="108"/>
              <w:ind w:left="85"/>
              <w:jc w:val="both"/>
              <w:rPr>
                <w:b/>
                <w:bCs/>
              </w:rPr>
            </w:pPr>
            <w:r>
              <w:t xml:space="preserve"> </w:t>
            </w:r>
            <w:r>
              <w:rPr>
                <w:b/>
              </w:rPr>
              <w:t>Колона</w:t>
            </w:r>
          </w:p>
          <w:p w14:paraId="7FE1D1F0" w14:textId="2F3B7B7F" w:rsidR="00FE5D64" w:rsidRDefault="00E40776" w:rsidP="00D342A8">
            <w:pPr>
              <w:pStyle w:val="P68B1DB1-TableParagraph40"/>
              <w:spacing w:before="108"/>
              <w:ind w:left="85"/>
              <w:jc w:val="both"/>
            </w:pPr>
            <w:r>
              <w:t xml:space="preserve">За </w:t>
            </w:r>
            <w:r w:rsidR="009A7A1F">
              <w:rPr>
                <w:lang w:val="bg-BG"/>
              </w:rPr>
              <w:t>всяко задължение</w:t>
            </w:r>
            <w:r>
              <w:t xml:space="preserve"> трябва да се </w:t>
            </w:r>
            <w:r w:rsidR="009A7A1F">
              <w:rPr>
                <w:lang w:val="bg-BG"/>
              </w:rPr>
              <w:t>избере съответната категория</w:t>
            </w:r>
            <w:r>
              <w:t xml:space="preserve"> контрагент</w:t>
            </w:r>
            <w:r w:rsidR="009A7A1F">
              <w:rPr>
                <w:lang w:val="bg-BG"/>
              </w:rPr>
              <w:t>, към който е задължението, съгласно структурата</w:t>
            </w:r>
            <w:r>
              <w:t xml:space="preserve"> в Z 02.00, от</w:t>
            </w:r>
            <w:r w:rsidR="00D342A8">
              <w:t xml:space="preserve"> </w:t>
            </w:r>
            <w:r>
              <w:t>предварително определен списък със стойности.</w:t>
            </w:r>
          </w:p>
        </w:tc>
      </w:tr>
      <w:tr w:rsidR="00FE5D6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FE5D64" w:rsidRDefault="00E40776">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17FD8D75" w:rsidR="00FE5D64" w:rsidRDefault="009A7A1F">
            <w:pPr>
              <w:pStyle w:val="P68B1DB1-TableParagraph40"/>
              <w:spacing w:before="108"/>
              <w:ind w:left="85"/>
              <w:jc w:val="both"/>
              <w:rPr>
                <w:b/>
                <w:bCs/>
              </w:rPr>
            </w:pPr>
            <w:r>
              <w:rPr>
                <w:b/>
                <w:lang w:val="bg-BG"/>
              </w:rPr>
              <w:t>Ред на вземания в производство по</w:t>
            </w:r>
            <w:r w:rsidR="00E40776">
              <w:rPr>
                <w:b/>
              </w:rPr>
              <w:t xml:space="preserve"> несъстоятелност</w:t>
            </w:r>
          </w:p>
          <w:p w14:paraId="7FE1D1F4" w14:textId="5F454FA1" w:rsidR="00FE5D64" w:rsidRDefault="009A7A1F" w:rsidP="00D342A8">
            <w:pPr>
              <w:pStyle w:val="P68B1DB1-TableParagraph40"/>
              <w:spacing w:before="108"/>
              <w:ind w:left="85"/>
              <w:jc w:val="both"/>
            </w:pPr>
            <w:r w:rsidRPr="009A7A1F">
              <w:t>Редът на вземанията в производство по несъстоятелност следва да е един от редовете, включен в публикувания от органа за преструктуриране за съответната юрисдикция ред на вземанията в производство по несъстоятелност</w:t>
            </w:r>
            <w:r w:rsidR="00E40776">
              <w:t>.</w:t>
            </w:r>
          </w:p>
        </w:tc>
      </w:tr>
      <w:tr w:rsidR="00FE5D6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FE5D64" w:rsidRDefault="00E40776">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FE5D64" w:rsidRDefault="00E40776">
            <w:pPr>
              <w:pStyle w:val="P68B1DB1-TableParagraph73"/>
              <w:spacing w:before="108"/>
              <w:ind w:left="85"/>
              <w:jc w:val="both"/>
              <w:rPr>
                <w:bCs/>
              </w:rPr>
            </w:pPr>
            <w:r>
              <w:t xml:space="preserve">Идентификатор на договора </w:t>
            </w:r>
          </w:p>
          <w:p w14:paraId="7FE1D1F8" w14:textId="35168553" w:rsidR="00FE5D64" w:rsidRDefault="00E40776">
            <w:pPr>
              <w:pStyle w:val="P68B1DB1-TableParagraph40"/>
              <w:spacing w:before="108"/>
              <w:ind w:left="85"/>
              <w:jc w:val="both"/>
            </w:pPr>
            <w:r>
              <w:t>Вътрешен идентификационен код на договора като еквивалентен на ISIN</w:t>
            </w:r>
            <w:r w:rsidR="009A7A1F">
              <w:rPr>
                <w:lang w:val="bg-BG"/>
              </w:rPr>
              <w:t xml:space="preserve"> код</w:t>
            </w:r>
            <w:r>
              <w:t xml:space="preserve"> за ценни книжа.</w:t>
            </w:r>
          </w:p>
        </w:tc>
      </w:tr>
      <w:tr w:rsidR="00FE5D6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FE5D64" w:rsidRDefault="00E40776">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010CC0D0" w:rsidR="00FE5D64" w:rsidRDefault="00E40776">
            <w:pPr>
              <w:pStyle w:val="P68B1DB1-TableParagraph73"/>
              <w:spacing w:before="108"/>
              <w:ind w:left="85"/>
              <w:jc w:val="both"/>
              <w:rPr>
                <w:bCs/>
              </w:rPr>
            </w:pPr>
            <w:r>
              <w:t xml:space="preserve">Идентификатор на контрагента </w:t>
            </w:r>
          </w:p>
          <w:p w14:paraId="7FE1D1FC" w14:textId="06FD2482" w:rsidR="00FE5D64" w:rsidRDefault="00E40776" w:rsidP="00D342A8">
            <w:pPr>
              <w:pStyle w:val="P68B1DB1-TableParagraph40"/>
              <w:spacing w:before="108"/>
              <w:ind w:left="85"/>
              <w:jc w:val="both"/>
            </w:pPr>
            <w:r>
              <w:t xml:space="preserve">Посочва се ИКПС на кредитора. При липса на ИКПС, използваният в RIAD </w:t>
            </w:r>
            <w:r w:rsidRPr="0037274B">
              <w:rPr>
                <w:lang w:val="bg-BG"/>
              </w:rPr>
              <w:t>идентифика</w:t>
            </w:r>
            <w:r w:rsidR="00D342A8" w:rsidRPr="0037274B">
              <w:rPr>
                <w:lang w:val="bg-BG"/>
              </w:rPr>
              <w:t>ционен</w:t>
            </w:r>
            <w:r w:rsidR="00D342A8">
              <w:rPr>
                <w:lang w:val="bg-BG"/>
              </w:rPr>
              <w:t xml:space="preserve"> код</w:t>
            </w:r>
            <w:r>
              <w:t xml:space="preserve"> на ЕЦБ на паричн</w:t>
            </w:r>
            <w:r w:rsidR="0037274B">
              <w:rPr>
                <w:lang w:val="bg-BG"/>
              </w:rPr>
              <w:t>о-</w:t>
            </w:r>
            <w:r>
              <w:t>финансови институции (</w:t>
            </w:r>
            <w:r w:rsidR="0037274B">
              <w:rPr>
                <w:lang w:val="bg-BG"/>
              </w:rPr>
              <w:t xml:space="preserve">Код на </w:t>
            </w:r>
            <w:r>
              <w:t>ПФИ). При липса</w:t>
            </w:r>
            <w:r w:rsidR="00D342A8" w:rsidRPr="00654675">
              <w:t xml:space="preserve"> </w:t>
            </w:r>
            <w:r w:rsidR="00D342A8">
              <w:rPr>
                <w:lang w:val="bg-BG"/>
              </w:rPr>
              <w:t>и</w:t>
            </w:r>
            <w:r>
              <w:t xml:space="preserve"> на двата идентификатора се </w:t>
            </w:r>
            <w:r w:rsidR="0037274B">
              <w:rPr>
                <w:lang w:val="bg-BG"/>
              </w:rPr>
              <w:t>посочва</w:t>
            </w:r>
            <w:r w:rsidR="0037274B">
              <w:t xml:space="preserve"> </w:t>
            </w:r>
            <w:r>
              <w:t>вътрешен идентификатор.</w:t>
            </w:r>
          </w:p>
        </w:tc>
      </w:tr>
      <w:tr w:rsidR="00FE5D6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FE5D64" w:rsidRDefault="00E40776">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FE5D64" w:rsidRDefault="00E40776">
            <w:pPr>
              <w:pStyle w:val="P68B1DB1-TableParagraph73"/>
              <w:spacing w:before="108"/>
              <w:ind w:left="85"/>
              <w:jc w:val="both"/>
              <w:rPr>
                <w:bCs/>
              </w:rPr>
            </w:pPr>
            <w:r>
              <w:t xml:space="preserve">Вид идентификатор </w:t>
            </w:r>
          </w:p>
          <w:p w14:paraId="7FE1D200" w14:textId="777DB685" w:rsidR="00FE5D64" w:rsidRDefault="00E40776" w:rsidP="007B4458">
            <w:pPr>
              <w:pStyle w:val="P68B1DB1-TableParagraph40"/>
              <w:spacing w:before="108"/>
              <w:ind w:left="85"/>
              <w:jc w:val="both"/>
            </w:pPr>
            <w:r>
              <w:t>Избира се измежду следните варианти: „ИКПС</w:t>
            </w:r>
            <w:r w:rsidR="007B4458">
              <w:rPr>
                <w:lang w:val="bg-BG"/>
              </w:rPr>
              <w:t>“</w:t>
            </w:r>
            <w:r>
              <w:t>, „Код на ПФИ</w:t>
            </w:r>
            <w:r w:rsidR="007B4458">
              <w:rPr>
                <w:lang w:val="bg-BG"/>
              </w:rPr>
              <w:t xml:space="preserve">“ </w:t>
            </w:r>
            <w:r>
              <w:t>или „Вид идентификатор, различен от ИКПС или код на ПФИ“.</w:t>
            </w:r>
          </w:p>
        </w:tc>
      </w:tr>
      <w:tr w:rsidR="00FE5D64"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FE5D64" w:rsidRDefault="00E40776">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FE5D64" w:rsidRDefault="00E40776">
            <w:pPr>
              <w:pStyle w:val="P68B1DB1-TableParagraph40"/>
              <w:spacing w:before="108"/>
              <w:ind w:left="85"/>
              <w:jc w:val="both"/>
              <w:rPr>
                <w:b/>
                <w:bCs/>
              </w:rPr>
            </w:pPr>
            <w:r>
              <w:t xml:space="preserve"> </w:t>
            </w:r>
            <w:r>
              <w:rPr>
                <w:b/>
              </w:rPr>
              <w:t>Приложимо право</w:t>
            </w:r>
          </w:p>
          <w:p w14:paraId="7FE1D204" w14:textId="418EDDE4" w:rsidR="00FE5D64" w:rsidRDefault="00E40776" w:rsidP="007B4458">
            <w:pPr>
              <w:pStyle w:val="P68B1DB1-TableParagraph40"/>
              <w:spacing w:before="108"/>
              <w:ind w:left="85"/>
              <w:jc w:val="both"/>
            </w:pPr>
            <w:r>
              <w:t xml:space="preserve">Името на държавата, чието право урежда </w:t>
            </w:r>
            <w:r w:rsidR="007B4458">
              <w:rPr>
                <w:lang w:val="bg-BG"/>
              </w:rPr>
              <w:t>задължението</w:t>
            </w:r>
            <w:r>
              <w:t xml:space="preserve">. Ако договорът се урежда от правото на повече от една държава, се </w:t>
            </w:r>
            <w:r w:rsidR="0037274B">
              <w:rPr>
                <w:lang w:val="bg-BG"/>
              </w:rPr>
              <w:t>посочва</w:t>
            </w:r>
            <w:r w:rsidR="0037274B">
              <w:t xml:space="preserve"> </w:t>
            </w:r>
            <w:r>
              <w:t xml:space="preserve">държавата, чието право има най-голямо значение за признаването на правомощията за обезценяване и преобразуване.  </w:t>
            </w:r>
          </w:p>
        </w:tc>
      </w:tr>
      <w:tr w:rsidR="00FE5D6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FE5D64" w:rsidRDefault="00E40776">
            <w:pPr>
              <w:pStyle w:val="P68B1DB1-Normal31"/>
            </w:pPr>
            <w:r>
              <w:t>0080</w:t>
            </w:r>
          </w:p>
        </w:tc>
        <w:tc>
          <w:tcPr>
            <w:tcW w:w="7832" w:type="dxa"/>
            <w:tcBorders>
              <w:top w:val="single" w:sz="8" w:space="0" w:color="1A171C"/>
              <w:left w:val="single" w:sz="4" w:space="0" w:color="auto"/>
              <w:right w:val="nil"/>
            </w:tcBorders>
            <w:vAlign w:val="bottom"/>
          </w:tcPr>
          <w:p w14:paraId="7FE1D207" w14:textId="20E35C95" w:rsidR="00FE5D64" w:rsidRPr="0037274B" w:rsidRDefault="00E40776">
            <w:pPr>
              <w:pStyle w:val="P68B1DB1-TableParagraph40"/>
              <w:spacing w:before="108"/>
              <w:ind w:left="85"/>
              <w:jc w:val="both"/>
              <w:rPr>
                <w:b/>
                <w:bCs/>
                <w:lang w:val="bg-BG"/>
              </w:rPr>
            </w:pPr>
            <w:r>
              <w:t xml:space="preserve"> </w:t>
            </w:r>
            <w:r>
              <w:rPr>
                <w:b/>
              </w:rPr>
              <w:t xml:space="preserve">Вид на нефинансовите </w:t>
            </w:r>
            <w:r w:rsidR="0037274B">
              <w:rPr>
                <w:b/>
                <w:lang w:val="bg-BG"/>
              </w:rPr>
              <w:t>задължения</w:t>
            </w:r>
          </w:p>
          <w:p w14:paraId="7FE1D208" w14:textId="4D63710E" w:rsidR="00FE5D64" w:rsidRDefault="00E40776">
            <w:pPr>
              <w:pStyle w:val="P68B1DB1-TableParagraph40"/>
              <w:spacing w:before="108"/>
              <w:ind w:left="85"/>
              <w:jc w:val="both"/>
            </w:pPr>
            <w:r>
              <w:t xml:space="preserve">Избира се измежду следните </w:t>
            </w:r>
            <w:r w:rsidR="0037274B">
              <w:rPr>
                <w:lang w:val="bg-BG"/>
              </w:rPr>
              <w:t>опции</w:t>
            </w:r>
            <w:r>
              <w:t>:</w:t>
            </w:r>
          </w:p>
          <w:p w14:paraId="7FE1D209" w14:textId="1B19E45B" w:rsidR="00FE5D64" w:rsidRDefault="00E40776">
            <w:pPr>
              <w:pStyle w:val="P68B1DB1-TableParagraph40"/>
              <w:numPr>
                <w:ilvl w:val="0"/>
                <w:numId w:val="269"/>
              </w:numPr>
              <w:spacing w:before="108"/>
              <w:jc w:val="both"/>
            </w:pPr>
            <w:r>
              <w:t>Фонд за покриване на общи банкови рискове</w:t>
            </w:r>
          </w:p>
          <w:p w14:paraId="7FE1D20A" w14:textId="280DEECF" w:rsidR="00FE5D64" w:rsidRDefault="002C0C63">
            <w:pPr>
              <w:pStyle w:val="P68B1DB1-TableParagraph40"/>
              <w:numPr>
                <w:ilvl w:val="0"/>
                <w:numId w:val="269"/>
              </w:numPr>
              <w:spacing w:before="108"/>
              <w:jc w:val="both"/>
            </w:pPr>
            <w:r>
              <w:t>Пенси</w:t>
            </w:r>
            <w:r>
              <w:rPr>
                <w:lang w:val="bg-BG"/>
              </w:rPr>
              <w:t>онни</w:t>
            </w:r>
            <w:r>
              <w:t xml:space="preserve"> </w:t>
            </w:r>
            <w:r w:rsidR="00E40776">
              <w:t xml:space="preserve">и други задължения за </w:t>
            </w:r>
            <w:r>
              <w:rPr>
                <w:lang w:val="bg-BG"/>
              </w:rPr>
              <w:t>обезщетение</w:t>
            </w:r>
            <w:r w:rsidR="00E40776">
              <w:t xml:space="preserve"> след напускане</w:t>
            </w:r>
            <w:r>
              <w:rPr>
                <w:lang w:val="bg-BG"/>
              </w:rPr>
              <w:t>/освобождаване от работа</w:t>
            </w:r>
          </w:p>
          <w:p w14:paraId="7FE1D20B" w14:textId="12D15E1B" w:rsidR="00FE5D64" w:rsidRDefault="002C0C63">
            <w:pPr>
              <w:pStyle w:val="P68B1DB1-TableParagraph40"/>
              <w:numPr>
                <w:ilvl w:val="0"/>
                <w:numId w:val="269"/>
              </w:numPr>
              <w:spacing w:before="108"/>
              <w:jc w:val="both"/>
            </w:pPr>
            <w:r>
              <w:rPr>
                <w:lang w:val="bg-BG"/>
              </w:rPr>
              <w:t>Други обезщетения</w:t>
            </w:r>
            <w:r>
              <w:t xml:space="preserve"> </w:t>
            </w:r>
            <w:r w:rsidR="00E40776">
              <w:t xml:space="preserve">на наети лица. Различни от </w:t>
            </w:r>
            <w:r>
              <w:rPr>
                <w:lang w:val="bg-BG"/>
              </w:rPr>
              <w:t>пенсионни</w:t>
            </w:r>
            <w:r>
              <w:t xml:space="preserve"> </w:t>
            </w:r>
            <w:r w:rsidR="00E40776">
              <w:t xml:space="preserve">и други задължения за </w:t>
            </w:r>
            <w:r>
              <w:rPr>
                <w:lang w:val="bg-BG"/>
              </w:rPr>
              <w:t xml:space="preserve">обезщетение </w:t>
            </w:r>
            <w:r w:rsidR="00E40776">
              <w:t>след напускане</w:t>
            </w:r>
            <w:r>
              <w:rPr>
                <w:lang w:val="bg-BG"/>
              </w:rPr>
              <w:t>/освобождаване от работа</w:t>
            </w:r>
          </w:p>
          <w:p w14:paraId="7FE1D20C" w14:textId="572F29C7" w:rsidR="00FE5D64" w:rsidRDefault="00E40776">
            <w:pPr>
              <w:pStyle w:val="P68B1DB1-TableParagraph40"/>
              <w:numPr>
                <w:ilvl w:val="0"/>
                <w:numId w:val="269"/>
              </w:numPr>
              <w:spacing w:before="108"/>
              <w:jc w:val="both"/>
            </w:pPr>
            <w:r>
              <w:t>Преструктуриране</w:t>
            </w:r>
            <w:r w:rsidR="002C0C63">
              <w:rPr>
                <w:lang w:val="bg-BG"/>
              </w:rPr>
              <w:t xml:space="preserve"> на дейността</w:t>
            </w:r>
          </w:p>
          <w:p w14:paraId="7FE1D20D" w14:textId="6B1E6759" w:rsidR="00FE5D64" w:rsidRDefault="00E40776">
            <w:pPr>
              <w:pStyle w:val="P68B1DB1-TableParagraph40"/>
              <w:numPr>
                <w:ilvl w:val="0"/>
                <w:numId w:val="269"/>
              </w:numPr>
              <w:spacing w:before="108"/>
              <w:jc w:val="both"/>
            </w:pPr>
            <w:r>
              <w:t xml:space="preserve">Неуредени правни </w:t>
            </w:r>
            <w:r w:rsidR="002C0C63">
              <w:rPr>
                <w:lang w:val="bg-BG"/>
              </w:rPr>
              <w:t>спорове</w:t>
            </w:r>
            <w:r w:rsidR="002C0C63">
              <w:t xml:space="preserve"> </w:t>
            </w:r>
            <w:r>
              <w:t>и данъчни спорове</w:t>
            </w:r>
          </w:p>
          <w:p w14:paraId="7FE1D20E" w14:textId="6B352BAB" w:rsidR="00FE5D64" w:rsidRDefault="00E40776">
            <w:pPr>
              <w:pStyle w:val="P68B1DB1-TableParagraph40"/>
              <w:numPr>
                <w:ilvl w:val="0"/>
                <w:numId w:val="269"/>
              </w:numPr>
              <w:spacing w:before="108"/>
              <w:jc w:val="both"/>
            </w:pPr>
            <w:r>
              <w:t>Задбалансови експозиции</w:t>
            </w:r>
            <w:r w:rsidR="002C0C63">
              <w:rPr>
                <w:lang w:val="bg-BG"/>
              </w:rPr>
              <w:t>, изложени</w:t>
            </w:r>
            <w:r>
              <w:t xml:space="preserve"> към кредитен риск</w:t>
            </w:r>
          </w:p>
          <w:p w14:paraId="7FE1D20F" w14:textId="23958054" w:rsidR="00FE5D64" w:rsidRDefault="002C0C63">
            <w:pPr>
              <w:pStyle w:val="P68B1DB1-TableParagraph40"/>
              <w:numPr>
                <w:ilvl w:val="0"/>
                <w:numId w:val="269"/>
              </w:numPr>
              <w:spacing w:before="108"/>
              <w:jc w:val="both"/>
            </w:pPr>
            <w:r>
              <w:rPr>
                <w:lang w:val="bg-BG"/>
              </w:rPr>
              <w:t>Други задължения р</w:t>
            </w:r>
            <w:r w:rsidR="00E40776">
              <w:t xml:space="preserve">азлични от </w:t>
            </w:r>
            <w:r>
              <w:rPr>
                <w:lang w:val="bg-BG"/>
              </w:rPr>
              <w:t>обезщетения</w:t>
            </w:r>
            <w:r>
              <w:t xml:space="preserve"> </w:t>
            </w:r>
            <w:r w:rsidR="00E40776">
              <w:t>на наети лица, преструктуриране</w:t>
            </w:r>
            <w:r>
              <w:rPr>
                <w:lang w:val="bg-BG"/>
              </w:rPr>
              <w:t xml:space="preserve"> на дейността</w:t>
            </w:r>
            <w:r w:rsidR="00E40776">
              <w:t xml:space="preserve">, неуредени правни </w:t>
            </w:r>
            <w:r>
              <w:rPr>
                <w:lang w:val="bg-BG"/>
              </w:rPr>
              <w:t>спорове</w:t>
            </w:r>
            <w:r>
              <w:t xml:space="preserve"> </w:t>
            </w:r>
            <w:r w:rsidR="00E40776">
              <w:t xml:space="preserve">и данъчни </w:t>
            </w:r>
            <w:r>
              <w:rPr>
                <w:lang w:val="bg-BG"/>
              </w:rPr>
              <w:t>спорове</w:t>
            </w:r>
            <w:r w:rsidR="00E40776">
              <w:t xml:space="preserve">, задбалансови </w:t>
            </w:r>
            <w:r>
              <w:rPr>
                <w:lang w:val="bg-BG"/>
              </w:rPr>
              <w:t>експозиции</w:t>
            </w:r>
            <w:r w:rsidR="00E40776">
              <w:t xml:space="preserve">, изложени </w:t>
            </w:r>
            <w:r>
              <w:rPr>
                <w:lang w:val="bg-BG"/>
              </w:rPr>
              <w:t>към</w:t>
            </w:r>
            <w:r>
              <w:t xml:space="preserve"> </w:t>
            </w:r>
            <w:r w:rsidR="00E40776">
              <w:t>кредитен риск</w:t>
            </w:r>
          </w:p>
          <w:p w14:paraId="7FE1D210" w14:textId="3968DCCD" w:rsidR="00FE5D64" w:rsidRDefault="00E40776">
            <w:pPr>
              <w:pStyle w:val="P68B1DB1-TableParagraph40"/>
              <w:numPr>
                <w:ilvl w:val="0"/>
                <w:numId w:val="269"/>
              </w:numPr>
              <w:spacing w:before="108"/>
              <w:jc w:val="both"/>
            </w:pPr>
            <w:r>
              <w:t xml:space="preserve">Данъчни </w:t>
            </w:r>
            <w:r w:rsidR="002C0C63">
              <w:rPr>
                <w:lang w:val="bg-BG"/>
              </w:rPr>
              <w:t>задължения</w:t>
            </w:r>
          </w:p>
          <w:p w14:paraId="7FE1D211" w14:textId="06EB667D" w:rsidR="00FE5D64" w:rsidRDefault="002C0C63">
            <w:pPr>
              <w:pStyle w:val="P68B1DB1-TableParagraph40"/>
              <w:numPr>
                <w:ilvl w:val="0"/>
                <w:numId w:val="269"/>
              </w:numPr>
              <w:spacing w:before="108"/>
              <w:jc w:val="both"/>
            </w:pPr>
            <w:r>
              <w:rPr>
                <w:lang w:val="bg-BG"/>
              </w:rPr>
              <w:t>Отсрочени приходи</w:t>
            </w:r>
          </w:p>
          <w:p w14:paraId="7FE1D212" w14:textId="3C9D16D2" w:rsidR="00FE5D64" w:rsidRDefault="00DD3ED9">
            <w:pPr>
              <w:pStyle w:val="P68B1DB1-TableParagraph40"/>
              <w:numPr>
                <w:ilvl w:val="0"/>
                <w:numId w:val="269"/>
              </w:numPr>
              <w:spacing w:before="108"/>
              <w:jc w:val="both"/>
            </w:pPr>
            <w:r>
              <w:rPr>
                <w:lang w:val="bg-BG"/>
              </w:rPr>
              <w:t>Други задължения</w:t>
            </w:r>
            <w:r w:rsidR="00E40776">
              <w:t xml:space="preserve">, различни от финансови </w:t>
            </w:r>
            <w:r>
              <w:rPr>
                <w:lang w:val="bg-BG"/>
              </w:rPr>
              <w:t>задължения</w:t>
            </w:r>
            <w:r w:rsidR="00E40776">
              <w:t xml:space="preserve">, провизии, данъчни </w:t>
            </w:r>
            <w:r>
              <w:rPr>
                <w:lang w:val="bg-BG"/>
              </w:rPr>
              <w:t>задължения</w:t>
            </w:r>
            <w:r w:rsidR="00E40776">
              <w:t xml:space="preserve">, </w:t>
            </w:r>
            <w:r>
              <w:rPr>
                <w:lang w:val="bg-BG"/>
              </w:rPr>
              <w:t xml:space="preserve">отсрочени </w:t>
            </w:r>
            <w:r w:rsidR="00E40776">
              <w:t>приходи</w:t>
            </w:r>
          </w:p>
        </w:tc>
      </w:tr>
      <w:tr w:rsidR="00FE5D64"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FE5D64" w:rsidRDefault="00E40776">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07C980BA" w:rsidR="00FE5D64" w:rsidRDefault="00DD3ED9">
            <w:pPr>
              <w:pStyle w:val="P68B1DB1-TableParagraph40"/>
              <w:spacing w:before="108"/>
              <w:ind w:left="85"/>
              <w:jc w:val="both"/>
              <w:rPr>
                <w:b/>
                <w:bCs/>
              </w:rPr>
            </w:pPr>
            <w:r>
              <w:rPr>
                <w:b/>
                <w:lang w:val="bg-BG"/>
              </w:rPr>
              <w:t>Дължима</w:t>
            </w:r>
            <w:r>
              <w:rPr>
                <w:b/>
              </w:rPr>
              <w:t xml:space="preserve"> </w:t>
            </w:r>
            <w:r w:rsidR="00E40776">
              <w:rPr>
                <w:b/>
              </w:rPr>
              <w:t>сума</w:t>
            </w:r>
          </w:p>
          <w:p w14:paraId="7FE1D216" w14:textId="585C0CE7" w:rsidR="00FE5D64" w:rsidRDefault="00DD3ED9">
            <w:pPr>
              <w:pStyle w:val="P68B1DB1-TableParagraph40"/>
              <w:spacing w:before="108"/>
              <w:ind w:left="85"/>
              <w:jc w:val="both"/>
            </w:pPr>
            <w:r>
              <w:rPr>
                <w:lang w:val="bg-BG"/>
              </w:rPr>
              <w:t>Размерът на дължимата</w:t>
            </w:r>
            <w:r w:rsidR="00E40776">
              <w:t xml:space="preserve"> сума на задължението.</w:t>
            </w:r>
          </w:p>
        </w:tc>
      </w:tr>
      <w:tr w:rsidR="00FE5D6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FE5D64" w:rsidRDefault="00E40776">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FE5D64" w:rsidRDefault="00E40776">
            <w:pPr>
              <w:pStyle w:val="P68B1DB1-TableParagraph73"/>
              <w:spacing w:before="108"/>
              <w:ind w:left="85"/>
              <w:jc w:val="both"/>
              <w:rPr>
                <w:bCs/>
              </w:rPr>
            </w:pPr>
            <w:r>
              <w:t xml:space="preserve">Валута  </w:t>
            </w:r>
          </w:p>
          <w:p w14:paraId="7FE1D21A" w14:textId="4F957243" w:rsidR="00FE5D64" w:rsidRDefault="00E40776" w:rsidP="007B4458">
            <w:pPr>
              <w:pStyle w:val="P68B1DB1-TableParagraph40"/>
              <w:spacing w:before="108"/>
              <w:ind w:left="85"/>
              <w:jc w:val="both"/>
            </w:pPr>
            <w:r>
              <w:t xml:space="preserve">Валутата на задължението в съответствие с </w:t>
            </w:r>
            <w:r w:rsidR="007B4458">
              <w:rPr>
                <w:lang w:val="bg-BG"/>
              </w:rPr>
              <w:t>нейния</w:t>
            </w:r>
            <w:r w:rsidR="007B4458">
              <w:t xml:space="preserve"> </w:t>
            </w:r>
            <w:r>
              <w:t>3-буквен код по ISO 4217.</w:t>
            </w:r>
          </w:p>
        </w:tc>
      </w:tr>
      <w:tr w:rsidR="00FE5D6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FE5D64" w:rsidRDefault="00E40776">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FE5D64" w:rsidRDefault="00E40776">
            <w:pPr>
              <w:pStyle w:val="P68B1DB1-TableParagraph73"/>
              <w:spacing w:before="108"/>
              <w:ind w:left="85"/>
              <w:jc w:val="both"/>
              <w:rPr>
                <w:bCs/>
              </w:rPr>
            </w:pPr>
            <w:r>
              <w:t xml:space="preserve"> Дата на признаване </w:t>
            </w:r>
          </w:p>
          <w:p w14:paraId="7FE1D21E" w14:textId="6A3E04DE" w:rsidR="00FE5D64" w:rsidRDefault="00E40776">
            <w:pPr>
              <w:pStyle w:val="P68B1DB1-TableParagraph40"/>
              <w:spacing w:before="108"/>
              <w:ind w:left="85"/>
              <w:jc w:val="both"/>
            </w:pPr>
            <w:r>
              <w:t>Дата, на която задължението е било признато във финансовите отчети съгласно приложимите счетоводни стандарти.</w:t>
            </w:r>
          </w:p>
        </w:tc>
      </w:tr>
      <w:tr w:rsidR="00FE5D6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FE5D64" w:rsidRDefault="00E40776">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334D4A35" w:rsidR="00FE5D64" w:rsidRDefault="00E40776">
            <w:pPr>
              <w:pStyle w:val="P68B1DB1-TableParagraph73"/>
              <w:spacing w:before="108"/>
              <w:ind w:left="85"/>
              <w:jc w:val="both"/>
              <w:rPr>
                <w:bCs/>
              </w:rPr>
            </w:pPr>
            <w:r>
              <w:t xml:space="preserve">Дата на </w:t>
            </w:r>
            <w:r w:rsidR="00AC5F35">
              <w:rPr>
                <w:lang w:val="bg-BG"/>
              </w:rPr>
              <w:t>падеж</w:t>
            </w:r>
          </w:p>
          <w:p w14:paraId="7FE1D222" w14:textId="5528FC41" w:rsidR="00FE5D64" w:rsidRDefault="00E40776" w:rsidP="00AC5F35">
            <w:pPr>
              <w:pStyle w:val="P68B1DB1-TableParagraph40"/>
              <w:spacing w:before="108"/>
              <w:ind w:left="85"/>
              <w:jc w:val="both"/>
            </w:pPr>
            <w:r>
              <w:t xml:space="preserve">Дата на </w:t>
            </w:r>
            <w:r w:rsidR="00DD3ED9">
              <w:rPr>
                <w:lang w:val="bg-BG"/>
              </w:rPr>
              <w:t>крайния договорен</w:t>
            </w:r>
            <w:r>
              <w:t xml:space="preserve"> падежа на </w:t>
            </w:r>
            <w:r w:rsidR="00DD3ED9">
              <w:rPr>
                <w:lang w:val="bg-BG"/>
              </w:rPr>
              <w:t>задължението</w:t>
            </w:r>
            <w:r>
              <w:t xml:space="preserve">. За безсрочни задължения се </w:t>
            </w:r>
            <w:r w:rsidR="00DD3ED9">
              <w:rPr>
                <w:lang w:val="bg-BG"/>
              </w:rPr>
              <w:t>попълва</w:t>
            </w:r>
            <w:r w:rsidR="00DD3ED9">
              <w:t xml:space="preserve"> </w:t>
            </w:r>
            <w:r>
              <w:t>„2099—01—31“</w:t>
            </w:r>
          </w:p>
        </w:tc>
      </w:tr>
      <w:tr w:rsidR="00FE5D6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FE5D64" w:rsidRDefault="00E40776">
            <w:pPr>
              <w:pStyle w:val="P68B1DB1-Normal31"/>
            </w:pPr>
            <w:r>
              <w:t>0130</w:t>
            </w:r>
          </w:p>
        </w:tc>
        <w:tc>
          <w:tcPr>
            <w:tcW w:w="7832" w:type="dxa"/>
            <w:tcBorders>
              <w:top w:val="single" w:sz="8" w:space="0" w:color="1A171C"/>
              <w:left w:val="single" w:sz="8" w:space="0" w:color="1A171C"/>
              <w:right w:val="nil"/>
            </w:tcBorders>
            <w:vAlign w:val="bottom"/>
          </w:tcPr>
          <w:p w14:paraId="7FE1D225" w14:textId="47AE942F" w:rsidR="00FE5D64" w:rsidRPr="00DD3ED9" w:rsidRDefault="00DD3ED9">
            <w:pPr>
              <w:pStyle w:val="P68B1DB1-TableParagraph40"/>
              <w:spacing w:before="108"/>
              <w:ind w:left="85"/>
              <w:jc w:val="both"/>
              <w:rPr>
                <w:b/>
                <w:lang w:val="bg-BG"/>
              </w:rPr>
            </w:pPr>
            <w:r w:rsidRPr="001118F2">
              <w:rPr>
                <w:b/>
                <w:lang w:val="bg-BG"/>
              </w:rPr>
              <w:t xml:space="preserve">Отговарящи на изискванията за </w:t>
            </w:r>
            <w:r w:rsidR="00E40776" w:rsidRPr="00DD3ED9">
              <w:rPr>
                <w:b/>
              </w:rPr>
              <w:t xml:space="preserve">собствен </w:t>
            </w:r>
            <w:r w:rsidRPr="00DD3ED9">
              <w:rPr>
                <w:b/>
                <w:lang w:val="bg-BG"/>
              </w:rPr>
              <w:t>капитал</w:t>
            </w:r>
          </w:p>
          <w:p w14:paraId="7FE1D226" w14:textId="02075C30" w:rsidR="00FE5D64" w:rsidRDefault="00DD3ED9">
            <w:pPr>
              <w:pStyle w:val="P68B1DB1-TableParagraph40"/>
              <w:spacing w:before="108"/>
              <w:ind w:left="85"/>
              <w:jc w:val="both"/>
            </w:pPr>
            <w:r>
              <w:rPr>
                <w:lang w:val="bg-BG"/>
              </w:rPr>
              <w:t>Посочва се</w:t>
            </w:r>
            <w:r>
              <w:t xml:space="preserve"> </w:t>
            </w:r>
            <w:r w:rsidR="00E40776">
              <w:t xml:space="preserve">дали и на какво </w:t>
            </w:r>
            <w:r>
              <w:rPr>
                <w:lang w:val="bg-BG"/>
              </w:rPr>
              <w:t>ниво</w:t>
            </w:r>
            <w:r>
              <w:t xml:space="preserve"> </w:t>
            </w:r>
            <w:r w:rsidR="00E40776">
              <w:t>инструментът е включен в собствения капитал, заедно с информация относно режима за поетапн</w:t>
            </w:r>
            <w:r>
              <w:rPr>
                <w:lang w:val="bg-BG"/>
              </w:rPr>
              <w:t>а</w:t>
            </w:r>
            <w:r w:rsidR="00E40776">
              <w:t xml:space="preserve"> </w:t>
            </w:r>
            <w:r>
              <w:rPr>
                <w:lang w:val="bg-BG"/>
              </w:rPr>
              <w:t>амортизация</w:t>
            </w:r>
            <w:r>
              <w:t xml:space="preserve"> </w:t>
            </w:r>
            <w:r w:rsidR="00E40776">
              <w:t xml:space="preserve">и </w:t>
            </w:r>
            <w:r>
              <w:rPr>
                <w:lang w:val="bg-BG"/>
              </w:rPr>
              <w:t>унаследяване (</w:t>
            </w:r>
            <w:r>
              <w:rPr>
                <w:lang w:val="en-US"/>
              </w:rPr>
              <w:t>grandfathering</w:t>
            </w:r>
            <w:r>
              <w:rPr>
                <w:lang w:val="bg-BG"/>
              </w:rPr>
              <w:t>)</w:t>
            </w:r>
            <w:r w:rsidR="00E40776">
              <w:t xml:space="preserve">. </w:t>
            </w:r>
            <w:r>
              <w:rPr>
                <w:lang w:val="bg-BG"/>
              </w:rPr>
              <w:t xml:space="preserve">Посочва се една от стойностите от предварително определен списък: </w:t>
            </w:r>
            <w:r w:rsidR="00E40776">
              <w:t>„Не</w:t>
            </w:r>
            <w:r w:rsidR="00B104FA">
              <w:rPr>
                <w:lang w:val="bg-BG"/>
              </w:rPr>
              <w:t>“</w:t>
            </w:r>
            <w:r w:rsidR="00E40776">
              <w:t>, „Частично AT1, T1 и T2</w:t>
            </w:r>
            <w:r w:rsidR="00B104FA">
              <w:rPr>
                <w:lang w:val="bg-BG"/>
              </w:rPr>
              <w:t>“</w:t>
            </w:r>
            <w:r w:rsidR="00E40776">
              <w:t>, „T2 при поетапн</w:t>
            </w:r>
            <w:r w:rsidR="00B104FA">
              <w:rPr>
                <w:lang w:val="bg-BG"/>
              </w:rPr>
              <w:t>а амортизация“</w:t>
            </w:r>
            <w:r w:rsidR="00E40776">
              <w:t>, „</w:t>
            </w:r>
            <w:r w:rsidR="00B104FA">
              <w:rPr>
                <w:lang w:val="bg-BG"/>
              </w:rPr>
              <w:t>Унаследен</w:t>
            </w:r>
            <w:r w:rsidR="00B104FA">
              <w:t xml:space="preserve"> </w:t>
            </w:r>
            <w:r w:rsidR="00E40776">
              <w:t>T2“, „</w:t>
            </w:r>
            <w:r w:rsidR="00B104FA">
              <w:rPr>
                <w:lang w:val="bg-BG"/>
              </w:rPr>
              <w:t>Н</w:t>
            </w:r>
            <w:r w:rsidR="00E40776">
              <w:t>апълно съответстващ T2</w:t>
            </w:r>
            <w:r w:rsidR="00B104FA">
              <w:rPr>
                <w:lang w:val="bg-BG"/>
              </w:rPr>
              <w:t>“</w:t>
            </w:r>
            <w:r w:rsidR="00E40776">
              <w:t>, „</w:t>
            </w:r>
            <w:r w:rsidR="00B104FA">
              <w:rPr>
                <w:lang w:val="bg-BG"/>
              </w:rPr>
              <w:t>Унаследен</w:t>
            </w:r>
            <w:r w:rsidR="00E40776">
              <w:t xml:space="preserve"> AT1</w:t>
            </w:r>
            <w:r w:rsidR="00B104FA">
              <w:rPr>
                <w:lang w:val="bg-BG"/>
              </w:rPr>
              <w:t>“</w:t>
            </w:r>
            <w:r w:rsidR="00E40776">
              <w:t>, „</w:t>
            </w:r>
            <w:r w:rsidR="00B104FA">
              <w:rPr>
                <w:lang w:val="bg-BG"/>
              </w:rPr>
              <w:t>Н</w:t>
            </w:r>
            <w:r w:rsidR="00E40776">
              <w:t>апълно съответстващ AT1</w:t>
            </w:r>
            <w:r w:rsidR="00B104FA">
              <w:rPr>
                <w:lang w:val="bg-BG"/>
              </w:rPr>
              <w:t xml:space="preserve">“ </w:t>
            </w:r>
            <w:r w:rsidR="00E40776">
              <w:t xml:space="preserve">или „CET1“. </w:t>
            </w:r>
          </w:p>
          <w:p w14:paraId="7FE1D227" w14:textId="595FF652" w:rsidR="00FE5D64" w:rsidRDefault="00E40776" w:rsidP="00B104FA">
            <w:pPr>
              <w:pStyle w:val="P68B1DB1-TableParagraph40"/>
              <w:spacing w:before="108"/>
              <w:ind w:left="85"/>
              <w:jc w:val="both"/>
            </w:pPr>
            <w:r>
              <w:t xml:space="preserve"> В списъка с опции терминът „</w:t>
            </w:r>
            <w:r w:rsidR="00B104FA">
              <w:rPr>
                <w:lang w:val="bg-BG"/>
              </w:rPr>
              <w:t xml:space="preserve">поетапна </w:t>
            </w:r>
            <w:r w:rsidR="009C715E">
              <w:rPr>
                <w:lang w:val="bg-BG"/>
              </w:rPr>
              <w:t>амортизация</w:t>
            </w:r>
            <w:r>
              <w:t>“</w:t>
            </w:r>
            <w:r w:rsidR="008F5545">
              <w:rPr>
                <w:lang w:val="bg-BG"/>
              </w:rPr>
              <w:t xml:space="preserve"> (</w:t>
            </w:r>
            <w:r w:rsidR="008F5545">
              <w:rPr>
                <w:lang w:val="en-US"/>
              </w:rPr>
              <w:t>“phase-out</w:t>
            </w:r>
            <w:r w:rsidR="008F5545">
              <w:rPr>
                <w:lang w:val="bg-BG"/>
              </w:rPr>
              <w:t>)</w:t>
            </w:r>
            <w:r>
              <w:t xml:space="preserve"> се отнася за периода от 5 години преди падежа на даден инструмент</w:t>
            </w:r>
            <w:r w:rsidR="008F5545">
              <w:rPr>
                <w:lang w:val="bg-BG"/>
              </w:rPr>
              <w:t xml:space="preserve"> на капитала от втори ред</w:t>
            </w:r>
            <w:r>
              <w:t xml:space="preserve"> </w:t>
            </w:r>
            <w:r w:rsidR="008F5545">
              <w:rPr>
                <w:lang w:val="bg-BG"/>
              </w:rPr>
              <w:t>(</w:t>
            </w:r>
            <w:r>
              <w:t>Т2</w:t>
            </w:r>
            <w:r w:rsidR="008F5545">
              <w:rPr>
                <w:lang w:val="bg-BG"/>
              </w:rPr>
              <w:t>)</w:t>
            </w:r>
            <w:r>
              <w:t>, през който има само пропорционално признаване въз основа на оставащия срок до падежа. „Унаследяване</w:t>
            </w:r>
            <w:r w:rsidR="008F5545">
              <w:rPr>
                <w:lang w:val="bg-BG"/>
              </w:rPr>
              <w:t>“</w:t>
            </w:r>
            <w:r>
              <w:t xml:space="preserve"> се отнася до всяка преходна мярка, приложима за инструмент</w:t>
            </w:r>
            <w:r w:rsidR="008F5545">
              <w:rPr>
                <w:lang w:val="bg-BG"/>
              </w:rPr>
              <w:t xml:space="preserve"> на капитала от втори ред</w:t>
            </w:r>
            <w:r>
              <w:t xml:space="preserve"> </w:t>
            </w:r>
            <w:r w:rsidR="008F5545">
              <w:rPr>
                <w:lang w:val="bg-BG"/>
              </w:rPr>
              <w:t>(</w:t>
            </w:r>
            <w:r>
              <w:t>Т2</w:t>
            </w:r>
            <w:r w:rsidR="008F5545">
              <w:rPr>
                <w:lang w:val="bg-BG"/>
              </w:rPr>
              <w:t>)</w:t>
            </w:r>
            <w:r>
              <w:t>, без да се включва „</w:t>
            </w:r>
            <w:r w:rsidR="008F5545">
              <w:rPr>
                <w:lang w:val="bg-BG"/>
              </w:rPr>
              <w:t>поетапна амортизация</w:t>
            </w:r>
            <w:r>
              <w:t>“. По време на това „</w:t>
            </w:r>
            <w:r w:rsidR="008F5545">
              <w:rPr>
                <w:lang w:val="bg-BG"/>
              </w:rPr>
              <w:t>унаследяване</w:t>
            </w:r>
            <w:r w:rsidR="00CD78E7">
              <w:rPr>
                <w:lang w:val="bg-BG"/>
              </w:rPr>
              <w:t xml:space="preserve"> </w:t>
            </w:r>
            <w:r>
              <w:t>“ признаването може да бъде пълно или частично.</w:t>
            </w:r>
          </w:p>
        </w:tc>
      </w:tr>
      <w:tr w:rsidR="00FE5D64" w14:paraId="7FE1D22C" w14:textId="77777777">
        <w:tc>
          <w:tcPr>
            <w:tcW w:w="1183" w:type="dxa"/>
            <w:tcBorders>
              <w:top w:val="nil"/>
              <w:left w:val="nil"/>
              <w:bottom w:val="single" w:sz="8" w:space="0" w:color="1A171C"/>
              <w:right w:val="single" w:sz="8" w:space="0" w:color="1A171C"/>
            </w:tcBorders>
            <w:vAlign w:val="center"/>
          </w:tcPr>
          <w:p w14:paraId="7FE1D229" w14:textId="77777777" w:rsidR="00FE5D64" w:rsidRDefault="00E40776">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FE5D64" w:rsidRDefault="00E40776">
            <w:pPr>
              <w:pStyle w:val="P68B1DB1-TableParagraph40"/>
              <w:spacing w:before="108"/>
              <w:ind w:left="85"/>
              <w:jc w:val="both"/>
              <w:rPr>
                <w:b/>
                <w:bCs/>
              </w:rPr>
            </w:pPr>
            <w:r>
              <w:t xml:space="preserve"> </w:t>
            </w:r>
            <w:r>
              <w:rPr>
                <w:b/>
              </w:rPr>
              <w:t>Сума, квалифицирана като собствен капитал</w:t>
            </w:r>
          </w:p>
          <w:p w14:paraId="7FE1D22B" w14:textId="01A9A811" w:rsidR="00FE5D64" w:rsidRDefault="00E40776">
            <w:pPr>
              <w:pStyle w:val="P68B1DB1-TableParagraph40"/>
              <w:spacing w:before="108"/>
              <w:ind w:left="85"/>
              <w:jc w:val="both"/>
            </w:pPr>
            <w:r>
              <w:t>Размерът на инструмента, който отговаря на условията за собствен капитал.</w:t>
            </w:r>
          </w:p>
        </w:tc>
      </w:tr>
    </w:tbl>
    <w:p w14:paraId="7FE1D22D" w14:textId="01F1CEAB" w:rsidR="00FE5D64" w:rsidRDefault="00FE5D64">
      <w:pPr>
        <w:pStyle w:val="body"/>
        <w:rPr>
          <w:rFonts w:ascii="Times New Roman" w:hAnsi="Times New Roman" w:cs="Times New Roman"/>
          <w:sz w:val="20"/>
          <w:szCs w:val="20"/>
        </w:rPr>
      </w:pPr>
    </w:p>
    <w:p w14:paraId="42DED9B4" w14:textId="77777777" w:rsidR="00FE5D64" w:rsidRPr="006B21E5" w:rsidRDefault="00FE5D64" w:rsidP="006B21E5">
      <w:pPr>
        <w:pStyle w:val="P68B1DB1-Normal19"/>
        <w:spacing w:after="200" w:line="276" w:lineRule="auto"/>
      </w:pPr>
    </w:p>
    <w:p w14:paraId="4BD624F8" w14:textId="77777777" w:rsidR="00FE5D64" w:rsidRDefault="00FE5D64">
      <w:pPr>
        <w:spacing w:after="200" w:line="276" w:lineRule="auto"/>
        <w:rPr>
          <w:rFonts w:ascii="Times New Roman" w:hAnsi="Times New Roman" w:cs="Times New Roman"/>
          <w:sz w:val="20"/>
          <w:szCs w:val="20"/>
        </w:rPr>
      </w:pPr>
    </w:p>
    <w:p w14:paraId="715529B0" w14:textId="64A141F4" w:rsidR="00FE5D64" w:rsidRDefault="00E40776">
      <w:pPr>
        <w:pStyle w:val="P68B1DB1-Instructionsberschrift284"/>
        <w:numPr>
          <w:ilvl w:val="1"/>
          <w:numId w:val="49"/>
        </w:numPr>
        <w:spacing w:before="0"/>
        <w:ind w:left="357" w:hanging="357"/>
      </w:pPr>
      <w:bookmarkStart w:id="273" w:name="_Toc192248856"/>
      <w:bookmarkStart w:id="274" w:name="_Toc208244491"/>
      <w:r>
        <w:t>Приложение I — Списък на ИФП, които да се използват за Z 09.01 — c0050</w:t>
      </w:r>
      <w:bookmarkEnd w:id="273"/>
      <w:bookmarkEnd w:id="274"/>
    </w:p>
    <w:p w14:paraId="31681B73" w14:textId="51FEAE08" w:rsidR="00FE5D64" w:rsidRDefault="00FE5D64">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FE5D64"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3E9CA195" w:rsidR="00FE5D64" w:rsidRDefault="00CB2BC1" w:rsidP="00CB2BC1">
            <w:pPr>
              <w:pStyle w:val="P68B1DB1-Normal90"/>
            </w:pPr>
            <w:r>
              <w:rPr>
                <w:lang w:val="bg-BG"/>
              </w:rPr>
              <w:t>С</w:t>
            </w:r>
            <w:r w:rsidR="00E40776">
              <w:t>писък</w:t>
            </w:r>
            <w:r>
              <w:rPr>
                <w:lang w:val="bg-BG"/>
              </w:rPr>
              <w:t xml:space="preserve"> за избор</w:t>
            </w:r>
            <w:r w:rsidR="00E40776">
              <w:t xml:space="preserve"> на ИФП</w:t>
            </w:r>
          </w:p>
        </w:tc>
      </w:tr>
      <w:tr w:rsidR="00ED7236" w14:paraId="09736821" w14:textId="77777777">
        <w:trPr>
          <w:trHeight w:val="300"/>
        </w:trPr>
        <w:tc>
          <w:tcPr>
            <w:tcW w:w="9072" w:type="dxa"/>
            <w:tcBorders>
              <w:top w:val="nil"/>
              <w:left w:val="nil"/>
              <w:bottom w:val="nil"/>
              <w:right w:val="nil"/>
            </w:tcBorders>
            <w:noWrap/>
            <w:vAlign w:val="bottom"/>
            <w:hideMark/>
          </w:tcPr>
          <w:p w14:paraId="65FBD6FC" w14:textId="19EF9FCE" w:rsidR="00ED7236" w:rsidRDefault="00ED7236" w:rsidP="00ED7236">
            <w:pPr>
              <w:pStyle w:val="P68B1DB1-Normal91"/>
            </w:pPr>
            <w:bookmarkStart w:id="275" w:name="RANGE!A3:A168"/>
            <w:r w:rsidRPr="00F22F68">
              <w:t>Athens Clearing Office (ACO)</w:t>
            </w:r>
            <w:bookmarkEnd w:id="275"/>
          </w:p>
        </w:tc>
      </w:tr>
      <w:tr w:rsidR="00ED7236" w14:paraId="447EB604" w14:textId="77777777">
        <w:trPr>
          <w:trHeight w:val="300"/>
        </w:trPr>
        <w:tc>
          <w:tcPr>
            <w:tcW w:w="9072" w:type="dxa"/>
            <w:tcBorders>
              <w:top w:val="nil"/>
              <w:left w:val="nil"/>
              <w:bottom w:val="nil"/>
              <w:right w:val="nil"/>
            </w:tcBorders>
            <w:noWrap/>
            <w:vAlign w:val="bottom"/>
            <w:hideMark/>
          </w:tcPr>
          <w:p w14:paraId="2B6E60A7" w14:textId="69582E37" w:rsidR="00ED7236" w:rsidRDefault="00ED7236" w:rsidP="00ED7236">
            <w:pPr>
              <w:pStyle w:val="P68B1DB1-Normal91"/>
            </w:pPr>
            <w:r w:rsidRPr="00F22F68">
              <w:t>ATHEX (Athens Stock Exchange)</w:t>
            </w:r>
          </w:p>
        </w:tc>
      </w:tr>
      <w:tr w:rsidR="00ED7236" w14:paraId="0DF5C441" w14:textId="77777777">
        <w:trPr>
          <w:trHeight w:val="300"/>
        </w:trPr>
        <w:tc>
          <w:tcPr>
            <w:tcW w:w="9072" w:type="dxa"/>
            <w:tcBorders>
              <w:top w:val="nil"/>
              <w:left w:val="nil"/>
              <w:bottom w:val="nil"/>
              <w:right w:val="nil"/>
            </w:tcBorders>
            <w:noWrap/>
            <w:vAlign w:val="bottom"/>
            <w:hideMark/>
          </w:tcPr>
          <w:p w14:paraId="4C199F01" w14:textId="76F1D78F" w:rsidR="00ED7236" w:rsidRDefault="00ED7236" w:rsidP="00ED7236">
            <w:pPr>
              <w:pStyle w:val="P68B1DB1-Normal91"/>
            </w:pPr>
            <w:r w:rsidRPr="00F22F68">
              <w:t>ATHEX CSD</w:t>
            </w:r>
          </w:p>
        </w:tc>
      </w:tr>
      <w:tr w:rsidR="00ED7236" w14:paraId="6C8DFF2B" w14:textId="77777777">
        <w:trPr>
          <w:trHeight w:val="300"/>
        </w:trPr>
        <w:tc>
          <w:tcPr>
            <w:tcW w:w="9072" w:type="dxa"/>
            <w:tcBorders>
              <w:top w:val="nil"/>
              <w:left w:val="nil"/>
              <w:bottom w:val="nil"/>
              <w:right w:val="nil"/>
            </w:tcBorders>
            <w:noWrap/>
            <w:vAlign w:val="bottom"/>
            <w:hideMark/>
          </w:tcPr>
          <w:p w14:paraId="2876B1C1" w14:textId="36E77226" w:rsidR="00ED7236" w:rsidRDefault="00ED7236" w:rsidP="00ED7236">
            <w:pPr>
              <w:pStyle w:val="P68B1DB1-Normal91"/>
            </w:pPr>
            <w:r w:rsidRPr="00F22F68">
              <w:t>ATHEXClear SA</w:t>
            </w:r>
          </w:p>
        </w:tc>
      </w:tr>
      <w:tr w:rsidR="00ED7236" w14:paraId="24CE5F78" w14:textId="77777777">
        <w:trPr>
          <w:trHeight w:val="300"/>
        </w:trPr>
        <w:tc>
          <w:tcPr>
            <w:tcW w:w="9072" w:type="dxa"/>
            <w:tcBorders>
              <w:top w:val="nil"/>
              <w:left w:val="nil"/>
              <w:bottom w:val="nil"/>
              <w:right w:val="nil"/>
            </w:tcBorders>
            <w:noWrap/>
            <w:vAlign w:val="bottom"/>
            <w:hideMark/>
          </w:tcPr>
          <w:p w14:paraId="1E830E75" w14:textId="6812F68A" w:rsidR="00ED7236" w:rsidRDefault="00ED7236" w:rsidP="00ED7236">
            <w:pPr>
              <w:pStyle w:val="P68B1DB1-Normal91"/>
            </w:pPr>
            <w:r w:rsidRPr="00F22F68">
              <w:t>The Clearing House ACH</w:t>
            </w:r>
          </w:p>
        </w:tc>
      </w:tr>
      <w:tr w:rsidR="00ED7236" w14:paraId="2920AE45" w14:textId="77777777">
        <w:trPr>
          <w:trHeight w:val="300"/>
        </w:trPr>
        <w:tc>
          <w:tcPr>
            <w:tcW w:w="9072" w:type="dxa"/>
            <w:tcBorders>
              <w:top w:val="nil"/>
              <w:left w:val="nil"/>
              <w:bottom w:val="nil"/>
              <w:right w:val="nil"/>
            </w:tcBorders>
            <w:noWrap/>
            <w:vAlign w:val="bottom"/>
            <w:hideMark/>
          </w:tcPr>
          <w:p w14:paraId="1C314494" w14:textId="3A890B10" w:rsidR="00ED7236" w:rsidRDefault="00ED7236" w:rsidP="00ED7236">
            <w:pPr>
              <w:pStyle w:val="P68B1DB1-Normal91"/>
            </w:pPr>
            <w:r w:rsidRPr="00F22F68">
              <w:t>Automated Clearing Settlement System (ACSS)</w:t>
            </w:r>
          </w:p>
        </w:tc>
      </w:tr>
      <w:tr w:rsidR="00ED7236" w14:paraId="1DB8A80A" w14:textId="77777777">
        <w:trPr>
          <w:trHeight w:val="300"/>
        </w:trPr>
        <w:tc>
          <w:tcPr>
            <w:tcW w:w="9072" w:type="dxa"/>
            <w:tcBorders>
              <w:top w:val="nil"/>
              <w:left w:val="nil"/>
              <w:bottom w:val="nil"/>
              <w:right w:val="nil"/>
            </w:tcBorders>
            <w:noWrap/>
            <w:vAlign w:val="bottom"/>
            <w:hideMark/>
          </w:tcPr>
          <w:p w14:paraId="65CA5200" w14:textId="367A331D" w:rsidR="00ED7236" w:rsidRDefault="00ED7236" w:rsidP="00ED7236">
            <w:pPr>
              <w:pStyle w:val="P68B1DB1-Normal91"/>
            </w:pPr>
            <w:r w:rsidRPr="00F22F68">
              <w:t>BACS (Bankers' Automated Clearing Services)</w:t>
            </w:r>
          </w:p>
        </w:tc>
      </w:tr>
      <w:tr w:rsidR="00ED7236" w14:paraId="0C931590" w14:textId="77777777">
        <w:trPr>
          <w:trHeight w:val="300"/>
        </w:trPr>
        <w:tc>
          <w:tcPr>
            <w:tcW w:w="9072" w:type="dxa"/>
            <w:tcBorders>
              <w:top w:val="nil"/>
              <w:left w:val="nil"/>
              <w:bottom w:val="nil"/>
              <w:right w:val="nil"/>
            </w:tcBorders>
            <w:noWrap/>
            <w:vAlign w:val="bottom"/>
            <w:hideMark/>
          </w:tcPr>
          <w:p w14:paraId="50133989" w14:textId="0907B242" w:rsidR="00ED7236" w:rsidRDefault="00ED7236" w:rsidP="00ED7236">
            <w:pPr>
              <w:pStyle w:val="P68B1DB1-Normal91"/>
            </w:pPr>
            <w:r w:rsidRPr="00F22F68">
              <w:t>Bankgirot (Bankgirocentralen BGC AB)</w:t>
            </w:r>
          </w:p>
        </w:tc>
      </w:tr>
      <w:tr w:rsidR="00ED7236" w14:paraId="2F8CAEE4" w14:textId="77777777">
        <w:trPr>
          <w:trHeight w:val="300"/>
        </w:trPr>
        <w:tc>
          <w:tcPr>
            <w:tcW w:w="9072" w:type="dxa"/>
            <w:tcBorders>
              <w:top w:val="nil"/>
              <w:left w:val="nil"/>
              <w:bottom w:val="nil"/>
              <w:right w:val="nil"/>
            </w:tcBorders>
            <w:noWrap/>
            <w:vAlign w:val="bottom"/>
            <w:hideMark/>
          </w:tcPr>
          <w:p w14:paraId="01AEF229" w14:textId="074E55D6" w:rsidR="00ED7236" w:rsidRDefault="00ED7236" w:rsidP="00ED7236">
            <w:pPr>
              <w:pStyle w:val="P68B1DB1-Normal91"/>
            </w:pPr>
            <w:r w:rsidRPr="00F22F68">
              <w:t>BI-COMP</w:t>
            </w:r>
          </w:p>
        </w:tc>
      </w:tr>
      <w:tr w:rsidR="00ED7236" w14:paraId="7736D7E4" w14:textId="77777777">
        <w:trPr>
          <w:trHeight w:val="300"/>
        </w:trPr>
        <w:tc>
          <w:tcPr>
            <w:tcW w:w="9072" w:type="dxa"/>
            <w:tcBorders>
              <w:top w:val="nil"/>
              <w:left w:val="nil"/>
              <w:bottom w:val="nil"/>
              <w:right w:val="nil"/>
            </w:tcBorders>
            <w:noWrap/>
            <w:vAlign w:val="bottom"/>
            <w:hideMark/>
          </w:tcPr>
          <w:p w14:paraId="431E29D0" w14:textId="633FADA2" w:rsidR="00ED7236" w:rsidRDefault="00ED7236" w:rsidP="00ED7236">
            <w:pPr>
              <w:pStyle w:val="P68B1DB1-Normal91"/>
            </w:pPr>
            <w:r w:rsidRPr="00F22F68">
              <w:t>BISERA (Bank Integrated System for Electronic Payments)</w:t>
            </w:r>
          </w:p>
        </w:tc>
      </w:tr>
      <w:tr w:rsidR="00ED7236" w14:paraId="7AE977D3" w14:textId="77777777">
        <w:trPr>
          <w:trHeight w:val="300"/>
        </w:trPr>
        <w:tc>
          <w:tcPr>
            <w:tcW w:w="9072" w:type="dxa"/>
            <w:tcBorders>
              <w:top w:val="nil"/>
              <w:left w:val="nil"/>
              <w:bottom w:val="nil"/>
              <w:right w:val="nil"/>
            </w:tcBorders>
            <w:noWrap/>
            <w:vAlign w:val="bottom"/>
            <w:hideMark/>
          </w:tcPr>
          <w:p w14:paraId="0E054309" w14:textId="1CF51737" w:rsidR="00ED7236" w:rsidRDefault="00ED7236" w:rsidP="00ED7236">
            <w:pPr>
              <w:pStyle w:val="P68B1DB1-Normal91"/>
            </w:pPr>
            <w:r w:rsidRPr="00F22F68">
              <w:t>Bloomberg Trade Repository Limited</w:t>
            </w:r>
          </w:p>
        </w:tc>
      </w:tr>
      <w:tr w:rsidR="00ED7236" w14:paraId="3DEFBBB0" w14:textId="77777777">
        <w:trPr>
          <w:trHeight w:val="300"/>
        </w:trPr>
        <w:tc>
          <w:tcPr>
            <w:tcW w:w="9072" w:type="dxa"/>
            <w:tcBorders>
              <w:top w:val="nil"/>
              <w:left w:val="nil"/>
              <w:bottom w:val="nil"/>
              <w:right w:val="nil"/>
            </w:tcBorders>
            <w:noWrap/>
            <w:vAlign w:val="bottom"/>
            <w:hideMark/>
          </w:tcPr>
          <w:p w14:paraId="69A6C566" w14:textId="01885A06" w:rsidR="00ED7236" w:rsidRDefault="00ED7236" w:rsidP="00ED7236">
            <w:pPr>
              <w:pStyle w:val="P68B1DB1-Normal91"/>
            </w:pPr>
            <w:r w:rsidRPr="00F22F68">
              <w:t>BME</w:t>
            </w:r>
          </w:p>
        </w:tc>
      </w:tr>
      <w:tr w:rsidR="00ED7236" w14:paraId="6C4EE14D" w14:textId="77777777">
        <w:trPr>
          <w:trHeight w:val="300"/>
        </w:trPr>
        <w:tc>
          <w:tcPr>
            <w:tcW w:w="9072" w:type="dxa"/>
            <w:tcBorders>
              <w:top w:val="nil"/>
              <w:left w:val="nil"/>
              <w:bottom w:val="nil"/>
              <w:right w:val="nil"/>
            </w:tcBorders>
            <w:noWrap/>
            <w:vAlign w:val="bottom"/>
            <w:hideMark/>
          </w:tcPr>
          <w:p w14:paraId="31001C6A" w14:textId="66F23EC4" w:rsidR="00ED7236" w:rsidRDefault="00ED7236" w:rsidP="00ED7236">
            <w:pPr>
              <w:pStyle w:val="P68B1DB1-Normal91"/>
            </w:pPr>
            <w:r w:rsidRPr="00F22F68">
              <w:t>BME Clearing</w:t>
            </w:r>
          </w:p>
        </w:tc>
      </w:tr>
      <w:tr w:rsidR="00ED7236" w14:paraId="3ADECE08" w14:textId="77777777">
        <w:trPr>
          <w:trHeight w:val="300"/>
        </w:trPr>
        <w:tc>
          <w:tcPr>
            <w:tcW w:w="9072" w:type="dxa"/>
            <w:tcBorders>
              <w:top w:val="nil"/>
              <w:left w:val="nil"/>
              <w:bottom w:val="nil"/>
              <w:right w:val="nil"/>
            </w:tcBorders>
            <w:noWrap/>
            <w:vAlign w:val="bottom"/>
            <w:hideMark/>
          </w:tcPr>
          <w:p w14:paraId="29263C2A" w14:textId="765ED3F2" w:rsidR="00ED7236" w:rsidRDefault="00ED7236" w:rsidP="00ED7236">
            <w:pPr>
              <w:pStyle w:val="P68B1DB1-Normal91"/>
            </w:pPr>
            <w:r w:rsidRPr="00F22F68">
              <w:t>BOGS (Bank of Greece Securities Settlement System)</w:t>
            </w:r>
          </w:p>
        </w:tc>
      </w:tr>
      <w:tr w:rsidR="00ED7236" w14:paraId="6CCCB9AC" w14:textId="77777777">
        <w:trPr>
          <w:trHeight w:val="300"/>
        </w:trPr>
        <w:tc>
          <w:tcPr>
            <w:tcW w:w="9072" w:type="dxa"/>
            <w:tcBorders>
              <w:top w:val="nil"/>
              <w:left w:val="nil"/>
              <w:bottom w:val="nil"/>
              <w:right w:val="nil"/>
            </w:tcBorders>
            <w:noWrap/>
            <w:vAlign w:val="bottom"/>
            <w:hideMark/>
          </w:tcPr>
          <w:p w14:paraId="1092DA48" w14:textId="2EF5E20D" w:rsidR="00ED7236" w:rsidRDefault="00ED7236" w:rsidP="00ED7236">
            <w:pPr>
              <w:pStyle w:val="P68B1DB1-Normal91"/>
            </w:pPr>
            <w:r w:rsidRPr="00F22F68">
              <w:t>BOJ-NET</w:t>
            </w:r>
          </w:p>
        </w:tc>
      </w:tr>
      <w:tr w:rsidR="00ED7236" w14:paraId="4CEE7A6B" w14:textId="77777777">
        <w:trPr>
          <w:trHeight w:val="300"/>
        </w:trPr>
        <w:tc>
          <w:tcPr>
            <w:tcW w:w="9072" w:type="dxa"/>
            <w:tcBorders>
              <w:top w:val="nil"/>
              <w:left w:val="nil"/>
              <w:bottom w:val="nil"/>
              <w:right w:val="nil"/>
            </w:tcBorders>
            <w:noWrap/>
            <w:vAlign w:val="bottom"/>
            <w:hideMark/>
          </w:tcPr>
          <w:p w14:paraId="04FBDA33" w14:textId="29EDDF5F" w:rsidR="00ED7236" w:rsidRDefault="00ED7236" w:rsidP="00ED7236">
            <w:pPr>
              <w:pStyle w:val="P68B1DB1-Normal91"/>
            </w:pPr>
            <w:r w:rsidRPr="00F22F68">
              <w:t>BondSpot S.A.</w:t>
            </w:r>
          </w:p>
        </w:tc>
      </w:tr>
      <w:tr w:rsidR="00ED7236" w14:paraId="3B8A9B67" w14:textId="77777777">
        <w:trPr>
          <w:trHeight w:val="300"/>
        </w:trPr>
        <w:tc>
          <w:tcPr>
            <w:tcW w:w="9072" w:type="dxa"/>
            <w:tcBorders>
              <w:top w:val="nil"/>
              <w:left w:val="nil"/>
              <w:bottom w:val="nil"/>
              <w:right w:val="nil"/>
            </w:tcBorders>
            <w:noWrap/>
            <w:vAlign w:val="bottom"/>
            <w:hideMark/>
          </w:tcPr>
          <w:p w14:paraId="73DB34EF" w14:textId="259F0067" w:rsidR="00ED7236" w:rsidRDefault="00ED7236" w:rsidP="00ED7236">
            <w:pPr>
              <w:pStyle w:val="P68B1DB1-Normal91"/>
            </w:pPr>
            <w:r w:rsidRPr="00F22F68">
              <w:t>BORICA</w:t>
            </w:r>
          </w:p>
        </w:tc>
      </w:tr>
      <w:tr w:rsidR="00ED7236" w14:paraId="5E8D43A2" w14:textId="77777777">
        <w:trPr>
          <w:trHeight w:val="300"/>
        </w:trPr>
        <w:tc>
          <w:tcPr>
            <w:tcW w:w="9072" w:type="dxa"/>
            <w:tcBorders>
              <w:top w:val="nil"/>
              <w:left w:val="nil"/>
              <w:bottom w:val="nil"/>
              <w:right w:val="nil"/>
            </w:tcBorders>
            <w:noWrap/>
            <w:vAlign w:val="bottom"/>
            <w:hideMark/>
          </w:tcPr>
          <w:p w14:paraId="4F788B85" w14:textId="5FDF2E6E" w:rsidR="00ED7236" w:rsidRDefault="00ED7236" w:rsidP="00ED7236">
            <w:pPr>
              <w:pStyle w:val="P68B1DB1-Normal91"/>
            </w:pPr>
            <w:r w:rsidRPr="00F22F68">
              <w:t>Borsa Italiana SpA</w:t>
            </w:r>
          </w:p>
        </w:tc>
      </w:tr>
      <w:tr w:rsidR="00ED7236" w14:paraId="0034826C" w14:textId="77777777">
        <w:trPr>
          <w:trHeight w:val="300"/>
        </w:trPr>
        <w:tc>
          <w:tcPr>
            <w:tcW w:w="9072" w:type="dxa"/>
            <w:tcBorders>
              <w:top w:val="nil"/>
              <w:left w:val="nil"/>
              <w:bottom w:val="nil"/>
              <w:right w:val="nil"/>
            </w:tcBorders>
            <w:noWrap/>
            <w:vAlign w:val="bottom"/>
            <w:hideMark/>
          </w:tcPr>
          <w:p w14:paraId="6C688147" w14:textId="100528F3" w:rsidR="00ED7236" w:rsidRDefault="00ED7236" w:rsidP="00ED7236">
            <w:pPr>
              <w:pStyle w:val="P68B1DB1-Normal91"/>
            </w:pPr>
            <w:r w:rsidRPr="00F22F68">
              <w:t>Bratislava Stock Exchange</w:t>
            </w:r>
          </w:p>
        </w:tc>
      </w:tr>
      <w:tr w:rsidR="00ED7236" w14:paraId="2ACAB3C1" w14:textId="77777777">
        <w:trPr>
          <w:trHeight w:val="300"/>
        </w:trPr>
        <w:tc>
          <w:tcPr>
            <w:tcW w:w="9072" w:type="dxa"/>
            <w:tcBorders>
              <w:top w:val="nil"/>
              <w:left w:val="nil"/>
              <w:bottom w:val="nil"/>
              <w:right w:val="nil"/>
            </w:tcBorders>
            <w:noWrap/>
            <w:vAlign w:val="bottom"/>
            <w:hideMark/>
          </w:tcPr>
          <w:p w14:paraId="797C25FF" w14:textId="3100B6D7" w:rsidR="00ED7236" w:rsidRDefault="00ED7236" w:rsidP="00ED7236">
            <w:pPr>
              <w:pStyle w:val="P68B1DB1-Normal91"/>
            </w:pPr>
            <w:r w:rsidRPr="00F22F68">
              <w:t>Budapest Stock Exchange</w:t>
            </w:r>
          </w:p>
        </w:tc>
      </w:tr>
      <w:tr w:rsidR="00ED7236" w14:paraId="7928BB77" w14:textId="77777777">
        <w:trPr>
          <w:trHeight w:val="300"/>
        </w:trPr>
        <w:tc>
          <w:tcPr>
            <w:tcW w:w="9072" w:type="dxa"/>
            <w:tcBorders>
              <w:top w:val="nil"/>
              <w:left w:val="nil"/>
              <w:bottom w:val="nil"/>
              <w:right w:val="nil"/>
            </w:tcBorders>
            <w:noWrap/>
            <w:vAlign w:val="bottom"/>
            <w:hideMark/>
          </w:tcPr>
          <w:p w14:paraId="3D5ECE9A" w14:textId="0373114E" w:rsidR="00ED7236" w:rsidRPr="001118F2" w:rsidRDefault="00601847" w:rsidP="00ED7236">
            <w:pPr>
              <w:pStyle w:val="P68B1DB1-Normal91"/>
              <w:rPr>
                <w:lang w:val="bg-BG"/>
              </w:rPr>
            </w:pPr>
            <w:r>
              <w:rPr>
                <w:lang w:val="bg-BG"/>
              </w:rPr>
              <w:t xml:space="preserve">Българска </w:t>
            </w:r>
            <w:r w:rsidR="00232FB5">
              <w:rPr>
                <w:lang w:val="bg-BG"/>
              </w:rPr>
              <w:t>ф</w:t>
            </w:r>
            <w:r>
              <w:rPr>
                <w:lang w:val="bg-BG"/>
              </w:rPr>
              <w:t>ондова борса (</w:t>
            </w:r>
            <w:r w:rsidR="00ED7236" w:rsidRPr="00F22F68">
              <w:t>Bulgarian Stock Exchange</w:t>
            </w:r>
            <w:r>
              <w:rPr>
                <w:lang w:val="bg-BG"/>
              </w:rPr>
              <w:t>)</w:t>
            </w:r>
          </w:p>
        </w:tc>
      </w:tr>
      <w:tr w:rsidR="00ED7236" w14:paraId="3ED0C0E7" w14:textId="77777777">
        <w:trPr>
          <w:trHeight w:val="300"/>
        </w:trPr>
        <w:tc>
          <w:tcPr>
            <w:tcW w:w="9072" w:type="dxa"/>
            <w:tcBorders>
              <w:top w:val="nil"/>
              <w:left w:val="nil"/>
              <w:bottom w:val="nil"/>
              <w:right w:val="nil"/>
            </w:tcBorders>
            <w:noWrap/>
            <w:vAlign w:val="bottom"/>
            <w:hideMark/>
          </w:tcPr>
          <w:p w14:paraId="2AACB60C" w14:textId="706B7D7A" w:rsidR="00ED7236" w:rsidRDefault="00ED7236" w:rsidP="00ED7236">
            <w:pPr>
              <w:pStyle w:val="P68B1DB1-Normal91"/>
            </w:pPr>
            <w:r w:rsidRPr="00F22F68">
              <w:t>Bursa de Valori Bucaresti</w:t>
            </w:r>
          </w:p>
        </w:tc>
      </w:tr>
      <w:tr w:rsidR="00ED7236" w14:paraId="358B0CBB" w14:textId="77777777">
        <w:trPr>
          <w:trHeight w:val="300"/>
        </w:trPr>
        <w:tc>
          <w:tcPr>
            <w:tcW w:w="9072" w:type="dxa"/>
            <w:tcBorders>
              <w:top w:val="nil"/>
              <w:left w:val="nil"/>
              <w:bottom w:val="nil"/>
              <w:right w:val="nil"/>
            </w:tcBorders>
            <w:noWrap/>
            <w:vAlign w:val="bottom"/>
            <w:hideMark/>
          </w:tcPr>
          <w:p w14:paraId="69852FE3" w14:textId="66B9AE99" w:rsidR="00ED7236" w:rsidRDefault="00ED7236" w:rsidP="00ED7236">
            <w:pPr>
              <w:pStyle w:val="P68B1DB1-Normal91"/>
            </w:pPr>
            <w:r w:rsidRPr="00F22F68">
              <w:t>Burza cenných papírů Praha, a.s. (Prague Stock Exchange)</w:t>
            </w:r>
          </w:p>
        </w:tc>
      </w:tr>
      <w:tr w:rsidR="00ED7236" w14:paraId="2BEFFD1A" w14:textId="77777777">
        <w:trPr>
          <w:trHeight w:val="300"/>
        </w:trPr>
        <w:tc>
          <w:tcPr>
            <w:tcW w:w="9072" w:type="dxa"/>
            <w:tcBorders>
              <w:top w:val="nil"/>
              <w:left w:val="nil"/>
              <w:bottom w:val="nil"/>
              <w:right w:val="nil"/>
            </w:tcBorders>
            <w:noWrap/>
            <w:vAlign w:val="bottom"/>
            <w:hideMark/>
          </w:tcPr>
          <w:p w14:paraId="32741FAD" w14:textId="7C6C1864" w:rsidR="00ED7236" w:rsidRDefault="00ED7236" w:rsidP="00ED7236">
            <w:pPr>
              <w:pStyle w:val="P68B1DB1-Normal91"/>
            </w:pPr>
            <w:r w:rsidRPr="00F22F68">
              <w:t>Canadian depository for securities (CDS)</w:t>
            </w:r>
          </w:p>
        </w:tc>
      </w:tr>
      <w:tr w:rsidR="00ED7236" w14:paraId="588D9A6E" w14:textId="77777777">
        <w:trPr>
          <w:trHeight w:val="300"/>
        </w:trPr>
        <w:tc>
          <w:tcPr>
            <w:tcW w:w="9072" w:type="dxa"/>
            <w:tcBorders>
              <w:top w:val="nil"/>
              <w:left w:val="nil"/>
              <w:bottom w:val="nil"/>
              <w:right w:val="nil"/>
            </w:tcBorders>
            <w:noWrap/>
            <w:vAlign w:val="bottom"/>
            <w:hideMark/>
          </w:tcPr>
          <w:p w14:paraId="30CD8C56" w14:textId="59F0BB59" w:rsidR="00ED7236" w:rsidRDefault="00ED7236" w:rsidP="00ED7236">
            <w:pPr>
              <w:pStyle w:val="P68B1DB1-Normal91"/>
            </w:pPr>
            <w:r w:rsidRPr="00F22F68">
              <w:t>Canadian Derivatives Clearing Corporation</w:t>
            </w:r>
          </w:p>
        </w:tc>
      </w:tr>
      <w:tr w:rsidR="00ED7236" w14:paraId="47A4B165" w14:textId="77777777">
        <w:trPr>
          <w:trHeight w:val="300"/>
        </w:trPr>
        <w:tc>
          <w:tcPr>
            <w:tcW w:w="9072" w:type="dxa"/>
            <w:tcBorders>
              <w:top w:val="nil"/>
              <w:left w:val="nil"/>
              <w:bottom w:val="nil"/>
              <w:right w:val="nil"/>
            </w:tcBorders>
            <w:noWrap/>
            <w:vAlign w:val="bottom"/>
          </w:tcPr>
          <w:p w14:paraId="4B6A49F9" w14:textId="03502B77" w:rsidR="00ED7236" w:rsidRDefault="00ED7236" w:rsidP="00ED7236">
            <w:pPr>
              <w:pStyle w:val="P68B1DB1-Normal91"/>
            </w:pPr>
            <w:r w:rsidRPr="00EB7BE1">
              <w:t>Cboe Clear Europe</w:t>
            </w:r>
          </w:p>
        </w:tc>
      </w:tr>
      <w:tr w:rsidR="00ED7236" w14:paraId="00F4E07D" w14:textId="77777777">
        <w:trPr>
          <w:trHeight w:val="300"/>
        </w:trPr>
        <w:tc>
          <w:tcPr>
            <w:tcW w:w="9072" w:type="dxa"/>
            <w:tcBorders>
              <w:top w:val="nil"/>
              <w:left w:val="nil"/>
              <w:bottom w:val="nil"/>
              <w:right w:val="nil"/>
            </w:tcBorders>
            <w:noWrap/>
            <w:vAlign w:val="bottom"/>
            <w:hideMark/>
          </w:tcPr>
          <w:p w14:paraId="143644AA" w14:textId="35A01773" w:rsidR="00ED7236" w:rsidRDefault="00ED7236" w:rsidP="00ED7236">
            <w:pPr>
              <w:pStyle w:val="P68B1DB1-Normal91"/>
            </w:pPr>
            <w:r w:rsidRPr="00F22F68">
              <w:t>CCP Austria</w:t>
            </w:r>
          </w:p>
        </w:tc>
      </w:tr>
      <w:tr w:rsidR="00ED7236" w14:paraId="49668E14" w14:textId="77777777">
        <w:trPr>
          <w:trHeight w:val="300"/>
        </w:trPr>
        <w:tc>
          <w:tcPr>
            <w:tcW w:w="9072" w:type="dxa"/>
            <w:tcBorders>
              <w:top w:val="nil"/>
              <w:left w:val="nil"/>
              <w:bottom w:val="nil"/>
              <w:right w:val="nil"/>
            </w:tcBorders>
            <w:noWrap/>
            <w:vAlign w:val="bottom"/>
            <w:hideMark/>
          </w:tcPr>
          <w:p w14:paraId="4D54CDC3" w14:textId="59B0587E" w:rsidR="00ED7236" w:rsidRDefault="00ED7236" w:rsidP="00ED7236">
            <w:pPr>
              <w:pStyle w:val="P68B1DB1-Normal91"/>
            </w:pPr>
            <w:r w:rsidRPr="00F22F68">
              <w:t>CEC/UCV</w:t>
            </w:r>
          </w:p>
        </w:tc>
      </w:tr>
      <w:tr w:rsidR="00ED7236" w14:paraId="13CEB735" w14:textId="77777777">
        <w:trPr>
          <w:trHeight w:val="300"/>
        </w:trPr>
        <w:tc>
          <w:tcPr>
            <w:tcW w:w="9072" w:type="dxa"/>
            <w:tcBorders>
              <w:top w:val="nil"/>
              <w:left w:val="nil"/>
              <w:bottom w:val="nil"/>
              <w:right w:val="nil"/>
            </w:tcBorders>
            <w:noWrap/>
            <w:vAlign w:val="bottom"/>
            <w:hideMark/>
          </w:tcPr>
          <w:p w14:paraId="7E656B34" w14:textId="5D3FAFB7" w:rsidR="00ED7236" w:rsidRDefault="00ED7236" w:rsidP="00ED7236">
            <w:pPr>
              <w:pStyle w:val="P68B1DB1-Normal91"/>
            </w:pPr>
            <w:r w:rsidRPr="00F22F68">
              <w:t>CEESEG AG (Wiener Borse)</w:t>
            </w:r>
          </w:p>
        </w:tc>
      </w:tr>
      <w:tr w:rsidR="00ED7236" w14:paraId="38BBF453" w14:textId="77777777">
        <w:trPr>
          <w:trHeight w:val="300"/>
        </w:trPr>
        <w:tc>
          <w:tcPr>
            <w:tcW w:w="9072" w:type="dxa"/>
            <w:tcBorders>
              <w:top w:val="nil"/>
              <w:left w:val="nil"/>
              <w:bottom w:val="nil"/>
              <w:right w:val="nil"/>
            </w:tcBorders>
            <w:noWrap/>
            <w:vAlign w:val="bottom"/>
            <w:hideMark/>
          </w:tcPr>
          <w:p w14:paraId="7C5735E8" w14:textId="6F44E66E" w:rsidR="00ED7236" w:rsidRDefault="00ED7236" w:rsidP="00ED7236">
            <w:pPr>
              <w:pStyle w:val="P68B1DB1-Normal91"/>
            </w:pPr>
            <w:r w:rsidRPr="00F22F68">
              <w:t>Central Depository &amp; Clearing Company</w:t>
            </w:r>
          </w:p>
        </w:tc>
      </w:tr>
      <w:tr w:rsidR="00ED7236" w14:paraId="100E6E04" w14:textId="77777777">
        <w:trPr>
          <w:trHeight w:val="300"/>
        </w:trPr>
        <w:tc>
          <w:tcPr>
            <w:tcW w:w="9072" w:type="dxa"/>
            <w:tcBorders>
              <w:top w:val="nil"/>
              <w:left w:val="nil"/>
              <w:bottom w:val="nil"/>
              <w:right w:val="nil"/>
            </w:tcBorders>
            <w:noWrap/>
            <w:vAlign w:val="bottom"/>
            <w:hideMark/>
          </w:tcPr>
          <w:p w14:paraId="1D98F57D" w14:textId="4148F9D4" w:rsidR="00ED7236" w:rsidRPr="001118F2" w:rsidRDefault="00232FB5" w:rsidP="00ED7236">
            <w:pPr>
              <w:pStyle w:val="P68B1DB1-Normal91"/>
              <w:rPr>
                <w:lang w:val="bg-BG"/>
              </w:rPr>
            </w:pPr>
            <w:r>
              <w:rPr>
                <w:lang w:val="bg-BG"/>
              </w:rPr>
              <w:t>Централен депозитар АД (</w:t>
            </w:r>
            <w:r w:rsidR="00ED7236" w:rsidRPr="00F22F68">
              <w:t>Central Depository AD</w:t>
            </w:r>
            <w:r>
              <w:rPr>
                <w:lang w:val="bg-BG"/>
              </w:rPr>
              <w:t>)</w:t>
            </w:r>
          </w:p>
        </w:tc>
      </w:tr>
      <w:tr w:rsidR="00ED7236" w14:paraId="3E41A5D7" w14:textId="77777777">
        <w:trPr>
          <w:trHeight w:val="300"/>
        </w:trPr>
        <w:tc>
          <w:tcPr>
            <w:tcW w:w="9072" w:type="dxa"/>
            <w:tcBorders>
              <w:top w:val="nil"/>
              <w:left w:val="nil"/>
              <w:bottom w:val="nil"/>
              <w:right w:val="nil"/>
            </w:tcBorders>
            <w:noWrap/>
            <w:vAlign w:val="bottom"/>
            <w:hideMark/>
          </w:tcPr>
          <w:p w14:paraId="149F4C5F" w14:textId="27A51B33" w:rsidR="00ED7236" w:rsidRDefault="00ED7236" w:rsidP="00ED7236">
            <w:pPr>
              <w:pStyle w:val="P68B1DB1-Normal91"/>
            </w:pPr>
            <w:r w:rsidRPr="00F22F68">
              <w:t>Central Depository and Central Registry</w:t>
            </w:r>
          </w:p>
        </w:tc>
      </w:tr>
      <w:tr w:rsidR="00ED7236" w14:paraId="1B4CF3CD" w14:textId="77777777">
        <w:trPr>
          <w:trHeight w:val="300"/>
        </w:trPr>
        <w:tc>
          <w:tcPr>
            <w:tcW w:w="9072" w:type="dxa"/>
            <w:tcBorders>
              <w:top w:val="nil"/>
              <w:left w:val="nil"/>
              <w:bottom w:val="nil"/>
              <w:right w:val="nil"/>
            </w:tcBorders>
            <w:noWrap/>
            <w:vAlign w:val="bottom"/>
            <w:hideMark/>
          </w:tcPr>
          <w:p w14:paraId="7783EDF6" w14:textId="04113D8F" w:rsidR="00ED7236" w:rsidRDefault="00ED7236" w:rsidP="00ED7236">
            <w:pPr>
              <w:pStyle w:val="P68B1DB1-Normal91"/>
            </w:pPr>
            <w:r w:rsidRPr="002E4F76">
              <w:rPr>
                <w:lang w:val="sv-SE"/>
              </w:rPr>
              <w:t>Centralna klirinško depotna družba (KDD)</w:t>
            </w:r>
          </w:p>
        </w:tc>
      </w:tr>
      <w:tr w:rsidR="00ED7236" w14:paraId="7812614A" w14:textId="77777777">
        <w:trPr>
          <w:trHeight w:val="300"/>
        </w:trPr>
        <w:tc>
          <w:tcPr>
            <w:tcW w:w="9072" w:type="dxa"/>
            <w:tcBorders>
              <w:top w:val="nil"/>
              <w:left w:val="nil"/>
              <w:bottom w:val="nil"/>
              <w:right w:val="nil"/>
            </w:tcBorders>
            <w:noWrap/>
            <w:vAlign w:val="bottom"/>
            <w:hideMark/>
          </w:tcPr>
          <w:p w14:paraId="7231B5A5" w14:textId="24735C1C" w:rsidR="00ED7236" w:rsidRDefault="00ED7236" w:rsidP="00ED7236">
            <w:pPr>
              <w:pStyle w:val="P68B1DB1-Normal91"/>
            </w:pPr>
            <w:r w:rsidRPr="00F22F68">
              <w:t>Centrální depozitár cenných papíru SR a.s. (CDCP) / Central Depository of Securities Prague</w:t>
            </w:r>
          </w:p>
        </w:tc>
      </w:tr>
      <w:tr w:rsidR="00ED7236" w14:paraId="3DFD9976" w14:textId="77777777">
        <w:trPr>
          <w:trHeight w:val="300"/>
        </w:trPr>
        <w:tc>
          <w:tcPr>
            <w:tcW w:w="9072" w:type="dxa"/>
            <w:tcBorders>
              <w:top w:val="nil"/>
              <w:left w:val="nil"/>
              <w:bottom w:val="nil"/>
              <w:right w:val="nil"/>
            </w:tcBorders>
            <w:noWrap/>
            <w:vAlign w:val="bottom"/>
            <w:hideMark/>
          </w:tcPr>
          <w:p w14:paraId="742B58E1" w14:textId="78A16ABF" w:rsidR="00ED7236" w:rsidRDefault="00ED7236" w:rsidP="00ED7236">
            <w:pPr>
              <w:pStyle w:val="P68B1DB1-Normal91"/>
            </w:pPr>
            <w:r w:rsidRPr="00F22F68">
              <w:t>Centrálny Depositár Cenných Papierov (CDCP) SR</w:t>
            </w:r>
          </w:p>
        </w:tc>
      </w:tr>
      <w:tr w:rsidR="00ED7236" w14:paraId="0C3666C6" w14:textId="77777777">
        <w:trPr>
          <w:trHeight w:val="300"/>
        </w:trPr>
        <w:tc>
          <w:tcPr>
            <w:tcW w:w="9072" w:type="dxa"/>
            <w:tcBorders>
              <w:top w:val="nil"/>
              <w:left w:val="nil"/>
              <w:bottom w:val="nil"/>
              <w:right w:val="nil"/>
            </w:tcBorders>
            <w:noWrap/>
            <w:vAlign w:val="bottom"/>
            <w:hideMark/>
          </w:tcPr>
          <w:p w14:paraId="44F52918" w14:textId="638913A7" w:rsidR="00ED7236" w:rsidRDefault="00ED7236" w:rsidP="00ED7236">
            <w:pPr>
              <w:pStyle w:val="P68B1DB1-Normal91"/>
            </w:pPr>
            <w:r w:rsidRPr="00F22F68">
              <w:t>CENTROlink</w:t>
            </w:r>
          </w:p>
        </w:tc>
      </w:tr>
      <w:tr w:rsidR="00ED7236" w14:paraId="1BAAD6F5" w14:textId="77777777">
        <w:trPr>
          <w:trHeight w:val="300"/>
        </w:trPr>
        <w:tc>
          <w:tcPr>
            <w:tcW w:w="9072" w:type="dxa"/>
            <w:tcBorders>
              <w:top w:val="nil"/>
              <w:left w:val="nil"/>
              <w:bottom w:val="nil"/>
              <w:right w:val="nil"/>
            </w:tcBorders>
            <w:noWrap/>
            <w:vAlign w:val="bottom"/>
            <w:hideMark/>
          </w:tcPr>
          <w:p w14:paraId="1E11605F" w14:textId="1CC3C7A9" w:rsidR="00ED7236" w:rsidRDefault="00ED7236" w:rsidP="00ED7236">
            <w:pPr>
              <w:pStyle w:val="P68B1DB1-Normal91"/>
            </w:pPr>
            <w:r w:rsidRPr="00F22F68">
              <w:t>CERTIS (Czech Express Real Time Interbank Gross Settlement System)</w:t>
            </w:r>
          </w:p>
        </w:tc>
      </w:tr>
      <w:tr w:rsidR="00ED7236" w14:paraId="58D71B59" w14:textId="77777777">
        <w:trPr>
          <w:trHeight w:val="300"/>
        </w:trPr>
        <w:tc>
          <w:tcPr>
            <w:tcW w:w="9072" w:type="dxa"/>
            <w:tcBorders>
              <w:top w:val="nil"/>
              <w:left w:val="nil"/>
              <w:bottom w:val="nil"/>
              <w:right w:val="nil"/>
            </w:tcBorders>
            <w:noWrap/>
            <w:vAlign w:val="bottom"/>
            <w:hideMark/>
          </w:tcPr>
          <w:p w14:paraId="0405428F" w14:textId="1DCF57A4" w:rsidR="00ED7236" w:rsidRDefault="00ED7236" w:rsidP="00ED7236">
            <w:pPr>
              <w:pStyle w:val="P68B1DB1-Normal91"/>
            </w:pPr>
            <w:r w:rsidRPr="00F22F68">
              <w:t>CHAPS (Clearing House Automated Payment System )</w:t>
            </w:r>
          </w:p>
        </w:tc>
      </w:tr>
      <w:tr w:rsidR="00ED7236" w14:paraId="0F052492" w14:textId="77777777">
        <w:trPr>
          <w:trHeight w:val="300"/>
        </w:trPr>
        <w:tc>
          <w:tcPr>
            <w:tcW w:w="9072" w:type="dxa"/>
            <w:tcBorders>
              <w:top w:val="nil"/>
              <w:left w:val="nil"/>
              <w:bottom w:val="nil"/>
              <w:right w:val="nil"/>
            </w:tcBorders>
            <w:noWrap/>
            <w:vAlign w:val="bottom"/>
            <w:hideMark/>
          </w:tcPr>
          <w:p w14:paraId="4F411666" w14:textId="3661FFBA" w:rsidR="00ED7236" w:rsidRDefault="00ED7236" w:rsidP="00ED7236">
            <w:pPr>
              <w:pStyle w:val="P68B1DB1-Normal91"/>
            </w:pPr>
            <w:r w:rsidRPr="00F22F68">
              <w:t>Cheque &amp; Credit Clearing System Ltd</w:t>
            </w:r>
          </w:p>
        </w:tc>
      </w:tr>
      <w:tr w:rsidR="00ED7236" w14:paraId="0979B652" w14:textId="77777777">
        <w:trPr>
          <w:trHeight w:val="300"/>
        </w:trPr>
        <w:tc>
          <w:tcPr>
            <w:tcW w:w="9072" w:type="dxa"/>
            <w:tcBorders>
              <w:top w:val="nil"/>
              <w:left w:val="nil"/>
              <w:bottom w:val="nil"/>
              <w:right w:val="nil"/>
            </w:tcBorders>
            <w:noWrap/>
            <w:vAlign w:val="bottom"/>
            <w:hideMark/>
          </w:tcPr>
          <w:p w14:paraId="53589C87" w14:textId="689C518B" w:rsidR="00ED7236" w:rsidRDefault="00ED7236" w:rsidP="00ED7236">
            <w:pPr>
              <w:pStyle w:val="P68B1DB1-Normal91"/>
            </w:pPr>
            <w:r w:rsidRPr="00F22F68">
              <w:t>CHIPS</w:t>
            </w:r>
          </w:p>
        </w:tc>
      </w:tr>
      <w:tr w:rsidR="00ED7236" w14:paraId="3FA985BC" w14:textId="77777777">
        <w:trPr>
          <w:trHeight w:val="300"/>
        </w:trPr>
        <w:tc>
          <w:tcPr>
            <w:tcW w:w="9072" w:type="dxa"/>
            <w:tcBorders>
              <w:top w:val="nil"/>
              <w:left w:val="nil"/>
              <w:bottom w:val="nil"/>
              <w:right w:val="nil"/>
            </w:tcBorders>
            <w:noWrap/>
            <w:vAlign w:val="bottom"/>
            <w:hideMark/>
          </w:tcPr>
          <w:p w14:paraId="1D542203" w14:textId="4FF12C91" w:rsidR="00ED7236" w:rsidRDefault="00ED7236" w:rsidP="00ED7236">
            <w:pPr>
              <w:pStyle w:val="P68B1DB1-Normal91"/>
            </w:pPr>
            <w:r w:rsidRPr="00F22F68">
              <w:t>Clearing Service Austria (CSA)</w:t>
            </w:r>
          </w:p>
        </w:tc>
      </w:tr>
      <w:tr w:rsidR="00ED7236" w14:paraId="6FFF162D" w14:textId="77777777">
        <w:trPr>
          <w:trHeight w:val="300"/>
        </w:trPr>
        <w:tc>
          <w:tcPr>
            <w:tcW w:w="9072" w:type="dxa"/>
            <w:tcBorders>
              <w:top w:val="nil"/>
              <w:left w:val="nil"/>
              <w:bottom w:val="nil"/>
              <w:right w:val="nil"/>
            </w:tcBorders>
            <w:noWrap/>
            <w:vAlign w:val="bottom"/>
            <w:hideMark/>
          </w:tcPr>
          <w:p w14:paraId="657C636C" w14:textId="7247A62B" w:rsidR="00ED7236" w:rsidRDefault="00ED7236" w:rsidP="00ED7236">
            <w:pPr>
              <w:pStyle w:val="P68B1DB1-Normal91"/>
            </w:pPr>
            <w:r w:rsidRPr="00F22F68">
              <w:t>Clearing Service International (CSI)</w:t>
            </w:r>
          </w:p>
        </w:tc>
      </w:tr>
      <w:tr w:rsidR="00ED7236" w14:paraId="086AA89E" w14:textId="77777777">
        <w:trPr>
          <w:trHeight w:val="300"/>
        </w:trPr>
        <w:tc>
          <w:tcPr>
            <w:tcW w:w="9072" w:type="dxa"/>
            <w:tcBorders>
              <w:top w:val="nil"/>
              <w:left w:val="nil"/>
              <w:bottom w:val="nil"/>
              <w:right w:val="nil"/>
            </w:tcBorders>
            <w:noWrap/>
            <w:vAlign w:val="bottom"/>
            <w:hideMark/>
          </w:tcPr>
          <w:p w14:paraId="2802A46D" w14:textId="41BEA440" w:rsidR="00ED7236" w:rsidRDefault="00ED7236" w:rsidP="00ED7236">
            <w:pPr>
              <w:pStyle w:val="P68B1DB1-Normal91"/>
            </w:pPr>
            <w:r w:rsidRPr="00F22F68">
              <w:t>Clearstream Banking AG</w:t>
            </w:r>
          </w:p>
        </w:tc>
      </w:tr>
      <w:tr w:rsidR="00ED7236" w14:paraId="0E099AF5" w14:textId="77777777">
        <w:trPr>
          <w:trHeight w:val="300"/>
        </w:trPr>
        <w:tc>
          <w:tcPr>
            <w:tcW w:w="9072" w:type="dxa"/>
            <w:tcBorders>
              <w:top w:val="nil"/>
              <w:left w:val="nil"/>
              <w:bottom w:val="nil"/>
              <w:right w:val="nil"/>
            </w:tcBorders>
            <w:noWrap/>
            <w:vAlign w:val="bottom"/>
            <w:hideMark/>
          </w:tcPr>
          <w:p w14:paraId="7ED35FA8" w14:textId="49B002FE" w:rsidR="00ED7236" w:rsidRDefault="00ED7236" w:rsidP="00ED7236">
            <w:pPr>
              <w:pStyle w:val="P68B1DB1-Normal91"/>
            </w:pPr>
            <w:r w:rsidRPr="00F22F68">
              <w:t>Clearstream Banking Luxembourg</w:t>
            </w:r>
          </w:p>
        </w:tc>
      </w:tr>
      <w:tr w:rsidR="00ED7236" w14:paraId="55359EE8" w14:textId="77777777">
        <w:trPr>
          <w:trHeight w:val="300"/>
        </w:trPr>
        <w:tc>
          <w:tcPr>
            <w:tcW w:w="9072" w:type="dxa"/>
            <w:tcBorders>
              <w:top w:val="nil"/>
              <w:left w:val="nil"/>
              <w:bottom w:val="nil"/>
              <w:right w:val="nil"/>
            </w:tcBorders>
            <w:noWrap/>
            <w:vAlign w:val="bottom"/>
            <w:hideMark/>
          </w:tcPr>
          <w:p w14:paraId="218A6446" w14:textId="006F98A7" w:rsidR="00ED7236" w:rsidRDefault="00ED7236" w:rsidP="00ED7236">
            <w:pPr>
              <w:pStyle w:val="P68B1DB1-Normal91"/>
            </w:pPr>
            <w:r w:rsidRPr="00F22F68">
              <w:t>CLS</w:t>
            </w:r>
          </w:p>
        </w:tc>
      </w:tr>
      <w:tr w:rsidR="00ED7236" w14:paraId="6A82B717" w14:textId="77777777">
        <w:trPr>
          <w:trHeight w:val="300"/>
        </w:trPr>
        <w:tc>
          <w:tcPr>
            <w:tcW w:w="9072" w:type="dxa"/>
            <w:tcBorders>
              <w:top w:val="nil"/>
              <w:left w:val="nil"/>
              <w:bottom w:val="nil"/>
              <w:right w:val="nil"/>
            </w:tcBorders>
            <w:noWrap/>
            <w:vAlign w:val="bottom"/>
            <w:hideMark/>
          </w:tcPr>
          <w:p w14:paraId="051DFD15" w14:textId="543FF1FE" w:rsidR="00ED7236" w:rsidRDefault="00ED7236" w:rsidP="00ED7236">
            <w:pPr>
              <w:pStyle w:val="P68B1DB1-Normal91"/>
            </w:pPr>
            <w:r w:rsidRPr="00F22F68">
              <w:t>CME Trade Repository Ltd (CME TR)</w:t>
            </w:r>
          </w:p>
        </w:tc>
      </w:tr>
      <w:tr w:rsidR="00ED7236" w14:paraId="06831526" w14:textId="77777777">
        <w:trPr>
          <w:trHeight w:val="300"/>
        </w:trPr>
        <w:tc>
          <w:tcPr>
            <w:tcW w:w="9072" w:type="dxa"/>
            <w:tcBorders>
              <w:top w:val="nil"/>
              <w:left w:val="nil"/>
              <w:bottom w:val="nil"/>
              <w:right w:val="nil"/>
            </w:tcBorders>
            <w:noWrap/>
            <w:vAlign w:val="bottom"/>
            <w:hideMark/>
          </w:tcPr>
          <w:p w14:paraId="33B6CA7E" w14:textId="34338760" w:rsidR="00ED7236" w:rsidRDefault="00ED7236" w:rsidP="00ED7236">
            <w:pPr>
              <w:pStyle w:val="P68B1DB1-Normal91"/>
            </w:pPr>
            <w:r w:rsidRPr="00F22F68">
              <w:t>Cyprus Clearing House</w:t>
            </w:r>
          </w:p>
        </w:tc>
      </w:tr>
      <w:tr w:rsidR="00ED7236" w14:paraId="3BB1F880" w14:textId="77777777">
        <w:trPr>
          <w:trHeight w:val="300"/>
        </w:trPr>
        <w:tc>
          <w:tcPr>
            <w:tcW w:w="9072" w:type="dxa"/>
            <w:tcBorders>
              <w:top w:val="nil"/>
              <w:left w:val="nil"/>
              <w:bottom w:val="nil"/>
              <w:right w:val="nil"/>
            </w:tcBorders>
            <w:noWrap/>
            <w:vAlign w:val="bottom"/>
            <w:hideMark/>
          </w:tcPr>
          <w:p w14:paraId="6DCF1051" w14:textId="37DD349C" w:rsidR="00ED7236" w:rsidRDefault="00ED7236" w:rsidP="00ED7236">
            <w:pPr>
              <w:pStyle w:val="P68B1DB1-Normal91"/>
            </w:pPr>
            <w:r w:rsidRPr="00F22F68">
              <w:t>Cyprus Stock Exchange</w:t>
            </w:r>
          </w:p>
        </w:tc>
      </w:tr>
      <w:tr w:rsidR="00ED7236" w14:paraId="7F6A962C" w14:textId="77777777">
        <w:trPr>
          <w:trHeight w:val="300"/>
        </w:trPr>
        <w:tc>
          <w:tcPr>
            <w:tcW w:w="9072" w:type="dxa"/>
            <w:tcBorders>
              <w:top w:val="nil"/>
              <w:left w:val="nil"/>
              <w:bottom w:val="nil"/>
              <w:right w:val="nil"/>
            </w:tcBorders>
            <w:noWrap/>
            <w:vAlign w:val="bottom"/>
            <w:hideMark/>
          </w:tcPr>
          <w:p w14:paraId="359710C1" w14:textId="3C380A22" w:rsidR="00ED7236" w:rsidRDefault="00ED7236" w:rsidP="00ED7236">
            <w:pPr>
              <w:pStyle w:val="P68B1DB1-Normal91"/>
            </w:pPr>
            <w:r w:rsidRPr="00F22F68">
              <w:t>Dataclearing</w:t>
            </w:r>
          </w:p>
        </w:tc>
      </w:tr>
      <w:tr w:rsidR="00ED7236" w14:paraId="0118AB34" w14:textId="77777777">
        <w:trPr>
          <w:trHeight w:val="300"/>
        </w:trPr>
        <w:tc>
          <w:tcPr>
            <w:tcW w:w="9072" w:type="dxa"/>
            <w:tcBorders>
              <w:top w:val="nil"/>
              <w:left w:val="nil"/>
              <w:bottom w:val="nil"/>
              <w:right w:val="nil"/>
            </w:tcBorders>
            <w:noWrap/>
            <w:vAlign w:val="bottom"/>
            <w:hideMark/>
          </w:tcPr>
          <w:p w14:paraId="371022ED" w14:textId="4CE97C70" w:rsidR="00ED7236" w:rsidRDefault="00ED7236" w:rsidP="00ED7236">
            <w:pPr>
              <w:pStyle w:val="P68B1DB1-Normal91"/>
            </w:pPr>
            <w:r w:rsidRPr="00F22F68">
              <w:t>Depozitarul Central S.A.</w:t>
            </w:r>
          </w:p>
        </w:tc>
      </w:tr>
      <w:tr w:rsidR="00ED7236" w14:paraId="2356D6E7" w14:textId="77777777">
        <w:trPr>
          <w:trHeight w:val="300"/>
        </w:trPr>
        <w:tc>
          <w:tcPr>
            <w:tcW w:w="9072" w:type="dxa"/>
            <w:tcBorders>
              <w:top w:val="nil"/>
              <w:left w:val="nil"/>
              <w:bottom w:val="nil"/>
              <w:right w:val="nil"/>
            </w:tcBorders>
            <w:noWrap/>
            <w:vAlign w:val="bottom"/>
            <w:hideMark/>
          </w:tcPr>
          <w:p w14:paraId="2A6C99D9" w14:textId="3457B678" w:rsidR="00ED7236" w:rsidRDefault="00ED7236" w:rsidP="00ED7236">
            <w:pPr>
              <w:pStyle w:val="P68B1DB1-Normal91"/>
            </w:pPr>
            <w:r w:rsidRPr="00F22F68">
              <w:t>Deutsche Börse AG</w:t>
            </w:r>
          </w:p>
        </w:tc>
      </w:tr>
      <w:tr w:rsidR="00ED7236" w14:paraId="086E410F" w14:textId="77777777">
        <w:trPr>
          <w:trHeight w:val="300"/>
        </w:trPr>
        <w:tc>
          <w:tcPr>
            <w:tcW w:w="9072" w:type="dxa"/>
            <w:tcBorders>
              <w:top w:val="nil"/>
              <w:left w:val="nil"/>
              <w:bottom w:val="nil"/>
              <w:right w:val="nil"/>
            </w:tcBorders>
            <w:noWrap/>
            <w:vAlign w:val="bottom"/>
            <w:hideMark/>
          </w:tcPr>
          <w:p w14:paraId="557F1C51" w14:textId="23FFF502" w:rsidR="00ED7236" w:rsidRDefault="00ED7236" w:rsidP="00ED7236">
            <w:pPr>
              <w:pStyle w:val="P68B1DB1-Normal91"/>
            </w:pPr>
            <w:r w:rsidRPr="002E4F76">
              <w:rPr>
                <w:lang w:val="sv-SE"/>
              </w:rPr>
              <w:t>DIAS (Interbanking Systems S.A.)</w:t>
            </w:r>
          </w:p>
        </w:tc>
      </w:tr>
      <w:tr w:rsidR="00ED7236" w14:paraId="2ADBEB7D" w14:textId="77777777">
        <w:trPr>
          <w:trHeight w:val="300"/>
        </w:trPr>
        <w:tc>
          <w:tcPr>
            <w:tcW w:w="9072" w:type="dxa"/>
            <w:tcBorders>
              <w:top w:val="nil"/>
              <w:left w:val="nil"/>
              <w:bottom w:val="nil"/>
              <w:right w:val="nil"/>
            </w:tcBorders>
            <w:noWrap/>
            <w:vAlign w:val="bottom"/>
            <w:hideMark/>
          </w:tcPr>
          <w:p w14:paraId="08C28E5B" w14:textId="2D671848" w:rsidR="00ED7236" w:rsidRDefault="00ED7236" w:rsidP="00ED7236">
            <w:pPr>
              <w:pStyle w:val="P68B1DB1-Normal91"/>
            </w:pPr>
            <w:r w:rsidRPr="00F22F68">
              <w:t>DTC (Depository Trust Company)</w:t>
            </w:r>
          </w:p>
        </w:tc>
      </w:tr>
      <w:tr w:rsidR="00ED7236" w14:paraId="797F9EF8" w14:textId="77777777">
        <w:trPr>
          <w:trHeight w:val="300"/>
        </w:trPr>
        <w:tc>
          <w:tcPr>
            <w:tcW w:w="9072" w:type="dxa"/>
            <w:tcBorders>
              <w:top w:val="nil"/>
              <w:left w:val="nil"/>
              <w:bottom w:val="nil"/>
              <w:right w:val="nil"/>
            </w:tcBorders>
            <w:noWrap/>
            <w:vAlign w:val="bottom"/>
            <w:hideMark/>
          </w:tcPr>
          <w:p w14:paraId="51E5D740" w14:textId="671B51BA" w:rsidR="00ED7236" w:rsidRDefault="00ED7236" w:rsidP="00ED7236">
            <w:pPr>
              <w:pStyle w:val="P68B1DB1-Normal91"/>
            </w:pPr>
            <w:r w:rsidRPr="00F22F68">
              <w:t>DTCC Derivatives Repository Plc</w:t>
            </w:r>
          </w:p>
        </w:tc>
      </w:tr>
      <w:tr w:rsidR="00ED7236" w14:paraId="6ADFC287" w14:textId="77777777">
        <w:trPr>
          <w:trHeight w:val="300"/>
        </w:trPr>
        <w:tc>
          <w:tcPr>
            <w:tcW w:w="9072" w:type="dxa"/>
            <w:tcBorders>
              <w:top w:val="nil"/>
              <w:left w:val="nil"/>
              <w:bottom w:val="nil"/>
              <w:right w:val="nil"/>
            </w:tcBorders>
            <w:noWrap/>
            <w:vAlign w:val="bottom"/>
            <w:hideMark/>
          </w:tcPr>
          <w:p w14:paraId="30027F70" w14:textId="1E1B4907" w:rsidR="00ED7236" w:rsidRDefault="00ED7236" w:rsidP="00ED7236">
            <w:pPr>
              <w:pStyle w:val="P68B1DB1-Normal91"/>
            </w:pPr>
            <w:r w:rsidRPr="00F22F68">
              <w:t>Electronic Clearing System (EKS)</w:t>
            </w:r>
          </w:p>
        </w:tc>
      </w:tr>
      <w:tr w:rsidR="00ED7236" w14:paraId="3C13C365" w14:textId="77777777">
        <w:trPr>
          <w:trHeight w:val="300"/>
        </w:trPr>
        <w:tc>
          <w:tcPr>
            <w:tcW w:w="9072" w:type="dxa"/>
            <w:tcBorders>
              <w:top w:val="nil"/>
              <w:left w:val="nil"/>
              <w:bottom w:val="nil"/>
              <w:right w:val="nil"/>
            </w:tcBorders>
            <w:noWrap/>
            <w:vAlign w:val="bottom"/>
            <w:hideMark/>
          </w:tcPr>
          <w:p w14:paraId="2536A2E4" w14:textId="17CD6012" w:rsidR="00ED7236" w:rsidRDefault="00ED7236" w:rsidP="00ED7236">
            <w:pPr>
              <w:pStyle w:val="P68B1DB1-Normal91"/>
            </w:pPr>
            <w:r w:rsidRPr="00F22F68">
              <w:t>ELIXIR</w:t>
            </w:r>
          </w:p>
        </w:tc>
      </w:tr>
      <w:tr w:rsidR="00ED7236" w14:paraId="59490FEF" w14:textId="77777777">
        <w:trPr>
          <w:trHeight w:val="300"/>
        </w:trPr>
        <w:tc>
          <w:tcPr>
            <w:tcW w:w="9072" w:type="dxa"/>
            <w:tcBorders>
              <w:top w:val="nil"/>
              <w:left w:val="nil"/>
              <w:bottom w:val="nil"/>
              <w:right w:val="nil"/>
            </w:tcBorders>
            <w:noWrap/>
            <w:vAlign w:val="bottom"/>
            <w:hideMark/>
          </w:tcPr>
          <w:p w14:paraId="5D3BC6DE" w14:textId="3CEB53CD" w:rsidR="00ED7236" w:rsidRDefault="00ED7236" w:rsidP="00ED7236">
            <w:pPr>
              <w:pStyle w:val="P68B1DB1-Normal91"/>
            </w:pPr>
            <w:r w:rsidRPr="00F22F68">
              <w:t>Equens</w:t>
            </w:r>
          </w:p>
        </w:tc>
      </w:tr>
      <w:tr w:rsidR="00ED7236" w14:paraId="7151AAFC" w14:textId="77777777">
        <w:trPr>
          <w:trHeight w:val="300"/>
        </w:trPr>
        <w:tc>
          <w:tcPr>
            <w:tcW w:w="9072" w:type="dxa"/>
            <w:tcBorders>
              <w:top w:val="nil"/>
              <w:left w:val="nil"/>
              <w:bottom w:val="nil"/>
              <w:right w:val="nil"/>
            </w:tcBorders>
            <w:noWrap/>
            <w:vAlign w:val="bottom"/>
            <w:hideMark/>
          </w:tcPr>
          <w:p w14:paraId="62F52322" w14:textId="2AFAC155" w:rsidR="00ED7236" w:rsidRDefault="00ED7236" w:rsidP="00ED7236">
            <w:pPr>
              <w:pStyle w:val="P68B1DB1-Normal91"/>
            </w:pPr>
            <w:r w:rsidRPr="00F22F68">
              <w:t>EUREX Clearing AG</w:t>
            </w:r>
          </w:p>
        </w:tc>
      </w:tr>
      <w:tr w:rsidR="00ED7236" w14:paraId="20047EE0" w14:textId="77777777">
        <w:trPr>
          <w:trHeight w:val="300"/>
        </w:trPr>
        <w:tc>
          <w:tcPr>
            <w:tcW w:w="9072" w:type="dxa"/>
            <w:tcBorders>
              <w:top w:val="nil"/>
              <w:left w:val="nil"/>
              <w:bottom w:val="nil"/>
              <w:right w:val="nil"/>
            </w:tcBorders>
            <w:noWrap/>
            <w:vAlign w:val="bottom"/>
            <w:hideMark/>
          </w:tcPr>
          <w:p w14:paraId="65198B5E" w14:textId="70D795E5" w:rsidR="00ED7236" w:rsidRDefault="00ED7236" w:rsidP="00ED7236">
            <w:pPr>
              <w:pStyle w:val="P68B1DB1-Normal91"/>
            </w:pPr>
            <w:r w:rsidRPr="00F22F68">
              <w:t>EURO 1</w:t>
            </w:r>
          </w:p>
        </w:tc>
      </w:tr>
      <w:tr w:rsidR="00ED7236" w14:paraId="51532B57" w14:textId="77777777">
        <w:trPr>
          <w:trHeight w:val="300"/>
        </w:trPr>
        <w:tc>
          <w:tcPr>
            <w:tcW w:w="9072" w:type="dxa"/>
            <w:tcBorders>
              <w:top w:val="nil"/>
              <w:left w:val="nil"/>
              <w:bottom w:val="nil"/>
              <w:right w:val="nil"/>
            </w:tcBorders>
            <w:noWrap/>
            <w:vAlign w:val="bottom"/>
            <w:hideMark/>
          </w:tcPr>
          <w:p w14:paraId="6784162A" w14:textId="199E5EFD" w:rsidR="00ED7236" w:rsidRDefault="00ED7236" w:rsidP="00ED7236">
            <w:pPr>
              <w:pStyle w:val="P68B1DB1-Normal91"/>
            </w:pPr>
            <w:r w:rsidRPr="00F22F68">
              <w:t>Euroclear Bank</w:t>
            </w:r>
          </w:p>
        </w:tc>
      </w:tr>
      <w:tr w:rsidR="00ED7236" w14:paraId="1FED107A" w14:textId="77777777">
        <w:trPr>
          <w:trHeight w:val="300"/>
        </w:trPr>
        <w:tc>
          <w:tcPr>
            <w:tcW w:w="9072" w:type="dxa"/>
            <w:tcBorders>
              <w:top w:val="nil"/>
              <w:left w:val="nil"/>
              <w:bottom w:val="nil"/>
              <w:right w:val="nil"/>
            </w:tcBorders>
            <w:noWrap/>
            <w:vAlign w:val="bottom"/>
            <w:hideMark/>
          </w:tcPr>
          <w:p w14:paraId="7EB27986" w14:textId="6BAEDFDB" w:rsidR="00ED7236" w:rsidRDefault="00ED7236" w:rsidP="00ED7236">
            <w:pPr>
              <w:pStyle w:val="P68B1DB1-Normal91"/>
            </w:pPr>
            <w:r w:rsidRPr="00F22F68">
              <w:t>Euroclear Belgium (ESES)</w:t>
            </w:r>
          </w:p>
        </w:tc>
      </w:tr>
      <w:tr w:rsidR="00ED7236" w14:paraId="19126F92" w14:textId="77777777">
        <w:trPr>
          <w:trHeight w:val="300"/>
        </w:trPr>
        <w:tc>
          <w:tcPr>
            <w:tcW w:w="9072" w:type="dxa"/>
            <w:tcBorders>
              <w:top w:val="nil"/>
              <w:left w:val="nil"/>
              <w:bottom w:val="nil"/>
              <w:right w:val="nil"/>
            </w:tcBorders>
            <w:noWrap/>
            <w:vAlign w:val="bottom"/>
            <w:hideMark/>
          </w:tcPr>
          <w:p w14:paraId="649DE977" w14:textId="2ECECD7F" w:rsidR="00ED7236" w:rsidRDefault="00ED7236" w:rsidP="00ED7236">
            <w:pPr>
              <w:pStyle w:val="P68B1DB1-Normal91"/>
            </w:pPr>
            <w:r w:rsidRPr="00F22F68">
              <w:t>Euroclear Finland</w:t>
            </w:r>
          </w:p>
        </w:tc>
      </w:tr>
      <w:tr w:rsidR="00ED7236" w14:paraId="37A9A6E1" w14:textId="77777777">
        <w:trPr>
          <w:trHeight w:val="300"/>
        </w:trPr>
        <w:tc>
          <w:tcPr>
            <w:tcW w:w="9072" w:type="dxa"/>
            <w:tcBorders>
              <w:top w:val="nil"/>
              <w:left w:val="nil"/>
              <w:bottom w:val="nil"/>
              <w:right w:val="nil"/>
            </w:tcBorders>
            <w:noWrap/>
            <w:vAlign w:val="bottom"/>
            <w:hideMark/>
          </w:tcPr>
          <w:p w14:paraId="734EF8BF" w14:textId="4EAE3B35" w:rsidR="00ED7236" w:rsidRDefault="00ED7236" w:rsidP="00ED7236">
            <w:pPr>
              <w:pStyle w:val="P68B1DB1-Normal91"/>
            </w:pPr>
            <w:r w:rsidRPr="00F22F68">
              <w:t>Euroclear France (ESES)</w:t>
            </w:r>
          </w:p>
        </w:tc>
      </w:tr>
      <w:tr w:rsidR="00ED7236" w14:paraId="33F2EFD1" w14:textId="77777777">
        <w:trPr>
          <w:trHeight w:val="300"/>
        </w:trPr>
        <w:tc>
          <w:tcPr>
            <w:tcW w:w="9072" w:type="dxa"/>
            <w:tcBorders>
              <w:top w:val="nil"/>
              <w:left w:val="nil"/>
              <w:bottom w:val="nil"/>
              <w:right w:val="nil"/>
            </w:tcBorders>
            <w:noWrap/>
            <w:vAlign w:val="bottom"/>
            <w:hideMark/>
          </w:tcPr>
          <w:p w14:paraId="0273EA5F" w14:textId="0D223154" w:rsidR="00ED7236" w:rsidRDefault="00ED7236" w:rsidP="00ED7236">
            <w:pPr>
              <w:pStyle w:val="P68B1DB1-Normal91"/>
            </w:pPr>
            <w:r w:rsidRPr="00F22F68">
              <w:t>Euroclear Netherlands (ESES)</w:t>
            </w:r>
          </w:p>
        </w:tc>
      </w:tr>
      <w:tr w:rsidR="00ED7236" w14:paraId="7B056DB0" w14:textId="77777777">
        <w:trPr>
          <w:trHeight w:val="300"/>
        </w:trPr>
        <w:tc>
          <w:tcPr>
            <w:tcW w:w="9072" w:type="dxa"/>
            <w:tcBorders>
              <w:top w:val="nil"/>
              <w:left w:val="nil"/>
              <w:bottom w:val="nil"/>
              <w:right w:val="nil"/>
            </w:tcBorders>
            <w:noWrap/>
            <w:vAlign w:val="bottom"/>
            <w:hideMark/>
          </w:tcPr>
          <w:p w14:paraId="09E6EC57" w14:textId="73CB2B85" w:rsidR="00ED7236" w:rsidRDefault="00ED7236" w:rsidP="00ED7236">
            <w:pPr>
              <w:pStyle w:val="P68B1DB1-Normal91"/>
            </w:pPr>
            <w:r w:rsidRPr="00EB7BE1">
              <w:rPr>
                <w:lang w:val="de-DE"/>
              </w:rPr>
              <w:t>Euroclear Sweden AB (VPC systemet)</w:t>
            </w:r>
          </w:p>
        </w:tc>
      </w:tr>
      <w:tr w:rsidR="00ED7236" w14:paraId="3D614022" w14:textId="77777777">
        <w:trPr>
          <w:trHeight w:val="300"/>
        </w:trPr>
        <w:tc>
          <w:tcPr>
            <w:tcW w:w="9072" w:type="dxa"/>
            <w:tcBorders>
              <w:top w:val="nil"/>
              <w:left w:val="nil"/>
              <w:bottom w:val="nil"/>
              <w:right w:val="nil"/>
            </w:tcBorders>
            <w:noWrap/>
            <w:vAlign w:val="bottom"/>
            <w:hideMark/>
          </w:tcPr>
          <w:p w14:paraId="1A4DFFF6" w14:textId="54517C82" w:rsidR="00ED7236" w:rsidRDefault="00ED7236" w:rsidP="00ED7236">
            <w:pPr>
              <w:pStyle w:val="P68B1DB1-Normal91"/>
            </w:pPr>
            <w:r w:rsidRPr="00F22F68">
              <w:t>Euroclear UK &amp; Ireland Limited (EUI) (CREST)</w:t>
            </w:r>
          </w:p>
        </w:tc>
      </w:tr>
      <w:tr w:rsidR="00ED7236" w14:paraId="55B08F89" w14:textId="77777777">
        <w:trPr>
          <w:trHeight w:val="300"/>
        </w:trPr>
        <w:tc>
          <w:tcPr>
            <w:tcW w:w="9072" w:type="dxa"/>
            <w:tcBorders>
              <w:top w:val="nil"/>
              <w:left w:val="nil"/>
              <w:bottom w:val="nil"/>
              <w:right w:val="nil"/>
            </w:tcBorders>
            <w:noWrap/>
            <w:vAlign w:val="bottom"/>
            <w:hideMark/>
          </w:tcPr>
          <w:p w14:paraId="56E621EE" w14:textId="55227658" w:rsidR="00ED7236" w:rsidRDefault="00ED7236" w:rsidP="00ED7236">
            <w:pPr>
              <w:pStyle w:val="P68B1DB1-Normal91"/>
            </w:pPr>
            <w:r w:rsidRPr="00F22F68">
              <w:t>Euronext Amsterdam Cash Market</w:t>
            </w:r>
          </w:p>
        </w:tc>
      </w:tr>
      <w:tr w:rsidR="00ED7236" w14:paraId="08BE70B5" w14:textId="77777777">
        <w:trPr>
          <w:trHeight w:val="300"/>
        </w:trPr>
        <w:tc>
          <w:tcPr>
            <w:tcW w:w="9072" w:type="dxa"/>
            <w:tcBorders>
              <w:top w:val="nil"/>
              <w:left w:val="nil"/>
              <w:bottom w:val="nil"/>
              <w:right w:val="nil"/>
            </w:tcBorders>
            <w:noWrap/>
            <w:vAlign w:val="bottom"/>
            <w:hideMark/>
          </w:tcPr>
          <w:p w14:paraId="5C68BF36" w14:textId="77777777" w:rsidR="00ED7236" w:rsidRDefault="00ED7236" w:rsidP="00ED7236">
            <w:pPr>
              <w:rPr>
                <w:rFonts w:eastAsia="Times New Roman" w:cs="Calibri"/>
                <w:color w:val="000000"/>
                <w:sz w:val="18"/>
                <w:szCs w:val="18"/>
              </w:rPr>
            </w:pPr>
            <w:r w:rsidRPr="00F22F68">
              <w:rPr>
                <w:rFonts w:eastAsia="Times New Roman" w:cs="Calibri"/>
                <w:color w:val="000000"/>
                <w:sz w:val="18"/>
                <w:szCs w:val="18"/>
              </w:rPr>
              <w:t>Euronext Brussels SA</w:t>
            </w:r>
          </w:p>
          <w:p w14:paraId="3E95828F" w14:textId="13825160" w:rsidR="00ED7236" w:rsidRDefault="00ED7236" w:rsidP="00ED7236">
            <w:pPr>
              <w:rPr>
                <w:rFonts w:eastAsia="Times New Roman" w:cs="Calibri"/>
                <w:color w:val="000000"/>
                <w:sz w:val="18"/>
                <w:szCs w:val="18"/>
              </w:rPr>
            </w:pPr>
            <w:r w:rsidRPr="00CD44DF">
              <w:rPr>
                <w:bCs/>
              </w:rPr>
              <w:t>Euronext Clearing</w:t>
            </w:r>
            <w:r>
              <w:rPr>
                <w:rStyle w:val="FootnoteReference"/>
                <w:bCs/>
                <w:sz w:val="18"/>
              </w:rPr>
              <w:footnoteReference w:id="37"/>
            </w:r>
          </w:p>
        </w:tc>
      </w:tr>
      <w:tr w:rsidR="00ED7236" w14:paraId="6A3A4767" w14:textId="77777777">
        <w:trPr>
          <w:trHeight w:val="300"/>
        </w:trPr>
        <w:tc>
          <w:tcPr>
            <w:tcW w:w="9072" w:type="dxa"/>
            <w:tcBorders>
              <w:top w:val="nil"/>
              <w:left w:val="nil"/>
              <w:bottom w:val="nil"/>
              <w:right w:val="nil"/>
            </w:tcBorders>
            <w:noWrap/>
            <w:vAlign w:val="bottom"/>
            <w:hideMark/>
          </w:tcPr>
          <w:p w14:paraId="0CF6918B" w14:textId="0978872D" w:rsidR="00ED7236" w:rsidRDefault="00ED7236" w:rsidP="00ED7236">
            <w:pPr>
              <w:pStyle w:val="P68B1DB1-Normal91"/>
            </w:pPr>
            <w:r w:rsidRPr="00F22F68">
              <w:t>Euronext Lisbon SA</w:t>
            </w:r>
          </w:p>
        </w:tc>
      </w:tr>
      <w:tr w:rsidR="00ED7236" w14:paraId="1114BA7C" w14:textId="77777777">
        <w:trPr>
          <w:trHeight w:val="300"/>
        </w:trPr>
        <w:tc>
          <w:tcPr>
            <w:tcW w:w="9072" w:type="dxa"/>
            <w:tcBorders>
              <w:top w:val="nil"/>
              <w:left w:val="nil"/>
              <w:bottom w:val="nil"/>
              <w:right w:val="nil"/>
            </w:tcBorders>
            <w:noWrap/>
            <w:vAlign w:val="bottom"/>
            <w:hideMark/>
          </w:tcPr>
          <w:p w14:paraId="58D22650" w14:textId="6FE67EC5" w:rsidR="00ED7236" w:rsidRDefault="00ED7236" w:rsidP="00ED7236">
            <w:pPr>
              <w:pStyle w:val="P68B1DB1-Normal91"/>
            </w:pPr>
            <w:r w:rsidRPr="00F22F68">
              <w:t>European CCP NV</w:t>
            </w:r>
          </w:p>
        </w:tc>
      </w:tr>
      <w:tr w:rsidR="00ED7236" w14:paraId="1758B1C2" w14:textId="77777777">
        <w:trPr>
          <w:trHeight w:val="300"/>
        </w:trPr>
        <w:tc>
          <w:tcPr>
            <w:tcW w:w="9072" w:type="dxa"/>
            <w:tcBorders>
              <w:top w:val="nil"/>
              <w:left w:val="nil"/>
              <w:bottom w:val="nil"/>
              <w:right w:val="nil"/>
            </w:tcBorders>
            <w:noWrap/>
            <w:vAlign w:val="bottom"/>
            <w:hideMark/>
          </w:tcPr>
          <w:p w14:paraId="6342DE58" w14:textId="789A38F5" w:rsidR="00ED7236" w:rsidRDefault="00ED7236" w:rsidP="00ED7236">
            <w:pPr>
              <w:pStyle w:val="P68B1DB1-Normal91"/>
            </w:pPr>
            <w:r w:rsidRPr="00F22F68">
              <w:t>European Commodity Clearing (ECC)</w:t>
            </w:r>
          </w:p>
        </w:tc>
      </w:tr>
      <w:tr w:rsidR="00ED7236" w14:paraId="0DDA2A90" w14:textId="77777777">
        <w:trPr>
          <w:trHeight w:val="300"/>
        </w:trPr>
        <w:tc>
          <w:tcPr>
            <w:tcW w:w="9072" w:type="dxa"/>
            <w:tcBorders>
              <w:top w:val="nil"/>
              <w:left w:val="nil"/>
              <w:bottom w:val="nil"/>
              <w:right w:val="nil"/>
            </w:tcBorders>
            <w:noWrap/>
            <w:vAlign w:val="bottom"/>
            <w:hideMark/>
          </w:tcPr>
          <w:p w14:paraId="40A82682" w14:textId="4F8816B3" w:rsidR="00ED7236" w:rsidRDefault="00ED7236" w:rsidP="00ED7236">
            <w:pPr>
              <w:pStyle w:val="P68B1DB1-Normal91"/>
            </w:pPr>
            <w:r w:rsidRPr="00F22F68">
              <w:t>Express Elixir</w:t>
            </w:r>
          </w:p>
        </w:tc>
      </w:tr>
      <w:tr w:rsidR="00ED7236" w14:paraId="542DFF49" w14:textId="77777777">
        <w:trPr>
          <w:trHeight w:val="300"/>
        </w:trPr>
        <w:tc>
          <w:tcPr>
            <w:tcW w:w="9072" w:type="dxa"/>
            <w:tcBorders>
              <w:top w:val="nil"/>
              <w:left w:val="nil"/>
              <w:bottom w:val="nil"/>
              <w:right w:val="nil"/>
            </w:tcBorders>
            <w:noWrap/>
            <w:vAlign w:val="bottom"/>
            <w:hideMark/>
          </w:tcPr>
          <w:p w14:paraId="059F87EB" w14:textId="32DBA912" w:rsidR="00ED7236" w:rsidRDefault="00ED7236" w:rsidP="00ED7236">
            <w:pPr>
              <w:pStyle w:val="P68B1DB1-Normal91"/>
            </w:pPr>
            <w:r w:rsidRPr="00F22F68">
              <w:t>Faster Payments Service (FPS)</w:t>
            </w:r>
          </w:p>
        </w:tc>
      </w:tr>
      <w:tr w:rsidR="00ED7236" w14:paraId="4CFAE77A" w14:textId="77777777">
        <w:trPr>
          <w:trHeight w:val="300"/>
        </w:trPr>
        <w:tc>
          <w:tcPr>
            <w:tcW w:w="9072" w:type="dxa"/>
            <w:tcBorders>
              <w:top w:val="nil"/>
              <w:left w:val="nil"/>
              <w:bottom w:val="nil"/>
              <w:right w:val="nil"/>
            </w:tcBorders>
            <w:noWrap/>
            <w:vAlign w:val="bottom"/>
            <w:hideMark/>
          </w:tcPr>
          <w:p w14:paraId="03A78736" w14:textId="2FF1DB6D" w:rsidR="00ED7236" w:rsidRDefault="00ED7236" w:rsidP="00ED7236">
            <w:pPr>
              <w:pStyle w:val="P68B1DB1-Normal91"/>
            </w:pPr>
            <w:r w:rsidRPr="00F22F68">
              <w:t>FedACH Services</w:t>
            </w:r>
          </w:p>
        </w:tc>
      </w:tr>
      <w:tr w:rsidR="00ED7236" w14:paraId="1A8E545B" w14:textId="77777777">
        <w:trPr>
          <w:trHeight w:val="300"/>
        </w:trPr>
        <w:tc>
          <w:tcPr>
            <w:tcW w:w="9072" w:type="dxa"/>
            <w:tcBorders>
              <w:top w:val="nil"/>
              <w:left w:val="nil"/>
              <w:bottom w:val="nil"/>
              <w:right w:val="nil"/>
            </w:tcBorders>
            <w:noWrap/>
            <w:vAlign w:val="bottom"/>
            <w:hideMark/>
          </w:tcPr>
          <w:p w14:paraId="508F0A63" w14:textId="6C7BADCD" w:rsidR="00ED7236" w:rsidRDefault="00ED7236" w:rsidP="00ED7236">
            <w:pPr>
              <w:pStyle w:val="P68B1DB1-Normal91"/>
            </w:pPr>
            <w:r w:rsidRPr="00F22F68">
              <w:t>Fedwire Funds Service</w:t>
            </w:r>
          </w:p>
        </w:tc>
      </w:tr>
      <w:tr w:rsidR="00ED7236" w14:paraId="7603EDE5" w14:textId="77777777">
        <w:trPr>
          <w:trHeight w:val="300"/>
        </w:trPr>
        <w:tc>
          <w:tcPr>
            <w:tcW w:w="9072" w:type="dxa"/>
            <w:tcBorders>
              <w:top w:val="nil"/>
              <w:left w:val="nil"/>
              <w:bottom w:val="nil"/>
              <w:right w:val="nil"/>
            </w:tcBorders>
            <w:noWrap/>
            <w:vAlign w:val="bottom"/>
            <w:hideMark/>
          </w:tcPr>
          <w:p w14:paraId="6146D91C" w14:textId="5FC77D11" w:rsidR="00ED7236" w:rsidRDefault="00ED7236" w:rsidP="00ED7236">
            <w:pPr>
              <w:pStyle w:val="P68B1DB1-Normal91"/>
            </w:pPr>
            <w:r w:rsidRPr="00F22F68">
              <w:t>Fedwire Securities Services</w:t>
            </w:r>
          </w:p>
        </w:tc>
      </w:tr>
      <w:tr w:rsidR="00ED7236" w14:paraId="638B9492" w14:textId="77777777">
        <w:trPr>
          <w:trHeight w:val="300"/>
        </w:trPr>
        <w:tc>
          <w:tcPr>
            <w:tcW w:w="9072" w:type="dxa"/>
            <w:tcBorders>
              <w:top w:val="nil"/>
              <w:left w:val="nil"/>
              <w:bottom w:val="nil"/>
              <w:right w:val="nil"/>
            </w:tcBorders>
            <w:noWrap/>
            <w:vAlign w:val="bottom"/>
            <w:hideMark/>
          </w:tcPr>
          <w:p w14:paraId="0FCA6B85" w14:textId="0315EF17" w:rsidR="00ED7236" w:rsidRDefault="00ED7236" w:rsidP="00ED7236">
            <w:pPr>
              <w:pStyle w:val="P68B1DB1-Normal91"/>
            </w:pPr>
            <w:r w:rsidRPr="00F22F68">
              <w:t>Fixed Income Clearing Corp (FICC)</w:t>
            </w:r>
          </w:p>
        </w:tc>
      </w:tr>
      <w:tr w:rsidR="00ED7236" w14:paraId="4384BE65" w14:textId="77777777">
        <w:trPr>
          <w:trHeight w:val="300"/>
        </w:trPr>
        <w:tc>
          <w:tcPr>
            <w:tcW w:w="9072" w:type="dxa"/>
            <w:tcBorders>
              <w:top w:val="nil"/>
              <w:left w:val="nil"/>
              <w:bottom w:val="nil"/>
              <w:right w:val="nil"/>
            </w:tcBorders>
            <w:noWrap/>
            <w:vAlign w:val="bottom"/>
            <w:hideMark/>
          </w:tcPr>
          <w:p w14:paraId="7CCF9B46" w14:textId="7B81E6C5" w:rsidR="00ED7236" w:rsidRDefault="00ED7236" w:rsidP="00ED7236">
            <w:pPr>
              <w:pStyle w:val="P68B1DB1-Normal91"/>
            </w:pPr>
            <w:r w:rsidRPr="00A125B6">
              <w:t>Gielda Papierow Wartosciowych w Warszawie (Warsaw Stock Exchange)</w:t>
            </w:r>
          </w:p>
        </w:tc>
      </w:tr>
      <w:tr w:rsidR="00ED7236" w14:paraId="62CB1AB6" w14:textId="77777777">
        <w:trPr>
          <w:trHeight w:val="300"/>
        </w:trPr>
        <w:tc>
          <w:tcPr>
            <w:tcW w:w="9072" w:type="dxa"/>
            <w:tcBorders>
              <w:top w:val="nil"/>
              <w:left w:val="nil"/>
              <w:bottom w:val="nil"/>
              <w:right w:val="nil"/>
            </w:tcBorders>
            <w:noWrap/>
            <w:vAlign w:val="bottom"/>
            <w:hideMark/>
          </w:tcPr>
          <w:p w14:paraId="56890D2B" w14:textId="417F1439" w:rsidR="00ED7236" w:rsidRDefault="00ED7236" w:rsidP="00ED7236">
            <w:pPr>
              <w:pStyle w:val="P68B1DB1-Normal91"/>
            </w:pPr>
            <w:r w:rsidRPr="00F22F68">
              <w:t>Government Securities Depository (GSD)</w:t>
            </w:r>
          </w:p>
        </w:tc>
      </w:tr>
      <w:tr w:rsidR="00ED7236" w14:paraId="5B41050C" w14:textId="77777777">
        <w:trPr>
          <w:trHeight w:val="300"/>
        </w:trPr>
        <w:tc>
          <w:tcPr>
            <w:tcW w:w="9072" w:type="dxa"/>
            <w:tcBorders>
              <w:top w:val="nil"/>
              <w:left w:val="nil"/>
              <w:bottom w:val="nil"/>
              <w:right w:val="nil"/>
            </w:tcBorders>
            <w:noWrap/>
            <w:vAlign w:val="bottom"/>
            <w:hideMark/>
          </w:tcPr>
          <w:p w14:paraId="24CCAE22" w14:textId="43379477" w:rsidR="00ED7236" w:rsidRDefault="00ED7236" w:rsidP="00ED7236">
            <w:pPr>
              <w:pStyle w:val="P68B1DB1-Normal91"/>
            </w:pPr>
            <w:r w:rsidRPr="00F22F68">
              <w:t>HSVP (RTGS)</w:t>
            </w:r>
          </w:p>
        </w:tc>
      </w:tr>
      <w:tr w:rsidR="00ED7236" w14:paraId="013849A1" w14:textId="77777777">
        <w:trPr>
          <w:trHeight w:val="300"/>
        </w:trPr>
        <w:tc>
          <w:tcPr>
            <w:tcW w:w="9072" w:type="dxa"/>
            <w:tcBorders>
              <w:top w:val="nil"/>
              <w:left w:val="nil"/>
              <w:bottom w:val="nil"/>
              <w:right w:val="nil"/>
            </w:tcBorders>
            <w:noWrap/>
            <w:vAlign w:val="bottom"/>
            <w:hideMark/>
          </w:tcPr>
          <w:p w14:paraId="686B8E20" w14:textId="46477731" w:rsidR="00ED7236" w:rsidRDefault="00ED7236" w:rsidP="00ED7236">
            <w:pPr>
              <w:pStyle w:val="P68B1DB1-Normal91"/>
            </w:pPr>
            <w:r w:rsidRPr="00F22F68">
              <w:t>Iberclear</w:t>
            </w:r>
          </w:p>
        </w:tc>
      </w:tr>
      <w:tr w:rsidR="00ED7236" w14:paraId="69A745A4" w14:textId="77777777">
        <w:trPr>
          <w:trHeight w:val="300"/>
        </w:trPr>
        <w:tc>
          <w:tcPr>
            <w:tcW w:w="9072" w:type="dxa"/>
            <w:tcBorders>
              <w:top w:val="nil"/>
              <w:left w:val="nil"/>
              <w:bottom w:val="nil"/>
              <w:right w:val="nil"/>
            </w:tcBorders>
            <w:noWrap/>
            <w:vAlign w:val="bottom"/>
            <w:hideMark/>
          </w:tcPr>
          <w:p w14:paraId="676D5D75" w14:textId="3EB46419" w:rsidR="00ED7236" w:rsidRDefault="00ED7236" w:rsidP="00ED7236">
            <w:pPr>
              <w:pStyle w:val="P68B1DB1-Normal91"/>
            </w:pPr>
            <w:r w:rsidRPr="00F22F68">
              <w:t>ICE Clear</w:t>
            </w:r>
          </w:p>
        </w:tc>
      </w:tr>
      <w:tr w:rsidR="00ED7236" w14:paraId="780088CD" w14:textId="77777777">
        <w:trPr>
          <w:trHeight w:val="300"/>
        </w:trPr>
        <w:tc>
          <w:tcPr>
            <w:tcW w:w="9072" w:type="dxa"/>
            <w:tcBorders>
              <w:top w:val="nil"/>
              <w:left w:val="nil"/>
              <w:bottom w:val="nil"/>
              <w:right w:val="nil"/>
            </w:tcBorders>
            <w:noWrap/>
            <w:vAlign w:val="bottom"/>
            <w:hideMark/>
          </w:tcPr>
          <w:p w14:paraId="51279EB6" w14:textId="2970EFFF" w:rsidR="00ED7236" w:rsidRDefault="00ED7236" w:rsidP="00ED7236">
            <w:pPr>
              <w:pStyle w:val="P68B1DB1-Normal91"/>
            </w:pPr>
            <w:r w:rsidRPr="00F22F68">
              <w:t>ICE Clear Europe Limited</w:t>
            </w:r>
          </w:p>
        </w:tc>
      </w:tr>
      <w:tr w:rsidR="00ED7236" w14:paraId="0A625316" w14:textId="77777777">
        <w:trPr>
          <w:trHeight w:val="300"/>
        </w:trPr>
        <w:tc>
          <w:tcPr>
            <w:tcW w:w="9072" w:type="dxa"/>
            <w:tcBorders>
              <w:top w:val="nil"/>
              <w:left w:val="nil"/>
              <w:bottom w:val="nil"/>
              <w:right w:val="nil"/>
            </w:tcBorders>
            <w:noWrap/>
            <w:vAlign w:val="bottom"/>
            <w:hideMark/>
          </w:tcPr>
          <w:p w14:paraId="478D14C3" w14:textId="6CB3C61A" w:rsidR="00ED7236" w:rsidRDefault="00ED7236" w:rsidP="00ED7236">
            <w:pPr>
              <w:pStyle w:val="P68B1DB1-Normal91"/>
            </w:pPr>
            <w:r w:rsidRPr="00F22F68">
              <w:t>ICE Clear Netherlands</w:t>
            </w:r>
          </w:p>
        </w:tc>
      </w:tr>
      <w:tr w:rsidR="00ED7236" w14:paraId="7BA736BC" w14:textId="77777777">
        <w:trPr>
          <w:trHeight w:val="300"/>
        </w:trPr>
        <w:tc>
          <w:tcPr>
            <w:tcW w:w="9072" w:type="dxa"/>
            <w:tcBorders>
              <w:top w:val="nil"/>
              <w:left w:val="nil"/>
              <w:bottom w:val="nil"/>
              <w:right w:val="nil"/>
            </w:tcBorders>
            <w:noWrap/>
            <w:vAlign w:val="bottom"/>
            <w:hideMark/>
          </w:tcPr>
          <w:p w14:paraId="791A2916" w14:textId="47C3C3B0" w:rsidR="00ED7236" w:rsidRDefault="00ED7236" w:rsidP="00ED7236">
            <w:pPr>
              <w:pStyle w:val="P68B1DB1-Normal91"/>
            </w:pPr>
            <w:r w:rsidRPr="00F22F68">
              <w:t>ICE Trade Vault Europe Limited (ICE TVEL)</w:t>
            </w:r>
          </w:p>
        </w:tc>
      </w:tr>
      <w:tr w:rsidR="00ED7236" w14:paraId="6A1792FC" w14:textId="77777777">
        <w:trPr>
          <w:trHeight w:val="300"/>
        </w:trPr>
        <w:tc>
          <w:tcPr>
            <w:tcW w:w="9072" w:type="dxa"/>
            <w:tcBorders>
              <w:top w:val="nil"/>
              <w:left w:val="nil"/>
              <w:bottom w:val="nil"/>
              <w:right w:val="nil"/>
            </w:tcBorders>
            <w:noWrap/>
            <w:vAlign w:val="bottom"/>
            <w:hideMark/>
          </w:tcPr>
          <w:p w14:paraId="58EBD357" w14:textId="3C3714AC" w:rsidR="00ED7236" w:rsidRDefault="00ED7236" w:rsidP="00ED7236">
            <w:pPr>
              <w:pStyle w:val="P68B1DB1-Normal91"/>
            </w:pPr>
            <w:r w:rsidRPr="00F22F68">
              <w:t>ID2S/RSSS</w:t>
            </w:r>
          </w:p>
        </w:tc>
      </w:tr>
      <w:tr w:rsidR="00ED7236" w14:paraId="23EF91EB" w14:textId="77777777">
        <w:trPr>
          <w:trHeight w:val="300"/>
        </w:trPr>
        <w:tc>
          <w:tcPr>
            <w:tcW w:w="9072" w:type="dxa"/>
            <w:tcBorders>
              <w:top w:val="nil"/>
              <w:left w:val="nil"/>
              <w:bottom w:val="nil"/>
              <w:right w:val="nil"/>
            </w:tcBorders>
            <w:noWrap/>
            <w:vAlign w:val="bottom"/>
            <w:hideMark/>
          </w:tcPr>
          <w:p w14:paraId="256EBA58" w14:textId="2820ED3E" w:rsidR="00ED7236" w:rsidRDefault="00ED7236" w:rsidP="00ED7236">
            <w:pPr>
              <w:pStyle w:val="P68B1DB1-Normal91"/>
            </w:pPr>
            <w:r w:rsidRPr="00F22F68">
              <w:t>Interbank Clearing System (ICS)</w:t>
            </w:r>
          </w:p>
        </w:tc>
      </w:tr>
      <w:tr w:rsidR="00ED7236" w14:paraId="61201BD5" w14:textId="77777777">
        <w:trPr>
          <w:trHeight w:val="300"/>
        </w:trPr>
        <w:tc>
          <w:tcPr>
            <w:tcW w:w="9072" w:type="dxa"/>
            <w:tcBorders>
              <w:top w:val="nil"/>
              <w:left w:val="nil"/>
              <w:bottom w:val="nil"/>
              <w:right w:val="nil"/>
            </w:tcBorders>
            <w:noWrap/>
            <w:vAlign w:val="bottom"/>
            <w:hideMark/>
          </w:tcPr>
          <w:p w14:paraId="38BDB6F1" w14:textId="123A2670" w:rsidR="00ED7236" w:rsidRDefault="00ED7236" w:rsidP="00ED7236">
            <w:pPr>
              <w:pStyle w:val="P68B1DB1-Normal91"/>
            </w:pPr>
            <w:r w:rsidRPr="00F22F68">
              <w:t>INTERBOLSA</w:t>
            </w:r>
          </w:p>
        </w:tc>
      </w:tr>
      <w:tr w:rsidR="00ED7236" w14:paraId="3D13BEFD" w14:textId="77777777">
        <w:trPr>
          <w:trHeight w:val="300"/>
        </w:trPr>
        <w:tc>
          <w:tcPr>
            <w:tcW w:w="9072" w:type="dxa"/>
            <w:tcBorders>
              <w:top w:val="nil"/>
              <w:left w:val="nil"/>
              <w:bottom w:val="nil"/>
              <w:right w:val="nil"/>
            </w:tcBorders>
            <w:noWrap/>
            <w:vAlign w:val="bottom"/>
            <w:hideMark/>
          </w:tcPr>
          <w:p w14:paraId="27D8A3E1" w14:textId="5BE15208" w:rsidR="00ED7236" w:rsidRDefault="00ED7236" w:rsidP="00ED7236">
            <w:pPr>
              <w:pStyle w:val="P68B1DB1-Normal91"/>
            </w:pPr>
            <w:r w:rsidRPr="00F22F68">
              <w:t>IntradagClearing</w:t>
            </w:r>
          </w:p>
        </w:tc>
      </w:tr>
      <w:tr w:rsidR="00ED7236" w14:paraId="4CA95B12" w14:textId="77777777">
        <w:trPr>
          <w:trHeight w:val="300"/>
        </w:trPr>
        <w:tc>
          <w:tcPr>
            <w:tcW w:w="9072" w:type="dxa"/>
            <w:tcBorders>
              <w:top w:val="nil"/>
              <w:left w:val="nil"/>
              <w:bottom w:val="nil"/>
              <w:right w:val="nil"/>
            </w:tcBorders>
            <w:noWrap/>
            <w:vAlign w:val="bottom"/>
            <w:hideMark/>
          </w:tcPr>
          <w:p w14:paraId="3992B7FE" w14:textId="6E14D159" w:rsidR="00ED7236" w:rsidRDefault="00ED7236" w:rsidP="00ED7236">
            <w:pPr>
              <w:pStyle w:val="P68B1DB1-Normal91"/>
            </w:pPr>
            <w:r w:rsidRPr="00F22F68">
              <w:t>IRGiT Izba Rozliczeniowa Giełd Towarowych S.A (Commodity Clearing House</w:t>
            </w:r>
          </w:p>
        </w:tc>
      </w:tr>
      <w:tr w:rsidR="00ED7236" w14:paraId="5F42EC4B" w14:textId="77777777">
        <w:trPr>
          <w:trHeight w:val="300"/>
        </w:trPr>
        <w:tc>
          <w:tcPr>
            <w:tcW w:w="9072" w:type="dxa"/>
            <w:tcBorders>
              <w:top w:val="nil"/>
              <w:left w:val="nil"/>
              <w:bottom w:val="nil"/>
              <w:right w:val="nil"/>
            </w:tcBorders>
            <w:noWrap/>
            <w:vAlign w:val="bottom"/>
            <w:hideMark/>
          </w:tcPr>
          <w:p w14:paraId="1817AC8A" w14:textId="2FB0385F" w:rsidR="00ED7236" w:rsidRDefault="00ED7236" w:rsidP="00ED7236">
            <w:pPr>
              <w:pStyle w:val="P68B1DB1-Normal91"/>
            </w:pPr>
            <w:r w:rsidRPr="00F22F68">
              <w:t>Irish Paper Clearing Company (IPCC)</w:t>
            </w:r>
          </w:p>
        </w:tc>
      </w:tr>
      <w:tr w:rsidR="00ED7236" w14:paraId="503DCAED" w14:textId="77777777">
        <w:trPr>
          <w:trHeight w:val="300"/>
        </w:trPr>
        <w:tc>
          <w:tcPr>
            <w:tcW w:w="9072" w:type="dxa"/>
            <w:tcBorders>
              <w:top w:val="nil"/>
              <w:left w:val="nil"/>
              <w:bottom w:val="nil"/>
              <w:right w:val="nil"/>
            </w:tcBorders>
            <w:noWrap/>
            <w:vAlign w:val="bottom"/>
            <w:hideMark/>
          </w:tcPr>
          <w:p w14:paraId="256FE1FF" w14:textId="166F63DD" w:rsidR="00ED7236" w:rsidRDefault="00ED7236" w:rsidP="00ED7236">
            <w:pPr>
              <w:pStyle w:val="P68B1DB1-Normal91"/>
            </w:pPr>
            <w:r w:rsidRPr="00F22F68">
              <w:t>Irish Stock Exchange Ltd</w:t>
            </w:r>
          </w:p>
        </w:tc>
      </w:tr>
      <w:tr w:rsidR="00ED7236" w14:paraId="01B9E362" w14:textId="77777777">
        <w:trPr>
          <w:trHeight w:val="300"/>
        </w:trPr>
        <w:tc>
          <w:tcPr>
            <w:tcW w:w="9072" w:type="dxa"/>
            <w:tcBorders>
              <w:top w:val="nil"/>
              <w:left w:val="nil"/>
              <w:bottom w:val="nil"/>
              <w:right w:val="nil"/>
            </w:tcBorders>
            <w:noWrap/>
            <w:vAlign w:val="bottom"/>
            <w:hideMark/>
          </w:tcPr>
          <w:p w14:paraId="6D9ED763" w14:textId="4A56D679" w:rsidR="00ED7236" w:rsidRDefault="00ED7236" w:rsidP="00ED7236">
            <w:pPr>
              <w:pStyle w:val="P68B1DB1-Normal91"/>
            </w:pPr>
            <w:r w:rsidRPr="00F22F68">
              <w:t>Japan Securities Clearing Corporation</w:t>
            </w:r>
          </w:p>
        </w:tc>
      </w:tr>
      <w:tr w:rsidR="00ED7236" w14:paraId="7B5B6AA0" w14:textId="77777777">
        <w:trPr>
          <w:trHeight w:val="300"/>
        </w:trPr>
        <w:tc>
          <w:tcPr>
            <w:tcW w:w="9072" w:type="dxa"/>
            <w:tcBorders>
              <w:top w:val="nil"/>
              <w:left w:val="nil"/>
              <w:bottom w:val="nil"/>
              <w:right w:val="nil"/>
            </w:tcBorders>
            <w:noWrap/>
            <w:vAlign w:val="bottom"/>
            <w:hideMark/>
          </w:tcPr>
          <w:p w14:paraId="5354E82A" w14:textId="006EBAD9" w:rsidR="00ED7236" w:rsidRDefault="00ED7236" w:rsidP="00ED7236">
            <w:pPr>
              <w:pStyle w:val="P68B1DB1-Normal91"/>
            </w:pPr>
            <w:r w:rsidRPr="00F22F68">
              <w:t>JASDEC</w:t>
            </w:r>
          </w:p>
        </w:tc>
      </w:tr>
      <w:tr w:rsidR="00ED7236" w14:paraId="5F2E7C68" w14:textId="77777777">
        <w:trPr>
          <w:trHeight w:val="300"/>
        </w:trPr>
        <w:tc>
          <w:tcPr>
            <w:tcW w:w="9072" w:type="dxa"/>
            <w:tcBorders>
              <w:top w:val="nil"/>
              <w:left w:val="nil"/>
              <w:bottom w:val="nil"/>
              <w:right w:val="nil"/>
            </w:tcBorders>
            <w:noWrap/>
            <w:vAlign w:val="bottom"/>
            <w:hideMark/>
          </w:tcPr>
          <w:p w14:paraId="7D166505" w14:textId="3302D6F9" w:rsidR="00ED7236" w:rsidRDefault="00ED7236" w:rsidP="00ED7236">
            <w:pPr>
              <w:pStyle w:val="P68B1DB1-Normal91"/>
            </w:pPr>
            <w:r w:rsidRPr="00F22F68">
              <w:t>JASDEC DVP</w:t>
            </w:r>
          </w:p>
        </w:tc>
      </w:tr>
      <w:tr w:rsidR="00ED7236" w14:paraId="4048BA0D" w14:textId="77777777">
        <w:trPr>
          <w:trHeight w:val="300"/>
        </w:trPr>
        <w:tc>
          <w:tcPr>
            <w:tcW w:w="9072" w:type="dxa"/>
            <w:tcBorders>
              <w:top w:val="nil"/>
              <w:left w:val="nil"/>
              <w:bottom w:val="nil"/>
              <w:right w:val="nil"/>
            </w:tcBorders>
            <w:noWrap/>
            <w:vAlign w:val="bottom"/>
            <w:hideMark/>
          </w:tcPr>
          <w:p w14:paraId="15678AE9" w14:textId="0EFDD485" w:rsidR="00ED7236" w:rsidRDefault="00ED7236" w:rsidP="00ED7236">
            <w:pPr>
              <w:pStyle w:val="P68B1DB1-Normal91"/>
            </w:pPr>
            <w:r w:rsidRPr="00F22F68">
              <w:t>JCC</w:t>
            </w:r>
          </w:p>
        </w:tc>
      </w:tr>
      <w:tr w:rsidR="00ED7236" w14:paraId="12A3C713" w14:textId="77777777">
        <w:trPr>
          <w:trHeight w:val="300"/>
        </w:trPr>
        <w:tc>
          <w:tcPr>
            <w:tcW w:w="9072" w:type="dxa"/>
            <w:tcBorders>
              <w:top w:val="nil"/>
              <w:left w:val="nil"/>
              <w:bottom w:val="nil"/>
              <w:right w:val="nil"/>
            </w:tcBorders>
            <w:noWrap/>
            <w:vAlign w:val="bottom"/>
            <w:hideMark/>
          </w:tcPr>
          <w:p w14:paraId="41166169" w14:textId="3ACEAAED" w:rsidR="00ED7236" w:rsidRDefault="00ED7236" w:rsidP="00ED7236">
            <w:pPr>
              <w:pStyle w:val="P68B1DB1-Normal91"/>
            </w:pPr>
            <w:r w:rsidRPr="00F22F68">
              <w:t>KDPW S.A.</w:t>
            </w:r>
          </w:p>
        </w:tc>
      </w:tr>
      <w:tr w:rsidR="00ED7236" w14:paraId="43817C1E" w14:textId="77777777">
        <w:trPr>
          <w:trHeight w:val="300"/>
        </w:trPr>
        <w:tc>
          <w:tcPr>
            <w:tcW w:w="9072" w:type="dxa"/>
            <w:tcBorders>
              <w:top w:val="nil"/>
              <w:left w:val="nil"/>
              <w:bottom w:val="nil"/>
              <w:right w:val="nil"/>
            </w:tcBorders>
            <w:noWrap/>
            <w:vAlign w:val="bottom"/>
            <w:hideMark/>
          </w:tcPr>
          <w:p w14:paraId="3018D3C8" w14:textId="25801590" w:rsidR="00ED7236" w:rsidRDefault="00ED7236" w:rsidP="00ED7236">
            <w:pPr>
              <w:pStyle w:val="P68B1DB1-Normal91"/>
            </w:pPr>
            <w:r w:rsidRPr="00F22F68">
              <w:t>KDPW_CCP S.A.</w:t>
            </w:r>
          </w:p>
        </w:tc>
      </w:tr>
      <w:tr w:rsidR="00ED7236" w14:paraId="21912EC4" w14:textId="77777777">
        <w:trPr>
          <w:trHeight w:val="300"/>
        </w:trPr>
        <w:tc>
          <w:tcPr>
            <w:tcW w:w="9072" w:type="dxa"/>
            <w:tcBorders>
              <w:top w:val="nil"/>
              <w:left w:val="nil"/>
              <w:bottom w:val="nil"/>
              <w:right w:val="nil"/>
            </w:tcBorders>
            <w:noWrap/>
            <w:vAlign w:val="bottom"/>
            <w:hideMark/>
          </w:tcPr>
          <w:p w14:paraId="59836A48" w14:textId="3DC7EDCF" w:rsidR="00ED7236" w:rsidRDefault="00ED7236" w:rsidP="00ED7236">
            <w:pPr>
              <w:pStyle w:val="P68B1DB1-Normal91"/>
            </w:pPr>
            <w:r w:rsidRPr="00F22F68">
              <w:t>KDPW-TR</w:t>
            </w:r>
          </w:p>
        </w:tc>
      </w:tr>
      <w:tr w:rsidR="00ED7236" w14:paraId="14480A4D" w14:textId="77777777">
        <w:trPr>
          <w:trHeight w:val="300"/>
        </w:trPr>
        <w:tc>
          <w:tcPr>
            <w:tcW w:w="9072" w:type="dxa"/>
            <w:tcBorders>
              <w:top w:val="nil"/>
              <w:left w:val="nil"/>
              <w:bottom w:val="nil"/>
              <w:right w:val="nil"/>
            </w:tcBorders>
            <w:noWrap/>
            <w:vAlign w:val="bottom"/>
            <w:hideMark/>
          </w:tcPr>
          <w:p w14:paraId="59BBCA2D" w14:textId="39FAF664" w:rsidR="00ED7236" w:rsidRDefault="00ED7236" w:rsidP="00ED7236">
            <w:pPr>
              <w:pStyle w:val="P68B1DB1-Normal91"/>
            </w:pPr>
            <w:r w:rsidRPr="00F22F68">
              <w:t>KELER CCP</w:t>
            </w:r>
          </w:p>
        </w:tc>
      </w:tr>
      <w:tr w:rsidR="00ED7236" w14:paraId="1D005B0E" w14:textId="77777777">
        <w:trPr>
          <w:trHeight w:val="300"/>
        </w:trPr>
        <w:tc>
          <w:tcPr>
            <w:tcW w:w="9072" w:type="dxa"/>
            <w:tcBorders>
              <w:top w:val="nil"/>
              <w:left w:val="nil"/>
              <w:bottom w:val="nil"/>
              <w:right w:val="nil"/>
            </w:tcBorders>
            <w:noWrap/>
            <w:vAlign w:val="bottom"/>
            <w:hideMark/>
          </w:tcPr>
          <w:p w14:paraId="2ABFD94E" w14:textId="6BCB2C26" w:rsidR="00ED7236" w:rsidRDefault="00ED7236" w:rsidP="00ED7236">
            <w:pPr>
              <w:pStyle w:val="P68B1DB1-Normal91"/>
            </w:pPr>
            <w:r w:rsidRPr="00F22F68">
              <w:t>KELER CSD</w:t>
            </w:r>
          </w:p>
        </w:tc>
      </w:tr>
      <w:tr w:rsidR="00ED7236" w14:paraId="13D5C039" w14:textId="77777777">
        <w:trPr>
          <w:trHeight w:val="300"/>
        </w:trPr>
        <w:tc>
          <w:tcPr>
            <w:tcW w:w="9072" w:type="dxa"/>
            <w:tcBorders>
              <w:top w:val="nil"/>
              <w:left w:val="nil"/>
              <w:bottom w:val="nil"/>
              <w:right w:val="nil"/>
            </w:tcBorders>
            <w:noWrap/>
            <w:vAlign w:val="bottom"/>
            <w:hideMark/>
          </w:tcPr>
          <w:p w14:paraId="31B1FA22" w14:textId="6C699521" w:rsidR="00ED7236" w:rsidRDefault="00ED7236" w:rsidP="00ED7236">
            <w:pPr>
              <w:pStyle w:val="P68B1DB1-Normal91"/>
            </w:pPr>
            <w:r w:rsidRPr="00F22F68">
              <w:t>KRONOS</w:t>
            </w:r>
          </w:p>
        </w:tc>
      </w:tr>
      <w:tr w:rsidR="00ED7236" w14:paraId="3B7ED824" w14:textId="77777777">
        <w:trPr>
          <w:trHeight w:val="300"/>
        </w:trPr>
        <w:tc>
          <w:tcPr>
            <w:tcW w:w="9072" w:type="dxa"/>
            <w:tcBorders>
              <w:top w:val="nil"/>
              <w:left w:val="nil"/>
              <w:bottom w:val="nil"/>
              <w:right w:val="nil"/>
            </w:tcBorders>
            <w:noWrap/>
            <w:vAlign w:val="bottom"/>
            <w:hideMark/>
          </w:tcPr>
          <w:p w14:paraId="0A3C0455" w14:textId="298AFF69" w:rsidR="00ED7236" w:rsidRDefault="00ED7236" w:rsidP="00ED7236">
            <w:pPr>
              <w:pStyle w:val="P68B1DB1-Normal91"/>
            </w:pPr>
            <w:r w:rsidRPr="00F22F68">
              <w:t>KUBAS</w:t>
            </w:r>
          </w:p>
        </w:tc>
      </w:tr>
      <w:tr w:rsidR="00ED7236" w14:paraId="2B1C9B26" w14:textId="77777777">
        <w:trPr>
          <w:trHeight w:val="300"/>
        </w:trPr>
        <w:tc>
          <w:tcPr>
            <w:tcW w:w="9072" w:type="dxa"/>
            <w:tcBorders>
              <w:top w:val="nil"/>
              <w:left w:val="nil"/>
              <w:bottom w:val="nil"/>
              <w:right w:val="nil"/>
            </w:tcBorders>
            <w:noWrap/>
            <w:vAlign w:val="bottom"/>
            <w:hideMark/>
          </w:tcPr>
          <w:p w14:paraId="0C36BDD0" w14:textId="547532B0" w:rsidR="00ED7236" w:rsidRDefault="00ED7236" w:rsidP="00ED7236">
            <w:pPr>
              <w:pStyle w:val="P68B1DB1-Normal91"/>
            </w:pPr>
            <w:r w:rsidRPr="00F22F68">
              <w:t>Large Value Transfer System (LVTS)</w:t>
            </w:r>
          </w:p>
        </w:tc>
      </w:tr>
      <w:tr w:rsidR="00ED7236" w14:paraId="494438D8" w14:textId="77777777">
        <w:trPr>
          <w:trHeight w:val="300"/>
        </w:trPr>
        <w:tc>
          <w:tcPr>
            <w:tcW w:w="9072" w:type="dxa"/>
            <w:tcBorders>
              <w:top w:val="nil"/>
              <w:left w:val="nil"/>
              <w:bottom w:val="nil"/>
              <w:right w:val="nil"/>
            </w:tcBorders>
            <w:noWrap/>
            <w:vAlign w:val="bottom"/>
            <w:hideMark/>
          </w:tcPr>
          <w:p w14:paraId="0378B855" w14:textId="2F267815" w:rsidR="00ED7236" w:rsidRDefault="00ED7236" w:rsidP="00ED7236">
            <w:pPr>
              <w:pStyle w:val="P68B1DB1-Normal91"/>
            </w:pPr>
            <w:r w:rsidRPr="00F22F68">
              <w:t>LCH Ltd</w:t>
            </w:r>
          </w:p>
        </w:tc>
      </w:tr>
      <w:tr w:rsidR="00ED7236" w14:paraId="5DD1EBF4" w14:textId="77777777">
        <w:trPr>
          <w:trHeight w:val="300"/>
        </w:trPr>
        <w:tc>
          <w:tcPr>
            <w:tcW w:w="9072" w:type="dxa"/>
            <w:tcBorders>
              <w:top w:val="nil"/>
              <w:left w:val="nil"/>
              <w:bottom w:val="nil"/>
              <w:right w:val="nil"/>
            </w:tcBorders>
            <w:noWrap/>
            <w:vAlign w:val="bottom"/>
            <w:hideMark/>
          </w:tcPr>
          <w:p w14:paraId="59459780" w14:textId="71D997EA" w:rsidR="00ED7236" w:rsidRDefault="00ED7236" w:rsidP="00ED7236">
            <w:pPr>
              <w:pStyle w:val="P68B1DB1-Normal91"/>
            </w:pPr>
            <w:r w:rsidRPr="00F22F68">
              <w:t>LCH SA</w:t>
            </w:r>
          </w:p>
        </w:tc>
      </w:tr>
      <w:tr w:rsidR="00ED7236" w14:paraId="4F01D89C" w14:textId="77777777">
        <w:trPr>
          <w:trHeight w:val="300"/>
        </w:trPr>
        <w:tc>
          <w:tcPr>
            <w:tcW w:w="9072" w:type="dxa"/>
            <w:tcBorders>
              <w:top w:val="nil"/>
              <w:left w:val="nil"/>
              <w:bottom w:val="nil"/>
              <w:right w:val="nil"/>
            </w:tcBorders>
            <w:noWrap/>
            <w:vAlign w:val="bottom"/>
            <w:hideMark/>
          </w:tcPr>
          <w:p w14:paraId="5955E367" w14:textId="43A5E77D" w:rsidR="00ED7236" w:rsidRDefault="00ED7236" w:rsidP="00ED7236">
            <w:pPr>
              <w:pStyle w:val="P68B1DB1-Normal91"/>
            </w:pPr>
            <w:r w:rsidRPr="00F22F68">
              <w:t>Ljubljana Stock Exchange</w:t>
            </w:r>
          </w:p>
        </w:tc>
      </w:tr>
      <w:tr w:rsidR="00ED7236" w14:paraId="63C7A928" w14:textId="77777777">
        <w:trPr>
          <w:trHeight w:val="300"/>
        </w:trPr>
        <w:tc>
          <w:tcPr>
            <w:tcW w:w="9072" w:type="dxa"/>
            <w:tcBorders>
              <w:top w:val="nil"/>
              <w:left w:val="nil"/>
              <w:bottom w:val="nil"/>
              <w:right w:val="nil"/>
            </w:tcBorders>
            <w:noWrap/>
            <w:vAlign w:val="bottom"/>
            <w:hideMark/>
          </w:tcPr>
          <w:p w14:paraId="14DFAB9F" w14:textId="4EAE8D70" w:rsidR="00ED7236" w:rsidRDefault="00ED7236" w:rsidP="00ED7236">
            <w:pPr>
              <w:pStyle w:val="P68B1DB1-Normal91"/>
            </w:pPr>
            <w:r w:rsidRPr="00F22F68">
              <w:t>LME Clear Limited</w:t>
            </w:r>
          </w:p>
        </w:tc>
      </w:tr>
      <w:tr w:rsidR="00ED7236" w14:paraId="188E3D82" w14:textId="77777777">
        <w:trPr>
          <w:trHeight w:val="300"/>
        </w:trPr>
        <w:tc>
          <w:tcPr>
            <w:tcW w:w="9072" w:type="dxa"/>
            <w:tcBorders>
              <w:top w:val="nil"/>
              <w:left w:val="nil"/>
              <w:bottom w:val="nil"/>
              <w:right w:val="nil"/>
            </w:tcBorders>
            <w:noWrap/>
            <w:vAlign w:val="bottom"/>
            <w:hideMark/>
          </w:tcPr>
          <w:p w14:paraId="7DB15EC9" w14:textId="1974D22A" w:rsidR="00ED7236" w:rsidRDefault="00ED7236" w:rsidP="00ED7236">
            <w:pPr>
              <w:pStyle w:val="P68B1DB1-Normal91"/>
            </w:pPr>
            <w:r w:rsidRPr="00F22F68">
              <w:t>London Stock Exchange Ltd (LSE)</w:t>
            </w:r>
          </w:p>
        </w:tc>
      </w:tr>
      <w:tr w:rsidR="00ED7236" w14:paraId="0AD660E5" w14:textId="77777777">
        <w:trPr>
          <w:trHeight w:val="300"/>
        </w:trPr>
        <w:tc>
          <w:tcPr>
            <w:tcW w:w="9072" w:type="dxa"/>
            <w:tcBorders>
              <w:top w:val="nil"/>
              <w:left w:val="nil"/>
              <w:bottom w:val="nil"/>
              <w:right w:val="nil"/>
            </w:tcBorders>
            <w:noWrap/>
            <w:vAlign w:val="bottom"/>
            <w:hideMark/>
          </w:tcPr>
          <w:p w14:paraId="23DA5AB4" w14:textId="31AF4BE2" w:rsidR="00ED7236" w:rsidRDefault="00ED7236" w:rsidP="00ED7236">
            <w:pPr>
              <w:pStyle w:val="P68B1DB1-Normal91"/>
            </w:pPr>
            <w:r w:rsidRPr="00F22F68">
              <w:t>LUX CSD</w:t>
            </w:r>
          </w:p>
        </w:tc>
      </w:tr>
      <w:tr w:rsidR="00ED7236" w14:paraId="5B3E1A3A" w14:textId="77777777">
        <w:trPr>
          <w:trHeight w:val="300"/>
        </w:trPr>
        <w:tc>
          <w:tcPr>
            <w:tcW w:w="9072" w:type="dxa"/>
            <w:tcBorders>
              <w:top w:val="nil"/>
              <w:left w:val="nil"/>
              <w:bottom w:val="nil"/>
              <w:right w:val="nil"/>
            </w:tcBorders>
            <w:noWrap/>
            <w:vAlign w:val="bottom"/>
            <w:hideMark/>
          </w:tcPr>
          <w:p w14:paraId="5D4FD8D4" w14:textId="2CFEE08A" w:rsidR="00ED7236" w:rsidRDefault="00ED7236" w:rsidP="00ED7236">
            <w:pPr>
              <w:pStyle w:val="P68B1DB1-Normal91"/>
            </w:pPr>
            <w:r w:rsidRPr="00F22F68">
              <w:t>Malta Clearing House</w:t>
            </w:r>
          </w:p>
        </w:tc>
      </w:tr>
      <w:tr w:rsidR="00ED7236" w14:paraId="0739CAE8" w14:textId="77777777">
        <w:trPr>
          <w:trHeight w:val="300"/>
        </w:trPr>
        <w:tc>
          <w:tcPr>
            <w:tcW w:w="9072" w:type="dxa"/>
            <w:tcBorders>
              <w:top w:val="nil"/>
              <w:left w:val="nil"/>
              <w:bottom w:val="nil"/>
              <w:right w:val="nil"/>
            </w:tcBorders>
            <w:noWrap/>
            <w:vAlign w:val="bottom"/>
            <w:hideMark/>
          </w:tcPr>
          <w:p w14:paraId="7880FB68" w14:textId="48F8D3E4" w:rsidR="00ED7236" w:rsidRDefault="00ED7236" w:rsidP="00ED7236">
            <w:pPr>
              <w:pStyle w:val="P68B1DB1-Normal91"/>
            </w:pPr>
            <w:r w:rsidRPr="00F22F68">
              <w:t>Malta Stock Exchange</w:t>
            </w:r>
          </w:p>
        </w:tc>
      </w:tr>
      <w:tr w:rsidR="00ED7236" w14:paraId="1462AFD7" w14:textId="77777777">
        <w:trPr>
          <w:trHeight w:val="300"/>
        </w:trPr>
        <w:tc>
          <w:tcPr>
            <w:tcW w:w="9072" w:type="dxa"/>
            <w:tcBorders>
              <w:top w:val="nil"/>
              <w:left w:val="nil"/>
              <w:bottom w:val="nil"/>
              <w:right w:val="nil"/>
            </w:tcBorders>
            <w:noWrap/>
            <w:vAlign w:val="bottom"/>
            <w:hideMark/>
          </w:tcPr>
          <w:p w14:paraId="4F29DF27" w14:textId="0CE5AFCB" w:rsidR="00ED7236" w:rsidRDefault="00ED7236" w:rsidP="00ED7236">
            <w:pPr>
              <w:pStyle w:val="P68B1DB1-Normal91"/>
            </w:pPr>
            <w:r w:rsidRPr="00F22F68">
              <w:t>Malta Stock Exchange CSD</w:t>
            </w:r>
          </w:p>
        </w:tc>
      </w:tr>
      <w:tr w:rsidR="00ED7236" w14:paraId="147A9AFE" w14:textId="77777777">
        <w:trPr>
          <w:trHeight w:val="300"/>
        </w:trPr>
        <w:tc>
          <w:tcPr>
            <w:tcW w:w="9072" w:type="dxa"/>
            <w:tcBorders>
              <w:top w:val="nil"/>
              <w:left w:val="nil"/>
              <w:bottom w:val="nil"/>
              <w:right w:val="nil"/>
            </w:tcBorders>
            <w:noWrap/>
            <w:vAlign w:val="bottom"/>
            <w:hideMark/>
          </w:tcPr>
          <w:p w14:paraId="29008853" w14:textId="6295A9AE" w:rsidR="00ED7236" w:rsidRDefault="00ED7236" w:rsidP="00ED7236">
            <w:pPr>
              <w:pStyle w:val="P68B1DB1-Normal91"/>
            </w:pPr>
            <w:r w:rsidRPr="00A31D3C">
              <w:rPr>
                <w:lang w:val="es-ES"/>
              </w:rPr>
              <w:t>MEFF Sociedad Rectora de Productos Derivados S. A.</w:t>
            </w:r>
          </w:p>
        </w:tc>
      </w:tr>
      <w:tr w:rsidR="00ED7236" w14:paraId="03A3D6E0" w14:textId="77777777">
        <w:trPr>
          <w:trHeight w:val="300"/>
        </w:trPr>
        <w:tc>
          <w:tcPr>
            <w:tcW w:w="9072" w:type="dxa"/>
            <w:tcBorders>
              <w:top w:val="nil"/>
              <w:left w:val="nil"/>
              <w:bottom w:val="nil"/>
              <w:right w:val="nil"/>
            </w:tcBorders>
            <w:noWrap/>
            <w:vAlign w:val="bottom"/>
            <w:hideMark/>
          </w:tcPr>
          <w:p w14:paraId="3E98B6A6" w14:textId="229B5520" w:rsidR="00ED7236" w:rsidRDefault="00ED7236" w:rsidP="00ED7236">
            <w:pPr>
              <w:pStyle w:val="P68B1DB1-Normal91"/>
            </w:pPr>
            <w:r w:rsidRPr="00A31D3C">
              <w:rPr>
                <w:lang w:val="es-ES"/>
              </w:rPr>
              <w:t>Mercados de Deuda Pública en Anotaciones</w:t>
            </w:r>
          </w:p>
        </w:tc>
      </w:tr>
      <w:tr w:rsidR="00ED7236" w14:paraId="51FA8AC8" w14:textId="77777777">
        <w:trPr>
          <w:trHeight w:val="300"/>
        </w:trPr>
        <w:tc>
          <w:tcPr>
            <w:tcW w:w="9072" w:type="dxa"/>
            <w:tcBorders>
              <w:top w:val="nil"/>
              <w:left w:val="nil"/>
              <w:bottom w:val="nil"/>
              <w:right w:val="nil"/>
            </w:tcBorders>
            <w:noWrap/>
            <w:vAlign w:val="bottom"/>
            <w:hideMark/>
          </w:tcPr>
          <w:p w14:paraId="3F76F750" w14:textId="3C1D6918" w:rsidR="00ED7236" w:rsidRDefault="00ED7236" w:rsidP="00ED7236">
            <w:pPr>
              <w:pStyle w:val="P68B1DB1-Normal91"/>
            </w:pPr>
            <w:r w:rsidRPr="00F22F68">
              <w:t>Monte Titoli</w:t>
            </w:r>
          </w:p>
        </w:tc>
      </w:tr>
      <w:tr w:rsidR="00ED7236" w14:paraId="23805AA2" w14:textId="77777777">
        <w:trPr>
          <w:trHeight w:val="300"/>
        </w:trPr>
        <w:tc>
          <w:tcPr>
            <w:tcW w:w="9072" w:type="dxa"/>
            <w:tcBorders>
              <w:top w:val="nil"/>
              <w:left w:val="nil"/>
              <w:bottom w:val="nil"/>
              <w:right w:val="nil"/>
            </w:tcBorders>
            <w:noWrap/>
            <w:vAlign w:val="bottom"/>
            <w:hideMark/>
          </w:tcPr>
          <w:p w14:paraId="13AB08E1" w14:textId="4F558799" w:rsidR="00ED7236" w:rsidRDefault="00ED7236" w:rsidP="00ED7236">
            <w:pPr>
              <w:pStyle w:val="P68B1DB1-Normal91"/>
            </w:pPr>
            <w:r w:rsidRPr="00F22F68">
              <w:t>MTS</w:t>
            </w:r>
          </w:p>
        </w:tc>
      </w:tr>
      <w:tr w:rsidR="00ED7236" w14:paraId="4149713C" w14:textId="77777777">
        <w:trPr>
          <w:trHeight w:val="300"/>
        </w:trPr>
        <w:tc>
          <w:tcPr>
            <w:tcW w:w="9072" w:type="dxa"/>
            <w:tcBorders>
              <w:top w:val="nil"/>
              <w:left w:val="nil"/>
              <w:bottom w:val="nil"/>
              <w:right w:val="nil"/>
            </w:tcBorders>
            <w:noWrap/>
            <w:vAlign w:val="bottom"/>
            <w:hideMark/>
          </w:tcPr>
          <w:p w14:paraId="0E21C9DA" w14:textId="1F3FD62B" w:rsidR="00ED7236" w:rsidRDefault="00ED7236" w:rsidP="00ED7236">
            <w:pPr>
              <w:pStyle w:val="P68B1DB1-Normal91"/>
            </w:pPr>
            <w:r w:rsidRPr="00A125B6">
              <w:t>Národný Centralny Depositar Cennych Papierov (nCDCP) as</w:t>
            </w:r>
          </w:p>
        </w:tc>
      </w:tr>
      <w:tr w:rsidR="00ED7236" w14:paraId="7826A921" w14:textId="77777777">
        <w:trPr>
          <w:trHeight w:val="300"/>
        </w:trPr>
        <w:tc>
          <w:tcPr>
            <w:tcW w:w="9072" w:type="dxa"/>
            <w:tcBorders>
              <w:top w:val="nil"/>
              <w:left w:val="nil"/>
              <w:bottom w:val="nil"/>
              <w:right w:val="nil"/>
            </w:tcBorders>
            <w:noWrap/>
            <w:vAlign w:val="bottom"/>
            <w:hideMark/>
          </w:tcPr>
          <w:p w14:paraId="3989D7C0" w14:textId="6F080470" w:rsidR="00ED7236" w:rsidRDefault="00ED7236" w:rsidP="00ED7236">
            <w:pPr>
              <w:pStyle w:val="P68B1DB1-Normal91"/>
            </w:pPr>
            <w:r w:rsidRPr="00F22F68">
              <w:t>Nasdaq CSD SE</w:t>
            </w:r>
          </w:p>
        </w:tc>
      </w:tr>
      <w:tr w:rsidR="00ED7236" w14:paraId="0F9127FC" w14:textId="77777777">
        <w:trPr>
          <w:trHeight w:val="300"/>
        </w:trPr>
        <w:tc>
          <w:tcPr>
            <w:tcW w:w="9072" w:type="dxa"/>
            <w:tcBorders>
              <w:top w:val="nil"/>
              <w:left w:val="nil"/>
              <w:bottom w:val="nil"/>
              <w:right w:val="nil"/>
            </w:tcBorders>
            <w:noWrap/>
            <w:vAlign w:val="bottom"/>
            <w:hideMark/>
          </w:tcPr>
          <w:p w14:paraId="7E3342A8" w14:textId="219F2E35" w:rsidR="00ED7236" w:rsidRDefault="00ED7236" w:rsidP="00ED7236">
            <w:pPr>
              <w:pStyle w:val="P68B1DB1-Normal91"/>
            </w:pPr>
            <w:r w:rsidRPr="00F22F68">
              <w:t>Nasdaq Helsinki</w:t>
            </w:r>
          </w:p>
        </w:tc>
      </w:tr>
      <w:tr w:rsidR="00ED7236" w14:paraId="794AA9C2" w14:textId="77777777">
        <w:trPr>
          <w:trHeight w:val="300"/>
        </w:trPr>
        <w:tc>
          <w:tcPr>
            <w:tcW w:w="9072" w:type="dxa"/>
            <w:tcBorders>
              <w:top w:val="nil"/>
              <w:left w:val="nil"/>
              <w:bottom w:val="nil"/>
              <w:right w:val="nil"/>
            </w:tcBorders>
            <w:noWrap/>
            <w:vAlign w:val="bottom"/>
            <w:hideMark/>
          </w:tcPr>
          <w:p w14:paraId="4EB7B940" w14:textId="72BC61EC" w:rsidR="00ED7236" w:rsidRDefault="00ED7236" w:rsidP="00ED7236">
            <w:pPr>
              <w:pStyle w:val="P68B1DB1-Normal91"/>
            </w:pPr>
            <w:r w:rsidRPr="00F22F68">
              <w:t>Nasdaq OMX Clearing</w:t>
            </w:r>
          </w:p>
        </w:tc>
      </w:tr>
      <w:tr w:rsidR="00ED7236" w14:paraId="27B334A7" w14:textId="77777777">
        <w:trPr>
          <w:trHeight w:val="300"/>
        </w:trPr>
        <w:tc>
          <w:tcPr>
            <w:tcW w:w="9072" w:type="dxa"/>
            <w:tcBorders>
              <w:top w:val="nil"/>
              <w:left w:val="nil"/>
              <w:bottom w:val="nil"/>
              <w:right w:val="nil"/>
            </w:tcBorders>
            <w:noWrap/>
            <w:vAlign w:val="bottom"/>
            <w:hideMark/>
          </w:tcPr>
          <w:p w14:paraId="405F6BB1" w14:textId="40057D31" w:rsidR="00ED7236" w:rsidRDefault="00ED7236" w:rsidP="00ED7236">
            <w:pPr>
              <w:pStyle w:val="P68B1DB1-Normal91"/>
            </w:pPr>
            <w:r w:rsidRPr="00F22F68">
              <w:t>Nasdaq OMX Stockholm</w:t>
            </w:r>
          </w:p>
        </w:tc>
      </w:tr>
      <w:tr w:rsidR="00ED7236" w14:paraId="5888CB72" w14:textId="77777777">
        <w:trPr>
          <w:trHeight w:val="300"/>
        </w:trPr>
        <w:tc>
          <w:tcPr>
            <w:tcW w:w="9072" w:type="dxa"/>
            <w:tcBorders>
              <w:top w:val="nil"/>
              <w:left w:val="nil"/>
              <w:bottom w:val="nil"/>
              <w:right w:val="nil"/>
            </w:tcBorders>
            <w:noWrap/>
            <w:vAlign w:val="bottom"/>
            <w:hideMark/>
          </w:tcPr>
          <w:p w14:paraId="20F7ABDC" w14:textId="2DA08E5A" w:rsidR="00ED7236" w:rsidRDefault="00ED7236" w:rsidP="00ED7236">
            <w:pPr>
              <w:pStyle w:val="P68B1DB1-Normal91"/>
            </w:pPr>
            <w:r w:rsidRPr="00F22F68">
              <w:t>National Securities Clearing Corp. (NSCC)</w:t>
            </w:r>
          </w:p>
        </w:tc>
      </w:tr>
      <w:tr w:rsidR="00ED7236" w14:paraId="5E9C8F6D" w14:textId="77777777">
        <w:trPr>
          <w:trHeight w:val="300"/>
        </w:trPr>
        <w:tc>
          <w:tcPr>
            <w:tcW w:w="9072" w:type="dxa"/>
            <w:tcBorders>
              <w:top w:val="nil"/>
              <w:left w:val="nil"/>
              <w:bottom w:val="nil"/>
              <w:right w:val="nil"/>
            </w:tcBorders>
            <w:noWrap/>
            <w:vAlign w:val="bottom"/>
            <w:hideMark/>
          </w:tcPr>
          <w:p w14:paraId="12F1BAEB" w14:textId="0381EC77" w:rsidR="00ED7236" w:rsidRDefault="00ED7236" w:rsidP="00ED7236">
            <w:pPr>
              <w:pStyle w:val="P68B1DB1-Normal91"/>
            </w:pPr>
            <w:r w:rsidRPr="00F22F68">
              <w:t>NBB SSS</w:t>
            </w:r>
          </w:p>
        </w:tc>
      </w:tr>
      <w:tr w:rsidR="00ED7236" w14:paraId="5DFC5D23" w14:textId="77777777">
        <w:trPr>
          <w:trHeight w:val="300"/>
        </w:trPr>
        <w:tc>
          <w:tcPr>
            <w:tcW w:w="9072" w:type="dxa"/>
            <w:tcBorders>
              <w:top w:val="nil"/>
              <w:left w:val="nil"/>
              <w:bottom w:val="nil"/>
              <w:right w:val="nil"/>
            </w:tcBorders>
            <w:noWrap/>
            <w:vAlign w:val="bottom"/>
            <w:hideMark/>
          </w:tcPr>
          <w:p w14:paraId="3737426F" w14:textId="2A593593" w:rsidR="00ED7236" w:rsidRDefault="00ED7236" w:rsidP="00ED7236">
            <w:pPr>
              <w:pStyle w:val="P68B1DB1-Normal91"/>
            </w:pPr>
            <w:r w:rsidRPr="00F22F68">
              <w:t>NBP bills and treasury bills Register</w:t>
            </w:r>
          </w:p>
        </w:tc>
      </w:tr>
      <w:tr w:rsidR="00ED7236" w14:paraId="1FC22E5F" w14:textId="77777777">
        <w:trPr>
          <w:trHeight w:val="300"/>
        </w:trPr>
        <w:tc>
          <w:tcPr>
            <w:tcW w:w="9072" w:type="dxa"/>
            <w:tcBorders>
              <w:top w:val="nil"/>
              <w:left w:val="nil"/>
              <w:bottom w:val="nil"/>
              <w:right w:val="nil"/>
            </w:tcBorders>
            <w:noWrap/>
            <w:vAlign w:val="bottom"/>
            <w:hideMark/>
          </w:tcPr>
          <w:p w14:paraId="358DE620" w14:textId="3B68FF8D" w:rsidR="00ED7236" w:rsidRDefault="00ED7236" w:rsidP="00ED7236">
            <w:pPr>
              <w:pStyle w:val="P68B1DB1-Normal91"/>
            </w:pPr>
            <w:r w:rsidRPr="00F22F68">
              <w:t>NEX Abide Trade Repository AB</w:t>
            </w:r>
          </w:p>
        </w:tc>
      </w:tr>
      <w:tr w:rsidR="00ED7236" w14:paraId="1362AFBF" w14:textId="77777777">
        <w:trPr>
          <w:trHeight w:val="300"/>
        </w:trPr>
        <w:tc>
          <w:tcPr>
            <w:tcW w:w="9072" w:type="dxa"/>
            <w:tcBorders>
              <w:top w:val="nil"/>
              <w:left w:val="nil"/>
              <w:bottom w:val="nil"/>
              <w:right w:val="nil"/>
            </w:tcBorders>
            <w:noWrap/>
            <w:vAlign w:val="bottom"/>
            <w:hideMark/>
          </w:tcPr>
          <w:p w14:paraId="7779B6B2" w14:textId="46209213" w:rsidR="00ED7236" w:rsidRDefault="00ED7236" w:rsidP="00ED7236">
            <w:pPr>
              <w:pStyle w:val="P68B1DB1-Normal91"/>
            </w:pPr>
            <w:r w:rsidRPr="00F22F68">
              <w:t>NICS (Norwegian Inter Bank Clearing System)</w:t>
            </w:r>
          </w:p>
        </w:tc>
      </w:tr>
      <w:tr w:rsidR="00ED7236" w14:paraId="403EDEA1" w14:textId="77777777">
        <w:trPr>
          <w:trHeight w:val="300"/>
        </w:trPr>
        <w:tc>
          <w:tcPr>
            <w:tcW w:w="9072" w:type="dxa"/>
            <w:tcBorders>
              <w:top w:val="nil"/>
              <w:left w:val="nil"/>
              <w:bottom w:val="nil"/>
              <w:right w:val="nil"/>
            </w:tcBorders>
            <w:noWrap/>
            <w:vAlign w:val="bottom"/>
            <w:hideMark/>
          </w:tcPr>
          <w:p w14:paraId="4BFCE736" w14:textId="6A90B22D" w:rsidR="00ED7236" w:rsidRDefault="00ED7236" w:rsidP="00ED7236">
            <w:pPr>
              <w:pStyle w:val="P68B1DB1-Normal91"/>
            </w:pPr>
            <w:r w:rsidRPr="00F22F68">
              <w:t>NKS ( National Clearing System)/EuroNKS</w:t>
            </w:r>
          </w:p>
        </w:tc>
      </w:tr>
      <w:tr w:rsidR="00ED7236" w14:paraId="72370490" w14:textId="77777777">
        <w:trPr>
          <w:trHeight w:val="300"/>
        </w:trPr>
        <w:tc>
          <w:tcPr>
            <w:tcW w:w="9072" w:type="dxa"/>
            <w:tcBorders>
              <w:top w:val="nil"/>
              <w:left w:val="nil"/>
              <w:bottom w:val="nil"/>
              <w:right w:val="nil"/>
            </w:tcBorders>
            <w:noWrap/>
            <w:vAlign w:val="bottom"/>
            <w:hideMark/>
          </w:tcPr>
          <w:p w14:paraId="46EFA26D" w14:textId="4C1048EE" w:rsidR="00ED7236" w:rsidRDefault="00ED7236" w:rsidP="00ED7236">
            <w:pPr>
              <w:pStyle w:val="P68B1DB1-Normal91"/>
            </w:pPr>
            <w:r w:rsidRPr="00F22F68">
              <w:t>NYSE Euronext Paris</w:t>
            </w:r>
          </w:p>
        </w:tc>
      </w:tr>
      <w:tr w:rsidR="00ED7236" w14:paraId="5FB1C2FE" w14:textId="77777777">
        <w:trPr>
          <w:trHeight w:val="300"/>
        </w:trPr>
        <w:tc>
          <w:tcPr>
            <w:tcW w:w="9072" w:type="dxa"/>
            <w:tcBorders>
              <w:top w:val="nil"/>
              <w:left w:val="nil"/>
              <w:bottom w:val="nil"/>
              <w:right w:val="nil"/>
            </w:tcBorders>
            <w:noWrap/>
            <w:vAlign w:val="bottom"/>
            <w:hideMark/>
          </w:tcPr>
          <w:p w14:paraId="43B707C4" w14:textId="27CAB179" w:rsidR="00ED7236" w:rsidRDefault="00ED7236" w:rsidP="00ED7236">
            <w:pPr>
              <w:pStyle w:val="P68B1DB1-Normal91"/>
            </w:pPr>
            <w:r w:rsidRPr="00A125B6">
              <w:t>OeKB CSD GmbH (WSB System)</w:t>
            </w:r>
          </w:p>
        </w:tc>
      </w:tr>
      <w:tr w:rsidR="00ED7236" w14:paraId="297ECE0B" w14:textId="77777777">
        <w:trPr>
          <w:trHeight w:val="300"/>
        </w:trPr>
        <w:tc>
          <w:tcPr>
            <w:tcW w:w="9072" w:type="dxa"/>
            <w:tcBorders>
              <w:top w:val="nil"/>
              <w:left w:val="nil"/>
              <w:bottom w:val="nil"/>
              <w:right w:val="nil"/>
            </w:tcBorders>
            <w:noWrap/>
            <w:vAlign w:val="bottom"/>
            <w:hideMark/>
          </w:tcPr>
          <w:p w14:paraId="41926D7B" w14:textId="7C9838C9" w:rsidR="00ED7236" w:rsidRPr="00744CB2" w:rsidRDefault="00ED7236" w:rsidP="00ED7236">
            <w:pPr>
              <w:pStyle w:val="P68B1DB1-Normal91"/>
            </w:pPr>
            <w:r w:rsidRPr="00F22F68">
              <w:t>OMI Clear</w:t>
            </w:r>
          </w:p>
        </w:tc>
      </w:tr>
      <w:tr w:rsidR="00ED7236" w14:paraId="786A0182" w14:textId="77777777">
        <w:trPr>
          <w:trHeight w:val="300"/>
        </w:trPr>
        <w:tc>
          <w:tcPr>
            <w:tcW w:w="9072" w:type="dxa"/>
            <w:tcBorders>
              <w:top w:val="nil"/>
              <w:left w:val="nil"/>
              <w:bottom w:val="nil"/>
              <w:right w:val="nil"/>
            </w:tcBorders>
            <w:noWrap/>
            <w:vAlign w:val="bottom"/>
            <w:hideMark/>
          </w:tcPr>
          <w:p w14:paraId="00B344FB" w14:textId="76C75F18" w:rsidR="00ED7236" w:rsidRPr="00744CB2" w:rsidRDefault="00ED7236" w:rsidP="00ED7236">
            <w:pPr>
              <w:pStyle w:val="P68B1DB1-Normal91"/>
            </w:pPr>
            <w:r w:rsidRPr="00F22F68">
              <w:t>POPS</w:t>
            </w:r>
          </w:p>
        </w:tc>
      </w:tr>
      <w:tr w:rsidR="00ED7236" w14:paraId="560CA6B2" w14:textId="77777777">
        <w:trPr>
          <w:trHeight w:val="300"/>
        </w:trPr>
        <w:tc>
          <w:tcPr>
            <w:tcW w:w="9072" w:type="dxa"/>
            <w:tcBorders>
              <w:top w:val="nil"/>
              <w:left w:val="nil"/>
              <w:bottom w:val="nil"/>
              <w:right w:val="nil"/>
            </w:tcBorders>
            <w:noWrap/>
            <w:vAlign w:val="bottom"/>
            <w:hideMark/>
          </w:tcPr>
          <w:p w14:paraId="15C8DE81" w14:textId="59980118" w:rsidR="00ED7236" w:rsidRPr="00744CB2" w:rsidRDefault="00ED7236" w:rsidP="00ED7236">
            <w:pPr>
              <w:pStyle w:val="P68B1DB1-Normal91"/>
            </w:pPr>
            <w:r w:rsidRPr="00F22F68">
              <w:t>REGIS</w:t>
            </w:r>
          </w:p>
        </w:tc>
      </w:tr>
      <w:tr w:rsidR="00ED7236" w14:paraId="185A7956" w14:textId="77777777">
        <w:trPr>
          <w:trHeight w:val="300"/>
        </w:trPr>
        <w:tc>
          <w:tcPr>
            <w:tcW w:w="9072" w:type="dxa"/>
            <w:tcBorders>
              <w:top w:val="nil"/>
              <w:left w:val="nil"/>
              <w:bottom w:val="nil"/>
              <w:right w:val="nil"/>
            </w:tcBorders>
            <w:noWrap/>
            <w:vAlign w:val="bottom"/>
            <w:hideMark/>
          </w:tcPr>
          <w:p w14:paraId="3E63DE78" w14:textId="376EECC8" w:rsidR="00ED7236" w:rsidRDefault="00ED7236" w:rsidP="00ED7236">
            <w:pPr>
              <w:pStyle w:val="P68B1DB1-Normal91"/>
            </w:pPr>
            <w:r w:rsidRPr="00F22F68">
              <w:t>Regis-TR</w:t>
            </w:r>
          </w:p>
        </w:tc>
      </w:tr>
      <w:tr w:rsidR="00ED7236" w14:paraId="751DD516" w14:textId="77777777">
        <w:trPr>
          <w:trHeight w:val="300"/>
        </w:trPr>
        <w:tc>
          <w:tcPr>
            <w:tcW w:w="9072" w:type="dxa"/>
            <w:tcBorders>
              <w:top w:val="nil"/>
              <w:left w:val="nil"/>
              <w:bottom w:val="nil"/>
              <w:right w:val="nil"/>
            </w:tcBorders>
            <w:noWrap/>
            <w:vAlign w:val="bottom"/>
            <w:hideMark/>
          </w:tcPr>
          <w:p w14:paraId="61EDA69E" w14:textId="51086882" w:rsidR="00ED7236" w:rsidRDefault="00ED7236" w:rsidP="00ED7236">
            <w:pPr>
              <w:pStyle w:val="P68B1DB1-Normal91"/>
            </w:pPr>
            <w:r w:rsidRPr="00F22F68">
              <w:t>RINGS (Real-time INterbank Gross-settlement System)</w:t>
            </w:r>
          </w:p>
        </w:tc>
      </w:tr>
      <w:tr w:rsidR="00ED7236" w14:paraId="3DA52EFD" w14:textId="77777777">
        <w:trPr>
          <w:trHeight w:val="300"/>
        </w:trPr>
        <w:tc>
          <w:tcPr>
            <w:tcW w:w="9072" w:type="dxa"/>
            <w:tcBorders>
              <w:top w:val="nil"/>
              <w:left w:val="nil"/>
              <w:bottom w:val="nil"/>
              <w:right w:val="nil"/>
            </w:tcBorders>
            <w:noWrap/>
            <w:vAlign w:val="bottom"/>
            <w:hideMark/>
          </w:tcPr>
          <w:p w14:paraId="14849718" w14:textId="4A9E3079" w:rsidR="00ED7236" w:rsidRDefault="00ED7236" w:rsidP="00ED7236">
            <w:pPr>
              <w:pStyle w:val="P68B1DB1-Normal91"/>
            </w:pPr>
            <w:r w:rsidRPr="00F22F68">
              <w:t>RIX</w:t>
            </w:r>
          </w:p>
        </w:tc>
      </w:tr>
      <w:tr w:rsidR="00ED7236" w14:paraId="2F5941C3" w14:textId="77777777">
        <w:trPr>
          <w:trHeight w:val="300"/>
        </w:trPr>
        <w:tc>
          <w:tcPr>
            <w:tcW w:w="9072" w:type="dxa"/>
            <w:tcBorders>
              <w:top w:val="nil"/>
              <w:left w:val="nil"/>
              <w:bottom w:val="nil"/>
              <w:right w:val="nil"/>
            </w:tcBorders>
            <w:noWrap/>
            <w:vAlign w:val="bottom"/>
            <w:hideMark/>
          </w:tcPr>
          <w:p w14:paraId="05086D64" w14:textId="31B6655A" w:rsidR="00ED7236" w:rsidRDefault="00ED7236" w:rsidP="00ED7236">
            <w:pPr>
              <w:pStyle w:val="P68B1DB1-Normal91"/>
            </w:pPr>
            <w:r w:rsidRPr="00A125B6">
              <w:t>RM-SYSTEM Czech Stock Exchange</w:t>
            </w:r>
          </w:p>
        </w:tc>
      </w:tr>
      <w:tr w:rsidR="00ED7236" w14:paraId="4785EAE5" w14:textId="77777777">
        <w:trPr>
          <w:trHeight w:val="300"/>
        </w:trPr>
        <w:tc>
          <w:tcPr>
            <w:tcW w:w="9072" w:type="dxa"/>
            <w:tcBorders>
              <w:top w:val="nil"/>
              <w:left w:val="nil"/>
              <w:bottom w:val="nil"/>
              <w:right w:val="nil"/>
            </w:tcBorders>
            <w:noWrap/>
            <w:vAlign w:val="bottom"/>
            <w:hideMark/>
          </w:tcPr>
          <w:p w14:paraId="0E3CA4AB" w14:textId="3D5B0DE7" w:rsidR="00ED7236" w:rsidRDefault="00ED7236" w:rsidP="00ED7236">
            <w:pPr>
              <w:pStyle w:val="P68B1DB1-Normal91"/>
            </w:pPr>
            <w:r w:rsidRPr="00F22F68">
              <w:t>RoClear</w:t>
            </w:r>
          </w:p>
        </w:tc>
      </w:tr>
      <w:tr w:rsidR="00ED7236" w14:paraId="16348C32" w14:textId="77777777">
        <w:trPr>
          <w:trHeight w:val="300"/>
        </w:trPr>
        <w:tc>
          <w:tcPr>
            <w:tcW w:w="9072" w:type="dxa"/>
            <w:tcBorders>
              <w:top w:val="nil"/>
              <w:left w:val="nil"/>
              <w:bottom w:val="nil"/>
              <w:right w:val="nil"/>
            </w:tcBorders>
            <w:noWrap/>
            <w:vAlign w:val="bottom"/>
            <w:hideMark/>
          </w:tcPr>
          <w:p w14:paraId="7791248F" w14:textId="69313972" w:rsidR="00ED7236" w:rsidRPr="00744CB2" w:rsidRDefault="00ED7236" w:rsidP="00ED7236">
            <w:pPr>
              <w:pStyle w:val="P68B1DB1-Normal91"/>
            </w:pPr>
            <w:r w:rsidRPr="00F22F68">
              <w:t>RPS</w:t>
            </w:r>
          </w:p>
        </w:tc>
      </w:tr>
      <w:tr w:rsidR="00ED7236" w14:paraId="201CD5B7" w14:textId="77777777">
        <w:trPr>
          <w:trHeight w:val="300"/>
        </w:trPr>
        <w:tc>
          <w:tcPr>
            <w:tcW w:w="9072" w:type="dxa"/>
            <w:tcBorders>
              <w:top w:val="nil"/>
              <w:left w:val="nil"/>
              <w:bottom w:val="nil"/>
              <w:right w:val="nil"/>
            </w:tcBorders>
            <w:noWrap/>
            <w:vAlign w:val="bottom"/>
            <w:hideMark/>
          </w:tcPr>
          <w:p w14:paraId="78F31295" w14:textId="2075C526" w:rsidR="00ED7236" w:rsidRDefault="00ED7236" w:rsidP="00ED7236">
            <w:pPr>
              <w:pStyle w:val="P68B1DB1-Normal91"/>
            </w:pPr>
            <w:r w:rsidRPr="00F22F68">
              <w:t>RT1</w:t>
            </w:r>
          </w:p>
        </w:tc>
      </w:tr>
      <w:tr w:rsidR="00ED7236" w14:paraId="5D6D4D2F" w14:textId="77777777">
        <w:trPr>
          <w:trHeight w:val="300"/>
        </w:trPr>
        <w:tc>
          <w:tcPr>
            <w:tcW w:w="9072" w:type="dxa"/>
            <w:tcBorders>
              <w:top w:val="nil"/>
              <w:left w:val="nil"/>
              <w:bottom w:val="nil"/>
              <w:right w:val="nil"/>
            </w:tcBorders>
            <w:noWrap/>
            <w:vAlign w:val="bottom"/>
            <w:hideMark/>
          </w:tcPr>
          <w:p w14:paraId="0D3FA36D" w14:textId="61190A82" w:rsidR="00ED7236" w:rsidRDefault="00ED7236" w:rsidP="00ED7236">
            <w:pPr>
              <w:pStyle w:val="P68B1DB1-Normal91"/>
            </w:pPr>
            <w:r w:rsidRPr="00F22F68">
              <w:t>SAFIR</w:t>
            </w:r>
          </w:p>
        </w:tc>
      </w:tr>
      <w:tr w:rsidR="00ED7236" w14:paraId="683945A8" w14:textId="77777777">
        <w:trPr>
          <w:trHeight w:val="300"/>
        </w:trPr>
        <w:tc>
          <w:tcPr>
            <w:tcW w:w="9072" w:type="dxa"/>
            <w:tcBorders>
              <w:top w:val="nil"/>
              <w:left w:val="nil"/>
              <w:bottom w:val="nil"/>
              <w:right w:val="nil"/>
            </w:tcBorders>
            <w:noWrap/>
            <w:vAlign w:val="bottom"/>
            <w:hideMark/>
          </w:tcPr>
          <w:p w14:paraId="4536F3F1" w14:textId="18B516EA" w:rsidR="00ED7236" w:rsidRPr="00744CB2" w:rsidRDefault="00ED7236" w:rsidP="00ED7236">
            <w:pPr>
              <w:pStyle w:val="P68B1DB1-Normal91"/>
            </w:pPr>
            <w:r w:rsidRPr="00F22F68">
              <w:t>SENT</w:t>
            </w:r>
          </w:p>
        </w:tc>
      </w:tr>
      <w:tr w:rsidR="00ED7236" w14:paraId="37207CC9" w14:textId="77777777">
        <w:trPr>
          <w:trHeight w:val="300"/>
        </w:trPr>
        <w:tc>
          <w:tcPr>
            <w:tcW w:w="9072" w:type="dxa"/>
            <w:tcBorders>
              <w:top w:val="nil"/>
              <w:left w:val="nil"/>
              <w:bottom w:val="nil"/>
              <w:right w:val="nil"/>
            </w:tcBorders>
            <w:noWrap/>
            <w:vAlign w:val="bottom"/>
            <w:hideMark/>
          </w:tcPr>
          <w:p w14:paraId="78322774" w14:textId="763CC1E2" w:rsidR="00ED7236" w:rsidRDefault="00ED7236" w:rsidP="00ED7236">
            <w:pPr>
              <w:pStyle w:val="P68B1DB1-Normal91"/>
            </w:pPr>
            <w:r w:rsidRPr="00F22F68">
              <w:t>SICOI</w:t>
            </w:r>
          </w:p>
        </w:tc>
      </w:tr>
      <w:tr w:rsidR="00ED7236" w14:paraId="20A1D4E0" w14:textId="77777777">
        <w:trPr>
          <w:trHeight w:val="300"/>
        </w:trPr>
        <w:tc>
          <w:tcPr>
            <w:tcW w:w="9072" w:type="dxa"/>
            <w:tcBorders>
              <w:top w:val="nil"/>
              <w:left w:val="nil"/>
              <w:bottom w:val="nil"/>
              <w:right w:val="nil"/>
            </w:tcBorders>
            <w:noWrap/>
            <w:vAlign w:val="bottom"/>
            <w:hideMark/>
          </w:tcPr>
          <w:p w14:paraId="745FF75E" w14:textId="13E6E1C2" w:rsidR="00ED7236" w:rsidRDefault="00ED7236" w:rsidP="00ED7236">
            <w:pPr>
              <w:pStyle w:val="P68B1DB1-Normal91"/>
            </w:pPr>
            <w:r w:rsidRPr="00F22F68">
              <w:t>SIMP - PS</w:t>
            </w:r>
          </w:p>
        </w:tc>
      </w:tr>
      <w:tr w:rsidR="00ED7236" w14:paraId="1F8A8F25" w14:textId="77777777">
        <w:trPr>
          <w:trHeight w:val="300"/>
        </w:trPr>
        <w:tc>
          <w:tcPr>
            <w:tcW w:w="9072" w:type="dxa"/>
            <w:tcBorders>
              <w:top w:val="nil"/>
              <w:left w:val="nil"/>
              <w:bottom w:val="nil"/>
              <w:right w:val="nil"/>
            </w:tcBorders>
            <w:noWrap/>
            <w:vAlign w:val="bottom"/>
            <w:hideMark/>
          </w:tcPr>
          <w:p w14:paraId="7B70556F" w14:textId="1B6F7D43" w:rsidR="00ED7236" w:rsidRDefault="00ED7236" w:rsidP="00ED7236">
            <w:pPr>
              <w:pStyle w:val="P68B1DB1-Normal91"/>
            </w:pPr>
            <w:r w:rsidRPr="00F22F68">
              <w:t>SIP SPlatobný systém</w:t>
            </w:r>
          </w:p>
        </w:tc>
      </w:tr>
      <w:tr w:rsidR="00ED7236" w14:paraId="661159A9" w14:textId="77777777">
        <w:trPr>
          <w:trHeight w:val="300"/>
        </w:trPr>
        <w:tc>
          <w:tcPr>
            <w:tcW w:w="9072" w:type="dxa"/>
            <w:tcBorders>
              <w:top w:val="nil"/>
              <w:left w:val="nil"/>
              <w:bottom w:val="nil"/>
              <w:right w:val="nil"/>
            </w:tcBorders>
            <w:noWrap/>
            <w:vAlign w:val="bottom"/>
            <w:hideMark/>
          </w:tcPr>
          <w:p w14:paraId="21A22FD2" w14:textId="1F252625" w:rsidR="00ED7236" w:rsidRDefault="00ED7236" w:rsidP="00ED7236">
            <w:pPr>
              <w:pStyle w:val="P68B1DB1-Normal91"/>
            </w:pPr>
            <w:r w:rsidRPr="00F22F68">
              <w:t>SIX</w:t>
            </w:r>
          </w:p>
        </w:tc>
      </w:tr>
      <w:tr w:rsidR="00ED7236" w14:paraId="01B00784" w14:textId="77777777">
        <w:trPr>
          <w:trHeight w:val="300"/>
        </w:trPr>
        <w:tc>
          <w:tcPr>
            <w:tcW w:w="9072" w:type="dxa"/>
            <w:tcBorders>
              <w:top w:val="nil"/>
              <w:left w:val="nil"/>
              <w:bottom w:val="nil"/>
              <w:right w:val="nil"/>
            </w:tcBorders>
            <w:noWrap/>
            <w:vAlign w:val="bottom"/>
            <w:hideMark/>
          </w:tcPr>
          <w:p w14:paraId="42A9A872" w14:textId="621D9AF4" w:rsidR="00ED7236" w:rsidRDefault="00ED7236" w:rsidP="00ED7236">
            <w:pPr>
              <w:pStyle w:val="P68B1DB1-Normal91"/>
            </w:pPr>
            <w:r w:rsidRPr="00F22F68">
              <w:t>SIX InterbankClearing (SIC)/EuroSIC</w:t>
            </w:r>
          </w:p>
        </w:tc>
      </w:tr>
      <w:tr w:rsidR="00ED7236" w14:paraId="4AB76E2F" w14:textId="77777777">
        <w:trPr>
          <w:trHeight w:val="300"/>
        </w:trPr>
        <w:tc>
          <w:tcPr>
            <w:tcW w:w="9072" w:type="dxa"/>
            <w:tcBorders>
              <w:top w:val="nil"/>
              <w:left w:val="nil"/>
              <w:bottom w:val="nil"/>
              <w:right w:val="nil"/>
            </w:tcBorders>
            <w:noWrap/>
            <w:vAlign w:val="bottom"/>
            <w:hideMark/>
          </w:tcPr>
          <w:p w14:paraId="591D0E38" w14:textId="24CE73DC" w:rsidR="00ED7236" w:rsidRDefault="00ED7236" w:rsidP="00ED7236">
            <w:pPr>
              <w:pStyle w:val="P68B1DB1-Normal91"/>
            </w:pPr>
            <w:r w:rsidRPr="00F22F68">
              <w:t>SIX Swiss Exchange</w:t>
            </w:r>
          </w:p>
        </w:tc>
      </w:tr>
      <w:tr w:rsidR="00ED7236" w14:paraId="0FE15923" w14:textId="77777777">
        <w:trPr>
          <w:trHeight w:val="300"/>
        </w:trPr>
        <w:tc>
          <w:tcPr>
            <w:tcW w:w="9072" w:type="dxa"/>
            <w:tcBorders>
              <w:top w:val="nil"/>
              <w:left w:val="nil"/>
              <w:bottom w:val="nil"/>
              <w:right w:val="nil"/>
            </w:tcBorders>
            <w:noWrap/>
            <w:vAlign w:val="bottom"/>
            <w:hideMark/>
          </w:tcPr>
          <w:p w14:paraId="7A0AEADF" w14:textId="1F3F8402" w:rsidR="00ED7236" w:rsidRPr="00744CB2" w:rsidRDefault="00ED7236" w:rsidP="00ED7236">
            <w:pPr>
              <w:pStyle w:val="P68B1DB1-Normal91"/>
            </w:pPr>
            <w:r w:rsidRPr="00F22F68">
              <w:t>SIX x-clear</w:t>
            </w:r>
          </w:p>
        </w:tc>
      </w:tr>
      <w:tr w:rsidR="00ED7236" w14:paraId="58C9ED3B" w14:textId="77777777">
        <w:trPr>
          <w:trHeight w:val="300"/>
        </w:trPr>
        <w:tc>
          <w:tcPr>
            <w:tcW w:w="9072" w:type="dxa"/>
            <w:tcBorders>
              <w:top w:val="nil"/>
              <w:left w:val="nil"/>
              <w:bottom w:val="nil"/>
              <w:right w:val="nil"/>
            </w:tcBorders>
            <w:noWrap/>
            <w:vAlign w:val="bottom"/>
            <w:hideMark/>
          </w:tcPr>
          <w:p w14:paraId="53254B63" w14:textId="62B80655" w:rsidR="00ED7236" w:rsidRDefault="00ED7236" w:rsidP="00ED7236">
            <w:pPr>
              <w:pStyle w:val="P68B1DB1-Normal91"/>
            </w:pPr>
            <w:r w:rsidRPr="00F22F68">
              <w:t>SKD (Short Term Bond System)</w:t>
            </w:r>
          </w:p>
        </w:tc>
      </w:tr>
      <w:tr w:rsidR="00ED7236" w14:paraId="479A72E9" w14:textId="77777777">
        <w:trPr>
          <w:trHeight w:val="300"/>
        </w:trPr>
        <w:tc>
          <w:tcPr>
            <w:tcW w:w="9072" w:type="dxa"/>
            <w:tcBorders>
              <w:top w:val="nil"/>
              <w:left w:val="nil"/>
              <w:bottom w:val="nil"/>
              <w:right w:val="nil"/>
            </w:tcBorders>
            <w:noWrap/>
            <w:vAlign w:val="bottom"/>
            <w:hideMark/>
          </w:tcPr>
          <w:p w14:paraId="559EC939" w14:textId="48D7E144" w:rsidR="00ED7236" w:rsidRDefault="00ED7236" w:rsidP="00ED7236">
            <w:pPr>
              <w:pStyle w:val="P68B1DB1-Normal91"/>
            </w:pPr>
            <w:r w:rsidRPr="00A31D3C">
              <w:rPr>
                <w:lang w:val="es-ES"/>
              </w:rPr>
              <w:t>SNCE (Sistema Nacional de Compensación Electrónica)</w:t>
            </w:r>
          </w:p>
        </w:tc>
      </w:tr>
      <w:tr w:rsidR="00ED7236" w14:paraId="61D37C20" w14:textId="77777777">
        <w:trPr>
          <w:trHeight w:val="300"/>
        </w:trPr>
        <w:tc>
          <w:tcPr>
            <w:tcW w:w="9072" w:type="dxa"/>
            <w:tcBorders>
              <w:top w:val="nil"/>
              <w:left w:val="nil"/>
              <w:bottom w:val="nil"/>
              <w:right w:val="nil"/>
            </w:tcBorders>
            <w:noWrap/>
            <w:vAlign w:val="bottom"/>
            <w:hideMark/>
          </w:tcPr>
          <w:p w14:paraId="0B37415E" w14:textId="1CE9C73F" w:rsidR="00ED7236" w:rsidRDefault="00ED7236" w:rsidP="00ED7236">
            <w:pPr>
              <w:pStyle w:val="P68B1DB1-Normal91"/>
            </w:pPr>
            <w:r w:rsidRPr="003C5532">
              <w:rPr>
                <w:lang w:val="fr-BE"/>
              </w:rPr>
              <w:t>Société de la Bourse du Luxembourg SA</w:t>
            </w:r>
          </w:p>
        </w:tc>
      </w:tr>
      <w:tr w:rsidR="00ED7236" w14:paraId="09E4F71F" w14:textId="77777777">
        <w:trPr>
          <w:trHeight w:val="300"/>
        </w:trPr>
        <w:tc>
          <w:tcPr>
            <w:tcW w:w="9072" w:type="dxa"/>
            <w:tcBorders>
              <w:top w:val="nil"/>
              <w:left w:val="nil"/>
              <w:bottom w:val="nil"/>
              <w:right w:val="nil"/>
            </w:tcBorders>
            <w:noWrap/>
            <w:vAlign w:val="bottom"/>
            <w:hideMark/>
          </w:tcPr>
          <w:p w14:paraId="094DD4AF" w14:textId="4F8D71AF" w:rsidR="00ED7236" w:rsidRDefault="00ED7236" w:rsidP="00ED7236">
            <w:pPr>
              <w:pStyle w:val="P68B1DB1-Normal91"/>
            </w:pPr>
            <w:r w:rsidRPr="00F22F68">
              <w:t>SORBNET2</w:t>
            </w:r>
          </w:p>
        </w:tc>
      </w:tr>
      <w:tr w:rsidR="00ED7236" w14:paraId="1E86EA3A" w14:textId="77777777">
        <w:trPr>
          <w:trHeight w:val="300"/>
        </w:trPr>
        <w:tc>
          <w:tcPr>
            <w:tcW w:w="9072" w:type="dxa"/>
            <w:tcBorders>
              <w:top w:val="nil"/>
              <w:left w:val="nil"/>
              <w:bottom w:val="nil"/>
              <w:right w:val="nil"/>
            </w:tcBorders>
            <w:noWrap/>
            <w:vAlign w:val="bottom"/>
            <w:hideMark/>
          </w:tcPr>
          <w:p w14:paraId="2FE926EC" w14:textId="79027880" w:rsidR="00ED7236" w:rsidRDefault="00ED7236" w:rsidP="00ED7236">
            <w:pPr>
              <w:pStyle w:val="P68B1DB1-Normal91"/>
            </w:pPr>
            <w:r w:rsidRPr="00F22F68">
              <w:t>STEP 1</w:t>
            </w:r>
          </w:p>
        </w:tc>
      </w:tr>
      <w:tr w:rsidR="00ED7236" w14:paraId="4A3D7A33" w14:textId="77777777">
        <w:trPr>
          <w:trHeight w:val="300"/>
        </w:trPr>
        <w:tc>
          <w:tcPr>
            <w:tcW w:w="9072" w:type="dxa"/>
            <w:tcBorders>
              <w:top w:val="nil"/>
              <w:left w:val="nil"/>
              <w:bottom w:val="nil"/>
              <w:right w:val="nil"/>
            </w:tcBorders>
            <w:noWrap/>
            <w:vAlign w:val="bottom"/>
            <w:hideMark/>
          </w:tcPr>
          <w:p w14:paraId="38D47947" w14:textId="1A34C787" w:rsidR="00ED7236" w:rsidRDefault="00ED7236" w:rsidP="00ED7236">
            <w:pPr>
              <w:pStyle w:val="P68B1DB1-Normal91"/>
            </w:pPr>
            <w:r w:rsidRPr="00F22F68">
              <w:t>STEP 2</w:t>
            </w:r>
          </w:p>
        </w:tc>
      </w:tr>
      <w:tr w:rsidR="00ED7236" w14:paraId="305AEF07" w14:textId="77777777">
        <w:trPr>
          <w:trHeight w:val="300"/>
        </w:trPr>
        <w:tc>
          <w:tcPr>
            <w:tcW w:w="9072" w:type="dxa"/>
            <w:tcBorders>
              <w:top w:val="nil"/>
              <w:left w:val="nil"/>
              <w:bottom w:val="nil"/>
              <w:right w:val="nil"/>
            </w:tcBorders>
            <w:noWrap/>
            <w:vAlign w:val="bottom"/>
            <w:hideMark/>
          </w:tcPr>
          <w:p w14:paraId="3385D576" w14:textId="5D0B71E2" w:rsidR="00ED7236" w:rsidRDefault="00ED7236" w:rsidP="00ED7236">
            <w:pPr>
              <w:pStyle w:val="P68B1DB1-Normal91"/>
            </w:pPr>
            <w:r w:rsidRPr="00F22F68">
              <w:t>STET/CORE</w:t>
            </w:r>
          </w:p>
        </w:tc>
      </w:tr>
      <w:tr w:rsidR="00ED7236" w14:paraId="68530B39" w14:textId="77777777">
        <w:trPr>
          <w:trHeight w:val="300"/>
        </w:trPr>
        <w:tc>
          <w:tcPr>
            <w:tcW w:w="9072" w:type="dxa"/>
            <w:tcBorders>
              <w:top w:val="nil"/>
              <w:left w:val="nil"/>
              <w:bottom w:val="nil"/>
              <w:right w:val="nil"/>
            </w:tcBorders>
            <w:noWrap/>
            <w:vAlign w:val="bottom"/>
            <w:hideMark/>
          </w:tcPr>
          <w:p w14:paraId="2B90AD3F" w14:textId="1B1CD4D4" w:rsidR="00ED7236" w:rsidRDefault="00ED7236" w:rsidP="00ED7236">
            <w:pPr>
              <w:pStyle w:val="P68B1DB1-Normal91"/>
            </w:pPr>
            <w:r w:rsidRPr="00F22F68">
              <w:t>Straksclearingen</w:t>
            </w:r>
          </w:p>
        </w:tc>
      </w:tr>
      <w:tr w:rsidR="00ED7236" w14:paraId="0E50A9AB" w14:textId="77777777">
        <w:trPr>
          <w:trHeight w:val="300"/>
        </w:trPr>
        <w:tc>
          <w:tcPr>
            <w:tcW w:w="9072" w:type="dxa"/>
            <w:tcBorders>
              <w:top w:val="nil"/>
              <w:left w:val="nil"/>
              <w:bottom w:val="nil"/>
              <w:right w:val="nil"/>
            </w:tcBorders>
            <w:noWrap/>
            <w:vAlign w:val="bottom"/>
            <w:hideMark/>
          </w:tcPr>
          <w:p w14:paraId="54E27288" w14:textId="3C1D87CE" w:rsidR="00ED7236" w:rsidRDefault="00ED7236" w:rsidP="00ED7236">
            <w:pPr>
              <w:pStyle w:val="P68B1DB1-Normal91"/>
            </w:pPr>
            <w:r w:rsidRPr="00F22F68">
              <w:t>Sumclearingen</w:t>
            </w:r>
          </w:p>
        </w:tc>
      </w:tr>
      <w:tr w:rsidR="00ED7236" w14:paraId="0C6135E4" w14:textId="77777777">
        <w:trPr>
          <w:trHeight w:val="300"/>
        </w:trPr>
        <w:tc>
          <w:tcPr>
            <w:tcW w:w="9072" w:type="dxa"/>
            <w:tcBorders>
              <w:top w:val="nil"/>
              <w:left w:val="nil"/>
              <w:bottom w:val="nil"/>
              <w:right w:val="nil"/>
            </w:tcBorders>
            <w:noWrap/>
            <w:vAlign w:val="bottom"/>
            <w:hideMark/>
          </w:tcPr>
          <w:p w14:paraId="4789CBEE" w14:textId="53EFCBEB" w:rsidR="00ED7236" w:rsidRDefault="00ED7236" w:rsidP="00ED7236">
            <w:pPr>
              <w:pStyle w:val="P68B1DB1-Normal91"/>
            </w:pPr>
            <w:r w:rsidRPr="00F22F68">
              <w:t>T2S (SSS - only for direct connectivity)</w:t>
            </w:r>
          </w:p>
        </w:tc>
      </w:tr>
      <w:tr w:rsidR="00ED7236" w14:paraId="791932E6" w14:textId="77777777">
        <w:trPr>
          <w:trHeight w:val="300"/>
        </w:trPr>
        <w:tc>
          <w:tcPr>
            <w:tcW w:w="9072" w:type="dxa"/>
            <w:tcBorders>
              <w:top w:val="nil"/>
              <w:left w:val="nil"/>
              <w:bottom w:val="nil"/>
              <w:right w:val="nil"/>
            </w:tcBorders>
            <w:noWrap/>
            <w:vAlign w:val="bottom"/>
            <w:hideMark/>
          </w:tcPr>
          <w:p w14:paraId="085D29CC" w14:textId="316EC74B" w:rsidR="00ED7236" w:rsidRPr="00744CB2" w:rsidRDefault="00ED7236" w:rsidP="00ED7236">
            <w:pPr>
              <w:pStyle w:val="P68B1DB1-Normal91"/>
            </w:pPr>
            <w:r w:rsidRPr="00F22F68">
              <w:t>TARGET2</w:t>
            </w:r>
          </w:p>
        </w:tc>
      </w:tr>
      <w:tr w:rsidR="00ED7236" w14:paraId="0379A497" w14:textId="77777777">
        <w:trPr>
          <w:trHeight w:val="300"/>
        </w:trPr>
        <w:tc>
          <w:tcPr>
            <w:tcW w:w="9072" w:type="dxa"/>
            <w:tcBorders>
              <w:top w:val="nil"/>
              <w:left w:val="nil"/>
              <w:bottom w:val="nil"/>
              <w:right w:val="nil"/>
            </w:tcBorders>
            <w:noWrap/>
            <w:vAlign w:val="bottom"/>
            <w:hideMark/>
          </w:tcPr>
          <w:p w14:paraId="56C29FCF" w14:textId="01E068AF" w:rsidR="00ED7236" w:rsidRPr="00744CB2" w:rsidRDefault="00ED7236" w:rsidP="00ED7236">
            <w:pPr>
              <w:pStyle w:val="P68B1DB1-Normal91"/>
            </w:pPr>
            <w:r w:rsidRPr="00F22F68">
              <w:t>TIPS</w:t>
            </w:r>
          </w:p>
        </w:tc>
      </w:tr>
      <w:tr w:rsidR="00ED7236" w14:paraId="19C63903" w14:textId="77777777">
        <w:trPr>
          <w:trHeight w:val="300"/>
        </w:trPr>
        <w:tc>
          <w:tcPr>
            <w:tcW w:w="9072" w:type="dxa"/>
            <w:tcBorders>
              <w:top w:val="nil"/>
              <w:left w:val="nil"/>
              <w:bottom w:val="nil"/>
              <w:right w:val="nil"/>
            </w:tcBorders>
            <w:noWrap/>
            <w:vAlign w:val="bottom"/>
            <w:hideMark/>
          </w:tcPr>
          <w:p w14:paraId="6CABE6E8" w14:textId="191CAC49" w:rsidR="00ED7236" w:rsidRDefault="00ED7236" w:rsidP="00ED7236">
            <w:pPr>
              <w:pStyle w:val="P68B1DB1-Normal91"/>
            </w:pPr>
            <w:r w:rsidRPr="00F22F68">
              <w:t>UnaVista Limited</w:t>
            </w:r>
          </w:p>
        </w:tc>
      </w:tr>
      <w:tr w:rsidR="00ED7236" w14:paraId="7E731946" w14:textId="77777777">
        <w:trPr>
          <w:trHeight w:val="300"/>
        </w:trPr>
        <w:tc>
          <w:tcPr>
            <w:tcW w:w="9072" w:type="dxa"/>
            <w:tcBorders>
              <w:top w:val="nil"/>
              <w:left w:val="nil"/>
              <w:bottom w:val="nil"/>
              <w:right w:val="nil"/>
            </w:tcBorders>
            <w:noWrap/>
            <w:vAlign w:val="bottom"/>
            <w:hideMark/>
          </w:tcPr>
          <w:p w14:paraId="6485DCC3" w14:textId="7C0A3486" w:rsidR="00ED7236" w:rsidRDefault="00ED7236" w:rsidP="00ED7236">
            <w:pPr>
              <w:pStyle w:val="P68B1DB1-Normal91"/>
            </w:pPr>
            <w:r w:rsidRPr="00F22F68">
              <w:t>Verdipapirsentralen (VPS)</w:t>
            </w:r>
          </w:p>
        </w:tc>
      </w:tr>
      <w:tr w:rsidR="00ED7236" w14:paraId="599BD0C0" w14:textId="77777777">
        <w:trPr>
          <w:trHeight w:val="300"/>
        </w:trPr>
        <w:tc>
          <w:tcPr>
            <w:tcW w:w="9072" w:type="dxa"/>
            <w:tcBorders>
              <w:top w:val="nil"/>
              <w:left w:val="nil"/>
              <w:bottom w:val="nil"/>
              <w:right w:val="nil"/>
            </w:tcBorders>
            <w:noWrap/>
            <w:vAlign w:val="bottom"/>
            <w:hideMark/>
          </w:tcPr>
          <w:p w14:paraId="209D9CF9" w14:textId="2E8DFEE1" w:rsidR="00ED7236" w:rsidRPr="00744CB2" w:rsidRDefault="00ED7236" w:rsidP="00ED7236">
            <w:pPr>
              <w:pStyle w:val="P68B1DB1-Normal91"/>
            </w:pPr>
            <w:r w:rsidRPr="00F22F68">
              <w:t>VIBER</w:t>
            </w:r>
          </w:p>
        </w:tc>
      </w:tr>
      <w:tr w:rsidR="00ED7236" w14:paraId="3CBF4EA3" w14:textId="77777777">
        <w:trPr>
          <w:trHeight w:val="300"/>
        </w:trPr>
        <w:tc>
          <w:tcPr>
            <w:tcW w:w="9072" w:type="dxa"/>
            <w:tcBorders>
              <w:top w:val="nil"/>
              <w:left w:val="nil"/>
              <w:bottom w:val="nil"/>
              <w:right w:val="nil"/>
            </w:tcBorders>
            <w:noWrap/>
            <w:vAlign w:val="bottom"/>
            <w:hideMark/>
          </w:tcPr>
          <w:p w14:paraId="49A43CDA" w14:textId="44ADC771" w:rsidR="00ED7236" w:rsidRPr="00744CB2" w:rsidRDefault="00ED7236" w:rsidP="00ED7236">
            <w:pPr>
              <w:pStyle w:val="P68B1DB1-Normal91"/>
            </w:pPr>
            <w:r w:rsidRPr="00F22F68">
              <w:t>VP Lux</w:t>
            </w:r>
          </w:p>
        </w:tc>
      </w:tr>
      <w:tr w:rsidR="00ED7236" w14:paraId="20C89571" w14:textId="77777777">
        <w:trPr>
          <w:trHeight w:val="300"/>
        </w:trPr>
        <w:tc>
          <w:tcPr>
            <w:tcW w:w="9072" w:type="dxa"/>
            <w:tcBorders>
              <w:top w:val="nil"/>
              <w:left w:val="nil"/>
              <w:bottom w:val="nil"/>
              <w:right w:val="nil"/>
            </w:tcBorders>
            <w:noWrap/>
            <w:vAlign w:val="bottom"/>
            <w:hideMark/>
          </w:tcPr>
          <w:p w14:paraId="12389C15" w14:textId="59C92220" w:rsidR="00ED7236" w:rsidRDefault="00ED7236" w:rsidP="00ED7236">
            <w:pPr>
              <w:pStyle w:val="P68B1DB1-Normal91"/>
            </w:pPr>
            <w:r w:rsidRPr="00F22F68">
              <w:t>VP Securities A/S</w:t>
            </w:r>
          </w:p>
        </w:tc>
      </w:tr>
    </w:tbl>
    <w:p w14:paraId="1E4D7216" w14:textId="77777777" w:rsidR="00FE5D64" w:rsidRDefault="00FE5D64">
      <w:pPr>
        <w:pStyle w:val="body"/>
        <w:rPr>
          <w:rFonts w:ascii="Times New Roman" w:hAnsi="Times New Roman" w:cs="Times New Roman"/>
          <w:sz w:val="20"/>
          <w:szCs w:val="20"/>
        </w:rPr>
      </w:pPr>
    </w:p>
    <w:sectPr w:rsidR="00FE5D64">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7AA1" w14:textId="77777777" w:rsidR="00715DCD" w:rsidRDefault="00715DCD">
      <w:r>
        <w:separator/>
      </w:r>
    </w:p>
  </w:endnote>
  <w:endnote w:type="continuationSeparator" w:id="0">
    <w:p w14:paraId="48CFE824" w14:textId="77777777" w:rsidR="00715DCD" w:rsidRDefault="00715DCD">
      <w:r>
        <w:continuationSeparator/>
      </w:r>
    </w:p>
  </w:endnote>
  <w:endnote w:type="continuationNotice" w:id="1">
    <w:p w14:paraId="66AF40DF" w14:textId="77777777" w:rsidR="00715DCD" w:rsidRDefault="0071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01180E" w:rsidRDefault="0001180E">
        <w:pPr>
          <w:pStyle w:val="body"/>
          <w:jc w:val="right"/>
        </w:pPr>
        <w:r>
          <w:fldChar w:fldCharType="begin"/>
        </w:r>
        <w:r>
          <w:instrText xml:space="preserve"> PAGE   \* MERGEFORMAT </w:instrText>
        </w:r>
        <w:r>
          <w:fldChar w:fldCharType="separate"/>
        </w:r>
        <w:r>
          <w:rPr>
            <w:noProof/>
          </w:rPr>
          <w:t>63</w:t>
        </w:r>
        <w:r>
          <w:fldChar w:fldCharType="end"/>
        </w:r>
      </w:p>
    </w:sdtContent>
  </w:sdt>
  <w:p w14:paraId="7FE1D24F" w14:textId="77777777" w:rsidR="0001180E" w:rsidRDefault="00011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01180E" w:rsidRDefault="0001180E">
    <w:pPr>
      <w:pStyle w:val="Footer"/>
    </w:pPr>
    <w:r w:rsidRPr="001A79CE">
      <w:rPr>
        <w:noProof/>
        <w:lang w:val="bg-BG"/>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Текстово поле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01180E" w:rsidRDefault="0001180E">
                          <w:pPr>
                            <w:pStyle w:val="P68B1DB1-Normal92"/>
                            <w:rPr>
                              <w:bCs/>
                            </w:rPr>
                          </w:pPr>
                          <w:r>
                            <w:t>Първоначално тези указания бяха изготвени на английски език. Преводът им на другите официални езици на ЕС се извършва чрез eTranslation — службата за машинен превод на Европейската комисия въз основа на полагане на максимални усилия.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Текстово поле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01180E" w:rsidRDefault="0001180E">
                    <w:pPr>
                      <w:pStyle w:val="P68B1DB1-Normal92"/>
                      <w:rPr>
                        <w:bCs/>
                      </w:rPr>
                    </w:pPr>
                    <w:r>
                      <w:t>Първоначално тези указания бяха изготвени на английски език. Преводът им на другите официални езици на ЕС се извършва чрез eTranslation — службата за машинен превод на Европейската комисия въз основа на полагане на максимални усилия.</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C307" w14:textId="77777777" w:rsidR="00715DCD" w:rsidRDefault="00715DCD">
      <w:r>
        <w:separator/>
      </w:r>
    </w:p>
  </w:footnote>
  <w:footnote w:type="continuationSeparator" w:id="0">
    <w:p w14:paraId="05B69C4F" w14:textId="77777777" w:rsidR="00715DCD" w:rsidRDefault="00715DCD">
      <w:r>
        <w:continuationSeparator/>
      </w:r>
    </w:p>
  </w:footnote>
  <w:footnote w:type="continuationNotice" w:id="1">
    <w:p w14:paraId="4B3F546A" w14:textId="77777777" w:rsidR="00715DCD" w:rsidRDefault="00715DCD"/>
  </w:footnote>
  <w:footnote w:id="2">
    <w:p w14:paraId="0A3F5404" w14:textId="77777777" w:rsidR="0001180E" w:rsidRDefault="0001180E" w:rsidP="00D93060">
      <w:pPr>
        <w:pStyle w:val="FootnoteText"/>
      </w:pPr>
      <w:r>
        <w:rPr>
          <w:rStyle w:val="FootnoteReference"/>
        </w:rPr>
        <w:footnoteRef/>
      </w:r>
      <w:r>
        <w:t xml:space="preserve"> Регламент за изпълнение (ЕС) 2024/3117 на Комисията от 29 ноември 2024 г. за определяне на техническите стандарти за изпълнение за прилагането на Регламент (ЕС) № 575/2013 на Европейския парламент и на Съвета по отношение на предоставянето на информация от институциите на надзорните органи и за отмяна на Регламент за изпълнение (ЕС) 2021/451 на Комисията</w:t>
      </w:r>
      <w:r>
        <w:rPr>
          <w:i/>
        </w:rPr>
        <w:t>(ОВ L, 2024/3117, 27.12.2024 г.,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01180E" w:rsidRDefault="0001180E" w:rsidP="00D93060">
      <w:pPr>
        <w:pStyle w:val="FootnoteText"/>
      </w:pPr>
      <w:r>
        <w:rPr>
          <w:rStyle w:val="FootnoteReference"/>
          <w:rFonts w:ascii="Times New Roman" w:hAnsi="Times New Roman"/>
        </w:rPr>
        <w:footnoteRef/>
      </w:r>
      <w:r>
        <w:t xml:space="preserve"> Регламент (ЕО) № 1606/2002 на Европейския парламент и на Съвета от 19 юли 2002 г. за прилагането на международните счетоводни стандарти (ОВ L 243, 11.9.2002 г., стр. 1).</w:t>
      </w:r>
    </w:p>
  </w:footnote>
  <w:footnote w:id="4">
    <w:p w14:paraId="7FE1D259" w14:textId="77777777" w:rsidR="0001180E" w:rsidRDefault="0001180E" w:rsidP="00D93060">
      <w:pPr>
        <w:pStyle w:val="FootnoteText"/>
      </w:pPr>
      <w:r>
        <w:rPr>
          <w:rStyle w:val="FootnoteReference"/>
          <w:rFonts w:ascii="Times New Roman" w:hAnsi="Times New Roman"/>
        </w:rPr>
        <w:footnoteRef/>
      </w:r>
      <w:r>
        <w:t xml:space="preserve"> Регламент (ЕО) № 1606/2002 на Европейския парламент и на Съвета от 19 юли 2002 г. за прилагането на международните счетоводни стандарти (ОВ L 243, 11.9.2002 г., стр. 1).</w:t>
      </w:r>
    </w:p>
  </w:footnote>
  <w:footnote w:id="5">
    <w:p w14:paraId="7FE1D25A" w14:textId="77777777" w:rsidR="0001180E" w:rsidRDefault="0001180E" w:rsidP="00D93060">
      <w:pPr>
        <w:pStyle w:val="FootnoteText"/>
      </w:pPr>
      <w:r>
        <w:rPr>
          <w:rStyle w:val="FootnoteReference"/>
          <w:rFonts w:ascii="Times New Roman" w:hAnsi="Times New Roman"/>
        </w:rPr>
        <w:footnoteRef/>
      </w:r>
      <w:r>
        <w:t xml:space="preserve"> Директива 86/635/ЕИО на Съвета от 8 декември 1986 г. относно годишните счетоводни отчети и консолидираните счетоводни отчети на банки и други финансови институции (ОВ L 372, 31.12.1986 г., стр. 1).</w:t>
      </w:r>
    </w:p>
  </w:footnote>
  <w:footnote w:id="6">
    <w:p w14:paraId="06EB0A65" w14:textId="77777777" w:rsidR="0001180E" w:rsidRDefault="0001180E" w:rsidP="00D93060">
      <w:pPr>
        <w:pStyle w:val="FootnoteText"/>
      </w:pPr>
      <w:r>
        <w:rPr>
          <w:rStyle w:val="FootnoteReference"/>
          <w:rFonts w:ascii="Times New Roman" w:hAnsi="Times New Roman"/>
        </w:rPr>
        <w:footnoteRef/>
      </w:r>
      <w:r>
        <w:t xml:space="preserve"> Регламент (ЕС) № 575/2013 на Европейския парламент и на Съвета от 26 юни 2 013 година относно пруденциалните изисквания за кредитните институции и инвестиционните посредници и за изменение на Регламент (ЕС) № 648/2012 (ОВ L 176, 27.6.2013 г., стр. 1).</w:t>
      </w:r>
    </w:p>
  </w:footnote>
  <w:footnote w:id="7">
    <w:p w14:paraId="7FE1D25C" w14:textId="77777777" w:rsidR="0001180E" w:rsidRDefault="0001180E" w:rsidP="00D93060">
      <w:pPr>
        <w:pStyle w:val="FootnoteText"/>
      </w:pPr>
      <w:r>
        <w:rPr>
          <w:rStyle w:val="FootnoteReference"/>
        </w:rPr>
        <w:footnoteRef/>
      </w:r>
      <w:r>
        <w:t xml:space="preserve"> 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footnote>
  <w:footnote w:id="8">
    <w:p w14:paraId="7FE1D25D" w14:textId="77777777" w:rsidR="0001180E" w:rsidRDefault="0001180E" w:rsidP="00D93060">
      <w:pPr>
        <w:pStyle w:val="FootnoteText"/>
      </w:pPr>
      <w:r>
        <w:rPr>
          <w:rStyle w:val="FootnoteReference"/>
        </w:rPr>
        <w:footnoteRef/>
      </w:r>
      <w:r>
        <w:t xml:space="preserve"> Регламент (ЕС) 2019/2033 на Европейския парламент и на Съвета от 27 ноември 2 019 година относно пруденциалните изисквания за инвестиционните посредници и за изменение на регламенти (ЕС) № 1093/2010, (ЕС) № 575/2013, (ЕС) № 600/2014 и (ЕС) № 806/2014 (ОВ L 314, 5.12.2019 г., стр. 1).</w:t>
      </w:r>
    </w:p>
  </w:footnote>
  <w:footnote w:id="9">
    <w:p w14:paraId="7FE1D25E" w14:textId="77777777" w:rsidR="0001180E" w:rsidRDefault="0001180E" w:rsidP="00D93060">
      <w:pPr>
        <w:pStyle w:val="FootnoteText"/>
      </w:pPr>
      <w:r>
        <w:rPr>
          <w:rStyle w:val="FootnoteReference"/>
        </w:rPr>
        <w:footnoteRef/>
      </w:r>
      <w:r>
        <w:t xml:space="preserve"> Директива (ЕС) 2019/2034 на Европейския парламент и на Съвета от 27 ноември 2019 г. относно пруденциалния надзор върху инвестиционните посредници и за изменение на директиви 2002/87/ЕО, 2009/65/ЕО, 2011/61/ЕС, 2013/36/ЕС, 2014/59/ЕС и 2014/65/ЕС (ОВ L 314, 5.12.2019 г., стр. 64)</w:t>
      </w:r>
    </w:p>
  </w:footnote>
  <w:footnote w:id="10">
    <w:p w14:paraId="7FE1D25F" w14:textId="77777777" w:rsidR="0001180E" w:rsidRDefault="0001180E" w:rsidP="00D93060">
      <w:pPr>
        <w:pStyle w:val="FootnoteText"/>
      </w:pPr>
      <w:r>
        <w:rPr>
          <w:rStyle w:val="FootnoteReference"/>
          <w:rFonts w:ascii="Times New Roman" w:hAnsi="Times New Roman"/>
        </w:rPr>
        <w:footnoteRef/>
      </w:r>
      <w:r>
        <w:t xml:space="preserve"> 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(Текст от значение за ЕИП) (ОВ L 335, 17.12.2009 г., стр. 1).</w:t>
      </w:r>
    </w:p>
  </w:footnote>
  <w:footnote w:id="11">
    <w:p w14:paraId="11ABD6BE" w14:textId="66C28AD4" w:rsidR="0001180E" w:rsidRDefault="0001180E" w:rsidP="00D93060">
      <w:pPr>
        <w:pStyle w:val="FootnoteText"/>
      </w:pPr>
    </w:p>
  </w:footnote>
  <w:footnote w:id="12">
    <w:p w14:paraId="7FE1D261" w14:textId="77777777" w:rsidR="0001180E" w:rsidRDefault="0001180E" w:rsidP="00D93060">
      <w:pPr>
        <w:pStyle w:val="FootnoteText"/>
      </w:pPr>
      <w:r>
        <w:rPr>
          <w:rStyle w:val="FootnoteReference"/>
          <w:rFonts w:ascii="Times New Roman" w:hAnsi="Times New Roman"/>
        </w:rPr>
        <w:footnoteRef/>
      </w:r>
      <w:r>
        <w:t xml:space="preserve"> Препоръка на Комисията от 6 май 2003 г. относно определението за микро-, малки и средни предприятия (нотифицирано под номер C(2003) 1422) (ОВ L 124, 20.5.2003 г., стр. 36).</w:t>
      </w:r>
    </w:p>
  </w:footnote>
  <w:footnote w:id="13">
    <w:p w14:paraId="74BC1C09" w14:textId="2C5E1052" w:rsidR="0001180E" w:rsidRDefault="0001180E" w:rsidP="00D93060">
      <w:pPr>
        <w:pStyle w:val="FootnoteText"/>
      </w:pPr>
      <w:r>
        <w:rPr>
          <w:rStyle w:val="FootnoteReference"/>
        </w:rPr>
        <w:footnoteRef/>
      </w:r>
      <w:r>
        <w:t xml:space="preserve"> Директива 2014/65/ЕС на Европейския парламент и на Съвета от 15 май 2014 г. относно пазарите за финансови инструменти ( </w:t>
      </w:r>
      <w:r>
        <w:rPr>
          <w:rFonts w:hint="eastAsia"/>
        </w:rPr>
        <w:t>ОВ</w:t>
      </w:r>
      <w:r>
        <w:rPr>
          <w:rFonts w:hint="eastAsia"/>
        </w:rPr>
        <w:t xml:space="preserve"> L 173, 12.6.2014 </w:t>
      </w:r>
      <w:r>
        <w:rPr>
          <w:rFonts w:hint="eastAsia"/>
        </w:rPr>
        <w:t>г</w:t>
      </w:r>
      <w:r>
        <w:rPr>
          <w:rFonts w:hint="eastAsia"/>
        </w:rPr>
        <w:t xml:space="preserve">., </w:t>
      </w:r>
      <w:r>
        <w:rPr>
          <w:rFonts w:hint="eastAsia"/>
        </w:rPr>
        <w:t>стр</w:t>
      </w:r>
      <w:r>
        <w:rPr>
          <w:rFonts w:hint="eastAsia"/>
        </w:rPr>
        <w:t>. 349)</w:t>
      </w:r>
      <w:r>
        <w:t>.</w:t>
      </w:r>
    </w:p>
  </w:footnote>
  <w:footnote w:id="14">
    <w:p w14:paraId="7FE1D263" w14:textId="77777777" w:rsidR="0001180E" w:rsidRDefault="0001180E" w:rsidP="00D93060">
      <w:pPr>
        <w:pStyle w:val="FootnoteText"/>
      </w:pPr>
      <w:r>
        <w:rPr>
          <w:rStyle w:val="FootnoteReference"/>
        </w:rPr>
        <w:footnoteRef/>
      </w:r>
      <w:r>
        <w:t xml:space="preserve"> Директива 2014/59/ЕС на Европейския парламент и на Съвета от 15 май 2014 г. за създаване на рамка за възстановяване и преструктуриране на кредитни институции и инвестиционни посредници и за изменение на Директива 82/891/ЕИО на Съвета и директиви 2001/24/ЕО, 2002/47/ЕО, 2004/25/ЕО, 2005/56/ЕО, 2007/36/ЕО, 2011/35/ЕС, 2012/30/ЕС и 2013/36/ЕС и на регламенти (ЕС) № 1093/2010 и (ЕС) № 648/2012 на Европейския парламент и на Съвета (ОВ L 173, 12.6.2014 г., стр. 190).</w:t>
      </w:r>
    </w:p>
  </w:footnote>
  <w:footnote w:id="15">
    <w:p w14:paraId="7FE1D264" w14:textId="77777777" w:rsidR="0001180E" w:rsidRDefault="0001180E" w:rsidP="00D93060">
      <w:pPr>
        <w:pStyle w:val="FootnoteText"/>
      </w:pPr>
      <w:r>
        <w:rPr>
          <w:rStyle w:val="FootnoteReference"/>
        </w:rPr>
        <w:footnoteRef/>
      </w:r>
      <w:r>
        <w:t xml:space="preserve"> Директива 2014/49/ЕС на Европейския парламент и на Съвета от 16 април 2014 г. относно схемите за гарантиране на депозити (ОВ L 173, 12.6.2014 г., стр. 149).</w:t>
      </w:r>
    </w:p>
  </w:footnote>
  <w:footnote w:id="16">
    <w:p w14:paraId="7FE1D267" w14:textId="013411CF" w:rsidR="0001180E" w:rsidRDefault="0001180E" w:rsidP="00D93060">
      <w:pPr>
        <w:pStyle w:val="FootnoteText"/>
      </w:pPr>
      <w:r>
        <w:rPr>
          <w:rStyle w:val="FootnoteReference"/>
        </w:rPr>
        <w:footnoteRef/>
      </w:r>
      <w:r>
        <w:t xml:space="preserve"> Делегиран регламент (ЕС) 2016/1401 на Комисията от 23 май 2016 г. за допълване на Директива 2014/59/ЕС на Европейския парламент и на Съвета за създаване на рамка за възстановяване и преструктуриране на кредитни институции и инвестиционни посредници по отношение на регулаторните технически стандарти за методологиите и принципите на оценяване на задълженията, произтичащи от деривати (ОВ L 228, 23.8.2016 г., стр. 7).</w:t>
      </w:r>
    </w:p>
  </w:footnote>
  <w:footnote w:id="17">
    <w:p w14:paraId="223D6FF9" w14:textId="5FB954BF" w:rsidR="0001180E" w:rsidRDefault="0001180E" w:rsidP="00D93060">
      <w:pPr>
        <w:pStyle w:val="FootnoteText"/>
      </w:pPr>
    </w:p>
  </w:footnote>
  <w:footnote w:id="18">
    <w:p w14:paraId="7FE1D269" w14:textId="465C17D1" w:rsidR="0001180E" w:rsidRDefault="0001180E" w:rsidP="00D93060">
      <w:pPr>
        <w:pStyle w:val="FootnoteText"/>
      </w:pPr>
      <w:r>
        <w:rPr>
          <w:rStyle w:val="FootnoteReference"/>
        </w:rPr>
        <w:footnoteRef/>
      </w:r>
      <w:r>
        <w:t xml:space="preserve"> Делегиран регламент (ЕС) 2016/778 на Комисията от 2 февруари 2016 г. за допълване на Директива 2014/59/ЕС на Европейския парламент и на Съвета по отношение на обстоятелствата и условията, при които плащането на извънредните последващи вноски може да бъде частично или напълно отложено, както и по отношение на критериите за определяне на дейностите, услугите и операциите — във връзка с критичните функции, и за определяне на стопанските дейности и свързаните с тях услуги — във връзка с основните стопански дейности (ОВ L 131, 20.5.2016 г., стр. 41).</w:t>
      </w:r>
    </w:p>
  </w:footnote>
  <w:footnote w:id="19">
    <w:p w14:paraId="7FE1D26D" w14:textId="2FD85F83" w:rsidR="0001180E" w:rsidRDefault="0001180E" w:rsidP="00D93060">
      <w:pPr>
        <w:pStyle w:val="FootnoteText"/>
      </w:pPr>
      <w:r>
        <w:rPr>
          <w:rStyle w:val="FootnoteReference"/>
        </w:rPr>
        <w:footnoteRef/>
      </w:r>
      <w:r>
        <w:t xml:space="preserve"> 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(ОВ L 337, 23.12.2015 г., стр. 35).</w:t>
      </w:r>
    </w:p>
  </w:footnote>
  <w:footnote w:id="20">
    <w:p w14:paraId="7FE1D26E" w14:textId="6F2E6C37" w:rsidR="0001180E" w:rsidRDefault="0001180E" w:rsidP="00D93060">
      <w:pPr>
        <w:pStyle w:val="FootnoteText"/>
      </w:pPr>
      <w:r>
        <w:rPr>
          <w:rStyle w:val="FootnoteReference"/>
        </w:rPr>
        <w:footnoteRef/>
      </w:r>
      <w:r>
        <w:t xml:space="preserve"> Регламент (ЕС) № 648/2012 на Европейския парламент и на Съвета на 4 юли 2012 г. относно извънборсовите деривати, централните контрагенти и регистрите на транзакции (ОВ L 201, 27.7.2012 г., стр. 1).</w:t>
      </w:r>
    </w:p>
  </w:footnote>
  <w:footnote w:id="21">
    <w:p w14:paraId="234B5AE1" w14:textId="77F81637" w:rsidR="0001180E" w:rsidRDefault="0001180E" w:rsidP="00D93060">
      <w:pPr>
        <w:pStyle w:val="FootnoteText"/>
      </w:pPr>
      <w:r>
        <w:rPr>
          <w:rStyle w:val="FootnoteReference"/>
        </w:rPr>
        <w:footnoteRef/>
      </w:r>
      <w:r>
        <w:t xml:space="preserve"> Съгласно член 1, параграф 2 от Насоки (ЕС) 2021/835 на Европейската централна банка от 26 март 2021 г. за отмяна на Насоки ECB/2014/15 относно паричната и финансовата статистика (ECB/2021/16) позоваванията на отменените насоки се считат за позовавания на Насоки (ЕС) 2021/830 (ECB/2021/11), Насоки (ЕС) 2021/831 (ECB/2021/12), Насоки (ЕС) 2021/833 (ECB/2021/14), Насоки (ЕС) 2021/832 (ECB/2021/13) и Насоки (ЕС) 2021/834 (ECB/2021/15)</w:t>
      </w:r>
      <w:r>
        <w:rPr>
          <w:lang w:val="bg-BG"/>
        </w:rPr>
        <w:t xml:space="preserve"> според</w:t>
      </w:r>
      <w:r>
        <w:t xml:space="preserve"> случая и </w:t>
      </w:r>
      <w:r>
        <w:rPr>
          <w:lang w:val="bg-BG"/>
        </w:rPr>
        <w:t>съгласно</w:t>
      </w:r>
      <w:r>
        <w:t xml:space="preserve"> таблиците на съответствието в приложения II-VI.</w:t>
      </w:r>
    </w:p>
    <w:p w14:paraId="1CEA2D1A" w14:textId="77777777" w:rsidR="0001180E" w:rsidRDefault="0001180E" w:rsidP="00D93060">
      <w:pPr>
        <w:pStyle w:val="FootnoteText"/>
      </w:pPr>
    </w:p>
  </w:footnote>
  <w:footnote w:id="22">
    <w:p w14:paraId="7FE1D272" w14:textId="77777777" w:rsidR="0001180E" w:rsidRDefault="0001180E" w:rsidP="00D93060">
      <w:pPr>
        <w:pStyle w:val="FootnoteText"/>
      </w:pPr>
      <w:r>
        <w:footnoteRef/>
      </w:r>
      <w:r>
        <w:t xml:space="preserve"> Както е определено в точка 13 от Насоките на ЕБО относно възможността за преструктуриране</w:t>
      </w:r>
    </w:p>
  </w:footnote>
  <w:footnote w:id="23">
    <w:p w14:paraId="7FE1D273" w14:textId="60D312AD" w:rsidR="0001180E" w:rsidRDefault="0001180E" w:rsidP="00D93060">
      <w:pPr>
        <w:pStyle w:val="FootnoteText"/>
      </w:pPr>
      <w:r>
        <w:rPr>
          <w:rStyle w:val="FootnoteReference"/>
          <w:rFonts w:ascii="Verdana" w:hAnsi="Verdana"/>
          <w:sz w:val="16"/>
          <w:szCs w:val="16"/>
        </w:rPr>
        <w:footnoteRef/>
      </w:r>
      <w:r>
        <w:t xml:space="preserve"> Делегиран регламент (ЕС) 2016/778 на Комисията, член 6 и съображение (8).</w:t>
      </w:r>
    </w:p>
  </w:footnote>
  <w:footnote w:id="24">
    <w:p w14:paraId="7FE1D274" w14:textId="1C805137" w:rsidR="0001180E" w:rsidRDefault="0001180E" w:rsidP="00D93060">
      <w:pPr>
        <w:pStyle w:val="FootnoteText"/>
      </w:pPr>
      <w:r>
        <w:rPr>
          <w:rStyle w:val="FootnoteReference"/>
          <w:rFonts w:ascii="Verdana" w:hAnsi="Verdana"/>
          <w:sz w:val="16"/>
          <w:szCs w:val="16"/>
        </w:rPr>
        <w:footnoteRef/>
      </w:r>
      <w:r>
        <w:t xml:space="preserve"> Делегиран регламент (ЕС) 2016/778 на Комисията, член 7. </w:t>
      </w:r>
    </w:p>
  </w:footnote>
  <w:footnote w:id="25">
    <w:p w14:paraId="7FE1D275" w14:textId="0379416F" w:rsidR="0001180E" w:rsidRDefault="0001180E" w:rsidP="00D93060">
      <w:pPr>
        <w:pStyle w:val="FootnoteText"/>
      </w:pPr>
      <w:r>
        <w:footnoteRef/>
      </w:r>
      <w:r>
        <w:t xml:space="preserve"> Непрекъснатостта на </w:t>
      </w:r>
      <w:r>
        <w:rPr>
          <w:lang w:val="bg-BG"/>
        </w:rPr>
        <w:t>важните</w:t>
      </w:r>
      <w:r>
        <w:t xml:space="preserve"> услуги може да е необходима за постигане на цели на преструктурирането, различни от поддържането на критични функции (напр. финансова стабилност чрез гарантиране на жизнеспособността на субекта след преструктурирането). </w:t>
      </w:r>
    </w:p>
    <w:p w14:paraId="7FE1D276" w14:textId="77777777" w:rsidR="0001180E" w:rsidRDefault="0001180E" w:rsidP="00D93060">
      <w:pPr>
        <w:pStyle w:val="FootnoteText"/>
      </w:pPr>
    </w:p>
  </w:footnote>
  <w:footnote w:id="26">
    <w:p w14:paraId="7FE1D27C" w14:textId="4271789A" w:rsidR="0001180E" w:rsidRDefault="0001180E" w:rsidP="00D93060">
      <w:pPr>
        <w:pStyle w:val="FootnoteText"/>
        <w:rPr>
          <w:rFonts w:ascii="Segoe UI" w:hAnsi="Segoe UI" w:cs="Segoe UI"/>
        </w:rPr>
      </w:pPr>
      <w:r>
        <w:footnoteRef/>
      </w:r>
      <w:r>
        <w:t xml:space="preserve"> Разпоредбите на дял IV, глава VI от </w:t>
      </w:r>
      <w:r w:rsidRPr="00583157">
        <w:t xml:space="preserve">Директива 2014/59/ЕС </w:t>
      </w:r>
      <w:r>
        <w:t xml:space="preserve">предвиждат устойчивост </w:t>
      </w:r>
      <w:r>
        <w:rPr>
          <w:lang w:val="bg-BG"/>
        </w:rPr>
        <w:t>при</w:t>
      </w:r>
      <w:r>
        <w:t xml:space="preserve"> преструктурирането, по-специално в контекста на упражняването на правомощия от органа за преструктуриране, с изключение на изпълнението на плановете за оздравяване на дейността.</w:t>
      </w:r>
    </w:p>
  </w:footnote>
  <w:footnote w:id="27">
    <w:p w14:paraId="3F998E2E" w14:textId="7BDE8075" w:rsidR="0001180E" w:rsidRDefault="0001180E" w:rsidP="00D93060">
      <w:pPr>
        <w:pStyle w:val="FootnoteText"/>
      </w:pPr>
      <w:r>
        <w:rPr>
          <w:rStyle w:val="FootnoteReference"/>
        </w:rPr>
        <w:footnoteRef/>
      </w:r>
      <w:r>
        <w:t xml:space="preserve"> Регламент (ЕС) 2022/2554 на Европейския парламент и на Съвета от 14 декември 2022 г. относно оперативната устойчивост на цифровите технологии във финансовия сектор и за изменение на регламенти (ЕО) № 1060/2009, (ЕС) № 648/2012, (ЕС) № 600/2014, (ЕС) № 909/2014 и (ЕС) 2016/1011.</w:t>
      </w:r>
    </w:p>
    <w:p w14:paraId="3A2C28B9" w14:textId="00F04738" w:rsidR="0001180E" w:rsidRDefault="0001180E" w:rsidP="00D93060">
      <w:pPr>
        <w:pStyle w:val="FootnoteText"/>
      </w:pPr>
    </w:p>
  </w:footnote>
  <w:footnote w:id="28">
    <w:p w14:paraId="7FE1D27F" w14:textId="46545356" w:rsidR="0001180E" w:rsidRDefault="0001180E" w:rsidP="00D93060">
      <w:pPr>
        <w:pStyle w:val="FootnoteText"/>
        <w:rPr>
          <w:rFonts w:ascii="Segoe UI" w:hAnsi="Segoe UI" w:cs="Segoe UI"/>
        </w:rPr>
      </w:pPr>
      <w:r>
        <w:footnoteRef/>
      </w:r>
      <w:r>
        <w:t xml:space="preserve"> Разпоредбите на дял IV, глава VI от </w:t>
      </w:r>
      <w:r w:rsidRPr="00FD4998">
        <w:t xml:space="preserve">Директива 2014/59/ЕС </w:t>
      </w:r>
      <w:r>
        <w:t>предвиждат устойчивост на преструктурирането, по-специално в контекста на упражняването на правомощия от органа за преструктуриране, с изключение на изпълнението на плановете за оздравяване на дейността.</w:t>
      </w:r>
    </w:p>
  </w:footnote>
  <w:footnote w:id="29">
    <w:p w14:paraId="7FE1D280" w14:textId="77777777" w:rsidR="0001180E" w:rsidRDefault="0001180E">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Дългови ценни книжа, капиталови инструменти и други ценни книжа, репо сделки.</w:t>
      </w:r>
    </w:p>
  </w:footnote>
  <w:footnote w:id="30">
    <w:p w14:paraId="7FE1D281" w14:textId="5FDE3435" w:rsidR="0001180E" w:rsidRDefault="0001180E">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 xml:space="preserve">Многостранни системи или механизми, в които многобройни интереси на трети лица за покупка и продажба на финансови инструменти могат да взаимодействат в системата; За системите, разположени в ЕИП, това определение обхваща регулираните </w:t>
      </w:r>
      <w:r w:rsidRPr="00DC51BF">
        <w:rPr>
          <w:rFonts w:ascii="Times New Roman" w:eastAsiaTheme="minorEastAsia" w:hAnsi="Times New Roman" w:cs="Times New Roman"/>
          <w:sz w:val="18"/>
          <w:szCs w:val="18"/>
        </w:rPr>
        <w:t>пазари</w:t>
      </w:r>
      <w:r w:rsidRPr="00DC51BF">
        <w:rPr>
          <w:rFonts w:ascii="Times New Roman" w:hAnsi="Times New Roman"/>
          <w:sz w:val="18"/>
        </w:rPr>
        <w:t xml:space="preserve">, </w:t>
      </w:r>
      <w:r w:rsidRPr="00DC51BF">
        <w:rPr>
          <w:rFonts w:ascii="Times New Roman" w:hAnsi="Times New Roman"/>
          <w:sz w:val="18"/>
          <w:lang w:val="bg-BG"/>
        </w:rPr>
        <w:t>многостранни</w:t>
      </w:r>
      <w:r>
        <w:rPr>
          <w:rFonts w:ascii="Times New Roman" w:hAnsi="Times New Roman"/>
          <w:sz w:val="18"/>
          <w:lang w:val="bg-BG"/>
        </w:rPr>
        <w:t>те</w:t>
      </w:r>
      <w:r w:rsidRPr="00DC51BF">
        <w:rPr>
          <w:rFonts w:ascii="Times New Roman" w:hAnsi="Times New Roman"/>
          <w:sz w:val="18"/>
          <w:lang w:val="bg-BG"/>
        </w:rPr>
        <w:t xml:space="preserve"> системи за търговия (</w:t>
      </w:r>
      <w:r w:rsidRPr="00DC51BF">
        <w:rPr>
          <w:rFonts w:ascii="Times New Roman" w:hAnsi="Times New Roman"/>
          <w:sz w:val="18"/>
        </w:rPr>
        <w:t>МСТ</w:t>
      </w:r>
      <w:r w:rsidRPr="00DC51BF">
        <w:rPr>
          <w:rFonts w:ascii="Times New Roman" w:hAnsi="Times New Roman"/>
          <w:sz w:val="18"/>
          <w:lang w:val="bg-BG"/>
        </w:rPr>
        <w:t>)</w:t>
      </w:r>
      <w:r w:rsidRPr="00DC51BF">
        <w:rPr>
          <w:rFonts w:ascii="Times New Roman" w:hAnsi="Times New Roman"/>
          <w:sz w:val="18"/>
        </w:rPr>
        <w:t xml:space="preserve"> и</w:t>
      </w:r>
      <w:r>
        <w:rPr>
          <w:rFonts w:ascii="Times New Roman" w:hAnsi="Times New Roman"/>
          <w:sz w:val="18"/>
          <w:lang w:val="bg-BG"/>
        </w:rPr>
        <w:t xml:space="preserve"> организираните системи за търговия</w:t>
      </w:r>
      <w:r w:rsidRPr="00DC51BF">
        <w:rPr>
          <w:rFonts w:ascii="Times New Roman" w:hAnsi="Times New Roman"/>
          <w:sz w:val="18"/>
        </w:rPr>
        <w:t xml:space="preserve"> </w:t>
      </w:r>
      <w:r>
        <w:rPr>
          <w:rFonts w:ascii="Times New Roman" w:hAnsi="Times New Roman"/>
          <w:sz w:val="18"/>
          <w:lang w:val="bg-BG"/>
        </w:rPr>
        <w:t>(</w:t>
      </w:r>
      <w:r w:rsidRPr="00DC51BF">
        <w:rPr>
          <w:rFonts w:ascii="Times New Roman" w:hAnsi="Times New Roman"/>
          <w:sz w:val="18"/>
        </w:rPr>
        <w:t>ОСТ</w:t>
      </w:r>
      <w:r>
        <w:rPr>
          <w:rFonts w:ascii="Times New Roman" w:hAnsi="Times New Roman"/>
          <w:sz w:val="18"/>
          <w:lang w:val="bg-BG"/>
        </w:rPr>
        <w:t>)</w:t>
      </w:r>
      <w:r>
        <w:rPr>
          <w:rFonts w:ascii="Times New Roman" w:eastAsiaTheme="minorEastAsia" w:hAnsi="Times New Roman" w:cs="Times New Roman"/>
          <w:sz w:val="18"/>
          <w:szCs w:val="18"/>
        </w:rPr>
        <w:t>.</w:t>
      </w:r>
    </w:p>
  </w:footnote>
  <w:footnote w:id="31">
    <w:p w14:paraId="7FE1D282" w14:textId="77777777" w:rsidR="0001180E" w:rsidRDefault="0001180E">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Например Речник на ЕЦБ за плащанията и пазарите: Пряк участник: „участник в [...] система, който може да извършва всички разрешени в системата дейности, без да използва посредник (включително по-специално прякото въвеждане на нареждания в системата и извършването на операции по сетълмент).“; Непряк участник: „участник в [...] система с диференцирана структура, който използва пряк участник като посредник за изпълнение на някои от дейностите, позволени в системата (особено сетълмент)“.</w:t>
      </w:r>
    </w:p>
    <w:p w14:paraId="7FE1D283" w14:textId="77777777" w:rsidR="0001180E" w:rsidRDefault="0001180E" w:rsidP="00D93060">
      <w:pPr>
        <w:pStyle w:val="FootnoteText"/>
      </w:pPr>
    </w:p>
  </w:footnote>
  <w:footnote w:id="32">
    <w:p w14:paraId="7FE1D284" w14:textId="2C52A709" w:rsidR="0001180E" w:rsidRDefault="0001180E" w:rsidP="00D93060">
      <w:pPr>
        <w:pStyle w:val="FootnoteText"/>
      </w:pPr>
      <w:r>
        <w:rPr>
          <w:rStyle w:val="FootnoteReference"/>
        </w:rPr>
        <w:footnoteRef/>
      </w:r>
      <w:r>
        <w:t xml:space="preserve"> За определението за устойчивост </w:t>
      </w:r>
      <w:r>
        <w:rPr>
          <w:lang w:val="bg-BG"/>
        </w:rPr>
        <w:t>при</w:t>
      </w:r>
      <w:r>
        <w:t xml:space="preserve"> преструктуриране за целите на настоящия </w:t>
      </w:r>
      <w:r>
        <w:rPr>
          <w:lang w:val="bg-BG"/>
        </w:rPr>
        <w:t>отчет</w:t>
      </w:r>
      <w:r>
        <w:t xml:space="preserve"> вж. Z.08.01, колона 150.</w:t>
      </w:r>
    </w:p>
  </w:footnote>
  <w:footnote w:id="33">
    <w:p w14:paraId="7FE1D285" w14:textId="468E62AF" w:rsidR="0001180E" w:rsidRDefault="0001180E" w:rsidP="00D93060">
      <w:pPr>
        <w:pStyle w:val="FootnoteText"/>
      </w:pPr>
      <w:r>
        <w:rPr>
          <w:rStyle w:val="FootnoteReference"/>
        </w:rPr>
        <w:footnoteRef/>
      </w:r>
      <w:r>
        <w:t xml:space="preserve"> За целите на съответните показатели за </w:t>
      </w:r>
      <w:r>
        <w:rPr>
          <w:lang w:val="bg-BG"/>
        </w:rPr>
        <w:t>отчитане</w:t>
      </w:r>
      <w:r>
        <w:t xml:space="preserve"> „</w:t>
      </w:r>
      <w:r>
        <w:rPr>
          <w:lang w:val="bg-BG"/>
        </w:rPr>
        <w:t>К</w:t>
      </w:r>
      <w:r>
        <w:t>артови схеми</w:t>
      </w:r>
      <w:r>
        <w:rPr>
          <w:lang w:val="bg-BG"/>
        </w:rPr>
        <w:t>“</w:t>
      </w:r>
      <w:r>
        <w:t xml:space="preserve"> се приравняват на „</w:t>
      </w:r>
      <w:r>
        <w:rPr>
          <w:lang w:val="bg-BG"/>
        </w:rPr>
        <w:t>П</w:t>
      </w:r>
      <w:r>
        <w:t>латежни услуги“; „NA</w:t>
      </w:r>
      <w:r>
        <w:rPr>
          <w:lang w:val="bg-BG"/>
        </w:rPr>
        <w:t>“</w:t>
      </w:r>
      <w:r>
        <w:t xml:space="preserve"> се приравняват на „централни депозитари на ценни книжа</w:t>
      </w:r>
      <w:r>
        <w:rPr>
          <w:lang w:val="bg-BG"/>
        </w:rPr>
        <w:t>“</w:t>
      </w:r>
      <w:r>
        <w:t>, ако работят с ценни книжа, и „Платежни системи“, ако извършват услуги, свързани с пари в брой.</w:t>
      </w:r>
    </w:p>
  </w:footnote>
  <w:footnote w:id="34">
    <w:p w14:paraId="7FE1D286" w14:textId="6856A0E4" w:rsidR="0001180E" w:rsidRDefault="0001180E">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 xml:space="preserve">За целите на настоящия доклад значението на видовете сметки следва да се тълкува в съответствие с член 39 (4) и (5) от </w:t>
      </w:r>
      <w:r w:rsidRPr="00B4691F">
        <w:rPr>
          <w:rFonts w:ascii="Times New Roman" w:eastAsiaTheme="minorEastAsia" w:hAnsi="Times New Roman" w:cs="Times New Roman"/>
          <w:sz w:val="18"/>
          <w:szCs w:val="18"/>
        </w:rPr>
        <w:t>Регламент (ЕС) № 648/2012</w:t>
      </w:r>
      <w:r>
        <w:rPr>
          <w:rFonts w:ascii="Times New Roman" w:eastAsiaTheme="minorEastAsia" w:hAnsi="Times New Roman" w:cs="Times New Roman"/>
          <w:sz w:val="18"/>
          <w:szCs w:val="18"/>
        </w:rPr>
        <w:t xml:space="preserve">. Значението на позицията следва да се тълкува в съответствие с членове 2 (3), 39 (4) и 39 (5) от </w:t>
      </w:r>
      <w:r w:rsidRPr="001349A0">
        <w:rPr>
          <w:rFonts w:ascii="Times New Roman" w:eastAsiaTheme="minorEastAsia" w:hAnsi="Times New Roman" w:cs="Times New Roman"/>
          <w:sz w:val="18"/>
          <w:szCs w:val="18"/>
        </w:rPr>
        <w:t>Регламент (ЕС) № 648/2012</w:t>
      </w:r>
      <w:r>
        <w:rPr>
          <w:rFonts w:ascii="Times New Roman" w:eastAsiaTheme="minorEastAsia" w:hAnsi="Times New Roman" w:cs="Times New Roman"/>
          <w:sz w:val="18"/>
          <w:szCs w:val="18"/>
        </w:rPr>
        <w:t>. Клиентски сметки: докладва се само когато правният субект предоставя непряк достъп до ИФП.</w:t>
      </w:r>
    </w:p>
  </w:footnote>
  <w:footnote w:id="35">
    <w:p w14:paraId="7FE1D287" w14:textId="3A7731EF" w:rsidR="0001180E" w:rsidRDefault="0001180E" w:rsidP="00D93060">
      <w:pPr>
        <w:pStyle w:val="FootnoteText"/>
      </w:pPr>
      <w:r>
        <w:rPr>
          <w:rStyle w:val="FootnoteReference"/>
        </w:rPr>
        <w:footnoteRef/>
      </w:r>
      <w:r>
        <w:t xml:space="preserve"> </w:t>
      </w:r>
      <w:r>
        <w:rPr>
          <w:lang w:val="bg-BG"/>
        </w:rPr>
        <w:t>Виж:</w:t>
      </w:r>
      <w:r>
        <w:t xml:space="preserve"> Методологически бележки на ЕЦБ относно статистиката за търговията, клиринга и сетълмента с ценни книжа.</w:t>
      </w:r>
    </w:p>
  </w:footnote>
  <w:footnote w:id="36">
    <w:p w14:paraId="7FE1D289" w14:textId="77777777" w:rsidR="0001180E" w:rsidRDefault="0001180E" w:rsidP="00D93060">
      <w:pPr>
        <w:pStyle w:val="FootnoteText"/>
      </w:pPr>
      <w:r>
        <w:rPr>
          <w:rStyle w:val="FootnoteReference"/>
        </w:rPr>
        <w:footnoteRef/>
      </w:r>
      <w:r>
        <w:t xml:space="preserve"> Някои капиталови инструменти, като например кооперативните участия, не попадат в обхвата на определението за ценни книжа, но все пак следва да се отчитат тук.</w:t>
      </w:r>
    </w:p>
  </w:footnote>
  <w:footnote w:id="37">
    <w:p w14:paraId="73D4A63F" w14:textId="77777777" w:rsidR="0001180E" w:rsidRPr="00A31D3C" w:rsidRDefault="0001180E" w:rsidP="0046145A">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A31D3C">
        <w:rPr>
          <w:rFonts w:ascii="Verdana" w:hAnsi="Verdana"/>
          <w:bCs/>
          <w:sz w:val="16"/>
          <w:lang w:val="en-GB"/>
        </w:rPr>
        <w:t>Euronext Clearing is the new commercial name of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01180E" w:rsidRDefault="0001180E">
    <w:pPr>
      <w:pStyle w:val="Header"/>
    </w:pPr>
    <w:r w:rsidRPr="001118F2">
      <w:rPr>
        <w:noProof/>
        <w:lang w:val="bg-BG"/>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Текстово поле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01180E" w:rsidRDefault="0001180E">
                          <w:pPr>
                            <w:pStyle w:val="P68B1DB1-Normal93"/>
                          </w:pPr>
                          <w: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Текстово поле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01180E" w:rsidRDefault="0001180E">
                    <w:pPr>
                      <w:pStyle w:val="P68B1DB1-Normal93"/>
                    </w:pPr>
                    <w:r>
                      <w:t>Редовно използване от ЕБО</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01180E" w:rsidRDefault="0001180E">
    <w:pPr>
      <w:pStyle w:val="P68B1DB1-Header94"/>
      <w:jc w:val="center"/>
    </w:pPr>
    <w:r w:rsidRPr="001A79CE">
      <w:rPr>
        <w:noProof/>
        <w:lang w:val="bg-BG"/>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Текстово поле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01180E" w:rsidRDefault="0001180E">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Текстово поле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01180E" w:rsidRDefault="0001180E">
                    <w:pPr>
                      <w:rPr>
                        <w:rFonts w:ascii="Calibri" w:eastAsia="Calibri" w:hAnsi="Calibri" w:cs="Calibri"/>
                        <w:color w:val="000000"/>
                        <w:sz w:val="24"/>
                      </w:rPr>
                    </w:pPr>
                  </w:p>
                </w:txbxContent>
              </v:textbox>
              <w10:wrap type="square" anchorx="margin"/>
            </v:shape>
          </w:pict>
        </mc:Fallback>
      </mc:AlternateContent>
    </w:r>
    <w:r>
      <w:t>BG</w:t>
    </w:r>
  </w:p>
  <w:p w14:paraId="7FE1D24D" w14:textId="77777777" w:rsidR="0001180E" w:rsidRDefault="0001180E">
    <w:pPr>
      <w:pStyle w:val="P68B1DB1-Header94"/>
      <w:jc w:val="center"/>
    </w:pPr>
    <w:r>
      <w:t>ПРИЛОЖЕНИЕ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01180E" w:rsidRDefault="0001180E">
    <w:pPr>
      <w:pStyle w:val="Header"/>
    </w:pPr>
    <w:r w:rsidRPr="001A79CE">
      <w:rPr>
        <w:noProof/>
        <w:lang w:val="bg-BG"/>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Текстово поле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01180E" w:rsidRDefault="0001180E">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Текстово поле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01180E" w:rsidRDefault="0001180E">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9790E2A0"/>
    <w:lvl w:ilvl="0" w:tplc="4F04DCEE">
      <w:start w:val="1"/>
      <mc:AlternateContent>
        <mc:Choice Requires="w14">
          <w:numFmt w:val="custom" w:format="а, й, к, ..."/>
        </mc:Choice>
        <mc:Fallback>
          <w:numFmt w:val="decimal"/>
        </mc:Fallback>
      </mc:AlternateContent>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0D4759"/>
    <w:multiLevelType w:val="hybridMultilevel"/>
    <w:tmpl w:val="9790E2A0"/>
    <w:lvl w:ilvl="0" w:tplc="4F04DCEE">
      <w:start w:val="1"/>
      <mc:AlternateContent>
        <mc:Choice Requires="w14">
          <w:numFmt w:val="custom" w:format="а, й, к, ..."/>
        </mc:Choice>
        <mc:Fallback>
          <w:numFmt w:val="decimal"/>
        </mc:Fallback>
      </mc:AlternateContent>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3"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4"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5"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6"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7"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8"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0"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1"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3"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5"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6"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7"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8" w15:restartNumberingAfterBreak="0">
    <w:nsid w:val="2B2B3A92"/>
    <w:multiLevelType w:val="singleLevel"/>
    <w:tmpl w:val="73D64A0E"/>
    <w:name w:val="Considérant__1"/>
    <w:lvl w:ilvl="0">
      <w:numFmt w:val="decimal"/>
      <w:lvlRestart w:val="0"/>
      <w:pStyle w:val="Considrant"/>
      <w:lvlText w:val="(%1)"/>
      <w:lvlJc w:val="left"/>
    </w:lvl>
  </w:abstractNum>
  <w:abstractNum w:abstractNumId="89"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90"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1"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3"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4"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5"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6"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7"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8"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9"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1"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2"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3"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8"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0"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2"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7"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8"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9"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0"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3"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4"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8"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9"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0"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1"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2"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3"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6"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7"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8"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9"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40"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1"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2"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4"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5"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6"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7"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50"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1"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2"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3"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4"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5"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6"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7"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9"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2"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4"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5"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7"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9"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70"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2" w15:restartNumberingAfterBreak="0">
    <w:nsid w:val="5D387742"/>
    <w:multiLevelType w:val="hybridMultilevel"/>
    <w:tmpl w:val="54A0DE34"/>
    <w:lvl w:ilvl="0" w:tplc="AAE463B2">
      <w:start w:val="1"/>
      <w:numFmt w:val="decimal"/>
      <w:lvlText w:val="%1)"/>
      <w:lvlJc w:val="left"/>
      <w:pPr>
        <w:ind w:left="1800" w:hanging="360"/>
      </w:pPr>
      <w:rPr>
        <w:rFonts w:hint="default"/>
      </w:rPr>
    </w:lvl>
    <w:lvl w:ilvl="1" w:tplc="4F04DCEE">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4"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5"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6"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7"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8"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9"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2"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3"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5"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6"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7"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8"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9" w15:restartNumberingAfterBreak="0">
    <w:nsid w:val="67045AA4"/>
    <w:multiLevelType w:val="hybridMultilevel"/>
    <w:tmpl w:val="E4204802"/>
    <w:lvl w:ilvl="0" w:tplc="4F04DCE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1"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2"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3"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5"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6"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7"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8"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9"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0"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2"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4"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5"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6"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7"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9"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10"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1"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2"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3"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7"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8"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9"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1"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3"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6"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8"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9" w15:restartNumberingAfterBreak="0">
    <w:nsid w:val="7C257D43"/>
    <w:multiLevelType w:val="hybridMultilevel"/>
    <w:tmpl w:val="131A3232"/>
    <w:lvl w:ilvl="0" w:tplc="4F04DCEE">
      <w:start w:val="1"/>
      <mc:AlternateContent>
        <mc:Choice Requires="w14">
          <w:numFmt w:val="custom" w:format="а, й, к, ..."/>
        </mc:Choice>
        <mc:Fallback>
          <w:numFmt w:val="decimal"/>
        </mc:Fallback>
      </mc:AlternateContent>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30"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1"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2"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118925">
    <w:abstractNumId w:val="4"/>
  </w:num>
  <w:num w:numId="2" w16cid:durableId="1883788551">
    <w:abstractNumId w:val="47"/>
  </w:num>
  <w:num w:numId="3" w16cid:durableId="715591242">
    <w:abstractNumId w:val="149"/>
  </w:num>
  <w:num w:numId="4" w16cid:durableId="11229031">
    <w:abstractNumId w:val="228"/>
  </w:num>
  <w:num w:numId="5" w16cid:durableId="1747999026">
    <w:abstractNumId w:val="84"/>
  </w:num>
  <w:num w:numId="6" w16cid:durableId="1984650068">
    <w:abstractNumId w:val="140"/>
  </w:num>
  <w:num w:numId="7" w16cid:durableId="2041935513">
    <w:abstractNumId w:val="227"/>
  </w:num>
  <w:num w:numId="8" w16cid:durableId="330059625">
    <w:abstractNumId w:val="63"/>
  </w:num>
  <w:num w:numId="9" w16cid:durableId="182866790">
    <w:abstractNumId w:val="101"/>
  </w:num>
  <w:num w:numId="10" w16cid:durableId="1459179495">
    <w:abstractNumId w:val="37"/>
  </w:num>
  <w:num w:numId="11" w16cid:durableId="1831946851">
    <w:abstractNumId w:val="112"/>
  </w:num>
  <w:num w:numId="12" w16cid:durableId="621615151">
    <w:abstractNumId w:val="231"/>
  </w:num>
  <w:num w:numId="13" w16cid:durableId="608971971">
    <w:abstractNumId w:val="225"/>
  </w:num>
  <w:num w:numId="14" w16cid:durableId="950550216">
    <w:abstractNumId w:val="96"/>
  </w:num>
  <w:num w:numId="15" w16cid:durableId="230585556">
    <w:abstractNumId w:val="175"/>
  </w:num>
  <w:num w:numId="16" w16cid:durableId="243801710">
    <w:abstractNumId w:val="206"/>
  </w:num>
  <w:num w:numId="17" w16cid:durableId="1766920345">
    <w:abstractNumId w:val="56"/>
  </w:num>
  <w:num w:numId="18" w16cid:durableId="2069303944">
    <w:abstractNumId w:val="188"/>
  </w:num>
  <w:num w:numId="19" w16cid:durableId="895507754">
    <w:abstractNumId w:val="128"/>
  </w:num>
  <w:num w:numId="20" w16cid:durableId="1520856447">
    <w:abstractNumId w:val="38"/>
  </w:num>
  <w:num w:numId="21" w16cid:durableId="2086143291">
    <w:abstractNumId w:val="230"/>
  </w:num>
  <w:num w:numId="22" w16cid:durableId="1824345649">
    <w:abstractNumId w:val="102"/>
  </w:num>
  <w:num w:numId="23" w16cid:durableId="1109816584">
    <w:abstractNumId w:val="13"/>
  </w:num>
  <w:num w:numId="24" w16cid:durableId="45103552">
    <w:abstractNumId w:val="98"/>
  </w:num>
  <w:num w:numId="25" w16cid:durableId="1201937485">
    <w:abstractNumId w:val="15"/>
  </w:num>
  <w:num w:numId="26" w16cid:durableId="1941838755">
    <w:abstractNumId w:val="177"/>
  </w:num>
  <w:num w:numId="27" w16cid:durableId="1320233205">
    <w:abstractNumId w:val="209"/>
  </w:num>
  <w:num w:numId="28" w16cid:durableId="1680548119">
    <w:abstractNumId w:val="211"/>
  </w:num>
  <w:num w:numId="29" w16cid:durableId="1454788672">
    <w:abstractNumId w:val="204"/>
  </w:num>
  <w:num w:numId="30" w16cid:durableId="981695096">
    <w:abstractNumId w:val="76"/>
  </w:num>
  <w:num w:numId="31" w16cid:durableId="1091782810">
    <w:abstractNumId w:val="54"/>
  </w:num>
  <w:num w:numId="32" w16cid:durableId="282082067">
    <w:abstractNumId w:val="154"/>
  </w:num>
  <w:num w:numId="33" w16cid:durableId="311565300">
    <w:abstractNumId w:val="117"/>
  </w:num>
  <w:num w:numId="34" w16cid:durableId="1793590220">
    <w:abstractNumId w:val="24"/>
  </w:num>
  <w:num w:numId="35" w16cid:durableId="1624775311">
    <w:abstractNumId w:val="94"/>
  </w:num>
  <w:num w:numId="36" w16cid:durableId="469707671">
    <w:abstractNumId w:val="161"/>
  </w:num>
  <w:num w:numId="37" w16cid:durableId="1422870320">
    <w:abstractNumId w:val="36"/>
  </w:num>
  <w:num w:numId="38" w16cid:durableId="1198129938">
    <w:abstractNumId w:val="42"/>
  </w:num>
  <w:num w:numId="39" w16cid:durableId="977105515">
    <w:abstractNumId w:val="64"/>
  </w:num>
  <w:num w:numId="40" w16cid:durableId="1867714216">
    <w:abstractNumId w:val="174"/>
  </w:num>
  <w:num w:numId="41" w16cid:durableId="1997680474">
    <w:abstractNumId w:val="136"/>
  </w:num>
  <w:num w:numId="42" w16cid:durableId="118650804">
    <w:abstractNumId w:val="29"/>
  </w:num>
  <w:num w:numId="43" w16cid:durableId="1215509927">
    <w:abstractNumId w:val="134"/>
  </w:num>
  <w:num w:numId="44" w16cid:durableId="340010514">
    <w:abstractNumId w:val="11"/>
  </w:num>
  <w:num w:numId="45" w16cid:durableId="389571113">
    <w:abstractNumId w:val="93"/>
  </w:num>
  <w:num w:numId="46" w16cid:durableId="1195001147">
    <w:abstractNumId w:val="113"/>
  </w:num>
  <w:num w:numId="47" w16cid:durableId="1082875457">
    <w:abstractNumId w:val="213"/>
  </w:num>
  <w:num w:numId="48" w16cid:durableId="1717849283">
    <w:abstractNumId w:val="3"/>
  </w:num>
  <w:num w:numId="49" w16cid:durableId="1729719297">
    <w:abstractNumId w:val="199"/>
  </w:num>
  <w:num w:numId="50" w16cid:durableId="744692376">
    <w:abstractNumId w:val="0"/>
  </w:num>
  <w:num w:numId="51" w16cid:durableId="965159847">
    <w:abstractNumId w:val="88"/>
  </w:num>
  <w:num w:numId="52" w16cid:durableId="2028170570">
    <w:abstractNumId w:val="52"/>
  </w:num>
  <w:num w:numId="53" w16cid:durableId="1766146099">
    <w:abstractNumId w:val="59"/>
  </w:num>
  <w:num w:numId="54" w16cid:durableId="1122919266">
    <w:abstractNumId w:val="210"/>
  </w:num>
  <w:num w:numId="55" w16cid:durableId="1710301267">
    <w:abstractNumId w:val="107"/>
  </w:num>
  <w:num w:numId="56" w16cid:durableId="1170172189">
    <w:abstractNumId w:val="203"/>
  </w:num>
  <w:num w:numId="57" w16cid:durableId="1727143556">
    <w:abstractNumId w:val="199"/>
  </w:num>
  <w:num w:numId="58" w16cid:durableId="1272860167">
    <w:abstractNumId w:val="199"/>
  </w:num>
  <w:num w:numId="59" w16cid:durableId="1610307756">
    <w:abstractNumId w:val="44"/>
  </w:num>
  <w:num w:numId="60" w16cid:durableId="2078740804">
    <w:abstractNumId w:val="189"/>
  </w:num>
  <w:num w:numId="61" w16cid:durableId="944927515">
    <w:abstractNumId w:val="82"/>
  </w:num>
  <w:num w:numId="62" w16cid:durableId="2048674235">
    <w:abstractNumId w:val="165"/>
  </w:num>
  <w:num w:numId="63" w16cid:durableId="1872645647">
    <w:abstractNumId w:val="35"/>
  </w:num>
  <w:num w:numId="64" w16cid:durableId="190807143">
    <w:abstractNumId w:val="144"/>
  </w:num>
  <w:num w:numId="65" w16cid:durableId="358358842">
    <w:abstractNumId w:val="173"/>
  </w:num>
  <w:num w:numId="66" w16cid:durableId="387071824">
    <w:abstractNumId w:val="67"/>
  </w:num>
  <w:num w:numId="67" w16cid:durableId="883447732">
    <w:abstractNumId w:val="229"/>
  </w:num>
  <w:num w:numId="68" w16cid:durableId="601568970">
    <w:abstractNumId w:val="21"/>
  </w:num>
  <w:num w:numId="69" w16cid:durableId="1475681767">
    <w:abstractNumId w:val="141"/>
  </w:num>
  <w:num w:numId="70" w16cid:durableId="345638828">
    <w:abstractNumId w:val="97"/>
  </w:num>
  <w:num w:numId="71" w16cid:durableId="653724186">
    <w:abstractNumId w:val="139"/>
  </w:num>
  <w:num w:numId="72" w16cid:durableId="499783051">
    <w:abstractNumId w:val="58"/>
  </w:num>
  <w:num w:numId="73" w16cid:durableId="1426925219">
    <w:abstractNumId w:val="137"/>
  </w:num>
  <w:num w:numId="74" w16cid:durableId="1520317749">
    <w:abstractNumId w:val="166"/>
  </w:num>
  <w:num w:numId="75" w16cid:durableId="1550452642">
    <w:abstractNumId w:val="198"/>
  </w:num>
  <w:num w:numId="76" w16cid:durableId="2145806770">
    <w:abstractNumId w:val="62"/>
  </w:num>
  <w:num w:numId="77" w16cid:durableId="2110615277">
    <w:abstractNumId w:val="129"/>
  </w:num>
  <w:num w:numId="78" w16cid:durableId="477579394">
    <w:abstractNumId w:val="155"/>
  </w:num>
  <w:num w:numId="79" w16cid:durableId="1346206175">
    <w:abstractNumId w:val="45"/>
  </w:num>
  <w:num w:numId="80" w16cid:durableId="691959227">
    <w:abstractNumId w:val="68"/>
  </w:num>
  <w:num w:numId="81" w16cid:durableId="860437365">
    <w:abstractNumId w:val="162"/>
  </w:num>
  <w:num w:numId="82" w16cid:durableId="800880831">
    <w:abstractNumId w:val="199"/>
  </w:num>
  <w:num w:numId="83" w16cid:durableId="1164127083">
    <w:abstractNumId w:val="199"/>
  </w:num>
  <w:num w:numId="84" w16cid:durableId="1342663002">
    <w:abstractNumId w:val="199"/>
  </w:num>
  <w:num w:numId="85" w16cid:durableId="1615558835">
    <w:abstractNumId w:val="199"/>
  </w:num>
  <w:num w:numId="86" w16cid:durableId="508717778">
    <w:abstractNumId w:val="199"/>
  </w:num>
  <w:num w:numId="87" w16cid:durableId="1020931588">
    <w:abstractNumId w:val="199"/>
  </w:num>
  <w:num w:numId="88" w16cid:durableId="71142546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54893302">
    <w:abstractNumId w:val="105"/>
  </w:num>
  <w:num w:numId="90" w16cid:durableId="769860687">
    <w:abstractNumId w:val="58"/>
  </w:num>
  <w:num w:numId="91" w16cid:durableId="891892229">
    <w:abstractNumId w:val="199"/>
  </w:num>
  <w:num w:numId="92" w16cid:durableId="192571259">
    <w:abstractNumId w:val="199"/>
  </w:num>
  <w:num w:numId="93" w16cid:durableId="519590471">
    <w:abstractNumId w:val="58"/>
  </w:num>
  <w:num w:numId="94" w16cid:durableId="1675843301">
    <w:abstractNumId w:val="58"/>
  </w:num>
  <w:num w:numId="95" w16cid:durableId="1760518822">
    <w:abstractNumId w:val="58"/>
  </w:num>
  <w:num w:numId="96" w16cid:durableId="1411003007">
    <w:abstractNumId w:val="58"/>
  </w:num>
  <w:num w:numId="97" w16cid:durableId="377819995">
    <w:abstractNumId w:val="58"/>
  </w:num>
  <w:num w:numId="98" w16cid:durableId="796417296">
    <w:abstractNumId w:val="58"/>
  </w:num>
  <w:num w:numId="99" w16cid:durableId="971179748">
    <w:abstractNumId w:val="139"/>
  </w:num>
  <w:num w:numId="100" w16cid:durableId="1954439956">
    <w:abstractNumId w:val="58"/>
  </w:num>
  <w:num w:numId="101" w16cid:durableId="1080176693">
    <w:abstractNumId w:val="217"/>
  </w:num>
  <w:num w:numId="102" w16cid:durableId="519125182">
    <w:abstractNumId w:val="80"/>
  </w:num>
  <w:num w:numId="103" w16cid:durableId="1222398281">
    <w:abstractNumId w:val="191"/>
  </w:num>
  <w:num w:numId="104" w16cid:durableId="1758675034">
    <w:abstractNumId w:val="208"/>
  </w:num>
  <w:num w:numId="105" w16cid:durableId="436633325">
    <w:abstractNumId w:val="87"/>
  </w:num>
  <w:num w:numId="106" w16cid:durableId="84572011">
    <w:abstractNumId w:val="17"/>
  </w:num>
  <w:num w:numId="107" w16cid:durableId="1331910603">
    <w:abstractNumId w:val="130"/>
  </w:num>
  <w:num w:numId="108" w16cid:durableId="541477964">
    <w:abstractNumId w:val="43"/>
  </w:num>
  <w:num w:numId="109" w16cid:durableId="857738641">
    <w:abstractNumId w:val="195"/>
  </w:num>
  <w:num w:numId="110" w16cid:durableId="975989186">
    <w:abstractNumId w:val="178"/>
  </w:num>
  <w:num w:numId="111" w16cid:durableId="1192694436">
    <w:abstractNumId w:val="48"/>
  </w:num>
  <w:num w:numId="112" w16cid:durableId="251470448">
    <w:abstractNumId w:val="85"/>
  </w:num>
  <w:num w:numId="113" w16cid:durableId="645402341">
    <w:abstractNumId w:val="34"/>
  </w:num>
  <w:num w:numId="114" w16cid:durableId="1339191134">
    <w:abstractNumId w:val="23"/>
  </w:num>
  <w:num w:numId="115" w16cid:durableId="31417522">
    <w:abstractNumId w:val="132"/>
  </w:num>
  <w:num w:numId="116" w16cid:durableId="73363507">
    <w:abstractNumId w:val="25"/>
  </w:num>
  <w:num w:numId="117" w16cid:durableId="998464157">
    <w:abstractNumId w:val="118"/>
  </w:num>
  <w:num w:numId="118" w16cid:durableId="1887638884">
    <w:abstractNumId w:val="74"/>
  </w:num>
  <w:num w:numId="119" w16cid:durableId="816872598">
    <w:abstractNumId w:val="156"/>
  </w:num>
  <w:num w:numId="120" w16cid:durableId="361058159">
    <w:abstractNumId w:val="9"/>
  </w:num>
  <w:num w:numId="121" w16cid:durableId="605038004">
    <w:abstractNumId w:val="216"/>
  </w:num>
  <w:num w:numId="122" w16cid:durableId="926036370">
    <w:abstractNumId w:val="158"/>
  </w:num>
  <w:num w:numId="123" w16cid:durableId="753090110">
    <w:abstractNumId w:val="89"/>
  </w:num>
  <w:num w:numId="124" w16cid:durableId="1202129903">
    <w:abstractNumId w:val="20"/>
  </w:num>
  <w:num w:numId="125" w16cid:durableId="134414404">
    <w:abstractNumId w:val="197"/>
  </w:num>
  <w:num w:numId="126" w16cid:durableId="730153081">
    <w:abstractNumId w:val="151"/>
  </w:num>
  <w:num w:numId="127" w16cid:durableId="1739088209">
    <w:abstractNumId w:val="6"/>
  </w:num>
  <w:num w:numId="128" w16cid:durableId="593706417">
    <w:abstractNumId w:val="184"/>
  </w:num>
  <w:num w:numId="129" w16cid:durableId="423651595">
    <w:abstractNumId w:val="95"/>
  </w:num>
  <w:num w:numId="130" w16cid:durableId="523830616">
    <w:abstractNumId w:val="1"/>
  </w:num>
  <w:num w:numId="131" w16cid:durableId="1887915005">
    <w:abstractNumId w:val="138"/>
  </w:num>
  <w:num w:numId="132" w16cid:durableId="1598320980">
    <w:abstractNumId w:val="169"/>
  </w:num>
  <w:num w:numId="133" w16cid:durableId="1992060043">
    <w:abstractNumId w:val="69"/>
  </w:num>
  <w:num w:numId="134" w16cid:durableId="1439373617">
    <w:abstractNumId w:val="75"/>
  </w:num>
  <w:num w:numId="135" w16cid:durableId="556011752">
    <w:abstractNumId w:val="152"/>
  </w:num>
  <w:num w:numId="136" w16cid:durableId="1356299993">
    <w:abstractNumId w:val="153"/>
  </w:num>
  <w:num w:numId="137" w16cid:durableId="1119494198">
    <w:abstractNumId w:val="150"/>
  </w:num>
  <w:num w:numId="138" w16cid:durableId="1170676837">
    <w:abstractNumId w:val="2"/>
  </w:num>
  <w:num w:numId="139" w16cid:durableId="840706367">
    <w:abstractNumId w:val="131"/>
  </w:num>
  <w:num w:numId="140" w16cid:durableId="1707873243">
    <w:abstractNumId w:val="58"/>
  </w:num>
  <w:num w:numId="141" w16cid:durableId="1104227496">
    <w:abstractNumId w:val="123"/>
  </w:num>
  <w:num w:numId="142" w16cid:durableId="1993289925">
    <w:abstractNumId w:val="58"/>
  </w:num>
  <w:num w:numId="143" w16cid:durableId="1355837294">
    <w:abstractNumId w:val="58"/>
  </w:num>
  <w:num w:numId="144" w16cid:durableId="187911316">
    <w:abstractNumId w:val="58"/>
  </w:num>
  <w:num w:numId="145" w16cid:durableId="1208101878">
    <w:abstractNumId w:val="58"/>
  </w:num>
  <w:num w:numId="146" w16cid:durableId="976838266">
    <w:abstractNumId w:val="58"/>
  </w:num>
  <w:num w:numId="147" w16cid:durableId="1847474410">
    <w:abstractNumId w:val="58"/>
  </w:num>
  <w:num w:numId="148" w16cid:durableId="1171021276">
    <w:abstractNumId w:val="58"/>
  </w:num>
  <w:num w:numId="149" w16cid:durableId="386033865">
    <w:abstractNumId w:val="139"/>
  </w:num>
  <w:num w:numId="150" w16cid:durableId="1507359400">
    <w:abstractNumId w:val="139"/>
  </w:num>
  <w:num w:numId="151" w16cid:durableId="1518033024">
    <w:abstractNumId w:val="139"/>
  </w:num>
  <w:num w:numId="152" w16cid:durableId="697775969">
    <w:abstractNumId w:val="58"/>
  </w:num>
  <w:num w:numId="153" w16cid:durableId="1132672170">
    <w:abstractNumId w:val="182"/>
  </w:num>
  <w:num w:numId="154" w16cid:durableId="1137720586">
    <w:abstractNumId w:val="220"/>
  </w:num>
  <w:num w:numId="155" w16cid:durableId="100730374">
    <w:abstractNumId w:val="58"/>
  </w:num>
  <w:num w:numId="156" w16cid:durableId="1942953264">
    <w:abstractNumId w:val="58"/>
  </w:num>
  <w:num w:numId="157" w16cid:durableId="175965819">
    <w:abstractNumId w:val="58"/>
  </w:num>
  <w:num w:numId="158" w16cid:durableId="254367343">
    <w:abstractNumId w:val="199"/>
  </w:num>
  <w:num w:numId="159" w16cid:durableId="1345589010">
    <w:abstractNumId w:val="58"/>
  </w:num>
  <w:num w:numId="160" w16cid:durableId="497308943">
    <w:abstractNumId w:val="199"/>
  </w:num>
  <w:num w:numId="161" w16cid:durableId="1218782315">
    <w:abstractNumId w:val="139"/>
  </w:num>
  <w:num w:numId="162" w16cid:durableId="1391657744">
    <w:abstractNumId w:val="58"/>
  </w:num>
  <w:num w:numId="163" w16cid:durableId="1495608403">
    <w:abstractNumId w:val="58"/>
  </w:num>
  <w:num w:numId="164" w16cid:durableId="1759793986">
    <w:abstractNumId w:val="146"/>
  </w:num>
  <w:num w:numId="165" w16cid:durableId="1438867851">
    <w:abstractNumId w:val="40"/>
  </w:num>
  <w:num w:numId="166" w16cid:durableId="695352925">
    <w:abstractNumId w:val="55"/>
  </w:num>
  <w:num w:numId="167" w16cid:durableId="103113900">
    <w:abstractNumId w:val="164"/>
  </w:num>
  <w:num w:numId="168" w16cid:durableId="1561482916">
    <w:abstractNumId w:val="77"/>
  </w:num>
  <w:num w:numId="169" w16cid:durableId="1891529798">
    <w:abstractNumId w:val="116"/>
  </w:num>
  <w:num w:numId="170" w16cid:durableId="1890452060">
    <w:abstractNumId w:val="212"/>
  </w:num>
  <w:num w:numId="171" w16cid:durableId="483812203">
    <w:abstractNumId w:val="58"/>
  </w:num>
  <w:num w:numId="172" w16cid:durableId="1245258124">
    <w:abstractNumId w:val="58"/>
  </w:num>
  <w:num w:numId="173" w16cid:durableId="1287467598">
    <w:abstractNumId w:val="199"/>
  </w:num>
  <w:num w:numId="174" w16cid:durableId="1627352923">
    <w:abstractNumId w:val="163"/>
  </w:num>
  <w:num w:numId="175" w16cid:durableId="1324620460">
    <w:abstractNumId w:val="27"/>
  </w:num>
  <w:num w:numId="176" w16cid:durableId="1730419169">
    <w:abstractNumId w:val="58"/>
  </w:num>
  <w:num w:numId="177" w16cid:durableId="1971280960">
    <w:abstractNumId w:val="58"/>
  </w:num>
  <w:num w:numId="178" w16cid:durableId="1169759102">
    <w:abstractNumId w:val="199"/>
  </w:num>
  <w:num w:numId="179" w16cid:durableId="1324162624">
    <w:abstractNumId w:val="199"/>
  </w:num>
  <w:num w:numId="180" w16cid:durableId="1996178354">
    <w:abstractNumId w:val="61"/>
  </w:num>
  <w:num w:numId="181" w16cid:durableId="1475024292">
    <w:abstractNumId w:val="18"/>
  </w:num>
  <w:num w:numId="182" w16cid:durableId="355885959">
    <w:abstractNumId w:val="12"/>
  </w:num>
  <w:num w:numId="183" w16cid:durableId="1923178482">
    <w:abstractNumId w:val="16"/>
  </w:num>
  <w:num w:numId="184" w16cid:durableId="688524440">
    <w:abstractNumId w:val="73"/>
  </w:num>
  <w:num w:numId="185" w16cid:durableId="1759790797">
    <w:abstractNumId w:val="171"/>
  </w:num>
  <w:num w:numId="186" w16cid:durableId="243495630">
    <w:abstractNumId w:val="58"/>
  </w:num>
  <w:num w:numId="187" w16cid:durableId="724060284">
    <w:abstractNumId w:val="207"/>
  </w:num>
  <w:num w:numId="188" w16cid:durableId="471598747">
    <w:abstractNumId w:val="50"/>
  </w:num>
  <w:num w:numId="189" w16cid:durableId="25494385">
    <w:abstractNumId w:val="202"/>
  </w:num>
  <w:num w:numId="190" w16cid:durableId="18288640">
    <w:abstractNumId w:val="159"/>
  </w:num>
  <w:num w:numId="191" w16cid:durableId="1829244213">
    <w:abstractNumId w:val="58"/>
  </w:num>
  <w:num w:numId="192" w16cid:durableId="419527603">
    <w:abstractNumId w:val="71"/>
  </w:num>
  <w:num w:numId="193" w16cid:durableId="263539555">
    <w:abstractNumId w:val="111"/>
  </w:num>
  <w:num w:numId="194" w16cid:durableId="32970853">
    <w:abstractNumId w:val="181"/>
  </w:num>
  <w:num w:numId="195" w16cid:durableId="1844541011">
    <w:abstractNumId w:val="58"/>
  </w:num>
  <w:num w:numId="196" w16cid:durableId="1210801288">
    <w:abstractNumId w:val="58"/>
  </w:num>
  <w:num w:numId="197" w16cid:durableId="772898577">
    <w:abstractNumId w:val="58"/>
  </w:num>
  <w:num w:numId="198" w16cid:durableId="2098012714">
    <w:abstractNumId w:val="58"/>
  </w:num>
  <w:num w:numId="199" w16cid:durableId="1780569030">
    <w:abstractNumId w:val="58"/>
  </w:num>
  <w:num w:numId="200" w16cid:durableId="1328364758">
    <w:abstractNumId w:val="221"/>
  </w:num>
  <w:num w:numId="201" w16cid:durableId="45027293">
    <w:abstractNumId w:val="114"/>
  </w:num>
  <w:num w:numId="202" w16cid:durableId="1958443805">
    <w:abstractNumId w:val="31"/>
  </w:num>
  <w:num w:numId="203" w16cid:durableId="1431663830">
    <w:abstractNumId w:val="58"/>
  </w:num>
  <w:num w:numId="204" w16cid:durableId="2033456795">
    <w:abstractNumId w:val="58"/>
  </w:num>
  <w:num w:numId="205" w16cid:durableId="1717270441">
    <w:abstractNumId w:val="58"/>
  </w:num>
  <w:num w:numId="206" w16cid:durableId="1906599320">
    <w:abstractNumId w:val="90"/>
  </w:num>
  <w:num w:numId="207" w16cid:durableId="965813645">
    <w:abstractNumId w:val="14"/>
  </w:num>
  <w:num w:numId="208" w16cid:durableId="1877162282">
    <w:abstractNumId w:val="124"/>
  </w:num>
  <w:num w:numId="209" w16cid:durableId="1143814220">
    <w:abstractNumId w:val="143"/>
  </w:num>
  <w:num w:numId="210" w16cid:durableId="877744902">
    <w:abstractNumId w:val="218"/>
  </w:num>
  <w:num w:numId="211" w16cid:durableId="1089617149">
    <w:abstractNumId w:val="192"/>
  </w:num>
  <w:num w:numId="212" w16cid:durableId="359356384">
    <w:abstractNumId w:val="185"/>
  </w:num>
  <w:num w:numId="213" w16cid:durableId="1608200570">
    <w:abstractNumId w:val="157"/>
  </w:num>
  <w:num w:numId="214" w16cid:durableId="1938755036">
    <w:abstractNumId w:val="99"/>
  </w:num>
  <w:num w:numId="215" w16cid:durableId="1098604516">
    <w:abstractNumId w:val="104"/>
  </w:num>
  <w:num w:numId="216" w16cid:durableId="1867912531">
    <w:abstractNumId w:val="104"/>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979579046">
    <w:abstractNumId w:val="5"/>
  </w:num>
  <w:num w:numId="218" w16cid:durableId="73019111">
    <w:abstractNumId w:val="120"/>
  </w:num>
  <w:num w:numId="219" w16cid:durableId="1093553239">
    <w:abstractNumId w:val="219"/>
  </w:num>
  <w:num w:numId="220" w16cid:durableId="440146618">
    <w:abstractNumId w:val="19"/>
  </w:num>
  <w:num w:numId="221" w16cid:durableId="861358763">
    <w:abstractNumId w:val="222"/>
  </w:num>
  <w:num w:numId="222" w16cid:durableId="856500123">
    <w:abstractNumId w:val="224"/>
  </w:num>
  <w:num w:numId="223" w16cid:durableId="1115174644">
    <w:abstractNumId w:val="39"/>
  </w:num>
  <w:num w:numId="224" w16cid:durableId="1091049513">
    <w:abstractNumId w:val="183"/>
  </w:num>
  <w:num w:numId="225" w16cid:durableId="532033370">
    <w:abstractNumId w:val="65"/>
  </w:num>
  <w:num w:numId="226" w16cid:durableId="1046104203">
    <w:abstractNumId w:val="58"/>
  </w:num>
  <w:num w:numId="227" w16cid:durableId="988290623">
    <w:abstractNumId w:val="78"/>
  </w:num>
  <w:num w:numId="228" w16cid:durableId="1583444836">
    <w:abstractNumId w:val="81"/>
  </w:num>
  <w:num w:numId="229" w16cid:durableId="664940175">
    <w:abstractNumId w:val="110"/>
  </w:num>
  <w:num w:numId="230" w16cid:durableId="1249726175">
    <w:abstractNumId w:val="108"/>
  </w:num>
  <w:num w:numId="231" w16cid:durableId="1230458169">
    <w:abstractNumId w:val="83"/>
  </w:num>
  <w:num w:numId="232" w16cid:durableId="1621035255">
    <w:abstractNumId w:val="103"/>
  </w:num>
  <w:num w:numId="233" w16cid:durableId="1024406773">
    <w:abstractNumId w:val="172"/>
  </w:num>
  <w:num w:numId="234" w16cid:durableId="1922449432">
    <w:abstractNumId w:val="32"/>
  </w:num>
  <w:num w:numId="235" w16cid:durableId="321813167">
    <w:abstractNumId w:val="119"/>
  </w:num>
  <w:num w:numId="236" w16cid:durableId="54664162">
    <w:abstractNumId w:val="200"/>
  </w:num>
  <w:num w:numId="237" w16cid:durableId="2120637353">
    <w:abstractNumId w:val="66"/>
  </w:num>
  <w:num w:numId="238" w16cid:durableId="760757345">
    <w:abstractNumId w:val="147"/>
  </w:num>
  <w:num w:numId="239" w16cid:durableId="352731406">
    <w:abstractNumId w:val="179"/>
  </w:num>
  <w:num w:numId="240" w16cid:durableId="976376606">
    <w:abstractNumId w:val="22"/>
  </w:num>
  <w:num w:numId="241" w16cid:durableId="544372613">
    <w:abstractNumId w:val="176"/>
  </w:num>
  <w:num w:numId="242" w16cid:durableId="1294628822">
    <w:abstractNumId w:val="92"/>
  </w:num>
  <w:num w:numId="243" w16cid:durableId="2134863453">
    <w:abstractNumId w:val="187"/>
  </w:num>
  <w:num w:numId="244" w16cid:durableId="171573362">
    <w:abstractNumId w:val="193"/>
  </w:num>
  <w:num w:numId="245" w16cid:durableId="1646546814">
    <w:abstractNumId w:val="86"/>
  </w:num>
  <w:num w:numId="246" w16cid:durableId="1986858761">
    <w:abstractNumId w:val="122"/>
  </w:num>
  <w:num w:numId="247" w16cid:durableId="1662270977">
    <w:abstractNumId w:val="79"/>
  </w:num>
  <w:num w:numId="248" w16cid:durableId="530536918">
    <w:abstractNumId w:val="168"/>
  </w:num>
  <w:num w:numId="249" w16cid:durableId="1001809503">
    <w:abstractNumId w:val="167"/>
  </w:num>
  <w:num w:numId="250" w16cid:durableId="1479765680">
    <w:abstractNumId w:val="145"/>
  </w:num>
  <w:num w:numId="251" w16cid:durableId="137766344">
    <w:abstractNumId w:val="33"/>
  </w:num>
  <w:num w:numId="252" w16cid:durableId="1067923186">
    <w:abstractNumId w:val="93"/>
  </w:num>
  <w:num w:numId="253" w16cid:durableId="2009627134">
    <w:abstractNumId w:val="93"/>
  </w:num>
  <w:num w:numId="254" w16cid:durableId="1648589736">
    <w:abstractNumId w:val="93"/>
  </w:num>
  <w:num w:numId="255" w16cid:durableId="262037073">
    <w:abstractNumId w:val="133"/>
  </w:num>
  <w:num w:numId="256" w16cid:durableId="275676558">
    <w:abstractNumId w:val="180"/>
  </w:num>
  <w:num w:numId="257" w16cid:durableId="1615290288">
    <w:abstractNumId w:val="170"/>
  </w:num>
  <w:num w:numId="258" w16cid:durableId="1487937076">
    <w:abstractNumId w:val="199"/>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1581982429">
    <w:abstractNumId w:val="199"/>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90254061">
    <w:abstractNumId w:val="199"/>
  </w:num>
  <w:num w:numId="261" w16cid:durableId="189819722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807624845">
    <w:abstractNumId w:val="226"/>
  </w:num>
  <w:num w:numId="263" w16cid:durableId="781338314">
    <w:abstractNumId w:val="28"/>
  </w:num>
  <w:num w:numId="264" w16cid:durableId="2084787949">
    <w:abstractNumId w:val="46"/>
  </w:num>
  <w:num w:numId="265" w16cid:durableId="1979142659">
    <w:abstractNumId w:val="26"/>
  </w:num>
  <w:num w:numId="266" w16cid:durableId="1006715358">
    <w:abstractNumId w:val="91"/>
  </w:num>
  <w:num w:numId="267" w16cid:durableId="346949253">
    <w:abstractNumId w:val="125"/>
  </w:num>
  <w:num w:numId="268" w16cid:durableId="618415304">
    <w:abstractNumId w:val="10"/>
  </w:num>
  <w:num w:numId="269" w16cid:durableId="1649555632">
    <w:abstractNumId w:val="30"/>
  </w:num>
  <w:num w:numId="270" w16cid:durableId="1795707240">
    <w:abstractNumId w:val="7"/>
  </w:num>
  <w:num w:numId="271" w16cid:durableId="2119249583">
    <w:abstractNumId w:val="142"/>
  </w:num>
  <w:num w:numId="272" w16cid:durableId="10684861">
    <w:abstractNumId w:val="160"/>
  </w:num>
  <w:num w:numId="273" w16cid:durableId="740256659">
    <w:abstractNumId w:val="215"/>
  </w:num>
  <w:num w:numId="274" w16cid:durableId="1511263184">
    <w:abstractNumId w:val="49"/>
  </w:num>
  <w:num w:numId="275" w16cid:durableId="430661287">
    <w:abstractNumId w:val="148"/>
  </w:num>
  <w:num w:numId="276" w16cid:durableId="429861035">
    <w:abstractNumId w:val="126"/>
  </w:num>
  <w:num w:numId="277" w16cid:durableId="343172341">
    <w:abstractNumId w:val="232"/>
  </w:num>
  <w:num w:numId="278" w16cid:durableId="109133022">
    <w:abstractNumId w:val="51"/>
  </w:num>
  <w:num w:numId="279" w16cid:durableId="678774557">
    <w:abstractNumId w:val="194"/>
  </w:num>
  <w:num w:numId="280" w16cid:durableId="1532575940">
    <w:abstractNumId w:val="41"/>
  </w:num>
  <w:num w:numId="281" w16cid:durableId="1724599490">
    <w:abstractNumId w:val="8"/>
  </w:num>
  <w:num w:numId="282" w16cid:durableId="525680387">
    <w:abstractNumId w:val="223"/>
  </w:num>
  <w:num w:numId="283" w16cid:durableId="1813910552">
    <w:abstractNumId w:val="214"/>
  </w:num>
  <w:num w:numId="284" w16cid:durableId="800198284">
    <w:abstractNumId w:val="106"/>
  </w:num>
  <w:num w:numId="285" w16cid:durableId="1646012744">
    <w:abstractNumId w:val="53"/>
  </w:num>
  <w:num w:numId="286" w16cid:durableId="1228498112">
    <w:abstractNumId w:val="57"/>
  </w:num>
  <w:num w:numId="287" w16cid:durableId="1432159817">
    <w:abstractNumId w:val="121"/>
  </w:num>
  <w:num w:numId="288" w16cid:durableId="2048874129">
    <w:abstractNumId w:val="115"/>
  </w:num>
  <w:num w:numId="289" w16cid:durableId="413629882">
    <w:abstractNumId w:val="109"/>
  </w:num>
  <w:num w:numId="290" w16cid:durableId="431752862">
    <w:abstractNumId w:val="60"/>
  </w:num>
  <w:num w:numId="291" w16cid:durableId="2035766297">
    <w:abstractNumId w:val="135"/>
  </w:num>
  <w:num w:numId="292" w16cid:durableId="1044868483">
    <w:abstractNumId w:val="201"/>
  </w:num>
  <w:num w:numId="293" w16cid:durableId="1533570877">
    <w:abstractNumId w:val="186"/>
  </w:num>
  <w:num w:numId="294" w16cid:durableId="84960342">
    <w:abstractNumId w:val="190"/>
  </w:num>
  <w:num w:numId="295" w16cid:durableId="279538024">
    <w:abstractNumId w:val="72"/>
  </w:num>
  <w:num w:numId="296" w16cid:durableId="1471820383">
    <w:abstractNumId w:val="205"/>
  </w:num>
  <w:num w:numId="297" w16cid:durableId="921722695">
    <w:abstractNumId w:val="100"/>
  </w:num>
  <w:num w:numId="298" w16cid:durableId="1211267317">
    <w:abstractNumId w:val="196"/>
  </w:num>
  <w:num w:numId="299" w16cid:durableId="1005668398">
    <w:abstractNumId w:val="127"/>
  </w:num>
  <w:num w:numId="300" w16cid:durableId="351806829">
    <w:abstractNumId w:val="151"/>
    <w:lvlOverride w:ilvl="0"/>
    <w:lvlOverride w:ilvl="1">
      <w:startOverride w:val="1"/>
    </w:lvlOverride>
    <w:lvlOverride w:ilvl="2"/>
    <w:lvlOverride w:ilvl="3"/>
    <w:lvlOverride w:ilvl="4"/>
    <w:lvlOverride w:ilvl="5"/>
    <w:lvlOverride w:ilvl="6"/>
    <w:lvlOverride w:ilvl="7"/>
    <w:lvlOverride w:ilvl="8"/>
  </w:num>
  <w:num w:numId="301" w16cid:durableId="1276136231">
    <w:abstractNumId w:val="9"/>
    <w:lvlOverride w:ilvl="0"/>
    <w:lvlOverride w:ilvl="1">
      <w:startOverride w:val="1"/>
    </w:lvlOverride>
    <w:lvlOverride w:ilvl="2"/>
    <w:lvlOverride w:ilvl="3"/>
    <w:lvlOverride w:ilvl="4"/>
    <w:lvlOverride w:ilvl="5"/>
    <w:lvlOverride w:ilvl="6"/>
    <w:lvlOverride w:ilvl="7"/>
    <w:lvlOverride w:ilvl="8"/>
  </w:num>
  <w:num w:numId="302" w16cid:durableId="1689216753">
    <w:abstractNumId w:val="70"/>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1032"/>
    <w:rsid w:val="00002E32"/>
    <w:rsid w:val="00006C3C"/>
    <w:rsid w:val="0001180E"/>
    <w:rsid w:val="0001187F"/>
    <w:rsid w:val="00012EF3"/>
    <w:rsid w:val="000132A0"/>
    <w:rsid w:val="00014294"/>
    <w:rsid w:val="00014DA9"/>
    <w:rsid w:val="00016132"/>
    <w:rsid w:val="00024A40"/>
    <w:rsid w:val="00025FDA"/>
    <w:rsid w:val="0003338C"/>
    <w:rsid w:val="000349E7"/>
    <w:rsid w:val="00034B3E"/>
    <w:rsid w:val="00037EFB"/>
    <w:rsid w:val="0004098B"/>
    <w:rsid w:val="0004308A"/>
    <w:rsid w:val="000439C3"/>
    <w:rsid w:val="00047F7B"/>
    <w:rsid w:val="0005072A"/>
    <w:rsid w:val="00052047"/>
    <w:rsid w:val="00052532"/>
    <w:rsid w:val="00052947"/>
    <w:rsid w:val="00064141"/>
    <w:rsid w:val="00067680"/>
    <w:rsid w:val="00067CE5"/>
    <w:rsid w:val="00070B49"/>
    <w:rsid w:val="000712A1"/>
    <w:rsid w:val="0007178B"/>
    <w:rsid w:val="000735DA"/>
    <w:rsid w:val="0007729C"/>
    <w:rsid w:val="0007795B"/>
    <w:rsid w:val="0008026F"/>
    <w:rsid w:val="00081A0B"/>
    <w:rsid w:val="0008655F"/>
    <w:rsid w:val="00086811"/>
    <w:rsid w:val="00086C16"/>
    <w:rsid w:val="00093CF8"/>
    <w:rsid w:val="00095408"/>
    <w:rsid w:val="000955E4"/>
    <w:rsid w:val="0009561C"/>
    <w:rsid w:val="00096E15"/>
    <w:rsid w:val="00096E2F"/>
    <w:rsid w:val="000A2435"/>
    <w:rsid w:val="000A4612"/>
    <w:rsid w:val="000A659E"/>
    <w:rsid w:val="000A712F"/>
    <w:rsid w:val="000B00C3"/>
    <w:rsid w:val="000B0788"/>
    <w:rsid w:val="000B17AF"/>
    <w:rsid w:val="000B398C"/>
    <w:rsid w:val="000B3ECD"/>
    <w:rsid w:val="000B45B0"/>
    <w:rsid w:val="000B49FF"/>
    <w:rsid w:val="000C0E67"/>
    <w:rsid w:val="000C3F46"/>
    <w:rsid w:val="000C51EB"/>
    <w:rsid w:val="000C55CA"/>
    <w:rsid w:val="000C5E05"/>
    <w:rsid w:val="000D096F"/>
    <w:rsid w:val="000D1353"/>
    <w:rsid w:val="000D2CC5"/>
    <w:rsid w:val="000D3845"/>
    <w:rsid w:val="000D450F"/>
    <w:rsid w:val="000D5431"/>
    <w:rsid w:val="000D710C"/>
    <w:rsid w:val="000D7FEE"/>
    <w:rsid w:val="000E083F"/>
    <w:rsid w:val="000E1ED9"/>
    <w:rsid w:val="000E2EF2"/>
    <w:rsid w:val="000E2FDF"/>
    <w:rsid w:val="000E368D"/>
    <w:rsid w:val="000E50C4"/>
    <w:rsid w:val="000E5960"/>
    <w:rsid w:val="000E7694"/>
    <w:rsid w:val="000F126A"/>
    <w:rsid w:val="000F1F0F"/>
    <w:rsid w:val="000F5B99"/>
    <w:rsid w:val="00101568"/>
    <w:rsid w:val="0010332E"/>
    <w:rsid w:val="00106D24"/>
    <w:rsid w:val="00110076"/>
    <w:rsid w:val="00110CCD"/>
    <w:rsid w:val="001118F2"/>
    <w:rsid w:val="00112CCD"/>
    <w:rsid w:val="00114793"/>
    <w:rsid w:val="00116057"/>
    <w:rsid w:val="00116B58"/>
    <w:rsid w:val="00117CB0"/>
    <w:rsid w:val="0012152C"/>
    <w:rsid w:val="00124735"/>
    <w:rsid w:val="0012498E"/>
    <w:rsid w:val="001310BC"/>
    <w:rsid w:val="00132601"/>
    <w:rsid w:val="001349A0"/>
    <w:rsid w:val="00134B08"/>
    <w:rsid w:val="00136B8C"/>
    <w:rsid w:val="00140914"/>
    <w:rsid w:val="00140941"/>
    <w:rsid w:val="00151BE4"/>
    <w:rsid w:val="0015289A"/>
    <w:rsid w:val="001551F6"/>
    <w:rsid w:val="0015559B"/>
    <w:rsid w:val="001617D3"/>
    <w:rsid w:val="00162A23"/>
    <w:rsid w:val="00162CBD"/>
    <w:rsid w:val="00162E91"/>
    <w:rsid w:val="0016454D"/>
    <w:rsid w:val="00164AB4"/>
    <w:rsid w:val="001667F6"/>
    <w:rsid w:val="001710CB"/>
    <w:rsid w:val="00176568"/>
    <w:rsid w:val="001767FA"/>
    <w:rsid w:val="0017709A"/>
    <w:rsid w:val="00181496"/>
    <w:rsid w:val="001834A7"/>
    <w:rsid w:val="001866AB"/>
    <w:rsid w:val="00191356"/>
    <w:rsid w:val="00191A68"/>
    <w:rsid w:val="00191D94"/>
    <w:rsid w:val="00193473"/>
    <w:rsid w:val="00194860"/>
    <w:rsid w:val="001A06E7"/>
    <w:rsid w:val="001A22F9"/>
    <w:rsid w:val="001A2BB2"/>
    <w:rsid w:val="001A364A"/>
    <w:rsid w:val="001A3953"/>
    <w:rsid w:val="001A4E47"/>
    <w:rsid w:val="001A6519"/>
    <w:rsid w:val="001A685D"/>
    <w:rsid w:val="001A78EE"/>
    <w:rsid w:val="001A79CE"/>
    <w:rsid w:val="001B0D4C"/>
    <w:rsid w:val="001B0F20"/>
    <w:rsid w:val="001B15DD"/>
    <w:rsid w:val="001B2128"/>
    <w:rsid w:val="001B263B"/>
    <w:rsid w:val="001B4064"/>
    <w:rsid w:val="001B542E"/>
    <w:rsid w:val="001B54C3"/>
    <w:rsid w:val="001B6B3C"/>
    <w:rsid w:val="001B73DB"/>
    <w:rsid w:val="001C1EEE"/>
    <w:rsid w:val="001C2258"/>
    <w:rsid w:val="001C23C6"/>
    <w:rsid w:val="001D233C"/>
    <w:rsid w:val="001D45AF"/>
    <w:rsid w:val="001D5DAD"/>
    <w:rsid w:val="001D6ABC"/>
    <w:rsid w:val="001E11D9"/>
    <w:rsid w:val="001E1327"/>
    <w:rsid w:val="001E132E"/>
    <w:rsid w:val="001E3F27"/>
    <w:rsid w:val="001E4108"/>
    <w:rsid w:val="001E4281"/>
    <w:rsid w:val="001E7251"/>
    <w:rsid w:val="001F0302"/>
    <w:rsid w:val="001F16B5"/>
    <w:rsid w:val="001F4D48"/>
    <w:rsid w:val="00200BCB"/>
    <w:rsid w:val="00200EED"/>
    <w:rsid w:val="002022C0"/>
    <w:rsid w:val="00202CEF"/>
    <w:rsid w:val="00202F1E"/>
    <w:rsid w:val="0020455B"/>
    <w:rsid w:val="00204A18"/>
    <w:rsid w:val="00204F00"/>
    <w:rsid w:val="0020672D"/>
    <w:rsid w:val="00210B0C"/>
    <w:rsid w:val="00210B38"/>
    <w:rsid w:val="00214F95"/>
    <w:rsid w:val="00216175"/>
    <w:rsid w:val="002163CA"/>
    <w:rsid w:val="00217822"/>
    <w:rsid w:val="00223549"/>
    <w:rsid w:val="00225B62"/>
    <w:rsid w:val="002269AE"/>
    <w:rsid w:val="00231332"/>
    <w:rsid w:val="00231FF5"/>
    <w:rsid w:val="00232661"/>
    <w:rsid w:val="002328C3"/>
    <w:rsid w:val="00232FB5"/>
    <w:rsid w:val="00233A79"/>
    <w:rsid w:val="00235192"/>
    <w:rsid w:val="00235437"/>
    <w:rsid w:val="00235542"/>
    <w:rsid w:val="002415F5"/>
    <w:rsid w:val="002421B0"/>
    <w:rsid w:val="002431F9"/>
    <w:rsid w:val="002440D7"/>
    <w:rsid w:val="0024415A"/>
    <w:rsid w:val="00244DA4"/>
    <w:rsid w:val="00247EF6"/>
    <w:rsid w:val="00251181"/>
    <w:rsid w:val="002519F3"/>
    <w:rsid w:val="0025302B"/>
    <w:rsid w:val="002573F2"/>
    <w:rsid w:val="00260757"/>
    <w:rsid w:val="00267B45"/>
    <w:rsid w:val="0027278B"/>
    <w:rsid w:val="00272931"/>
    <w:rsid w:val="002730E4"/>
    <w:rsid w:val="00274660"/>
    <w:rsid w:val="002777DE"/>
    <w:rsid w:val="00280D42"/>
    <w:rsid w:val="00282FE6"/>
    <w:rsid w:val="00283DC8"/>
    <w:rsid w:val="002857B4"/>
    <w:rsid w:val="00286EA9"/>
    <w:rsid w:val="00287B75"/>
    <w:rsid w:val="002953AD"/>
    <w:rsid w:val="00295C4A"/>
    <w:rsid w:val="002A089A"/>
    <w:rsid w:val="002A1DEF"/>
    <w:rsid w:val="002A2B72"/>
    <w:rsid w:val="002A551F"/>
    <w:rsid w:val="002A7C80"/>
    <w:rsid w:val="002B3A04"/>
    <w:rsid w:val="002B47CE"/>
    <w:rsid w:val="002B58C1"/>
    <w:rsid w:val="002B59B2"/>
    <w:rsid w:val="002C0C63"/>
    <w:rsid w:val="002C1479"/>
    <w:rsid w:val="002C1525"/>
    <w:rsid w:val="002C219E"/>
    <w:rsid w:val="002C351F"/>
    <w:rsid w:val="002C3614"/>
    <w:rsid w:val="002C5138"/>
    <w:rsid w:val="002C5CD1"/>
    <w:rsid w:val="002C63AD"/>
    <w:rsid w:val="002C6579"/>
    <w:rsid w:val="002C7904"/>
    <w:rsid w:val="002D03EC"/>
    <w:rsid w:val="002D13CE"/>
    <w:rsid w:val="002D5D72"/>
    <w:rsid w:val="002D604B"/>
    <w:rsid w:val="002D6061"/>
    <w:rsid w:val="002D7199"/>
    <w:rsid w:val="002E014A"/>
    <w:rsid w:val="002E0741"/>
    <w:rsid w:val="002E09B3"/>
    <w:rsid w:val="002E4A16"/>
    <w:rsid w:val="002E4DCA"/>
    <w:rsid w:val="002E5BD3"/>
    <w:rsid w:val="002F0B38"/>
    <w:rsid w:val="002F0FD4"/>
    <w:rsid w:val="002F1021"/>
    <w:rsid w:val="002F4BCE"/>
    <w:rsid w:val="002F61BB"/>
    <w:rsid w:val="003016BA"/>
    <w:rsid w:val="003017C5"/>
    <w:rsid w:val="00302164"/>
    <w:rsid w:val="00302D31"/>
    <w:rsid w:val="00302EE7"/>
    <w:rsid w:val="00304D62"/>
    <w:rsid w:val="003057E6"/>
    <w:rsid w:val="00305939"/>
    <w:rsid w:val="003117F7"/>
    <w:rsid w:val="00316D31"/>
    <w:rsid w:val="003220B9"/>
    <w:rsid w:val="00322F3E"/>
    <w:rsid w:val="0032366B"/>
    <w:rsid w:val="003244DE"/>
    <w:rsid w:val="00324FDF"/>
    <w:rsid w:val="003251C4"/>
    <w:rsid w:val="0032589B"/>
    <w:rsid w:val="00326071"/>
    <w:rsid w:val="00326093"/>
    <w:rsid w:val="003272DE"/>
    <w:rsid w:val="00330DCA"/>
    <w:rsid w:val="00330E7C"/>
    <w:rsid w:val="00331543"/>
    <w:rsid w:val="00334C2C"/>
    <w:rsid w:val="00334FEF"/>
    <w:rsid w:val="00335FC5"/>
    <w:rsid w:val="00337A15"/>
    <w:rsid w:val="00340DEF"/>
    <w:rsid w:val="003428D6"/>
    <w:rsid w:val="003431EC"/>
    <w:rsid w:val="0034442D"/>
    <w:rsid w:val="00353F1E"/>
    <w:rsid w:val="00356EA2"/>
    <w:rsid w:val="0036111C"/>
    <w:rsid w:val="003642C7"/>
    <w:rsid w:val="003647F7"/>
    <w:rsid w:val="0036700A"/>
    <w:rsid w:val="0037274B"/>
    <w:rsid w:val="0037274F"/>
    <w:rsid w:val="003739F8"/>
    <w:rsid w:val="003766A4"/>
    <w:rsid w:val="00376BB0"/>
    <w:rsid w:val="00376C55"/>
    <w:rsid w:val="0037786D"/>
    <w:rsid w:val="00377F29"/>
    <w:rsid w:val="0038221B"/>
    <w:rsid w:val="00382CFE"/>
    <w:rsid w:val="00387BB7"/>
    <w:rsid w:val="003932C1"/>
    <w:rsid w:val="00393D7F"/>
    <w:rsid w:val="0039564C"/>
    <w:rsid w:val="00395F66"/>
    <w:rsid w:val="003A172A"/>
    <w:rsid w:val="003A53B6"/>
    <w:rsid w:val="003A709B"/>
    <w:rsid w:val="003A7E3F"/>
    <w:rsid w:val="003B08D4"/>
    <w:rsid w:val="003B278F"/>
    <w:rsid w:val="003B5031"/>
    <w:rsid w:val="003B7755"/>
    <w:rsid w:val="003C636B"/>
    <w:rsid w:val="003D3B9D"/>
    <w:rsid w:val="003D4409"/>
    <w:rsid w:val="003D455D"/>
    <w:rsid w:val="003D49F7"/>
    <w:rsid w:val="003D5851"/>
    <w:rsid w:val="003D675B"/>
    <w:rsid w:val="003D7458"/>
    <w:rsid w:val="003E04AE"/>
    <w:rsid w:val="003E102B"/>
    <w:rsid w:val="003E4C28"/>
    <w:rsid w:val="003E5FC6"/>
    <w:rsid w:val="003E7A80"/>
    <w:rsid w:val="003F155B"/>
    <w:rsid w:val="003F288C"/>
    <w:rsid w:val="003F41FA"/>
    <w:rsid w:val="003F79E6"/>
    <w:rsid w:val="00400A51"/>
    <w:rsid w:val="00401985"/>
    <w:rsid w:val="00404D70"/>
    <w:rsid w:val="004052C5"/>
    <w:rsid w:val="004058BA"/>
    <w:rsid w:val="004075DC"/>
    <w:rsid w:val="0041066B"/>
    <w:rsid w:val="004137DC"/>
    <w:rsid w:val="004172C5"/>
    <w:rsid w:val="00417791"/>
    <w:rsid w:val="00421462"/>
    <w:rsid w:val="00424283"/>
    <w:rsid w:val="00425EF9"/>
    <w:rsid w:val="004303DA"/>
    <w:rsid w:val="00432493"/>
    <w:rsid w:val="00434529"/>
    <w:rsid w:val="00436A0D"/>
    <w:rsid w:val="00436CDD"/>
    <w:rsid w:val="0044331B"/>
    <w:rsid w:val="00445059"/>
    <w:rsid w:val="00447285"/>
    <w:rsid w:val="00447BFA"/>
    <w:rsid w:val="0045129E"/>
    <w:rsid w:val="00451C75"/>
    <w:rsid w:val="0046145A"/>
    <w:rsid w:val="00461724"/>
    <w:rsid w:val="00462603"/>
    <w:rsid w:val="00462E34"/>
    <w:rsid w:val="00463619"/>
    <w:rsid w:val="00463638"/>
    <w:rsid w:val="00464F95"/>
    <w:rsid w:val="00465166"/>
    <w:rsid w:val="00465788"/>
    <w:rsid w:val="0046725B"/>
    <w:rsid w:val="004677D6"/>
    <w:rsid w:val="00471EFE"/>
    <w:rsid w:val="004739CA"/>
    <w:rsid w:val="004742D0"/>
    <w:rsid w:val="00474B54"/>
    <w:rsid w:val="004750A5"/>
    <w:rsid w:val="004755DA"/>
    <w:rsid w:val="00475861"/>
    <w:rsid w:val="00475F09"/>
    <w:rsid w:val="00483AA9"/>
    <w:rsid w:val="00486B37"/>
    <w:rsid w:val="0049464F"/>
    <w:rsid w:val="004949AC"/>
    <w:rsid w:val="00494F86"/>
    <w:rsid w:val="00495BB6"/>
    <w:rsid w:val="00496767"/>
    <w:rsid w:val="0049768F"/>
    <w:rsid w:val="00497D64"/>
    <w:rsid w:val="004A2F26"/>
    <w:rsid w:val="004A5E29"/>
    <w:rsid w:val="004B1578"/>
    <w:rsid w:val="004B2D45"/>
    <w:rsid w:val="004B5F95"/>
    <w:rsid w:val="004B735F"/>
    <w:rsid w:val="004C0469"/>
    <w:rsid w:val="004C0A3C"/>
    <w:rsid w:val="004C3C09"/>
    <w:rsid w:val="004C5154"/>
    <w:rsid w:val="004C75E0"/>
    <w:rsid w:val="004D3E4C"/>
    <w:rsid w:val="004E1A73"/>
    <w:rsid w:val="004E23DD"/>
    <w:rsid w:val="004E372E"/>
    <w:rsid w:val="004E3CCA"/>
    <w:rsid w:val="004E455F"/>
    <w:rsid w:val="004E46B2"/>
    <w:rsid w:val="004E5C2A"/>
    <w:rsid w:val="004E766E"/>
    <w:rsid w:val="004F02CF"/>
    <w:rsid w:val="004F0DD5"/>
    <w:rsid w:val="004F32F2"/>
    <w:rsid w:val="004F653D"/>
    <w:rsid w:val="004F6F69"/>
    <w:rsid w:val="00501129"/>
    <w:rsid w:val="00501A13"/>
    <w:rsid w:val="005020C0"/>
    <w:rsid w:val="0050242D"/>
    <w:rsid w:val="00502E13"/>
    <w:rsid w:val="00503C9E"/>
    <w:rsid w:val="0050407F"/>
    <w:rsid w:val="005128D9"/>
    <w:rsid w:val="00514365"/>
    <w:rsid w:val="00514D91"/>
    <w:rsid w:val="00515279"/>
    <w:rsid w:val="00517F9D"/>
    <w:rsid w:val="005279CA"/>
    <w:rsid w:val="00531F46"/>
    <w:rsid w:val="005327AD"/>
    <w:rsid w:val="00532904"/>
    <w:rsid w:val="00533D8F"/>
    <w:rsid w:val="00534625"/>
    <w:rsid w:val="00540767"/>
    <w:rsid w:val="0054084B"/>
    <w:rsid w:val="00541BD5"/>
    <w:rsid w:val="00553757"/>
    <w:rsid w:val="00555315"/>
    <w:rsid w:val="00555393"/>
    <w:rsid w:val="00555CBA"/>
    <w:rsid w:val="00556044"/>
    <w:rsid w:val="00557032"/>
    <w:rsid w:val="005570FE"/>
    <w:rsid w:val="005605B4"/>
    <w:rsid w:val="005663BF"/>
    <w:rsid w:val="00566B79"/>
    <w:rsid w:val="00573C1C"/>
    <w:rsid w:val="0057407D"/>
    <w:rsid w:val="00575A7F"/>
    <w:rsid w:val="00576C90"/>
    <w:rsid w:val="00577491"/>
    <w:rsid w:val="00582A46"/>
    <w:rsid w:val="00583157"/>
    <w:rsid w:val="00584116"/>
    <w:rsid w:val="00584D68"/>
    <w:rsid w:val="00585143"/>
    <w:rsid w:val="005857F2"/>
    <w:rsid w:val="005867A4"/>
    <w:rsid w:val="00591328"/>
    <w:rsid w:val="00591C4E"/>
    <w:rsid w:val="00592250"/>
    <w:rsid w:val="005938A6"/>
    <w:rsid w:val="00597011"/>
    <w:rsid w:val="005A126D"/>
    <w:rsid w:val="005A39B4"/>
    <w:rsid w:val="005A6742"/>
    <w:rsid w:val="005A7AC4"/>
    <w:rsid w:val="005B079F"/>
    <w:rsid w:val="005B152A"/>
    <w:rsid w:val="005B2566"/>
    <w:rsid w:val="005B44BC"/>
    <w:rsid w:val="005B5701"/>
    <w:rsid w:val="005B6CC9"/>
    <w:rsid w:val="005C09DC"/>
    <w:rsid w:val="005C0FFB"/>
    <w:rsid w:val="005C244C"/>
    <w:rsid w:val="005C2914"/>
    <w:rsid w:val="005C343C"/>
    <w:rsid w:val="005C354D"/>
    <w:rsid w:val="005C4416"/>
    <w:rsid w:val="005C7F2A"/>
    <w:rsid w:val="005D0F83"/>
    <w:rsid w:val="005D3243"/>
    <w:rsid w:val="005D380E"/>
    <w:rsid w:val="005D4884"/>
    <w:rsid w:val="005D5854"/>
    <w:rsid w:val="005E0C23"/>
    <w:rsid w:val="005E4C5E"/>
    <w:rsid w:val="005E5FC9"/>
    <w:rsid w:val="005E6457"/>
    <w:rsid w:val="005E6DE7"/>
    <w:rsid w:val="005E7CA9"/>
    <w:rsid w:val="005F0882"/>
    <w:rsid w:val="005F51FC"/>
    <w:rsid w:val="005F676F"/>
    <w:rsid w:val="005F7477"/>
    <w:rsid w:val="005F794D"/>
    <w:rsid w:val="00600FBA"/>
    <w:rsid w:val="00601847"/>
    <w:rsid w:val="00602255"/>
    <w:rsid w:val="00602E41"/>
    <w:rsid w:val="00604C4E"/>
    <w:rsid w:val="00606AC4"/>
    <w:rsid w:val="006128BC"/>
    <w:rsid w:val="0061505B"/>
    <w:rsid w:val="00616DFD"/>
    <w:rsid w:val="006173BC"/>
    <w:rsid w:val="00617798"/>
    <w:rsid w:val="00624C45"/>
    <w:rsid w:val="00627519"/>
    <w:rsid w:val="00627725"/>
    <w:rsid w:val="006277CC"/>
    <w:rsid w:val="00632077"/>
    <w:rsid w:val="0063285F"/>
    <w:rsid w:val="00633EAC"/>
    <w:rsid w:val="00634F58"/>
    <w:rsid w:val="00635B6A"/>
    <w:rsid w:val="00636370"/>
    <w:rsid w:val="006414DF"/>
    <w:rsid w:val="00642CE2"/>
    <w:rsid w:val="006445F0"/>
    <w:rsid w:val="00645AF6"/>
    <w:rsid w:val="00645B82"/>
    <w:rsid w:val="00645F48"/>
    <w:rsid w:val="006516A1"/>
    <w:rsid w:val="00653633"/>
    <w:rsid w:val="00653AB3"/>
    <w:rsid w:val="00654675"/>
    <w:rsid w:val="006548BF"/>
    <w:rsid w:val="00660714"/>
    <w:rsid w:val="006620BE"/>
    <w:rsid w:val="0066255E"/>
    <w:rsid w:val="00663428"/>
    <w:rsid w:val="006637BA"/>
    <w:rsid w:val="00663D76"/>
    <w:rsid w:val="0066407F"/>
    <w:rsid w:val="00664890"/>
    <w:rsid w:val="00665069"/>
    <w:rsid w:val="00672C52"/>
    <w:rsid w:val="0067301A"/>
    <w:rsid w:val="00674417"/>
    <w:rsid w:val="006773D5"/>
    <w:rsid w:val="00681B11"/>
    <w:rsid w:val="0068249E"/>
    <w:rsid w:val="006827D4"/>
    <w:rsid w:val="0068749C"/>
    <w:rsid w:val="00690385"/>
    <w:rsid w:val="00690D87"/>
    <w:rsid w:val="00694C74"/>
    <w:rsid w:val="00694D43"/>
    <w:rsid w:val="00695A00"/>
    <w:rsid w:val="006971C2"/>
    <w:rsid w:val="006A0AA6"/>
    <w:rsid w:val="006A352F"/>
    <w:rsid w:val="006B1BE2"/>
    <w:rsid w:val="006B2086"/>
    <w:rsid w:val="006B21E5"/>
    <w:rsid w:val="006B26C2"/>
    <w:rsid w:val="006B2F04"/>
    <w:rsid w:val="006B627B"/>
    <w:rsid w:val="006C1571"/>
    <w:rsid w:val="006C3858"/>
    <w:rsid w:val="006C38A3"/>
    <w:rsid w:val="006C5602"/>
    <w:rsid w:val="006C57D3"/>
    <w:rsid w:val="006C5E0F"/>
    <w:rsid w:val="006C5EF9"/>
    <w:rsid w:val="006C6FAD"/>
    <w:rsid w:val="006D2A14"/>
    <w:rsid w:val="006D583D"/>
    <w:rsid w:val="006D7731"/>
    <w:rsid w:val="006E0E9C"/>
    <w:rsid w:val="006E1646"/>
    <w:rsid w:val="006E18FD"/>
    <w:rsid w:val="006E32CE"/>
    <w:rsid w:val="006E45A2"/>
    <w:rsid w:val="006F00E1"/>
    <w:rsid w:val="006F1C4E"/>
    <w:rsid w:val="006F2AA5"/>
    <w:rsid w:val="006F3704"/>
    <w:rsid w:val="00700303"/>
    <w:rsid w:val="00701F36"/>
    <w:rsid w:val="00702E23"/>
    <w:rsid w:val="00705D12"/>
    <w:rsid w:val="00707805"/>
    <w:rsid w:val="00714292"/>
    <w:rsid w:val="007153E3"/>
    <w:rsid w:val="00715500"/>
    <w:rsid w:val="00715738"/>
    <w:rsid w:val="00715DCD"/>
    <w:rsid w:val="00722396"/>
    <w:rsid w:val="00725BF8"/>
    <w:rsid w:val="007279AB"/>
    <w:rsid w:val="00730DE1"/>
    <w:rsid w:val="007333D6"/>
    <w:rsid w:val="00733471"/>
    <w:rsid w:val="007335D2"/>
    <w:rsid w:val="007374F5"/>
    <w:rsid w:val="00737DF9"/>
    <w:rsid w:val="007408A3"/>
    <w:rsid w:val="00744CB2"/>
    <w:rsid w:val="00745708"/>
    <w:rsid w:val="00750741"/>
    <w:rsid w:val="00753CA4"/>
    <w:rsid w:val="00756816"/>
    <w:rsid w:val="00765313"/>
    <w:rsid w:val="00765B62"/>
    <w:rsid w:val="0077450C"/>
    <w:rsid w:val="007769BA"/>
    <w:rsid w:val="0078112D"/>
    <w:rsid w:val="00783549"/>
    <w:rsid w:val="00783C45"/>
    <w:rsid w:val="0078592E"/>
    <w:rsid w:val="00785F50"/>
    <w:rsid w:val="00790232"/>
    <w:rsid w:val="00793939"/>
    <w:rsid w:val="007956E0"/>
    <w:rsid w:val="00796159"/>
    <w:rsid w:val="007961F7"/>
    <w:rsid w:val="00797936"/>
    <w:rsid w:val="007A2444"/>
    <w:rsid w:val="007A4099"/>
    <w:rsid w:val="007A4B70"/>
    <w:rsid w:val="007A50E2"/>
    <w:rsid w:val="007B0136"/>
    <w:rsid w:val="007B1E9F"/>
    <w:rsid w:val="007B4458"/>
    <w:rsid w:val="007C03B1"/>
    <w:rsid w:val="007C0B7B"/>
    <w:rsid w:val="007C64F6"/>
    <w:rsid w:val="007C6830"/>
    <w:rsid w:val="007D0552"/>
    <w:rsid w:val="007D49D4"/>
    <w:rsid w:val="007D6C6B"/>
    <w:rsid w:val="007E1784"/>
    <w:rsid w:val="007F0366"/>
    <w:rsid w:val="007F1E4B"/>
    <w:rsid w:val="007F285A"/>
    <w:rsid w:val="007F2FA3"/>
    <w:rsid w:val="007F379F"/>
    <w:rsid w:val="007F4C38"/>
    <w:rsid w:val="00800575"/>
    <w:rsid w:val="00800622"/>
    <w:rsid w:val="00802AA7"/>
    <w:rsid w:val="00806652"/>
    <w:rsid w:val="00810499"/>
    <w:rsid w:val="0082067D"/>
    <w:rsid w:val="00821FB1"/>
    <w:rsid w:val="008220E4"/>
    <w:rsid w:val="00826FE9"/>
    <w:rsid w:val="008321D5"/>
    <w:rsid w:val="00842DB5"/>
    <w:rsid w:val="008454FF"/>
    <w:rsid w:val="00845A95"/>
    <w:rsid w:val="00846A67"/>
    <w:rsid w:val="00854030"/>
    <w:rsid w:val="00864B76"/>
    <w:rsid w:val="00865FF1"/>
    <w:rsid w:val="00874092"/>
    <w:rsid w:val="00875E09"/>
    <w:rsid w:val="008827A2"/>
    <w:rsid w:val="00884A0A"/>
    <w:rsid w:val="00884CFF"/>
    <w:rsid w:val="00885AFD"/>
    <w:rsid w:val="00887021"/>
    <w:rsid w:val="00887877"/>
    <w:rsid w:val="008945A2"/>
    <w:rsid w:val="008959FF"/>
    <w:rsid w:val="00895F11"/>
    <w:rsid w:val="00896C82"/>
    <w:rsid w:val="0089794A"/>
    <w:rsid w:val="00897953"/>
    <w:rsid w:val="008A017A"/>
    <w:rsid w:val="008A0CAD"/>
    <w:rsid w:val="008A5C32"/>
    <w:rsid w:val="008A683F"/>
    <w:rsid w:val="008B0709"/>
    <w:rsid w:val="008B0FBE"/>
    <w:rsid w:val="008B1259"/>
    <w:rsid w:val="008B40A2"/>
    <w:rsid w:val="008B4771"/>
    <w:rsid w:val="008B796D"/>
    <w:rsid w:val="008C1292"/>
    <w:rsid w:val="008C2E26"/>
    <w:rsid w:val="008C6287"/>
    <w:rsid w:val="008D2A6E"/>
    <w:rsid w:val="008D593A"/>
    <w:rsid w:val="008D5DCB"/>
    <w:rsid w:val="008D6C66"/>
    <w:rsid w:val="008D71D6"/>
    <w:rsid w:val="008D759B"/>
    <w:rsid w:val="008D7B5B"/>
    <w:rsid w:val="008E3E19"/>
    <w:rsid w:val="008E5835"/>
    <w:rsid w:val="008E78DF"/>
    <w:rsid w:val="008F0F47"/>
    <w:rsid w:val="008F5545"/>
    <w:rsid w:val="008F7061"/>
    <w:rsid w:val="008F7FC7"/>
    <w:rsid w:val="00901F88"/>
    <w:rsid w:val="009039F8"/>
    <w:rsid w:val="00904039"/>
    <w:rsid w:val="00904640"/>
    <w:rsid w:val="0090537A"/>
    <w:rsid w:val="0091139C"/>
    <w:rsid w:val="00911808"/>
    <w:rsid w:val="00911BEF"/>
    <w:rsid w:val="009125C2"/>
    <w:rsid w:val="0091576B"/>
    <w:rsid w:val="0091601D"/>
    <w:rsid w:val="009161C2"/>
    <w:rsid w:val="00917B2C"/>
    <w:rsid w:val="00920103"/>
    <w:rsid w:val="00923528"/>
    <w:rsid w:val="00924979"/>
    <w:rsid w:val="00924DFF"/>
    <w:rsid w:val="0092703F"/>
    <w:rsid w:val="00931D6E"/>
    <w:rsid w:val="00935742"/>
    <w:rsid w:val="0093617B"/>
    <w:rsid w:val="00942CB0"/>
    <w:rsid w:val="009436B6"/>
    <w:rsid w:val="0094521E"/>
    <w:rsid w:val="00946BEA"/>
    <w:rsid w:val="00953F62"/>
    <w:rsid w:val="00954BF8"/>
    <w:rsid w:val="00954F1A"/>
    <w:rsid w:val="00956AFD"/>
    <w:rsid w:val="00956CAC"/>
    <w:rsid w:val="00956F85"/>
    <w:rsid w:val="0096582A"/>
    <w:rsid w:val="0096588D"/>
    <w:rsid w:val="00965969"/>
    <w:rsid w:val="00965EAC"/>
    <w:rsid w:val="00971BF3"/>
    <w:rsid w:val="00972976"/>
    <w:rsid w:val="00973EC2"/>
    <w:rsid w:val="009819A1"/>
    <w:rsid w:val="009825D6"/>
    <w:rsid w:val="00986625"/>
    <w:rsid w:val="00986BFD"/>
    <w:rsid w:val="0098752E"/>
    <w:rsid w:val="00987FDA"/>
    <w:rsid w:val="00990404"/>
    <w:rsid w:val="0099262A"/>
    <w:rsid w:val="00995642"/>
    <w:rsid w:val="009977F6"/>
    <w:rsid w:val="00997AA6"/>
    <w:rsid w:val="00997B60"/>
    <w:rsid w:val="009A032C"/>
    <w:rsid w:val="009A14A7"/>
    <w:rsid w:val="009A4819"/>
    <w:rsid w:val="009A5C0C"/>
    <w:rsid w:val="009A6198"/>
    <w:rsid w:val="009A7A1F"/>
    <w:rsid w:val="009A7C2A"/>
    <w:rsid w:val="009B00E9"/>
    <w:rsid w:val="009B1560"/>
    <w:rsid w:val="009B2F41"/>
    <w:rsid w:val="009B451E"/>
    <w:rsid w:val="009B5497"/>
    <w:rsid w:val="009B5B13"/>
    <w:rsid w:val="009B5BB8"/>
    <w:rsid w:val="009B5BE4"/>
    <w:rsid w:val="009B7542"/>
    <w:rsid w:val="009C1096"/>
    <w:rsid w:val="009C3900"/>
    <w:rsid w:val="009C3F77"/>
    <w:rsid w:val="009C5234"/>
    <w:rsid w:val="009C5622"/>
    <w:rsid w:val="009C6CA3"/>
    <w:rsid w:val="009C715E"/>
    <w:rsid w:val="009E12F5"/>
    <w:rsid w:val="009E23BE"/>
    <w:rsid w:val="009E31F3"/>
    <w:rsid w:val="009E410E"/>
    <w:rsid w:val="009E4F29"/>
    <w:rsid w:val="009E5123"/>
    <w:rsid w:val="009E5EFE"/>
    <w:rsid w:val="009E63C9"/>
    <w:rsid w:val="009E6BE0"/>
    <w:rsid w:val="009F0674"/>
    <w:rsid w:val="009F1C03"/>
    <w:rsid w:val="009F3506"/>
    <w:rsid w:val="009F3EBB"/>
    <w:rsid w:val="009F3FDE"/>
    <w:rsid w:val="009F4D0E"/>
    <w:rsid w:val="009F5056"/>
    <w:rsid w:val="009F57E1"/>
    <w:rsid w:val="009F5AEF"/>
    <w:rsid w:val="009F5B93"/>
    <w:rsid w:val="009F6FF1"/>
    <w:rsid w:val="00A00157"/>
    <w:rsid w:val="00A016CB"/>
    <w:rsid w:val="00A016EE"/>
    <w:rsid w:val="00A04F35"/>
    <w:rsid w:val="00A12186"/>
    <w:rsid w:val="00A16A19"/>
    <w:rsid w:val="00A1729F"/>
    <w:rsid w:val="00A22012"/>
    <w:rsid w:val="00A23095"/>
    <w:rsid w:val="00A23AD2"/>
    <w:rsid w:val="00A23F4B"/>
    <w:rsid w:val="00A27920"/>
    <w:rsid w:val="00A279AB"/>
    <w:rsid w:val="00A27E87"/>
    <w:rsid w:val="00A27F37"/>
    <w:rsid w:val="00A36A7B"/>
    <w:rsid w:val="00A373B6"/>
    <w:rsid w:val="00A4142A"/>
    <w:rsid w:val="00A4500E"/>
    <w:rsid w:val="00A4562B"/>
    <w:rsid w:val="00A45B34"/>
    <w:rsid w:val="00A45FF4"/>
    <w:rsid w:val="00A5020C"/>
    <w:rsid w:val="00A50D22"/>
    <w:rsid w:val="00A51659"/>
    <w:rsid w:val="00A52470"/>
    <w:rsid w:val="00A5354C"/>
    <w:rsid w:val="00A53632"/>
    <w:rsid w:val="00A54DFF"/>
    <w:rsid w:val="00A563C9"/>
    <w:rsid w:val="00A63E85"/>
    <w:rsid w:val="00A654CE"/>
    <w:rsid w:val="00A65820"/>
    <w:rsid w:val="00A7122E"/>
    <w:rsid w:val="00A75C5D"/>
    <w:rsid w:val="00A81314"/>
    <w:rsid w:val="00A8394E"/>
    <w:rsid w:val="00A86BFA"/>
    <w:rsid w:val="00A90820"/>
    <w:rsid w:val="00A93BD5"/>
    <w:rsid w:val="00A94B32"/>
    <w:rsid w:val="00A953AC"/>
    <w:rsid w:val="00A968A9"/>
    <w:rsid w:val="00A97E96"/>
    <w:rsid w:val="00AA1F43"/>
    <w:rsid w:val="00AA4664"/>
    <w:rsid w:val="00AA4A1C"/>
    <w:rsid w:val="00AB30CF"/>
    <w:rsid w:val="00AB3A47"/>
    <w:rsid w:val="00AB56BE"/>
    <w:rsid w:val="00AB72D1"/>
    <w:rsid w:val="00AB7545"/>
    <w:rsid w:val="00AC09C4"/>
    <w:rsid w:val="00AC2B6B"/>
    <w:rsid w:val="00AC5F35"/>
    <w:rsid w:val="00AC6333"/>
    <w:rsid w:val="00AC74D6"/>
    <w:rsid w:val="00AD2BC8"/>
    <w:rsid w:val="00AD2DBB"/>
    <w:rsid w:val="00AD2F09"/>
    <w:rsid w:val="00AD50AD"/>
    <w:rsid w:val="00AD694F"/>
    <w:rsid w:val="00AE12D6"/>
    <w:rsid w:val="00AE1814"/>
    <w:rsid w:val="00AE4741"/>
    <w:rsid w:val="00AE665A"/>
    <w:rsid w:val="00AE75AC"/>
    <w:rsid w:val="00AE774B"/>
    <w:rsid w:val="00AF02EB"/>
    <w:rsid w:val="00AF21FE"/>
    <w:rsid w:val="00AF2F85"/>
    <w:rsid w:val="00AF33B0"/>
    <w:rsid w:val="00AF5071"/>
    <w:rsid w:val="00AF5368"/>
    <w:rsid w:val="00AF55D8"/>
    <w:rsid w:val="00AF79EB"/>
    <w:rsid w:val="00B02713"/>
    <w:rsid w:val="00B03C42"/>
    <w:rsid w:val="00B03F8C"/>
    <w:rsid w:val="00B104FA"/>
    <w:rsid w:val="00B11330"/>
    <w:rsid w:val="00B11815"/>
    <w:rsid w:val="00B11DF8"/>
    <w:rsid w:val="00B124AE"/>
    <w:rsid w:val="00B134C0"/>
    <w:rsid w:val="00B13533"/>
    <w:rsid w:val="00B1774F"/>
    <w:rsid w:val="00B17808"/>
    <w:rsid w:val="00B23023"/>
    <w:rsid w:val="00B31361"/>
    <w:rsid w:val="00B3177C"/>
    <w:rsid w:val="00B32073"/>
    <w:rsid w:val="00B32B8C"/>
    <w:rsid w:val="00B33C88"/>
    <w:rsid w:val="00B33FAE"/>
    <w:rsid w:val="00B349F0"/>
    <w:rsid w:val="00B34C25"/>
    <w:rsid w:val="00B43600"/>
    <w:rsid w:val="00B44507"/>
    <w:rsid w:val="00B4455E"/>
    <w:rsid w:val="00B44B07"/>
    <w:rsid w:val="00B44FEF"/>
    <w:rsid w:val="00B45011"/>
    <w:rsid w:val="00B4691F"/>
    <w:rsid w:val="00B47626"/>
    <w:rsid w:val="00B50DF9"/>
    <w:rsid w:val="00B52859"/>
    <w:rsid w:val="00B549AA"/>
    <w:rsid w:val="00B54FD0"/>
    <w:rsid w:val="00B56406"/>
    <w:rsid w:val="00B56CFC"/>
    <w:rsid w:val="00B57F54"/>
    <w:rsid w:val="00B610E5"/>
    <w:rsid w:val="00B642C4"/>
    <w:rsid w:val="00B66106"/>
    <w:rsid w:val="00B673D7"/>
    <w:rsid w:val="00B70F4F"/>
    <w:rsid w:val="00B72EA2"/>
    <w:rsid w:val="00B739ED"/>
    <w:rsid w:val="00B74EEC"/>
    <w:rsid w:val="00B7613E"/>
    <w:rsid w:val="00B763AE"/>
    <w:rsid w:val="00B76B79"/>
    <w:rsid w:val="00B77ECC"/>
    <w:rsid w:val="00B82609"/>
    <w:rsid w:val="00B82A9F"/>
    <w:rsid w:val="00B85263"/>
    <w:rsid w:val="00B91D2A"/>
    <w:rsid w:val="00B9253F"/>
    <w:rsid w:val="00B9486D"/>
    <w:rsid w:val="00B95554"/>
    <w:rsid w:val="00B95D56"/>
    <w:rsid w:val="00B97E04"/>
    <w:rsid w:val="00BA23B9"/>
    <w:rsid w:val="00BA2D6C"/>
    <w:rsid w:val="00BA5A12"/>
    <w:rsid w:val="00BA5C55"/>
    <w:rsid w:val="00BA7AEE"/>
    <w:rsid w:val="00BB0803"/>
    <w:rsid w:val="00BB0CA3"/>
    <w:rsid w:val="00BB22F6"/>
    <w:rsid w:val="00BB55F2"/>
    <w:rsid w:val="00BB6330"/>
    <w:rsid w:val="00BB7638"/>
    <w:rsid w:val="00BC38BE"/>
    <w:rsid w:val="00BC457F"/>
    <w:rsid w:val="00BC4FE7"/>
    <w:rsid w:val="00BC6140"/>
    <w:rsid w:val="00BC7D4F"/>
    <w:rsid w:val="00BD04AC"/>
    <w:rsid w:val="00BD2399"/>
    <w:rsid w:val="00BD2F79"/>
    <w:rsid w:val="00BD69FA"/>
    <w:rsid w:val="00BD759A"/>
    <w:rsid w:val="00BDE510"/>
    <w:rsid w:val="00BE0A4E"/>
    <w:rsid w:val="00BE2A5F"/>
    <w:rsid w:val="00BE501F"/>
    <w:rsid w:val="00BF1782"/>
    <w:rsid w:val="00BF3E24"/>
    <w:rsid w:val="00BF53BF"/>
    <w:rsid w:val="00BF7714"/>
    <w:rsid w:val="00BF7AFB"/>
    <w:rsid w:val="00C017A1"/>
    <w:rsid w:val="00C06B03"/>
    <w:rsid w:val="00C06FEB"/>
    <w:rsid w:val="00C120E2"/>
    <w:rsid w:val="00C13B6E"/>
    <w:rsid w:val="00C15342"/>
    <w:rsid w:val="00C15A11"/>
    <w:rsid w:val="00C16DB1"/>
    <w:rsid w:val="00C175F1"/>
    <w:rsid w:val="00C17DE4"/>
    <w:rsid w:val="00C22307"/>
    <w:rsid w:val="00C22E31"/>
    <w:rsid w:val="00C22E4D"/>
    <w:rsid w:val="00C22F1A"/>
    <w:rsid w:val="00C2748C"/>
    <w:rsid w:val="00C27BAD"/>
    <w:rsid w:val="00C30655"/>
    <w:rsid w:val="00C30869"/>
    <w:rsid w:val="00C31950"/>
    <w:rsid w:val="00C35449"/>
    <w:rsid w:val="00C357D7"/>
    <w:rsid w:val="00C369E2"/>
    <w:rsid w:val="00C37F49"/>
    <w:rsid w:val="00C40724"/>
    <w:rsid w:val="00C42DA9"/>
    <w:rsid w:val="00C4466F"/>
    <w:rsid w:val="00C46522"/>
    <w:rsid w:val="00C466B8"/>
    <w:rsid w:val="00C466D0"/>
    <w:rsid w:val="00C50C50"/>
    <w:rsid w:val="00C510E8"/>
    <w:rsid w:val="00C51307"/>
    <w:rsid w:val="00C51509"/>
    <w:rsid w:val="00C522C0"/>
    <w:rsid w:val="00C54591"/>
    <w:rsid w:val="00C56501"/>
    <w:rsid w:val="00C56B98"/>
    <w:rsid w:val="00C5727A"/>
    <w:rsid w:val="00C66850"/>
    <w:rsid w:val="00C66B10"/>
    <w:rsid w:val="00C718D3"/>
    <w:rsid w:val="00C72A54"/>
    <w:rsid w:val="00C757A7"/>
    <w:rsid w:val="00C80D4C"/>
    <w:rsid w:val="00C82243"/>
    <w:rsid w:val="00C82B96"/>
    <w:rsid w:val="00C8478E"/>
    <w:rsid w:val="00C8504A"/>
    <w:rsid w:val="00C864A9"/>
    <w:rsid w:val="00C87431"/>
    <w:rsid w:val="00C90D11"/>
    <w:rsid w:val="00C937F1"/>
    <w:rsid w:val="00C94070"/>
    <w:rsid w:val="00C970B9"/>
    <w:rsid w:val="00C977A5"/>
    <w:rsid w:val="00CA03F1"/>
    <w:rsid w:val="00CA1AD1"/>
    <w:rsid w:val="00CA2813"/>
    <w:rsid w:val="00CA3922"/>
    <w:rsid w:val="00CA4267"/>
    <w:rsid w:val="00CA5FE1"/>
    <w:rsid w:val="00CA64E4"/>
    <w:rsid w:val="00CA651E"/>
    <w:rsid w:val="00CB2BC1"/>
    <w:rsid w:val="00CB3D7E"/>
    <w:rsid w:val="00CC0A94"/>
    <w:rsid w:val="00CC1771"/>
    <w:rsid w:val="00CC1DF8"/>
    <w:rsid w:val="00CC359C"/>
    <w:rsid w:val="00CC586E"/>
    <w:rsid w:val="00CD0255"/>
    <w:rsid w:val="00CD1B1F"/>
    <w:rsid w:val="00CD349D"/>
    <w:rsid w:val="00CD7119"/>
    <w:rsid w:val="00CD7809"/>
    <w:rsid w:val="00CD78E7"/>
    <w:rsid w:val="00CE06F0"/>
    <w:rsid w:val="00CE083A"/>
    <w:rsid w:val="00CE1D75"/>
    <w:rsid w:val="00CE2B25"/>
    <w:rsid w:val="00CE3C84"/>
    <w:rsid w:val="00CE4DCD"/>
    <w:rsid w:val="00CE52E8"/>
    <w:rsid w:val="00CE6271"/>
    <w:rsid w:val="00CE66D5"/>
    <w:rsid w:val="00CE7459"/>
    <w:rsid w:val="00CF15B5"/>
    <w:rsid w:val="00CF45E7"/>
    <w:rsid w:val="00CF5986"/>
    <w:rsid w:val="00CF6326"/>
    <w:rsid w:val="00CF7164"/>
    <w:rsid w:val="00CF746E"/>
    <w:rsid w:val="00CF774B"/>
    <w:rsid w:val="00CF7B22"/>
    <w:rsid w:val="00D01477"/>
    <w:rsid w:val="00D023F4"/>
    <w:rsid w:val="00D033D5"/>
    <w:rsid w:val="00D06601"/>
    <w:rsid w:val="00D0684A"/>
    <w:rsid w:val="00D0728B"/>
    <w:rsid w:val="00D111EC"/>
    <w:rsid w:val="00D11C71"/>
    <w:rsid w:val="00D15169"/>
    <w:rsid w:val="00D2019A"/>
    <w:rsid w:val="00D2019E"/>
    <w:rsid w:val="00D22669"/>
    <w:rsid w:val="00D24EA9"/>
    <w:rsid w:val="00D265EB"/>
    <w:rsid w:val="00D302BC"/>
    <w:rsid w:val="00D31247"/>
    <w:rsid w:val="00D31A73"/>
    <w:rsid w:val="00D32DEF"/>
    <w:rsid w:val="00D342A8"/>
    <w:rsid w:val="00D34E5E"/>
    <w:rsid w:val="00D358DC"/>
    <w:rsid w:val="00D3770C"/>
    <w:rsid w:val="00D4127E"/>
    <w:rsid w:val="00D4374C"/>
    <w:rsid w:val="00D442C8"/>
    <w:rsid w:val="00D5403F"/>
    <w:rsid w:val="00D55A92"/>
    <w:rsid w:val="00D60014"/>
    <w:rsid w:val="00D609F8"/>
    <w:rsid w:val="00D60CA3"/>
    <w:rsid w:val="00D614E0"/>
    <w:rsid w:val="00D61901"/>
    <w:rsid w:val="00D61D32"/>
    <w:rsid w:val="00D641C3"/>
    <w:rsid w:val="00D66F70"/>
    <w:rsid w:val="00D734F3"/>
    <w:rsid w:val="00D77509"/>
    <w:rsid w:val="00D77D22"/>
    <w:rsid w:val="00D82901"/>
    <w:rsid w:val="00D83C92"/>
    <w:rsid w:val="00D83D53"/>
    <w:rsid w:val="00D85358"/>
    <w:rsid w:val="00D86062"/>
    <w:rsid w:val="00D86983"/>
    <w:rsid w:val="00D87DFB"/>
    <w:rsid w:val="00D91C51"/>
    <w:rsid w:val="00D93060"/>
    <w:rsid w:val="00D93669"/>
    <w:rsid w:val="00D939DE"/>
    <w:rsid w:val="00D93B2B"/>
    <w:rsid w:val="00D94859"/>
    <w:rsid w:val="00D975B1"/>
    <w:rsid w:val="00DA0B35"/>
    <w:rsid w:val="00DA4B69"/>
    <w:rsid w:val="00DA4CB7"/>
    <w:rsid w:val="00DA5185"/>
    <w:rsid w:val="00DA7FA9"/>
    <w:rsid w:val="00DB167B"/>
    <w:rsid w:val="00DB2112"/>
    <w:rsid w:val="00DB5313"/>
    <w:rsid w:val="00DB6BDA"/>
    <w:rsid w:val="00DB6C03"/>
    <w:rsid w:val="00DB6D44"/>
    <w:rsid w:val="00DC2909"/>
    <w:rsid w:val="00DC4660"/>
    <w:rsid w:val="00DC4CDF"/>
    <w:rsid w:val="00DC51BF"/>
    <w:rsid w:val="00DC579B"/>
    <w:rsid w:val="00DD0B36"/>
    <w:rsid w:val="00DD0BB0"/>
    <w:rsid w:val="00DD34EA"/>
    <w:rsid w:val="00DD3ED9"/>
    <w:rsid w:val="00DD7044"/>
    <w:rsid w:val="00DD75C8"/>
    <w:rsid w:val="00DE006B"/>
    <w:rsid w:val="00DE2329"/>
    <w:rsid w:val="00DE2F45"/>
    <w:rsid w:val="00DE5715"/>
    <w:rsid w:val="00DF0F7A"/>
    <w:rsid w:val="00DF2ABE"/>
    <w:rsid w:val="00DF4E14"/>
    <w:rsid w:val="00DF608D"/>
    <w:rsid w:val="00DF6308"/>
    <w:rsid w:val="00DF679E"/>
    <w:rsid w:val="00DF7E9F"/>
    <w:rsid w:val="00E035AC"/>
    <w:rsid w:val="00E03DC5"/>
    <w:rsid w:val="00E0411D"/>
    <w:rsid w:val="00E11B70"/>
    <w:rsid w:val="00E1268F"/>
    <w:rsid w:val="00E126D0"/>
    <w:rsid w:val="00E12A97"/>
    <w:rsid w:val="00E1577E"/>
    <w:rsid w:val="00E15E6E"/>
    <w:rsid w:val="00E160CC"/>
    <w:rsid w:val="00E16672"/>
    <w:rsid w:val="00E16F54"/>
    <w:rsid w:val="00E20D74"/>
    <w:rsid w:val="00E22C47"/>
    <w:rsid w:val="00E22E26"/>
    <w:rsid w:val="00E260EE"/>
    <w:rsid w:val="00E34E34"/>
    <w:rsid w:val="00E376B0"/>
    <w:rsid w:val="00E40776"/>
    <w:rsid w:val="00E40896"/>
    <w:rsid w:val="00E40F41"/>
    <w:rsid w:val="00E41F75"/>
    <w:rsid w:val="00E43FD7"/>
    <w:rsid w:val="00E45110"/>
    <w:rsid w:val="00E45B7E"/>
    <w:rsid w:val="00E463AC"/>
    <w:rsid w:val="00E50B43"/>
    <w:rsid w:val="00E51B59"/>
    <w:rsid w:val="00E5391F"/>
    <w:rsid w:val="00E53B1D"/>
    <w:rsid w:val="00E54B8C"/>
    <w:rsid w:val="00E54BB1"/>
    <w:rsid w:val="00E55252"/>
    <w:rsid w:val="00E5786B"/>
    <w:rsid w:val="00E57ED3"/>
    <w:rsid w:val="00E60071"/>
    <w:rsid w:val="00E60206"/>
    <w:rsid w:val="00E6040D"/>
    <w:rsid w:val="00E6106F"/>
    <w:rsid w:val="00E65FF1"/>
    <w:rsid w:val="00E66657"/>
    <w:rsid w:val="00E718B5"/>
    <w:rsid w:val="00E73EEA"/>
    <w:rsid w:val="00E75EDC"/>
    <w:rsid w:val="00E7720F"/>
    <w:rsid w:val="00E779C3"/>
    <w:rsid w:val="00E802CE"/>
    <w:rsid w:val="00E82FB6"/>
    <w:rsid w:val="00E83BA8"/>
    <w:rsid w:val="00E8647E"/>
    <w:rsid w:val="00E8782A"/>
    <w:rsid w:val="00E9419F"/>
    <w:rsid w:val="00E945E6"/>
    <w:rsid w:val="00E9486C"/>
    <w:rsid w:val="00EA2006"/>
    <w:rsid w:val="00EA5C9F"/>
    <w:rsid w:val="00EB0671"/>
    <w:rsid w:val="00EB1138"/>
    <w:rsid w:val="00EB6162"/>
    <w:rsid w:val="00EB7D14"/>
    <w:rsid w:val="00EC0E8B"/>
    <w:rsid w:val="00EC1BDB"/>
    <w:rsid w:val="00EC2527"/>
    <w:rsid w:val="00EC402D"/>
    <w:rsid w:val="00EC443E"/>
    <w:rsid w:val="00EC480C"/>
    <w:rsid w:val="00ED2CF1"/>
    <w:rsid w:val="00ED5940"/>
    <w:rsid w:val="00ED6B02"/>
    <w:rsid w:val="00ED6DF9"/>
    <w:rsid w:val="00ED7236"/>
    <w:rsid w:val="00EE0BED"/>
    <w:rsid w:val="00EE30B2"/>
    <w:rsid w:val="00EE4A7B"/>
    <w:rsid w:val="00EE4BA3"/>
    <w:rsid w:val="00EE6D6A"/>
    <w:rsid w:val="00EE7A9C"/>
    <w:rsid w:val="00EE7F1F"/>
    <w:rsid w:val="00EF4865"/>
    <w:rsid w:val="00EF5B83"/>
    <w:rsid w:val="00F01047"/>
    <w:rsid w:val="00F03749"/>
    <w:rsid w:val="00F04D16"/>
    <w:rsid w:val="00F04D9A"/>
    <w:rsid w:val="00F05DE6"/>
    <w:rsid w:val="00F05EB0"/>
    <w:rsid w:val="00F078E9"/>
    <w:rsid w:val="00F07C17"/>
    <w:rsid w:val="00F10B61"/>
    <w:rsid w:val="00F115B0"/>
    <w:rsid w:val="00F13738"/>
    <w:rsid w:val="00F13FB7"/>
    <w:rsid w:val="00F17CFF"/>
    <w:rsid w:val="00F202B1"/>
    <w:rsid w:val="00F22C3F"/>
    <w:rsid w:val="00F263A3"/>
    <w:rsid w:val="00F27325"/>
    <w:rsid w:val="00F27741"/>
    <w:rsid w:val="00F34F43"/>
    <w:rsid w:val="00F35152"/>
    <w:rsid w:val="00F354B6"/>
    <w:rsid w:val="00F35604"/>
    <w:rsid w:val="00F3593C"/>
    <w:rsid w:val="00F37A36"/>
    <w:rsid w:val="00F37EAE"/>
    <w:rsid w:val="00F406E1"/>
    <w:rsid w:val="00F41578"/>
    <w:rsid w:val="00F41695"/>
    <w:rsid w:val="00F44B23"/>
    <w:rsid w:val="00F471A8"/>
    <w:rsid w:val="00F50F66"/>
    <w:rsid w:val="00F54B22"/>
    <w:rsid w:val="00F54E38"/>
    <w:rsid w:val="00F5689D"/>
    <w:rsid w:val="00F61ED3"/>
    <w:rsid w:val="00F63E4B"/>
    <w:rsid w:val="00F65379"/>
    <w:rsid w:val="00F65B8F"/>
    <w:rsid w:val="00F65D6D"/>
    <w:rsid w:val="00F6605A"/>
    <w:rsid w:val="00F6765A"/>
    <w:rsid w:val="00F70308"/>
    <w:rsid w:val="00F70B9C"/>
    <w:rsid w:val="00F70BE6"/>
    <w:rsid w:val="00F70F6F"/>
    <w:rsid w:val="00F74021"/>
    <w:rsid w:val="00F740ED"/>
    <w:rsid w:val="00F74BC8"/>
    <w:rsid w:val="00F74C0A"/>
    <w:rsid w:val="00F77CEB"/>
    <w:rsid w:val="00F84B10"/>
    <w:rsid w:val="00F8598D"/>
    <w:rsid w:val="00F86B79"/>
    <w:rsid w:val="00F87AA6"/>
    <w:rsid w:val="00F9080D"/>
    <w:rsid w:val="00F91ADE"/>
    <w:rsid w:val="00F97E44"/>
    <w:rsid w:val="00FA2AD1"/>
    <w:rsid w:val="00FA3332"/>
    <w:rsid w:val="00FA5768"/>
    <w:rsid w:val="00FA59E6"/>
    <w:rsid w:val="00FA650B"/>
    <w:rsid w:val="00FB08FB"/>
    <w:rsid w:val="00FB0A4E"/>
    <w:rsid w:val="00FB1DE9"/>
    <w:rsid w:val="00FB288C"/>
    <w:rsid w:val="00FB425E"/>
    <w:rsid w:val="00FB50FA"/>
    <w:rsid w:val="00FB6BAE"/>
    <w:rsid w:val="00FC1571"/>
    <w:rsid w:val="00FC78C2"/>
    <w:rsid w:val="00FC7A35"/>
    <w:rsid w:val="00FD00F2"/>
    <w:rsid w:val="00FD0421"/>
    <w:rsid w:val="00FD159E"/>
    <w:rsid w:val="00FD2DBC"/>
    <w:rsid w:val="00FD418F"/>
    <w:rsid w:val="00FD4998"/>
    <w:rsid w:val="00FD54B4"/>
    <w:rsid w:val="00FD67E1"/>
    <w:rsid w:val="00FD6BFC"/>
    <w:rsid w:val="00FD6EA7"/>
    <w:rsid w:val="00FE20D2"/>
    <w:rsid w:val="00FE3D3E"/>
    <w:rsid w:val="00FE4BE9"/>
    <w:rsid w:val="00FE4D82"/>
    <w:rsid w:val="00FE5D64"/>
    <w:rsid w:val="00FE6BFE"/>
    <w:rsid w:val="00FF1589"/>
    <w:rsid w:val="00FF4E8A"/>
    <w:rsid w:val="00FF6E17"/>
    <w:rsid w:val="00FF7CA9"/>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D4"/>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bg-BG"/>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rsid w:val="00D93060"/>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sid w:val="00D93060"/>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rsid w:val="00EE7F1F"/>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 w:type="character" w:styleId="Strong">
    <w:name w:val="Strong"/>
    <w:basedOn w:val="DefaultParagraphFont"/>
    <w:uiPriority w:val="22"/>
    <w:qFormat/>
    <w:rsid w:val="00E035AC"/>
    <w:rPr>
      <w:b/>
      <w:bCs/>
    </w:rPr>
  </w:style>
  <w:style w:type="character" w:styleId="UnresolvedMention">
    <w:name w:val="Unresolved Mention"/>
    <w:basedOn w:val="DefaultParagraphFont"/>
    <w:uiPriority w:val="99"/>
    <w:semiHidden/>
    <w:unhideWhenUsed/>
    <w:rsid w:val="0032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05595514">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9DF9B-BCD0-48C4-AD90-6372145911BE}">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38295</Words>
  <Characters>227090</Characters>
  <Application>Microsoft Office Word</Application>
  <DocSecurity>4</DocSecurity>
  <Lines>5677</Lines>
  <Paragraphs>3791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BNB NRA</dc:creator>
  <cp:keywords/>
  <cp:lastModifiedBy>Kornelia Wilinska</cp:lastModifiedBy>
  <cp:revision>2</cp:revision>
  <cp:lastPrinted>2025-09-19T11:25:00Z</cp:lastPrinted>
  <dcterms:created xsi:type="dcterms:W3CDTF">2025-10-08T11:17:00Z</dcterms:created>
  <dcterms:modified xsi:type="dcterms:W3CDTF">2025-10-08T11:17:00Z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