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EL</w:t>
      </w:r>
      <w:r>
        <w:t xml:space="preserve"> </w:t>
      </w:r>
      <w:r>
        <w:br/>
      </w:r>
      <w:r>
        <w:rPr>
          <w:rFonts w:ascii="Times New Roman" w:hAnsi="Times New Roman"/>
          <w:b/>
          <w:sz w:val="24"/>
        </w:rPr>
        <w:t>ΠΑΡΑΡΤΗΜΑ VIII</w:t>
      </w:r>
    </w:p>
    <w:p w14:paraId="7586364F" w14:textId="77777777" w:rsidR="00923A16" w:rsidRPr="0000621C" w:rsidRDefault="00923A16" w:rsidP="00845EB1">
      <w:pPr>
        <w:jc w:val="center"/>
        <w:rPr>
          <w:rFonts w:ascii="Times New Roman" w:hAnsi="Times New Roman"/>
          <w:b/>
          <w:sz w:val="24"/>
        </w:rPr>
      </w:pPr>
    </w:p>
    <w:p w14:paraId="38DE6923" w14:textId="77777777" w:rsidR="00923A16" w:rsidRPr="0000621C" w:rsidRDefault="00923A16" w:rsidP="00845EB1">
      <w:pPr>
        <w:jc w:val="center"/>
        <w:rPr>
          <w:rFonts w:ascii="Times New Roman" w:hAnsi="Times New Roman"/>
          <w:b/>
          <w:sz w:val="24"/>
        </w:rPr>
      </w:pPr>
    </w:p>
    <w:p w14:paraId="60311301" w14:textId="6E170F77" w:rsidR="0040604D" w:rsidRPr="0068244B" w:rsidRDefault="00515147" w:rsidP="00845EB1">
      <w:pPr>
        <w:jc w:val="center"/>
        <w:rPr>
          <w:b/>
          <w:u w:val="single"/>
        </w:rPr>
      </w:pPr>
      <w:r>
        <w:rPr>
          <w:b/>
          <w:u w:val="single"/>
        </w:rPr>
        <w:t>«ΠΑΡΑΡΤΗΜΑ XXI</w:t>
      </w:r>
    </w:p>
    <w:p w14:paraId="55B2E7E1" w14:textId="45F1B4D9" w:rsidR="0040604D" w:rsidRPr="0068244B" w:rsidRDefault="0040604D" w:rsidP="00D02291">
      <w:pPr>
        <w:jc w:val="center"/>
        <w:rPr>
          <w:b/>
        </w:rPr>
      </w:pPr>
      <w:r>
        <w:rPr>
          <w:b/>
        </w:rPr>
        <w:t>ΟΔΗΓΙΕΣ ΓΙΑ ΤΗ ΣΥΜΠΛΗΡΩΣΗ ΤΟΥ ΥΠΟΔΕΙΓΜΑΤΟΣ ΣΧΕΤΙΚΑ ΜΕ ΤΗ ΣΥΓΚΕΝΤΡΩΣΗ ΙΚΑΝΟΤΗΤΑΣ ΑΝΤΙΣΤΑΘΜΙΣΗΣ (C 71.00) ΤΟΥ ΠΑΡΑΡΤΗΜΑΤΟΣ XX</w:t>
      </w:r>
    </w:p>
    <w:p w14:paraId="4B767D67" w14:textId="77777777" w:rsidR="0040604D" w:rsidRPr="0068244B" w:rsidRDefault="0040604D" w:rsidP="0000621C">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Συγκέντρωση ικανότητας αντιστάθμισης ανά εκδότη/αντισυμβαλλόμενο (CCC) (C 71.00)</w:t>
      </w:r>
    </w:p>
    <w:p w14:paraId="23482DE0" w14:textId="77777777" w:rsidR="00111A31" w:rsidRPr="0068244B" w:rsidRDefault="00111A31" w:rsidP="0000621C">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Προκειμένου για τη συλλογή πληροφοριών σχετικά με τη συγκέντρωση ικανότητας αντιστάθμισης των ιδρυμάτων που υποβάλλουν αναφορά, ως προς τα δέκα μεγαλύτερα κατεχόμενα στοιχεία ενεργητικού ή τις διευκολύνσεις ρευστότητας που χορηγήθηκαν στο ίδρυμα για τον σκοπό αυτό, σύμφωνα με το υπόδειγμα C 71.00, τα ιδρύματα εφαρμόζουν τις οδηγίες που περιέχονται στο παρόν παράρτημα.</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Σε περίπτωση που σε έναν εκδότη ή αντισυμβαλλόμενο έχουν αποδοθεί πλέον του ενός είδη προϊόντος, νομίσματα ή πλέον της μίας βαθμίδες πιστωτικής ποιότητας, αναφέρεται το συνολικό ποσό. Το είδος προϊόντος, το νόμισμα ή η βαθμίδα πιστωτικής ποιότητας που πρέπει να αναφερθούν είναι εκείνα που αντιστοιχούν στο μεγαλύτερο ποσοστό της συγκέντρωσης ικανότητας αντιστάθμισης.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Η ικανότητα αντιστάθμισης που δηλώνεται στο υπόδειγμα C 71.00 είναι η ίδια με αυτή που δηλώνεται στο C 66.01, με τη διευκρίνιση ότι τα στοιχεία ενεργητικού που αναφέρονται ως ικανότητα αντιστάθμισης για τους σκοπούς του C 71.00 είναι μη βεβαρημένα, ώστε το ίδρυμα να τα έχει διαθέσιμα για μετατροπή σε μετρητά κατά την ημερομηνία αναφοράς για την υποβολή αναφορών.</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Για τον υπολογισμό των συγκεντρώσεων για τον σκοπό του υποδείγματος υποβολής αναφοράς C 71.00 ανά σημαντικό νόμισμα, τα ιδρύματα χρησιμοποιούν τις συγκεντρώσεις σε όλα τα νομίσματα.</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Όταν εκδότης ή αντισυμβαλλόμενος ανήκει σε διάφορες ομάδες συνδεδεμένων πελατών, αναφέρεται μόνο μία φορά, στην ομάδα με την υψηλότερη συγκέντρωση ικανότητας αντιστάθμισης.</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Με την εξαίρεση της γραμμής 0120, στο παρόν υπόδειγμα δεν αναφέρονται οι συγκεντρώσεις ικανότητας αντιστάθμισης με κεντρική τράπεζα ως εκδότη ή αντισυμβαλλόμενο. Σε περίπτωση που ένα ίδρυμα έχει καταθέσει εκ των προτέρων στοιχεία ενεργητικού σε κεντρική τράπεζα για τακτικές πράξεις παροχής ρευστότητας, και στον βαθμό που τα εν λόγω στοιχεία ενεργητικού εμπίπτουν στην κατηγορία των δέκα μεγαλύτερων εκδοτών ή αντισυμβαλλομένων όσον αφορά μη βεβαρημένη ικανότητα αντιστάθμισης, το ίδρυμα αναφέρει τον αρχικό εκδότη και το αρχικό είδος προϊόντος.</w:t>
      </w:r>
    </w:p>
    <w:p w14:paraId="423289FA" w14:textId="77777777" w:rsidR="00E05204" w:rsidRPr="0000621C"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lastRenderedPageBreak/>
              <w:t>Στήλη</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Νομικά κείμενα αναφοράς και οδηγίες</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Όνομα εκδότη</w:t>
            </w:r>
          </w:p>
          <w:p w14:paraId="36B02E7E" w14:textId="3FDFB966" w:rsidR="00E05204" w:rsidRPr="0068244B" w:rsidRDefault="00E05204" w:rsidP="00D665FC">
            <w:pPr>
              <w:rPr>
                <w:rFonts w:ascii="Times New Roman" w:hAnsi="Times New Roman"/>
                <w:sz w:val="24"/>
              </w:rPr>
            </w:pPr>
            <w:r>
              <w:rPr>
                <w:rFonts w:ascii="Times New Roman" w:hAnsi="Times New Roman"/>
                <w:sz w:val="24"/>
              </w:rPr>
              <w:t>Τα ονόματα των δέκα μεγαλύτερων εκδοτών μη βεβαρημένων στοιχείων ενεργητικού ή αντισυμβαλλομένων μη αναληφθεισών δεσμευμένων διευκολύνσεων ρευστότητας που χορηγήθηκαν στο ίδρυμα καταγράφονται στη στήλη 0010 κατά φθίνουσα σειρά. Το μεγαλύτερο στοιχείο καταγράφεται στο στοιχείο 1.01, το δεύτερο μεγαλύτερο στο στοιχείο 1.02 και ούτω καθεξής.</w:t>
            </w:r>
            <w:r>
              <w:t xml:space="preserve"> </w:t>
            </w:r>
            <w:r>
              <w:rPr>
                <w:rFonts w:ascii="Times New Roman" w:hAnsi="Times New Roman"/>
                <w:sz w:val="24"/>
              </w:rPr>
              <w:t>Εκδότες και αντισυμβαλλόμενοι που σχηματίζουν ομάδα συνδεδεμένων πελατών αναφέρονται ως μία και μόνη συγκέντρωση.</w:t>
            </w:r>
          </w:p>
          <w:p w14:paraId="4E01B5DA" w14:textId="4F0E946D" w:rsidR="00E05204" w:rsidRPr="0068244B" w:rsidRDefault="00E05204" w:rsidP="00C05CCA">
            <w:pPr>
              <w:rPr>
                <w:rFonts w:ascii="Times New Roman" w:hAnsi="Times New Roman"/>
                <w:sz w:val="24"/>
              </w:rPr>
            </w:pPr>
            <w:r>
              <w:rPr>
                <w:rFonts w:ascii="Times New Roman" w:hAnsi="Times New Roman"/>
                <w:sz w:val="24"/>
              </w:rPr>
              <w:t>Το καταγραφόμενο όνομα εκδότη ή αντισυμβαλλομένου συνίσταται στην πλήρη επωνυμία της νομικής οντότητας που εξέδωσε τα στοιχεία ενεργητικού ή χορήγησε τις πιστωτικές διευκολύνσεις, συμπεριλαμβανομένων οποιωνδήποτε προσδιοριστικών του είδους της εταιρείας σύμφωνα με το εθνικό εταιρικό δίκαιο.</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Κωδικός LEI</w:t>
            </w:r>
          </w:p>
          <w:p w14:paraId="7861A1B2" w14:textId="0A8A8B52" w:rsidR="00E05204" w:rsidRPr="0068244B" w:rsidRDefault="00E05204" w:rsidP="00C05CCA">
            <w:pPr>
              <w:rPr>
                <w:b/>
                <w:sz w:val="24"/>
              </w:rPr>
            </w:pPr>
            <w:r>
              <w:rPr>
                <w:rFonts w:ascii="Times New Roman" w:hAnsi="Times New Roman"/>
                <w:sz w:val="24"/>
              </w:rPr>
              <w:t xml:space="preserve">Ο αναγνωριστικός κωδικός νομικής οντότητας του αντισυμβαλλομένου.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Τομέας εκδότη</w:t>
            </w:r>
          </w:p>
          <w:p w14:paraId="62F53B63" w14:textId="5D0C886D" w:rsidR="00E05204" w:rsidRPr="0068244B" w:rsidRDefault="00E05204" w:rsidP="0000621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Κάθε εκδότης ή αντισυμβαλλόμενος κατανέμεται σε έναν τομέα με βάση τις ακόλουθες κατηγορίες οικονομικών τομέων στο πλαίσιο της χρηματοοικονομικής αναφοράς ([FINREP]) [πρώτο μέρος παράρτημα V του παρόντος εκτελεστικού κανονισμού]:</w:t>
            </w:r>
          </w:p>
          <w:p w14:paraId="563180C8" w14:textId="31A14F6F" w:rsidR="00E05204" w:rsidRPr="0068244B" w:rsidRDefault="00E05204" w:rsidP="0000621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γενικές κυβερνήσεις, ii) πιστωτικά ιδρύματα, iii) άλλες χρηματοδοτικές εταιρείες· iv) μη χρηματοδοτικές εταιρείες· v) νοικοκυριά.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Για ομάδες</w:t>
            </w:r>
            <w:r>
              <w:rPr>
                <w:rFonts w:ascii="Times New Roman" w:hAnsi="Times New Roman"/>
                <w:sz w:val="24"/>
              </w:rPr>
              <w:t xml:space="preserve"> </w:t>
            </w:r>
            <w:r>
              <w:rPr>
                <w:rStyle w:val="FormatvorlageInstructionsTabelleText"/>
                <w:rFonts w:ascii="Times New Roman" w:hAnsi="Times New Roman"/>
                <w:sz w:val="24"/>
              </w:rPr>
              <w:t xml:space="preserve">συνδεδεμένων πελατών, δεν αναφέρεται τομέας.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Τόπος κατοικίας εκδότη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 xml:space="preserve">Χρησιμοποιείται ο κωδικός ISO 3166-1-alpha-2 της χώρας σύστασης του εκδότη ή του αντισυμβαλλομένου, περιλαμβανομένων των ψευδοκωδικών ISO για τους διεθνείς οργανισμούς, που είναι διαθέσιμοι στην τελευταία έκδοση του «Οδηγού ισοζυγίου πληρωμών» της Eurostat.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Για ομάδες συνδεδεμένων πελατών, δεν αναφέρεται χώρα.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Είδος προϊόντος</w:t>
            </w:r>
          </w:p>
          <w:p w14:paraId="7DC48699" w14:textId="4D5DEEF0" w:rsidR="00E05204" w:rsidRPr="0068244B" w:rsidRDefault="00E05204" w:rsidP="00D665FC">
            <w:pPr>
              <w:rPr>
                <w:rFonts w:ascii="Times New Roman" w:hAnsi="Times New Roman"/>
                <w:sz w:val="24"/>
              </w:rPr>
            </w:pPr>
            <w:r>
              <w:rPr>
                <w:rFonts w:ascii="Times New Roman" w:hAnsi="Times New Roman"/>
                <w:sz w:val="24"/>
              </w:rPr>
              <w:t xml:space="preserve">Στους εκδότες/αντισυμβαλλομένους που καταγράφονται στη στήλη 0010 αποδίδεται ένα είδος προϊόντος που </w:t>
            </w:r>
            <w:r>
              <w:rPr>
                <w:rStyle w:val="FormatvorlageInstructionsTabelleText"/>
                <w:rFonts w:ascii="Times New Roman" w:hAnsi="Times New Roman"/>
                <w:sz w:val="24"/>
              </w:rPr>
              <w:t>αντιστοιχεί</w:t>
            </w:r>
            <w:r>
              <w:rPr>
                <w:rFonts w:ascii="Times New Roman" w:hAnsi="Times New Roman"/>
                <w:sz w:val="24"/>
              </w:rPr>
              <w:t xml:space="preserve"> στο προϊόν στο οποίο διατηρείται το στοιχείο ενεργητικού ή έχει ληφθεί η εφεδρική διευκόλυνση ρευστότητας, με τους ακόλουθους κωδικούς που σημειώνονται με έντονους χαρακτήρες:</w:t>
            </w:r>
          </w:p>
          <w:p w14:paraId="1CB9AEA2" w14:textId="77777777" w:rsidR="00E05204" w:rsidRPr="0068244B" w:rsidRDefault="00E05204" w:rsidP="00D665FC">
            <w:pPr>
              <w:rPr>
                <w:rFonts w:ascii="Times New Roman" w:hAnsi="Times New Roman"/>
                <w:sz w:val="24"/>
              </w:rPr>
            </w:pPr>
            <w:bookmarkStart w:id="0" w:name="OLE_LINK1"/>
            <w:r>
              <w:rPr>
                <w:rFonts w:ascii="Times New Roman" w:hAnsi="Times New Roman"/>
                <w:b/>
                <w:sz w:val="24"/>
              </w:rPr>
              <w:t xml:space="preserve">SrB </w:t>
            </w:r>
            <w:r>
              <w:rPr>
                <w:rFonts w:ascii="Times New Roman" w:hAnsi="Times New Roman"/>
                <w:sz w:val="24"/>
              </w:rPr>
              <w:t xml:space="preserve">(ομόλογο </w:t>
            </w:r>
            <w:r>
              <w:rPr>
                <w:rStyle w:val="FormatvorlageInstructionsTabelleText"/>
                <w:rFonts w:ascii="Times New Roman" w:hAnsi="Times New Roman"/>
                <w:sz w:val="24"/>
              </w:rPr>
              <w:t>με εξοφλητική προτεραιότητα</w:t>
            </w:r>
            <w:r>
              <w:rPr>
                <w:rFonts w:ascii="Times New Roman" w:hAnsi="Times New Roman"/>
                <w:sz w:val="24"/>
              </w:rPr>
              <w:t xml:space="preserve">) </w:t>
            </w:r>
          </w:p>
          <w:p w14:paraId="6ADB0D10" w14:textId="77777777" w:rsidR="00E05204" w:rsidRPr="0068244B" w:rsidRDefault="00E05204" w:rsidP="00D665FC">
            <w:pPr>
              <w:rPr>
                <w:rFonts w:ascii="Times New Roman" w:hAnsi="Times New Roman"/>
                <w:sz w:val="24"/>
              </w:rPr>
            </w:pPr>
            <w:r>
              <w:rPr>
                <w:rFonts w:ascii="Times New Roman" w:hAnsi="Times New Roman"/>
                <w:b/>
                <w:sz w:val="24"/>
              </w:rPr>
              <w:t xml:space="preserve">SubB </w:t>
            </w:r>
            <w:r>
              <w:rPr>
                <w:rFonts w:ascii="Times New Roman" w:hAnsi="Times New Roman"/>
                <w:sz w:val="24"/>
              </w:rPr>
              <w:t xml:space="preserve">(ομόλογο </w:t>
            </w:r>
            <w:r>
              <w:rPr>
                <w:rStyle w:val="FormatvorlageInstructionsTabelleText"/>
                <w:rFonts w:ascii="Times New Roman" w:hAnsi="Times New Roman"/>
                <w:sz w:val="24"/>
              </w:rPr>
              <w:t>μειωμένης εξασφάλισης</w:t>
            </w:r>
            <w:r>
              <w:rPr>
                <w:rFonts w:ascii="Times New Roman" w:hAnsi="Times New Roman"/>
                <w:sz w:val="24"/>
              </w:rPr>
              <w:t>)</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lastRenderedPageBreak/>
              <w:t xml:space="preserve">CP </w:t>
            </w:r>
            <w:r>
              <w:rPr>
                <w:rFonts w:ascii="Times New Roman" w:hAnsi="Times New Roman"/>
                <w:sz w:val="24"/>
              </w:rPr>
              <w:t>(</w:t>
            </w:r>
            <w:r>
              <w:rPr>
                <w:rStyle w:val="FormatvorlageInstructionsTabelleText"/>
                <w:rFonts w:ascii="Times New Roman" w:hAnsi="Times New Roman"/>
                <w:sz w:val="24"/>
              </w:rPr>
              <w:t>εμπορικό</w:t>
            </w:r>
            <w:r>
              <w:rPr>
                <w:rFonts w:ascii="Times New Roman" w:hAnsi="Times New Roman"/>
                <w:sz w:val="24"/>
              </w:rPr>
              <w:t xml:space="preserve"> χρεόγραφο)</w:t>
            </w:r>
          </w:p>
          <w:p w14:paraId="71AB267C" w14:textId="77777777" w:rsidR="00E05204" w:rsidRPr="0068244B" w:rsidRDefault="00E05204">
            <w:pPr>
              <w:rPr>
                <w:rFonts w:ascii="Times New Roman" w:hAnsi="Times New Roman"/>
                <w:sz w:val="24"/>
              </w:rPr>
            </w:pPr>
            <w:r>
              <w:rPr>
                <w:rFonts w:ascii="Times New Roman" w:hAnsi="Times New Roman"/>
                <w:b/>
                <w:sz w:val="24"/>
              </w:rPr>
              <w:t xml:space="preserve">CB </w:t>
            </w:r>
            <w:r>
              <w:rPr>
                <w:rFonts w:ascii="Times New Roman" w:hAnsi="Times New Roman"/>
                <w:sz w:val="24"/>
              </w:rPr>
              <w:t xml:space="preserve">(καλυμμένα </w:t>
            </w:r>
            <w:r>
              <w:rPr>
                <w:rStyle w:val="FormatvorlageInstructionsTabelleText"/>
                <w:rFonts w:ascii="Times New Roman" w:hAnsi="Times New Roman"/>
                <w:sz w:val="24"/>
              </w:rPr>
              <w:t>ομόλογα</w:t>
            </w:r>
            <w:r>
              <w:rPr>
                <w:rFonts w:ascii="Times New Roman" w:hAnsi="Times New Roman"/>
                <w:sz w:val="24"/>
              </w:rPr>
              <w:t xml:space="preserve">) </w:t>
            </w:r>
          </w:p>
          <w:p w14:paraId="16004F55" w14:textId="644C50DD" w:rsidR="00E05204" w:rsidRPr="0068244B" w:rsidRDefault="00E05204">
            <w:pPr>
              <w:rPr>
                <w:rFonts w:ascii="Times New Roman" w:hAnsi="Times New Roman"/>
                <w:sz w:val="24"/>
              </w:rPr>
            </w:pPr>
            <w:r>
              <w:rPr>
                <w:rFonts w:ascii="Times New Roman" w:hAnsi="Times New Roman"/>
                <w:b/>
                <w:sz w:val="24"/>
              </w:rPr>
              <w:t>US (</w:t>
            </w:r>
            <w:r>
              <w:rPr>
                <w:rStyle w:val="FormatvorlageInstructionsTabelleText"/>
                <w:rFonts w:ascii="Times New Roman" w:hAnsi="Times New Roman"/>
                <w:sz w:val="24"/>
              </w:rPr>
              <w:t>τίτλοι</w:t>
            </w:r>
            <w:r>
              <w:rPr>
                <w:rFonts w:ascii="Times New Roman" w:hAnsi="Times New Roman"/>
                <w:sz w:val="24"/>
              </w:rPr>
              <w:t xml:space="preserve"> ΟΣΕΚΑ, δηλαδή χρηματοπιστωτικά μέσα που αντιπροσωπεύουν μια μετοχή ή έναν τίτλο που έχει εκδοθεί από οργανισμό συλλογικών επενδύσεων σε κινητές αξίες)</w:t>
            </w:r>
          </w:p>
          <w:p w14:paraId="2E54EB88" w14:textId="77777777" w:rsidR="00E05204" w:rsidRPr="0068244B" w:rsidRDefault="00E05204">
            <w:pPr>
              <w:rPr>
                <w:rFonts w:ascii="Times New Roman" w:hAnsi="Times New Roman"/>
                <w:sz w:val="24"/>
              </w:rPr>
            </w:pPr>
            <w:r>
              <w:rPr>
                <w:rFonts w:ascii="Times New Roman" w:hAnsi="Times New Roman"/>
                <w:b/>
                <w:sz w:val="24"/>
              </w:rPr>
              <w:t>ABS</w:t>
            </w:r>
            <w:r>
              <w:rPr>
                <w:rFonts w:ascii="Times New Roman" w:hAnsi="Times New Roman"/>
                <w:sz w:val="24"/>
              </w:rPr>
              <w:t xml:space="preserve"> (τίτλος εξασφαλισμένος με στοιχεία ενεργητικού)</w:t>
            </w:r>
          </w:p>
          <w:p w14:paraId="47B806DE" w14:textId="77777777" w:rsidR="00E05204" w:rsidRPr="0068244B" w:rsidRDefault="00E05204">
            <w:pPr>
              <w:rPr>
                <w:rFonts w:ascii="Times New Roman" w:hAnsi="Times New Roman"/>
                <w:sz w:val="24"/>
              </w:rPr>
            </w:pPr>
            <w:r>
              <w:rPr>
                <w:rFonts w:ascii="Times New Roman" w:hAnsi="Times New Roman"/>
                <w:b/>
                <w:sz w:val="24"/>
              </w:rPr>
              <w:t xml:space="preserve">CrCl </w:t>
            </w:r>
            <w:r>
              <w:rPr>
                <w:rFonts w:ascii="Times New Roman" w:hAnsi="Times New Roman"/>
                <w:sz w:val="24"/>
              </w:rPr>
              <w:t xml:space="preserve">(δανειακή </w:t>
            </w:r>
            <w:r>
              <w:rPr>
                <w:rStyle w:val="FormatvorlageInstructionsTabelleText"/>
                <w:rFonts w:ascii="Times New Roman" w:hAnsi="Times New Roman"/>
                <w:sz w:val="24"/>
              </w:rPr>
              <w:t>απαίτηση</w:t>
            </w:r>
            <w:r>
              <w:rPr>
                <w:rFonts w:ascii="Times New Roman" w:hAnsi="Times New Roman"/>
                <w:sz w:val="24"/>
              </w:rPr>
              <w:t>)·</w:t>
            </w:r>
          </w:p>
          <w:p w14:paraId="77F497F4" w14:textId="77777777" w:rsidR="00E05204" w:rsidRPr="0068244B" w:rsidRDefault="00E05204">
            <w:pPr>
              <w:rPr>
                <w:rFonts w:ascii="Times New Roman" w:hAnsi="Times New Roman"/>
                <w:sz w:val="24"/>
              </w:rPr>
            </w:pPr>
            <w:r>
              <w:rPr>
                <w:rFonts w:ascii="Times New Roman" w:hAnsi="Times New Roman"/>
                <w:b/>
                <w:sz w:val="24"/>
              </w:rPr>
              <w:t>Eq</w:t>
            </w:r>
            <w:r>
              <w:rPr>
                <w:rFonts w:ascii="Times New Roman" w:hAnsi="Times New Roman"/>
                <w:sz w:val="24"/>
              </w:rPr>
              <w:t xml:space="preserve"> (</w:t>
            </w:r>
            <w:r>
              <w:rPr>
                <w:rStyle w:val="FormatvorlageInstructionsTabelleText"/>
                <w:rFonts w:ascii="Times New Roman" w:hAnsi="Times New Roman"/>
                <w:sz w:val="24"/>
              </w:rPr>
              <w:t>μετοχή</w:t>
            </w:r>
            <w:r>
              <w:rPr>
                <w:rFonts w:ascii="Times New Roman" w:hAnsi="Times New Roman"/>
                <w:sz w:val="24"/>
              </w:rPr>
              <w:t>)</w:t>
            </w:r>
          </w:p>
          <w:p w14:paraId="3F4E3AAB" w14:textId="396B9AF6" w:rsidR="00E05204" w:rsidRPr="0068244B" w:rsidRDefault="00E05204">
            <w:pPr>
              <w:rPr>
                <w:rFonts w:ascii="Times New Roman" w:hAnsi="Times New Roman"/>
                <w:b/>
                <w:sz w:val="24"/>
              </w:rPr>
            </w:pPr>
            <w:r>
              <w:rPr>
                <w:rFonts w:ascii="Times New Roman" w:hAnsi="Times New Roman"/>
                <w:b/>
                <w:sz w:val="24"/>
              </w:rPr>
              <w:t>Χρυσός (εάν είναι φυσικός χρυσός, που μπορεί να αντιμετωπιστεί ως ένας και μόνος αντισυμβαλλόμενος)</w:t>
            </w:r>
          </w:p>
          <w:p w14:paraId="6AE61C73" w14:textId="77777777" w:rsidR="00E05204" w:rsidRPr="0068244B" w:rsidRDefault="00E05204">
            <w:pPr>
              <w:rPr>
                <w:rFonts w:ascii="Times New Roman" w:hAnsi="Times New Roman"/>
                <w:sz w:val="24"/>
              </w:rPr>
            </w:pPr>
            <w:r>
              <w:rPr>
                <w:rFonts w:ascii="Times New Roman" w:hAnsi="Times New Roman"/>
                <w:b/>
                <w:sz w:val="24"/>
              </w:rPr>
              <w:t xml:space="preserve">LiqL </w:t>
            </w:r>
            <w:r>
              <w:rPr>
                <w:rFonts w:ascii="Times New Roman" w:hAnsi="Times New Roman"/>
                <w:sz w:val="24"/>
              </w:rPr>
              <w:t>(</w:t>
            </w:r>
            <w:r>
              <w:rPr>
                <w:rStyle w:val="FormatvorlageInstructionsTabelleText"/>
                <w:rFonts w:ascii="Times New Roman" w:hAnsi="Times New Roman"/>
                <w:sz w:val="24"/>
              </w:rPr>
              <w:t>μη αναληφθείσα</w:t>
            </w:r>
            <w:r>
              <w:rPr>
                <w:rFonts w:ascii="Times New Roman" w:hAnsi="Times New Roman"/>
                <w:sz w:val="24"/>
              </w:rPr>
              <w:t xml:space="preserve"> δεσμευμένη διευκόλυνση ρευστότητας που έχει χορηγηθεί στο ίδρυμα)·</w:t>
            </w:r>
          </w:p>
          <w:p w14:paraId="23B5C30F" w14:textId="77777777" w:rsidR="00E05204" w:rsidRPr="0068244B" w:rsidRDefault="00E05204">
            <w:pPr>
              <w:rPr>
                <w:rFonts w:ascii="Times New Roman" w:hAnsi="Times New Roman"/>
                <w:b/>
                <w:sz w:val="24"/>
              </w:rPr>
            </w:pPr>
            <w:r>
              <w:rPr>
                <w:rFonts w:ascii="Times New Roman" w:hAnsi="Times New Roman"/>
                <w:b/>
                <w:sz w:val="24"/>
              </w:rPr>
              <w:t>OPT</w:t>
            </w:r>
            <w:r>
              <w:rPr>
                <w:rFonts w:ascii="Times New Roman" w:hAnsi="Times New Roman"/>
                <w:sz w:val="24"/>
              </w:rPr>
              <w:t xml:space="preserve"> (</w:t>
            </w:r>
            <w:r>
              <w:rPr>
                <w:rStyle w:val="FormatvorlageInstructionsTabelleText"/>
                <w:rFonts w:ascii="Times New Roman" w:hAnsi="Times New Roman"/>
                <w:sz w:val="24"/>
              </w:rPr>
              <w:t>άλλο</w:t>
            </w:r>
            <w:r>
              <w:rPr>
                <w:rFonts w:ascii="Times New Roman" w:hAnsi="Times New Roman"/>
                <w:sz w:val="24"/>
              </w:rPr>
              <w:t xml:space="preserve"> είδος προϊόντος)</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Νόμισμα</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Στους εκδότες ή αντισυμβαλλομένους που καταγράφονται στη στήλη 0010 αποδίδεται ένας κωδικός νομίσματος ISO στη στήλη 0060, ο οποίος αντιστοιχεί στο νόμισμα στο οποίο είναι εκφρασμένο το ληφθέν στοιχείο ενεργητικού ή οι μη αναληφθείσες δεσμευμένες διευκολύνσεις ρευστότητας που έχουν χορηγηθεί στο ίδρυμα. Δηλώνεται ο τριψήφιος κωδικός νομίσματος σύμφωνα με το ISO 4217. </w:t>
            </w:r>
          </w:p>
          <w:p w14:paraId="74611C9A" w14:textId="7CC928F5" w:rsidR="00774708" w:rsidRPr="0068244B" w:rsidRDefault="00047ECB" w:rsidP="00BC5835">
            <w:pPr>
              <w:rPr>
                <w:rFonts w:ascii="Times New Roman" w:hAnsi="Times New Roman"/>
                <w:sz w:val="24"/>
              </w:rPr>
            </w:pPr>
            <w:r>
              <w:rPr>
                <w:rFonts w:ascii="Times New Roman" w:hAnsi="Times New Roman"/>
                <w:sz w:val="24"/>
              </w:rPr>
              <w:t>Όταν μια διευκόλυνση πολλών νομισμάτων αποτελεί μέρος μιας συγκέντρωσης ικανότητας αντιστάθμισης, η διευκόλυνση υπολογίζεται στο νόμισμα που είναι το επικρατέστερο στο υπόλοιπο μέρος της συγκέντρωσης. Όσον αφορά τη χωριστή υποβολή αναφορών σε σημαντικά νομίσματα, όπως καθορίζεται στο άρθρο 415 παράγραφος 2 του κανονισμού (ΕΕ) αριθ. 575/2013, τα ιδρύματα αξιολογούν το νόμισμα στο οποίο είναι πιθανό να πραγματοποιηθεί η ροή και αναφέρουν το στοιχείο μόνο σε αυτό το σημαντικό νόμισμα, σύμφωνα με τις οδηγίες για τη χωριστή υποβολή αναφορών για σημαντικά νομίσματα στον δείκτη κάλυψης ρευστότητας (LCR), σύμφωνα με τον κανονισμό (ΕΕ)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Βαθμίδα πιστωτικής ποιότητας</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Η κατάλληλη βαθμίδα πιστωτικής ποιότητας αποδίδεται σύμφωνα με τον κανονισμό (ΕΕ) αριθ. 575/2013, και πρέπει να είναι ίδια με τη βαθμίδα των στοιχείων που υποβάλλονται στον πίνακα ληκτότητας. Εάν δεν υπάρχει πιστοληπτική αξιολόγηση, αποδίδεται η βαθμίδα «χωρίς διαβάθμιση».</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Αξία/ονομαστική αξία τρέχουσας τιμής αγοράς (MtM)</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Η αγοραία αξία ή η εύλογη αξία των στοιχείων ενεργητικού ή, κατά περίπτωση, η ονομαστική αξία της μη αναληφθείσας διευκόλυνσης ρευστότητας που έχει χορηγηθεί στο ίδρυμα.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lastRenderedPageBreak/>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Αξία εξασφαλίσεων επιλέξιμων από ΚΤ</w:t>
            </w:r>
          </w:p>
          <w:p w14:paraId="507C4FE8" w14:textId="2A6E5839" w:rsidR="00E05204" w:rsidRPr="0068244B" w:rsidRDefault="00E05204" w:rsidP="00047ECB">
            <w:pPr>
              <w:rPr>
                <w:rFonts w:ascii="Times New Roman" w:hAnsi="Times New Roman"/>
                <w:sz w:val="24"/>
              </w:rPr>
            </w:pPr>
            <w:r>
              <w:rPr>
                <w:rFonts w:ascii="Times New Roman" w:hAnsi="Times New Roman"/>
                <w:sz w:val="24"/>
              </w:rPr>
              <w:t xml:space="preserve">Η αξία των </w:t>
            </w:r>
            <w:r>
              <w:rPr>
                <w:rStyle w:val="FormatvorlageInstructionsTabelleText"/>
                <w:rFonts w:ascii="Times New Roman" w:hAnsi="Times New Roman"/>
                <w:sz w:val="24"/>
              </w:rPr>
              <w:t>εξασφαλίσεων</w:t>
            </w:r>
            <w:r>
              <w:rPr>
                <w:rFonts w:ascii="Times New Roman" w:hAnsi="Times New Roman"/>
                <w:sz w:val="24"/>
              </w:rPr>
              <w:t xml:space="preserve"> σύμφωνα με τους κανόνες της κεντρικής τράπεζας για πάγιες διευκολύνσεις για τα συγκεκριμένα στοιχεία ενεργητικού.</w:t>
            </w:r>
          </w:p>
          <w:p w14:paraId="4C124B93" w14:textId="0E66424F" w:rsidR="00BA0551" w:rsidRPr="0068244B" w:rsidRDefault="00B457F4" w:rsidP="00515147">
            <w:pPr>
              <w:rPr>
                <w:rFonts w:ascii="Times New Roman" w:hAnsi="Times New Roman"/>
                <w:sz w:val="24"/>
              </w:rPr>
            </w:pPr>
            <w:r>
              <w:rPr>
                <w:rFonts w:ascii="Times New Roman" w:hAnsi="Times New Roman"/>
                <w:sz w:val="24"/>
              </w:rPr>
              <w:t>Όσον αφορά τα στοιχεία ενεργητικού που εκφράζονται σε νόμισμα το οποίο περιλαμβάνεται στον εκτελεστικό κανονισμό (ΕΕ) 2015/233 της Επιτροπής</w:t>
            </w:r>
            <w:r>
              <w:rPr>
                <w:rFonts w:ascii="Times New Roman" w:hAnsi="Times New Roman"/>
                <w:sz w:val="24"/>
                <w:vertAlign w:val="superscript"/>
              </w:rPr>
              <w:t>*</w:t>
            </w:r>
            <w:r>
              <w:rPr>
                <w:rFonts w:ascii="Times New Roman" w:hAnsi="Times New Roman"/>
                <w:sz w:val="24"/>
              </w:rPr>
              <w:t xml:space="preserve"> ως νόμισμα για το οποίο ισχύει εξαιρετικά στενός ορισμός επιλεξιμότητας από κεντρική τράπεζα, τα ιδρύματα αφήνουν το πεδίο αυτό κενό.</w:t>
            </w:r>
          </w:p>
        </w:tc>
      </w:tr>
    </w:tbl>
    <w:p w14:paraId="2BD524BD" w14:textId="629395C3" w:rsidR="00515147" w:rsidRDefault="00515147" w:rsidP="0000621C">
      <w:pPr>
        <w:pStyle w:val="InstructionsText"/>
      </w:pPr>
      <w:r>
        <w:t>_____________</w:t>
      </w:r>
    </w:p>
    <w:p w14:paraId="40F349BE" w14:textId="77777777" w:rsidR="0000621C" w:rsidRPr="0000621C" w:rsidRDefault="0000621C" w:rsidP="0000621C">
      <w:pPr>
        <w:pStyle w:val="InstructionsText"/>
      </w:pPr>
    </w:p>
    <w:p w14:paraId="56E0854E" w14:textId="4C352ECC" w:rsidR="00D02FE4" w:rsidRDefault="00515147" w:rsidP="0000621C">
      <w:pPr>
        <w:pStyle w:val="InstructionsText"/>
      </w:pPr>
      <w:r>
        <w:rPr>
          <w:vertAlign w:val="superscript"/>
        </w:rPr>
        <w:t xml:space="preserve">* </w:t>
      </w:r>
      <w:r>
        <w:t xml:space="preserve"> Εκτελεστικός κανονισμός (ΕΕ) 2015/233 της Επιτροπής, της 13ης Φεβρουαρίου 2015, για τη θέσπιση εκτελεστικών τεχνικών προτύπων σχετικά με νομίσματα για τα οποία ισχύει εξαιρετικά στενός ορισμός της επιλεξιμότητας κεντρικής τράπεζας σύμφωνα με τον κανονισμό (ΕΕ) αριθ. 575/2013 του Ευρωπαϊκού Κοινοβουλίου και του Συμβουλίου (ΕΕ L 39 της 14.2.2015, σ. 11). </w:t>
      </w:r>
    </w:p>
    <w:p w14:paraId="3F5894B3" w14:textId="7C0A04E3" w:rsidR="0000621C" w:rsidRPr="0000621C" w:rsidRDefault="0000621C" w:rsidP="0000621C">
      <w:pPr>
        <w:pStyle w:val="InstructionsText"/>
        <w:rPr>
          <w:rStyle w:val="InstructionsTabelleText"/>
          <w:bCs w:val="0"/>
        </w:rPr>
      </w:pPr>
      <w:r w:rsidRPr="0000621C">
        <w:rPr>
          <w:rStyle w:val="InstructionsTabelleText"/>
          <w:bCs w:val="0"/>
        </w:rPr>
        <w:t>»</w:t>
      </w:r>
    </w:p>
    <w:sectPr w:rsidR="0000621C" w:rsidRPr="0000621C"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224609967">
    <w:abstractNumId w:val="2"/>
  </w:num>
  <w:num w:numId="2" w16cid:durableId="483005903">
    <w:abstractNumId w:val="1"/>
  </w:num>
  <w:num w:numId="3" w16cid:durableId="137496235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621C"/>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l-G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l-GR"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00621C"/>
    <w:pPr>
      <w:spacing w:before="0" w:after="0"/>
      <w:ind w:left="33"/>
    </w:pPr>
    <w:rPr>
      <w:rFonts w:ascii="Times New Roman" w:hAnsi="Times New Roman"/>
      <w:bCs/>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00621C"/>
    <w:rPr>
      <w:bCs/>
      <w:sz w:val="24"/>
      <w:szCs w:val="24"/>
      <w:lang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l-GR" w:eastAsia="en-US" w:bidi="ar-SA"/>
    </w:rPr>
  </w:style>
  <w:style w:type="character" w:customStyle="1" w:styleId="FunoteChar">
    <w:name w:val="Fußnote Char"/>
    <w:aliases w:val=" Char Char Char"/>
    <w:semiHidden/>
    <w:rsid w:val="009D253B"/>
    <w:rPr>
      <w:rFonts w:ascii="Arial" w:hAnsi="Arial"/>
      <w:sz w:val="18"/>
      <w:lang w:val="el-G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l-G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l-G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l-GR"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l-GR"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l-GR"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el-GR"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2.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3.xml><?xml version="1.0" encoding="utf-8"?>
<ds:datastoreItem xmlns:ds="http://schemas.openxmlformats.org/officeDocument/2006/customXml" ds:itemID="{3E8528C9-0F8A-40B2-87B1-74CF3D1E809E}"/>
</file>

<file path=customXml/itemProps4.xml><?xml version="1.0" encoding="utf-8"?>
<ds:datastoreItem xmlns:ds="http://schemas.openxmlformats.org/officeDocument/2006/customXml" ds:itemID="{6F739C0F-A01B-469F-BC1A-BF4F99FCB9A2}"/>
</file>

<file path=customXml/itemProps5.xml><?xml version="1.0" encoding="utf-8"?>
<ds:datastoreItem xmlns:ds="http://schemas.openxmlformats.org/officeDocument/2006/customXml" ds:itemID="{791D3166-1B2E-41A2-AB77-BA2B51FE3C5F}"/>
</file>

<file path=docProps/app.xml><?xml version="1.0" encoding="utf-8"?>
<Properties xmlns="http://schemas.openxmlformats.org/officeDocument/2006/extended-properties" xmlns:vt="http://schemas.openxmlformats.org/officeDocument/2006/docPropsVTypes">
  <Template>Normal</Template>
  <TotalTime>0</TotalTime>
  <Pages>4</Pages>
  <Words>992</Words>
  <Characters>6261</Characters>
  <Application>Microsoft Office Word</Application>
  <DocSecurity>0</DocSecurity>
  <Lines>152</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2025-01-16T15:46:00Z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2025-01-16T15:46:18Z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f44174ce-074d-4c8f-a2a2-dc50254c2167</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