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EL</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ΠΑΡΑΡΤΗΜΑ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«ΠΑΡΑΡΤΗΜΑ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Κάλυψη ζημιών για μη εξυπηρετούμενα ανοίγματα</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sidRPr="007F7895">
        <w:rPr>
          <w:u w:val="none"/>
        </w:rPr>
        <w:tab/>
      </w:r>
      <w:r>
        <w:rPr>
          <w:rFonts w:ascii="Times New Roman" w:hAnsi="Times New Roman"/>
          <w:sz w:val="24"/>
          <w:u w:val="none"/>
        </w:rPr>
        <w:t>Γενικές παρατηρήσεις</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202</w:t>
      </w:r>
      <w:r>
        <w:fldChar w:fldCharType="end"/>
      </w:r>
      <w:r>
        <w:t>. Τα υποδείγματα κάλυψης ζημιών για μη εξυπηρετούμενα ανοίγματα (ΜΕΑ) περιέχουν πληροφορίες για τα μη εξυπηρετούμενα ανοίγματα για τους σκοπούς του υπολογισμού της απαίτησης ελάχιστης κάλυψης ζημιών για τα μη εξυπηρετούμενα ανοίγματα όπως ορίζονται στα άρθρα 47α, 47β και 47γ του κανονισμού (ΕΕ) αριθ. 575/2013.</w:t>
      </w:r>
    </w:p>
    <w:p w14:paraId="00E13494" w14:textId="7777777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203</w:t>
      </w:r>
      <w:r>
        <w:fldChar w:fldCharType="end"/>
      </w:r>
      <w:r>
        <w:t>. Η δέσμη υποδειγμάτων αποτελείται από ένα σύνολο τριών υποδειγμάτων:</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Ο υπολογισμός των αφαιρέσεων για τα ΜΕΑ (C 35.01): αυτό είναι υπόδειγμα επισκόπησης το οποίο παρουσιάζει το εφαρμοστέο ποσό ανεπαρκούς κάλυψης, υπολογισμένο ως η διαφορά μεταξύ των συνολικών απαιτήσεων ελάχιστης κάλυψης για τα ΜΕΑ και τις συνολικές προβλέψεις και προσαρμογές ή αφαιρέσεις που έχουν ήδη διενεργηθεί. Το υπόδειγμα καλύπτει τόσο τα μη εξυπηρετούμενα ανοίγματα για τα οποία δεν έχει εγκριθεί μέτρο ρύθμισης όσο και τα μη εξυπηρετούμενα ανοίγματα με ρύθμιση.</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Απαιτήσεις ελάχιστης κάλυψης και αξίες ανοίγματος των μη εξυπηρετούμενων ανοιγμάτων, εξαιρουμένων των ανοιγμάτων με ρύθμιση που εμπίπτουν στο άρθρο 47γ παράγραφος 6 του κανονισμού (ΕΕ) αριθ. 575/2013 (C 35.02): το υπόδειγμα υπολογίζει τις συνολικές απαιτήσεις ελάχιστης κάλυψης για τα μη εξυπηρετούμενα ανοίγματα τα οποία δεν αποτελούν μη εξυπηρετούμενα ανοίγματα με ρύθμιση που εμπίπτουν στο άρθρο 47γ παράγραφος 6 του κανονισμού (ΕΕ) αριθ. 575/2013, αναφέροντας τους συντελεστές που πρέπει να εφαρμοστούν στις αξίες ανοίγματος 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Απαιτήσεις ελάχιστης κάλυψης και αξίες ανοίγματος των μη εξυπηρετούμενων ανοιγμάτων με ρύθμιση που εμπίπτουν στο άρθρο 47γ παράγραφος 6 του κανονισμού (ΕΕ) αριθ. 575/2013 (C 35.03): το υπόδειγμα υπολογίζει τις συνολικές απαιτήσεις ελάχιστης κάλυψης για τα μη εξυπηρετούμενα ανοίγματα με ρύθμιση που εμπίπτουν στο άρθρο 47γ παράγραφος 6 του κανονισμού (ΕΕ) αριθ. 575/2013, αναφέροντας τους συντελεστές που πρέπει να εφαρμοστούν στις αξίες ανοίγματος </w:t>
      </w:r>
      <w:r>
        <w:rPr>
          <w:rFonts w:ascii="Times New Roman" w:hAnsi="Times New Roman"/>
          <w:sz w:val="24"/>
        </w:rPr>
        <w:lastRenderedPageBreak/>
        <w:t xml:space="preserve">για τους σκοπούς του υπολογισμού αυτού ανάλογα με το αν πρόκειται για εξασφαλισμένο ή μη εξασφαλισμένο άνοιγμα και ανάλογα με τον χρόνο που έχει παρέλθει από τη στιγμή κατά την οποία το άνοιγμα κατέστη μη εξυπηρετούμενο. </w:t>
      </w:r>
    </w:p>
    <w:p w14:paraId="00581AE0" w14:textId="6EF53D3E"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204</w:t>
      </w:r>
      <w:r>
        <w:fldChar w:fldCharType="end"/>
      </w:r>
      <w:r>
        <w:t>. Η απαίτηση ελάχιστης κάλυψης ζημιών για τα μη εξυπηρετούμενα ανοίγματα εφαρμόζεται σε i) ανοίγματα τα οποία δημιουργήθηκαν από την 26η Απριλίου 2019 και έπειτα, τα οποία καθίστανται μη εξυπηρετούμενα, και ii) ανοίγματα που δημιουργήθηκαν πριν από τις 26 Απριλίου 2019 εάν τροποποιήθηκαν μετά την εν λόγω ημερομηνία κατά τρόπο που να αυξάνει την αξία ανοίγματός τους στον πιστούχο [άρθρο 469α του κανονισμού (ΕΕ) αριθ. 575/2013], και τα οποία καθίστανται μη εξυπηρετούμενα. Σύμφωνα με το άρθρο 47γ παράγραφος 4α του κανονισμού (ΕΕ) αριθ. 575/2013, η απαίτηση ελάχιστης κάλυψης ζημιών δεν ισχύει για το τμήμα του μη εξυπηρετούμενου ανοίγματος που είναι εγγυημένο ή ασφαλισμένο από επίσημο οργανισμό εξαγωγικών πιστώσεων.</w:t>
      </w:r>
    </w:p>
    <w:p w14:paraId="4F0BBD38" w14:textId="513B7167" w:rsidR="00E7212E" w:rsidRPr="002A677E" w:rsidRDefault="00E7212E" w:rsidP="00E7212E">
      <w:pPr>
        <w:pStyle w:val="InstructionsText2"/>
        <w:numPr>
          <w:ilvl w:val="0"/>
          <w:numId w:val="0"/>
        </w:numPr>
        <w:ind w:left="993"/>
      </w:pPr>
      <w:r>
        <w:fldChar w:fldCharType="begin"/>
      </w:r>
      <w:r>
        <w:instrText xml:space="preserve"> seq paragraphs </w:instrText>
      </w:r>
      <w:r>
        <w:fldChar w:fldCharType="separate"/>
      </w:r>
      <w:r>
        <w:t>205</w:t>
      </w:r>
      <w:r>
        <w:fldChar w:fldCharType="end"/>
      </w:r>
      <w:r>
        <w:t>. Τα ιδρύματα υπολογίζουν τις αφαιρέσεις για τα ΜΕΑ σύμφωνα με το άρθρο 47γ παράγραφος 1 στοιχεία α) και β) του κανονισμού (ΕΕ) αριθ. 575/2013, συμπεριλαμβανομένου του υπολογισμού των απαιτήσεων ελάχιστης κάλυψης και των συνολικών προβλέψεων και προσαρμογών ή αφαιρέσεων, σε επίπεδο μεμονωμένου ανοίγματος (“βάσει συναλλαγής”) και όχι σε επίπεδο οφειλέτη ή χαρτοφυλακίου.</w:t>
      </w:r>
    </w:p>
    <w:p w14:paraId="1066EFE1" w14:textId="77777777" w:rsidR="00E7212E" w:rsidRPr="002A677E" w:rsidRDefault="00E7212E" w:rsidP="00E7212E">
      <w:pPr>
        <w:pStyle w:val="InstructionsText2"/>
        <w:numPr>
          <w:ilvl w:val="0"/>
          <w:numId w:val="0"/>
        </w:numPr>
        <w:ind w:left="993"/>
        <w:rPr>
          <w:noProof/>
        </w:rPr>
      </w:pPr>
      <w:r>
        <w:fldChar w:fldCharType="begin"/>
      </w:r>
      <w:r>
        <w:instrText xml:space="preserve"> seq paragraphs </w:instrText>
      </w:r>
      <w:r>
        <w:fldChar w:fldCharType="separate"/>
      </w:r>
      <w:r>
        <w:t>206</w:t>
      </w:r>
      <w:r>
        <w:fldChar w:fldCharType="end"/>
      </w:r>
      <w:r>
        <w:t>. Για τους σκοπούς του υπολογισμού των αφαιρέσεων για τα ΜΕΑ, τα ιδρύματα διαφοροποιούν το εξασφαλισμένο από το μη εξασφαλισμένο τμήμα ενός ΜΕΑ σύμφωνα με το άρθρο 47γ παράγραφος 1 του κανονισμού (ΕΕ) αριθ. 575/2013. Για τον σκοπό αυτόν, τα ιδρύματα αναφέρουν τις αξίες ανοίγματος και τις απαιτήσεις ελάχιστης κάλυψης χωριστά για το μη εξασφαλισμένο τμήμα των ΜΕΑ και το εξασφαλισμένο τμήμα των ΜΕΑ.</w:t>
      </w:r>
    </w:p>
    <w:bookmarkStart w:id="2" w:name="_Toc522019774"/>
    <w:p w14:paraId="782A124B" w14:textId="2131E94E" w:rsidR="00C6168C" w:rsidRDefault="00E7212E" w:rsidP="002567E9">
      <w:pPr>
        <w:pStyle w:val="InstructionsText2"/>
        <w:numPr>
          <w:ilvl w:val="0"/>
          <w:numId w:val="0"/>
        </w:numPr>
        <w:ind w:left="993"/>
        <w:rPr>
          <w:noProof/>
        </w:rPr>
      </w:pPr>
      <w:r>
        <w:fldChar w:fldCharType="begin"/>
      </w:r>
      <w:r>
        <w:instrText xml:space="preserve"> seq paragraphs </w:instrText>
      </w:r>
      <w:r>
        <w:fldChar w:fldCharType="separate"/>
      </w:r>
      <w:r>
        <w:t>207</w:t>
      </w:r>
      <w:r>
        <w:fldChar w:fldCharType="end"/>
      </w:r>
      <w:r>
        <w:t>. Για τους σκοπούς αντιστοίχισης των σχετικών εφαρμοστέων συντελεστών και υπολογισμού των απαιτήσεων ελάχιστης κάλυψης, τα ιδρύματα ταξινομούν το εξασφαλισμένο τμήμα των ΜΕΑ ανάλογα με το είδος πιστωτικής προστασίας σύμφωνα με το άρθρο 47γ παράγραφος 3 του κανονισμού (ΕΕ) αριθ. 575/2013, ως εξής: i) “εξασφαλισμένο με ακίνητη περιουσία ή στεγαστικό δάνειο εγγυημένο από επιλέξιμο πάροχο προστασίας που αναφέρεται στο άρθρο 201”, ii) “εξασφαλισμένο από άλλη χρηματοδοτούμενη ή μη χρηματοδοτούμενη πιστωτική προστασία” ή iii) “εγγυημένο ή αντεγγυημένο από επιλέξιμο πάροχο προστασίας”. Όταν ένα μη εξυπηρετούμενο άνοιγμα εξασφαλίζεται από περισσότερα του ενός είδη πιστωτικής προστασίας, η αξία ανοίγματός του κατανέμεται σύμφωνα με την ποιότητα της πιστωτικής προστασίας, αρχής γενομένης από αυτή με την καλύτερη ποιότητα.</w:t>
      </w:r>
    </w:p>
    <w:p w14:paraId="2778C954" w14:textId="1C8C1115" w:rsidR="00C6168C" w:rsidRPr="00C6168C" w:rsidRDefault="00C6168C" w:rsidP="00C6168C">
      <w:pPr>
        <w:pStyle w:val="InstructionsText2"/>
        <w:numPr>
          <w:ilvl w:val="0"/>
          <w:numId w:val="0"/>
        </w:numPr>
        <w:ind w:left="993"/>
        <w:rPr>
          <w:noProof/>
        </w:rPr>
      </w:pPr>
      <w:r>
        <w:t xml:space="preserve">207α.  Σύμφωνα με το άρθρο 36 παράγραφος 5 του κανονισμού (ΕΕ) αριθ. 575/2013, τα εξειδικευμένα ιδρύματα αναδιάρθρωσης χρέους αναφέρουν όλα τα σχετικά ανοίγματα, συμπεριλαμβανομένων των μη εξυπηρετούμενων ανοιγμάτων που αγοράζονται από τα εν λόγω ιδρύματα, στα υποδείγματα C35.01 έως C35.03 και συμπληρώνουν μηδενικό εφαρμοστέο ποσό ανεπαρκούς κάλυψης του αγορασθέντος τμήματος στη γραμμή 0010 του C35.01.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lastRenderedPageBreak/>
        <w:t xml:space="preserve">8.2. C 35.01 – </w:t>
      </w:r>
      <w:bookmarkEnd w:id="2"/>
      <w:r>
        <w:rPr>
          <w:rFonts w:ascii="Times New Roman" w:hAnsi="Times New Roman"/>
          <w:sz w:val="24"/>
          <w:u w:val="none"/>
        </w:rPr>
        <w:t>Ο ΥΠΟΛΟΓΙΣΜΟΣ ΤΩΝ ΑΦΑΙΡΕΣΕΩΝ ΓΙΑ ΤΑ ΜΗ ΕΞΥΠΗΡΕΤΟΥΜΕΝΑ ΑΝΟΙΓΜΑΤΑ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Οδηγίες για συγκεκριμένες θέσεις</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στα μη εξυπηρετούμενα</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Ως “χρόνος που έχει παρέλθει από την ταξινόμηση των ανοιγμάτων ως μη εξυπηρετούμενων” νοείται ο χρόνος σε έτη που έχει παρέλθει από την ταξινόμηση των ανοιγμάτων ως μη εξυπηρετούμενων έως την ημερομηνία αναφοράς. Για τα αγορασμένα μη εξυπηρετούμενα ανοίγματα, ο χρόνος σε έτη αρχίζει να υπολογίζεται από την ημερομηνία κατά την οποία το άνοιγμα ταξινομήθηκε αρχικά ως μη εξυπηρετούμενο και όχι από την ημερομηνία αγοράς. </w:t>
            </w:r>
          </w:p>
          <w:p w14:paraId="4D6DCF87" w14:textId="77777777" w:rsidR="00E7212E" w:rsidRPr="002A677E" w:rsidRDefault="00E7212E" w:rsidP="00BF7D57">
            <w:pPr>
              <w:rPr>
                <w:rFonts w:ascii="Times New Roman" w:hAnsi="Times New Roman"/>
                <w:sz w:val="24"/>
              </w:rPr>
            </w:pPr>
            <w:r>
              <w:rPr>
                <w:rFonts w:ascii="Times New Roman" w:hAnsi="Times New Roman"/>
                <w:sz w:val="24"/>
              </w:rPr>
              <w:t>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08BF43EA" w14:textId="77777777" w:rsidR="00E7212E" w:rsidRPr="002A677E" w:rsidRDefault="00E7212E" w:rsidP="00BF7D57">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Σύνολο</w:t>
            </w:r>
          </w:p>
          <w:p w14:paraId="785D55A5" w14:textId="77777777" w:rsidR="00E7212E" w:rsidRPr="002A677E" w:rsidRDefault="00E7212E" w:rsidP="00BF7D57">
            <w:pPr>
              <w:rPr>
                <w:rFonts w:ascii="Times New Roman" w:hAnsi="Times New Roman"/>
                <w:sz w:val="24"/>
              </w:rPr>
            </w:pPr>
            <w:r>
              <w:rPr>
                <w:rFonts w:ascii="Times New Roman" w:hAnsi="Times New Roman"/>
                <w:sz w:val="24"/>
              </w:rPr>
              <w:t>Τα ιδρύματα αναφέρουν το άθροισμα όλων των στηλών από 0010 έως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Εφαρμοστέο ποσό ανεπαρκούς κάλυψης</w:t>
            </w:r>
          </w:p>
          <w:p w14:paraId="07CA6C51"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του κανονισμού (ΕΕ) αριθ. 575/2013</w:t>
            </w:r>
          </w:p>
          <w:p w14:paraId="7BAA1E96" w14:textId="77777777" w:rsidR="00E7212E" w:rsidRPr="002A677E" w:rsidRDefault="00E7212E" w:rsidP="00BF7D57">
            <w:pPr>
              <w:rPr>
                <w:rFonts w:ascii="Times New Roman" w:hAnsi="Times New Roman"/>
                <w:sz w:val="24"/>
              </w:rPr>
            </w:pPr>
            <w:r>
              <w:rPr>
                <w:rFonts w:ascii="Times New Roman" w:hAnsi="Times New Roman"/>
                <w:sz w:val="24"/>
              </w:rPr>
              <w:t>Για τον υπολογισμό του εφαρμοστέου ποσού ανεπαρκούς κάλυψης, τα ιδρύματα αφαιρούν τις συνολικές προβλέψεις και τις προσαρμογές ή αφαιρέσεις (με ανώτατο όριο) (γραμμή 0080) από τη συνολική απαίτηση ελάχιστης κάλυψης για μη εξυπηρετούμενα ανοίγματα (γραμμή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Το εφαρμοστέο ποσό ανεπαρκούς κάλυψης (δηλαδή η υστέρηση στη συνολική απαίτηση ελάχιστης κάλυψης για μη εξυπηρετούμενα ανοίγματα) ισούται με ή είναι μεγαλύτερο από το μηδέν.</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Συνολική απαίτηση ελάχιστης κάλυψης για μη εξυπηρετούμενα ανοίγματα</w:t>
            </w:r>
          </w:p>
          <w:p w14:paraId="649C7EAB"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του κανονισμού (ΕΕ) αριθ. 575/2013</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Για τον υπολογισμό της συνολικής απαίτησης ελάχιστης κάλυψης για μη εξυπηρετούμενα ανοίγματα, τα ιδρύματα αθροίζουν την απαίτηση ελάχιστης κάλυψης για το μη </w:t>
            </w:r>
            <w:r>
              <w:rPr>
                <w:rFonts w:ascii="Times New Roman" w:hAnsi="Times New Roman"/>
                <w:sz w:val="24"/>
              </w:rPr>
              <w:lastRenderedPageBreak/>
              <w:t xml:space="preserve">εξασφαλισμένο τμήμα των ΜΕΑ (γραμμή 0030) και για το εξασφαλισμένο τμήμα των ΜΕΑ (γραμμή 0040).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κανονισμού (ΕΕ) αριθ. 575/2013</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Το ίδρυμα αναφέρει τη συνολική απαίτηση ελάχιστης κάλυψης για το μη εξασφαλισμένο τμήμα των ΜΕΑ, δηλαδή το σύνολο των υπολογισμών σε επίπεδο ανοίγματος.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Το αναφερόμενο ποσό σε κάθε στήλη ισούται με το άθροισμα των ποσών που αναφέρονται στη γραμμή 0020 του C 35.02 και στη γραμμή 0020 του C 35.03 (κατά περίπτωση) στις αντίστοιχες στήλες.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Εξασφαλισμένο τμήμα των ΜΕΑ</w:t>
            </w:r>
          </w:p>
          <w:p w14:paraId="12886933"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ii), άρθρο 47γ παράγραφος 3, άρθρο 47γ παράγραφος 4, άρθρο 47γ παράγραφος 6 του κανονισμού (ΕΕ) αριθ. 575/2013.</w:t>
            </w:r>
          </w:p>
          <w:p w14:paraId="16387A62" w14:textId="77777777" w:rsidR="00E7212E" w:rsidRPr="002A677E" w:rsidRDefault="00E7212E" w:rsidP="00BF7D57">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το εξασφαλισμένο τμήμα των ΜΕΑ, δηλαδή το σύνολο των υπολογισμών σε επίπεδο ανοίγματος.</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Το αναφερόμενο ποσό σε κάθε στήλη ισούται με το άθροισμα των ποσών που αναφέρονται στη γραμμή 0030-0045 του C 35.02 και στη γραμμή 0030-0040 του C 35.03 (κατά περίπτωση) στις αντίστοιχες στήλες.</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Αξία ανοίγματος</w:t>
            </w:r>
          </w:p>
          <w:p w14:paraId="3D274535" w14:textId="77777777" w:rsidR="00E7212E" w:rsidRPr="002A677E" w:rsidRDefault="00E7212E" w:rsidP="00BF7D57">
            <w:pPr>
              <w:rPr>
                <w:rFonts w:ascii="Times New Roman" w:hAnsi="Times New Roman"/>
                <w:sz w:val="24"/>
              </w:rPr>
            </w:pPr>
            <w:r>
              <w:rPr>
                <w:rFonts w:ascii="Times New Roman" w:hAnsi="Times New Roman"/>
                <w:sz w:val="24"/>
              </w:rPr>
              <w:t>Άρθρο 47α παράγραφος 2 του κανονισμού (ΕΕ) αριθ. 575/2013</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Τα ιδρύματα αναφέρουν τη συνολική αξία ανοίγματος των ΜΕΑ συμπεριλαμβανομένων αμφότερων των εξασφαλισμένων και μη εξασφαλισμένων ανοιγμάτων. Αντιστοιχεί στο άθροισμα της γραμμής 0060 και της γραμμής 0070.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Μη εξασφαλισμένο τμήμα των ΜΕΑ</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Άρθρο 47α παράγραφος 2 και άρθρο 47γ παράγραφος 1 του κανονισμού (ΕΕ) αριθ. 575/2013</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Εξασφαλισμένο τμήμα των ΜΕΑ</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Άρθρο 47α παράγραφος 2 και άρθρο 47γ παράγραφος 1 του κανονισμού (ΕΕ) αριθ. 575/2013</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(με ανώτατο όριο)</w:t>
            </w:r>
          </w:p>
          <w:p w14:paraId="1063BD06" w14:textId="77777777" w:rsidR="00E7212E" w:rsidRPr="002A677E" w:rsidRDefault="00E7212E" w:rsidP="00BF7D57">
            <w:pPr>
              <w:rPr>
                <w:rFonts w:ascii="Times New Roman" w:hAnsi="Times New Roman"/>
                <w:sz w:val="24"/>
              </w:rPr>
            </w:pPr>
            <w:r>
              <w:rPr>
                <w:rFonts w:ascii="Times New Roman" w:hAnsi="Times New Roman"/>
                <w:sz w:val="24"/>
              </w:rPr>
              <w:t>Τα ιδρύματα αναφέρουν το ανώτατο ποσό του αθροίσματος των στοιχείων που παρατίθενται στις γραμμές 0100-0150 σύμφωνα με το άρθρο 47γ παράγραφος 1 στοιχείο β) του κανονισμού (ΕΕ) αριθ. 575/2013. Το ανώτατο όριο για τις ανώτατες προβλέψεις και προσαρμογές ή αφαιρέσεις είναι το ποσό της απαίτησης ελάχιστης κάλυψης σε επίπεδο ανοίγματος.</w:t>
            </w:r>
          </w:p>
          <w:p w14:paraId="5D5758AF" w14:textId="77777777" w:rsidR="00E7212E" w:rsidRPr="002A677E" w:rsidRDefault="00E7212E" w:rsidP="00BF7D57">
            <w:pPr>
              <w:rPr>
                <w:rFonts w:ascii="Times New Roman" w:hAnsi="Times New Roman"/>
                <w:sz w:val="24"/>
              </w:rPr>
            </w:pPr>
            <w:r>
              <w:rPr>
                <w:rFonts w:ascii="Times New Roman" w:hAnsi="Times New Roman"/>
                <w:sz w:val="24"/>
              </w:rPr>
              <w:t>Το ανώτατο ποσό υπολογίζεται χωριστά για κάθε άνοιγμα ως το χαμηλότερο ποσό μεταξύ της απαίτησης ελάχιστης κάλυψης για το εν λόγω άνοιγμα και των συνολικών προβλέψεων και προσαρμογών ή αφαιρέσεων για το ίδιο άνοιγμα.</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Συνολικές προβλέψεις και προσαρμογές ή αφαιρέσεις (χωρίς ανώτατο όριο)</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Τα ιδρύματα αναφέρουν το άθροισμα των ποσών, χωρίς ανώτατο όριο, των στοιχείων που παρατίθενται στις γραμμές 0100-0150 σύμφωνα με το άρθρο 47γ παράγραφος 1 στοιχείο β) του κανονισμού (ΕΕ) αριθ. 575/2013. Οι προβλέψεις και προσαρμογές ή αφαιρέσεις (χωρίς ανώτατο όριο) δεν περιορίζονται στο ποσό της απαίτησης ελάχιστης κάλυψης σε επίπεδο ανοίγματος.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Ειδικές προσαρμογές πιστωτικού κινδύνου</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Άρθρο 47γ παράγραφος 1 στοιχείο β) σημείο i) του κανονισμού (ΕΕ) αριθ. 575/2013</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Πρόσθετες προσαρμογές αποτίμησης</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Άρθρο 47γ παράγραφος 1 στοιχείο β) σημείο ii) του κανονισμού (ΕΕ) αριθ. 575/2013</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Άλλες μειώσεις ιδίων κεφαλαίων</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Άρθρο 47γ παράγραφος 1 στοιχείο β) σημείο iii) του κανονισμού (ΕΕ) αριθ. 575/2013</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Υστέρηση IRB</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Άρθρο 47γ παράγραφος 1 στοιχείο β) σημείο iv) του κανονισμού (ΕΕ) αριθ. 575/2013</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Διαφορά μεταξύ της τιμής αγοράς και οφειλόμενου από τον οφειλέτη ποσού</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Άρθρο 47γ παράγραφος 1 στοιχείο β) σημείο v) του κανονισμού (ΕΕ) αριθ. 575/2013</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Ποσά που διαγράφει το ίδρυμα μετά την ταξινόμηση του ανοίγματος ως μη εξυπηρετούμενου</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Άρθρο 47γ παράγραφος 1 στοιχείο β) σημείο vi) του κανονισμού (ΕΕ) αριθ. 575/2013</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ΑΠΑΙΤΗΣΕΙΣ ΕΛΑΧΙΣΤΗΣ ΚΑΛΥΨΗΣ ΚΑΙ ΑΞΙΕΣ ΑΝΟΙΓΜΑΤΟΣ ΜΗ ΕΞΥΠΗΡΕΤΟΥΜΕΝΩΝ ΑΝΟΙΓΜΑΤΩΝ ΕΞΑΙΡΟΥΜΕΝΩΝ ΤΩΝ ΑΝΟΙΓΜΑΤΩΝ ΜΕ ΡΥΘΜΙΣΗ ΠΟΥ ΕΜΠΙΠΤΟΥΝ ΣΤΟ ΑΡΘΡΟ 47Γ ΠΑΡΑΓΡΑΦΟΣ 6 ΤΟΥ ΚΑΝΟΝΙΣΜΟΥ (ΕΕ) ΑΡΙΘ. 575/2013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Οδηγίες για συγκεκριμένες θέσεις</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στα μη εξυπηρετούμενα</w:t>
            </w:r>
          </w:p>
          <w:p w14:paraId="27559F86" w14:textId="77777777" w:rsidR="00E7212E" w:rsidRPr="002A677E" w:rsidRDefault="00E7212E" w:rsidP="00BF7D57">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1AD59E7D" w14:textId="77777777" w:rsidR="00E7212E" w:rsidRPr="002A677E" w:rsidRDefault="00E7212E" w:rsidP="00BF7D57">
            <w:pPr>
              <w:rPr>
                <w:rFonts w:ascii="Times New Roman" w:hAnsi="Times New Roman"/>
                <w:sz w:val="24"/>
              </w:rPr>
            </w:pPr>
            <w:r>
              <w:rPr>
                <w:rFonts w:ascii="Times New Roman" w:hAnsi="Times New Roman"/>
                <w:sz w:val="24"/>
              </w:rPr>
              <w:t xml:space="preserve">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w:t>
            </w:r>
            <w:r>
              <w:rPr>
                <w:rFonts w:ascii="Times New Roman" w:hAnsi="Times New Roman"/>
                <w:sz w:val="24"/>
              </w:rPr>
              <w:lastRenderedPageBreak/>
              <w:t>περίοδο μεταξύ της πρώτης και της τελευταίας ημέρας του έτους Υ μετά την ταξινόμηση των εν λόγω ανοιγμάτων ως μη εξυπηρετούμενων.</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Σύνολο</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Τα ιδρύματα αναφέρουν το άθροισμα όλων των στηλών από 0010 έως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Συνολική απαίτηση ελάχιστης κάλυψης</w:t>
            </w:r>
          </w:p>
          <w:p w14:paraId="182F35CE"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του κανονισμού (ΕΕ) αριθ. 575/2013</w:t>
            </w:r>
          </w:p>
          <w:p w14:paraId="662FCE5D" w14:textId="79E2CFC8" w:rsidR="00E7212E" w:rsidRPr="002A677E" w:rsidRDefault="00E7212E" w:rsidP="00BF7D57">
            <w:pPr>
              <w:rPr>
                <w:rFonts w:ascii="Times New Roman" w:hAnsi="Times New Roman"/>
                <w:sz w:val="24"/>
              </w:rPr>
            </w:pPr>
            <w:r>
              <w:rPr>
                <w:rFonts w:ascii="Times New Roman" w:hAnsi="Times New Roman"/>
                <w:sz w:val="24"/>
              </w:rPr>
              <w:t>Για τον υπολογισμό της συνολικής απαίτησης ελάχιστης κάλυψης για μη εξυπηρετούμενα ανοίγματα, εξαιρουμένων των ανοιγμάτων με ρύθμιση που εμπίπτουν στο άρθρο 47γ παράγραφος 6 του κανονισμού (ΕΕ) αριθ. 575/2013, τα ιδρύματα αθροίζουν την απαίτηση ελάχιστης κάλυψης για το μη εξασφαλισμένο τμήμα των ΜΕΑ (γραμμή 0020) και την απαίτηση ελάχιστης κάλυψης για το εξασφαλισμένο τμήμα των ΜΕΑ (γραμμές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Μη εξασφαλισμένο τμήμα των ΜΕΑ</w:t>
            </w:r>
          </w:p>
          <w:p w14:paraId="27ED7CA9"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 άρθρο 47γ παράγραφος 2 του κανονισμού (ΕΕ) αριθ. 575/2013</w:t>
            </w:r>
          </w:p>
          <w:p w14:paraId="5CD4163E" w14:textId="77777777" w:rsidR="00E7212E" w:rsidRPr="002A677E" w:rsidRDefault="00E7212E" w:rsidP="00BF7D57">
            <w:pPr>
              <w:rPr>
                <w:rFonts w:ascii="Times New Roman" w:hAnsi="Times New Roman"/>
                <w:sz w:val="24"/>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0070 με τον αντίστοιχο συντελεστή ανά στήλη.</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Τμήμα των ΜΕΑ που εξασφαλίζεται με ακίνητη περιουσία ή αποτελεί στεγαστικό δάνειο εγγυημένο από επιλέξιμο πάροχο προστασίας </w:t>
            </w:r>
          </w:p>
          <w:p w14:paraId="1AB54B5D"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ii) και άρθρο 47γ παράγραφος 3 στοιχεία α), β), γ), δ), στ), η) και θ) του κανονισμού (ΕΕ) αριθ. 575/2013</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0080 με τον αντίστοιχο συντελεστή ανά στήλη.</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5857E4F4"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ii) και άρθρο 47γ παράγραφος 3 στοιχεία α), β), γ), ε) και ζ) του κανονισμού (ΕΕ) αριθ. 575/2013</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Η απαίτηση ελάχιστης κάλυψης υπολογίζεται πολλαπλασιάζοντας τις συνολικές αξίες ανοίγματος στη γραμμή 0090 με τον αντίστοιχο συντελεστή ανά στήλη.</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Τμήμα των ΜΕΑ εγγυημένο ή αντεγγυημένο από επιλέξιμο πάροχο προστασίας</w:t>
            </w:r>
          </w:p>
          <w:p w14:paraId="4C97CF34" w14:textId="77777777" w:rsidR="00920721" w:rsidRDefault="00EB1058" w:rsidP="00BF7D57">
            <w:pPr>
              <w:jc w:val="left"/>
              <w:rPr>
                <w:rFonts w:ascii="Times New Roman" w:hAnsi="Times New Roman"/>
                <w:sz w:val="24"/>
              </w:rPr>
            </w:pPr>
            <w:r>
              <w:rPr>
                <w:rFonts w:ascii="Times New Roman" w:hAnsi="Times New Roman"/>
                <w:sz w:val="24"/>
              </w:rPr>
              <w:t>Άρθρο 47γ παράγραφος 4 στοιχείο β) του κανονισμού (ΕΕ) αριθ. 575/2013.</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Η απαίτηση ελάχιστης κάλυψης υπολογίζεται με τον πολλαπλασιασμό των συνολικών αξιών ανοίγματος των γραμμών 0110 και 0120 επί τους αντίστοιχους συντελεστές ανά στήλη.</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Αξία ανοίγματος</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lastRenderedPageBreak/>
              <w:t>Άρθρο 47α παράγραφος 2 του κανονισμού (ΕΕ) αριθ. 575/2013</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Για τον υπολογισμό της γραμμής 0060, τα ιδρύματα αθροίζουν τις αναφερόμενες αξίες ανοίγματος για το μη εξασφαλισμένο τμήμα των ΜΕΑ (γραμμή 0070), το τμήμα των ΜΕΑ που εξασφαλίζεται με ακίνητη περιουσία ή αποτελεί στεγαστικό δάνειο εγγυημένο από επιλέξιμο πάροχο προστασίας (γραμμή 0080), το τμήμα των ΜΕΑ που εξασφαλίζεται από άλλη χρηματοδοτούμενη ή μη χρηματοδοτούμενη πιστωτική προστασία (γραμμή 0090) και το τμήμα των ΜΕΑ που είναι εγγυημένο ή αντεγγυημένο από επιλέξιμο πάροχο προστασίας (γραμμές 0110 και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Μη εξασφαλισμένο τμήμα των ΜΕΑ</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Άρθρο 47α παράγραφος 2, άρθρο 47γ παράγραφος 1, άρθρο 47γ παράγραφος 2 του κανονισμού (ΕΕ) αριθ. 575/2013</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Τα ιδρύματα αναφέρουν τη συνολική αξία ανοίγματος του μη εξασφαλισμένου τμήματος των ΜΕΑ κατανεμημένη με βάση τον χρόνο που έχει παρέλθει από την ταξινόμηση των ανοιγμάτων ως μη εξυπηρετούμενων.</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353C8B9D" w14:textId="77777777" w:rsidR="00E7212E" w:rsidRPr="002A677E" w:rsidRDefault="00E7212E" w:rsidP="00BF7D57">
            <w:pPr>
              <w:rPr>
                <w:rFonts w:ascii="Times New Roman" w:hAnsi="Times New Roman"/>
                <w:sz w:val="24"/>
              </w:rPr>
            </w:pPr>
            <w:r>
              <w:rPr>
                <w:rFonts w:ascii="Times New Roman" w:hAnsi="Times New Roman"/>
                <w:sz w:val="24"/>
              </w:rPr>
              <w:t>Άρθρο 47α παράγραφος 2, άρθρο 47γ παράγραφος 1 και άρθρο 47γ παράγραφος 3 στοιχεία α), β), γ), δ), στ), η) και θ) του κανονισμού (ΕΕ) αριθ. 575/2013</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που είναι εξασφαλισμένα με ακίνητη περιουσία δυνάμει του τρίτου μέρους τίτλος II του κανονισμού (ΕΕ) αριθ. 575/2013 ή αποτελούν στεγαστικά δάνεια εγγυημένα από επιλέξιμο πάροχο προστασίας όπως αναφέρεται στο άρθρο 201 του εν λόγω κανονισμού.</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Άρθρο 47α παράγραφος 2, άρθρο 47γ παράγραφος 1 και άρθρο 47γ παράγραφος 3 στοιχεία α), β), γ), ε) και ζ) του κανονισμού (ΕΕ) αριθ. 575/2013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Τα ιδρύματα αναφέρουν τη συνολική αξία ανοίγματος των τμημάτων των ΜΕΑ που είναι εξασφαλισμένα από άλλη χρηματοδοτούμενη ή μη χρηματοδοτούμενη πιστωτική προστασία δυνάμει του τρίτου μέρους τίτλος II του κανονισμού (ΕΕ) αριθ. 575/2013.</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Τμήμα των ΜΕΑ εγγυημένο ή αντεγγυημένο από επιλέξιμο πάροχο προστασίας (συντελεστής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Άρθρο 47γ παράγραφος 4 στοιχείο β) του κανονισμού (ΕΕ) αριθ. 575/2013 (συντελεστής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Τμήμα των ΜΕΑ εγγυημένο ή αντεγγυημένο από επιλέξιμο πάροχο προστασίας (συντελεστής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Άρθρο 47γ παράγραφος 4 στοιχεία α) και β) του κανονισμού (ΕΕ) αριθ. 575/2013 (συντελεστής 0). Ανοίγματα για τα οποία επιλέξιμος πάροχος προστασίας συμφώνησε να εκπληρώσει όλες τις υποχρεώσεις πληρωμής του οφειλέτη έναντι του ιδρύματος εξ ολοκλήρου και σύμφωνα με το αρχικό χρονοδιάγραμμα συμβατικών πληρωμών θα πρέπει να αναφέρονται στη γραμμή 0120 (για όλες τις χρονικές περιόδους)</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lastRenderedPageBreak/>
        <w:t>C 35.03 — ΑΠΑΙΤΗΣΕΙΣ ΕΛΑΧΙΣΤΗΣ ΚΑΛΥΨΗΣ ΚΑΙ ΑΞΙΕΣ ΑΝΟΙΓΜΑΤΟΣ ΜΗ ΕΞΥΠΗΡΕΤΟΥΜΕΝΩΝ ΑΝΟΙΓΜΑΤΩΝ ΜΕ ΡΥΘΜΙΣΗ ΠΟΥ ΕΜΠΙΠΤΟΥΝ ΣΤΟ ΑΡΘΡΟ 47Γ ΠΑΡΑΓΡΑΦΟΣ 6 ΤΟΥ ΚΑΝΟΝΙΣΜΟΥ (ΕΕ) ΑΡΙΘ. 575/2013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Οδηγίες για συγκεκριμένες θέσεις</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Στήλες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Χρόνος που έχει παρέλθει από την ταξινόμηση των ανοιγμάτων στα μη εξυπηρετούμενα</w:t>
            </w:r>
          </w:p>
          <w:p w14:paraId="6028F7B7" w14:textId="77777777" w:rsidR="00E7212E" w:rsidRPr="002A677E" w:rsidRDefault="00E7212E" w:rsidP="00BF7D57">
            <w:pPr>
              <w:rPr>
                <w:rFonts w:ascii="Times New Roman" w:hAnsi="Times New Roman"/>
                <w:sz w:val="24"/>
              </w:rPr>
            </w:pPr>
            <w:r>
              <w:rPr>
                <w:rFonts w:ascii="Times New Roman" w:hAnsi="Times New Roman"/>
                <w:sz w:val="24"/>
              </w:rPr>
              <w:t>Ως “χρόνος που έχει παρέλθει από την ταξινόμηση των ανοιγμάτων στα μη εξυπηρετούμενα” νοείται ο χρόνος σε έτη που έχει παρέλθει από την ταξινόμηση των ανοιγμάτων στα μη εξυπηρετούμενα. Τα ιδρύματα αναφέρουν στοιχεία σχετικά με τα ανοίγματα για τα οποία η ημερομηνία αναφοράς εμπίπτει στο αντίστοιχο χρονικό διάστημα, αναφέροντας την περίοδο σε έτη μετά την ταξινόμηση των ανοιγμάτων ως μη εξυπηρετούμενων, ανεξαρτήτως τυχόν εφαρμογής μέτρων ρύθμισης.</w:t>
            </w:r>
          </w:p>
          <w:p w14:paraId="1EB41D92" w14:textId="77777777" w:rsidR="00E7212E" w:rsidRPr="002A677E" w:rsidRDefault="00E7212E" w:rsidP="00BF7D57">
            <w:pPr>
              <w:rPr>
                <w:rFonts w:ascii="Times New Roman" w:hAnsi="Times New Roman"/>
                <w:sz w:val="24"/>
              </w:rPr>
            </w:pPr>
            <w:r>
              <w:rPr>
                <w:rFonts w:ascii="Times New Roman" w:hAnsi="Times New Roman"/>
                <w:sz w:val="24"/>
              </w:rPr>
              <w:t>Για το χρονικό διάστημα, “&gt; X έτος (έτη), &lt;= Y έτος (έτη)”, τα ιδρύματα αναφέρουν στοιχεία σχετικά με τα ανοίγματα για τα οποία η ημερομηνία αναφοράς αντιστοιχεί στην περίοδο μεταξύ της πρώτης και της τελευταίας ημέρας του έτους Υ μετά την ταξινόμηση των εν λόγω ανοιγμάτων ως μη εξυπηρετούμενων.</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Σύνολο</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το άθροισμα όλων των στηλών από 0010 έως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Γραμμές</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Οδηγίες</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Συνολική απαίτηση ελάχιστης κάλυψης</w:t>
            </w:r>
          </w:p>
          <w:p w14:paraId="1C8DD96C"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και άρθρο 47γ παράγραφος 6 του κανονισμού (ΕΕ) αριθ. 575/2013</w:t>
            </w:r>
          </w:p>
          <w:p w14:paraId="08DABFBB" w14:textId="77777777" w:rsidR="00E7212E" w:rsidRPr="002A677E" w:rsidRDefault="00E7212E" w:rsidP="00BF7D57">
            <w:pPr>
              <w:rPr>
                <w:rFonts w:ascii="Times New Roman" w:hAnsi="Times New Roman"/>
                <w:sz w:val="24"/>
              </w:rPr>
            </w:pPr>
            <w:r>
              <w:rPr>
                <w:rFonts w:ascii="Times New Roman" w:hAnsi="Times New Roman"/>
                <w:sz w:val="24"/>
              </w:rPr>
              <w:t>Για τον υπολογισμό της συνολικής απαίτησης ελάχιστης κάλυψης των μη εξυπηρετούμενων ανοιγμάτων με ρύθμιση που εμπίπτουν στο άρθρο 47γ παράγραφος 6 του κανονισμού (ΕΕ) αριθ. 575/2013, τα ιδρύματα αθροίζουν τις απαιτήσεις ελάχιστης κάλυψης για το μη εξασφαλισμένο τμήμα των ΜΕΑ με ρύθμιση (γραμμή 0020), το τμήμα των ΜΕΑ με ρύθμιση που εξασφαλίζεται με ακίνητη περιουσία ή αποτελεί στεγαστικό δάνειο εγγυημένο από επιλέξιμο πάροχο προστασίας (γραμμή 0030) και το τμήμα των ΜΕΑ με ρύθμιση που εξασφαλίζεται από άλλη χρηματοδοτούμενη ή μη χρηματοδοτούμενη πιστωτική προστασία (γραμμή 0040).</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Μη εξασφαλισμένο τμήμα των ΜΕΑ</w:t>
            </w:r>
          </w:p>
          <w:p w14:paraId="01C888D8"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 άρθρο 47γ παράγραφος 2, άρθρο 47γ παράγραφος 6 του κανονισμού (ΕΕ) αριθ. 575/2013</w:t>
            </w:r>
          </w:p>
          <w:p w14:paraId="0536875C" w14:textId="77777777" w:rsidR="00E7212E" w:rsidRPr="002A677E" w:rsidRDefault="00E7212E" w:rsidP="00BF7D57">
            <w:pPr>
              <w:rPr>
                <w:rFonts w:ascii="Times New Roman" w:hAnsi="Times New Roman"/>
                <w:sz w:val="24"/>
              </w:rPr>
            </w:pPr>
            <w:r>
              <w:rPr>
                <w:rFonts w:ascii="Times New Roman" w:hAnsi="Times New Roman"/>
                <w:sz w:val="24"/>
              </w:rPr>
              <w:t xml:space="preserve">Τα ιδρύματα αναφέρουν τη συνολική απαίτηση ελάχιστης κάλυψης για το μη εξασφαλισμένο τμήμα των μη εξυπηρετούμενων ανοιγμάτων με ρύθμιση που εμπίπτουν </w:t>
            </w:r>
            <w:r>
              <w:rPr>
                <w:rFonts w:ascii="Times New Roman" w:hAnsi="Times New Roman"/>
                <w:sz w:val="24"/>
              </w:rPr>
              <w:lastRenderedPageBreak/>
              <w:t>στο άρθρο 47γ παράγραφος 6 του κανονισμού (ΕΕ) αριθ. 575/2013, δηλαδή το σύνολο των υπολογισμών σε επίπεδο ανοίγματος.</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073D5D9E"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ii), άρθρο 47γ παράγραφος 3 στοιχεία α), β), γ), δ), στ), η) και θ), άρθρο 47γ παράγραφος 6 του κανονισμού (ΕΕ) αριθ. 575/2013</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Τα ιδρύματα αναφέρουν τη συνολική απαίτηση ελάχιστης κάλυψης για τα τμήματα των μη εξυπηρετούμενων ανοιγμάτων με ρύθμιση που εξασφαλίζονται με ακίνητη περιουσία δυνάμει του τρίτου μέρους τίτλος II του κανονισμού (ΕΕ) αριθ. 575/2013 ή αποτελούν στεγαστικά δάνεια εγγυημένα από επιλέξιμο πάροχο προστασίας όπως αναφέρεται στο άρθρο 201 του εν λόγω κανονισμού, που εμπίπτουν στο άρθρο 47γ παράγραφος 6 του εν λόγω κανονισμού, δηλαδή το σύνολο των υπολογισμών σε επίπεδο ανοίγματος.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Τμήμα των ΜΕΑ που εξασφαλίζεται από άλλη χρηματοδοτούμενη ή μη χρηματοδοτούμενη πιστωτική προστασία</w:t>
            </w:r>
          </w:p>
          <w:p w14:paraId="001BEF19" w14:textId="77777777" w:rsidR="00E7212E" w:rsidRPr="002A677E" w:rsidRDefault="00E7212E" w:rsidP="00BF7D57">
            <w:pPr>
              <w:rPr>
                <w:rFonts w:ascii="Times New Roman" w:hAnsi="Times New Roman"/>
                <w:sz w:val="24"/>
              </w:rPr>
            </w:pPr>
            <w:r>
              <w:rPr>
                <w:rFonts w:ascii="Times New Roman" w:hAnsi="Times New Roman"/>
                <w:sz w:val="24"/>
              </w:rPr>
              <w:t>Άρθρο 47γ παράγραφος 1 στοιχείο α) σημείο ii), άρθρο 47γ παράγραφος 3 στοιχεία α), β), γ), ε) και ζ) και άρθρο 47γ παράγραφος 6 του κανονισμού (ΕΕ) αριθ. 575/2013</w:t>
            </w:r>
          </w:p>
          <w:p w14:paraId="4AB04E40" w14:textId="77777777" w:rsidR="00E7212E" w:rsidRPr="002A677E" w:rsidRDefault="00E7212E" w:rsidP="00BF7D57">
            <w:pPr>
              <w:rPr>
                <w:rFonts w:ascii="Times New Roman" w:hAnsi="Times New Roman"/>
                <w:sz w:val="24"/>
              </w:rPr>
            </w:pPr>
            <w:r>
              <w:rPr>
                <w:rFonts w:ascii="Times New Roman" w:hAnsi="Times New Roman"/>
                <w:sz w:val="24"/>
              </w:rPr>
              <w:t>Τα ιδρύματα αναφέρουν τη συνολική απαίτηση ελάχιστης κάλυψης για τα τμήματα των μη εξυπηρετούμενων ανοιγμάτων με ρύθμιση που εξασφαλίζονται από άλλη χρηματοδοτούμενη ή μη χρηματοδοτούμενη πιστωτική προστασία, που εμπίπτουν στο άρθρο 47γ παράγραφος 6 του κανονισμού (ΕΕ) αριθ. 575/2013, δηλαδή το σύνολο των υπολογισμών σε επίπεδο ανοίγματος.</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Αξία ανοίγματος</w:t>
            </w:r>
          </w:p>
          <w:p w14:paraId="1D4AA342" w14:textId="77777777" w:rsidR="00E7212E" w:rsidRPr="002A677E" w:rsidRDefault="00E7212E" w:rsidP="00BF7D57">
            <w:pPr>
              <w:rPr>
                <w:rFonts w:ascii="Times New Roman" w:hAnsi="Times New Roman"/>
                <w:sz w:val="24"/>
              </w:rPr>
            </w:pPr>
            <w:r>
              <w:rPr>
                <w:rFonts w:ascii="Times New Roman" w:hAnsi="Times New Roman"/>
                <w:sz w:val="24"/>
              </w:rPr>
              <w:t>Άρθρο 47α παράγραφος 2 και άρθρο 47γ παράγραφος 6 του κανονισμού (ΕΕ) αριθ. 575/2013</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Για τον υπολογισμό της αξίας ανοίγματος, τα ιδρύματα αθροίζουν τις αναφερόμενες αξίες ανοίγματος για το μη εξασφαλισμένο τμήμα των ΜΕΑ (γραμμή 0060), το τμήμα των ΜΕΑ που εξασφαλίζεται με ακίνητη περιουσία ή αποτελεί στεγαστικό δάνειο εγγυημένο από επιλέξιμο πάροχο προστασίας (γραμμή 0070) και το τμήμα των ΜΕΑ που εξασφαλίζεται από άλλη χρηματοδοτούμενη ή μη χρηματοδοτούμενη πιστωτική προστασία (γραμμή 0120).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Μη εξασφαλισμένο τμήμα των ΜΕΑ</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Άρθρο 47α παράγραφος 2, άρθρο 47γ παράγραφος 1, άρθρο 47γ παράγραφος 2 και άρθρο 47γ παράγραφος 6 του κανονισμού (ΕΕ) αριθ. 575/2013</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 συνολική αξία ανοίγματος του μη εξασφαλισμένου τμήματος των ΜΕΑ με ρύθμιση που εμπίπτουν στο άρθρο 47γ παράγραφος 6 του κανονισμού (ΕΕ) αριθ. 575/2013, εάν το πρώτο μέτρο ρύθμισης έχει εγκριθεί μεταξύ της πρώτης και της τελευταίας ημέρας του δεύτερου έτους μετά την ταξινόμηση του ανοίγματος ως μη εξυπηρετούμενου (&gt; 1 έτος, &lt; = 2 έτη).</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Τμήμα των ΜΕΑ που εξασφαλίζεται με ακίνητη περιουσία ή αποτελεί στεγαστικό δάνειο εγγυημένο από επιλέξιμο πάροχο προστασίας</w:t>
            </w:r>
          </w:p>
          <w:p w14:paraId="6D8528EC" w14:textId="77777777" w:rsidR="00E7212E" w:rsidRPr="002A677E" w:rsidRDefault="00E7212E" w:rsidP="00BF7D57">
            <w:pPr>
              <w:rPr>
                <w:rFonts w:ascii="Times New Roman" w:hAnsi="Times New Roman"/>
                <w:sz w:val="24"/>
              </w:rPr>
            </w:pPr>
            <w:r>
              <w:rPr>
                <w:rFonts w:ascii="Times New Roman" w:hAnsi="Times New Roman"/>
                <w:sz w:val="24"/>
              </w:rPr>
              <w:lastRenderedPageBreak/>
              <w:t>Άρθρο 47α παράγραφος 2, άρθρο 47γ παράγραφος 1, άρθρο 47γ παράγραφος 3 στοιχεία α), β), γ), δ), στ), η) και θ) και άρθρο 47γ παράγραφος 6 του κανονισμού (ΕΕ) αριθ. 575/2013</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 συνολική αξία ανοίγματος των τμημάτων των ΜΕΑ με ρύθμιση που εμπίπτουν στο άρθρο 47γ παράγραφος 6 του κανονισμού (ΕΕ) αριθ. 575/2013 και είναι εξασφαλισμένα με ακίνητη περιουσία δυνάμει του τρίτου μέρους τίτλος II του εν λόγω κανονισμού ή αποτελούν στεγαστικά δάνεια εγγυημένα από επιλέξιμο πάροχο προστασίας όπως αναφέρεται στο άρθρο 201 του εν λόγω κανονισμού.</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τρίτου έτους μετά την ταξινόμηση του ανοίγματος ως μη εξυπηρετούμενου.</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τέταρτου έτους μετά την ταξινόμηση του ανοίγματος ως μη εξυπηρετούμενου.</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πέμπτου έτους μετά την ταξινόμηση του ανοίγματος ως μη εξυπηρετούμενου.</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με ακίνητη περιουσία ή αποτελούν στεγαστικό δάνειο εγγυημένο από επιλέξιμο πάροχο προστασίας, εάν το πρώτο μέτρο ρύθμισης έχει εγκριθεί μεταξύ της πρώτης και της τελευταίας ημέρας του έκτου έτους μετά την ταξινόμηση του ανοίγματος ως μη εξυπηρετούμενου.</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Τμήμα των ΜΕΑ που εξασφαλίζεται από άλλη χρηματοδοτούμενη ή μη χρηματοδοτούμενη πιστωτική προστασία</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Άρθρο 47γ παράγραφος 1, άρθρο 47γ παράγραφος 3 στοιχεία α), β), γ), ε) και ζ) και άρθρο 47γ παράγραφος 6 του κανονισμού (ΕΕ) αριθ. 575/2013</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Τα ιδρύματα αναφέρουν τη συνολική αξία ανοίγματος των τμημάτων των ΜΕΑ με ρύθμιση που εμπίπτουν στο άρθρο 47γ παράγραφος 6 του κανονισμού (ΕΕ) </w:t>
            </w:r>
            <w:r>
              <w:rPr>
                <w:rFonts w:ascii="Times New Roman" w:hAnsi="Times New Roman"/>
                <w:sz w:val="24"/>
              </w:rPr>
              <w:lastRenderedPageBreak/>
              <w:t>αριθ. 575/2013 και είναι εξασφαλισμένα από άλλη χρηματοδοτούμενη ή μη χρηματοδοτούμενη πιστωτική προστασία δυνάμει του τρίτου μέρους τίτλος II του κανονισμού (ΕΕ) αριθ. 575/2013.</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και &lt;= 3 έτη μετά την ταξινόμηση ως ΜΕΑ</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τρίτου έτους μετά την ταξινόμηση του ανοίγματος στα μη εξυπηρετούμενα.</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και &lt;= 4 έτη μετά την ταξινόμηση ως ΜΕΑ</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τέταρτου έτους μετά την ταξινόμηση του ανοίγματος στα μη εξυπηρετούμενα.</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και &lt;= 5 έτη μετά την ταξινόμηση ως ΜΕΑ</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πέμπτου έτους μετά την ταξινόμηση του ανοίγματος στα μη εξυπηρετούμενα.</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και &lt;= 6 έτη μετά την ταξινόμηση ως ΜΕΑ</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Τα ιδρύματα αναφέρουν την αξία ανοίγματος των ΜΕΑ με ρύθμιση που εμπίπτουν στο άρθρο 47γ παράγραφος 6 του κανονισμού (ΕΕ) αριθ. 575/2013 και εξασφαλίζονται από άλλη χρηματοδοτούμενη ή μη χρηματοδοτούμενη πιστωτική προστασία εάν το πρώτο μέτρο ρύθμισης έχει εγκριθεί μεταξύ της πρώτης και της τελευταίας ημέρας του έκτου έτους μετά την ταξινόμηση του ανοίγματος στα μη εξυπηρετούμενα.</w:t>
            </w:r>
          </w:p>
        </w:tc>
      </w:tr>
    </w:tbl>
    <w:p w14:paraId="2904933F" w14:textId="0FAE4F65" w:rsidR="00E7212E" w:rsidRDefault="00FD2C9E">
      <w:r>
        <w:t>»</w:t>
      </w:r>
    </w:p>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2A3D3449" w:rsidR="00E7212E" w:rsidRPr="00E7212E" w:rsidRDefault="00FD2C9E" w:rsidP="00E7212E">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2A3D3449" w:rsidR="00E7212E" w:rsidRPr="00E7212E" w:rsidRDefault="00FD2C9E" w:rsidP="00E7212E">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8290671A"/>
    <w:lvl w:ilvl="0" w:tplc="EF10F8A8">
      <w:start w:val="1"/>
      <mc:AlternateContent>
        <mc:Choice Requires="w14">
          <w:numFmt w:val="custom" w:format="α, β, γ, ..."/>
        </mc:Choice>
        <mc:Fallback>
          <w:numFmt w:val="decimal"/>
        </mc:Fallback>
      </mc:AlternateContent>
      <w:lvlText w:val="%1)"/>
      <w:lvlJc w:val="left"/>
      <w:pPr>
        <w:ind w:left="1794" w:hanging="360"/>
      </w:pPr>
      <w:rPr>
        <w:rFonts w:hint="default"/>
      </w:r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7F78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 w:val="00FD2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el-GR"/>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FD2C9E"/>
    <w:pPr>
      <w:tabs>
        <w:tab w:val="center" w:pos="4513"/>
        <w:tab w:val="right" w:pos="9026"/>
      </w:tabs>
      <w:spacing w:before="0" w:after="0"/>
    </w:pPr>
  </w:style>
  <w:style w:type="character" w:customStyle="1" w:styleId="FooterChar">
    <w:name w:val="Footer Char"/>
    <w:basedOn w:val="DefaultParagraphFont"/>
    <w:link w:val="Footer"/>
    <w:uiPriority w:val="99"/>
    <w:rsid w:val="00FD2C9E"/>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B988FE-8EC1-4DBC-A0DE-73C8605E6D9B}"/>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3996</Words>
  <Characters>22500</Characters>
  <Application>Microsoft Office Word</Application>
  <DocSecurity>0</DocSecurity>
  <Lines>489</Lines>
  <Paragraphs>247</Paragraphs>
  <ScaleCrop>false</ScaleCrop>
  <Company/>
  <LinksUpToDate>false</LinksUpToDate>
  <CharactersWithSpaces>26249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2025-01-13T15:09:00Z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2025-01-13T15:09:02Z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bc533f6c-bb38-4df7-a04c-42211f553881</vt:lpwstr>
  </property>
  <property fmtid="{D5CDD505-2E9C-101B-9397-08002B2CF9AE}" pid="9" name="MSIP_Label_6bd9ddd1-4d20-43f6-abfa-fc3c07406f94_ContentBits">
    <vt:lpwstr>0</vt:lpwstr>
  </property>
</Properties>
</file>