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FI</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LIITE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VELKAANTUNEISUUSRAPORTOINTIA KOSKEVAT OHJEET</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6E8E6BC4" w14:textId="389CB8AE" w:rsidR="00D211D6"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282720" w:history="1">
        <w:r w:rsidR="00D211D6" w:rsidRPr="00865558">
          <w:rPr>
            <w:rStyle w:val="Hyperlink"/>
            <w:rFonts w:ascii="Times New Roman" w:hAnsi="Times New Roman"/>
            <w:b/>
          </w:rPr>
          <w:t>I OSA: YLEISET OHJEET</w:t>
        </w:r>
        <w:r w:rsidR="00D211D6">
          <w:rPr>
            <w:webHidden/>
          </w:rPr>
          <w:tab/>
        </w:r>
        <w:r w:rsidR="00D211D6">
          <w:rPr>
            <w:webHidden/>
          </w:rPr>
          <w:fldChar w:fldCharType="begin"/>
        </w:r>
        <w:r w:rsidR="00D211D6">
          <w:rPr>
            <w:webHidden/>
          </w:rPr>
          <w:instrText xml:space="preserve"> PAGEREF _Toc188282720 \h </w:instrText>
        </w:r>
        <w:r w:rsidR="00D211D6">
          <w:rPr>
            <w:webHidden/>
          </w:rPr>
        </w:r>
        <w:r w:rsidR="00D211D6">
          <w:rPr>
            <w:webHidden/>
          </w:rPr>
          <w:fldChar w:fldCharType="separate"/>
        </w:r>
        <w:r w:rsidR="00D211D6">
          <w:rPr>
            <w:webHidden/>
          </w:rPr>
          <w:t>2</w:t>
        </w:r>
        <w:r w:rsidR="00D211D6">
          <w:rPr>
            <w:webHidden/>
          </w:rPr>
          <w:fldChar w:fldCharType="end"/>
        </w:r>
      </w:hyperlink>
    </w:p>
    <w:p w14:paraId="68C9376F" w14:textId="78026D8A"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21" w:history="1">
        <w:r w:rsidRPr="00865558">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Rakenne ja käytännöt</w:t>
        </w:r>
        <w:r>
          <w:rPr>
            <w:webHidden/>
          </w:rPr>
          <w:tab/>
        </w:r>
        <w:r>
          <w:rPr>
            <w:webHidden/>
          </w:rPr>
          <w:fldChar w:fldCharType="begin"/>
        </w:r>
        <w:r>
          <w:rPr>
            <w:webHidden/>
          </w:rPr>
          <w:instrText xml:space="preserve"> PAGEREF _Toc188282721 \h </w:instrText>
        </w:r>
        <w:r>
          <w:rPr>
            <w:webHidden/>
          </w:rPr>
        </w:r>
        <w:r>
          <w:rPr>
            <w:webHidden/>
          </w:rPr>
          <w:fldChar w:fldCharType="separate"/>
        </w:r>
        <w:r>
          <w:rPr>
            <w:webHidden/>
          </w:rPr>
          <w:t>2</w:t>
        </w:r>
        <w:r>
          <w:rPr>
            <w:webHidden/>
          </w:rPr>
          <w:fldChar w:fldCharType="end"/>
        </w:r>
      </w:hyperlink>
    </w:p>
    <w:p w14:paraId="0A6099A2" w14:textId="7F61714B" w:rsidR="00D211D6" w:rsidRDefault="00D211D6">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282722" w:history="1">
        <w:r w:rsidRPr="00865558">
          <w:rPr>
            <w:rStyle w:val="Hyperlink"/>
            <w:rFonts w:ascii="Times New Roman" w:hAnsi="Times New Roman"/>
            <w:b/>
          </w:rPr>
          <w:t>1.1</w:t>
        </w:r>
        <w:r>
          <w:rPr>
            <w:rFonts w:asciiTheme="minorHAnsi" w:eastAsiaTheme="minorEastAsia" w:hAnsiTheme="minorHAnsi" w:cstheme="minorBidi"/>
            <w:smallCaps w:val="0"/>
            <w:kern w:val="2"/>
            <w:sz w:val="22"/>
            <w:szCs w:val="22"/>
            <w:lang w:val="en-IE" w:eastAsia="en-IE"/>
            <w14:ligatures w14:val="standardContextual"/>
          </w:rPr>
          <w:tab/>
        </w:r>
        <w:r w:rsidRPr="00865558">
          <w:rPr>
            <w:rStyle w:val="Hyperlink"/>
            <w:rFonts w:ascii="Times New Roman" w:hAnsi="Times New Roman"/>
            <w:b/>
          </w:rPr>
          <w:t>Rakenne</w:t>
        </w:r>
        <w:r>
          <w:rPr>
            <w:webHidden/>
          </w:rPr>
          <w:tab/>
        </w:r>
        <w:r>
          <w:rPr>
            <w:webHidden/>
          </w:rPr>
          <w:fldChar w:fldCharType="begin"/>
        </w:r>
        <w:r>
          <w:rPr>
            <w:webHidden/>
          </w:rPr>
          <w:instrText xml:space="preserve"> PAGEREF _Toc188282722 \h </w:instrText>
        </w:r>
        <w:r>
          <w:rPr>
            <w:webHidden/>
          </w:rPr>
        </w:r>
        <w:r>
          <w:rPr>
            <w:webHidden/>
          </w:rPr>
          <w:fldChar w:fldCharType="separate"/>
        </w:r>
        <w:r>
          <w:rPr>
            <w:webHidden/>
          </w:rPr>
          <w:t>2</w:t>
        </w:r>
        <w:r>
          <w:rPr>
            <w:webHidden/>
          </w:rPr>
          <w:fldChar w:fldCharType="end"/>
        </w:r>
      </w:hyperlink>
    </w:p>
    <w:p w14:paraId="36F29C71" w14:textId="37AD7FE2" w:rsidR="00D211D6" w:rsidRDefault="00D211D6">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282723" w:history="1">
        <w:r w:rsidRPr="00865558">
          <w:rPr>
            <w:rStyle w:val="Hyperlink"/>
            <w:rFonts w:ascii="Times New Roman" w:hAnsi="Times New Roman"/>
            <w:b/>
          </w:rPr>
          <w:t>1.2</w:t>
        </w:r>
        <w:r>
          <w:rPr>
            <w:rFonts w:asciiTheme="minorHAnsi" w:eastAsiaTheme="minorEastAsia" w:hAnsiTheme="minorHAnsi" w:cstheme="minorBidi"/>
            <w:smallCaps w:val="0"/>
            <w:kern w:val="2"/>
            <w:sz w:val="22"/>
            <w:szCs w:val="22"/>
            <w:lang w:val="en-IE" w:eastAsia="en-IE"/>
            <w14:ligatures w14:val="standardContextual"/>
          </w:rPr>
          <w:tab/>
        </w:r>
        <w:r w:rsidRPr="00865558">
          <w:rPr>
            <w:rStyle w:val="Hyperlink"/>
            <w:rFonts w:ascii="Times New Roman" w:hAnsi="Times New Roman"/>
            <w:b/>
          </w:rPr>
          <w:t>Numerointikäytäntö</w:t>
        </w:r>
        <w:r>
          <w:rPr>
            <w:webHidden/>
          </w:rPr>
          <w:tab/>
        </w:r>
        <w:r>
          <w:rPr>
            <w:webHidden/>
          </w:rPr>
          <w:fldChar w:fldCharType="begin"/>
        </w:r>
        <w:r>
          <w:rPr>
            <w:webHidden/>
          </w:rPr>
          <w:instrText xml:space="preserve"> PAGEREF _Toc188282723 \h </w:instrText>
        </w:r>
        <w:r>
          <w:rPr>
            <w:webHidden/>
          </w:rPr>
        </w:r>
        <w:r>
          <w:rPr>
            <w:webHidden/>
          </w:rPr>
          <w:fldChar w:fldCharType="separate"/>
        </w:r>
        <w:r>
          <w:rPr>
            <w:webHidden/>
          </w:rPr>
          <w:t>2</w:t>
        </w:r>
        <w:r>
          <w:rPr>
            <w:webHidden/>
          </w:rPr>
          <w:fldChar w:fldCharType="end"/>
        </w:r>
      </w:hyperlink>
    </w:p>
    <w:p w14:paraId="1468648F" w14:textId="4E3A1B48" w:rsidR="00D211D6" w:rsidRDefault="00D211D6">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282724" w:history="1">
        <w:r w:rsidRPr="00865558">
          <w:rPr>
            <w:rStyle w:val="Hyperlink"/>
            <w:rFonts w:ascii="Times New Roman" w:hAnsi="Times New Roman"/>
            <w:b/>
          </w:rPr>
          <w:t>1.3</w:t>
        </w:r>
        <w:r>
          <w:rPr>
            <w:rFonts w:asciiTheme="minorHAnsi" w:eastAsiaTheme="minorEastAsia" w:hAnsiTheme="minorHAnsi" w:cstheme="minorBidi"/>
            <w:smallCaps w:val="0"/>
            <w:kern w:val="2"/>
            <w:sz w:val="22"/>
            <w:szCs w:val="22"/>
            <w:lang w:val="en-IE" w:eastAsia="en-IE"/>
            <w14:ligatures w14:val="standardContextual"/>
          </w:rPr>
          <w:tab/>
        </w:r>
        <w:r w:rsidRPr="00865558">
          <w:rPr>
            <w:rStyle w:val="Hyperlink"/>
            <w:rFonts w:ascii="Times New Roman" w:hAnsi="Times New Roman"/>
            <w:b/>
          </w:rPr>
          <w:t>Lyhenteet</w:t>
        </w:r>
        <w:r>
          <w:rPr>
            <w:webHidden/>
          </w:rPr>
          <w:tab/>
        </w:r>
        <w:r>
          <w:rPr>
            <w:webHidden/>
          </w:rPr>
          <w:fldChar w:fldCharType="begin"/>
        </w:r>
        <w:r>
          <w:rPr>
            <w:webHidden/>
          </w:rPr>
          <w:instrText xml:space="preserve"> PAGEREF _Toc188282724 \h </w:instrText>
        </w:r>
        <w:r>
          <w:rPr>
            <w:webHidden/>
          </w:rPr>
        </w:r>
        <w:r>
          <w:rPr>
            <w:webHidden/>
          </w:rPr>
          <w:fldChar w:fldCharType="separate"/>
        </w:r>
        <w:r>
          <w:rPr>
            <w:webHidden/>
          </w:rPr>
          <w:t>2</w:t>
        </w:r>
        <w:r>
          <w:rPr>
            <w:webHidden/>
          </w:rPr>
          <w:fldChar w:fldCharType="end"/>
        </w:r>
      </w:hyperlink>
    </w:p>
    <w:p w14:paraId="03E67CB2" w14:textId="35E9D1E1" w:rsidR="00D211D6" w:rsidRDefault="00D211D6">
      <w:pPr>
        <w:pStyle w:val="TOC3"/>
        <w:rPr>
          <w:rFonts w:asciiTheme="minorHAnsi" w:eastAsiaTheme="minorEastAsia" w:hAnsiTheme="minorHAnsi" w:cstheme="minorBidi"/>
          <w:smallCaps w:val="0"/>
          <w:kern w:val="2"/>
          <w:sz w:val="22"/>
          <w:szCs w:val="22"/>
          <w:lang w:val="en-IE" w:eastAsia="en-IE"/>
          <w14:ligatures w14:val="standardContextual"/>
        </w:rPr>
      </w:pPr>
      <w:hyperlink w:anchor="_Toc188282725" w:history="1">
        <w:r w:rsidRPr="00865558">
          <w:rPr>
            <w:rStyle w:val="Hyperlink"/>
            <w:rFonts w:ascii="Times New Roman" w:hAnsi="Times New Roman"/>
            <w:b/>
          </w:rPr>
          <w:t>1.4</w:t>
        </w:r>
        <w:r>
          <w:rPr>
            <w:rFonts w:asciiTheme="minorHAnsi" w:eastAsiaTheme="minorEastAsia" w:hAnsiTheme="minorHAnsi" w:cstheme="minorBidi"/>
            <w:smallCaps w:val="0"/>
            <w:kern w:val="2"/>
            <w:sz w:val="22"/>
            <w:szCs w:val="22"/>
            <w:lang w:val="en-IE" w:eastAsia="en-IE"/>
            <w14:ligatures w14:val="standardContextual"/>
          </w:rPr>
          <w:tab/>
        </w:r>
        <w:r w:rsidRPr="00865558">
          <w:rPr>
            <w:rStyle w:val="Hyperlink"/>
            <w:rFonts w:ascii="Times New Roman" w:hAnsi="Times New Roman"/>
            <w:b/>
          </w:rPr>
          <w:t>Merkkikäytäntö</w:t>
        </w:r>
        <w:r>
          <w:rPr>
            <w:webHidden/>
          </w:rPr>
          <w:tab/>
        </w:r>
        <w:r>
          <w:rPr>
            <w:webHidden/>
          </w:rPr>
          <w:fldChar w:fldCharType="begin"/>
        </w:r>
        <w:r>
          <w:rPr>
            <w:webHidden/>
          </w:rPr>
          <w:instrText xml:space="preserve"> PAGEREF _Toc188282725 \h </w:instrText>
        </w:r>
        <w:r>
          <w:rPr>
            <w:webHidden/>
          </w:rPr>
        </w:r>
        <w:r>
          <w:rPr>
            <w:webHidden/>
          </w:rPr>
          <w:fldChar w:fldCharType="separate"/>
        </w:r>
        <w:r>
          <w:rPr>
            <w:webHidden/>
          </w:rPr>
          <w:t>3</w:t>
        </w:r>
        <w:r>
          <w:rPr>
            <w:webHidden/>
          </w:rPr>
          <w:fldChar w:fldCharType="end"/>
        </w:r>
      </w:hyperlink>
    </w:p>
    <w:p w14:paraId="3C4A7BBA" w14:textId="4AF286D5" w:rsidR="00D211D6" w:rsidRDefault="00D211D6">
      <w:pPr>
        <w:pStyle w:val="TOC1"/>
        <w:rPr>
          <w:rFonts w:asciiTheme="minorHAnsi" w:eastAsiaTheme="minorEastAsia" w:hAnsiTheme="minorHAnsi" w:cstheme="minorBidi"/>
          <w:color w:val="auto"/>
          <w:kern w:val="2"/>
          <w:sz w:val="22"/>
          <w:szCs w:val="22"/>
          <w:lang w:val="en-IE" w:eastAsia="en-IE"/>
          <w14:ligatures w14:val="standardContextual"/>
        </w:rPr>
      </w:pPr>
      <w:hyperlink w:anchor="_Toc188282726" w:history="1">
        <w:r w:rsidRPr="00865558">
          <w:rPr>
            <w:rStyle w:val="Hyperlink"/>
            <w:rFonts w:ascii="Times New Roman" w:hAnsi="Times New Roman"/>
            <w:b/>
          </w:rPr>
          <w:t>II OSA: LOMAKKEISIIN LIITTYVÄT OHJEET</w:t>
        </w:r>
        <w:r>
          <w:rPr>
            <w:webHidden/>
          </w:rPr>
          <w:tab/>
        </w:r>
        <w:r>
          <w:rPr>
            <w:webHidden/>
          </w:rPr>
          <w:fldChar w:fldCharType="begin"/>
        </w:r>
        <w:r>
          <w:rPr>
            <w:webHidden/>
          </w:rPr>
          <w:instrText xml:space="preserve"> PAGEREF _Toc188282726 \h </w:instrText>
        </w:r>
        <w:r>
          <w:rPr>
            <w:webHidden/>
          </w:rPr>
        </w:r>
        <w:r>
          <w:rPr>
            <w:webHidden/>
          </w:rPr>
          <w:fldChar w:fldCharType="separate"/>
        </w:r>
        <w:r>
          <w:rPr>
            <w:webHidden/>
          </w:rPr>
          <w:t>4</w:t>
        </w:r>
        <w:r>
          <w:rPr>
            <w:webHidden/>
          </w:rPr>
          <w:fldChar w:fldCharType="end"/>
        </w:r>
      </w:hyperlink>
    </w:p>
    <w:p w14:paraId="107957DA" w14:textId="405C198B"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27" w:history="1">
        <w:r w:rsidRPr="00865558">
          <w:rPr>
            <w:rStyle w:val="Hyperlink"/>
            <w:rFonts w:ascii="Times New Roman" w:hAnsi="Times New Roman"/>
          </w:rPr>
          <w:t>1</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1 Vähimmäisomavaraisuusasteen laskentakaavat</w:t>
        </w:r>
        <w:r>
          <w:rPr>
            <w:webHidden/>
          </w:rPr>
          <w:tab/>
        </w:r>
        <w:r>
          <w:rPr>
            <w:webHidden/>
          </w:rPr>
          <w:fldChar w:fldCharType="begin"/>
        </w:r>
        <w:r>
          <w:rPr>
            <w:webHidden/>
          </w:rPr>
          <w:instrText xml:space="preserve"> PAGEREF _Toc188282727 \h </w:instrText>
        </w:r>
        <w:r>
          <w:rPr>
            <w:webHidden/>
          </w:rPr>
        </w:r>
        <w:r>
          <w:rPr>
            <w:webHidden/>
          </w:rPr>
          <w:fldChar w:fldCharType="separate"/>
        </w:r>
        <w:r>
          <w:rPr>
            <w:webHidden/>
          </w:rPr>
          <w:t>4</w:t>
        </w:r>
        <w:r>
          <w:rPr>
            <w:webHidden/>
          </w:rPr>
          <w:fldChar w:fldCharType="end"/>
        </w:r>
      </w:hyperlink>
    </w:p>
    <w:p w14:paraId="1A2C1266" w14:textId="41119CA4"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28" w:history="1">
        <w:r w:rsidRPr="00865558">
          <w:rPr>
            <w:rStyle w:val="Hyperlink"/>
            <w:rFonts w:ascii="Times New Roman" w:hAnsi="Times New Roman"/>
          </w:rPr>
          <w:t>2.</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Johdannaisten kynnysarvot</w:t>
        </w:r>
        <w:r>
          <w:rPr>
            <w:webHidden/>
          </w:rPr>
          <w:tab/>
        </w:r>
        <w:r>
          <w:rPr>
            <w:webHidden/>
          </w:rPr>
          <w:fldChar w:fldCharType="begin"/>
        </w:r>
        <w:r>
          <w:rPr>
            <w:webHidden/>
          </w:rPr>
          <w:instrText xml:space="preserve"> PAGEREF _Toc188282728 \h </w:instrText>
        </w:r>
        <w:r>
          <w:rPr>
            <w:webHidden/>
          </w:rPr>
        </w:r>
        <w:r>
          <w:rPr>
            <w:webHidden/>
          </w:rPr>
          <w:fldChar w:fldCharType="separate"/>
        </w:r>
        <w:r>
          <w:rPr>
            <w:webHidden/>
          </w:rPr>
          <w:t>4</w:t>
        </w:r>
        <w:r>
          <w:rPr>
            <w:webHidden/>
          </w:rPr>
          <w:fldChar w:fldCharType="end"/>
        </w:r>
      </w:hyperlink>
    </w:p>
    <w:p w14:paraId="27CAA27B" w14:textId="6005F416"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29" w:history="1">
        <w:r w:rsidRPr="00865558">
          <w:rPr>
            <w:rStyle w:val="Hyperlink"/>
            <w:rFonts w:ascii="Times New Roman" w:hAnsi="Times New Roman"/>
          </w:rPr>
          <w:t>3.</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47.00 – Vähimmäisomavaraisuusasteen laskenta (LRCalc)</w:t>
        </w:r>
        <w:r>
          <w:rPr>
            <w:webHidden/>
          </w:rPr>
          <w:tab/>
        </w:r>
        <w:r>
          <w:rPr>
            <w:webHidden/>
          </w:rPr>
          <w:fldChar w:fldCharType="begin"/>
        </w:r>
        <w:r>
          <w:rPr>
            <w:webHidden/>
          </w:rPr>
          <w:instrText xml:space="preserve"> PAGEREF _Toc188282729 \h </w:instrText>
        </w:r>
        <w:r>
          <w:rPr>
            <w:webHidden/>
          </w:rPr>
        </w:r>
        <w:r>
          <w:rPr>
            <w:webHidden/>
          </w:rPr>
          <w:fldChar w:fldCharType="separate"/>
        </w:r>
        <w:r>
          <w:rPr>
            <w:webHidden/>
          </w:rPr>
          <w:t>5</w:t>
        </w:r>
        <w:r>
          <w:rPr>
            <w:webHidden/>
          </w:rPr>
          <w:fldChar w:fldCharType="end"/>
        </w:r>
      </w:hyperlink>
    </w:p>
    <w:p w14:paraId="23C810D7" w14:textId="1FE1FD4F"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0" w:history="1">
        <w:r w:rsidRPr="00865558">
          <w:rPr>
            <w:rStyle w:val="Hyperlink"/>
            <w:rFonts w:ascii="Times New Roman" w:hAnsi="Times New Roman"/>
          </w:rPr>
          <w:t>4.</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40.00 – Vastuiden vaihtoehtoinen käsittely (LR1)</w:t>
        </w:r>
        <w:r>
          <w:rPr>
            <w:webHidden/>
          </w:rPr>
          <w:tab/>
        </w:r>
        <w:r>
          <w:rPr>
            <w:webHidden/>
          </w:rPr>
          <w:fldChar w:fldCharType="begin"/>
        </w:r>
        <w:r>
          <w:rPr>
            <w:webHidden/>
          </w:rPr>
          <w:instrText xml:space="preserve"> PAGEREF _Toc188282730 \h </w:instrText>
        </w:r>
        <w:r>
          <w:rPr>
            <w:webHidden/>
          </w:rPr>
        </w:r>
        <w:r>
          <w:rPr>
            <w:webHidden/>
          </w:rPr>
          <w:fldChar w:fldCharType="separate"/>
        </w:r>
        <w:r>
          <w:rPr>
            <w:webHidden/>
          </w:rPr>
          <w:t>33</w:t>
        </w:r>
        <w:r>
          <w:rPr>
            <w:webHidden/>
          </w:rPr>
          <w:fldChar w:fldCharType="end"/>
        </w:r>
      </w:hyperlink>
    </w:p>
    <w:p w14:paraId="4D3ADEDF" w14:textId="6C75E065"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1" w:history="1">
        <w:r w:rsidRPr="00865558">
          <w:rPr>
            <w:rStyle w:val="Hyperlink"/>
            <w:rFonts w:ascii="Times New Roman" w:hAnsi="Times New Roman"/>
          </w:rPr>
          <w:t>5.</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43.00 – Vaihtoehtoinen vähimmäisomavaraisuusasteen vastuiden osatekijöiden jaottelu (LR4)</w:t>
        </w:r>
        <w:r>
          <w:rPr>
            <w:webHidden/>
          </w:rPr>
          <w:tab/>
        </w:r>
        <w:r>
          <w:rPr>
            <w:webHidden/>
          </w:rPr>
          <w:fldChar w:fldCharType="begin"/>
        </w:r>
        <w:r>
          <w:rPr>
            <w:webHidden/>
          </w:rPr>
          <w:instrText xml:space="preserve"> PAGEREF _Toc188282731 \h </w:instrText>
        </w:r>
        <w:r>
          <w:rPr>
            <w:webHidden/>
          </w:rPr>
        </w:r>
        <w:r>
          <w:rPr>
            <w:webHidden/>
          </w:rPr>
          <w:fldChar w:fldCharType="separate"/>
        </w:r>
        <w:r>
          <w:rPr>
            <w:webHidden/>
          </w:rPr>
          <w:t>45</w:t>
        </w:r>
        <w:r>
          <w:rPr>
            <w:webHidden/>
          </w:rPr>
          <w:fldChar w:fldCharType="end"/>
        </w:r>
      </w:hyperlink>
    </w:p>
    <w:p w14:paraId="6684F7E3" w14:textId="06E8DB91"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2" w:history="1">
        <w:r w:rsidRPr="00865558">
          <w:rPr>
            <w:rStyle w:val="Hyperlink"/>
            <w:rFonts w:ascii="Times New Roman" w:hAnsi="Times New Roman"/>
          </w:rPr>
          <w:t>6.</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44.00 – Yleiset tiedot (LR5)</w:t>
        </w:r>
        <w:r>
          <w:rPr>
            <w:webHidden/>
          </w:rPr>
          <w:tab/>
        </w:r>
        <w:r>
          <w:rPr>
            <w:webHidden/>
          </w:rPr>
          <w:fldChar w:fldCharType="begin"/>
        </w:r>
        <w:r>
          <w:rPr>
            <w:webHidden/>
          </w:rPr>
          <w:instrText xml:space="preserve"> PAGEREF _Toc188282732 \h </w:instrText>
        </w:r>
        <w:r>
          <w:rPr>
            <w:webHidden/>
          </w:rPr>
        </w:r>
        <w:r>
          <w:rPr>
            <w:webHidden/>
          </w:rPr>
          <w:fldChar w:fldCharType="separate"/>
        </w:r>
        <w:r>
          <w:rPr>
            <w:webHidden/>
          </w:rPr>
          <w:t>72</w:t>
        </w:r>
        <w:r>
          <w:rPr>
            <w:webHidden/>
          </w:rPr>
          <w:fldChar w:fldCharType="end"/>
        </w:r>
      </w:hyperlink>
    </w:p>
    <w:p w14:paraId="1626A85E" w14:textId="25D1D10E"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3" w:history="1">
        <w:r w:rsidRPr="00865558">
          <w:rPr>
            <w:rStyle w:val="Hyperlink"/>
            <w:rFonts w:ascii="Times New Roman" w:hAnsi="Times New Roman"/>
          </w:rPr>
          <w:t>7.</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48.00 Vähimmäisomavaraisuusasteen volatiliteetti (LR6)</w:t>
        </w:r>
        <w:r>
          <w:rPr>
            <w:webHidden/>
          </w:rPr>
          <w:tab/>
        </w:r>
        <w:r>
          <w:rPr>
            <w:webHidden/>
          </w:rPr>
          <w:fldChar w:fldCharType="begin"/>
        </w:r>
        <w:r>
          <w:rPr>
            <w:webHidden/>
          </w:rPr>
          <w:instrText xml:space="preserve"> PAGEREF _Toc188282733 \h </w:instrText>
        </w:r>
        <w:r>
          <w:rPr>
            <w:webHidden/>
          </w:rPr>
        </w:r>
        <w:r>
          <w:rPr>
            <w:webHidden/>
          </w:rPr>
          <w:fldChar w:fldCharType="separate"/>
        </w:r>
        <w:r>
          <w:rPr>
            <w:webHidden/>
          </w:rPr>
          <w:t>74</w:t>
        </w:r>
        <w:r>
          <w:rPr>
            <w:webHidden/>
          </w:rPr>
          <w:fldChar w:fldCharType="end"/>
        </w:r>
      </w:hyperlink>
    </w:p>
    <w:p w14:paraId="6415DD03" w14:textId="1EC78DCA"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4" w:history="1">
        <w:r w:rsidRPr="00865558">
          <w:rPr>
            <w:rStyle w:val="Hyperlink"/>
            <w:rFonts w:ascii="Times New Roman" w:hAnsi="Times New Roman"/>
          </w:rPr>
          <w:t>8.</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48.01 Vähimmäisomavaraisuusasteen volatiliteetti: Raportointikauden keskiarvo</w:t>
        </w:r>
        <w:r>
          <w:rPr>
            <w:webHidden/>
          </w:rPr>
          <w:tab/>
        </w:r>
        <w:r>
          <w:rPr>
            <w:webHidden/>
          </w:rPr>
          <w:fldChar w:fldCharType="begin"/>
        </w:r>
        <w:r>
          <w:rPr>
            <w:webHidden/>
          </w:rPr>
          <w:instrText xml:space="preserve"> PAGEREF _Toc188282734 \h </w:instrText>
        </w:r>
        <w:r>
          <w:rPr>
            <w:webHidden/>
          </w:rPr>
        </w:r>
        <w:r>
          <w:rPr>
            <w:webHidden/>
          </w:rPr>
          <w:fldChar w:fldCharType="separate"/>
        </w:r>
        <w:r>
          <w:rPr>
            <w:webHidden/>
          </w:rPr>
          <w:t>74</w:t>
        </w:r>
        <w:r>
          <w:rPr>
            <w:webHidden/>
          </w:rPr>
          <w:fldChar w:fldCharType="end"/>
        </w:r>
      </w:hyperlink>
    </w:p>
    <w:p w14:paraId="35CCA524" w14:textId="1139E33A" w:rsidR="00D211D6" w:rsidRDefault="00D211D6">
      <w:pPr>
        <w:pStyle w:val="TOC2"/>
        <w:rPr>
          <w:rFonts w:asciiTheme="minorHAnsi" w:eastAsiaTheme="minorEastAsia" w:hAnsiTheme="minorHAnsi" w:cstheme="minorBidi"/>
          <w:b w:val="0"/>
          <w:smallCaps w:val="0"/>
          <w:kern w:val="2"/>
          <w:sz w:val="22"/>
          <w:lang w:val="en-IE" w:eastAsia="en-IE"/>
          <w14:ligatures w14:val="standardContextual"/>
        </w:rPr>
      </w:pPr>
      <w:hyperlink w:anchor="_Toc188282735" w:history="1">
        <w:r w:rsidRPr="00865558">
          <w:rPr>
            <w:rStyle w:val="Hyperlink"/>
            <w:rFonts w:ascii="Times New Roman" w:hAnsi="Times New Roman"/>
          </w:rPr>
          <w:t>9.</w:t>
        </w:r>
        <w:r>
          <w:rPr>
            <w:rFonts w:asciiTheme="minorHAnsi" w:eastAsiaTheme="minorEastAsia" w:hAnsiTheme="minorHAnsi" w:cstheme="minorBidi"/>
            <w:b w:val="0"/>
            <w:smallCaps w:val="0"/>
            <w:kern w:val="2"/>
            <w:sz w:val="22"/>
            <w:lang w:val="en-IE" w:eastAsia="en-IE"/>
            <w14:ligatures w14:val="standardContextual"/>
          </w:rPr>
          <w:tab/>
        </w:r>
        <w:r w:rsidRPr="00865558">
          <w:rPr>
            <w:rStyle w:val="Hyperlink"/>
            <w:rFonts w:ascii="Times New Roman" w:hAnsi="Times New Roman"/>
          </w:rPr>
          <w:t>C 48.02 Vähimmäisomavaraisuusasteen volatiliteetti: Raportointikauden päivittäiset arvot</w:t>
        </w:r>
        <w:r>
          <w:rPr>
            <w:webHidden/>
          </w:rPr>
          <w:tab/>
        </w:r>
        <w:r>
          <w:rPr>
            <w:webHidden/>
          </w:rPr>
          <w:fldChar w:fldCharType="begin"/>
        </w:r>
        <w:r>
          <w:rPr>
            <w:webHidden/>
          </w:rPr>
          <w:instrText xml:space="preserve"> PAGEREF _Toc188282735 \h </w:instrText>
        </w:r>
        <w:r>
          <w:rPr>
            <w:webHidden/>
          </w:rPr>
        </w:r>
        <w:r>
          <w:rPr>
            <w:webHidden/>
          </w:rPr>
          <w:fldChar w:fldCharType="separate"/>
        </w:r>
        <w:r>
          <w:rPr>
            <w:webHidden/>
          </w:rPr>
          <w:t>75</w:t>
        </w:r>
        <w:r>
          <w:rPr>
            <w:webHidden/>
          </w:rPr>
          <w:fldChar w:fldCharType="end"/>
        </w:r>
      </w:hyperlink>
    </w:p>
    <w:p w14:paraId="6D52A034" w14:textId="06E822E2" w:rsidR="00AC3257" w:rsidRDefault="00391EF9" w:rsidP="000B66BC">
      <w:pPr>
        <w:pStyle w:val="BodyText1"/>
        <w:rPr>
          <w:rFonts w:ascii="Times New Roman" w:hAnsi="Times New Roman"/>
          <w:sz w:val="24"/>
        </w:rPr>
      </w:pPr>
      <w:r w:rsidRPr="000B66BC">
        <w:rPr>
          <w:rFonts w:ascii="Times New Roman" w:hAnsi="Times New Roman"/>
          <w:sz w:val="24"/>
        </w:rPr>
        <w:fldChar w:fldCharType="end"/>
      </w:r>
    </w:p>
    <w:p w14:paraId="62A2B26A" w14:textId="77777777" w:rsidR="00E92D7C" w:rsidRPr="00E92D7C" w:rsidRDefault="00E92D7C" w:rsidP="00E92D7C"/>
    <w:p w14:paraId="17FE7A76" w14:textId="77777777" w:rsidR="00E92D7C" w:rsidRPr="00E92D7C" w:rsidRDefault="00E92D7C" w:rsidP="00E92D7C"/>
    <w:p w14:paraId="352D7E87" w14:textId="77777777" w:rsidR="00E92D7C" w:rsidRPr="00E92D7C" w:rsidRDefault="00E92D7C" w:rsidP="00E92D7C"/>
    <w:p w14:paraId="385EBC79" w14:textId="77777777" w:rsidR="00E92D7C" w:rsidRDefault="00E92D7C" w:rsidP="00E92D7C">
      <w:pPr>
        <w:rPr>
          <w:rFonts w:ascii="Times New Roman" w:hAnsi="Times New Roman"/>
          <w:sz w:val="24"/>
        </w:rPr>
      </w:pPr>
    </w:p>
    <w:p w14:paraId="4FE9639D" w14:textId="77777777" w:rsidR="00E92D7C" w:rsidRDefault="00E92D7C" w:rsidP="00E92D7C">
      <w:pPr>
        <w:ind w:firstLine="720"/>
        <w:rPr>
          <w:rFonts w:ascii="Times New Roman" w:hAnsi="Times New Roman"/>
          <w:sz w:val="24"/>
        </w:rPr>
      </w:pPr>
    </w:p>
    <w:p w14:paraId="7C7C50E8" w14:textId="77777777" w:rsidR="00E92D7C" w:rsidRDefault="00E92D7C" w:rsidP="00E92D7C">
      <w:pPr>
        <w:rPr>
          <w:rFonts w:ascii="Times New Roman" w:hAnsi="Times New Roman"/>
          <w:sz w:val="24"/>
        </w:rPr>
      </w:pPr>
    </w:p>
    <w:p w14:paraId="43D747E1" w14:textId="63634FC1" w:rsidR="00E92D7C" w:rsidRPr="00E92D7C" w:rsidRDefault="00E92D7C" w:rsidP="00E92D7C">
      <w:pPr>
        <w:sectPr w:rsidR="00E92D7C" w:rsidRPr="00E92D7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282720"/>
      <w:r>
        <w:rPr>
          <w:rFonts w:ascii="Times New Roman" w:hAnsi="Times New Roman"/>
          <w:b/>
          <w:sz w:val="24"/>
        </w:rPr>
        <w:t>I OSA:</w:t>
      </w:r>
      <w:bookmarkEnd w:id="0"/>
      <w:r>
        <w:rPr>
          <w:rFonts w:ascii="Times New Roman" w:hAnsi="Times New Roman"/>
          <w:b/>
          <w:sz w:val="24"/>
        </w:rPr>
        <w:t xml:space="preserve"> YLEISET OHJEET</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282721"/>
      <w:r>
        <w:rPr>
          <w:rFonts w:ascii="Times New Roman" w:hAnsi="Times New Roman"/>
          <w:b/>
          <w:sz w:val="24"/>
        </w:rPr>
        <w:t>1</w:t>
      </w:r>
      <w:r>
        <w:rPr>
          <w:rFonts w:ascii="Times New Roman" w:hAnsi="Times New Roman"/>
          <w:b/>
          <w:sz w:val="24"/>
        </w:rPr>
        <w:tab/>
        <w:t>Rakenne ja käytännöt</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282722"/>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Rakenne</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Tämä liite sisältää tämän asetuksen liitteessä X olevia lomakkeita (jäljempänä ”LR”, joka tulee sanoista Leverage Ratio) koskevia lisäohjeita.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Raportointikehys sisältää yhteensä kuusi lomaketta:</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Vähimmäisomavaraisuusasteen laskenta (LRCalc): Vähimmäisomavaraisuusasteen laskenta;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Vähimmäisomavaraisuusasteen raportointilomake 1 (LR1); Vastuiden vaihtoehtoinen käsittely;</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Vähimmäisomavaraisuusasteen raportointilomake 4 (LR4): Vaihtoehtoinen vähimmäisomavaraisuusasteen vastuiden osatekijöiden jaottelu;</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Vähimmäisomavaraisuusasteen raportointilomake 5 (LR5): Yleiset tiedot;</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Vähimmäisomavaraisuusasteen volatiliteetti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Kunkin lomakkeen kohdalla ilmoitetaan lainsäädäntöviitteet ja yksityiskohtaisia lisätietoja raportointiin liittyvistä yleisemmistä näkökohdista.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282723"/>
      <w:bookmarkEnd w:id="17"/>
      <w:r>
        <w:rPr>
          <w:rFonts w:ascii="Times New Roman" w:hAnsi="Times New Roman"/>
          <w:b/>
          <w:sz w:val="24"/>
        </w:rPr>
        <w:t>1.2</w:t>
      </w:r>
      <w:r>
        <w:rPr>
          <w:rFonts w:ascii="Times New Roman" w:hAnsi="Times New Roman"/>
          <w:b/>
          <w:sz w:val="24"/>
        </w:rPr>
        <w:tab/>
        <w:t>Numerointikäytäntö</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Tässä asiakirjassa noudatetaan alla olevissa kohdissa määritettyjä merkintäkäytäntöjä viitattaessa lomakkeiden sarakkeisiin, riveihin ja soluihin. Näitä numerokoodeja käytetään laajasti validointisäännöissä.</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Ohjeissa noudatetaan seuraavaa yleistä merkintätapaa: {lomake;rivi;sarake}. Tähtimerkki viittaa koko riviin tai sarakkeeseen.</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Kun validointi tehdään lomakkeen sisällä, lomaketta ei mainita ja käytetään vain asianomaisen lomakkeen tietopisteitä: {rivi;sarake}.</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Velkaantuneisuusraportoinnin osalta ilmaisulla ”josta” viitataan ylemmän tason vastuuryhmän alajoukkoon ja ilmaisulla ”lisätietoerä” erilliseen erään, joka ei ole vastuuryhmän alajoukko. Molemmat solut on täytettävä, ellei toisin ole mainittu.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282724"/>
      <w:r>
        <w:rPr>
          <w:rFonts w:ascii="Times New Roman" w:hAnsi="Times New Roman"/>
          <w:b/>
          <w:sz w:val="24"/>
        </w:rPr>
        <w:t>1.3</w:t>
      </w:r>
      <w:r>
        <w:rPr>
          <w:rFonts w:ascii="Times New Roman" w:hAnsi="Times New Roman"/>
          <w:b/>
          <w:sz w:val="24"/>
        </w:rPr>
        <w:tab/>
        <w:t>Lyhenteet</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Tässä liitteessä ja siihen liittyvissä lomakkeissa käytetään seuraavia lyhenteitä:</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SFT, joka on lyhenne sanoista Securities Financing Transaction (arvopapereilla toteutettavat rahoitustoimet) ja jolla tarkoitetaan asetuksen (EU) N:o 575/2013 4 artiklan 1 kohdan 139 alakohdan mukaista takaisinostotransaktiota, arvopapereiden tai hyödykkeiden lainaksiantamiseen tai -ottamiseen liittyvää liiketoimea tai vakuudellista limiittiluotonantoa;</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CRM, joka on lyhenne sanoista Credit Risk Mitigation ja tarkoittaa luottoriskin vähentämistä;</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CSD, joka on lyhenne sanoista Central Securities Depository ja tarkoittaa arvopaperikeskusta;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QCCP, joka on lyhenne sanoista Qualifying Central Counterparty ja tarkoittaa vaatimukset täyttävää keskusvastapuolta;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PFE, joka on lyhenne sanoista Potential Future Exposure ja tarkoittaa potentiaalista tulevaa riskiä.</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282725"/>
      <w:r>
        <w:rPr>
          <w:rFonts w:ascii="Times New Roman" w:hAnsi="Times New Roman"/>
          <w:b/>
          <w:sz w:val="24"/>
        </w:rPr>
        <w:t>1.4</w:t>
      </w:r>
      <w:r>
        <w:rPr>
          <w:rFonts w:ascii="Times New Roman" w:hAnsi="Times New Roman"/>
          <w:b/>
          <w:sz w:val="24"/>
        </w:rPr>
        <w:tab/>
        <w:t>Merkkikäytäntö</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Kaikki summat on ilmoitettava positiivisina lukuina.</w:t>
      </w:r>
      <w:bookmarkStart w:id="32" w:name="_Toc264033192"/>
      <w:bookmarkEnd w:id="32"/>
      <w:r>
        <w:rPr>
          <w:sz w:val="24"/>
        </w:rPr>
        <w:t xml:space="preserve"> Lukuun ottamatta seuraavia:</w:t>
      </w:r>
    </w:p>
    <w:p w14:paraId="7B6D27CF" w14:textId="14E4658E" w:rsidR="0058289F" w:rsidRPr="000B66BC" w:rsidRDefault="00A5392D" w:rsidP="009339D1">
      <w:pPr>
        <w:pStyle w:val="InstructionsText2"/>
        <w:numPr>
          <w:ilvl w:val="0"/>
          <w:numId w:val="25"/>
        </w:numPr>
        <w:rPr>
          <w:rFonts w:eastAsia="Times New Roman"/>
          <w:bCs/>
          <w:sz w:val="24"/>
        </w:rPr>
      </w:pPr>
      <w:r>
        <w:rPr>
          <w:sz w:val="24"/>
        </w:rPr>
        <w:t>Erät, joiden merkintää edeltää negatiivinen merkki (-), joista ei odoteta ilmoitettavan positiivista lukua.</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Soluissa {LRCalc; 0310; 0010}, {LRCalc; 0320; 0010}, {LRCalc; 0330; 0010}, {LRCalc; 0340; 0010} ilmoitettavat luvut voivat olla negatiivisia ääritapauksissa, muussa tapauksessa ne ovat positiivisia.</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282726"/>
      <w:r>
        <w:rPr>
          <w:rFonts w:ascii="Times New Roman" w:hAnsi="Times New Roman"/>
          <w:b/>
          <w:sz w:val="24"/>
        </w:rPr>
        <w:lastRenderedPageBreak/>
        <w:t>II OSA: LOMAKKEISIIN LIITTYVÄT OHJEET</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282727"/>
      <w:r>
        <w:rPr>
          <w:rFonts w:ascii="Times New Roman" w:hAnsi="Times New Roman"/>
          <w:b/>
          <w:sz w:val="24"/>
        </w:rPr>
        <w:t>1</w:t>
      </w:r>
      <w:r>
        <w:rPr>
          <w:rFonts w:ascii="Times New Roman" w:hAnsi="Times New Roman"/>
          <w:b/>
          <w:sz w:val="24"/>
        </w:rPr>
        <w:tab/>
        <w:t>1 Vähimmäisomavaraisuusasteen laskentakaavat</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Vähimmäisomavaraisuusaste (Leverage Ratio, LR) perustuu pääoman määrään ja vastuiden kokonaismäärään, ja se voidaan laskea LRCalc:n solujen perusteella.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Vähimmäisomavaraisuusaste – täyden käyttöönoton jälkeinen määritelmä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Vähimmäisomavaraisuusaste – siirtymäkauden aikainen määritelmä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282728"/>
      <w:bookmarkEnd w:id="39"/>
      <w:r>
        <w:rPr>
          <w:rFonts w:ascii="Times New Roman" w:hAnsi="Times New Roman"/>
          <w:b/>
          <w:sz w:val="24"/>
        </w:rPr>
        <w:t>2.</w:t>
      </w:r>
      <w:r>
        <w:rPr>
          <w:rFonts w:ascii="Times New Roman" w:hAnsi="Times New Roman"/>
          <w:b/>
          <w:sz w:val="24"/>
        </w:rPr>
        <w:tab/>
        <w:t>Johdannaisten kynnysarvot</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Sellaisten laitosten raportointitaakan keventämiseksi, joilla on vain rajatusti johdannaisista aiheutuvia riskejä, pyritään määrittämään johdannaisista aiheutuvien riskien suhteellinen merkitys vähimmäisomavaraisuusasteen kokonaisriskin kannalta. Laitosten on määritettävä tämä seuraavasti</w:t>
      </w:r>
      <w:bookmarkStart w:id="45" w:name="_Toc322533853"/>
      <w:bookmarkEnd w:id="43"/>
      <w:r>
        <w:rPr>
          <w:rFonts w:ascii="Times New Roman" w:hAnsi="Times New Roman"/>
          <w:sz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t xml:space="preserve">Johdannaisten osuus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Jossa johdannaisriski on yhtä kuin: {LRCalc;0061;</w:t>
      </w:r>
      <w:proofErr w:type="gramStart"/>
      <w:r>
        <w:rPr>
          <w:rFonts w:ascii="Times New Roman" w:hAnsi="Times New Roman"/>
          <w:sz w:val="24"/>
        </w:rPr>
        <w:t>0010}+</w:t>
      </w:r>
      <w:proofErr w:type="gramEnd"/>
      <w:r>
        <w:rPr>
          <w:rFonts w:ascii="Times New Roman" w:hAnsi="Times New Roman"/>
          <w:sz w:val="24"/>
        </w:rPr>
        <w:t>{LRCalc;0065;0010}+{LRCalc;0071;0010}+{LRCalc;0081;0010}+{LRCalc;0091;0010}+{LRCalc;0092;0010}+{LRCalc;0093;0010}+{LRCalc;0101;0010}+{LRCalc;0102;0010}+{LRCalc;0103;0010}+{LRCalc;0104;0010}+{LRCalc;0110;0010}+{LRCalc;0120;0010}+{LRCalc;0130;0010}+{LRCalc;0140;0010}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Jossa kokonaisriski on yhtä kuin: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Johdannaisten nimellismäärä yhteensä = {LR1; 0010;0070}. Laitosten on aina ilmoitettava tämä solu.</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Luottojohdannaisten määrä = {LR1;0020;0070} + {LR1;0050;0070}. Laitosten on aina ilmoitettava nämä solut.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Laitosten on täytettävä kohdassa 13 tarkoitetut solut, jos jokin seuraavista edellytyksistä täyttyy:</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kohdassa 5 tarkoitettu johdannaisten osuus on yli 1,5 prosenttia;</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kohdassa 5 tarkoitettu johdannaisten osuus on yli 2,0 prosenttia.</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Tämän asetuksen 4 artiklassa säädettyjä mukaantulo- ja poistumiskriteereitä on sovellettava muihin paitsi b alakohtaan, jossa laitosten on aloitettava tietojen ilmoittaminen seuraavasta raportoinnin viitepäivämäärästä lukien sen jälkeen, kun ne ovat ylittäneet kynnyksen yhtenä raportoinnin viitepäivämääränä.</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Laitosten, joiden kohdan 8 määritelmän mukainen johdannaisten nimellismäärä yhteensä on yli 10 miljardia euroa, on täytettävä kohdassa 13 tarkoitetut solut, vaikka niiden johdannaisten osuus ei täyttäisi kohdassa 10 kuvattuja edellytyksiä.</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t>Tämän asetuksen 4 artiklassa säädettyjä mukaantulokriteereitä ei sovelleta. Laitosten on aloitettava tietojen ilmoittaminen seuraavasta raportoinnin viitepäivämäärästä lukien sen jälkeen, kun ne ovat ylittäneet kynnyksen yhtenä raportoinnin viitepäivämääränä.</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Laitosten on täytettävä kohdassa 14 tarkoitetut solut, jos jokin seuraavista edellytyksistä täyttyy:</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kohdassa 9 tarkoitettu luottojohdannaisten määrä on yli 300 miljoonaa euroa;</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kohdassa 9 tarkoitettu luottojohdannaisten määrä on yli 500 miljoonaa euroa.</w:t>
      </w:r>
    </w:p>
    <w:p w14:paraId="3B88084F" w14:textId="34241752" w:rsidR="00F4754B" w:rsidRPr="000B66BC" w:rsidRDefault="00242493" w:rsidP="000B66BC">
      <w:pPr>
        <w:pStyle w:val="InstructionsText2"/>
        <w:numPr>
          <w:ilvl w:val="0"/>
          <w:numId w:val="0"/>
        </w:numPr>
        <w:ind w:left="709" w:firstLine="11"/>
        <w:rPr>
          <w:sz w:val="24"/>
        </w:rPr>
      </w:pPr>
      <w:r>
        <w:rPr>
          <w:sz w:val="24"/>
        </w:rPr>
        <w:t>Tämän asetuksen 4 artiklassa säädettyjä mukaantulo- ja poistumiskriteereitä on sovellettava muihin paitsi b alakohtaan, jossa laitosten on aloitettava tietojen ilmoittaminen seuraavasta raportoinnin viitepäivämäärästä lukien sen jälkeen, kun ne ovat ylittäneet kynnyksen yhtenä raportoinnin viitepäivämääränä.</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 xml:space="preserve">Ne solut, jotka laitosten on kohdan 10 ja 11 mukaisesti ilmoitettava, ovat seuraavat: {LR1;0010;0010}, {LR1;0010;0020}, {LR1;0020;0010}, {LR1;0020;0020}, {LR1;0030;0070}, {LR1;0040;0070}, {LR1;0050;0010}, {LR1;0050;0020}, {LR1;0060;0010}, {LR1;0060;0020}, </w:t>
      </w:r>
      <w:proofErr w:type="gramStart"/>
      <w:r>
        <w:rPr>
          <w:rFonts w:ascii="Times New Roman" w:hAnsi="Times New Roman"/>
          <w:sz w:val="24"/>
        </w:rPr>
        <w:t>ja{</w:t>
      </w:r>
      <w:proofErr w:type="gramEnd"/>
      <w:r>
        <w:rPr>
          <w:rFonts w:ascii="Times New Roman" w:hAnsi="Times New Roman"/>
          <w:sz w:val="24"/>
        </w:rPr>
        <w:t>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 xml:space="preserve">Ne solut, jotka laitosten on kohdan 12 mukaisesti ilmoitettava, ovat seuraavat: {LR1;0020;0075}, {LR1;0050;0075} </w:t>
      </w:r>
      <w:proofErr w:type="gramStart"/>
      <w:r>
        <w:rPr>
          <w:rFonts w:ascii="Times New Roman" w:hAnsi="Times New Roman"/>
          <w:sz w:val="24"/>
        </w:rPr>
        <w:t>ja{</w:t>
      </w:r>
      <w:proofErr w:type="gramEnd"/>
      <w:r>
        <w:rPr>
          <w:rFonts w:ascii="Times New Roman" w:hAnsi="Times New Roman"/>
          <w:sz w:val="24"/>
        </w:rPr>
        <w:t>LR1;0050;0085}.</w:t>
      </w:r>
    </w:p>
    <w:p w14:paraId="00E6EF91" w14:textId="15B5DC4A"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282729"/>
      <w:bookmarkEnd w:id="46"/>
      <w:r>
        <w:rPr>
          <w:rFonts w:ascii="Times New Roman" w:hAnsi="Times New Roman"/>
          <w:b/>
          <w:sz w:val="24"/>
        </w:rPr>
        <w:t>3.</w:t>
      </w:r>
      <w:r>
        <w:rPr>
          <w:rFonts w:ascii="Times New Roman" w:hAnsi="Times New Roman"/>
          <w:b/>
          <w:sz w:val="24"/>
        </w:rPr>
        <w:tab/>
        <w:t>C 47.00 – Vähimmäisomavaraisuusasteen laskenta</w:t>
      </w:r>
      <w:bookmarkEnd w:id="47"/>
      <w:bookmarkEnd w:id="48"/>
      <w:r w:rsidR="00E92D7C">
        <w:rPr>
          <w:rFonts w:ascii="Times New Roman" w:hAnsi="Times New Roman"/>
          <w:b/>
          <w:sz w:val="24"/>
        </w:rPr>
        <w:t xml:space="preserve"> </w:t>
      </w:r>
      <w:r>
        <w:rPr>
          <w:rFonts w:ascii="Times New Roman" w:hAnsi="Times New Roman"/>
          <w:b/>
          <w:sz w:val="24"/>
        </w:rPr>
        <w:t>(LRCalc)</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Tässä lomakkeessa kerätään tiedot, joita tarvitaan asetuksen (EU) N:o 575/2013 seitsemännessä osassa määritellyn vähimmäisomavaraisuusasteen laskemiseksi.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Laitosten on ilmoitettava vähimmäisomavaraisuusaste neljännesvuosittain. Kunkin neljännesvuosi-ilmoituksen osalta sarakkeessa ”raportoinnin viitepäivämäärä” ilmoitetaan kyseisen vuosineljänneksen kolmannen kuukauden viimeisen kalenteripäivän arvo.</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Laitosten on ilmoitettava vastuuarvoja koskevassa jaksossa olevat erät positiivisella merkillä tässä liitteessä olevan I osan 9 kohdassa esitetyn merkkikäytännön mukaisesti (pois lukien {LRCalc;0270; 0010} ja {LRCalc;0280; 0010}) ikään kuin negatiivisella merkillä (esimerkiksi vapautukset/vähennykset) liitteessä olevan I osan 9 kohdassa esitetyn merkkikäytännön mukaisesti ilmoitettuja eriä ei sovellettaisi.</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Määrät, jotka lisäävät omia varoja tai vähimmäisomavaraisuusasteen vastuita, ilmoitetaan positiivisina lukuina. Vastaavasti määrät, jotka vähentävät omien varojen kokonaismäärää tai vähimmäisomavaraisuusasteen vastuita, ilmoitetaan negatiivisina lukuina. Jos jonkin erän otsaketta edeltää miinusmerkki (-), on tämä osoitus siitä, että erässä ei ole tarkoitus ilmoittaa positiivista lukua.</w:t>
      </w:r>
    </w:p>
    <w:p w14:paraId="69E62B50" w14:textId="0E030492" w:rsidR="00EC3422" w:rsidRPr="000B66BC" w:rsidRDefault="006A4991" w:rsidP="009339D1">
      <w:pPr>
        <w:pStyle w:val="InstructionsText2"/>
        <w:numPr>
          <w:ilvl w:val="0"/>
          <w:numId w:val="0"/>
        </w:numPr>
        <w:ind w:left="720" w:hanging="360"/>
        <w:rPr>
          <w:sz w:val="24"/>
        </w:rPr>
      </w:pPr>
      <w:r>
        <w:rPr>
          <w:sz w:val="24"/>
        </w:rPr>
        <w:lastRenderedPageBreak/>
        <w:t>19. Jos määrä voidaan vähentää useasta syystä, määrää on vähennettävä vastuusta vain yhdellä lomakkeen C47.00 rivillä.</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Lainsäädäntöviittaukset ja ohjeet</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Rivi ja sarake</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Vastuuarvot</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Arvopapereilla toteutettavat rahoitustoimet: Vastuuarvo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Asetuksen (EU) N:o 575/2013 429 b artiklan 1 kohdan b alakohta ja 4 ja 5 kohta</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429 b artiklan 1 kohdan b alakohdan ja 4 ja 5 kohdan mukaisesti lasketut arvopapereilla toteutettavien rahoitustoimien vastuut.</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Laitosten on otettava tässä solussa huomioon liiketoimet asetuksen (EU) N:o 575/2013 429 e artiklan 7 kohdan c alakohdan mukaisesti.</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Laitokset eivät saa sisällyttää tähän soluun saatuja käteissuorituksia tai vastapuolelle edellä mainittujen liiketoimien kautta annettuja arvopapereita, jotka säilyvät taseessa (eli taseesta pois kirjaamista koskeva kirjanpidon periaate ei täyty). Laitosten on sen sijaan sisällytettävä kyseiset erät soluun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erotukseen asetuksen (EU) N:o 575/2013 429 e artiklan 7 kohdan a alakohdan mukaisesti.</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toteutettavat rahoitustoimet: Vastapuoliriskiä koskeva korotus</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e artiklan 1 kohta</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arvopapereilla toteutettavien rahoitustoimien vastapuoliriskiä koskevat korotukset, taseen ulkopuoliset erät mukaan lukien, asetuksen (EU) N:o 575/2013 429 e artiklan 2 tai 3 kohdan ja 4 kohdan mukaisesti, tapauksen mukaan.</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Laitosten on otettava tässä solussa huomioon liiketoimet asetuksen (EU) N:o 575/2013 429 e artiklan 7 kohdan c alakohdan mukaisesti.</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Laitokset eivät saa sisällyttää tähän soluun asiamiehen arvopapereilla toteutettavia rahoitustoimia, joissa laitos maksaa asiakkaalle tai vastapuolelle korvauksen tai takauksen, jonka määrä rajoittuu asiakkaan lainaksiantaman arvopaperin tai käteisen ja lainaksiottajan antaman vakuuden arvon väliseen </w:t>
            </w:r>
            <w:r>
              <w:rPr>
                <w:rFonts w:ascii="Times New Roman" w:hAnsi="Times New Roman"/>
                <w:sz w:val="24"/>
              </w:rPr>
              <w:lastRenderedPageBreak/>
              <w:t>erotukseen asetuksen (EU) N:o 575/2013 429 e artiklan 7 kohdan a alakohdan mukaisesti. Laitosten on sen sijaan sisällytettävä kyseiset erät soluun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toteutettavia rahoitustoimia koskeva poikkeus: Vakavaraisuusasetuksen 429 e artiklan 5 kohdan ja 222 artiklan mukainen korotus</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e artiklan 5 kohta ja 222 artikla</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arvopapereilla toteutettavien rahoitustoimien vastuuarvo, mukaan lukien taseen ulkopuoliset erät, laskettuna asetuksen (EU) N:o 575/2013 222 artiklan mukaisesti, johon on sovellettava riskipainon 20 prosentin alarajaa.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Laitosten on otettava tässä solussa huomioon liiketoimet asetuksen (EU) N:o 575/2013 429 e artiklan 7 kohdan c alakohdan mukaisesti.</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Laitokset eivät saa ottaa tässä solussa huomioon liiketoimia, joiden vähimmäisomavaraisuusasteen vastuiden korotusosan arvo määritetään asetuksen (EU) N:o 575/2013 429 e artiklan 1 kohdassa tarkoitettua menetelmää noudattaen.</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Asiamiehen arvopapereilla toteutettavien rahoitustoimien vastapuoliriski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e artiklan 7 kohdan a alakohta ja 2 ja 3 kohta</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asiamiehen arvopapereilla toteutettavien rahoitustoimien vastuuarvo, joissa laitos maksaa asiakkaalle tai vastapuolelle korvauksen tai takauksen, jonka määrä rajoittuu asiakkaan lainaksiantaman arvopaperin tai käteisen ja lainaksiottajan antaman vakuuden arvon väliseen erotukseen asetuksen (EU) N:o 575/2013 429 e artiklan 7 kohdan a alakohdan mukaisesti ja joka koostuu ainoastaan korotuksesta, joka määritellään asetuksen (EU) N:o 575/2013 429 e artiklan 2 tai 3 alakohdan mukaisesti, tapauksen mukaan.</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Laitokset eivät saa sisällyttää tähän soluun liiketoimia vakavaraisuusasetuksen 429 e artiklan 7 kohdan c alakohdan mukaisesti. Laitosten on ilmoitettava kyseiset erät soluissa {0010;0010} ja {0020;0010} tai {0010;0010} ja {0030;0010}, tapauksen mukaan.</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Vapautettu keskusvastapuolen vastuu, joka liittyy asiakkaan puolesta selvitykseen vietyjen arvopapereilla toteutettavien rahoitustoimien vastuisiin</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 ja 306 artiklan 1 kohdan c alakohta</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Tässä ilmoitetaan vapautettu keskusvastapuolen vastuu, joka liittyy asiakkaan puolesta selvitykseen vietyjen arvopapereilla toteutettavien rahoitustoimien kaupankäyntivastuisiin, edellyttäen, että nämä erät täyttävät asetuksen (EU) N:o 575/2013 306 artiklan 1 kohdan c alakohdassa säädetyt edellytykset.</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Jos vastuista vapautettu keskusvastapuolen velvoite on vakuutena, sitä ei saa ilmoittaa tässä solussa, ellei se ole edelleenpantattu vakuus, joka sovellettavan tilinpäätössäännöstön mukaisesti (eli asetuksen (EU) N:o 575/2013 111 artiklan 1 kohdan ensimmäisen virkkeen mukaan) sisällytetään täysimääräisenä.</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Laitosten on sisällytettävä tässä solussa ilmoitettava määrä, ikään kuin vapautusta ei sovellettaisi, soluihin {0010;0010}, {0020;0010} ja {0030;0010} ja, jos se on edelleenpantattu vakuus, joka sovellettavan tilinpäätössäännöstön mukaisesti sisällytetään täysimääräisenä, myös soluun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Jos laitos on kirjannut alkumarginaalin, joka koskee arvopapereilla toteutettavien rahoitustoimien vastuisiin liittyvää vapautettua vastuuta, joka ilmoitetaan solussa {0190;0010}, mutta ei ilmoiteta solussa {0020;0010} tai {0030;0010}, laitos voi ilmoittaa sen tässä solussa.</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Johdannaiset: vastapuoliriskin standardimenetelmän mukainen jälleenhankinta-arvo (ilman vakuuksien vaikutusta riippumattomaan vakuuden nettomäärään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1 kohta</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275 artiklan mukainen jälleenhankinta-arvo ilman vakuuksien vaikutusta NICA:han ja ilman vakuusmarginaalin vaikutusta. Laitokset eivät saa soveltaa tässä solussa asetuksen (EU) N:o 575/2013 429 c artiklan 3 ja 4 kohdan ja 429 a artiklan 1 kohdan g alakohdan mukaisia poikkeuksia.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Kuten asetuksen (EU) N:o 575/2013 429 c artiklan 1 kohdassa säädetään, laitokset voivat ottaa huomioon uudistamissopimusten ja muiden nettoutussopimusten vaikutukset asetuksen (EU) N:o 575/2013 295 artiklan mukaisesti. Tuotteiden ristikkäisnettoutusta (cross-product netting) ei sovelleta. Laitokset voivat kuitenkin nettouttaa asetuksen (EU) N:o 575/2013 272 artiklan 25 kohdan c alakohdassa tarkoitettuun tuoteluokkaan kuuluvia tuotteita ja luottojohdannaisia, kun ne kuuluvat asetuksen (EU) N:o 575/2013 295 artiklan c kohdassa tarkoitettuun tuotteiden ristikkäisnettoutusta koskevan sopimuksen soveltamisalaan.</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Laitosten on sisällytettävä kaikki luottojohdannaiset, ei pelkästään kaupankäyntivarastoon luokiteltuja luottojohdannaisia.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lastRenderedPageBreak/>
              <w:t>Laitokset eivät saa ottaa tässä solussa huomioon sopimuksia, jotka mitataan soveltamalla yksinkertaistettua standardimenetelmää tai alkuperäisen vastuun menetelmää.</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Vakuuden tunnustamisen vaikutus NICA:han vaatimukset täyttävän keskusvastapuolen asiakkaan puolesta selvitykseen viemissä liiketoimissa (vastapuoliriskin standardimenetelmä – jälleenhankinta-arvo)</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4 ja 4 a kohta</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429 c artiklan 4 kohdan poikkeuksen soveltaminen yhdessä 429 c artiklan 4 a kohdan kanssa asiakkaiden kanssa tehtyjen johdannaissopimusten jälleenhankinta-arvon laskentaan, kun ehdot täyttävä keskusvastapuoli vie kyseiset sopimukset selvitykseen.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tässä solussa ilmoitettava määrä myös solussa {0061;0010}, ikään kuin poikkeusta ei sovellettaisi.</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Saadun käteisellä katettavan vakuusmarginaalin vaikutus, joka on kuitattu johdannaisten markkina-arvoa vastaan (vastapuoliriskin standardimenetelmä – jälleenhankinta-arvo)</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3 kohta</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vastapuolelta käteisenä saatu vakuusmarginaali, jota voidaan käyttää kuittaamiseen johdannaisvastuiden jälleenhankinta-arvon osuutta vastaan asetuksen (EU) N:o 575/2013 429 c artiklan 3 kohdan mukaisesti.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Käteisenä saatua vakuusmarginaalia, joka on vastaanotettu vapautetusta keskusvastapuolen vastuusta asetuksen (EU) N:o 575/2013 429 a artiklan 1 kohdan g alakohdan mukaisesti, ei ilmoiteta.</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{0061;0010}, ikään kuin käteisenä saadun vakuusmarginaalin vähennystä ei sovellettaisi.</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Vaikutus vapautetusta keskusvastapuolen vastuusta, joka liittyy asiakkaan puolesta selvitykseen vietyjen arvopapereilla toteutettavien rahoitustoimien kaupankäyntivastuisiin (vastapuoliriskin standardimenetelmä – jälleenhankinta-arvo)</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asiakkaan puolesta selvitykseen vietyjen johdannaistoimien vapautettujen, ehdot täyttävään keskusvastapuoleen </w:t>
            </w:r>
            <w:r>
              <w:rPr>
                <w:rFonts w:ascii="Times New Roman" w:hAnsi="Times New Roman"/>
                <w:sz w:val="24"/>
              </w:rPr>
              <w:lastRenderedPageBreak/>
              <w:t xml:space="preserve">liittyvien kaupankäyntivastuiden jälleenhankinta-arvon osuus edellyttäen, että nämä erät täyttävät asetuksen (EU) N:o 575/2013 306 artiklan 1 kohdan c alakohdassa säädetyt edellytykset. Tämä määrä on ilmoitettava ilman tästä velvoitteesta käteisenä saatua vakuusmarginaalia.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{0061;0010}, ikään kuin vapautusta ei sovellettaisi.</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Johdannaiset: Vastapuoliriskin standardimenetelmän mukainen potentiaalisen tulevan riskin osuus (kerroin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5 kohta</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Potentiaalinen tuleva riski asetuksen (EU) N:o 575/2013 278 artiklan mukaisesti olettaen, että kerroin on 1, eli soveltamatta poikkeusta, joka koskee asiakkaiden kanssa tehtyjä sopimuksia, kun ehdot täyttävä keskusvastapuoli määrittää kyseiset sopimukset asetuksen (EU) N:o 575/2013 429 c artiklan 5 kohdan mukaisesti.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Vaikutus, joka ehdot täyttävän keskusvastapuolen selvitykseen viemille asiakkaiden liiketoimille annetulla alhaisemmalla kertoimella on potentiaalisen tulevan riskin osuuteen (vastapuoliriskin standardimenetelmä – mahdollinen tuleva riski)</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5 kohta</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429 c artiklan 5 kohdan mukaisen poikkeuksen soveltaminen asiakkaiden kanssa tehtyjen johdannaissopimusten potentiaalisen tulevan riskin laskentaan, kun ehdot täyttävä keskusvastapuoli vie kyseiset sopimukset selvitykseen.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{0091;0010}, ikään kuin poikkeusta ei sovellettaisi.</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Vaikutus vapautetusta keskusvastapuolen vastuusta, joka liittyy asiakkaan puolesta selvitykseen vietyihin kaupankäyntivastuisiin (vastapuoliriskin standardimenetelmä –potentiaalinen tuleva riski)</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asiakkaan puolesta selvitykseen vietyjen johdannaistoimien vapautettujen, ehdot täyttävään keskusvastapuoleen liittyvien kaupankäyntivastuiden potentiaalinen tuleva riski edellyttäen, että kyseiset erät täyttävät asetuksen (EU) N:o 575/2013 306 artiklan 1 kohdan c </w:t>
            </w:r>
            <w:r>
              <w:rPr>
                <w:rFonts w:ascii="Times New Roman" w:hAnsi="Times New Roman"/>
                <w:sz w:val="24"/>
              </w:rPr>
              <w:lastRenderedPageBreak/>
              <w:t xml:space="preserve">alakohdassa säädetyt edellytykset.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{0091;0010}, ikään kuin vapautusta ei sovellettaisi.</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Johdannaisia koskeva poikkeus: jälleenhankinta-arvon osuus yksinkertaistetun standardimenetelmän mukaisesti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6 kohta ja 281 artikla</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solussa ilmoitetaan asetuksen (EU) N:o 575/2013 liitteessä II olevissa 1 ja 2 kohdassa lueteltujen sopimusten vastuut laskettuna asetuksen (EU) N:o 575/2013 281 artiklassa esitettyä yksinkertaistettua standardimenetelmää käyttäen.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Laitokset, jotka soveltavat yksinkertaistettua standardimenetelmää, eivät saa vähentää vastuiden kokonaismäärästä saadun marginaalin määrää, kuten asetuksen (EU) N:o 575/2013 429 c artiklan 6 kohdassa säädetään. Näin ollen ei sovelleta asetuksen (EU) N:o 575/2013 429 c artiklan 4 kohdassa säädettyä poikkeusta, joka koskee asiakkaiden kanssa tehtyjä johdannaissopimuksia, joissa ehdot täyttävä keskusvastapuoli määrittää kyseiset sopimukset.</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Laitokset eivät saa ottaa tässä solussa huomioon sopimuksia, jotka mitataan soveltamalla vastapuoliriskin standardimenetelmää tai alkuperäisen vastuun menetelmää.</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Vaikutus vapautetusta keskusvastapuolen vastuusta, joka liittyy asiakkaan määrittämistä kaupankäyntivastuista vapautettuun velvoitteeseen (yksinkertaistettu standardimenetelmä – jälleenhankinta-arvo)</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asiakkaan puolesta selvitykseen vietyjen johdannaistoimien vapautettujen, ehdot täyttävään keskusvastapuoleen liittyvien kaupankäyntivastuiden jälleenhankinta-arvon osuus edellyttäen, että nämä erät täyttävät asetuksen (EU) N:o 575/2013 306 artiklan 1 kohdan c alakohdassa säädetyt edellytykset. Tämä määrä on ilmoitettava ilman tästä velvoitteesta käteisenä saatua vakuusmarginaalia.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{0101;0010}, ikään kuin vapautusta ei sovellettaisi.</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Johdannaisia koskeva poikkeus: Yksinkertaistetun standardimenetelmän mukainen potentiaalisen tulevan riskin osuus (kerroin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 xml:space="preserve">Asetuksen (EU) N:o 575/2013 281 artiklan 2 kohdan f alakohta ja 429 c artiklan 6 kohta Asetuksen (EU) N:o 575/2013 281 artiklassa säädetyn yksinkertaistetun standardimenetelmän mukainen potentiaalinen tuleva riski olettaen, että kerroin on 1.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Laitokset, jotka soveltavat yksinkertaistettua standardimenetelmää, eivät saa vähentää vastuiden kokonaismäärästä saadun marginaalin määrää, kuten asetuksen (EU) N:o 575/2013 429 c artiklan 6 kohdassa säädetään.</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Vaikutus vapautetusta keskusvastapuolen vastuusta, joka liittyy asiakkaan puolesta selvitykseen vietyihin kaupankäyntivastuisiin (yksinkertaistettu standardimenetelmä – potentiaalinen tuleva riski)</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asiakkaan puolesta selvitykseen vietyjen johdannaistoimien vapautettujen, ehdot täyttävään keskusvastapuoleen liittyvien kaupankäyntivastuiden potentiaalinen tuleva riski edellyttäen, että kyseiset erät täyttävät asetuksen (EU) N:o 575/2013 306 artiklan 1 kohdan c alakohdassa säädetyt edellytykset. Määrä ilmoitetaan käyttäen </w:t>
            </w:r>
            <w:proofErr w:type="gramStart"/>
            <w:r>
              <w:rPr>
                <w:rFonts w:ascii="Times New Roman" w:hAnsi="Times New Roman"/>
                <w:sz w:val="24"/>
              </w:rPr>
              <w:t>alfa-kerrointa</w:t>
            </w:r>
            <w:proofErr w:type="gramEnd"/>
            <w:r>
              <w:rPr>
                <w:rFonts w:ascii="Times New Roman" w:hAnsi="Times New Roman"/>
                <w:sz w:val="24"/>
              </w:rPr>
              <w:t xml:space="preserve"> 1,4 asetuksen (EU) N:o 575/2013 274 artiklan 2 kohdan mukaisesti.</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tässä solussa ilmoitettava määrä myös solussa {0103;0010}, ikään kuin vapautusta ei sovellettaisi.</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Johdannaisia koskeva poikkeus: alkuperäisen hankinta-arvon menetelmä</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6 kohta ja 282 artikla</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Tässä solussa ilmoitetaan asetuksen (EU) N:o 575/2013 liitteessä II olevissa 1 ja 2 kohdassa lueteltujen sopimusten vastuut laskettuna asetuksen (EU) N:o 575/2013 282 artiklassa esitettyä yksinkertaistettua alkuperäisen vastuun menetelmää käyttäen.</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Laitokset, jotka soveltavat alkuperäisen vastuun menetelmää, eivät saa vähentää vastuiden kokonaismäärästä saadun marginaalin määrää, kuten asetuksen (EU) N:o 575/2013 429 c artiklan 6 kohdassa säädetään.</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Laitokset, jotka eivät käytä alkuperäisen hankinta-arvon menetelmää, voivat jättää tämän solun täyttämättä.</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lastRenderedPageBreak/>
              <w:t>Laitokset eivät saa ottaa tässä solussa huomioon sopimuksia, jotka mitataan soveltamalla vastapuoliriskin standardimenetelmää tai yksinkertaistettua standardimenetelmää.</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Vapautettu keskusvastapuolen vastuu, joka liittyy asiakkaan puolesta selvitykseen vietyihin kaupankäyntivastuisiin (alkuperäisen hankinta-arvon menetelmä)</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Tässä ilmoitetaan vapautettu keskusvastapuolen vastuu, joka liittyy asiakkaan puolesta selvitykseen vietyihin kaupankäyntivastuisiin, sovellettaessa asetuksen (EU) N:o 575/2013 282 artiklassa säädettyä alkuperäisen vastuun menetelmää edellyttäen, että nämä erät täyttävät asetuksen (EU) N:o 575/2013 306 artiklan 1 kohdan c alakohdassa säädetyt edellytykset.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tässä solussa ilmoitettava määrä myös solussa {0110;0010}, ikään kuin vapautusta ei sovellettaisi.</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Asetettujen luottojohdannaisten rajattu nimellisarvo</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d artikla</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Laitosten on määritettävä 429 d artiklan 1 kohdassa määriteltyjen asetettujen luottojohdannaisten rajattu nimellisarvo asetuksen (EU) N:o 575/2013 429 d artiklan mukaisesti.</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Hyväksyttävien ostettujen luottojohdannaisten kuittaus kirjallisia luottojohdannaisia vastaan</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d artikla</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sellaisten ostettujen luottojohdannaisten rajattu nimellisarvo (eli kun laitos ostaa luottosuojan vastapuolelta), joiden referenssinimi vastaa laitoksen markkinoille asettamia luottojohdannaisia, kun ostetun suojan jäljellä oleva maturiteetti on yhtä pitkä tai pidempi kuin myydyn suojan jäljellä oleva maturiteetti. Näin ollen arvo ei saa olla suurempi kuin soluun {0130;0010} merkitty arvo kullekin referenssinimelle.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Taseen ulkopuoliset erät, joiden luottovasta-arvokerroin on 10 prosenttia vakavaraisuusasetuksen 429 f artiklan mukaisesti</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429 f artiklan, 111 artiklan 2 kohdan e alakohdan ja 111 artiklan 3 kohdan mukainen vastuuarvo.</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Asetus (EU) N:o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On muistettava, että nimellisarvoa ei saa pienentää erityisillä luottoriskioikaisuilla ennen luottovasta-arvokertoimen soveltamista.</w:t>
            </w:r>
            <w:r>
              <w:rPr>
                <w:sz w:val="24"/>
              </w:rPr>
              <w:t xml:space="preserve"> </w:t>
            </w:r>
            <w:r>
              <w:rPr>
                <w:rFonts w:ascii="Times New Roman" w:hAnsi="Times New Roman"/>
                <w:sz w:val="24"/>
              </w:rPr>
              <w:t xml:space="preserve">Asetuksen (EU) N:o 575/2013 429 f artiklan 2 mukaan laitokset voivat </w:t>
            </w:r>
            <w:r>
              <w:rPr>
                <w:rFonts w:ascii="Times New Roman" w:hAnsi="Times New Roman"/>
                <w:sz w:val="24"/>
              </w:rPr>
              <w:lastRenderedPageBreak/>
              <w:t>vähentää taseen ulkopuolisen erän luottoriskiä vastaavasta määrästä erityisten luottoriskioikaisujen vastaavan määrän. Laskentaan sovelletaan alarajaa, joka on nolla.</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Jos sitoumus liittyy toisen, taseen ulkopuolisen erän antamiseen, on käytettävä pienempää kahdesta luottovasta-arvokertoimesta (jotka liittyvät erään, johon sitoumus on tehty, tai tehdyn sitoumuksen tyyppiin) asetuksen (EU) N:o 575/2013 111 artiklan 3 kohdan mukaisesti.</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Asetuksen (EU) N:o 575/2013 429 f artiklassa säädetään, että laitokset eivät saa ottaa tässä solussa huomioon asetuksen (EU) N:o 575/2013 liitteessä II lueteltuja sopimuksia, luottojohdannaisia, arvopapereilla toteutettavia rahoitustoimia ja 429 d artiklassa tarkoitettuja positioita.</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Laitosten on sovellettava ehdoitta peruutettavissa olevien luottositoumusten osalta 10 prosentin luottovasta-arvokerrointa 429 f artiklan 3 kohdan mukaisesti.</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Taseen ulkopuoliset erät, joiden luottovasta-arvokerroin on 20 prosenttia vakavaraisuusasetuksen 429 f artiklan mukaisesti</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429 f artiklan, 111 artiklan 2 kohdan d alakohdan ja 111 artiklan 3 kohdan mukainen vastuuarvo.</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On muistettava, että nimellisarvoa ei saa pienentää erityisillä luottoriskioikaisuilla ennen luottovasta-arvokertoimen soveltamista. Asetuksen (EU) N:o 575/2013 429 f artiklan 2 mukaan laitokset voivat vähentää taseen ulkopuolisen erän luottoriskiä vastaavasta määrästä erityisten luottoriskioikaisujen vastaavan määrän. Laskentaan sovelletaan alarajaa, joka on nolla.</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Jos sitoumus liittyy toisen, taseen ulkopuolisen erän antamiseen, on käytettävä pienempää kahdesta luottovasta-arvokertoimesta (jotka liittyvät erään, johon sitoumus on tehty, tai tehdyn sitoumuksen tyyppiin) asetuksen (EU) N:o 575/2013 111 artiklan 3 kohdan mukaisesti.</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Asetuksen (EU) N:o 575/2013 429 f artiklassa säädetään, että laitokset eivät saa ottaa tässä solussa huomioon asetuksen (EU) N:o 575/2013 liitteessä II lueteltuja sopimuksia, luottojohdannaisia, arvopapereilla toteutettavia rahoitustoimia ja 429 d artiklassa tarkoitettuja positioita.</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Taseen ulkopuoliset erät, joiden luottovasta-arvokerroin on 40 prosenttia vakavaraisuusasetuksen 429 f artiklan mukaisesti</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Tässä ilmoitetaan asetuksen (EU) N:o 575/2013 429 f artiklan, 111 artiklan 2 kohdan c alakohdan ja 111 artiklan 3 kohdan mukainen vastuuarvo.</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 xml:space="preserve">On muistettava, että nimellisarvoa ei saa pienentää erityisillä luottoriskioikaisuilla ennen luottovasta-arvokertoimen soveltamista. </w:t>
            </w:r>
            <w:r>
              <w:rPr>
                <w:rFonts w:ascii="Times New Roman" w:hAnsi="Times New Roman"/>
                <w:sz w:val="24"/>
              </w:rPr>
              <w:lastRenderedPageBreak/>
              <w:t>Asetuksen (EU) N:o 575/2013 429 f artiklan 2 mukaan laitokset voivat vähentää taseen ulkopuolisen erän luottoriskiä vastaavasta määrästä erityisten luottoriskioikaisujen vastaavan määrän. Laskentaan sovelletaan alarajaa, joka on nolla.</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Jos sitoumus liittyy toisen, taseen ulkopuolisen erän antamiseen, on käytettävä pienempää kahdesta luottovasta-arvokertoimesta (jotka liittyvät erään, johon sitoumus on tehty, tai tehdyn sitoumuksen tyyppiin) asetuksen (EU) N:o 575/2013 111 artiklan 3 kohdan mukaisesti.</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Asetuksen (EU) N:o 575/2013 429 f artiklassa säädetään, että laitokset eivät saa ottaa tässä solussa huomioon asetuksen (EU) N:o 575/2013 liitteessä II lueteltuja sopimuksia, luottojohdannaisia, arvopapereilla toteutettavia rahoitustoimia ja 429 d artiklassa tarkoitettuja positioita.</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Taseen ulkopuoliset erät, joiden luottovasta-arvokerroin on 50 prosenttia vakavaraisuusasetuksen 429 f artiklan mukaisesti</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429 f artiklan, 111 artiklan 2 kohdan b alakohdan ja 111 artiklan 3 kohdan mukainen vastuuarvo.</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On muistettava, että nimellisarvoa ei saa pienentää erityisillä luottoriskioikaisuilla ennen luottovasta-arvokertoimen soveltamista. Asetuksen (EU) N:o 575/2013 429 f artiklan 2 mukaan laitokset voivat vähentää taseen ulkopuolisen erän luottoriskiä vastaavasta määrästä erityisten luottoriskioikaisujen vastaavan määrän. Laskentaan sovelletaan alarajaa, joka on nolla.</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Tähän soluun kuuluvat likviditeettisopimukset ja muut sitoumukset arvopaperistamisiin. Toisin sanoen kaikkien likviditeettisopimusten luottovasta-arvokerroin on asetuksen (EU) N:o 575/2013 255 artiklan mukaisesti 50 prosenttia maturiteetista riippumatta.</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Jos sitoumus liittyy toisen, taseen ulkopuolisen erän antamiseen, on käytettävä pienempää kahdesta luottovasta-arvokertoimesta (jotka liittyvät erään, johon sitoumus on tehty, tai tehdyn sitoumuksen tyyppiin) asetuksen (EU) N:o 575/2013 111 artiklan 3 kohdan mukaisesti.</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Asetuksen (EU) N:o 575/2013 429 f artiklassa säädetään, että laitokset eivät saa ottaa tässä solussa huomioon asetuksen (EU) N:o 575/2013 liitteessä II lueteltuja sopimuksia, luottojohdannaisia, arvopapereilla toteutettavia rahoitustoimia ja 429 d artiklassa tarkoitettuja positioita.</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Taseen ulkopuoliset erät, joiden luottovasta-arvokerroin on 100 prosenttia vakavaraisuusasetuksen 429 f artiklan mukaisesti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429 f artiklan, 111 artiklan 2 kohdan a alakohdan ja 111 artiklan 3 kohdan mukainen vastuuarvo.</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 On muistettava, että nimellisarvoa ei saa pienentää erityisillä luottoriskioikaisuilla ennen luottovasta-arvokertoimen soveltamista. Asetuksen (EU) N:o 575/2013 429 f artiklan 2 mukaan laitokset voivat vähentää taseen ulkopuolisen erän luottoriskiä vastaavasta määrästä erityisten luottoriskioikaisujen vastaavan määrän. Laskentaan sovelletaan alarajaa, joka on nolla.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Tähän soluun kuuluvat likviditeettisopimukset ja muut sitoumukset arvopaperistamisiin.</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Jos sitoumus liittyy toisen, taseen ulkopuolisen erän antamiseen, on käytettävä pienempää kahdesta luottovasta-arvokertoimesta (jotka liittyvät erään, johon sitoumus on tehty, tai tehdyn sitoumuksen tyyppiin) asetuksen (EU) N:o 575/2013 111 artiklan 3 kohdan mukaisesti.</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Asetuksen (EU) N:o 575/2013 429 f artiklassa säädetään, että laitokset eivät saa ottaa tässä solussa huomioon asetuksen (EU) N:o 575/2013 liitteessä II lueteltuja sopimuksia, luottojohdannaisia, arvopapereilla toteutettavia rahoitustoimia ja 429 d artiklassa tarkoitettuja positioita.</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Taseen ulkopuolisiin eriin tehtävät yleiset luottoriskioikaisut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artiklan 4 kohta</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Tässä ilmoitetaan 429 artiklan 4 kohdan d alakohdassa tarkoitettuja taseen ulkopuolisia eriä vastaavien yleisten luottoriskioikaisujen määrä, jonka laitokset vähentävät asetuksen (EU) N:o 575/2013 429 artiklan 4 kohdan viimeisen alakohdan mukaisesti.</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Ilmoitettua määrää ei oteta huomioon laskettaessa taseen ulkopuolisia eriä, jotka ilmoitetaan riveillä {0150; 0010} – {0180; 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Toimitusta odottavat tavanomaiset ostot ja myynnit: Kirjanpitoarvo kaupantekopäivään perustuvan kirjaamisen mukaisesti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Asetuksen (EU) N:o 575/2013 429 g artiklan 1 kohta</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Seuraavien summa:</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tavanomaisiin ostoihin liittyvien käteisvarojen määrä, joka jää taseeseen varoiksi toimituspäivään asti asetuksen (EU) N:o 575/2013 429 artiklan 4 kohdan a alakohdan mukaisesti;</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tavanomaisiin myynteihin liittyvien käteissaatavien määrä, joka jää taseeseen varoiksi toimituspäivään asti asetuksen (EU) N:o 575/2013 429 artiklan 4 kohdan a alakohdan mukaisesti;</w:t>
            </w:r>
            <w:r>
              <w:rPr>
                <w:rFonts w:ascii="Times New Roman" w:hAnsi="Times New Roman"/>
                <w:color w:val="auto"/>
                <w:sz w:val="24"/>
              </w:rPr>
              <w:t xml:space="preserve"> Tämä määrä saadaan sen jälkeen, kun toimitusta odottaviin tavanomaisiin myynteihin liittyvät käteissaatavat ja toimitusta odottaviin tavanomaisiin ostoihin </w:t>
            </w:r>
            <w:r>
              <w:rPr>
                <w:rFonts w:ascii="Times New Roman" w:hAnsi="Times New Roman"/>
                <w:color w:val="auto"/>
                <w:sz w:val="24"/>
              </w:rPr>
              <w:lastRenderedPageBreak/>
              <w:t xml:space="preserve">liittyvät käteisvelat </w:t>
            </w:r>
            <w:proofErr w:type="gramStart"/>
            <w:r>
              <w:rPr>
                <w:rFonts w:ascii="Times New Roman" w:hAnsi="Times New Roman"/>
                <w:color w:val="auto"/>
                <w:sz w:val="24"/>
              </w:rPr>
              <w:t>on</w:t>
            </w:r>
            <w:proofErr w:type="gramEnd"/>
            <w:r>
              <w:rPr>
                <w:rFonts w:ascii="Times New Roman" w:hAnsi="Times New Roman"/>
                <w:color w:val="auto"/>
                <w:sz w:val="24"/>
              </w:rPr>
              <w:t xml:space="preserve"> nettoutettu sovellettavan tilinpäätössäännöstön sallimalla tavalla.</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Laitosten, jotka noudattavat kaupantekopäivään perustuvaa kirjaamista, on ilmoitettava edellä mainittu summa tässä solussa rivin 0190 ”Muut varat” sijasta, ja niiden on ilmoitettava tavanomaisiin ostoihin liittyvät arvopaperit rivillä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Toimitusta odottavat tavanomaiset myynnit: kirjanpidollisen nettoutuksen peruuttaminen kaupantekopäivään perustuvan kirjaamisen mukaisesti</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Asetuksen (EU) N:o 575/2013 429 g artiklan 2 kohta</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 xml:space="preserve">Tämä määrä saadaan sen jälkeen, kun toimitusta odottaviin tavanomaisiin myynteihin liittyvät käteissaatavat ja toimitusta odottaviin tavanomaisiin ostoihin liittyvät käteisvelat </w:t>
            </w:r>
            <w:proofErr w:type="gramStart"/>
            <w:r>
              <w:rPr>
                <w:rFonts w:ascii="Times New Roman" w:hAnsi="Times New Roman"/>
                <w:color w:val="auto"/>
                <w:sz w:val="24"/>
              </w:rPr>
              <w:t>on</w:t>
            </w:r>
            <w:proofErr w:type="gramEnd"/>
            <w:r>
              <w:rPr>
                <w:rFonts w:ascii="Times New Roman" w:hAnsi="Times New Roman"/>
                <w:color w:val="auto"/>
                <w:sz w:val="24"/>
              </w:rPr>
              <w:t xml:space="preserve"> nettoutettu sovellettavan tilinpäätössäännöstön sallimalla tavalla.</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Toimitusta odottavat tavanomaiset myynnit: vakavaraisuusasetuksen 429 g artiklan 2 kohdan mukainen nettoutus</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g artiklan 2 kohta</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Käteissaatavien ja -maksettavien nettoutus, jos niin asiaan liittyvät tavanomaiset myynnit kuin ostotkin toimitetaan luovutus maksua vastaan -periaatteella asetuksen (EU) N:o 575/2013 429 g artiklan 2 kohdan mukaisesti.</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Toimitusta odottavat tavanomaiset ostot: suoritettavia maksuja koskevien sitoumusten täysimääräinen kirjaaminen toimituspäivään perustuvan kirjaamisen mukaisesti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Asetuksen (EU) N:o 575/2013 429 g artiklan 3 kohta</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Tavanomaisiin ostoihin liittyvien maksusitoumusten täysi nimellisarvo niiden laitosten osalta, jotka soveltavat toimituspäivään perustuvaa kirjaamista tavanomaisiin ostoihin ja myynteihin sovellettavan tilinpäätössäännöstön mukaisesti.</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Tavanomaiseen myyntiin liittyvät arvopaperit ilmoitetaan rivillä 0190 ”Muut varat”.</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Toimitusta odottavat tavanomaiset ostot: nettoutus maksusitoumusten kanssa toimituspäivään perustuvan kirjaamisen mukaisesti, kuten vakavaraisuusasetuksen 429 g artiklan 3 kohdassa säädetään</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Asetuksen (EU) N:o 575/2013 429 g artiklan 3 kohta</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lastRenderedPageBreak/>
              <w:t>Se osa rivillä 0188 raportoidusta määrästä, joka on nettoutettu toimitusta odottaviin tavanomaisiin myynteihin liittyvien käteissaamisten täyden nimellisarvon kanssa asetuksen (EU) N:o 575/2013 429 g artiklan 3 kohdan mukaisesti.</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Muut omaisuuserät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4 kohdan a alakohta</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Tässä ilmoitetaan muut kuin asetuksen (EU) N:o 575/2013 liitteessä II luetellut johdannaissopimukset, luottojohdannaiset ja arvopapereilla toteutettavat rahoitustoimet (tässä solussa ilmoitettavia varoja ovat esimerkiksi käteisellä katettavaan vakuusmarginaaliin perustuvat saatavat, kun ne hyväksytään operatiivisessa tilinpäätössäännöstössä, likvidit varat sellaisina kuin ne määritellään maksuvalmiusvaatimuksissa sekä epäonnistuneet ja selvittämättömät transaktiot). Laitosten on määritettävä näiden arvo asetuksen (EU) N:o 575/2013 429 b artiklan 1 kohdan ja 429 artiklan 7 kohdan periaatteita noudattaen.</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Laitosten on sisällytettävä tähän soluun saadut käteissuoritukset tai vastapuolelle arvopapereilla toteutettavien rahoitustoimien kautta annetut arvopaperit, jotka säilyvät taseessa (eli taseesta pois kirjaamista koskeva kirjanpidon periaate ei täyty). Lisäksi laitosten on tässä otettava huomioon erät, jotka vähennetään ydinpääomasta ja ensisijaisen lisäpääoman eristä (esim. aineettomat hyödykkeet, laskennalliset verosaamiset jne.).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Rivillä {0191; 0010} ilmoitettua määrää ei oteta huomioon vähennyksenä tämän rivin laskennassa.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Konsernitilijärjestelyt (cash pooling) ilmoitetaan riveillä {0193; 0010}, {0194; 0010}, {0195; {0010}, {0196; 0010}, {0197; {0010} ja {0198; 0010} eikä tässä.</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Taseeseen sisältyviin eriin tehtävät yleiset luottoriskioikaisut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artiklan 4 kohta</w:t>
            </w:r>
          </w:p>
          <w:p w14:paraId="7E1379BD" w14:textId="63EE0814"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Tässä ilmoitetaan asetuksen (EU) N:o 575/2013 429 artiklan 4 kohdan </w:t>
            </w:r>
            <w:r w:rsidR="00713A81">
              <w:rPr>
                <w:rFonts w:ascii="Times New Roman" w:hAnsi="Times New Roman"/>
                <w:sz w:val="24"/>
              </w:rPr>
              <w:t>a</w:t>
            </w:r>
            <w:r>
              <w:rPr>
                <w:rFonts w:ascii="Times New Roman" w:hAnsi="Times New Roman"/>
                <w:sz w:val="24"/>
              </w:rPr>
              <w:t xml:space="preserve"> alakohdassa tarkoitettuja taseeseen sisältyviä eriä vastaavien yleisten luottoriskioikaisujen määrä, jonka laitokset vähentävät asetuksen (EU) N:o 575/2013 429 artiklan 4 kohdan viimeisen alakohdan mukaisesti.</w:t>
            </w:r>
          </w:p>
          <w:p w14:paraId="58EB87A7" w14:textId="679E26B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Ilmoitettua määrää ei oteta huomioon vähennyksenä laskettaessa muita varoja, jotka ilmoitetaan rivillä</w:t>
            </w:r>
            <w:r w:rsidR="00495401">
              <w:rPr>
                <w:rFonts w:ascii="Times New Roman" w:hAnsi="Times New Roman"/>
                <w:sz w:val="24"/>
              </w:rPr>
              <w:t xml:space="preserve"> </w:t>
            </w:r>
            <w:r>
              <w:rPr>
                <w:rFonts w:ascii="Times New Roman" w:hAnsi="Times New Roman"/>
                <w:sz w:val="24"/>
              </w:rPr>
              <w:t>{0190; 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Konsernitilijärjestelyt, joita ei voida nettouttaa varovaisuusperiaatteen mukaisesti: arvo tilinpäätössäännöstössä</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b artiklan 2 ja 3 kohta</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lastRenderedPageBreak/>
              <w:t>Konsernitilijärjestelyjen eli järjestelyjen, joissa useiden yksittäisten tilien kredit- tai debitsaldot yhdistetään käteisvarojen tai likviditeetin hallintaa varten, kirjanpitoarvo, jota ei voida nettouttaa asetuksen (EU) N:o 575/2013 429 b artiklan 2 ja 3 kohdan mukaisesti.</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Konsernitilijärjestelyt, joita ei voida nettouttaa varovaisuusperiaatteen mukaisesti: tilinpäätössäännöstössä sovellettavan nettoutuksen estimoinnin vaikutus</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artiklan 7 kohdan b alakohta ja 429 b artiklan 2 ja 3 kohta</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Määrä, joka on nettoutettu sovellettavan tilinpäätössäännöstön mukaisesti sellaisista konsernitilijärjestelyistä, joita ei voida nettouttaa varovaisuusperiaatteen mukaisesti, raportoidaan sarakkeessa {0193; 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Konsernitilijärjestelyt, jotka voidaan nettouttaa varovaisuusperiaatteen mukaisesti: arvo tilinpäätössäännöstössä</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b artiklan 2 ja 3 kohta</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Konsernitilijärjestelyjen eli järjestelyjen, joissa useiden yksittäisten tilien kredit- tai debitsaldot yhdistetään käteisvarojen tai likviditeetin hallintaa varten, kirjanpitoarvo, joka voidaan nettouttaa asetuksen (EU) N:o 575/2013 429 b artiklan 2 ja 3 kohdan mukaisesti.</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Konsernitilijärjestelyt, jotka voidaan nettouttaa varovaisuusperiaatteen mukaisesti: tilinpäätössäännöstössä sovellettavan nettoutuksen estimoinnin vaikutus</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b artiklan 2 ja 3 kohta</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Määrä, joka on nettoutettu sovellettavan tilinpäätössäännöstön mukaisesti sellaisista konsernitilijärjestelyistä, jotka voidaan nettouttaa varovaisuusperiaatteen mukaisesti, raportoidaan sarakkeessa {0195; 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Jos laitos täyttää 429 b artiklan 2 kohdan b alakohdan vaatimukset, se ei saa soveltaa tällä rivillä olevaa estimoitu määrää saldoihin, jotka ovat nollaantuneet 429 b artiklan 2 kohdan a alakohdassa säädetyn menettelyn perusteella.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Konsernitilijärjestelyt, jotka voidaan nettouttaa varovaisuusperiaatteen mukaisesti: nettoutuksen hyväksyminen vakavaraisuusasetuksen 429 b artiklan 2 kohdan mukaisesti;</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Asetuksen (EU) N:o 575/2013 429 b artiklan 2 kohta</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Konsernitilijärjestelyihin liittyvästä bruttovastuusta nettoutettu määrä (rivien 0195 ja 0196 summa) 429 b artiklan 2 kohdan mukaisesti.</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Konsernitilijärjestelyt, jotka voidaan nettouttaa varovaisuusperiaatteen mukaisesti: nettoutuksen hyväksyminen vakavaraisuusasetuksen 429 b artiklan 3 kohdan mukaisesti;</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Asetuksen (EU) N:o 575/2013 429 b artiklan 3 kohta </w:t>
            </w:r>
            <w:r>
              <w:rPr>
                <w:rFonts w:ascii="Times New Roman" w:hAnsi="Times New Roman"/>
                <w:color w:val="auto"/>
                <w:sz w:val="24"/>
              </w:rPr>
              <w:t>Konsernitilijärjestelyihin liittyvästä bruttovastuusta nettoutettu määrä (rivien 0195 ja 0196 summa) 429 b artiklan 3 kohdan mukaisesti.</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Johdannaisten vakuuksille tarkoitetut gross-up-lausekkeet</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2 kohta</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Kaikkien johdannaissopimuksiin liittyvien vakuuksien määrä, kun vakuuden antaminen pienentää varojen määrää sovellettavan tilinpäätössäännöstön mukaisesti, kuten asetuksen (EU) N:o 575/2013 429 c artiklan 2 kohdassa säädetään.</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Laitokset eivät saa sisällyttää tähän soluun sellaisten asiakkaan puolesta selvitykseen vietyjen johdannaistoimien alkumarginaaleja, joilla on ehdot täyttävä keskusvastapuoli tai hyväksyttävä käteisellä katettava vakuusmarginaali, sellaisena kuin se on määritelty asetuksen (EU) N:o 575/2013 429 c artiklan 3 kohdassa.</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Saatavat, jotka perustuvat johdannaistoimissa käytettävään käteisenä maksettuun vakuusmarginaaliin</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c artiklan 3 kohdan c alakohta</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Johdannaistransaktioiden vastapuolelle käteisenä maksetusta vakuusmarginaalista johtuvat saamiset, jos laitoksen on sovellettavan tilinpäätössäännöstön mukaisesti kirjattava nämä saamiset varoiksi edellyttäen, että asetuksen (EU) N:o 575/2013 429 c artiklan 3 kohdan a–e alakohdan edellytykset täyttyvät.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Ilmoitettava määrä on sisällytettävä myös solussa {0190, 0010} ilmoitettaviin muihin varoihin.</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Vapautettu keskusvastapuolen vastuu, joka liittyy asiakkaan puolesta selvitykseen vietyihin kaupankäyntivastuisiin (alkumarginaali)</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g alakohta</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Asiakkaan puolesta selvitykseen vietyjen johdannaistoimien vapautettujen, ehdot täyttävään keskusvastapuoleen liittyvien kaupankäyntivastuiden alkumarginaalin (asetettu) osuus edellyttäen, että nämä erät täyttävät asetuksen (EU) N:o 575/2013 306 artiklan 1 kohdan c alakohdassa säädetyt edellytykset.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Ilmoitettava määrä on sisällytettävä myös solussa {0190, 0010} ilmoitettaviin muihin varoihin.</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Arvopapereilla toteutettavien rahoitustoimien myynnin kirjanpitotapahtumien oikaisut</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e artiklan 6 kohta</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Tässä ilmoitetaan niiden arvopapereiden arvo, jotka on annettu lainaksi takaisinostotransaktiossa ja jotka on kirjattu pois taseesta sovellettavan tilinpäätössäännöstön mukaisen myynnin kirjanpitotapahtuman vuoksi.</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Ennakkorahoitus- tai väliluottojen vastuuarvon alentaminen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8 kohta</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Määrä, joka on vähennetty ennakkorahoitus- tai väliluoton vastuuarvosta asetuksen (EU) N:o 575/2013 429 artiklan 8 kohdan mukaisesti.</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Ilmoitettava määrä on sisällytettävä solussa {0190, 0010} ilmoitettaviin muihin varoihin.</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Haltuun uskotut varat</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i alakohta</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Haltuun uskotut varat, jotka on asetuksen (EU) N:o 575/2013 429 a artiklan 1 kohdan i alakohdan mukaisesti kirjattu laitoksen taseeseen kansallisten yleisesti hyväksyttyjen tilinpäätösperiaatteiden mukaisesti, jotka täyttävät IFRS 9 -standardin taseesta pois kirjaamisen edellytykset ja tapauksen mukaan IFRS 10 -standardin konsolidoimattomuutta koskevat kriteerit, olettaen, että kirjanpidon nettoutuksen vaikutuksia tai muita luottoriskin vähentämismenetelmien vaikutuksia ei ole (eli on kumottava ne kirjanpidon nettoutuksen tai luottoriskin vähentämismenetelmien vaikutukset, jotka ovat vaikuttaneet kirjanpitoarvoon).</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Ilmoitettava määrä on sisällytettävä myös solussa {0190, 0010} ilmoitettaviin muihin varoihin.</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Ulkopuolelle jätetyt ryhmän sisäiset (yksittäiset) vastuut vakavaraisuusasetuksen 429 a artiklan 1 kohdan c alakohdan mukaisesti</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c alakohta ja 113 artiklan 6 kohta</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Vastuut, joita ei ole konsolidoitu sovellettavalla konsolidointitasolla ja joihin voidaan soveltaa asetuksen (EU) N:o 575/2013 113 artiklan 6 kohdassa säädettyä kohtelua, edellyttäen, että kaikki asetuksen (EU) N:o 575/2013 113 artiklan 6 kohdan a–e alakohdan ehdot täyttyvät ja jos toimivaltaiset viranomaiset ovat antaneet suostumuksensa.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Ilmoitettava määrä on sisällytettävä myös edellä sovellettaviin soluihin ikään kuin vapautusta ei sovellettaisi.</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Vapautetut ryhmän sisäiset vastuut vakavaraisuusasetuksen 429 a artiklan 1 kohdan c alakohdan mukaisesti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c alakohta ja 113 artiklan 7 kohta</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Vastuut, joihin voidaan soveltaa asetuksen (EU) N:o 575/2013 113 artiklan 7 kohdassa säädettyä kohtelua, edellyttäen, että kaikki asetuksen (EU) N:o 575/2013 113 artiklan 7 kohdan a–i alakohdan ehdot täyttyvät ja jos toimivaltaiset viranomaiset ovat antaneet suostumuksensa.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Ilmoitettava määrä on sisällytettävä myös edellä sovellettaviin soluihin ikään kuin vapautusta ei sovellettaisi.</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Vapautetut ryhmän sisäiset vastuut asetuksen (EU) N:o 575/2013 429 a artiklan 1 kohdan ca alakohdan mukaisesti</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429 a artiklan 1 kohdan ca alakohta, 113 artiklan 7 kohta ja 114 artikla. Vastuut, joihin voidaan soveltaa asetuksen (EU) N:o 575/2013 113 artiklan 7 kohdassa ja 114 artiklassa säädettyä kohtelua, edellyttäen, että kaikki asetuksen (EU) N:o 575/2013 429 a artiklan 1 kohdan ca alakohdan ehdot täyttyvät. </w:t>
            </w:r>
          </w:p>
          <w:p w14:paraId="679257E0" w14:textId="1D0F3ECC" w:rsidR="0093277B" w:rsidRPr="000B66BC" w:rsidRDefault="00B96F9D" w:rsidP="00D31203">
            <w:pPr>
              <w:pStyle w:val="BodyText1"/>
              <w:spacing w:after="240" w:line="240" w:lineRule="auto"/>
            </w:pPr>
            <w:r>
              <w:rPr>
                <w:rFonts w:ascii="Times New Roman" w:hAnsi="Times New Roman"/>
                <w:sz w:val="24"/>
              </w:rPr>
              <w:t>Ilmoitettava määrä on sisällytettävä myös edellä sovellettaviin soluihin ikään kuin vapautusta ei sovellettaisi.</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Vientiluotoista johtuvien vastuiden taatut osat, jotka on jätetty ulkopuolelle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f alakohta</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Vientiluotoista johtuvien vastuiden taatut osat, jotka voidaan jättää ulkopuolelle, kun asetuksen (EU) N:o 575/2013 429 a artiklan 1 kohdan f alakohdan edellytykset täyttyvät.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Kolmikantasopimusagenteille asetetut ylimääräiset vakuudet, jotka on jätetty ulkopuolelle</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k alakohta</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Kolmikantasopimusagenteille asetetut ylimääräiset vakuudet, joita ei ole annettu lainaksi ja jotka voidaan jättää ulkopuolelle 429 a artiklan 1 kohdan k alakohdan mukaisesti.</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Ilmoitettava määrä on sisällytettävä myös edellä sovellettaviin soluihin ikään kuin vapautusta ei sovellettaisi.</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Ulkopuolelle jätetyt arvopaperistetut vastuut, jotka merkitsevät merkittävää riskinsiirtoa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m alakohta</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Perinteisestä arvopaperistamisesta peräisin olevat arvopaperistetut vastuut, jotka täyttävät 244 artiklan 2 kohdassa säädetyt merkittävän riskinsiirron ehdot.</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Vapautetut keskuspankkiin liittyvät vastuut vakavaraisuusasetuksen 429 a artiklan 1 kohdan n alakohdan mukaisesti</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n alakohta</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Ulkopuolelle jätetyt arvopaperikeskuksen/laitosten pankkipalvelujen tyyppiset oheispalvelut asetuksen (EU) N:o 575/2013 429 a artiklan 1 kohdan o alakohdan mukaisesti</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o alakohta</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Ulkopuolelle jätetyt nimettyjen laitosten pankkipalvelujen tyyppiset oheispalvelut vakavaraisuusasetuksen 429 a artiklan 1 kohdan p alakohdan mukaisesti</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429 a artiklan 1 kohdan p alakohta</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Vapautetut vastuut vakavaraisuusasetuksen 429 a artiklan 1 kohdan j alakohdan mukaisesti</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j alakohta</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(1) kohdan j alakohdan mukaisesti vapautetut vastuut, jos kyseisessä kohdassa mainitut edellytykset täyttyvät.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Ilmoitettava määrä on sisällytettävä myös edellä sovellettaviin soluihin ikään kuin vapautusta ei sovellettaisi.</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Julkisiin kehitysluottolaitoksiin liittyvät vastuut, jotka on jätetty ulkopuolelle – Julkisen sektorin sijoitukset</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d alakohta ja 2 kohta</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Vastuut, jotka aiheutuvat saamisista keskushallinnoilta, aluehallinnoilta, paikallisviranomaisilta tai julkisyhteisöiltä ja julkisoikeudellisilta laitoksilta, jotka liittyvät julkisen sektorin sijoituksiin ja jotka voidaan jättää ulkopuolelle asetuksen (EU) N:o 575/2013 429 a artiklan 1 kohdan d alakohdan mukaisesti.</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Jos saatava katsotaan 429 a artiklan 3 kohdan mukaiseksi edistämislainaksi, sitä ei ilmoiteta tässä solussa vaan tapauksen mukaan riveillä 0262–0264.</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Julkisten kehitysluottolaitosten saamiset, jotka on jätetty ulkopuolelle – Julkisen kehitysluottolaitoksen myöntämät edistämislainat</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d alakohta ja 2 ja 3 kohta</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Vastuut, jotka aiheutuvat julkisen kehitysluottolaitoksen myöntämistä edistämislainoista, mukaan lukien siirrettävät edistämislainat, jotka voidaan jättää ulkopuolelle asetuksen (EU) N:o 575/2013 429 a artiklan 1 kohdan d alakohdan mukaisesti.</w:t>
            </w:r>
            <w:r>
              <w:rPr>
                <w:rFonts w:ascii="Times New Roman" w:hAnsi="Times New Roman"/>
                <w:color w:val="auto"/>
                <w:sz w:val="24"/>
              </w:rPr>
              <w:t xml:space="preserve"> </w:t>
            </w:r>
            <w:r>
              <w:rPr>
                <w:rFonts w:ascii="Times New Roman" w:hAnsi="Times New Roman"/>
                <w:sz w:val="24"/>
              </w:rPr>
              <w:t>Huomioon on otettava myös sellaisen laitoksen yksikön vastuut, jota toimivaltainen viranomainen käsittelee julkisena kehitysluottolaitoksena asetuksen (EU) N:o 575/2013 429 a artiklan 2 kohdan viimeisen alakohdan mukaisesti.</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Julkisten kehitysluottolaitosten vastuut, jotka on jätetty ulkopuolelle– Jäsenvaltion keskushallinnon, aluehallinnon tai paikallisviranomaisten suoraan perustaman yhteisön myöntämät edistämislainat</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d alakohta ja 2 ja 3 kohta.</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 xml:space="preserve">Vastuut, jotka aiheutuvat jäsenvaltion keskushallinnon, aluehallinnon tai paikallisviranomaisten suoraan perustaman yhteisön myöntämistä edistämislainoista, mukaan lukien siirrettävät edistämislainat, jotka voidaan jättää ulkopuolelle vakavaraisuusasetuksen 429 a artiklan 1 kohdan d </w:t>
            </w:r>
            <w:r>
              <w:rPr>
                <w:rFonts w:ascii="Times New Roman" w:hAnsi="Times New Roman"/>
                <w:sz w:val="24"/>
              </w:rPr>
              <w:lastRenderedPageBreak/>
              <w:t>alakohdan mukaisesti. Huomioon on otettava myös sellaisen laitoksen yksikön vastuut, jota toimivaltainen viranomainen käsittelee julkisena kehitysluottolaitoksena vakavaraisuusasetuksen 429 a artiklan 2 kohdan viimeisen alakohdan mukaisesti.</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Julkisten kehitysluottolaitosten vastuut, jotka on jätetty ulkopuolelle – Jäsenvaltion keskushallinnon, aluehallinnon tai paikallisviranomaisten välittäjäluottolaitoksen välityksellä perustaman yhteisön myöntämät edistämislainat</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d alakohta ja 2 ja 3 kohta.</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Vastuut, jotka aiheutuvat jäsenvaltion keskushallinnon, aluehallinnon tai paikallisviranomaisten välittäjäluottolaitoksen välityksellä perustaman yhteisön myöntämistä edistämislainoista, mukaan lukien siirrettävät edistämislainat, jotka voidaan jättää ulkopuolelle vakavaraisuusasetuksen 429 a artiklan 1 kohdan d alakohdan mukaisesti. Huomioon on otettava myös sellaisen laitoksen yksikön vastuut, jota toimivaltainen viranomainen käsittelee julkisena kehitysluottolaitoksena vakavaraisuusasetuksen 429 a artiklan 2 kohdan viimeisen alakohdan mukaisesti.</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Ulkopuolelle jätetyt vastuut osakkeenomistajille 429 a artiklan 1 kohdan da alakohdan mukaisesti</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da alakohta.</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Laitoksen vastuut osakkeenomistajille, jotka ovat luottolaitoksia, edellyttäen, että ne ovat vakuudellisia ja kaikki da alakohdan edellytykset täyttyvät.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Ei-julkisten kehitysluottolaitosten (tai yksiköiden) myöntämät siirrettävät edistämislainat, jotka on jätetty ulkopuolelle – Julkisen kehitysluottolaitoksen myöntämät edistämislainat</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e alakohta ja 2 ja 3 kohta.</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Sellaiset vastuiden osat, jotka aiheutuvat edistämislainojen siirtämisestä muille luottolaitoksille, kun edistämislainat on myöntänyt julkinen kehitysluottolaitos. </w:t>
            </w:r>
            <w:r>
              <w:rPr>
                <w:rFonts w:ascii="Times New Roman" w:hAnsi="Times New Roman"/>
                <w:sz w:val="24"/>
              </w:rPr>
              <w:t xml:space="preserve">Huomioon on otettava myös sellaisten laitoksen yksiköiden vastuiden osat, joita toimivaltainen viranomainen ei käsittele </w:t>
            </w:r>
            <w:r>
              <w:rPr>
                <w:rFonts w:ascii="Times New Roman" w:hAnsi="Times New Roman"/>
                <w:sz w:val="24"/>
              </w:rPr>
              <w:lastRenderedPageBreak/>
              <w:t>julkisena kehitysluottolaitoksena vakavaraisuusasetuksen 429 a artiklan 2 kohdan viimeisen alakohdan mukaisesti.</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Ei-julkisten kehitysluottolaitosten (tai yksiköiden) myöntämät siirrettävät edistämislainat, jotka on jätetty ulkopuolelle – Jäsenvaltion keskushallinnon, aluehallinnon tai paikallisviranomaisten suoraan perustaman yhteisön myöntämät edistämislainat</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e alakohta ja 2 ja 3 kohta.</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Sellaiset vastuiden osat, jotka aiheutuvat edistämislainojen siirtämisestä muille luottolaitoksille, kun edistämislainat on myöntänyt, kun edistämislainojen on myöntänyt jäsenvaltion keskushallinnon, aluehallinnon tai paikallisviranomaisten suoraan perustama yhteisö. </w:t>
            </w:r>
            <w:r>
              <w:rPr>
                <w:rFonts w:ascii="Times New Roman" w:hAnsi="Times New Roman"/>
                <w:sz w:val="24"/>
              </w:rPr>
              <w:t>Huomioon on otettava myös sellaisten laitoksen yksiköiden vastuiden osat, joita toimivaltainen viranomainen ei käsittele julkisena kehitysluottolaitoksena vakavaraisuusasetuksen 429 a artiklan 2 kohdan viimeisen alakohdan mukaisesti.</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Ei-julkisten kehitysluottolaitosten (tai yksiköiden) myöntämät siirrettävät edistämislainat, jotka on jätetty ulkopuolelle – Jäsenvaltion keskushallinnon, aluehallinnon tai paikallisviranomaisten välittäjäluottolaitoksen välityksellä perustaman yhteisön myöntämät edistämislainat</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 artiklan 1 kohdan e alakohta ja 2 ja 3 kohta.</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Sellaiset vastuiden osat, jotka aiheutuvat edistämislainojen siirtämisestä muille luottolaitoksille, kun edistämislainat on myöntänyt, kun edistämislainojen on myöntänyt jäsenvaltion keskushallinnon, aluehallinnon tai paikallisviranomaisten välittäjäluottolaitoksen välityksellä perustama yhteisö. </w:t>
            </w:r>
            <w:r>
              <w:rPr>
                <w:rFonts w:ascii="Times New Roman" w:hAnsi="Times New Roman"/>
                <w:sz w:val="24"/>
              </w:rPr>
              <w:t>Huomioon on otettava myös sellaisten laitoksen yksiköiden vastuiden osat, joita toimivaltainen viranomainen ei käsittele julkisena kehitysluottolaitoksena 429 a artiklan 2 kohdan viimeisen alakohdan mukaisesti.</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Ilmoitettava määrä on sisällytettävä myös edellä sovellettaviin soluihin ikään kuin vapautusta ei sovellettaisi.</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Vähennetyt vastuut vakavaraisuusasetuksen 429 a artiklan 1 kohdan q alakohdan mukaisesti</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lastRenderedPageBreak/>
              <w:t xml:space="preserve">Asetuksen (EU) N:o 575/2013 429 a artiklan 1 kohdan q alakohta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Vastuut, jotka käsitellään asetuksen (EU) N:o 575/2013 72 e artiklan 5 kohdan ensimmäisen alakohdan mukaisesti</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Ilmoitettava määrä on sisällytettävä myös edellä sovellettaviin soluihin ikään kuin vapautusta ei sovellettaisi.</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lastRenderedPageBreak/>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Ylimääräinen vähimmäisomavaraisuusasteen vastuiden määrä vakavaraisuusasetuksen 3 artiklan mukaisesti</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Asetuksen (EU) N:o 575/2013 3 artikla</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Tässä ilmoitetaan ylimääräinen vähimmäisomavaraisuusasteen vastuiden määrä. Tähän sisällytetään ainoastaan ylimääräiset määrät.</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Vähennettyjen varojen määrä – ensisijainen pääoma – täyden käyttöönoton jälkeinen määritelmä</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Asetuksen (EU) N:o 575/2013 429 a artiklan 1 kohdan b alakohta ja 499 artiklan 1 kohdan a alakohta</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Tähän sisältyy kaikkien niiden oikaisujen summa, jotka kohdistuvat omaisuuserän arvoon ja joita edellytetään tapauksen mukaan</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asetuksen (EU) N:o 575/2013 32–35 artiklassa tai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asetuksen (EU) N:o 575/2013 36–47 artiklassa tai</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asetuksen (EU) N:o 575/2013 56–60 artiklassa,</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tapauksen mukaan.</w:t>
            </w:r>
          </w:p>
          <w:p w14:paraId="75E8D9BE" w14:textId="15049A4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Laitosten on otettava huomioon tällaisiin vähennyksiin sovellettavat poikkeukset, vaihtoehdot ja vapautukset, joista säädetään asetuksen (EU) N:o 575/2013 48, 49 ja 79 artiklassa, mutta jätettävä huomiotta asetuksen (EU) N:o 575/2013 kymmenennen osan I osaston 1, 2 ja 4 luvussa säädetyt poikkeukset. Kaksinkertaisen huomioon ottamisen estämiseksi laitokset eivät saa ottaa huomioon asetuksen (EU) N:o 575/2013 111 artiklan nojalla jo sovellettuja oikaisuja, kun ne laskevat vastuuarvoja soluissa</w:t>
            </w:r>
            <w:r w:rsidR="009A1AFA">
              <w:rPr>
                <w:rFonts w:ascii="Times New Roman" w:hAnsi="Times New Roman"/>
                <w:sz w:val="24"/>
              </w:rPr>
              <w:t xml:space="preserve"> </w:t>
            </w:r>
            <w:r>
              <w:rPr>
                <w:rFonts w:ascii="Times New Roman" w:hAnsi="Times New Roman"/>
                <w:sz w:val="24"/>
              </w:rPr>
              <w:t>{0010;0010} – {0269;0010},</w:t>
            </w:r>
            <w:r>
              <w:rPr>
                <w:sz w:val="24"/>
              </w:rPr>
              <w:t xml:space="preserve"> </w:t>
            </w:r>
            <w:r>
              <w:rPr>
                <w:rFonts w:ascii="Times New Roman" w:hAnsi="Times New Roman"/>
                <w:sz w:val="24"/>
              </w:rPr>
              <w:t>eivätkä ne saa ottaa huomioon mitään oikaisua, joka ei vähennä jonkin tietyn omaisuuserän arvoa.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Koska nämä määrät on jo vähennetty pääoman määrästä, ne vähentävät vähimmäisomavaraisuusasteen vastuita ja ilmoitetaan negatiivisina lukuina.</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Vähennettyjen varojen määrä – ensisijainen pääoma – siirtymäkauden aikainen määritelmä</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429 a artiklan 1 kohdan b alakohta ja 499 artiklan 1 kohdan a alakohta</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Tähän sisältyy kaikkien niiden oikaisujen summa, jotka mukauttavat omaisuuserän arvoa ja joita edellytetään tapauksen mukaan</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asetuksen (EU) N:o 575/2013 32–35 artiklassa tai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asetuksen (EU) N:o 575/2013 36–47 artiklassa tai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asetuksen (EU) N:o 575/2013 56–60 artiklassa,</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tapauksen mukaan.</w:t>
            </w:r>
          </w:p>
          <w:p w14:paraId="730A3940" w14:textId="6C9ECDEF"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Laitosten on otettava huomioon tällaisiin vähennyksiin sovellettavat poikkeukset, vaihtoehdot ja vapautukset, joista säädetään asetuksen (EU) N:o 575/2013 48, 49 ja 79 artiklassa, sen lisäksi että ne ottavat huomioon asetuksen (EU) N:o 575/2013 kymmenennen osan I osaston 1, 2 ja 4 luvussa säädetyt poikkeukset. Kaksinkertaisen huomioon ottamisen estämiseksi laitokset eivät saa ottaa huomioon asetuksen (EU) N:o 575/2013 111 artiklan nojalla jo sovellettuja oikaisuja, kun ne laskevat vastuuarvoja soluissa</w:t>
            </w:r>
            <w:r w:rsidR="009A1AFA">
              <w:rPr>
                <w:rFonts w:ascii="Times New Roman" w:hAnsi="Times New Roman"/>
                <w:sz w:val="24"/>
              </w:rPr>
              <w:t xml:space="preserve"> </w:t>
            </w:r>
            <w:r>
              <w:rPr>
                <w:rFonts w:ascii="Times New Roman" w:hAnsi="Times New Roman"/>
                <w:sz w:val="24"/>
              </w:rPr>
              <w:t>{0010;0010} – {0269;0010}, eivätkä ne saa ottaa huomioon mitään oikaisua, joka ei vähennä jonkin tietyn omaisuuserän arvoa.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Koska nämä määrät on jo vähennetty pääoman määrästä, ne vähentävät vähimmäisomavaraisuusasteen vastuita ja ilmoitetaan negatiivisina lukuina.</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Vähimmäisomavaraisuusasteen vastuiden kokonaismäärä (ensisijaiseen pääomaan sovelletaan täyden käyttöönoton jälkeistä määritelmää)</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rivien 0010–0269 ja rivin 0270 summa.</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Vähimmäisomavaraisuusasteen vastuiden kokonaismäärä (ensisijaiseen pääomaan sovelletaan siirtymäkauden aikaista määritelmää)</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Laitosten on ilmoitettava rivien 0010–0269 ja 0280 summa.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Rivi ja sarake</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Pääoma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Ensisijainen pääoma (täyden käyttöönoton jälkeinen määritelmä)</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3 kohta ja 499 artiklan 1 kohdan a alakohta</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Tässä ilmoitetaan asetuksen (EU) N:o 575/2013 25 artiklan mukaisesti laskettu ensisijainen pääoma (T1) ottamatta huomioon asetuksen (EU) N:o </w:t>
            </w:r>
            <w:r>
              <w:rPr>
                <w:rFonts w:ascii="Times New Roman" w:hAnsi="Times New Roman"/>
                <w:sz w:val="24"/>
              </w:rPr>
              <w:lastRenderedPageBreak/>
              <w:t>575/2013 kymmenennen osan I osaston 1, 2 ja 4 luvussa säädettyjä poikkeuksia.</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Ensisijainen pääoma (siirtymäkauden aikainen määritelmä)</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3 kohta ja 499 artiklan 1 kohdan b alakohta</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Tässä ilmoitetaan asetuksen (EU) N:o 575/2013 25 artiklan mukaisesti laskettu ensisijainen pääoma (T1) ottaen huomioon asetuksen (EU) N:o 575/2013 kymmenennen osan I osaston 1, 2 ja 4 luvussa säädetyt poikkeukset.</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Rivi ja sarake</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Vähimmäisomavaraisuusaste</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Vähimmäisomavaraisuusaste (ensisijaiseen pääomaan sovelletaan täyden käyttöönoton jälkeistä määritelmää)</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2 kohta ja 499 artiklan 1 kohta</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Tässä ilmoitetaan tässä liitteessä olevan II osan 2 kohdan mukaisesti laskettu vähimmäisomavaraisuusaste.</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Vähimmäisomavaraisuusaste (ensisijaiseen pääomaan sovelletaan siirtymäkauden aikaista määritelmää)</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429 artiklan 2 kohta ja 499 artiklan 1 kohta</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Tässä ilmoitetaan tässä liitteessä olevan II osan 3 kohdan mukaisesti laskettu vähimmäisomavaraisuusaste.</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Rivi ja sarake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Vaatimukset: määrät</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Toisen pilarin vaatimus (P2R) ylivelkaantumisriskien hallitsemiseksi</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Direktiivin 2013/36/EU 104 ja 104 a artikla. Direktiivin 2013/36/EU 104 artiklassa tarkoitetut perinteiset omat varat, joita toimivaltainen viranomainen edellyttää ylivelkaantumisriskien hallitsemiseksi</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Joista: ydinpääomasta (CET1) muodostettava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Se osa riviä 0350 koskevissa ohjeissa tarkoitettua P2R-suhdetta, jonka toimivaltainen viranomainen vaatii pidettävän ydinpääoman (CET1) muodossa</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G-SII-laitoksen vähimmäisomavaraisuusastepuskuri</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Asetuksen (EU) N:o 575/2013 92 artiklan 1 a kohta</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lastRenderedPageBreak/>
              <w:t>G-SII-laitosten on ilmoitettava vähimmäisomavaraisuusasteen G-SII-korotuksen arvo, joka määritetään asetuksen (EU) N:o 575/2013 92 artiklan 1 a kohdan mukaisesti.</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G-SII-laitosten on ilmoitettava tämä määrä asetuksen (EU) N:o 575/2013 mukaisen puskurin soveltamispäivästä alkaen.</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Toisen pilarin mukainen pääomaohjeistus (P2G) ylivelkaantumisriskien hallitsemiseksi</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Direktiivin 2013/36/EU 104 b artikla. Direktiivin 2013/36/EU 104 b artiklassa tarkoitetut omien varojen lisävaatimukset, jotka toimivaltainen viranomainen ilmoittaa ylivelkaantumisriskien hallitsemiseksi</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Joista: ydinpääomasta (CET1) muodostettava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Se osa riviä 0380 koskevissa ohjeissa tarkoitettua P2G:tä, jonka toimivaltainen viranomainen vaatii pidettävän ydinpääoman (CET1) muodossa</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Joista: ensisijaisesta pääomasta (T1) muodostettava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Se osa riviä 0380 koskevissa ohjeissa tarkoitettua P2G:tä, jonka toimivaltainen viranomainen vaatii pidettävän ydinpääoman (CET1) muodossa</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Rivi ja sarake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Vaatimukset: suhdeluvut</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Pilarin 1 mukainen vähimmäisomavaraisuusastetta koskeva vaatimus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Asetuksen (EU) N:o 575/2013 92 artiklan 1 kohdan d alakohta, 429 a artiklan 7 kohta ja 429 a artiklan 1 kohdan n alakohta; asetuksen (EU) N:o 575/2013 92 artiklan 1 kohdan d alakohdassa tarkoitettu ylivelkaantumisriskin hallitsemiseksi vaadittava vähimmäisomavaraisuusaste</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Laitosten, jotka jättävät soveltamisalan ulkopuolelle saamiset laitoksen keskuspankilta 429 a artiklan 1 kohdan n alakohdan mukaisesti, on ilmoitettava asetuksen (EU) N:o 575/2013 429 a artiklan 7 kohdan mukainen mukautettua vähimmäisomavaraisuusastetta koskeva vaatimus.</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Vakavaraisuuden arviointiprosessin (SREP) mukainen vähimmäisomavaraisuusastetta koskeva kokonaisvaatimus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Direktiivin 2013/36/EU 104 ja 104 a artikla.</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Jäljempänä olevien i ja ii alakohdan summa: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lastRenderedPageBreak/>
              <w:t>pilarin 1 mukainen vähimmäisomavaraisuusastetta koskeva vaatimus, kuten se on ilmoitettu rivillä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direktiivin 2013/36/EU 104 artiklassa tarkoitettu täydentävien omien varojen suhde, jota toimivaltainen viranomainen edellyttää (P2R) ylivelkaantumisriskien hallitsemiseksi.</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Laitosten on laskettava ii alakohta jakamalla rivin {0350; 0010} arvo rivin {0300; 0010} arvolla.</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0010 arvolla. Jos toimivaltainen viranomainen ei ole ilmoittanut omien varojen lisävaatimuksia, ilmoitetaan ainoastaan i alakohdan tiedot.</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ydinpääomasta (CET1) muodostettava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Se osa riviä 0420 koskevien ohjeiden ii alakohdassa tarkoitettua täydentävien omien varojen suhdetta, jonka toimivaltainen viranomainen vaatii pidettävän ydinpääoman (CET1) muodossa.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Laitosten on laskettava tämä arvo jakamalla rivin {0360; 0010} arvo rivin {0300; 0010} arvolla.</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Vähimmäisomavaraisuusastetta koskeva kokonaisvaatimus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92 artiklan 1 a kohta</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Jäljempänä olevien i ja ii alakohdan summa: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rivillä 0420 tarkoitettu TSLRR;</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asetuksen (EU) N:o 575/2013 92 artiklan 1 a kohdan mukainen G-SII-laitosten vähimmäisomavaraisuusastepuskuri ilmaistuna prosenttiosuutena vähimmäisomavaraisuusasteen vastuiden kokonaismäärästä.</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Laitosten on laskettava ii alakohta jakamalla rivin {0370; 0010} arvo rivin {0300; 0010} arvolla.</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G-SII-laitokset ottavat ii alakohdan huomioon vasta asetuksen (EU) N:o 575/2013 mukaisen puskurin soveltamispäivästä alkaen</w:t>
            </w:r>
            <w:r>
              <w:rPr>
                <w:color w:val="auto"/>
                <w:sz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Jos vähimmäisomavaraisuusasteen G-SII-korotusta ei sovelleta, ilmoitetaan ainoastaan i alakohdan tiedot.</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Vähimmäisomavaraisuusastetta koskevaa kokonaisvaatimusta (OLRR) ja toisen pilarin mukaista pääomaohjeistusta (P2G) kuvaava suhde</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Direktiivin 2013/36/EU 104 b artikla</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Jäljempänä olevien i ja ii alakohdan summa: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rivillä 0440 tarkoitettu TSLRR;</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direktiivin 2013/36/EU 104 b artiklassa tarkoitetut omien varojen lisävaatimukset, jotka toimivaltainen viranomainen ilmoittaa ylivelkaantumisriskien hallitsemiseksi, ilmaistuna prosenttiosuutena vähimmäisomavaraisuusasteen vastuiden kokonaismäärästä.</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Laitosten on laskettava ii alakohta jakamalla rivin {0380; 0010} arvo rivin {0300; 0010} arvolla.</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0010 arvolla. Jos toimivaltainen viranomainen ei ole ilmoittanut P2G:tä, ilmoitetaan ainoastaan i alakohdan tiedot.</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ja P2G: ydinpääomasta (CET1) muodostettava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Jäljempänä olevien i ja ii alakohdan summa: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se osa riviä 0430 koskevissa ohjeissa tarkoitettua täydentävien omien varojen suhdetta, jonka toimivaltainen viranomainen vaatii pidettävän ydinpääoman (CET1) muodossa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se osa riviä 0450 koskevien ohjeiden ii alakohdassa tarkoitettua P2G-suhdetta, josta toimivaltainen viranomainen on ilmoittanut, että se on pidettävä ydinpääoman (CET1) muodossa.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Laitosten on laskettava ii alakohta jakamalla rivin {0390; 0010} arvo rivin {0300; 0010} arvolla.</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0010 arvolla. Jos toimivaltainen viranomainen ei ole ilmoittanut P2G:tä, ilmoitetaan ainoastaan i alakohdan tiedot.</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ja P2G: ensisijaisesta pääomasta (T1) muodostettava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Jäljempänä olevien i, ii ja iii alakohdan summa: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rivillä 0420 tarkoitettu vakavaraisuuden arviointiprosessin (SREP) mukainen vähimmäisomavaraisuusastetta koskeva kokonaisvaatimus;</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asetuksen (EU) N:o 575/2013 92 artiklan 1 a kohdan mukainen G-SII-laitosten vähimmäisomavaraisuusastepuskuri ilmaistuna prosenttiosuutena vähimmäisomavaraisuusasteen vastuiden kokonaismäärästä.</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se osa riviä 0450 koskevien ohjeiden ii alakohdassa tarkoitettua P2G-suhdetta, jonka toimivaltainen viranomainen vaatii pidettävän ydinpääoman (CET1) muodossa.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lastRenderedPageBreak/>
              <w:t>Laitosten on laskettava ii alakohta jakamalla rivin {0370; 0010} arvo rivin {0300; 0010} arvolla.</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Laitosten on laskettava iii alakohta jakamalla rivin {0400; 0010} arvo rivin {0300; 0010} arvolla.</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Jos vähimmäisomavaraisuusasteen G-SII-korotusta ei sovelleta, ilmoitetaan ainoastaan i ja iii alakohdan tiedot.</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Jos toimivaltainen viranomainen ei ole ilmoittanut P2G:tä, ilmoitetaan ainoastaan i ja ii alakohdan tiedot.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lastRenderedPageBreak/>
              <w:t>Rivi ja sarake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Lisätietoerät</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 xml:space="preserve">Asetus (EU) N:o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Vähimmäisomavaraisuusaste olettaen, että käypään arvoon muiden laajan tuloksen erien kautta arvostettujen realisoitumattomien voittojen ja tappioiden väliaikaista kohtelua ei olisi sovellettu</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Asetuksen (EU) N:o 575/2013 468 artiklan 5 kohta</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Laitosten, jotka ovat päättäneet soveltaa asetuksen (EU) N:o 575/2013 468 artiklan 1 kohdassa säädettyä väliaikaista kohtelua, on ilmoitettava vähimmäisomavaraisuusaste, joka niillä olisi, jos ne eivät soveltaisi kyseistä kohtelua.</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282730"/>
      <w:r>
        <w:rPr>
          <w:rFonts w:ascii="Times New Roman" w:hAnsi="Times New Roman"/>
          <w:b/>
          <w:sz w:val="24"/>
        </w:rPr>
        <w:t>4.</w:t>
      </w:r>
      <w:r>
        <w:rPr>
          <w:rFonts w:ascii="Times New Roman" w:hAnsi="Times New Roman"/>
          <w:b/>
          <w:sz w:val="24"/>
        </w:rPr>
        <w:tab/>
        <w:t>C 40.00 – Vastuiden vaihtoehtoinen käsittely</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Tähän raportin osaan kootaan johdannaisten, arvopapereilla toteutettavien rahoitustoimien, taseen ulkopuolisten erien, vapautettujen julkisen sektorin sijoitusten ja edistämislainoja koskevien vapautettujen vastuiden vaihtoehtoista käsittelyä koskevat tiedot.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Laitosten on määritettävä lomakkeeseen LR1 sisältyvät tasearvot sovellettavan tilinpäätössäännöstön perusteella asetuksen (EU) N:o 575/2013 4 artiklan 1 kohdan 77 alakohdan mukaisesti. Ilmaisulla ”kirjanpitoarvo, ei nettoutusta tai muita luottoriskin vähentämismenetelmiä” tarkoitetaan tasearvoa, jossa ei ole otettu huomioon nettoutuksen tai muiden luottoriskien vähentämismenetelmien vaikutusta.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Laitosten on ilmoitettava LR1-erät ikään kuin LRCalc-lomakkeessa negatiivisella merkillä varustettuja eriä (esimerkiksi vapautuksia/vähennyksiä) ei sovellettaisi tässä liitteessä olevan I osan 9 kohdan merkkikäytäntöjen mukaisesti, lukuun ottamatta rivejä {0270;0010}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Ainoastaan seuraavien on raportoitava kokonaisvarat ({r0410; c0010}) lomakkeessa 40.00:</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lastRenderedPageBreak/>
        <w:t xml:space="preserve">suuret laitokset, jotka ovat joko G-SII-laitoksia tai jotka ovat laskeneet liikkeeseen arvopapereita, jotka on otettu kaupankäynnin kohteeksi säännellyillä markkinoilla puolivuosittain,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muut suuret laitokset kuin G-SII-laitokset, jotka eivät ole listaamattomia laitoksia, vuosittain;</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muut laitokset kuin suuret laitokset ja pienet ja rakenteeltaan yksinkertaiset laitokset, jotka ovat laskeneet liikkeeseen arvopapereita, jotka on otettu kaupankäynnin kohteeksi säännellyillä markkinoilla, vuosittain.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Rivi ja sarake</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Lainsäädäntöviittaukset ja ohjeet</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Johdannaiset – tasearvo</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Tässä ilmoitetaan solujen {0020;0010}, {0050;0010} ja {0060;0010} summa.</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Johdannaiset – kirjanpitoarvo, ei nettoutusta tai muita luottoriskin vähentämismenetelmiä</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Tässä ilmoitetaan solujen {0020;0020}, {0050;0020} ja {0060;0020} summa.</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Johdannaiset – nimellisarvo</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Tässä ilmoitetaan solujen {0020;0070}, {0050;0070} ja {0060;0070} summa.</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(myydyt suojat) – tasearvo</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4 artiklan 1 kohdan 77 alakohta; tässä ilmoitetaan sovellettavan tilinpäätössäännöstön mukainen tasearvo sellaisten luottojohdannaisten osalta, joissa laitos myy vastapuolelle luottosuojan ja sopimus katsotaan taseessa varoiksi.</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Luottojohdannaiset (myydyt suojat) – kirjanpitoarvo, ei nettoutusta tai muita luottoriskin vähentämismenetelmiä</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4 artiklan 1 kohdan 77 alakohta; tässä ilmoitetaan sovellettavan tilinpäätössäännöstön mukainen tasearvo sellaisten luottojohdannaisten osalta, joissa laitos myy luottosuojan vastapuolelle ja 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(myydyt suojat) – nimellisarvo</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Tässä ilmoitetaan solujen {0030;0070} ja {0040;0070} summa.</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(myydyt suojat) – rajattu nimellisarvo</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luottojohdannaisten viittaama nimellismäärä (myyty suoja), kuten kohdassa {0020; 0070} niiden negatiivisten käyvän arvon muutosten vähentämisen jälkeen, jotka on sisällytetty ensisijaiseen pääomaan (T1) asetettuun luottojohdannaiseen.</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(myydyt suojat), joihin sovelletaan päättämislauseketta – nimellisarvo</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tässä solussa luottojohdannaisten nimellisarvo tapauksissa, joissa laitos myy vastapuolelle päättämislausekkeen alaisen luottosuojan.</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Päättämislausekkeella tarkoitetaan lauseketta, joka antaa saajaosapuolelle oikeuden päättää oikea-aikaisesti kaikki sopimuksenmukaiset liiketoimet, jos vastapuoli laiminlyö maksunsa, on maksukyvytön tai asetetaan konkurssiin.</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Laitosten on otettava huomioon kaikki luottojohdannaiset, ei pelkästään kaupankäyntivarastoon luokiteltuja luottojohdannaisia.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(myydyt suojat), joihin ei sovelleta päättämislauseketta – nimellisarvo</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Laitosten on ilmoitettava tässä solussa luottojohdannaisten nimellisarvo tapauksissa, joissa laitos myy vastapuolelle luottosuoja, joka ei ole päättämislausekkeen alainen.</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Päättämislausekkeella tarkoitetaan lauseketta, joka antaa saajaosapuolelle oikeuden päättää oikea-aikaisesti kaikki sopimuksenmukaiset liiketoimet, jos vastapuoli laiminlyö maksunsa, on maksukyvytön tai asetetaan konkurssiin.</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otettava huomioon kaikki luottojohdannaiset, ei pelkästään kaupankäyntivarastoon luokiteltuja luottojohdannaisia.</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(ostetut suojat) – tasearvo</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 artiklan 1 kohdan 77 alakohta; tässä ilmoitetaan sovellettavan tilinpäätössäännöstön mukainen tasearvo sellaisten luottojohdannaisten osalta, joissa laitos ostaa vastapuolelta luottosuojan ja sopimus katsotaan taseessa varoiksi.</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otettava huomioon kaikki luottojohdannaiset, ei pelkästään kaupankäyntivarastoon luokiteltuja luottojohdannaisia.</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(ostetut suojat) – kirjanpitoarvo, ei nettoutusta tai muita luottoriskin vähentämismenetelmiä</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4 artiklan 1 kohdan 77 alakohta; Tässä ilmoitetaan sovellettavan tilinpäätössäännöstön mukainen tasearvo sellaisten luottojohdannaisten osalta, joissa laitos ostaa luottosuojan vastapuolelta ja </w:t>
            </w:r>
            <w:r>
              <w:rPr>
                <w:rFonts w:ascii="Times New Roman" w:hAnsi="Times New Roman"/>
                <w:sz w:val="24"/>
              </w:rPr>
              <w:lastRenderedPageBreak/>
              <w:t>sopimus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otettava huomioon kaikki luottojohdannaiset, ei pelkästään kaupankäyntivarastoon luokiteltuja luottojohdannaisia.</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(ostetut suojat) – nimellisarvo</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Laitosten on ilmoitettava tässä solussa luottojohdannaisten nimellisarvo tapauksissa, joissa laitos ostaa vastapuolelta luottosuojan.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otettava huomioon kaikki luottojohdannaiset, ei pelkästään kaupankäyntivarastoon luokiteltuja luottojohdannaisia.</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(ostetut suojat) – rajattu nimellisarvo</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 xml:space="preserve">Laitosten on ilmoitettava tässä solussa luottojohdannaisten nimellisarvo (ostetut suojat), kuten solussa {0050;0070}, sen </w:t>
            </w:r>
            <w:proofErr w:type="gramStart"/>
            <w:r>
              <w:rPr>
                <w:rFonts w:ascii="Times New Roman" w:hAnsi="Times New Roman"/>
                <w:sz w:val="24"/>
              </w:rPr>
              <w:t>jälkeen</w:t>
            </w:r>
            <w:proofErr w:type="gramEnd"/>
            <w:r>
              <w:rPr>
                <w:rFonts w:ascii="Times New Roman" w:hAnsi="Times New Roman"/>
                <w:sz w:val="24"/>
              </w:rPr>
              <w:t xml:space="preserve"> kun mahdolliset käyvän arvon positiiviset muutokset, jotka on sisällytetty ensisijaiseen pääomaan (T1) kyseisen ostetun luottojohdannaisen osalta, on vähennetty.</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Luottojohdannaiset (ostetut suojat) – rajattu nimellisarvo (sama referenssinimi)</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luottojohdannaisten nimellisarvo tapauksissa, joissa laitos ostaa luottosuojan luottojohdannaisille, joiden referenssinimi vastaa ilmoittavan laitoksen markkinoille asettamia luottojohdannaisia.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Tämän solun osalta referenssinimet katsotaan toisiaan vastaaviksi, jos ne viittaavat samaan oikeushenkilöön tai etuoikeustasoon.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Referenssiomaisuuserien ryhmälle ostettu luottosuoja katsotaan taloudellisesti vastaavaksi suojaksi kuin suoja, joka ostetaan kullekin ryhmään kuuluvalle viitenimelle erikseen.</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Jos laitos ostaa luottosuojan referenssinimien ryhmälle, suoja katsotaan vastaavaksi vain, jos ostettu luottosuoja kattaa kaikki ryhmään kuuluvat kohteet, joille on myyty luottosuoja. Toisin sanoen kuittaus hyväksytään vain tapauksissa, joissa referenssiomaisuuserien ryhmä ja etuoikeusjärjestys ovat molemmissa transaktioissa samat.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Kunkin referenssinimen osalta tässä solussa ilmoitetun hankitun luottosuojan nimellisarvo ei saa ylittää soluissa {0020;0075} ja {0050;0075} ilmoitettuja summia.</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Rahoitusjohdannaiset – tasearvo</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 artiklan 1 kohdan 77 alakohta</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sovellettavan tilinpäätössäännöstön mukainen tasearvo asetuksen (EU) N:o 575/2013 liitteessä II lueteltujen sopimusten osalta tapauksissa, joissa kyseiset sopimukset katsotaan taseessa varoiksi.</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Rahoitusjohdannaiset – kirjanpitoarvo, ei nettoutusta tai muita luottoriskin vähentämismenetelmiä</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4 artiklan 1 kohdan 77 alakohta; tässä ilmoitetaan sovellettavan tilinpäätössäännöstön mukainen tasearvo asetuksen (EU) N:o 575/2013 liitteessä II lueteltujen sopimusten osalta tapauksissa, joissa kyseiset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Rahoitusjohdannaiset – nimellisarvo</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Tähän soluun sisällytetään asetuksen (EU) N:o 575/2013 liitteessä II lueteltujen sopimusten nimellisarvo.</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toteutettavat rahoitustoimet – tasearvo</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4 artiklan 1 kohdan 77 alakohta; arvopapereilla toteutettavien rahoitustoimien tasearvo sovellettavan tilinpäätössäännöstön mukaisesti, jos sopimukset kirjataan varoiksi taseeseen.</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toteutettavat rahoitustoimet – kirjanpitoarvo, ei nettoutusta tai muita luottoriskin vähentämismenetelmiä</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4 artiklan 1 kohdan 77 alakohta; tässä ilmoitetaan sovellettavan tilinpäätössäännöstön mukainen tasearvo, kun sopimukset katsotaan taseessa varoiksi, olettaen, että ei ole sovellettu nettoutusta vakavaraisuuslaskennassa tai kirjanpidossa eikä ole otettu huomioon muita luottoriskin vähentämisvaikutuksia (eli on kumottava ne kirjanpidon nettoutuksen tai luottoriskin vähentämismenetelmien vaikutukset, jotka ovat vaikuttaneet kirjanpitoarvoon).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Jos sovellettavan tilinpäätössäännöstön mukaisesti arvopapereilla toteutettavaan rahoitustoimeen sovelletaan myyntikirjanpitoa, laitoksen on poistettava kaikki myyntiin liittyvät kirjanpitomerkinnät.</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Laitokset eivät saa sisällyttää tähän soluun saatuja käteissuorituksia tai vastapuolelle edellä mainittujen liiketoimien kautta annettuja arvopapereita, jotka säilyvät taseessa (eli taseesta pois kirjaamista koskeva kirjanpidon periaate ei täyty). Kyseinen luku ilmoitetaan solussa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Muut varat – tasearvo</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4 artiklan 1 kohdan 77 alakohta; tässä ilmoitetaan sovellettavan tilinpäätössäännöstön mukainen tasearvo muiden varojen kuin asetuksen (EU) N:o 575/2013 liitteessä II lueteltujen sopimusten, luottojohdannaisten ja arvopapereilla toteutettavien rahoitustoimien osalta.</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Muut varat – kirjanpitoarvo, ei nettoutusta tai muita luottoriskin vähentämismenetelmiä</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Asetuksen (EU) N:o 575/2013 4 artiklan 1 kohdan 77 alakohta; Tässä ilmoitetaan sovellettavan tilinpäätössäännöstön mukainen tasearvo muiden varojen kuin asetuksen (EU) N:o 575/2013 liitteessä II lueteltujen sopimusten, luottojohdannaisten ja arvopapereilla toteutettavien rahoitustoimien osalta olettaen, että kirjanpidon nettoutuksen vaikutuksia tai muita luottoriskin vähentämismenetelmien vaikutuksia ei ole (eli on kumottava ne kirjanpidon nettoutuksen tai luottoriskin vähentämismenetelmien vaikutukset, jotka ovat vaikuttaneet kirjanpitoarvoon).</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Taseen ulkopuoliset erät</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taseen ulkopuolisten erien nimellisarvo. Laitokset eivät saa ottaa tässä solussa huomioon asetuksen (EU) N:o 575/2013 liitteessä II lueteltuja sopimuksia, luottojohdannaisia ja arvopapereilla toteutettavia rahoitustoimia asetuksen (EU) N:o 575/2013 429 f artiklan 1 kohdan mukaisesti.</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Johdannaissopimuksista saadut käteisvakuudet – kirjanpitoarvo, ei nettoutusta tai muita luottoriskin vähentämismenetelmiä</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sovellettavan tilinpäätössäännöstön mukainen tasearvo johdannaissopimuksista saatujen käteisvakuuksien osalta olettaen, että kirjanpidon nettoutuksen vaikutuksia tai muita luottoriskin vähentämismenetelmien vaikutuksia ei ole (eli on kumottava ne kirjanpidon nettoutuksen tai luottoriskin vähentämismenetelmien vaikutukset, jotka ovat vaikuttaneet kirjanpitoarvoon).</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muihin laitoksiin talletettuja käteisvaroja tässä solussa.</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Johdannaissopimusten yhteydessä asetettuja käteisvakuuksia koskevat saamiset – kirjanpitoarvo, ei nettoutusta tai muita luottoriskin vähentämismenetelmiä</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Tässä ilmoitetaan sovellettavan tilinpäätössäännöstön mukainen tasearvo johdannaissopimusten yhteydessä asetettuja käteisvakuuksia koskevien saamisten osalta olettaen, että kirjanpidon nettoutuksen vaikutuksia tai luottoriskin vähentämismenetelmien vaikutuksia ei ole (eli on kumottava ne kirjanpidon nettoutuksen tai luottoriskin vähentämismenetelmien vaikutukset, jotka ovat vaikuttaneet kirjanpitoarvoon).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Laitosten, jotka voivat sovellettavan tilinpäätössäännöstön nojalla nettouttaa johdannaisvelkaa vastaan asetettuja käteisvakuuksia koskevat saamiset (negatiivinen käypä arvo) ja jotka päättävät toimia näin, on suoritettava käänteinen nettoutus ja ilmoitettava käteissaamisten nettoarvo.</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Varoiksi katsotut arvopapereilla toteutetuista rahoitustoimista saadut arvopaperit – kirjanpitoarvo, ei nettoutusta tai muita luottoriskin vähentämismenetelmiä</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Tässä ilmoitetaan sovellettavan tilinpäätössäännöstön mukainen tasearvo varoiksi katsottujen arvopapereilla toteutetuista rahoitustoimista saatujen arvopapereiden osalta olettaen, että kirjanpidon nettoutuksen vaikutuksia tai muita luottoriskin vähentämismenetelmien vaikutuksia ei ole (eli on kumottava ne kirjanpidon nettoutuksen tai luottoriskin vähentämismenetelmien vaikutukset, jotka ovat vaikuttaneet kirjanpitoarvoon).</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Arvopapereilla toteutetuista rahoitustoimista saatujen käteisvarojen edelleenlainaus (käteissaatavat) – kirjanpitoarvo, ei nettoutusta tai muita luottoriskin vähentämismenetelmiä</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Tässä ilmoitetaan sovellettavan tilinpäätössäännöstön mukainen tasearvo sellaisten arvopapereilla toteutetuista rahoitustoimista saatujen käteisvarojen osalta, jotka </w:t>
            </w:r>
            <w:proofErr w:type="gramStart"/>
            <w:r>
              <w:rPr>
                <w:rFonts w:ascii="Times New Roman" w:hAnsi="Times New Roman"/>
                <w:sz w:val="24"/>
              </w:rPr>
              <w:t>on</w:t>
            </w:r>
            <w:proofErr w:type="gramEnd"/>
            <w:r>
              <w:rPr>
                <w:rFonts w:ascii="Times New Roman" w:hAnsi="Times New Roman"/>
                <w:sz w:val="24"/>
              </w:rPr>
              <w:t xml:space="preserve"> edelleenlainattu (CCLT) arvopapereiden omistajalle, olettaen, että kirjanpidon nettoutuksen vaikutuksia tai muita luottoriskin vähentämismenetelmien vaikutuksia ei ole (eli on kumottava ne kirjanpidon nettoutuksen tai luottoriskin vähentämismenetelmien vaikutukset, jotka ovat vaikuttaneet kirjanpitoarvoon).</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Tämän solun osalta käteisellä tarkoitetaan käteisvarojen yhteismäärää, mukaan lukien kolikot ja setelit. Yhteismäärään luetaan mukaan keskuspankeissa pidettävien talletusten kokonaismäärä siinä määrin kuin talletukset voidaan nostaa stressikausien aikana. Laitokset eivät ilmoita tässä solussa muihin laitoksiin talletettuja käteisvaroja.</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Arvopapereilla toteutetuista rahoitustoimista saatujen käteisvarojen edelleenlainauksessa (cash conduit lending transaction, CCLT) laitos ottaa arvopapereita lainaksi arvopapereiden omistajalta ja antaa kyseiset arvopaperit edelleen lainaksi arvopapereiden lainaajalle. Laitos vastaanottaa </w:t>
            </w:r>
            <w:r>
              <w:rPr>
                <w:rFonts w:ascii="Times New Roman" w:hAnsi="Times New Roman"/>
                <w:sz w:val="24"/>
              </w:rPr>
              <w:lastRenderedPageBreak/>
              <w:t>arvopaperien lainaksiottajalta käteisvakuuden ja lainaa kyseiset käteisvarat arvopaperien omistajalle. Vaatimukset täyttävän CCLT:n on täytettävä kaikki seuraavat edellytykset:</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kumpikin CCLT:n mukainen transaktio on suoritettava saman kaupantekopäivän aikana tai, kansainvälisten transaktioiden osalta, peräkkäisinä pankkipäivinä;</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jos transaktioiden yhteydessä ei ole määritetty maturiteettia, laitoksella on oltava oikeus päättää kumpi tahansa CCLT:n mukainen transaktio milloin vain ilman ennakkoilmoitusta;</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jos transaktioiden yhteydessä on määritetty maturiteetti, laitokselle ei saa aiheutua maturiteettieroja. Laitoksella on oltava oikeus päättää kumpi tahansa CCLT:n mukainen transaktio milloin vain ilman ennakkoilmoitusta;</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CCLT ei aiheuta riskin kasvua.</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Julkisen sektorin sijoitukset – Saamiset keskushallinnoilta – Tasearvo</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Jos laitos on julkinen kehitysluottolaitos, sovellettavan tilinpäätössäännöstön mukainen tasearvo varoista, jotka ovat saamisia keskushallinnoilta julkisen sektorin investointeihin liittyen.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tasearvot, jota toimivaltainen viranomainen käsittelee julkisena kehitysluottolaitoksena vakavaraisuusasetuksen 429 a artiklan 2 kohdan viimeisen alakohdan mukaisesti.</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Julkisen sektorin sijoitukset – Saamiset aluehallinnoilta – Tasearvo</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Jos laitos on julkinen kehitysluottolaitos, sovellettavan tilinpäätössäännöstön mukainen tasearvo varoista, jotka ovat saamisia aluehallinnoilta julkisen sektorin investointeihin liittyen.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tasearvot, jota toimivaltainen viranomainen käsittelee julkisena kehitysluottolaitoksena vakavaraisuusasetuksen 429 a artiklan 2 kohdan viimeisen alakohdan mukaisesti.</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Julkisen sektorin sijoitukset – Saamiset paikallisviranomaisilta – Tasearvo</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paikallisviranomaisilta julkisen sektorin investointeihin liittyen.</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 xml:space="preserve">Huomioon on otettava myös sellaisen laitoksen tasearvot, jota toimivaltainen viranomainen käsittelee julkisena kehitysluottolaitoksena </w:t>
            </w:r>
            <w:r>
              <w:rPr>
                <w:rFonts w:ascii="Times New Roman" w:hAnsi="Times New Roman"/>
                <w:sz w:val="24"/>
              </w:rPr>
              <w:lastRenderedPageBreak/>
              <w:t>vakavaraisuusasetuksen 429 a artiklan 2 kohdan viimeisen alakohdan mukaisesti.</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Julkisen sektorin sijoitukset – Saamiset julkisyhteisöiltä ja julkisoikeudellisilta laitoksilta – Tasearvo</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julkisyhteisöiltä ja julkisoikeudellisilta laitoksilta julkisen sektorin investointeihin liittyen.</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Saamiset keskushallinnoilta – Tasearvo</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Jos laitos on julkinen kehitysluottolaitos, sovellettavan tilinpäätössäännöstön mukainen tasearvo varoista, jotka ovat saamisia keskushallinnoilta edistämislainoihin liittyen.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keskushallinnoilta – Nimellismäärä/nimellisarvo</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taseen ulkopuolisten erien nimellismäärä suhteessa keskushallinnoille myönnettyjen edistämislainojen nostamattomaan osaan</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Saamiset aluehallinnoilta – Tasearvo</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aluehallinnoilta edistämislainoihin liittyen.</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lastRenderedPageBreak/>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aluehallinnoilta – Nimellismäärä/nimellisarvo</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taseen ulkopuolisten erien nimellismäärä suhteessa aluehallinnoille myönnettyjen edistämislainojen nostamattomaan osaan</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Saamiset paikallisviranomaisilta – Tasearvo</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paikallisviranomaisilta edistämislainoihin liittyen.</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paikallisviranomaisilta – Nimellismäärä/nimellisarvo</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taseen ulkopuolisten erien nimellismäärä suhteessa paikallisviranomaisille myönnettyjen edistämislainojen nostamattomaan osaan</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Saamiset julkisyhteisöiltä ja julkisoikeudellisilta laitoksilta – Tasearvo</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julkisyhteisöiltä ja julkisoikeudellisilta laitoksilta edistämislainoihin liittyen.</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julkisyhteisöiltä ja julkisoikeudellisilta laitoksilta – Nimellismäärä/nimellisarvo</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lastRenderedPageBreak/>
              <w:t>Jos laitos on julkinen kehitysluottolaitos, taseen ulkopuolisten erien nimellismäärä suhteessa julkisyhteisöille ja julkisoikeudellisille laitoksille myönnettyjen edistämislainojen nostamattomaan osaan</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muilta kuin rahoitusalan yrityksiltä – Tasearvo</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muilta kuin rahoitusalan yrityksiltä edistämislainoihin liittyen.</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rahoitusalan ulkopuolisilta yrityksiltä – Nimellismäärä/nimellisarvo</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taseen ulkopuolisten erien nimellismäärä suhteessa muille kuin rahoitusalan yrityksille myönnettyjen edistämislainojen nostamattomaan osaan</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kotitalouksilta – Tasearvo</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sovellettavan tilinpäätössäännöstön mukainen tasearvo varoista, jotka ovat saamisia kotitalouksilta edistämislainoihin liittyen.</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Edistämislainat – Saamiset paikallisviranomaisilta – Nimellismäärä/nimellisarvo</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Jos laitos on julkinen kehitysluottolaitos, taseen ulkopuolisten erien nimellismäärä suhteessa kotitalouksille myönnettyjen edistämislainojen nostamattomaan osaan</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Huomioon on otettava myös sellaisen laitoksen yksikön nimellismäärät, jota toimivaltainen viranomainen käsittelee julkisena kehitysluottolaitoksena vakavaraisuusasetuksen 429 a artiklan 2 kohdan viimeisen alakohdan mukaisesti.</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Siirretyt –</w:t>
            </w:r>
            <w:r>
              <w:rPr>
                <w:sz w:val="24"/>
              </w:rPr>
              <w:t xml:space="preserve"> </w:t>
            </w:r>
            <w:r>
              <w:rPr>
                <w:rFonts w:ascii="Times New Roman" w:hAnsi="Times New Roman"/>
                <w:b/>
                <w:sz w:val="24"/>
              </w:rPr>
              <w:t>Tasearvo</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Jos laitos on julkinen kehitysluottolaitos, sovellettavan siirrettyjä edistämislainoja koskevan tilinpäätössäännöstön mukainen tasearvo, jos laitos ei ole itse myöntänyt edistämislainoja.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tasearvot, jota toimivaltainen viranomainen käsittelee julkisena kehitysluottolaitoksena vakavaraisuusasetuksen 429 a artiklan 2 kohdan viimeisen alakohdan mukaisesti.</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Edistämislainat – Siirretyt –</w:t>
            </w:r>
            <w:r>
              <w:rPr>
                <w:sz w:val="24"/>
              </w:rPr>
              <w:t xml:space="preserve"> </w:t>
            </w:r>
            <w:r>
              <w:rPr>
                <w:rFonts w:ascii="Times New Roman" w:hAnsi="Times New Roman"/>
                <w:b/>
                <w:sz w:val="24"/>
              </w:rPr>
              <w:t>Nimellismäärä/nimellisarvo</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Jos laitos on julkinen kehitysluottolaitos, taseen ulkopuolisten erien nimellismäärä suhteessa kotitalouksille myönnettyjen siirrettyjen edistämislainojen nostamattomaan osaan, jos laitos ei ole itse myöntänyt edistämislainoja.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Huomioon on otettava myös sellaisen laitoksen yksikön nimellismäärät, jota toimivaltainen viranomainen käsittelee julkisena kehitysluottolaitoksena vakavaraisuusasetuksen 429 a artiklan 2 kohdan viimeisen alakohdan mukaisesti.</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Saamiset keskuspankeilta -</w:t>
            </w:r>
            <w:r>
              <w:rPr>
                <w:sz w:val="24"/>
              </w:rPr>
              <w:t xml:space="preserve"> </w:t>
            </w:r>
            <w:r>
              <w:rPr>
                <w:rFonts w:ascii="Times New Roman" w:hAnsi="Times New Roman"/>
                <w:b/>
                <w:sz w:val="24"/>
              </w:rPr>
              <w:t>Tasearvo</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Laitosten on ilmoitettava sovellettavan tilinpäätössäännöstön mukaisesti seuraavien laitoksen keskuspankkiin liittyvien vastuiden arvo: i) kolikot ja setelit, jotka ovat laillista valuuttaa keskuspankin lainkäyttöalueella; ii) omaisuuserät, jotka ovat saatavia keskuspankilta, keskuspankissa pidettävät varannot mukaan luettuina.</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Laitosten on otettava huomioon ainoastaan vastuut, jotka täyttävät molemmat seuraavista edellytyksistä: a) ne ovat saman valuutan määräisiä kuin laitoksen ottamat talletukset; b) niiden keskimääräinen maturiteetti ei merkittävästi ylitä laitoksen ottamien talletusten keskimääräistä maturiteettia.</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nämä vastuut riippumatta siitä, onko ne vapautettu vastuiden kokonaismäärästä asetuksen (EU) N:o 575/2013 429 a artiklan 5 kohdan ja (6) kohdan mukaisesti.</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Vakavaraisuusasetuksen 429 a artiklan 7 kohdassa tarkoitetun mukautettua vähimmäisomavaraisuusastetta koskevan vaatimuksen laskennassa käytetty keskuspankin vastuuarvo – vähimmäisomavaraisuusasteen vastuiden määrä</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Asetuksen (EU) N:o 575/2013 429 a artiklan 5 kohdan c alakohdassa tarkoitettua päivää edeltävältä keskuspankin koko varantojen pitoajanjaksolta laskettu niiden laitoksen keskuspankkiin liittyvien vastuiden päivittäinen keskimääräinen kokonaisarvo, jotka voidaan jättää asetuksen (EU) N:o 575/2013 429 a artiklan 1 kohdan n alakohdan mukaisesti ulkopuolelle.</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Vakavaraisuusasetuksen 429 a artiklan 7 kohdassa tarkoitetun mukautettua vähimmäisomavaraisuusastetta koskevan vaatimuksen laskennassa käytetty vähimmäisomavaraisuusasteen vastuut – Vähimmäisomavaraisuusasteen vastuiden määrä</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Asetuksen (EU) N:o 575/2013 429 artiklan 4 kohdassa määritelty laitoksen vastuiden kokonaismäärä, mukaan lukien asetuksen (EU) N:o 575/2013 429 artiklan 1 kohdan n alakohdan mukaisesti soveltamisalan ulkopuolelle jätetyt vastuut, asetuksen (EU) N:o 575/2013 429 a artiklan 5 kohdan c alakohdassa tarkoitettuna päivänä.</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Kokonaisvarat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Laitosten on ilmoitettava tässä erässä kokonaisvarat julkistetussa tilinpäätöksessä käytetyn soveltamisalan mukaisesti.</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282731"/>
      <w:bookmarkEnd w:id="57"/>
      <w:bookmarkEnd w:id="65"/>
      <w:bookmarkEnd w:id="66"/>
      <w:bookmarkEnd w:id="67"/>
      <w:r>
        <w:rPr>
          <w:rFonts w:ascii="Times New Roman" w:hAnsi="Times New Roman"/>
          <w:b/>
          <w:sz w:val="24"/>
        </w:rPr>
        <w:t>5.</w:t>
      </w:r>
      <w:r>
        <w:rPr>
          <w:rFonts w:ascii="Times New Roman" w:hAnsi="Times New Roman"/>
          <w:b/>
          <w:sz w:val="24"/>
        </w:rPr>
        <w:tab/>
        <w:t>C 43.00 – Vaihtoehtoinen vähimmäisomavaraisuusasteen vastuiden osatekijöiden jaottelu</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Laitosten on ilmoitettava vähimmäisomavaraisuusasteen vastuiden arvot sarakkeessa LR4 vapautusten ja vähennysten soveltamisen jälkeen LRCalc-lomakkeessa, eli erät, joilla on negatiivinen merkki tässä liitteessä olevan I osan 9 kohdan merkkikäytäntöjen mukaisesti, lukuun ottamatta rivejä {0270; 0010} {0280; 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Kaksinkertaisen huomioon ottamisen estämiseksi laitosten on noudatettava seuraavaa yhtälöä:</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rPr>
          <w:rFonts w:ascii="Times New Roman" w:hAnsi="Times New Roman"/>
          <w:sz w:val="24"/>
        </w:rPr>
        <w:tab/>
        <w:t>Kaikkien rivien summa rivistä {0010; 0010} riviin {0269;0010} lomakkeessa LRCalc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Jotta riskipainotettujen vastuuerien yhteismäärä olisi yhdenmukainen vähimmäisomavaraisuusasteen vastuiden arvojen kanssa, se on myös ilmoitettava täysimääräisenä. Tässä lomakkeessa ei oteta huomioon kokonaisriskipainolattian mukautuksia.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lastRenderedPageBreak/>
        <w:t xml:space="preserve">27. Laitosten on ilmoitettava vastapuoli riskipainotettujen vastuuerien yhteismäärän osalta luottoriskin vähentämistekniikoiden ja niiden substituutiovaikutusten jälkeen. Laitosten on ilmoitettava vähimmäisomavaraisuusasteen vastuuseen liittyvä vastapuoli alkuperäisen vastapuolen mukaisesti eli ottamatta huomioon riskipainotettujen vastuuerien yhteismäärään sovellettavia luottoriskin vähentämismenetelmiä tai substituutiovaikutuksia.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Rivi ja sarake</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Lainsäädäntöviittaukset ja ohjeet</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Taseen ulkopuoliset erät; vähimmäisomavaraisuusasteen vastuiden arvo</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Vähimmäisomavaraisuusasteen vastuiden arvo lasketaan solujen {LRCalc;0150;0010}, {LRCalc;0160;0010}, {LRCalc;0165;0010} {LRCalc;0170;0010} ja {LRCalc;0180;0010} summana, lukuun ottamatta asetuksen (EU) N:o 575/2013 429 a artiklan 1 kohdan c ja ca alakohdan mukaisesti vastuiden kokonaismäärän ulkopuolelle jätettäviä ryhmän sisäisiä (yksittäisiä) vastuita.</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Taseen ulkopuoliset erät – Riskipainotettujen vastuuerien yhteismäärä</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Riskipainotettujen taseen ulkopuolisten vastuuerien määrä, lukuun ottamatta johdannaisia ja arvopapereilla toteutettavia rahoitustoimia, kuten standardimenetelmässä ja IRB-menetelmässä. Standardimenetelmän vastuiden osalta riskipainotettujen vastuuerien yhteismäärä lasketaan asetuksen (EU) N:o 575/2013 kolmannen osan II osastossa olevan 2 luvun mukaisesti. IRB-menetelmän vastuiden osalta riskipainotettujen vastuuerien yhteismäärä lasketaan asetuksen (EU) N:o 575/2013 kolmannen osan II osastossa olevan 3 luvun mukaisesti.</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Joista: Kaupan rahoitus; vähimmäisomavaraisuusasteen vastuiden arvo</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Kaupan rahoitukseen liittyvien taseen ulkopuolisten erien vähimmäisomavaraisuusasteen vastuiden arvo.</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Taulukon LR4 osalta kaupan rahoitukseen liittyvillä taseen ulkopuolisilla erillä tarkoitetaan tuontiin ja vientiin myönnettyjä ja vahvistettuja lyhytaikaisia ja itsestäänkuittautuvia rahoituseriä ja vastaavia liiketoimia.</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Joista: riskipainotettujen vastuuerien yhteismäärä</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Riskipainotettujen taseen ulkopuolisten vastuuerien arvo, lukuun ottamatta johdannaisia ja arvopapereilla toteutettavia rahoitustoimia, joka liittyy kaupan rahoitukseen.</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Taulukon LR4 osalta kaupan rahoitukseen liittyvillä taseen ulkopuolisilla erillä tarkoitetaan tuontiin ja vientiin myönnettyjä ja vahvistettuja lyhytaikaisia ja itsestäänkuittautuvia rahoituseriä ja vastaavia liiketoimia.</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vähimmäisomavaraisuusasteen vastuiden arvo</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Virallisiin vientiluottovakuutusjärjestelmiin kuuluvien, kaupan rahoitukseen liittyvien taseen ulkopuolisten erien vähimmäisomavaraisuusasteen vastuiden arvo.</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Riskipainotettujen vastuuerien yhteismäärä</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Riskipainotettujen taseen ulkopuolisten vastuuerien arvo, lukuun ottamatta johdannaisia ja arvopapereilla toteutettavia rahoitustoimia, joka liittyy virallisen vientiluottovakuutusjärjestelmän alaiseen kaupan rahoitukseen.</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Tuotteiden ristikkäisnettoutusta koskevien sopimusten alaiset johdannaiset ja arvopapereilla toteutettavat rahoitustoimet – vähimmäisomavaraisuusasteen vastuiden arvo</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Sellaisten johdannaisten ja arvopapereilla toteutettavien rahoitustoimien vähimmäisomavaraisuusasteen vastuiden arvo, joihin sovelletaan asetuksen (EU) N:o 575/2013 272 artiklan 25 alakohdan mukaista tuotteiden ristikkäisnettoutusta koskevaa sopimusta.</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Tuotteiden ristikkäisnettoutusta koskevien sopimusten alaiset johdannaiset ja arvopapereilla toteutettavat rahoitustoimet – Riskipainotettujen vastuuerien yhteismäärä</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Sellaisten taseeseen sisältyvien ja sen ulkopuolisten johdannaisten ja arvopapereilla toteutettavien rahoitustoimien luottoriskiä ja vastapuoliriskiä koskevat riskipainotetut vastuuerät, jotka on määritetty asetuksen (EU) N:o 575/2013 kolmannen osan II osaston mukaisesti, jos </w:t>
            </w:r>
            <w:r>
              <w:rPr>
                <w:rFonts w:ascii="Times New Roman" w:hAnsi="Times New Roman"/>
                <w:sz w:val="24"/>
              </w:rPr>
              <w:lastRenderedPageBreak/>
              <w:t>niihin sovelletaan asetuksen (EU) N:o 575/2013 272 artiklan 25 alakohdan mukaista tuotteiden ristikkäisnettoutusta koskevaa sopimusta.</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Johdannaiset, joihin ei sovelleta tuotteiden ristikkäisnettoutusta koskevaa sopimusta – Vähimmäisomavaraisuusasteen vastuiden arvo</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Johdannaisten vähimmäisomavaraisuusasteen vastuiden arvo, jos niihin ei sovelleta asetuksen (EU) N:o 575/2013 272 artiklan 25 kohdan mukaista tuotteiden ristikkäisnettoutusta koskevaa sopimusta.</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Johdannaiset, joihin ei sovelleta tuotteiden ristikkäisnettoutusta koskevaa sopimusta – Riskipainotettujen vastuuerien yhteismäärä</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Sellaisten taseeseen sisältyvien ja sen ulkopuolisten johdannaisten luottoriskiä ja vastapuoliriskiä koskevat riskipainotetut vastuuerät, jotka on määritetty asetuksen (EU) N:o 575/2013 kolmannen osan II osaston mukaisesti, jos niihin ei sovelleta asetuksen (EU) N:o 575/2013 272 artiklan 25 kohdan mukaista tuotteiden ristikkäisnettoutusta koskevaa sopimusta.</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toteutettavat rahoitustoimet, joihin ei sovelleta tuotteiden ristikkäisnettoutusta koskevia sopimuksia – Vähimmäisomavaraisuusasteen vastuiden arvo</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Arvopapereilla toteutettavien rahoitustoimien vastuiden vähimmäisomavaraisuusasteen vastuiden arvo, jos niihin ei sovelleta asetuksen (EU) N:o 575/2013 272 artiklan 25 alakohdan mukaista tuotteiden ristikkäisnettoutusta koskevaa sopimusta.</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Arvopapereilla toteutettavat rahoitustoimet, joihin ei sovelleta tuotteiden ristikkäisnettoutusta koskevaa sopimusta – Riskipainotettujen vastuuerien yhteismäärä</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Sellaisten taseeseen sisältyvien ja sen ulkopuolisten arvopapereilla toteutettavien rahoitustoimien luottoriskiä ja vastapuoliriskiä koskevat riskipainotetut vastuuerät, jotka on määritetty asetuksen (EU) N:o 575/2013 kolmannen osan II osaston mukaisesti, jos niihin ei sovelleta asetuksen (EU) N:o 575/2013 272 artiklan 25 kohdan mukaista tuotteiden ristikkäisnettoutusta koskevaa sopimusta.</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Luottojohdannaisten täydentävästä kohtelusta johtuvat vastuumäärät – Vähimmäisomavaraisuusasteen vastuiden arvo</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Tämän solun arvo on yhtä suuri kuin solujen {LRCalc;0130;0010} ja {LRCalc;0140;0010} erotus, lukuun ottamatta asetuksen (EU) N:o 575/2013 429 a artiklan 1 kohdan c alakohdan mukaisesti vastuiden kokonaismäärän ulkopuolelle jätettäviä ryhmän sisäisiä (yksittäisiä) vastuita.</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Muut kaupankäyntivarastoon kuuluvat varat – Vähimmäisomavaraisuusasteen vastuiden arvo</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Solun {LRCalc;0190;0010} mukainen vähimmäisomavaraisuusasteen vastuiden arvo, lukuun ottamatta kaupankäyntivaraston ulkopuolisia eriä.</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Muut kaupankäyntivarastoon kuuluvat varat – Riskipainotettujen vastuuerien yhteismäärä</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kolmannen osan IV osaston alaisten omien varojen vaatimukset kerrottuna luvulla 12,5.</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Katetut joukkolainat – Vähimmäisomavaraisuusasteen vastuiden arvo – Vastuut (standardimenetelmän mukaiset)</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129 artiklan mukaisten katettujen joukkolainojen vähimmäisomavaraisuusasteen standardimenetelmän mukaisten vastuiden arvo.</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Katetut joukkolainat – Vähimmäisomavaraisuusasteen vastuiden arvo – Vastuut (IRB-menetelmän mukaiset)</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161 artiklan 1 kohdan d kohdassa tarkoitettujen katettujen joukkolainojen vähimmäisomavaraisuusasteen IRB-menetelmän mukaisten vastuiden arvo.</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Katetut joukkolainat – Riskipainotettujen vastuuerien yhteismäärä – Vastuut (standardimenetelmän mukaiset)</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129 artiklan mukaisten katettujen joukkolainojen riskipainotettujen standardimenetelmän mukaisten vastuuerien yhteismäärä.</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Katetut joukkolainat – Riskipainotettujen vastuuerien yhteismäärä – Vastuut (IRB-menetelmän mukaiset)</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161 artiklan 1 kohdan d alakohdassa tarkoitettujen katettujen joukkolainojen riskipainotettujen IRB-menetelmän mukaisten vastuuerien yhteismäärä.</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Laitosten on ilmoitettava nämä arvot ilman laiminlyötyjä IRB-menetelmän mukaisia vastuita.</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Valtiovastuiksi katsotut vastuut – Vähimmäisomavaraisuusasteen vastuiden arvo – Vastuut (standardimenetelmän mukaiset)</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{0100,0010} – {0130,0010} summa.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Laitosten on ilmoitettava nämä arvot ilman laiminlyötyjä standardimenetelmän mukaisia vastuita.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Valtiovastuiksi katsotut vastuut – Vähimmäisomavaraisuusasteen vastuiden arvo – Vastuut (IRB-menetelmän mukaiset)</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{0100,0020} – {0130,0020} summa.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Valtiovastuiksi katsotut vastuut – Riskipainotettujen vastuuerien yhteismäärä – Vastuut (standardimenetelmä)</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{0100,0030} – {0130,0030} summa.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Valtiovastuiksi katsotut vastuut – Riskipainotettujen vastuuerien yhteismäärä – Vastuut (IRB-menetelmä)</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{0100,0040} – {0130,0040} summa.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Valtiot ja keskuspankit</w:t>
            </w:r>
            <w:r>
              <w:rPr>
                <w:rFonts w:ascii="Times New Roman" w:hAnsi="Times New Roman"/>
                <w:sz w:val="24"/>
              </w:rPr>
              <w:t xml:space="preserve"> </w:t>
            </w:r>
            <w:r>
              <w:rPr>
                <w:rFonts w:ascii="Times New Roman" w:hAnsi="Times New Roman"/>
                <w:b/>
                <w:sz w:val="24"/>
              </w:rPr>
              <w:t>– Vähimmäisomavaraisuusasteen vastuiden arvo – Vastuut (standardimenetelmä)</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114 artiklan mukaisten valtioilta ja keskuspankeilta olevien saamisten vähimmäisomavaraisuusasteen standardimenetelmän mukaisten vastuiden arvo.</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Valtiot ja keskuspankit – Vähimmäisomavaraisuusasteen vastuiden arvo – Vastuut (IRB-menetelmä)</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147 artiklan 2 kohdan a alakohdan mukaisten valtioilta ja keskuspankeilta olevien saamisten </w:t>
            </w:r>
            <w:r>
              <w:rPr>
                <w:rFonts w:ascii="Times New Roman" w:hAnsi="Times New Roman"/>
                <w:sz w:val="24"/>
              </w:rPr>
              <w:lastRenderedPageBreak/>
              <w:t>vähimmäisomavaraisuusasteen IRB-menetelmän mukaisten vastuiden arvo.</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Valtiot ja keskuspankit</w:t>
            </w:r>
            <w:r>
              <w:rPr>
                <w:rFonts w:ascii="Times New Roman" w:hAnsi="Times New Roman"/>
                <w:sz w:val="24"/>
              </w:rPr>
              <w:t xml:space="preserve"> </w:t>
            </w:r>
            <w:r>
              <w:rPr>
                <w:rFonts w:ascii="Times New Roman" w:hAnsi="Times New Roman"/>
                <w:b/>
                <w:sz w:val="24"/>
              </w:rPr>
              <w:t>– Riskipainotettujen vastuuerien yhteismäärä – Vastuut (standardimenetelmä)</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114 artiklan mukaisten valtioilta ja keskuspankeilta olevien saamisten riskipainotettujen standardimenetelmän mukaisten vastuuerien yhteismäärä.</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Valtiot ja keskuspankit</w:t>
            </w:r>
            <w:r>
              <w:rPr>
                <w:rFonts w:ascii="Times New Roman" w:hAnsi="Times New Roman"/>
                <w:sz w:val="24"/>
              </w:rPr>
              <w:t xml:space="preserve"> </w:t>
            </w:r>
            <w:r>
              <w:rPr>
                <w:rFonts w:ascii="Times New Roman" w:hAnsi="Times New Roman"/>
                <w:b/>
                <w:sz w:val="24"/>
              </w:rPr>
              <w:t>– Riskipainotettujen vastuuerien yhteismäärä – Vastuut (IRB-menetelmä)</w:t>
            </w:r>
          </w:p>
          <w:p w14:paraId="47A75B9C" w14:textId="2FB8F2F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147 artiklan 2 kohdan </w:t>
            </w:r>
            <w:r w:rsidR="0072652D">
              <w:rPr>
                <w:rFonts w:ascii="Times New Roman" w:hAnsi="Times New Roman"/>
                <w:sz w:val="24"/>
              </w:rPr>
              <w:t xml:space="preserve">a alakohdan </w:t>
            </w:r>
            <w:r>
              <w:rPr>
                <w:rFonts w:ascii="Times New Roman" w:hAnsi="Times New Roman"/>
                <w:sz w:val="24"/>
              </w:rPr>
              <w:t>mukaisten valtioilta ja keskuspankeilta olevien saamisten riskipainotettujen IRB-menetelmän mukaisten vastuuerien yhteismäärä.</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(valtiovastuu) – Vähimmäisomavaraisuusasteen vastuiden arvo – Vastuut (standardimenetelmä)</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115 artiklan 2 ja 4 kohdan mukaisten aluehallinnoilta ja paikallisviranomaisilta olevien saamisten vähimmäisomavaraisuusasteen standardimenetelmän mukaisten vastuiden arvo, joita on käsiteltävä kuten saamisia valtiolta.</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Laitosten on ilmoitettava nämä arvot ilman laiminlyötyjä standardimenetelmän mukaisia vastuita.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(valtiovastuu) – Vähimmäisomavaraisuusasteen vastuiden arvo – Vastuut (IRB-menetelmä)</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147 artiklan 3 kohdan a alakohdan mukaisten aluehallinnoilta ja paikallisviranomaisilta olevien saamisten vähimmäisomavaraisuusasteen IRB-menetelmän mukaisten vastuiden arvo.</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(valtiovastuu) – Riskipainotettujen vastuuerien yhteismäärä – Vastuut (standardimenetelmä)</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115 artiklan 2 ja 4 kohdan mukaisten aluehallinnoilta ja paikallisviranomaisilta olevien saamisten riskipainotettujen standardimenetelmän mukaisten vastuuerien yhteismäärä, joita on käsiteltävä kuten saamisia valtiolta.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(valtiovastuu) – Riskipainotettujen vastuuerien yhteismäärä – Vastuut (IRB-menetelmä)</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3 kohdan a alakohdan mukaisten aluehallinnoilta ja paikallisviranomaisilta olevien saamisten riskipainotettujen IRB-menetelmän mukaisten vastuuerien yhteismäärä.</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Kansainväliset kehityspankit ja kansainväliset organisaatiot (valtiovastuu) – Vähimmäisomavaraisuusasteen vastuiden arvo – Vastuut (standardimenetelmä)</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117 artiklan 2 kohdan ja 118 artiklan mukaisten kansainvälisiltä kehityspankeilta ja kansainvälisiltä organisaatioilta olevien saamisten vähimmäisomavaraisuusasteen standardimenetelmän mukaisten vastuiden arvo.</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Kansainväliset kehityspankit ja kansainväliset organisaatiot (valtiovastuu) – Vähimmäisomavaraisuusasteen vastuiden arvo – Vastuut (IRB-menetelmä)</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3 kohdan b ja c alakohdan mukaisten kansainvälisiltä kehityspankeilta ja kansainvälisiltä organisaatioilta olevien saamisten vähimmäisomavaraisuusasteen IRB-menetelmän mukaisten vastuiden arvo.</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Kansainväliset kehityspankit ja kansainväliset organisaatiot (valtiovastuu) – Riskipainotettujen vastuuerien yhteismäärä – Vastuut (standardimenetelmä)</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117 artiklan 2 kohdan ja 118 artiklan mukaisten kansainvälisiltä kehityspankeilta ja kansainvälisiltä organisaatioilta olevien saamisten riskipainotettujen standardimenetelmän mukaisten vastuuerien yhteismäärä.</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Kansainväliset kehityspankit ja kansainväliset organisaatiot (valtiovastuu) – Riskipainotettujen vastuuerien yhteismäärä – Vastuut (IBR-menetelmä)</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3 kohdan b ja c alakohdan mukaisten kansainvälisiltä kehityspankeilta ja kansainvälisiltä organisaatioilta olevien saamisten riskipainotettujen IRB-menetelmän mukaisten vastuuerien yhteismäärä.</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nämä arvot ilman laiminlyötyjä IRB-menetelmän mukaisia vastuita.</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Julkisyhteisöt ja julkisoikeudelliset laitokset (valtiovastuu) – Vähimmäisomavaraisuusasteen vastuiden arvo – vastuut (standardimenetelmä)</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116 artiklan 4 kohdan mukaisten julkisyhteisöiltä ja julkisoikeudellisilta laitoksilta olevien saamisten vähimmäisomavaraisuusasteen standardimenetelmän mukaisten vastuiden arvo.</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Laitosten on ilmoitettava nämä arvot ilman laiminlyötyjä standardimenetelmän mukaisia vastuita.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Julkisyhteisöt ja julkisoikeudelliset laitokset (valtiovastuu) – Vähimmäisomavaraisuusasteen vastuiden arvo – Vastuut (IRB-menetelmä)</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3 kohdan a alakohdan mukaisten julkisyhteisöiltä ja julkisoikeudellisilta laitoksilta olevien saamisten vähimmäisomavaraisuusasteen IRB-menetelmän mukaisten vastuiden arvo.</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Julkisyhteisöt ja julkisoikeudelliset laitokset (valtiovastuu) – Riskipainotettujen vastuuerien yhteismäärä – Vastuut (standardimenetelmä)</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116 artiklan 4 kohdan mukaisten julkisyhteisöiltä ja julkisoikeudellisilta laitoksilta olevien saamisten </w:t>
            </w:r>
            <w:r>
              <w:rPr>
                <w:rFonts w:ascii="Times New Roman" w:hAnsi="Times New Roman"/>
                <w:sz w:val="24"/>
              </w:rPr>
              <w:lastRenderedPageBreak/>
              <w:t>riskipainotettujen standardimenetelmän mukaisten vastuuerien yhteismäärä.</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Julkisyhteisöt ja julkisoikeudelliset laitokset (valtiovastuu) – Riskipainotettujen vastuuerien yhteismäärä – Vastuut (IRB-menetelmä)</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3 kohdan a alakohdan mukaisten julkisyhteisöiltä ja julkisoikeudellisilta laitoksilta olevien saamisten riskipainotettujen IRB-menetelmän mukaisten vastuuerien yhteismäärä.</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Aluehallintojen, kansainvälisten kehityspankkien, kansainvälisten organisaatioiden, julkisyhteisöjen ja julkisoikeudellisten laitosten vastuut, joita ei katsota valtiovastuiksi – Vähimmäisomavaraisuusasteen vastuiden arvo – Vastuut (standardimenetelmä)</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{0150,0010} – {0170,0010} summa.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Aluehallintojen, kansainvälisten kehityspankkien, kansainvälisten organisaatioiden, julkisyhteisöjen ja julkisoikeudellisten laitosten vastuut, joita ei katsota valtiovastuiksi – Vähimmäisomavaraisuusasteen vastuiden arvo – Vastuut (IRB-menetelmä)</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{0150,0020} – {0170,0020} summa.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Aluehallintojen, kansainvälisten kehityspankkien, kansainvälisten organisaatioiden, julkisyhteisöjen ja julkisoikeudellisten laitosten vastuut, joita ei katsota valtiovastuiksi – Riskipainotettujen vastuuerien yhteismäärä – Vastuut (standardimenetelmä)</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{0150,0030} – {0170,0030} summa.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Aluehallintojen, kansainvälisten kehityspankkien, kansainvälisten organisaatioiden, julkisyhteisöjen ja julkisoikeudellisten laitosten vastuut, joita ei katsota valtiovastuiksi – Riskipainotettujen vastuuerien yhteismäärä – Vastuut (IRB-menetelmä)</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{0150,0040} – {0170,0040} summa.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(ei-valtiovastuu) – Vähimmäisomavaraisuusasteen vastuiden arvo – Vastuut (standardimenetelmä)</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115 artiklan 1, 3 ja 5 kohdan mukaisten aluehallinnoilta ja paikallisviranomaisilta olevien saamisten vähimmäisomavaraisuusasteen standardimenetelmän mukaisten vastuiden arvo, joita ei käsitellä saamisina valtiolta.</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(ei-valtiovastuu) – Vähimmäisomavaraisuusasteen vastuiden arvo – Vastuut (IRB-menetelmä)</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4 kohdan a alakohdan mukaisten aluehallinnoilta ja paikallisviranomaisilta olevien saamisten, joita ei käsitellä saamisina valtiolta, vähimmäisomavaraisuusasteen IRB-menetelmän mukaisten vastuiden arvo.</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Laitosten on ilmoitettava nämä arvot ilman laiminlyötyjä IRB-menetelmän mukaisia vastuita.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Aluehallinnot ja paikallisviranomaiset (ei-valtiovastuu) – Riskipainotettujen vastuuerien yhteismäärä – Vastuut (standardimenetelmä)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115 artiklan 1, 3 ja 5 kohdan mukaisten aluehallinnoilta ja paikallisviranomaisilta olevien saamisten riskipainotettujen standardimenetelmän mukaisten vastuuerien yhteismäärä, joita ei käsitellä kuten saamisia valtiolta.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Aluehallinnot ja paikallisviranomaiset (ei-valtiovastuu) – Riskipainotettujen vastuuerien yhteismäärä – Vastuut (IBR-menetelmä)</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147 artiklan 4 kohdan a alakohdan mukaisten aluehallinnoilta ja paikallisviranomaisilta olevien saamisten, joita ei käsitellä saamisina valtiolta, riskipainotettujen IRB-menetelmän mukaisten vastuuerien yhteismäärä.</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Kansainväliset kehityspankit (</w:t>
            </w:r>
            <w:r>
              <w:rPr>
                <w:rFonts w:ascii="Times New Roman" w:hAnsi="Times New Roman"/>
                <w:b/>
                <w:sz w:val="24"/>
                <w:u w:val="single"/>
              </w:rPr>
              <w:t>ei</w:t>
            </w:r>
            <w:r>
              <w:rPr>
                <w:rFonts w:ascii="Times New Roman" w:hAnsi="Times New Roman"/>
                <w:b/>
                <w:sz w:val="24"/>
              </w:rPr>
              <w:t>-valtiovastuu) – Vähimmäisomavaraisuusasteen vastuiden arvo – vastuut (standardimenetelmä)</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117 artiklan 1 ja 3 kohdan mukaisten kansainvälisiltä kehityspankeilta olevien vähimmäisomavaraisuusasteen standardimenetelmän mukaisten vastuiden arvo.</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Kansainväliset kehityspankit (</w:t>
            </w:r>
            <w:r>
              <w:rPr>
                <w:rFonts w:ascii="Times New Roman" w:hAnsi="Times New Roman"/>
                <w:b/>
                <w:sz w:val="24"/>
                <w:u w:val="single"/>
              </w:rPr>
              <w:t>ei</w:t>
            </w:r>
            <w:r>
              <w:rPr>
                <w:rFonts w:ascii="Times New Roman" w:hAnsi="Times New Roman"/>
                <w:b/>
                <w:sz w:val="24"/>
              </w:rPr>
              <w:t>-valtiovastuu) – Vähimmäisomavaraisuusasteen vastuiden arvo – Vastuut (IRB-menetelmä)</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4 kohdan c alakohdan mukaisten kansainvälisiltä kehityspankeilta olevien saamisten, joita ei käsitellä saamisina valtiolta, vähimmäisomavaraisuusasteen IRB-menetelmän mukaisten vastuiden arvo.</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Kansainväliset kehityspankit (ei-valtiovastuu) – Riskipainotettujen vastuuerien yhteismäärä – Vastuut (standardimenetelmä)</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117 artiklan 1 ja 3 kohdan mukaisten kansainvälisiltä kehityspankeilta olevien riskipainotettujen standardimenetelmän mukaisten vastuuerien yhteismäärä.</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Kansainväliset kehityspankit (ei-valtiovastuu) – Riskipainotettujen vastuuerien yhteismäärä – Vastuut (IRB-menetelmä)</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4 kohdan c alakohdan mukaisten kansainvälisiltä kehityspankeilta olevien saamisten, joita ei käsitellä saamisina valtiolta, riskipainotettujen standardimenetelmän mukaisten vastuuerien yhteismäärä.</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Laitosten on ilmoitettava nämä arvot ilman laiminlyötyjä IRB-menetelmän mukaisia vastuita.</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Julkisyhteisöt ja julkisoikeudelliset laitokset (ei-valtiovastuu) – Vähimmäisomavaraisuusasteen vastuiden arvo – Vastuut (standardimenetelmä)</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116 artiklan 1, 2, 3 ja 5 kohdan mukaisten julkisyhteisöiltä ja julkisoikeudellisilta laitoksilta olevien saamisten vähimmäisomavaraisuusasteen standardimenetelmän mukaisten vastuuerien arvo.</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Laitosten on ilmoitettava nämä arvot ilman laiminlyötyjä standardimenetelmän mukaisia vastuita.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Julkisyhteisöt ja julkisoikeudelliset laitokset (ei-valtiovastuu) – Vähimmäisomavaraisuusasteen vastuiden arvo – Vastuut (IRB-menetelmä)</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4 kohdan b alakohdan mukaisten julkisyhteisöiltä ja julkisoikeudellisilta laitoksilta olevien saamisten, joita ei käsitellä saamisina valtiolta, vähimmäisomavaraisuusasteen IRB-menetelmän mukaisten vastuiden arvo.</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Julkisyhteisöt ja julkisoikeudelliset laitokset (ei-valtiovastuu) – Riskipainotettujen vastuuerien yhteismäärä – Vastuut (standardimenetelmä)</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116 artiklan 1, 2, 3 ja 5 kohdan mukaisten julkisyhteisöiltä ja julkisoikeudellisilta laitoksilta olevien saamisten riskipainotettujen standardimenetelmän mukaisten vastuuerien yhteismäärä.</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Julkisyhteisöt ja julkisoikeudelliset laitokset (ei-valtiovastuu) – Riskipainotettujen vastuuerien yhteismäärä – Vastuut (IRB-menetelmä)</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4 kohdan b alakohdan mukaisten julkisyhteisöiltä ja julkisoikeudellisilta laitoksilta olevien saamisten, joita ei käsitellä saamisina valtiolta, riskipainotettujen IRB-menetelmän mukaisten vastuuerien yhteismäärä.</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Laitosten on ilmoitettava nämä arvot ilman laiminlyötyjä IRB-menetelmän mukaisia vastuita.</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Laitokset – Vähimmäisomavaraisuusasteen vastuiden arvo – Vastuut (standardimenetelmä)</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119–121 artiklan mukaisten laitoksilta olevien saamisten vähimmäisomavaraisuusasteen standardimenetelmän mukaisten vastuiden arvo.</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Laitokset – Vähimmäisomavaraisuusasteen vastuiden arvo – Vastuut (IRB-menetelmä)</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Sellaisten asetuksen (EU) N:o 575/2013 147 artiklan 2 kohdan b alakohdan mukaisten laitoksilta olevien saamisten vähimmäisomavaraisuusasteen IRB-menetelmän mukaisten vastuiden arvo, jotka eivät ole asetuksen (EU) N:o 575/2013 161 artiklan 1 kohdan d alakohdassa tarkoitettuja katettuja joukkolainoja ja joihin ei sovelleta asetuksen (EU) N:o 575/2013 147 artiklan 4 kohdan c alakohtaa.</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Laitokset – Riskipainotettujen vastuuerien yhteismäärä – Vastuut (standardimenetelmä)</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119–121 artiklan mukaisten laitoksilta olevien riskipainotettujen standardimenetelmän mukaisten vastuuerien yhteismäärä.</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Laitokset – Riskipainotettujen vastuuerien yhteismäärä – Vastuut (IRB-menetelmä)</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147 artiklan 2 kohdan b alakohdan mukaisten laitoksilta olevien saamisten riskipainotettujen IRB-menetelmän mukaisten vastuuerien yhteismäärä, jotka eivät ole asetuksen (EU) N:o 575/2013 161 artiklan 1 kohdan d alakohdassa tarkoitettuja katettuja joukkolainoja ja joihin ei sovelleta asetuksen (EU) N:o 575/2013 147 artiklan 4 kohdan c alakohtaa.</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Kiinteistövakuudelliset ja ADC-vastuut – Vähimmäisomavaraisuusasteen vastuiden arvo – Vastuut (standardimenetelmä)</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124 ja 126 a artiklan mukaisten kiinteistövakuudellisten ja ADC-vastuiden vähimmäisomavaraisuusasteen standardimenetelmän mukaisten vastuiden arvo.</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Kiinteistövakuudelliset ja ADC-vastuut – Vähimmäisomavaraisuusasteen vastuiden arvo – Vastuut (IRB-menetelmä)</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yrityksiltä olevien saamisten tai ADC-vastuiden ja 147 artiklan 2 kohdan d alakohdan ii alakohdan mukaisten vähittäissaamisten vähimmäisomavaraisuusasteen IRB-menetelmän mukaisten vastuiden arvo, jos näillä on asetuksen (EU) N:o 575/2013 199 artiklan 1 kohdan a alakohdassa tarkoitettu kiinteistövakuus.</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Kiinteistövakuudelliset ja ADC-vastuut – Riskipainotettujen vastuuerien yhteismäärä – Vastuut (standardimenetelmä)</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124 ja 126 a artiklan mukaisten kiinteistövakuudellisten ja ADC-vastuiden vähimmäisomavaraisuusasteen riskipainotettujen standardimenetelmän mukaisten vastuuerien yhteismäärä.</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Kiinteistövakuudelliset ja ADC-vastuut – Riskipainotettujen vastuuerien yhteismäärä – Vastuut (IRB-menetelmä)</w:t>
            </w:r>
            <w:r>
              <w:rPr>
                <w:rFonts w:ascii="Times New Roman" w:hAnsi="Times New Roman"/>
                <w:b/>
                <w:sz w:val="24"/>
              </w:rPr>
              <w:tab/>
            </w:r>
          </w:p>
          <w:p w14:paraId="7586DF94" w14:textId="0BB5F167"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Asetuksen (EU) N:o 575/2013 147 artiklan 2 kohdan c alakohdan mukaisten yrityksiltä olevien saamisten tai asetuksen (EU) N:o 575/2013 147 artiklan 2 kohdan d alakohdan</w:t>
            </w:r>
            <w:r w:rsidR="00AA542B">
              <w:rPr>
                <w:rFonts w:ascii="Times New Roman" w:hAnsi="Times New Roman"/>
                <w:sz w:val="24"/>
              </w:rPr>
              <w:t xml:space="preserve"> ii alakohdan</w:t>
            </w:r>
            <w:r>
              <w:rPr>
                <w:rFonts w:ascii="Times New Roman" w:hAnsi="Times New Roman"/>
                <w:sz w:val="24"/>
              </w:rPr>
              <w:t xml:space="preserve"> mukaisten vähittäissaamisten riskipainotettujen IRB-menetelmän mukaisten vastuuerien määrä, jos näillä on asetuksen (EU) N:o 575/2013 199 artiklan 1 kohdan a alakohdassa tarkoitettu kiinteistövakuus. Laitosten on ilmoitettava nämä arvot ilman laiminlyötyjä IRB-menetelmän mukaisia vastuita.</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Asuinkiinteistövakuudelliset vastuut – Vähimmäisomavaraisuusasteen vastuiden arvo – Vastuut (standardimenetelmä)</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125 artiklan mukaisten vastuiden vähimmäisomavaraisuusasteen standardimenetelmän mukaisten vastuiden arvo, joiden täytenä vakuutena on asuinkiinteistö.</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Joista: Asuinkiinteistövakuudelliset vastuut – Vähimmäisomavaraisuusasteen vastuiden arvo – Vastuut (IRB-menetelmä)</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yrityksiltä olevien saamisten tai 147 artiklan 2 kohdan d alakohdan ii alakohdan mukaisten vähittäissaamisten vähimmäisomavaraisuusasteen IRB-menetelmän mukaisten vastuiden arvo, jos näillä on asetuksen (EU) N:o 575/2013 199 artiklan 1 kohdan a alakohdassa tarkoitettu asuinkiinteistövakuus.</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Asuinkiinteistövakuudelliset vastuut – Riskipainotettujen vastuuerien yhteismäärä – Vastuut (standardimenetelmä)</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Sellaisten asetuksen (EU) N:o 575/2013 125 artiklan mukaisten vastuiden riskipainotettujen standardimenetelmän mukaisten vastuuerien </w:t>
            </w:r>
            <w:proofErr w:type="gramStart"/>
            <w:r>
              <w:rPr>
                <w:rFonts w:ascii="Times New Roman" w:hAnsi="Times New Roman"/>
                <w:sz w:val="24"/>
              </w:rPr>
              <w:t>määrä</w:t>
            </w:r>
            <w:proofErr w:type="gramEnd"/>
            <w:r>
              <w:rPr>
                <w:rFonts w:ascii="Times New Roman" w:hAnsi="Times New Roman"/>
                <w:sz w:val="24"/>
              </w:rPr>
              <w:t xml:space="preserve"> joiden täytenä vakuutena on asuinkiinteistö.</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Asuinkiinteistövakuudelliset vastuut – Riskipainotettujen vastuuerien yhteismäärä – Vastuut (IRB-menetelmä)</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yrityksiltä olevien saamisten tai 147 artiklan 2 kohdan d alakohdan ii alakohdan mukaisten vähittäissaamisten riskipainotettujen IRB-menetelmän mukaisten vastuuerien määrä, jos näillä on asetuksen (EU) N:o 575/2013 199 artiklan 1 kohdan a alakohdassa tarkoitettu asuinkiinteistövakuus.</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Vähittäisvastuut – Vähimmäisomavaraisuusasteen vastuiden arvo – Vastuut (standardimenetelmä)</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123 artiklan mukaisten vähittäissaamisten vähimmäisomavaraisuusasteen standardimenetelmän mukaisten vastuiden arvo.</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Vähittäisvastuut – Vähimmäisomavaraisuusasteen vastuiden arvo – Vastuut (IRB-menetelmä)</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d alakohdan i, iii ja iv alakohdan mukaisten vähittäissaamisten vähimmäisomavaraisuusasteen IRB-menetelmän mukaisten vastuiden arvo, jos näillä ei ole asetuksen (EU) N:o 575/2013 199 artiklan 1 kohdan a alakohdassa tarkoitettua kiinteistövakuutta.</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Vähittäisvastuut – Riskipainotettujen vastuuerien yhteismäärä – Vastuut (standardimenetelmä)</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123 artiklan mukaisten vähittäissaamisten riskipainotettujen standardimenetelmän mukaisten vastuuerien yhteismäärä.</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Vähittäisvastuut – Riskipainotettujen vastuuerien yhteismäärä – Vastuut (IRB-menetelmä)</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d alakohdan i, iii ja iv alakohdan mukaisten vähittäissaamisten riskipainotettujen IRB-menetelmän mukaisten vastuuerien yhteismäärä, jos näillä ei ole asetuksen (EU) N:o 575/2013 199 artiklan 1 kohdan a alakohdassa tarkoitettua kiinteistövakuutta.</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Joista: Pk-yrityksiltä olevat vähittäissaamiset – Vähimmäisomavaraisuusasteen vastuiden arvo – Vastuut (standardimenetelmä)</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123 artiklan mukaisten pk-yrityksiltä olevien vähittäissaamisten vähimmäisomavaraisuusasteen vastuiden arvo.</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Laitosten on ilmoitettava nämä arvot ilman laiminlyötyjä standardimenetelmän mukaisia vastuita.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Pk-yrityksiltä olevat vähittäissaamiset – vähimmäisomavaraisuusasteen vastuiden arvo – vastuut (IRB-menetelmä)</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d alakohdan i, iii ja iv alakohdan mukaisten vähittäissaamisten vähimmäisomavaraisuusasteen IRB-menetelmän mukaisten vastuiden arvo, jos ne ovat pk-yrityksiltä olevia saamisia ja jos näillä ei ole asetuksen (EU) N:o 575/2013 199 artiklan 1 kohdan a alakohdassa tarkoitettua kiinteistövakuutta.</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Pk-yrityksiltä olevat vähittäissaamiset –Riskipainotettujen vastuuerien yhteismäärä – Vastuut (standardimenetelmä)</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123 artiklan mukaisten pk-yrityksiltä olevien vähittäissaamisten riskipainotettujen standardimenetelmän mukaisten vastuuerien yhteismäärä.</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Joista: Pk-yrityksiltä olevat vähittäissaamiset –Riskipainotettujen vastuuerien yhteismäärä – Vastuut (IRB-menetelmä)</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d alakohdan i, iii ja iv alakohdan mukaisten vähittäissaamisten riskipainotettujen IRB-menetelmän mukaisten vastuuerien yhteismäärä, jos ne ovat pk-yrityksiltä olevia saamisia ja jos näillä ei ole asetuksen (EU) N:o 575/2013 199 artiklan 1 kohdan a alakohdassa tarkoitettua kiinteistövakuutta.</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Yritykset – Vähimmäisomavaraisuusasteen vastuiden arvo – Vastuut (standardimenetelmä)</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lastRenderedPageBreak/>
              <w:t>Tässä ilmoitetaan solujen {0240,0010} ja {0250,0010} summa.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Yritykset – Vähimmäisomavaraisuusasteen vastuiden arvo – Vastuut (IRB-menetelmä)</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{0240,0020} ja {0250,0020} summa.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Yritykset – Riskipainotettujen vastuuerien yhteismäärä – Vastuut (standardimenetelmä)</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{0240,0030} ja {0250,0030} summa.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Yritykset – Riskipainotettujen vastuuerien yhteismäärä – Vastuut (IRB-menetelmä)</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{0240,0040} ja {0250,0040} summa.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Rahoituslaitokset – Vähimmäisomavaraisuusasteen vastuiden arvo – Vastuut (standardimenetelmä)</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rahoituslaitoksilta olevien saamisten vähimmäisomavaraisuusasteen IRB-menetelmän mukaisten vastuiden arvo.</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asetuksen (EU) N:o 575/2013 4 artiklan 1 kohdan 27 alakohdassa tarkoitettuja yrityksiä, jotka eivät ole solussa {0180;0010} tarkoitettuja laitoksia.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Rahoituslaitokset – Vähimmäisomavaraisuusasteen vastuiden arvo – Vastuut (IRB-menetelmä)</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147 artiklan 2 kohdan c alakohdan mukaisten rahoituslaitoksilta olevien saamisten vähimmäisomavaraisuusasteen IRB-menetelmän mukaisten vastuiden arvo, jos näillä ei ole asetuksen (EU) N:o 575/2013 199 artiklan 1 kohdan a alakohdassa tarkoitettua kiinteistövakuutta.</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asetuksen (EU) N:o 575/2013 4 artiklan 1 kohdan 27 alakohdassa tarkoitettuja yrityksiä, jotka eivät ole solussa {0180;0010} tarkoitettuja laitoksia.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Rahoituslaitokset – Riskipainotettujen vastuuerien yhteismäärä – Vastuut (standardimenetelmä)</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rahoituslaitoksilta olevien riskipainotettujen standardimenetelmän mukaisten vastuuerien yhteismäärä.</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asetuksen (EU) N:o 575/2013 4 artiklan 1 kohdan 27 alakohdassa tarkoitettuja yrityksiä, jotka eivät ole solussa {0180;0010} tarkoitettuja laitoksia.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Rahoituslaitokset – Riskipainotettujen vastuuerien yhteismäärä – Vastuut (IRB-menetelmä)</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rahoituslaitoksilta olevien saamisten riskipainotettujen IRB-menetelmän mukaisten vastuuerien yhteismäärä, jos näillä ei ole asetuksen (EU) N:o 575/2013 199 artiklan 1 kohdan a alakohdassa tarkoitettua kiinteistövakuutta.</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Taulukon LR4 osalta rahoituslaitoksella tarkoitetaan säänneltyjä ja sääntelemättömiä yrityksiä, jotka eivät ole solussa {0180;0010} tarkoitettuja laitoksia ja joiden pääasiallisena toimintana on hankkia omistusosuuksia tai harjoittaa yhtä tai useampaa direktiivin 2013/36/EU liitteessä I lueteltua toimintaa, sekä asetuksen (EU) N:o 575/2013 4 artiklan </w:t>
            </w:r>
            <w:r>
              <w:rPr>
                <w:rFonts w:ascii="Times New Roman" w:hAnsi="Times New Roman"/>
                <w:sz w:val="24"/>
              </w:rPr>
              <w:lastRenderedPageBreak/>
              <w:t>1 kohdan 27 alakohdassa tarkoitettuja yrityksiä, jotka eivät ole solussa {0180;0010} tarkoitettuja laitoksia.</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Rahoitusalan ulkopuoliset yritykset – Vähimmäisomavaraisuusasteen vastuiden arvo – Vastuut (standardimenetelmä)</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rahoitusalan ulkopuolisilta yrityksiltä olevien saamisten vähimmäisomavaraisuusasteen IRB-menetelmän mukaisten vastuiden arvo.</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{0260,0010} ja {0270,0010} summa.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Rahoitusalan ulkopuoliset yritykset – Vähimmäisomavaraisuusasteen vastuiden arvo – Vastuut (IRB-menetelmä)</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rahoitusalan ulkopuolisilta yrityksiltä olevien saamisten vähimmäisomavaraisuusasteen IRB-menetelmän mukaisten vastuiden arvo, jos näillä ei ole asetuksen (EU) N:o 575/2013 199 artiklan 1 kohdan a alakohdassa tarkoitettua kiinteistövakuutta.</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{0260,0020} ja {0270,0020} summa.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Rahoitusalan ulkopuoliset yritykset – Riskipainotettujen vastuuerien yhteismäärä – Vastuut (standardimenetelmä)</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rahoitusalan ulkopuolisilta yrityksiltä olevien riskipainotettujen standardimenetelmän mukaisten vastuuerien yhteismäärä.</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{0260,0030} ja {0270,0030} summa.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Rahoitusalan ulkopuoliset yritykset – Riskipainotettujen vastuuerien yhteismäärä – Vastuut (IRB-menetelmä)</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Asetuksen (EU) N:o 575/2013 147 artiklan 2 kohdan c alakohdan mukaisten rahoitusalan ulkopuolisilta yrityksiltä olevien saamisten riskipainotettujen IRB-menetelmän mukaisten vastuuerien yhteismäärä, jos </w:t>
            </w:r>
            <w:r>
              <w:rPr>
                <w:rFonts w:ascii="Times New Roman" w:hAnsi="Times New Roman"/>
                <w:sz w:val="24"/>
              </w:rPr>
              <w:lastRenderedPageBreak/>
              <w:t>näillä ei ole asetuksen (EU) N:o 575/2013 199 artiklan 1 kohdan a alakohdassa tarkoitettua kiinteistövakuutta.</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Tässä ilmoitetaan solujen {0260,0040} ja {0270,0040} summa.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Pk-yrityksiltä olevat saamiset – Vähimmäisomavaraisuusasteen vastuiden arvo – Vastuut (standardimenetelmä)</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pk-yrityksiltä olevien saamisten vähimmäisomavaraisuusasteen standardimenetelmän mukaisten vastuiden arvo.</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Pk-yrityksiltä olevat saamiset – Vähimmäisomavaraisuusasteen vastuiden arvo – Vastuut (IRB-menetelmä)</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c alakohdan mukaisten yrityssaamisten vähimmäisomavaraisuusasteen IRB-menetelmän mukaisten vastuiden arvo, jos ne ovat pk-yrityksiltä olevia saamisia ja jos näillä ei ole asetuksen (EU) N:o 575/2013 199 artiklan 1 kohdan a alakohdassa tarkoitettua kiinteistövakuutta.</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Tämän solun osalta laitoksista käytetään termiä ”pk-yritys” asetuksen (EU) N:o 575/2013 501 artiklan 2 kohdan b alakohdan mukaisesti.</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Pk-yrityksiltä olevat saamiset – Riskipainotettujen vastuuerien yhteismäärä – Vastuut (standardimenetelmä)</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122 artiklan mukaisten pk-yrityksiltä olevien saamisten riskipainotetut standardimenetelmän mukaiset vastuuerät.</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Pk-yrityksiltä olevat saamiset – Riskipainotettujen vastuuerien yhteismäärä – Vastuut (IBR-menetelmä)</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Asetuksen (EU) N:o 575/2013 147 artiklan 2 kohdan c alakohdan mukaisten yrityssaamisten riskipainotettujen IRB-menetelmän mukaisten vastuuerien yhteismäärä, jos ne ovat pk-yrityksiltä olevia saamisia ja jos näillä ei ole asetuksen (EU) N:o 575/2013 199 artiklan 1 kohdan a alakohdassa tarkoitettua kiinteistövakuutta.</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Tämän solun osalta laitoksista käytetään termiä ”pk-yritys” asetuksen (EU) N:o 575/2013 501 artiklan 2 kohdan b alakohdan mukaisesti.</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Muut kuin pk-yrityksiltä olevat saamiset – Vähimmäisomavaraisuusasteen vastuiden arvo – Vastuut (standardimenetelmä)</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122 artiklan mukaisten yrityksiltä olevien saamisten vähimmäisomavaraisuusasteen standardimenetelmän mukaisten vastuiden arvo, joita ei ole ilmoitettu soluissa {0230;0040} ja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Muut kuin pk-yrityksiltä olevat saamiset – Vähimmäisomavaraisuusasteen vastuiden arvo – Vastuut (IRB-menetelmä)</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Sellaisten asetuksen (EU) N:o 575/2013 147 artiklan 2 kohdan c alakohdan mukaisten yrityssaamisten vähimmäisomavaraisuusasteen IRB-menetelmän mukaisten vastuiden arvo, joilla ei ole asetuksen (EU) N:o 575/2013 199 artiklan 1 kohdan a alakohdassa tarkoitettua kiinteistövakuutta ja joita ei ole ilmoitettu soluissa 0230;0040 ja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Muut kuin pk-yrityksiltä olevat saamiset – Riskipainotettujen vastuuerien yhteismäärä – Vastuut (standardimenetelmä)</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asetuksen (EU) N:o 575/2013 122 artiklan mukaisten pk-yrityksiltä olevien saamisten riskipainotetut standardimenetelmän mukaiset vastuuerät, joita ei ole ilmoitettu soluissa {0230;0040} ja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Muut kuin pk-yrityksiltä olevat saamiset – Riskipainotettujen vastuuerien yhteismäärä – Vastuut (IRB-menetelmä)</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Sellaisten asetuksen (EU) N:o 575/2013 147 artiklan 2 kohdan c alakohdan mukaisten yrityssaamisten riskipainotettujen IRB-menetelmän mukaisten vastuuerien yhteismäärä, joilla ei ole asetuksen (EU) N:o 575/2013 199 artiklan 1 kohdan a alakohdassa tarkoitettua kiinteistövakuutta ja joita ei ole ilmoitettu soluissa {0230;0040} ja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Maksukyvyttömyystilassa olevat vastuut – Vähimmäisomavaraisuusasteen vastuiden arvo – Vastuut (standardimenetelmä)</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maksukyvyttömyystilassa olevien ja siten asetuksen (EU) N:o 575/2013 127 artiklan mukaisten saamisten vähimmäisomavaraisuusasteen standardimenetelmän mukaisten vastuiden arvo.</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Maksukyvyttömyystilassa olevat vastuut – Vähimmäisomavaraisuusasteen vastuiden arvo – Vastuut (IRB-menetelmä)</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sellaisten asetuksen (EU) N:o 575/2013 147 artiklan 2 kohdan mukaisiin vastuuryhmiin kuuluvien saamisten vähimmäisomavaraisuusasteen vastuiden arvo, joissa on tapahtunut asetuksen (EU) N:o 575/2013 178 artiklan mukainen maksukyvyttömyys.</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Maksukyvyttömyystilassa olevat vastuut – Riskipainotettujen vastuuerien yhteismäärä – Vastuut (standardimenetelmä)</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maksukyvyttömyystilassa olevien ja siten asetuksen (EU) N:o 575/2013 127 artiklan mukaisten saamisten riskipainotettujen vastuuerien yhteismäärä.</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Maksukyvyttömyystilassa olevat vastuut – Riskipainotettujen vastuuerien yhteismäärä – Vastuut (IRB-menetelmä)</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sellaisten asetuksen (EU) N:o 575/2013 147 artiklan 2 kohdan mukaisiin vastuuryhmiin kuuluvien saamisten riskipainotettujen vastuuerien yhteismäärä, joissa on tapahtunut asetuksen (EU) N:o 575/2013 178 artiklan mukainen maksukyvyttömyys.</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Muut vastuut – Vähimmäisomavaraisuusasteen vastuiden arvo – Vastuut (standardimenetelmä)</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112 artiklan k, m, n, o, p ja q alakohdan mukaisiin vastuuryhmiin kuuluvien saamisten vähimmäisomavaraisuusasteen vastuiden arvo.</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Laitosten on ilmoitettava tässä varat, jotka vähennetään omista varoista (esim. aineettomat hyödykkeet), mutta joita ei muuten voida luokitella, vaikka tällaista luokittelua ei vaadita riskiperusteisten omien varojen vaatimusten määrittelemiseksi sarakkeissa {*; 0030} ja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Muut vastuut – Vähimmäisomavaraisuusasteen vastuiden arvo – Vastuut (IRB-menetelmä)</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e, e1, f ja g alakohdan mukaisiin vastuuryhmiin kuuluvien saamisten vähimmäisomavaraisuusasteen vastuiden arvo.</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tässä varat, jotka vähennetään omista varoista (esim. aineettomat hyödykkeet), mutta joita ei muuten voida luokitella, vaikka tällaista luokittelua ei vaadita riskiperusteisten omien varojen vaatimusten määrittelemiseksi sarakkeissa {*; 0030} ja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Muut saamiset – Riskipainotettujen vastuuerien yhteismäärä – Vastuut (standardimenetelmä)</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112 artiklan k, m, n, o, p ja q alakohdan mukaisiin vastuuryhmiin kuuluvien saamisten riskipainotettujen vastuuerien yhteismäärä.</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Muut saamiset – Riskipainotettujen vastuuerien yhteismäärä – Vastuut (IRB-menetelmä)</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e, e1, f ja g alakohdan mukaisiin vastuuryhmiin kuuluvien saamisten riskipainotettujen vastuuerien yhteismäärä.</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Arvopaperistamisvastuut – Vähimmäisomavaraisuusasteen vastuiden arvo – Vastuut (standardimenetelmä)</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112 artiklan m alakohdan mukaisten arvopaperistamissaamisten vähimmäisomavaraisuusasteen standardimenetelmän mukaisten vastuiden arvo.</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Laitosten on ilmoitettava nämä arvot ilman laiminlyötyjä standardimenetelmän mukaisia vastuita.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Arvopaperistamisvastuut – Vähimmäisomavaraisuusasteen vastuiden arvo – Vastuut (IRB-menetelmä)</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f alakohdan mukaisten arvopaperistamissaamisten vähimmäisomavaraisuusasteen IRB-menetelmän mukaisten vastuiden arvo.</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IRB-menetelmän mukaisia vastuita.</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Arvopaperistamisvastuut – Riskipainotettujen vastuuerien yhteismäärä – Vastuut (standardimenetelmä)</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112 artiklan m alakohdan mukaisten arvopaperistamissaamisten riskipainotetut standardimenetelmän mukaiset vastuuerät.</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Arvopaperistamisvastuut – Riskipainotettujen vastuuerien yhteismäärä – Vastuut (IRB-menetelmä)</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Asetuksen (EU) N:o 575/2013 147 artiklan 2 kohdan f alakohdan mukaisten arvopaperistamissaamisten riskipainotettujen IRB-menetelmän mukaisten vastuuerien yhteismäärä.</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Kaupan rahoitus (lisätietoerä) – Vähimmäisomavaraisuusasteen vastuiden arvo – vastuut (standardimenetelmä)</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taseisiin sisältyvien erien vähimmäisomavaraisuusasteen vastuiden arvo, jotka koskevat luotonantoa tavaroiden tai palvelujen tuojille tai viejille tuonti- tai vientiluottojen ja vastaavien rahoitustoimien avulla.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Kaupan rahoitus (lisätietoerä) – Vähimmäisomavaraisuusasteen vastuiden arvo – Vastuut (IRB-menetelmä)</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taseisiin sisältyvien erien vähimmäisomavaraisuusasteen vastuiden määrä, jotka koskevat luotonantoa tavaroiden tai palvelujen tuojille tai viejille tuonti- tai vientiluottojen ja vastaavien rahoitustoimien avulla.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Laitosten on ilmoitettava nämä arvot ilman laiminlyötyjä IRB-menetelmän mukaisia vastuita.</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Kaupan rahoitus (lisätietoerä) – Riskipainotettujen vastuuerien yhteismäärä – Vastuut (standardimenetelmä)</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taseisiin sisältyvien erien riskipainotettujen vastuiden arvo, jotka koskevat luotonantoa tavaroiden tai palvelujen tuojille tai viejille tuonti- tai vientiluottojen ja vastaavien rahoitustoimien avulla.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Kaupan rahoitus (lisätietoerä) – Riskipainotettujen vastuuerien yhteismäärä – Vastuut (IRB-menetelmä)</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Sellaisten taseisiin sisältyvien erien riskipainotetut vastuuerät, jotka koskevat luotonantoa tavaroiden tai palvelujen tuojille tai viejille tuonti- tai vientiluottojen ja vastaavien rahoitustoimien avulla.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Vähimmäisomavaraisuusasteen vastuiden arvo – Vastuut (standardimenetelmä)</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Virallisiin vientiluottovakuutusjärjestelmiin kuuluvien kaupan rahoitukseen liittyvien taseeseen sisältyvien erien vähimmäisomavaraisuusasteen vastuiden arvo.</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Laitosten on ilmoitettava nämä arvot ilman laiminlyötyjä standardimenetelmän mukaisia vastuita.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Vähimmäisomavaraisuusasteen vastuiden arvo – Vastuut (IRB-menetelmä)</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Virallisiin vientiluottovakuutusjärjestelmiin kuuluvien kaupan rahoitukseen liittyvien taseeseen sisältyvien erien vähimmäisomavaraisuusasteen vastuiden määrä.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Taulukon LR4 osalta virallisiin vientiluottovakuutusjärjestelmiin kuuluvilla erillä tarkoitetaan valtion tai muun elimen, kuten </w:t>
            </w:r>
            <w:r>
              <w:rPr>
                <w:rFonts w:ascii="Times New Roman" w:hAnsi="Times New Roman"/>
                <w:sz w:val="24"/>
              </w:rPr>
              <w:lastRenderedPageBreak/>
              <w:t>vientiluottolaitoksen, tarjoamaa julkista tukea, kuten suoraa luottoa/rahoitusta, jälleenrahoitusta, korkotukea (jossa koko luoton kestoajaksi taataan kiinteä korko), kehitysapurahoitusta (lainat ja lahjoitukset), vientiluottovakuutuksia ja takauksia.</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Riskipainotettujen vastuuerien yhteismäärä – Vastuut (standardimenetelmä)</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Virallisiin vientiluottovakuutusjärjestelmiin kuuluvien kaupan rahoitukseen liittyvien taseeseen sisältyvien erien riskipainotettujen vastuuerien arvo.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standardimenetelmän mukaisia vastuita.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Joista: Virallisiin vientiluottovakuutusjärjestelmiin kuuluvat erät – Riskipainotettujen vastuuerien yhteismäärä – Vastuut (IRB-menetelmä)</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Virallisiin vientiluottovakuutusjärjestelmiin kuuluvien kaupan rahoitukseen liittyvien taseeseen sisältyvien erien riskipainotetut vastuuerät.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Taulukon LR4 osalta virallisiin vientiluottovakuutusjärjestelmiin kuuluvilla erillä tarkoitetaan valtion tai muun elimen, kuten vientiluottolaitoksen, tarjoamaa julkista tukea, kuten suoraa luottoa/rahoitusta, jälleenrahoitusta, korkotukea (jossa koko luoton kestoajaksi taataan kiinteä korko), kehitysapurahoitusta (lainat ja lahjoitukset), vientiluottovakuutuksia ja takauksia.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Laitosten on ilmoitettava nämä arvot ilman laiminlyötyjä IRB-menetelmän mukaisia vastuita.</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282732"/>
      <w:r>
        <w:rPr>
          <w:rFonts w:ascii="Times New Roman" w:hAnsi="Times New Roman"/>
          <w:b/>
          <w:sz w:val="24"/>
        </w:rPr>
        <w:t>6.</w:t>
      </w:r>
      <w:r>
        <w:rPr>
          <w:rFonts w:ascii="Times New Roman" w:hAnsi="Times New Roman"/>
          <w:b/>
          <w:sz w:val="24"/>
        </w:rPr>
        <w:tab/>
        <w:t>C 44.00 – Yleiset tiedot</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Tähän kootaan lisätiedot laitoksen toimintojen ja laitoksen valitsemien sääntelyvaihtoehtojen luokittelua varten.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lastRenderedPageBreak/>
              <w:t xml:space="preserve">Rivi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ja sarake</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Ohjeet</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Laitoksen yritysrakenne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Laitoksen on valittava yritysrakenteekseen jokin seuraavista:</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osakeyhtiö,</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keskinäinen yhtiö/osuuskunta,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muu kuin osakeyhtiö.</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Johdannaisten käsittely</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Laitoksen on määritettävä johdannaisten käsittelytavakseen toinen seuraavista:</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Vastapuoliriskin standardimenetelmä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Yksinkertaistettu vastapuoliriskin standardimenetelmä;</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Alkuperäisen hankinta-arvon menetelmä,</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Laitoksen luokitus</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Laitoksen on valittava luokituksekseen jokin seuraavista:</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yleispankkitoiminnot (vähittäis-/yrityspankkitoiminta ja investointipankkitoiminta),</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vähittäis-/yrityspankkitoiminta,</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investointipankkitoiminta,</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erityiskohteiden rahoitustoiminta,</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julkiset kehitysluottolaitokset;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muu liiketoimintamalli.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Laitos, jolla on julkinen kehittämisyksikkö</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Laitosten, jotka eivät ole julkisia kehitysluottolaitoksia, on ilmoitettava, onko niillä julkinen kehitysyksikkö.</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lastRenderedPageBreak/>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Yhteisö, joka on myöntänyt takauksen julkiselle kehitysluottolaitokselle tai -yksikölle vakavaraisuusasetuksen 429 a artiklan 2 kohdan d alakohdan mukaisesti: Keskushallinto, aluehallinto tai paikallisviranomainen</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Laitosten, jotka ovat joko julkisia kehitysluottolaitoksia tai joilla on julkinen kehitysyksikkö, on ilmoitettava, onko niiden takaajana keskushallinto, aluehallinto tai paikallisviranomainen.</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Laitosten on merkittävä ”TRUE” riville, joka vastaa sovellettavaa suojan tarjoajatyyppiä tai -tyyppejä, ja muussa tapauksessa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lastRenderedPageBreak/>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Valtion takaamat julkiset kehitysluottolaitokset/kehitysyksiköt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Aluehallinnon takaamat julkiset kehitysluottolaitokset/kehitysyksiköt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Paikallisviranomaisen takaamat julkiset kehitysluottolaitokset/kehitysyksiköt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Vakavaraisuusasetuksen 429 a artiklan 2 kohdan d alakohdan mukaisesti saadun takauksen tyyppi</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Laitosten, jotka ovat joko julkisia kehitysluottolaitoksia tai joilla on julkinen kehitysyksikkö, on ilmoitettava saadun suojan tyyppi.</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Laitosten on merkittävä ”TRUE” riville, joka vastaa sovellettavaa suojan tarjoajatyyppiä tai -tyyppejä, ja muussa tapauksessa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Velvollisuus suojella luottolaitosten elinkelpoisuutta</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Suora takaus luottolaitosten omien varojen vaatimuksille, rahoitusvaatimuksille tai myönnetyille edistämislainoille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Epäsuora takaus luottolaitosten omien varojen vaatimuksille, rahoitusvaatimuksille tai myönnetyille edistämislainoille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282733"/>
      <w:r>
        <w:rPr>
          <w:rFonts w:ascii="Times New Roman" w:hAnsi="Times New Roman"/>
          <w:b/>
          <w:sz w:val="24"/>
        </w:rPr>
        <w:t>7.</w:t>
      </w:r>
      <w:r>
        <w:rPr>
          <w:rFonts w:ascii="Times New Roman" w:hAnsi="Times New Roman"/>
          <w:b/>
          <w:sz w:val="24"/>
        </w:rPr>
        <w:tab/>
        <w:t>C 48.00 Vähimmäisomavaraisuusasteen volatiliteetti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Tietoja kerätään vähimmäisomavaraisuusasteen volatiliteetin seuraamiseksi. Vain suuret laitokset ilmoittavat nämä tiedot.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282734"/>
      <w:r>
        <w:rPr>
          <w:rFonts w:ascii="Times New Roman" w:hAnsi="Times New Roman"/>
          <w:b/>
          <w:sz w:val="24"/>
        </w:rPr>
        <w:t>8.</w:t>
      </w:r>
      <w:r>
        <w:rPr>
          <w:rFonts w:ascii="Times New Roman" w:hAnsi="Times New Roman"/>
          <w:b/>
          <w:sz w:val="24"/>
        </w:rPr>
        <w:tab/>
        <w:t>C 48.01 Vähimmäisomavaraisuusasteen volatiliteetti: Raportointikauden keskiarvo</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Rivi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ja sarake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Ohjeet</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Raportointikauden keskiarvo – Arvopapereilla toteutettavien rahoitustoimien vastuuarvo</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Laitosten on ilmoitettava arvopapereilla toteutettavien rahoitustoimien vastuuarvon raportointivuosineljänneksen päivittäisten arvojen keskiarvo, josta on vähennetty vapautettu keskusvastapuolen vastuu, joka liittyy </w:t>
            </w:r>
            <w:r>
              <w:rPr>
                <w:rFonts w:ascii="Times New Roman" w:hAnsi="Times New Roman"/>
                <w:color w:val="auto"/>
                <w:sz w:val="24"/>
              </w:rPr>
              <w:lastRenderedPageBreak/>
              <w:t>asiakkaan puolesta selvitykseen vietyihin kaupankäyntivastuisiin, sellaisena kuin se on määritelty lomakkeen C47.00 riveillä 0010 ja 0050.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Raportointikauden keskiarvo –</w:t>
            </w:r>
            <w:r>
              <w:rPr>
                <w:sz w:val="24"/>
              </w:rPr>
              <w:t xml:space="preserve"> </w:t>
            </w:r>
            <w:r>
              <w:rPr>
                <w:rFonts w:ascii="Times New Roman" w:hAnsi="Times New Roman"/>
                <w:b/>
                <w:color w:val="auto"/>
                <w:sz w:val="24"/>
              </w:rPr>
              <w:t xml:space="preserve">Oikaisut arvopapereilla toteutettavien rahoitustoimien myynnin kirjanpitotapahtumiin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Laitosten on ilmoitettava lomakkeen C47.00 rivillä 0230 määriteltyjen arvopapereilla toteutettavien rahoitustoimien myynnin kirjanpitotapahtumiin tehtyjen oikaisujen päivittäisten arvojen keskiarvo raportointivuosineljännekseltä.</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282735"/>
      <w:r>
        <w:rPr>
          <w:rFonts w:ascii="Times New Roman" w:hAnsi="Times New Roman"/>
          <w:b/>
          <w:sz w:val="24"/>
        </w:rPr>
        <w:t>9.</w:t>
      </w:r>
      <w:r>
        <w:rPr>
          <w:rFonts w:ascii="Times New Roman" w:hAnsi="Times New Roman"/>
          <w:b/>
          <w:sz w:val="24"/>
        </w:rPr>
        <w:tab/>
        <w:t>C 48.02 Vähimmäisomavaraisuusasteen volatiliteetti: Raportointikauden päivittäiset arvot</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Ilmoitetaan vuosineljänneksen päiväkohtaiset arvot.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Rivi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ja sarake</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Ohjeet</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Viitepäivämäärä raportointikaudella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Laitosten on ilmoitettava päivämäärä, johon ilmoitettu päiväkohtainen arvo viittaa. Ilmoitus on tehtävä raportointivuosineljänneksen jokaiselta päivältä.</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Arvopapereilla toteutettavien rahoitustoimien vastuuarvo</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Laitosten on ilmoitettava arvopapereilla toteutettavien rahoitustoimien vastuuarvon raportointivuosineljänneksen päivittäiset arvot, josta on vähennetty vapautettu keskusvastapuolen vastuu, joka liittyy asiakkaan puolesta selvitykseen vietyihin kaupankäyntivastuisiin, sellaisena kuin se on määritelty lomakkeen C47.00 riveillä 0010 ja 0050.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Arvopapereilla toteutettavien rahoitustoimien myynnin kirjanpitotapahtumien oikaisut</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Laitosten on ilmoitettava lomakkeen C47.00 rivillä 0230 määriteltyjen arvopapereilla toteutettavien rahoitustoimien myynnin kirjanpitotapahtumiin tehtyjen oikaisujen päivittäiset arvot raportointivuosineljännekseltä.</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Regular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i-FI"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26DE"/>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03E4"/>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401"/>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81"/>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652D"/>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28"/>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AFA"/>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542B"/>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1D6"/>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37DE"/>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8E3"/>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D7C"/>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3"/>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i-F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i-F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i-FI"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A95DB387-C043-4263-9BB4-972292EB52AD}"/>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75</Pages>
  <Words>16630</Words>
  <Characters>141381</Characters>
  <Application>Microsoft Office Word</Application>
  <DocSecurity>0</DocSecurity>
  <Lines>3141</Lines>
  <Paragraphs>1449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156562</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2025-01-14T13:48:32Z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cc7e3370-539e-4fec-aa85-271ab9d3a392</vt:lpwstr>
  </property>
  <property fmtid="{D5CDD505-2E9C-101B-9397-08002B2CF9AE}" pid="12" name="MSIP_Label_6bd9ddd1-4d20-43f6-abfa-fc3c07406f94_ContentBits">
    <vt:lpwstr>0</vt:lpwstr>
  </property>
</Properties>
</file>