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C1CCFF" w14:textId="77777777" w:rsidR="00632962" w:rsidRDefault="00632962" w:rsidP="00632962">
      <w:pPr>
        <w:jc w:val="center"/>
        <w:rPr>
          <w:sz w:val="24"/>
          <w:szCs w:val="22"/>
          <w:rFonts w:ascii="Times New Roman" w:hAnsi="Times New Roman"/>
        </w:rPr>
      </w:pPr>
      <w:r>
        <w:rPr>
          <w:sz w:val="24"/>
          <w:rFonts w:ascii="Times New Roman" w:hAnsi="Times New Roman"/>
        </w:rPr>
        <w:t xml:space="preserve">FI</w:t>
      </w:r>
    </w:p>
    <w:p w14:paraId="2A25A977" w14:textId="77777777" w:rsidR="00074AC8" w:rsidRPr="00037E7B" w:rsidRDefault="00074AC8" w:rsidP="00632962">
      <w:pPr>
        <w:rPr>
          <w:rFonts w:ascii="Times New Roman" w:hAnsi="Times New Roman"/>
          <w:sz w:val="24"/>
        </w:rPr>
      </w:pPr>
    </w:p>
    <w:p w14:paraId="01E2F594" w14:textId="77777777" w:rsidR="00074AC8" w:rsidRPr="00037E7B" w:rsidRDefault="00074AC8" w:rsidP="00074AC8">
      <w:pPr>
        <w:jc w:val="center"/>
        <w:rPr>
          <w:sz w:val="24"/>
          <w:rFonts w:ascii="Times New Roman" w:hAnsi="Times New Roman"/>
        </w:rPr>
      </w:pPr>
      <w:r>
        <w:rPr>
          <w:sz w:val="24"/>
          <w:rFonts w:ascii="Times New Roman" w:hAnsi="Times New Roman"/>
        </w:rPr>
        <w:t xml:space="preserve">LIITE II</w:t>
      </w:r>
    </w:p>
    <w:p w14:paraId="7AF3DCD8" w14:textId="77777777" w:rsidR="00074AC8" w:rsidRPr="00037E7B" w:rsidRDefault="00074AC8" w:rsidP="00074AC8">
      <w:pPr>
        <w:jc w:val="center"/>
        <w:rPr>
          <w:sz w:val="24"/>
          <w:rFonts w:ascii="Times New Roman" w:hAnsi="Times New Roman"/>
        </w:rPr>
      </w:pPr>
      <w:r>
        <w:rPr>
          <w:sz w:val="24"/>
          <w:rFonts w:ascii="Times New Roman" w:hAnsi="Times New Roman"/>
        </w:rPr>
        <w:t xml:space="preserve">”LIITE II</w:t>
      </w:r>
    </w:p>
    <w:p w14:paraId="786C3F82" w14:textId="77777777" w:rsidR="00074AC8" w:rsidRPr="00037E7B" w:rsidRDefault="00074AC8" w:rsidP="00074AC8">
      <w:pPr>
        <w:jc w:val="center"/>
        <w:rPr>
          <w:b/>
          <w:sz w:val="24"/>
          <w:rFonts w:ascii="Times New Roman" w:hAnsi="Times New Roman"/>
        </w:rPr>
      </w:pPr>
      <w:r>
        <w:rPr>
          <w:b/>
          <w:sz w:val="24"/>
          <w:rFonts w:ascii="Times New Roman" w:hAnsi="Times New Roman"/>
        </w:rPr>
        <w:t xml:space="preserve">OMIEN VAROJEN JA OMIEN VAROJEN VAATIMUSTEN RAPORTOINTIA KOSKEVAT OHJEET</w:t>
      </w:r>
    </w:p>
    <w:p w14:paraId="6BCD4480" w14:textId="77777777" w:rsidR="00074AC8" w:rsidRPr="00037E7B" w:rsidRDefault="00074AC8" w:rsidP="00074AC8">
      <w:pPr>
        <w:jc w:val="center"/>
        <w:rPr>
          <w:rFonts w:ascii="Times New Roman" w:hAnsi="Times New Roman"/>
          <w:b/>
          <w:sz w:val="24"/>
          <w:lang w:eastAsia="de-DE"/>
        </w:rPr>
      </w:pPr>
    </w:p>
    <w:p w14:paraId="3CC9E074" w14:textId="77777777" w:rsidR="00074AC8" w:rsidRPr="00037E7B" w:rsidRDefault="00074AC8" w:rsidP="00074AC8">
      <w:pPr>
        <w:rPr>
          <w:rFonts w:ascii="Times New Roman" w:hAnsi="Times New Roman"/>
          <w:sz w:val="24"/>
        </w:rPr>
      </w:pPr>
    </w:p>
    <w:p w14:paraId="27B4A905" w14:textId="77777777" w:rsidR="00074AC8" w:rsidRPr="00037E7B" w:rsidRDefault="00074AC8" w:rsidP="00074AC8">
      <w:pPr>
        <w:pStyle w:val="Heading2"/>
        <w:rPr>
          <w:rFonts w:ascii="Times New Roman" w:hAnsi="Times New Roman"/>
        </w:rPr>
      </w:pPr>
      <w:bookmarkStart w:id="0" w:name="_Toc360188322"/>
      <w:bookmarkStart w:id="1" w:name="_Toc473560870"/>
      <w:bookmarkStart w:id="2" w:name="_Toc151714358"/>
      <w:r>
        <w:rPr>
          <w:rFonts w:ascii="Times New Roman" w:hAnsi="Times New Roman"/>
        </w:rPr>
        <w:t xml:space="preserve">OSA II:</w:t>
      </w:r>
      <w:r>
        <w:rPr>
          <w:rFonts w:ascii="Times New Roman" w:hAnsi="Times New Roman"/>
        </w:rPr>
        <w:t xml:space="preserve"> </w:t>
      </w:r>
      <w:r>
        <w:rPr>
          <w:rFonts w:ascii="Times New Roman" w:hAnsi="Times New Roman"/>
        </w:rPr>
        <w:t xml:space="preserve">LOMAKKEISIIN LIITTYVÄT OHJEET</w:t>
      </w:r>
      <w:bookmarkEnd w:id="0"/>
      <w:bookmarkEnd w:id="1"/>
      <w:bookmarkEnd w:id="2"/>
    </w:p>
    <w:p w14:paraId="58C4E75A" w14:textId="77777777" w:rsidR="00074AC8" w:rsidRPr="00037E7B" w:rsidRDefault="00074AC8" w:rsidP="00074AC8">
      <w:pPr>
        <w:rPr>
          <w:lang w:eastAsia="x-none"/>
        </w:rPr>
      </w:pPr>
    </w:p>
    <w:p w14:paraId="14EC4CED" w14:textId="77777777" w:rsidR="00074AC8" w:rsidRPr="00037E7B" w:rsidRDefault="00074AC8" w:rsidP="00074AC8">
      <w:r>
        <w:t xml:space="preserve">(…)</w:t>
      </w:r>
    </w:p>
    <w:p w14:paraId="6B9B322A" w14:textId="77777777" w:rsidR="00E26A90" w:rsidRDefault="00E26A90"/>
    <w:p w14:paraId="1A7CCECF" w14:textId="77777777" w:rsidR="00EF74C7" w:rsidRPr="002A677E" w:rsidRDefault="00EF74C7" w:rsidP="00EF74C7">
      <w:pPr>
        <w:pStyle w:val="ListParagraph"/>
        <w:keepNext/>
        <w:numPr>
          <w:ilvl w:val="1"/>
          <w:numId w:val="29"/>
        </w:numPr>
        <w:spacing w:before="240" w:after="240"/>
        <w:outlineLvl w:val="1"/>
        <w:rPr>
          <w:sz w:val="24"/>
          <w:rFonts w:ascii="Times New Roman" w:hAnsi="Times New Roman"/>
        </w:rPr>
      </w:pPr>
      <w:bookmarkStart w:id="3" w:name="_Toc19715796"/>
      <w:bookmarkStart w:id="4" w:name="_Toc151714441"/>
      <w:r>
        <w:rPr>
          <w:sz w:val="24"/>
          <w:rFonts w:ascii="Times New Roman" w:hAnsi="Times New Roman"/>
        </w:rPr>
        <w:t xml:space="preserve">Vastapuoliriski</w:t>
      </w:r>
      <w:bookmarkEnd w:id="3"/>
      <w:bookmarkEnd w:id="4"/>
    </w:p>
    <w:p w14:paraId="41169173"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Pr>
          <w:sz w:val="24"/>
          <w:rFonts w:ascii="Times New Roman" w:hAnsi="Times New Roman"/>
        </w:rPr>
        <w:t xml:space="preserve">Vastapuoliriskilomakkeiden laajuus</w:t>
      </w:r>
      <w:bookmarkEnd w:id="11"/>
      <w:bookmarkEnd w:id="12"/>
      <w:bookmarkEnd w:id="13"/>
    </w:p>
    <w:p w14:paraId="19D6AFBD" w14:textId="47A5FE99"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119</w:t>
      </w:r>
      <w:r>
        <w:fldChar w:fldCharType="end"/>
      </w:r>
      <w:r>
        <w:t xml:space="preserve">.</w:t>
      </w:r>
      <w:r>
        <w:t xml:space="preserve"> </w:t>
      </w:r>
      <w:r>
        <w:t xml:space="preserve">Vastapuoliriskilomakkeet kattavat tiedot vastuista, joihin kohdistuu vastapuoliriski asetuksen (EU) N:o 575/2013 kolmannen osan II osaston 4 ja 6 luvun mukaisesti.</w:t>
      </w:r>
    </w:p>
    <w:p w14:paraId="5C2099A9" w14:textId="470C3ABA"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120</w:t>
      </w:r>
      <w:r>
        <w:fldChar w:fldCharType="end"/>
      </w:r>
      <w:r>
        <w:t xml:space="preserve">.</w:t>
      </w:r>
      <w:r>
        <w:t xml:space="preserve"> </w:t>
      </w:r>
      <w:r>
        <w:t xml:space="preserve">Lomakkeet eivät kata omien varojen vaatimuksia vastuun arvonoikaisuriskin osalta (asetuksen (EU) N:o 575/2013 92 artiklan 3 kohdan d alakohta ja kolmannen osan VI osasto), vaan ne ilmoitetaan CVA-riskilomakkeessa.</w:t>
      </w:r>
      <w:r>
        <w:t xml:space="preserve"> </w:t>
      </w:r>
    </w:p>
    <w:p w14:paraId="69B3C47B" w14:textId="3B35D766"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121</w:t>
      </w:r>
      <w:r>
        <w:fldChar w:fldCharType="end"/>
      </w:r>
      <w:r>
        <w:t xml:space="preserve">.</w:t>
      </w:r>
      <w:r>
        <w:t xml:space="preserve"> </w:t>
      </w:r>
      <w:r>
        <w:t xml:space="preserve">Keskusvastapuoliin liittyvät vastapuoliriskivastuut (asetuksen (EU) N:o 575/2013 kolmannen osan II osaston 4 luku ja 6 luvun 9 jakso) olisi sisällytettävä vastapuoliriskiä koskeviin lukuihin, ellei toisin ilmoiteta.</w:t>
      </w:r>
      <w:r>
        <w:t xml:space="preserve"> </w:t>
      </w:r>
      <w:r>
        <w:t xml:space="preserve">Asetuksen (EU) N:o 575/2013 307–310 artiklan mukaisesti laskettuja maksukyvyttömyysrahastoon rahastoituja osuuksia ei kuitenkaan ilmoiteta vastapuoliriskilomakkeissa lukuun ottamatta lomaketta C 34.10 ja erityisesti vastaavia rivejä.</w:t>
      </w:r>
      <w:r>
        <w:t xml:space="preserve"> </w:t>
      </w:r>
      <w:r>
        <w:t xml:space="preserve">Yleensä maksukyvyttömyysrahastoon rahastoitujen osuuksien riskipainotetut vastuuerät ilmoitetaan suoraan lomakkeen C 02.00 rivillä 0460.</w:t>
      </w:r>
    </w:p>
    <w:p w14:paraId="30858597"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14" w:name="_Toc19715803"/>
      <w:bookmarkStart w:id="15" w:name="_Toc151714443"/>
      <w:bookmarkStart w:id="16" w:name="_Toc516210659"/>
      <w:r>
        <w:rPr>
          <w:sz w:val="24"/>
          <w:rFonts w:ascii="Times New Roman" w:hAnsi="Times New Roman"/>
        </w:rPr>
        <w:t xml:space="preserve">C 34.01 – Johdannaisiin liittyvän liiketoiminnan koko</w:t>
      </w:r>
      <w:bookmarkEnd w:id="14"/>
      <w:bookmarkEnd w:id="15"/>
    </w:p>
    <w:p w14:paraId="0D62C2B5"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17" w:name="_Toc19715804"/>
      <w:bookmarkStart w:id="18" w:name="_Toc151714444"/>
      <w:r>
        <w:rPr>
          <w:sz w:val="24"/>
          <w:rFonts w:ascii="Times New Roman" w:hAnsi="Times New Roman"/>
        </w:rPr>
        <w:t xml:space="preserve">Yleiset huomautukset</w:t>
      </w:r>
      <w:bookmarkEnd w:id="16"/>
      <w:bookmarkEnd w:id="17"/>
      <w:bookmarkEnd w:id="18"/>
    </w:p>
    <w:p w14:paraId="20D44CDB" w14:textId="375893F1"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122</w:t>
      </w:r>
      <w:r>
        <w:fldChar w:fldCharType="end"/>
      </w:r>
      <w:r>
        <w:t xml:space="preserve">.</w:t>
      </w:r>
      <w:r>
        <w:t xml:space="preserve"> </w:t>
      </w:r>
      <w:r>
        <w:t xml:space="preserve">Asetuksen (EU) N:o 575/2013 273 a artiklan mukaan laitos voi laskea johdannaispositioidensa vastuuarvon asetuksen (EU) N:o 575/2013 kolmannen osan II osaston 6 luvun 4 tai 5 jaksossa säädetyn menetelmän mukaisesti edellyttäen, että sen tase-eriin ja taseen ulkopuolisiin eriin sisältyvän johdannaisiin liittyvän liiketoiminnan koko on enintään yhtä suuri kuin ennalta määritetyt kynnysarvot.</w:t>
      </w:r>
      <w:r>
        <w:t xml:space="preserve"> </w:t>
      </w:r>
      <w:r>
        <w:t xml:space="preserve">Vastaava arviointi on tehtävä kuukausittain kuukauden viimeisen päivän tietoja käyttäen.</w:t>
      </w:r>
      <w:r>
        <w:t xml:space="preserve"> </w:t>
      </w:r>
      <w:r>
        <w:t xml:space="preserve">Tässä lomakkeessa annetaan tietoja kynnysarvojen noudattamisesta ja yleisemmin tärkeää tietoa johdannaisiin liittyvän liiketoiminnan koosta.</w:t>
      </w:r>
    </w:p>
    <w:p w14:paraId="0B9542C1" w14:textId="25E74705"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123</w:t>
      </w:r>
      <w:r>
        <w:fldChar w:fldCharType="end"/>
      </w:r>
      <w:r>
        <w:t xml:space="preserve">.</w:t>
      </w:r>
      <w:r>
        <w:t xml:space="preserve"> </w:t>
      </w:r>
      <w:r>
        <w:t xml:space="preserve">Kuukausi 1, kuukausi 2 ja kuukausi 3 viittaavat sen vuosineljänneksen, jolta tiedot ilmoitetaan, ensimmäiseen, toiseen ja viimeiseen kuukauteen.</w:t>
      </w:r>
      <w:r>
        <w:t xml:space="preserve"> </w:t>
      </w:r>
      <w:r>
        <w:t xml:space="preserve">Tiedot ilmoitetaan vain kuukauden lopulta 28 päivän kesäkuuta 2021 jälkeen.</w:t>
      </w:r>
    </w:p>
    <w:p w14:paraId="782EADBE"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19" w:name="_Toc516210660"/>
      <w:bookmarkStart w:id="20" w:name="_Toc19715805"/>
      <w:bookmarkStart w:id="21" w:name="_Toc151714445"/>
      <w:r>
        <w:rPr>
          <w:sz w:val="24"/>
          <w:rFonts w:ascii="Times New Roman" w:hAnsi="Times New Roman"/>
        </w:rPr>
        <w:t xml:space="preserve">Tiettyjä kohtia koskevat ohjeet</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F74C7" w:rsidRPr="002A677E" w14:paraId="0475E41A" w14:textId="77777777" w:rsidTr="00822842">
        <w:tc>
          <w:tcPr>
            <w:tcW w:w="851" w:type="dxa"/>
            <w:gridSpan w:val="2"/>
            <w:shd w:val="clear" w:color="auto" w:fill="CCCCCC"/>
          </w:tcPr>
          <w:p w14:paraId="31CC44BD" w14:textId="77777777" w:rsidR="00EF74C7" w:rsidRPr="002A677E" w:rsidRDefault="00EF74C7" w:rsidP="00822842">
            <w:pPr>
              <w:spacing w:beforeLines="60" w:before="144" w:afterLines="60" w:after="144"/>
              <w:rPr>
                <w:b/>
                <w:sz w:val="24"/>
                <w:rFonts w:ascii="Times New Roman" w:hAnsi="Times New Roman"/>
              </w:rPr>
            </w:pPr>
            <w:r>
              <w:rPr>
                <w:b/>
                <w:sz w:val="24"/>
                <w:rFonts w:ascii="Times New Roman" w:hAnsi="Times New Roman"/>
              </w:rPr>
              <w:t xml:space="preserve">Sarakkeet</w:t>
            </w:r>
          </w:p>
        </w:tc>
      </w:tr>
      <w:tr w:rsidR="00EF74C7" w:rsidRPr="002A677E" w14:paraId="39875704" w14:textId="77777777" w:rsidTr="00822842">
        <w:tc>
          <w:tcPr>
            <w:tcW w:w="851" w:type="dxa"/>
          </w:tcPr>
          <w:p w14:paraId="39BC59F7"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0010,0040, 0070</w:t>
            </w:r>
          </w:p>
        </w:tc>
        <w:tc>
          <w:tcPr>
            <w:tcW w:w="8108" w:type="dxa"/>
          </w:tcPr>
          <w:p w14:paraId="09D42C21"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PITKÄT JOHDANNAISPOSITIOT</w:t>
            </w:r>
          </w:p>
          <w:p w14:paraId="2BADA7D6" w14:textId="77777777" w:rsidR="00EF74C7" w:rsidRPr="002A677E" w:rsidRDefault="00EF74C7" w:rsidP="00822842">
            <w:pPr>
              <w:spacing w:beforeLines="60" w:before="144" w:afterLines="60" w:after="144"/>
              <w:rPr>
                <w:rStyle w:val="InstructionsTabelleberschrift"/>
                <w:b w:val="0"/>
                <w:sz w:val="24"/>
                <w:rFonts w:ascii="Times New Roman" w:hAnsi="Times New Roman"/>
              </w:rPr>
            </w:pPr>
            <w:r>
              <w:rPr>
                <w:rStyle w:val="InstructionsTabelleberschrift"/>
                <w:sz w:val="24"/>
                <w:rFonts w:ascii="Times New Roman" w:hAnsi="Times New Roman"/>
              </w:rPr>
              <w:t xml:space="preserve">Asetuksen (EU) N:o 575/2013 273 a artiklan 3 kohta</w:t>
            </w:r>
          </w:p>
          <w:p w14:paraId="400C78E9"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Tässä ilmoitetaan pitkien johdannaispositioiden absoluuttisten markkina-arvojen summa kuukauden viimeisenä päivänä.</w:t>
            </w:r>
          </w:p>
        </w:tc>
      </w:tr>
      <w:tr w:rsidR="00EF74C7" w:rsidRPr="002A677E" w14:paraId="76F76EF8" w14:textId="77777777" w:rsidTr="00822842">
        <w:tc>
          <w:tcPr>
            <w:tcW w:w="851" w:type="dxa"/>
          </w:tcPr>
          <w:p w14:paraId="1821FC2A"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0020,0050,</w:t>
            </w:r>
          </w:p>
          <w:p w14:paraId="6AD38436"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0080</w:t>
            </w:r>
          </w:p>
        </w:tc>
        <w:tc>
          <w:tcPr>
            <w:tcW w:w="8108" w:type="dxa"/>
          </w:tcPr>
          <w:p w14:paraId="4F840B38"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LYHYET JOHDANNAISPOSITIOT</w:t>
            </w:r>
          </w:p>
          <w:p w14:paraId="17AF4A13" w14:textId="77777777" w:rsidR="00EF74C7" w:rsidRPr="002A677E" w:rsidRDefault="00EF74C7" w:rsidP="00822842">
            <w:pPr>
              <w:spacing w:beforeLines="60" w:before="144" w:afterLines="60" w:after="144"/>
              <w:rPr>
                <w:rStyle w:val="InstructionsTabelleberschrift"/>
                <w:b w:val="0"/>
                <w:sz w:val="24"/>
                <w:rFonts w:ascii="Times New Roman" w:hAnsi="Times New Roman"/>
              </w:rPr>
            </w:pPr>
            <w:r>
              <w:rPr>
                <w:rStyle w:val="InstructionsTabelleberschrift"/>
                <w:sz w:val="24"/>
                <w:rFonts w:ascii="Times New Roman" w:hAnsi="Times New Roman"/>
              </w:rPr>
              <w:t xml:space="preserve">Asetuksen (EU) N:o 575/2013 273 a artiklan 3 kohta</w:t>
            </w:r>
          </w:p>
          <w:p w14:paraId="3AB96F81"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Tässä ilmoitetaan lyhyiden johdannaispositioiden absoluuttisten markkina-arvojen summa kuukauden viimeisenä päivänä.</w:t>
            </w:r>
          </w:p>
        </w:tc>
      </w:tr>
      <w:tr w:rsidR="00EF74C7" w:rsidRPr="002A677E" w14:paraId="03A14C37" w14:textId="77777777" w:rsidTr="00822842">
        <w:tc>
          <w:tcPr>
            <w:tcW w:w="851" w:type="dxa"/>
          </w:tcPr>
          <w:p w14:paraId="0D690866"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0030,0060,</w:t>
            </w:r>
          </w:p>
          <w:p w14:paraId="1173DE8A"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0090</w:t>
            </w:r>
          </w:p>
        </w:tc>
        <w:tc>
          <w:tcPr>
            <w:tcW w:w="8108" w:type="dxa"/>
          </w:tcPr>
          <w:p w14:paraId="252D116D"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YHTEENSÄ</w:t>
            </w:r>
          </w:p>
          <w:p w14:paraId="4D024C67"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Asetuksen (EU) N:o 575/2013 273 a artiklan 3 kohdan b alakohta</w:t>
            </w:r>
          </w:p>
          <w:p w14:paraId="6C39E208"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Tässä ilmoitetaan pitkien johdannaispositioiden absoluuttisen arvon ja lyhyiden johdannaispositioiden absoluuttisen arvon summa.</w:t>
            </w:r>
          </w:p>
        </w:tc>
      </w:tr>
    </w:tbl>
    <w:p w14:paraId="5DF57E78" w14:textId="77777777" w:rsidR="00EF74C7" w:rsidRPr="002A677E" w:rsidRDefault="00EF74C7" w:rsidP="00EF74C7">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2A677E" w14:paraId="1158449C" w14:textId="77777777" w:rsidTr="00822842">
        <w:tc>
          <w:tcPr>
            <w:tcW w:w="9039" w:type="dxa"/>
            <w:gridSpan w:val="2"/>
            <w:shd w:val="clear" w:color="auto" w:fill="CCCCCC"/>
          </w:tcPr>
          <w:p w14:paraId="2E01AD0B" w14:textId="77777777" w:rsidR="00EF74C7" w:rsidRPr="002A677E" w:rsidRDefault="00EF74C7" w:rsidP="00822842">
            <w:pPr>
              <w:spacing w:beforeLines="60" w:before="144" w:afterLines="60" w:after="144"/>
              <w:rPr>
                <w:b/>
                <w:sz w:val="24"/>
                <w:rFonts w:ascii="Times New Roman" w:hAnsi="Times New Roman"/>
              </w:rPr>
            </w:pPr>
            <w:r>
              <w:rPr>
                <w:b/>
                <w:sz w:val="24"/>
                <w:rFonts w:ascii="Times New Roman" w:hAnsi="Times New Roman"/>
              </w:rPr>
              <w:t xml:space="preserve">Rivit</w:t>
            </w:r>
          </w:p>
        </w:tc>
      </w:tr>
      <w:tr w:rsidR="00EF74C7" w:rsidRPr="002A677E" w14:paraId="2C6F42AE" w14:textId="77777777" w:rsidTr="00822842">
        <w:tc>
          <w:tcPr>
            <w:tcW w:w="852" w:type="dxa"/>
          </w:tcPr>
          <w:p w14:paraId="024CBE56"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0010</w:t>
            </w:r>
          </w:p>
        </w:tc>
        <w:tc>
          <w:tcPr>
            <w:tcW w:w="8187" w:type="dxa"/>
          </w:tcPr>
          <w:p w14:paraId="552E9C6B"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Johdannaisiin liittyvän liiketoiminnan koko</w:t>
            </w:r>
          </w:p>
          <w:p w14:paraId="78339108" w14:textId="77777777" w:rsidR="00EF74C7" w:rsidRPr="002A677E" w:rsidRDefault="00EF74C7" w:rsidP="00822842">
            <w:pPr>
              <w:spacing w:beforeLines="60" w:before="144" w:afterLines="60" w:after="144"/>
              <w:rPr>
                <w:bCs/>
                <w:sz w:val="24"/>
                <w:rFonts w:ascii="Times New Roman" w:hAnsi="Times New Roman"/>
              </w:rPr>
            </w:pPr>
            <w:r>
              <w:rPr>
                <w:sz w:val="24"/>
                <w:rStyle w:val="InstructionsTabelleberschrift"/>
                <w:b w:val="0"/>
                <w:u w:val="none"/>
                <w:rFonts w:ascii="Times New Roman" w:hAnsi="Times New Roman"/>
              </w:rPr>
              <w:t xml:space="preserve">Asetuksen (EU) N:o 575/2013 273 a artiklan 3 kohta</w:t>
            </w:r>
          </w:p>
          <w:p w14:paraId="6D4FE0C8"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Tähän on sisällytettävä kaikki tase-eriin ja taseen ulkopuolisiin eriin sisältyvät johdannaispositiot, lukuun ottamatta luottojohdannaisia, jotka kirjataan taseeseen kaupankäyntivaraston ulkopuolisia luottoriskejä kattavina sisäisinä suojauksina.</w:t>
            </w:r>
          </w:p>
        </w:tc>
      </w:tr>
      <w:tr w:rsidR="00EF74C7" w:rsidRPr="002A677E" w14:paraId="579E43BD" w14:textId="77777777" w:rsidTr="00822842">
        <w:tc>
          <w:tcPr>
            <w:tcW w:w="852" w:type="dxa"/>
          </w:tcPr>
          <w:p w14:paraId="435DE7F3"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0020</w:t>
            </w:r>
            <w:r>
              <w:rPr>
                <w:sz w:val="24"/>
                <w:rFonts w:ascii="Times New Roman" w:hAnsi="Times New Roman"/>
              </w:rPr>
              <w:t xml:space="preserve"> </w:t>
            </w:r>
          </w:p>
        </w:tc>
        <w:tc>
          <w:tcPr>
            <w:tcW w:w="8187" w:type="dxa"/>
          </w:tcPr>
          <w:p w14:paraId="04982DD9"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Tase-eriin ja taseen ulkopuolisiin eriin sisältyvät johdannaiset</w:t>
            </w:r>
          </w:p>
          <w:p w14:paraId="5D2385C4"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Asetuksen (EU) N:o 575/2013 273 a artiklan 3 kohdan a ja b alakohta</w:t>
            </w:r>
          </w:p>
          <w:p w14:paraId="36CFA94A"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Tässä ilmoitetaan tase-eriin ja taseen ulkopuolisiin eriin sisältyvien johdannaispositioiden yhteenlaskettu markkina-arvo kuukauden viimeisenä päivänä.</w:t>
            </w:r>
            <w:r>
              <w:rPr>
                <w:sz w:val="24"/>
                <w:rFonts w:ascii="Times New Roman" w:hAnsi="Times New Roman"/>
              </w:rPr>
              <w:t xml:space="preserve"> </w:t>
            </w:r>
            <w:r>
              <w:rPr>
                <w:sz w:val="24"/>
                <w:rFonts w:ascii="Times New Roman" w:hAnsi="Times New Roman"/>
              </w:rPr>
              <w:t xml:space="preserve">Jos position markkina-arvoa ei ole saatavilla tietylle päivälle, laitosten on käytettävä position käypää arvoa kyseisenä päivänä; jos position markkina-arvoa tai käypää arvoa ei ole saatavilla kyseiselle päivälle, laitosten on käytettävä kyseisen position tuoreinta markkina-arvoa tai käypää arvoa.</w:t>
            </w:r>
          </w:p>
        </w:tc>
      </w:tr>
      <w:tr w:rsidR="00EF74C7" w:rsidRPr="002A677E" w14:paraId="0D0ADD9F" w14:textId="77777777" w:rsidTr="00822842">
        <w:tc>
          <w:tcPr>
            <w:tcW w:w="852" w:type="dxa"/>
          </w:tcPr>
          <w:p w14:paraId="6D998AEA"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0030</w:t>
            </w:r>
            <w:r>
              <w:rPr>
                <w:sz w:val="24"/>
                <w:rFonts w:ascii="Times New Roman" w:hAnsi="Times New Roman"/>
              </w:rPr>
              <w:t xml:space="preserve"> </w:t>
            </w:r>
          </w:p>
        </w:tc>
        <w:tc>
          <w:tcPr>
            <w:tcW w:w="8187" w:type="dxa"/>
          </w:tcPr>
          <w:p w14:paraId="36732A5F" w14:textId="77777777" w:rsidR="00EF74C7" w:rsidRPr="002A677E" w:rsidRDefault="00EF74C7" w:rsidP="00822842">
            <w:pPr>
              <w:spacing w:beforeLines="60" w:before="144" w:afterLines="60" w:after="144"/>
              <w:rPr>
                <w:b/>
                <w:sz w:val="24"/>
                <w:u w:val="single"/>
                <w:rFonts w:ascii="Times New Roman" w:hAnsi="Times New Roman"/>
              </w:rPr>
            </w:pPr>
            <w:r>
              <w:rPr>
                <w:b/>
                <w:sz w:val="24"/>
                <w:u w:val="single"/>
                <w:rFonts w:ascii="Times New Roman" w:hAnsi="Times New Roman"/>
              </w:rPr>
              <w:t xml:space="preserve">(-)Luottojohdannaiset, jotka kirjataan taseeseen kaupankäyntivaraston ulkopuolisia luottoriskejä kattavina sisäisinä suojauksina</w:t>
            </w:r>
          </w:p>
          <w:p w14:paraId="7B2D3F9F"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Asetuksen (EU) N:o 575/2013 273 a artiklan 3 kohdan c alakohta</w:t>
            </w:r>
          </w:p>
          <w:p w14:paraId="11EEB10C"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Tässä ilmoitetaan niiden luottojohdannaisten, jotka kirjataan taseeseen kaupankäyntivaraston ulkopuolisia luottoriskejä kattavina sisäisinä suojauksina, yhteenlaskettu markkina-arvo.</w:t>
            </w:r>
          </w:p>
        </w:tc>
      </w:tr>
      <w:tr w:rsidR="00EF74C7" w:rsidRPr="002A677E" w14:paraId="35FDB40E" w14:textId="77777777" w:rsidTr="00822842">
        <w:tc>
          <w:tcPr>
            <w:tcW w:w="852" w:type="dxa"/>
          </w:tcPr>
          <w:p w14:paraId="74E4E271"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0040</w:t>
            </w:r>
          </w:p>
        </w:tc>
        <w:tc>
          <w:tcPr>
            <w:tcW w:w="8187" w:type="dxa"/>
          </w:tcPr>
          <w:p w14:paraId="0BD00669"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Kokonaisvarat</w:t>
            </w:r>
          </w:p>
          <w:p w14:paraId="46929946"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Sovellettavan tilinpäätössäännöstön mukaiset kokonaisvarat.</w:t>
            </w:r>
          </w:p>
          <w:p w14:paraId="010EF5F0" w14:textId="77777777" w:rsidR="00EF74C7" w:rsidRPr="002A677E" w:rsidRDefault="00EF74C7" w:rsidP="00822842">
            <w:pPr>
              <w:spacing w:beforeLines="60" w:before="144" w:afterLines="60" w:after="144"/>
              <w:rPr>
                <w:rStyle w:val="InstructionsTabelleberschrift"/>
                <w:b w:val="0"/>
                <w:sz w:val="24"/>
                <w:rFonts w:ascii="Times New Roman" w:hAnsi="Times New Roman"/>
              </w:rPr>
            </w:pPr>
            <w:r>
              <w:rPr>
                <w:sz w:val="24"/>
                <w:rStyle w:val="InstructionsTabelleberschrift"/>
                <w:b w:val="0"/>
                <w:u w:val="none"/>
                <w:rFonts w:ascii="Times New Roman" w:hAnsi="Times New Roman"/>
              </w:rPr>
              <w:t xml:space="preserve">Konsolidoidun raportoinnin tapauksessa laitoksen on ilmoitettava kokonaisvarat käyttämällä varovaisuusperiaatteen mukaista konsolidointia asetuksen (EU) N:o 575/2013 ensimmäisen osan II osaston 2 luvun 2 jakson mukaisesti.</w:t>
            </w:r>
          </w:p>
        </w:tc>
      </w:tr>
      <w:tr w:rsidR="00EF74C7" w:rsidRPr="002A677E" w14:paraId="4D325D16" w14:textId="77777777" w:rsidTr="00822842">
        <w:tc>
          <w:tcPr>
            <w:tcW w:w="852" w:type="dxa"/>
          </w:tcPr>
          <w:p w14:paraId="60F15BF2"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0050</w:t>
            </w:r>
          </w:p>
        </w:tc>
        <w:tc>
          <w:tcPr>
            <w:tcW w:w="8187" w:type="dxa"/>
          </w:tcPr>
          <w:p w14:paraId="26613692"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Kokonaisvarojen prosenttiosuus</w:t>
            </w:r>
          </w:p>
          <w:p w14:paraId="7A7748D7" w14:textId="77777777" w:rsidR="00EF74C7" w:rsidRPr="002A677E" w:rsidRDefault="00EF74C7" w:rsidP="00822842">
            <w:pPr>
              <w:spacing w:beforeLines="60" w:before="144" w:afterLines="60" w:after="144"/>
              <w:rPr>
                <w:b/>
                <w:sz w:val="24"/>
                <w:rFonts w:ascii="Times New Roman" w:hAnsi="Times New Roman"/>
              </w:rPr>
            </w:pPr>
            <w:r>
              <w:rPr>
                <w:rStyle w:val="InstructionsTabelleberschrift"/>
                <w:b w:val="0"/>
                <w:sz w:val="24"/>
                <w:u w:val="none"/>
                <w:rFonts w:ascii="Times New Roman" w:hAnsi="Times New Roman"/>
              </w:rPr>
              <w:t xml:space="preserve">Suhde, joka on laskettava jakamalla johdannaisiin liittyvän liiketoiminnan koko (rivi 0010) kokonaisvaroilla (rivi 0040).</w:t>
            </w:r>
            <w:r>
              <w:rPr>
                <w:rStyle w:val="InstructionsTabelleberschrift"/>
                <w:b w:val="0"/>
                <w:sz w:val="24"/>
                <w:u w:val="none"/>
                <w:rFonts w:ascii="Times New Roman" w:hAnsi="Times New Roman"/>
              </w:rPr>
              <w:t xml:space="preserve"> </w:t>
            </w:r>
          </w:p>
        </w:tc>
      </w:tr>
      <w:tr w:rsidR="00EF74C7" w:rsidRPr="002A677E" w14:paraId="0399B49B" w14:textId="77777777" w:rsidTr="00822842">
        <w:tc>
          <w:tcPr>
            <w:tcW w:w="9039" w:type="dxa"/>
            <w:gridSpan w:val="2"/>
            <w:shd w:val="clear" w:color="auto" w:fill="A6A6A6" w:themeFill="background1" w:themeFillShade="A6"/>
          </w:tcPr>
          <w:p w14:paraId="2029EDEF" w14:textId="77777777" w:rsidR="00EF74C7" w:rsidRPr="002A677E" w:rsidRDefault="00EF74C7" w:rsidP="00822842">
            <w:pPr>
              <w:spacing w:beforeLines="60" w:before="144" w:afterLines="60" w:after="144"/>
              <w:rPr>
                <w:b/>
                <w:sz w:val="24"/>
                <w:rFonts w:ascii="Times New Roman" w:hAnsi="Times New Roman"/>
              </w:rPr>
            </w:pPr>
            <w:r>
              <w:rPr>
                <w:b/>
                <w:sz w:val="24"/>
                <w:rFonts w:ascii="Times New Roman" w:hAnsi="Times New Roman"/>
              </w:rPr>
              <w:t xml:space="preserve">ASETUKSEN (EU) N:o 575/2013 273 a ARTIKLAN 4 KOHDAN MUKAINEN POIKKEUS</w:t>
            </w:r>
          </w:p>
        </w:tc>
      </w:tr>
      <w:tr w:rsidR="00EF74C7" w:rsidRPr="002A677E" w14:paraId="70D864E0" w14:textId="77777777" w:rsidTr="00822842">
        <w:trPr>
          <w:trHeight w:val="3003"/>
        </w:trPr>
        <w:tc>
          <w:tcPr>
            <w:tcW w:w="852" w:type="dxa"/>
          </w:tcPr>
          <w:p w14:paraId="3AB25C6D"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0060</w:t>
            </w:r>
          </w:p>
        </w:tc>
        <w:tc>
          <w:tcPr>
            <w:tcW w:w="8187" w:type="dxa"/>
          </w:tcPr>
          <w:p w14:paraId="67908B53"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sz w:val="24"/>
                <w:rStyle w:val="InstructionsTabelleberschrift"/>
                <w:rFonts w:ascii="Times New Roman" w:hAnsi="Times New Roman"/>
              </w:rPr>
              <w:t xml:space="preserve">Täyttyvätkö edellytykset asetuksen (EU) N:o 575/2013 273 a artiklan 4 kohdan mukaiselle poikkeukselle, mukaan lukien toimivaltaisten viranomaisten hyväksyntä?</w:t>
            </w:r>
          </w:p>
          <w:p w14:paraId="2F3DE52A"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Asetuksen (EU) N:o 575/2013 273 a artiklan 4 kohta</w:t>
            </w:r>
          </w:p>
          <w:p w14:paraId="748D5951"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Laitosten, jotka ylittävät vastapuoliriskiä koskevan yksinkertaistetun menetelmän käytölle asetetut kynnysarvot mutta jotka edelleen soveltavat jotakin yksinkertaistettua menetelmää asetuksen (EU) N:o 575/2013 273 a artiklan 4 kohdan perusteella, on ilmoitettava (Kyllä/Ei-vastauksella), täyttävätkö ne kaikki kyseisen artiklan edellytykset.</w:t>
            </w:r>
          </w:p>
          <w:p w14:paraId="6DA86931" w14:textId="77777777" w:rsidR="00EF74C7" w:rsidRPr="002A677E" w:rsidRDefault="00EF74C7" w:rsidP="00822842">
            <w:pPr>
              <w:spacing w:beforeLines="60" w:before="144" w:afterLines="60" w:after="144"/>
              <w:rPr>
                <w:b/>
                <w:sz w:val="24"/>
                <w:rFonts w:ascii="Times New Roman" w:hAnsi="Times New Roman"/>
              </w:rPr>
            </w:pPr>
            <w:r>
              <w:rPr>
                <w:sz w:val="24"/>
                <w:rStyle w:val="InstructionsTabelleberschrift"/>
                <w:b w:val="0"/>
                <w:u w:val="none"/>
                <w:rFonts w:ascii="Times New Roman" w:hAnsi="Times New Roman"/>
              </w:rPr>
              <w:t xml:space="preserve">Ainoastaan niiden laitosten, jotka soveltavat asetuksen (EU) N:o 575/2013 273 a artiklan 4 kohdan poikkeusta, on täytettävä tämä kohta.</w:t>
            </w:r>
          </w:p>
        </w:tc>
      </w:tr>
      <w:tr w:rsidR="00EF74C7" w:rsidRPr="002A677E" w14:paraId="454EB33C" w14:textId="77777777" w:rsidTr="00822842">
        <w:tc>
          <w:tcPr>
            <w:tcW w:w="852" w:type="dxa"/>
          </w:tcPr>
          <w:p w14:paraId="38A2CAC1"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0070</w:t>
            </w:r>
          </w:p>
        </w:tc>
        <w:tc>
          <w:tcPr>
            <w:tcW w:w="8187" w:type="dxa"/>
          </w:tcPr>
          <w:p w14:paraId="58491ECF"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Menetelmä vastuuarvojen laskemiseksi konsolidoidulla tasolla</w:t>
            </w:r>
          </w:p>
          <w:p w14:paraId="082FDD18"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Asetuksen (EU) N:o 575/2013 273 a artiklan 4 kohta</w:t>
            </w:r>
          </w:p>
          <w:p w14:paraId="2F4198CB"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Menetelmä johdannaispositioiden vastuuarvojen laskemiseksi konsolidoidusti; menetelmää käytetään myös laitoskohtaisella tasolla asetuksen (EU) N:o 575/2013 273 a artiklan 4 kohdan mukaisesti:</w:t>
            </w:r>
          </w:p>
          <w:p w14:paraId="028F6AA2"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 OEM:</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alkuperäisen hankinta-arvon menetelmä</w:t>
            </w:r>
          </w:p>
          <w:p w14:paraId="52FA75E2"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 Yksinkertaistettu SA-CCR-menetelmä:</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yksinkertaistettu vastapuoliriskin standardimenetelmä.</w:t>
            </w:r>
            <w:r>
              <w:rPr>
                <w:rStyle w:val="InstructionsTabelleberschrift"/>
                <w:b w:val="0"/>
                <w:sz w:val="24"/>
                <w:u w:val="none"/>
                <w:rFonts w:ascii="Times New Roman" w:hAnsi="Times New Roman"/>
              </w:rPr>
              <w:t xml:space="preserve"> </w:t>
            </w:r>
          </w:p>
          <w:p w14:paraId="6D893F4F" w14:textId="77777777" w:rsidR="00EF74C7" w:rsidRPr="002A677E" w:rsidRDefault="00EF74C7" w:rsidP="00822842">
            <w:pPr>
              <w:spacing w:beforeLines="60" w:before="144" w:afterLines="60" w:after="144"/>
              <w:rPr>
                <w:b/>
                <w:sz w:val="24"/>
                <w:rFonts w:ascii="Times New Roman" w:hAnsi="Times New Roman"/>
              </w:rPr>
            </w:pPr>
            <w:r>
              <w:rPr>
                <w:sz w:val="24"/>
                <w:rStyle w:val="InstructionsTabelleberschrift"/>
                <w:b w:val="0"/>
                <w:u w:val="none"/>
                <w:rFonts w:ascii="Times New Roman" w:hAnsi="Times New Roman"/>
              </w:rPr>
              <w:t xml:space="preserve">Ainoastaan niiden laitosten, jotka soveltavat asetuksen (EU) N:o 575/2013 273 a artiklan 4 kohdan poikkeusta, on täytettävä tämä kohta.</w:t>
            </w:r>
          </w:p>
        </w:tc>
      </w:tr>
    </w:tbl>
    <w:p w14:paraId="773ED03F"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22" w:name="_Toc19715806"/>
      <w:bookmarkStart w:id="23" w:name="_Toc151714446"/>
      <w:r>
        <w:rPr>
          <w:sz w:val="24"/>
          <w:rFonts w:ascii="Times New Roman" w:hAnsi="Times New Roman"/>
        </w:rPr>
        <w:t xml:space="preserve">C 34.02 - Vastapuoliriskivastuut menetelmittäin</w:t>
      </w:r>
      <w:bookmarkEnd w:id="22"/>
      <w:bookmarkEnd w:id="23"/>
      <w:r>
        <w:rPr>
          <w:sz w:val="24"/>
          <w:rFonts w:ascii="Times New Roman" w:hAnsi="Times New Roman"/>
        </w:rPr>
        <w:t xml:space="preserve"> </w:t>
      </w:r>
    </w:p>
    <w:p w14:paraId="3FC7FDB8"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24" w:name="_Toc19715807"/>
      <w:bookmarkStart w:id="25" w:name="_Toc151714447"/>
      <w:r>
        <w:rPr>
          <w:sz w:val="24"/>
          <w:rFonts w:ascii="Times New Roman" w:hAnsi="Times New Roman"/>
        </w:rPr>
        <w:t xml:space="preserve">Yleiset huomautukset</w:t>
      </w:r>
      <w:bookmarkEnd w:id="24"/>
      <w:bookmarkEnd w:id="25"/>
    </w:p>
    <w:p w14:paraId="765D46FE" w14:textId="20A30CC8"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124</w:t>
      </w:r>
      <w:r>
        <w:fldChar w:fldCharType="end"/>
      </w:r>
      <w:r>
        <w:t xml:space="preserve">.</w:t>
      </w:r>
      <w:r>
        <w:t xml:space="preserve"> </w:t>
      </w:r>
      <w:r>
        <w:t xml:space="preserve">Laitosten on täytettävä lomake erikseen kaikkien vastapuoliriskivastuiden osalta ja kaikkien vastapuoliriskivastuiden osalta lukuun ottamatta keskusvastapuoliin liittyviä vastuita sellaisina kuin ne määritellään lomaketta C 34.10 varten.</w:t>
      </w:r>
    </w:p>
    <w:p w14:paraId="73798597"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26" w:name="_Toc19715808"/>
      <w:bookmarkStart w:id="27" w:name="_Toc151714448"/>
      <w:r>
        <w:rPr>
          <w:sz w:val="24"/>
          <w:rFonts w:ascii="Times New Roman" w:hAnsi="Times New Roman"/>
        </w:rPr>
        <w:t xml:space="preserve">Tiettyjä kohtia koskevat ohjeet</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Sarakkeet</w:t>
            </w:r>
          </w:p>
        </w:tc>
      </w:tr>
      <w:tr w:rsidR="00EF74C7" w:rsidRPr="002A677E" w14:paraId="5AF62E03" w14:textId="77777777" w:rsidTr="00822842">
        <w:trPr>
          <w:trHeight w:val="680"/>
        </w:trPr>
        <w:tc>
          <w:tcPr>
            <w:tcW w:w="1384" w:type="dxa"/>
          </w:tcPr>
          <w:p w14:paraId="0ECB7AE7" w14:textId="77777777" w:rsidR="00EF74C7" w:rsidRPr="002A677E" w:rsidRDefault="00EF74C7" w:rsidP="00822842">
            <w:pPr>
              <w:pStyle w:val="Applicationdirecte"/>
              <w:spacing w:before="0" w:after="0"/>
            </w:pPr>
            <w:r>
              <w:t xml:space="preserve">0010</w:t>
            </w:r>
          </w:p>
        </w:tc>
        <w:tc>
          <w:tcPr>
            <w:tcW w:w="7655" w:type="dxa"/>
            <w:vAlign w:val="center"/>
          </w:tcPr>
          <w:p w14:paraId="2F369CA7"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VASTAPUOLTEN LUKUMÄÄRÄ</w:t>
            </w:r>
          </w:p>
          <w:p w14:paraId="5D247700" w14:textId="77777777" w:rsidR="00EF74C7" w:rsidRPr="002A677E" w:rsidRDefault="00EF74C7" w:rsidP="00822842">
            <w:pPr>
              <w:autoSpaceDE w:val="0"/>
              <w:autoSpaceDN w:val="0"/>
              <w:adjustRightInd w:val="0"/>
              <w:spacing w:before="60"/>
              <w:rPr>
                <w:i/>
                <w:sz w:val="24"/>
                <w:rFonts w:ascii="Times New Roman" w:hAnsi="Times New Roman"/>
              </w:rPr>
            </w:pPr>
            <w:r>
              <w:rPr>
                <w:sz w:val="24"/>
                <w:rFonts w:ascii="Times New Roman" w:hAnsi="Times New Roman"/>
              </w:rPr>
              <w:t xml:space="preserve">Tässä tarkoitetaan niiden yksittäisten vastapuolten lukumäärää, joihin liittyviä vastapuoliriskivastuita laitoksella on.</w:t>
            </w:r>
          </w:p>
        </w:tc>
      </w:tr>
      <w:tr w:rsidR="00EF74C7" w:rsidRPr="002A677E" w14:paraId="47187F35" w14:textId="77777777" w:rsidTr="00822842">
        <w:trPr>
          <w:trHeight w:val="416"/>
        </w:trPr>
        <w:tc>
          <w:tcPr>
            <w:tcW w:w="1384" w:type="dxa"/>
          </w:tcPr>
          <w:p w14:paraId="31502253" w14:textId="77777777" w:rsidR="00EF74C7" w:rsidRPr="002A677E" w:rsidRDefault="00EF74C7" w:rsidP="00822842">
            <w:pPr>
              <w:pStyle w:val="Applicationdirecte"/>
              <w:spacing w:before="0" w:after="0"/>
            </w:pPr>
            <w:r>
              <w:t xml:space="preserve">0020</w:t>
            </w:r>
          </w:p>
        </w:tc>
        <w:tc>
          <w:tcPr>
            <w:tcW w:w="7655" w:type="dxa"/>
            <w:vAlign w:val="center"/>
          </w:tcPr>
          <w:p w14:paraId="6A419FF1"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TRANSAKTIOIDEN LUKUMÄÄRÄ</w:t>
            </w:r>
          </w:p>
          <w:p w14:paraId="72A1DFED" w14:textId="77777777" w:rsidR="00EF74C7" w:rsidRPr="002A677E" w:rsidRDefault="00EF74C7" w:rsidP="00822842">
            <w:pPr>
              <w:autoSpaceDE w:val="0"/>
              <w:autoSpaceDN w:val="0"/>
              <w:adjustRightInd w:val="0"/>
              <w:spacing w:before="60"/>
              <w:rPr>
                <w:sz w:val="24"/>
                <w:rFonts w:ascii="Times New Roman" w:hAnsi="Times New Roman"/>
              </w:rPr>
            </w:pPr>
            <w:r>
              <w:rPr>
                <w:sz w:val="24"/>
                <w:rFonts w:ascii="Times New Roman" w:hAnsi="Times New Roman"/>
              </w:rPr>
              <w:t xml:space="preserve">Tässä tarkoitetaan niiden transaktioiden lukumäärää, joihin kohdistuu vastapuoliriski raportointipäivänä.</w:t>
            </w:r>
            <w:r>
              <w:rPr>
                <w:sz w:val="24"/>
                <w:rFonts w:ascii="Times New Roman" w:hAnsi="Times New Roman"/>
              </w:rPr>
              <w:t xml:space="preserve"> </w:t>
            </w:r>
            <w:r>
              <w:rPr>
                <w:sz w:val="24"/>
                <w:rFonts w:ascii="Times New Roman" w:hAnsi="Times New Roman"/>
              </w:rPr>
              <w:t xml:space="preserve">Tässä yhteydessä on huomattava, että keskusvastapuoliin liittyvän liiketoiminnan osalta lukuihin ei saa sisältyä sisään- tai ulosvirtauksia vaan kokonaispositiot vastapuoliriskisalkussa raportointipäivänä.</w:t>
            </w:r>
            <w:r>
              <w:rPr>
                <w:sz w:val="24"/>
                <w:rFonts w:ascii="Times New Roman" w:hAnsi="Times New Roman"/>
              </w:rPr>
              <w:t xml:space="preserve"> </w:t>
            </w:r>
            <w:r>
              <w:rPr>
                <w:sz w:val="24"/>
                <w:rFonts w:ascii="Times New Roman" w:hAnsi="Times New Roman"/>
              </w:rPr>
              <w:t xml:space="preserve">Lisäksi johdannaisinstrumentti tai arvopapereilla toteutettava rahoitustoimi, joka on jaettu vähintään kahteen osaan mallintamista varten, on katsottava yhä yhdeksi ainoaksi transaktioksi.</w:t>
            </w:r>
          </w:p>
        </w:tc>
      </w:tr>
      <w:tr w:rsidR="00EF74C7" w:rsidRPr="002A677E" w14:paraId="095C33EA" w14:textId="77777777" w:rsidTr="00822842">
        <w:trPr>
          <w:trHeight w:val="680"/>
        </w:trPr>
        <w:tc>
          <w:tcPr>
            <w:tcW w:w="1384" w:type="dxa"/>
          </w:tcPr>
          <w:p w14:paraId="11D4F4B1" w14:textId="77777777" w:rsidR="00EF74C7" w:rsidRPr="002A677E" w:rsidRDefault="00EF74C7" w:rsidP="00822842">
            <w:pPr>
              <w:pStyle w:val="Applicationdirecte"/>
              <w:spacing w:before="0" w:after="0"/>
            </w:pPr>
            <w:r>
              <w:t xml:space="preserve">0030</w:t>
            </w:r>
          </w:p>
        </w:tc>
        <w:tc>
          <w:tcPr>
            <w:tcW w:w="7655" w:type="dxa"/>
            <w:vAlign w:val="center"/>
          </w:tcPr>
          <w:p w14:paraId="31BBD503"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NIMELLISMÄÄRÄT</w:t>
            </w:r>
          </w:p>
          <w:p w14:paraId="0DE79C1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Tässä tarkoitetaan johdannaisten ja arvopapereilla toteutettavien rahoitustoimien nimellismäärien summaa ennen nettoutusta ja ilman asetuksen (EU) N:o 575/2013 279 b artiklan mukaisia mukautuksia.</w:t>
            </w:r>
          </w:p>
        </w:tc>
      </w:tr>
      <w:tr w:rsidR="00EF74C7" w:rsidRPr="002A677E" w14:paraId="5C1FBFBA" w14:textId="77777777" w:rsidTr="00822842">
        <w:trPr>
          <w:trHeight w:val="680"/>
        </w:trPr>
        <w:tc>
          <w:tcPr>
            <w:tcW w:w="1384" w:type="dxa"/>
          </w:tcPr>
          <w:p w14:paraId="314060C4" w14:textId="77777777" w:rsidR="00EF74C7" w:rsidRPr="002A677E" w:rsidRDefault="00EF74C7" w:rsidP="00822842">
            <w:pPr>
              <w:pStyle w:val="Applicationdirecte"/>
              <w:spacing w:before="0" w:after="0"/>
            </w:pPr>
            <w:r>
              <w:t xml:space="preserve">0040</w:t>
            </w:r>
          </w:p>
        </w:tc>
        <w:tc>
          <w:tcPr>
            <w:tcW w:w="7655" w:type="dxa"/>
            <w:vAlign w:val="center"/>
          </w:tcPr>
          <w:p w14:paraId="0DCD00FE"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MARKKINA-ARVO (CMV), POSITIIVINEN</w:t>
            </w:r>
          </w:p>
          <w:p w14:paraId="0CABD62F"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Asetuksen (EU) N:o 575/2013 272 artiklan 12 kohta</w:t>
            </w:r>
          </w:p>
          <w:p w14:paraId="37448E9C"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Kaikkien sellaisten nettoutusryhmien, joiden markkina-arvo on positiivinen, markkina-arvojen summa asetuksen (EU) N:o 575/2013 272 artiklan 12 alakohdan määritelmän mukaisesti.</w:t>
            </w:r>
            <w:r>
              <w:rPr>
                <w:sz w:val="24"/>
                <w:rFonts w:ascii="Times New Roman" w:hAnsi="Times New Roman"/>
              </w:rPr>
              <w:t xml:space="preserve"> </w:t>
            </w:r>
          </w:p>
        </w:tc>
      </w:tr>
      <w:tr w:rsidR="00EF74C7" w:rsidRPr="002A677E" w14:paraId="267FA73E" w14:textId="77777777" w:rsidTr="00822842">
        <w:trPr>
          <w:trHeight w:val="680"/>
        </w:trPr>
        <w:tc>
          <w:tcPr>
            <w:tcW w:w="1384" w:type="dxa"/>
          </w:tcPr>
          <w:p w14:paraId="490B203B" w14:textId="77777777" w:rsidR="00EF74C7" w:rsidRPr="002A677E" w:rsidRDefault="00EF74C7" w:rsidP="00822842">
            <w:pPr>
              <w:pStyle w:val="Applicationdirecte"/>
              <w:spacing w:before="0" w:after="0"/>
            </w:pPr>
            <w:r>
              <w:t xml:space="preserve">0050</w:t>
            </w:r>
          </w:p>
        </w:tc>
        <w:tc>
          <w:tcPr>
            <w:tcW w:w="7655" w:type="dxa"/>
            <w:vAlign w:val="center"/>
          </w:tcPr>
          <w:p w14:paraId="4AE0533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MARKKINA-ARVO (CMV), NEGATIIVINEN</w:t>
            </w:r>
          </w:p>
          <w:p w14:paraId="1AE578B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Asetuksen (EU) N:o 575/2013 272 artiklan 12 kohta</w:t>
            </w:r>
          </w:p>
          <w:p w14:paraId="7055CBFD"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Kaikkien sellaisten nettoutusryhmien, joiden markkina-arvo on negatiivinen, absoluuttisten markkina-arvojen summa asetuksen (EU) N:o 575/2013 272 artiklan 12 alakohdan määritelmän mukaisesti.</w:t>
            </w:r>
          </w:p>
        </w:tc>
      </w:tr>
      <w:tr w:rsidR="00EF74C7" w:rsidRPr="002A677E" w14:paraId="0BB7F6EF" w14:textId="77777777" w:rsidTr="00822842">
        <w:trPr>
          <w:trHeight w:val="680"/>
        </w:trPr>
        <w:tc>
          <w:tcPr>
            <w:tcW w:w="1384" w:type="dxa"/>
          </w:tcPr>
          <w:p w14:paraId="0A3FB298" w14:textId="77777777" w:rsidR="00EF74C7" w:rsidRPr="002A677E" w:rsidRDefault="00EF74C7" w:rsidP="00822842">
            <w:pPr>
              <w:pStyle w:val="Fait"/>
            </w:pPr>
            <w:r>
              <w:t xml:space="preserve">0060</w:t>
            </w:r>
          </w:p>
        </w:tc>
        <w:tc>
          <w:tcPr>
            <w:tcW w:w="7655" w:type="dxa"/>
            <w:vAlign w:val="center"/>
          </w:tcPr>
          <w:p w14:paraId="48B3261E" w14:textId="77777777" w:rsidR="00EF74C7" w:rsidRPr="002A677E" w:rsidRDefault="00EF74C7" w:rsidP="00822842">
            <w:pPr>
              <w:keepNext/>
              <w:spacing w:before="60"/>
              <w:rPr>
                <w:rStyle w:val="InstructionsTabelleberschrift"/>
                <w:b w:val="0"/>
                <w:bCs w:val="0"/>
                <w:sz w:val="24"/>
                <w:rFonts w:ascii="Times New Roman" w:hAnsi="Times New Roman"/>
              </w:rPr>
            </w:pPr>
            <w:r>
              <w:rPr>
                <w:rStyle w:val="InstructionsTabelleberschrift"/>
                <w:sz w:val="24"/>
                <w:rFonts w:ascii="Times New Roman" w:hAnsi="Times New Roman"/>
              </w:rPr>
              <w:t xml:space="preserve">VAKUUSMARGINAALI (VM), SAATU</w:t>
            </w:r>
          </w:p>
          <w:p w14:paraId="1BCA2FE2"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Asetuksen (EU) N:o 575/2013 275 artiklan 2 kohta, 275 artiklan 3 kohta ja 276 artikla</w:t>
            </w:r>
          </w:p>
          <w:p w14:paraId="369BA28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Kaikkien niiden vakuusvajesopimusten, joita varten on saatu vakuusmarginaali, vakuusmarginaalimäärien summa asetuksen (EU) N:o 575/2013 276 artiklan mukaisesti laskettuna.</w:t>
            </w:r>
          </w:p>
        </w:tc>
      </w:tr>
      <w:tr w:rsidR="00EF74C7" w:rsidRPr="002A677E" w14:paraId="6C721687" w14:textId="77777777" w:rsidTr="00822842">
        <w:trPr>
          <w:trHeight w:val="680"/>
        </w:trPr>
        <w:tc>
          <w:tcPr>
            <w:tcW w:w="1384" w:type="dxa"/>
          </w:tcPr>
          <w:p w14:paraId="2B88DE08" w14:textId="77777777" w:rsidR="00EF74C7" w:rsidRPr="002A677E" w:rsidRDefault="00EF74C7" w:rsidP="00822842">
            <w:pPr>
              <w:pStyle w:val="Fait"/>
            </w:pPr>
            <w:r>
              <w:t xml:space="preserve">0070</w:t>
            </w:r>
          </w:p>
        </w:tc>
        <w:tc>
          <w:tcPr>
            <w:tcW w:w="7655" w:type="dxa"/>
            <w:vAlign w:val="center"/>
          </w:tcPr>
          <w:p w14:paraId="3CBA9D04" w14:textId="77777777" w:rsidR="00EF74C7" w:rsidRPr="002A677E" w:rsidRDefault="00EF74C7" w:rsidP="00822842">
            <w:pPr>
              <w:keepNext/>
              <w:spacing w:before="60"/>
              <w:rPr>
                <w:rStyle w:val="InstructionsTabelleberschrift"/>
                <w:b w:val="0"/>
                <w:bCs w:val="0"/>
                <w:sz w:val="24"/>
                <w:rFonts w:ascii="Times New Roman" w:hAnsi="Times New Roman"/>
              </w:rPr>
            </w:pPr>
            <w:r>
              <w:rPr>
                <w:rStyle w:val="InstructionsTabelleberschrift"/>
                <w:sz w:val="24"/>
                <w:rFonts w:ascii="Times New Roman" w:hAnsi="Times New Roman"/>
              </w:rPr>
              <w:t xml:space="preserve">VAKUUSMARGINAALI (VM), ASETETTU</w:t>
            </w:r>
          </w:p>
          <w:p w14:paraId="5E268090"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Asetuksen (EU) N:o 575/2013 275 artiklan 2 kohta, 275 artiklan 3 kohta ja 276 artikla</w:t>
            </w:r>
          </w:p>
          <w:p w14:paraId="061EF38D"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Kaikkien niiden vakuusvajesopimusten, joita varten on asetettu vakuusmarginaali, vakuusmarginaalimäärien summa asetuksen (EU) N:o 575/2013 276 artiklan mukaisesti laskettuna.</w:t>
            </w:r>
          </w:p>
        </w:tc>
      </w:tr>
      <w:tr w:rsidR="00EF74C7" w:rsidRPr="002A677E" w14:paraId="4403BF45" w14:textId="77777777" w:rsidTr="00822842">
        <w:trPr>
          <w:trHeight w:val="680"/>
        </w:trPr>
        <w:tc>
          <w:tcPr>
            <w:tcW w:w="1384" w:type="dxa"/>
          </w:tcPr>
          <w:p w14:paraId="6FD71C9F" w14:textId="77777777" w:rsidR="00EF74C7" w:rsidRPr="002A677E" w:rsidRDefault="00EF74C7" w:rsidP="00822842">
            <w:pPr>
              <w:pStyle w:val="Applicationdirecte"/>
              <w:spacing w:before="0" w:after="0"/>
            </w:pPr>
            <w:r>
              <w:t xml:space="preserve">0080</w:t>
            </w:r>
          </w:p>
        </w:tc>
        <w:tc>
          <w:tcPr>
            <w:tcW w:w="7655" w:type="dxa"/>
            <w:vAlign w:val="center"/>
          </w:tcPr>
          <w:p w14:paraId="2A71E90A"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RIIPPUMATON VAKUUDEN NETTOMÄÄRÄ (NICA), SAATU</w:t>
            </w:r>
            <w:r>
              <w:rPr>
                <w:rStyle w:val="InstructionsTabelleberschrift"/>
                <w:sz w:val="24"/>
                <w:rFonts w:ascii="Times New Roman" w:hAnsi="Times New Roman"/>
              </w:rPr>
              <w:t xml:space="preserve"> </w:t>
            </w:r>
          </w:p>
          <w:p w14:paraId="6F05E00C"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Asetuksen (EU) N:o 575/2013 272 artiklan 12 a kohta, 275 artiklan 3 kohta ja 276 artikla</w:t>
            </w:r>
          </w:p>
          <w:p w14:paraId="4F712E22"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Kaikkien niiden vakuusvajesopimusten, joita varten on saatu riippumaton vakuuden nettomäärä (NICA), riippumattoman vakuuden nettomäärien summa asetuksen (EU) N:o 575/2013 276 artiklan mukaisesti laskettuna.</w:t>
            </w:r>
          </w:p>
        </w:tc>
      </w:tr>
      <w:tr w:rsidR="00EF74C7" w:rsidRPr="002A677E" w14:paraId="6199258D" w14:textId="77777777" w:rsidTr="00822842">
        <w:trPr>
          <w:trHeight w:val="680"/>
        </w:trPr>
        <w:tc>
          <w:tcPr>
            <w:tcW w:w="1384" w:type="dxa"/>
          </w:tcPr>
          <w:p w14:paraId="5ECD89A4" w14:textId="77777777" w:rsidR="00EF74C7" w:rsidRPr="002A677E" w:rsidRDefault="00EF74C7" w:rsidP="00822842">
            <w:pPr>
              <w:pStyle w:val="Applicationdirecte"/>
              <w:spacing w:before="0" w:after="0"/>
            </w:pPr>
            <w:r>
              <w:t xml:space="preserve">0090</w:t>
            </w:r>
          </w:p>
        </w:tc>
        <w:tc>
          <w:tcPr>
            <w:tcW w:w="7655" w:type="dxa"/>
            <w:vAlign w:val="center"/>
          </w:tcPr>
          <w:p w14:paraId="0E262EAD"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RIIPPUMATON VAKUUDEN NETTOMÄÄRÄ (NICA), ASETETTU</w:t>
            </w:r>
            <w:r>
              <w:rPr>
                <w:rStyle w:val="InstructionsTabelleberschrift"/>
                <w:sz w:val="24"/>
                <w:rFonts w:ascii="Times New Roman" w:hAnsi="Times New Roman"/>
              </w:rPr>
              <w:t xml:space="preserve"> </w:t>
            </w:r>
          </w:p>
          <w:p w14:paraId="69D94B02"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Asetuksen (EU) N:o 575/2013 272 artiklan 12 a kohta, 275 artiklan 3 kohta ja 276 artikla</w:t>
            </w:r>
          </w:p>
          <w:p w14:paraId="501F735A" w14:textId="77777777" w:rsidR="00EF74C7" w:rsidRPr="002A677E" w:rsidRDefault="00EF74C7" w:rsidP="00822842">
            <w:pPr>
              <w:spacing w:before="60"/>
              <w:rPr>
                <w:rStyle w:val="InstructionsTabelleberschrift"/>
                <w:sz w:val="24"/>
                <w:rFonts w:ascii="Times New Roman" w:hAnsi="Times New Roman"/>
              </w:rPr>
            </w:pPr>
            <w:r>
              <w:rPr>
                <w:sz w:val="24"/>
                <w:rFonts w:ascii="Times New Roman" w:hAnsi="Times New Roman"/>
              </w:rPr>
              <w:t xml:space="preserve">Kaikkien niiden vakuusvajesopimusten, joita varten on asetettu riippumaton vakuuden nettomäärä (NICA), riippumattoman vakuuden nettomäärien summa asetuksen (EU) N:o 575/2013 276 artiklan mukaisesti laskettuna.</w:t>
            </w:r>
          </w:p>
        </w:tc>
      </w:tr>
      <w:tr w:rsidR="00EF74C7" w:rsidRPr="002A677E" w14:paraId="1D70BDB1" w14:textId="77777777" w:rsidTr="00822842">
        <w:trPr>
          <w:trHeight w:val="680"/>
        </w:trPr>
        <w:tc>
          <w:tcPr>
            <w:tcW w:w="1384" w:type="dxa"/>
          </w:tcPr>
          <w:p w14:paraId="4B42749A" w14:textId="77777777" w:rsidR="00EF74C7" w:rsidRPr="002A677E" w:rsidRDefault="00EF74C7" w:rsidP="00822842">
            <w:pPr>
              <w:pStyle w:val="Applicationdirecte"/>
              <w:spacing w:before="0" w:after="0"/>
            </w:pPr>
            <w:r>
              <w:t xml:space="preserve">0100</w:t>
            </w:r>
          </w:p>
        </w:tc>
        <w:tc>
          <w:tcPr>
            <w:tcW w:w="7655" w:type="dxa"/>
            <w:vAlign w:val="center"/>
          </w:tcPr>
          <w:p w14:paraId="4F8024BE"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JÄLLEENHANKINTA-ARVO (RC)</w:t>
            </w:r>
            <w:r>
              <w:rPr>
                <w:rStyle w:val="InstructionsTabelleberschrift"/>
                <w:sz w:val="24"/>
                <w:rFonts w:ascii="Times New Roman" w:hAnsi="Times New Roman"/>
              </w:rPr>
              <w:t xml:space="preserve"> </w:t>
            </w:r>
          </w:p>
          <w:p w14:paraId="020E5CFA"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Asetuksen (EU) N:o 575/2013 275, 281 ja 282 artikla</w:t>
            </w:r>
          </w:p>
          <w:p w14:paraId="7C118F06" w14:textId="77777777" w:rsidR="00EF74C7" w:rsidRPr="002A677E" w:rsidRDefault="00EF74C7" w:rsidP="00822842">
            <w:pPr>
              <w:pStyle w:val="TableMainHeading"/>
              <w:spacing w:before="0" w:after="0"/>
              <w:jc w:val="both"/>
              <w:rPr>
                <w:sz w:val="24"/>
                <w:szCs w:val="24"/>
                <w:rFonts w:ascii="Times New Roman" w:hAnsi="Times New Roman"/>
              </w:rPr>
            </w:pPr>
            <w:r>
              <w:rPr>
                <w:sz w:val="24"/>
                <w:rFonts w:ascii="Times New Roman" w:hAnsi="Times New Roman"/>
              </w:rPr>
              <w:t xml:space="preserve">Nettoutusryhmän jälleenhankinta-arvo (RC) on laskettava seuraavien artiklojen mukaisesti:</w:t>
            </w:r>
            <w:r>
              <w:rPr>
                <w:sz w:val="24"/>
                <w:rFonts w:ascii="Times New Roman" w:hAnsi="Times New Roman"/>
              </w:rPr>
              <w:t xml:space="preserve"> </w:t>
            </w:r>
          </w:p>
          <w:p w14:paraId="48A8DFD4"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asetuksen (EU) N:o 575/2013 282 artiklan 3 kohta alkuperäisen hankinta-arvon menetelmän tapauksessa,</w:t>
            </w:r>
            <w:r>
              <w:rPr>
                <w:sz w:val="24"/>
                <w:rFonts w:ascii="Times New Roman" w:hAnsi="Times New Roman"/>
              </w:rPr>
              <w:t xml:space="preserve"> </w:t>
            </w:r>
          </w:p>
          <w:p w14:paraId="119FA22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asetuksen (EU) N:o 575/2013 281 artikla yksinkertaistetun SA-CCR-menetelmän tapauksessa,</w:t>
            </w:r>
          </w:p>
          <w:p w14:paraId="341C9FB7"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asetuksen (EU) N:o 575/2013 275 artikla SA-CCR-menetelmän tapauksessa,</w:t>
            </w:r>
          </w:p>
          <w:p w14:paraId="4927F863"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Laitoksen on ilmoitettava nettoutusryhmien jälleenhankinta-arvojen summa asianomaisella rivillä.</w:t>
            </w:r>
          </w:p>
        </w:tc>
      </w:tr>
      <w:tr w:rsidR="00EF74C7" w:rsidRPr="002A677E" w14:paraId="6A436014" w14:textId="77777777" w:rsidTr="00822842">
        <w:trPr>
          <w:trHeight w:val="680"/>
        </w:trPr>
        <w:tc>
          <w:tcPr>
            <w:tcW w:w="1384" w:type="dxa"/>
          </w:tcPr>
          <w:p w14:paraId="0929ECF8" w14:textId="77777777" w:rsidR="00EF74C7" w:rsidRPr="002A677E" w:rsidRDefault="00EF74C7" w:rsidP="00822842">
            <w:pPr>
              <w:pStyle w:val="Applicationdirecte"/>
              <w:spacing w:before="0" w:after="0"/>
            </w:pPr>
            <w:r>
              <w:t xml:space="preserve">0110</w:t>
            </w:r>
          </w:p>
        </w:tc>
        <w:tc>
          <w:tcPr>
            <w:tcW w:w="7655" w:type="dxa"/>
            <w:vAlign w:val="center"/>
          </w:tcPr>
          <w:p w14:paraId="2874AC61"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TULEVAISUUDEN POTENTIAALINEN VASTAPUOLIRISKI (PFE)</w:t>
            </w:r>
          </w:p>
          <w:p w14:paraId="1F05C741"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Asetuksen (EU) N:o 575/2013 278, 281 ja 282 artikla</w:t>
            </w:r>
          </w:p>
          <w:p w14:paraId="3BB9BD10"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Nettoutusryhmän tulevaisuuden potentiaalinen vastapuoliriski (PFE) on laskettava seuraavien artiklojen mukaisesti:</w:t>
            </w:r>
            <w:r>
              <w:rPr>
                <w:sz w:val="24"/>
                <w:rFonts w:ascii="Times New Roman" w:hAnsi="Times New Roman"/>
              </w:rPr>
              <w:t xml:space="preserve"> </w:t>
            </w:r>
          </w:p>
          <w:p w14:paraId="5F96EE5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asetuksen (EU) N:o 575/2013 282 artiklan 4 kohta alkuperäisen hankinta-arvon menetelmän tapauksessa,</w:t>
            </w:r>
            <w:r>
              <w:rPr>
                <w:sz w:val="24"/>
                <w:rFonts w:ascii="Times New Roman" w:hAnsi="Times New Roman"/>
              </w:rPr>
              <w:t xml:space="preserve"> </w:t>
            </w:r>
          </w:p>
          <w:p w14:paraId="3C429683"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asetuksen (EU) N:o 575/2013 281 artikla yksinkertaistetun SA-CCR-menetelmän tapauksessa,</w:t>
            </w:r>
          </w:p>
          <w:p w14:paraId="6194F2AF"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asetuksen (EU) N:o 575/2013 278 artikla SA-CCR-menetelmän tapauksessa,</w:t>
            </w:r>
          </w:p>
          <w:p w14:paraId="2A2F0E46"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Laitoksen on ilmoitettava nettoutusryhmien tulevaisuuden potentiaalisten vastapuoliriskien summa asianomaisella rivillä.</w:t>
            </w:r>
          </w:p>
        </w:tc>
      </w:tr>
      <w:tr w:rsidR="00EF74C7" w:rsidRPr="002A677E" w14:paraId="77C5A8CC" w14:textId="77777777" w:rsidTr="00822842">
        <w:trPr>
          <w:trHeight w:val="680"/>
        </w:trPr>
        <w:tc>
          <w:tcPr>
            <w:tcW w:w="1384" w:type="dxa"/>
          </w:tcPr>
          <w:p w14:paraId="35C9D880" w14:textId="77777777" w:rsidR="00EF74C7" w:rsidRPr="002A677E" w:rsidRDefault="00EF74C7" w:rsidP="00822842">
            <w:pPr>
              <w:pStyle w:val="Applicationdirecte"/>
              <w:spacing w:before="0" w:after="0"/>
            </w:pPr>
            <w:r>
              <w:t xml:space="preserve">0120</w:t>
            </w:r>
          </w:p>
        </w:tc>
        <w:tc>
          <w:tcPr>
            <w:tcW w:w="7655" w:type="dxa"/>
            <w:vAlign w:val="center"/>
          </w:tcPr>
          <w:p w14:paraId="1B837C4C"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NYKYHETKEN VASTAPUOLIRISKI</w:t>
            </w:r>
          </w:p>
          <w:p w14:paraId="1E442243"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Asetuksen (EU) N:o 575/2013 272 artiklan 17 kohta</w:t>
            </w:r>
            <w:r>
              <w:rPr>
                <w:sz w:val="24"/>
                <w:rFonts w:ascii="Times New Roman" w:hAnsi="Times New Roman"/>
              </w:rPr>
              <w:t xml:space="preserve"> </w:t>
            </w:r>
          </w:p>
          <w:p w14:paraId="36E33616"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Nettoutusryhmän nykyhetken vastapuoliriski on asetuksen (EU) N:o 575/2013 272 artiklan 17 alakohdassa määritelty arvo.</w:t>
            </w:r>
          </w:p>
          <w:p w14:paraId="459ECA5A"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Laitoksen on ilmoitettava nettoutusryhmien nykyhetken vastapuoliriskien summa asianomaisella rivillä.</w:t>
            </w:r>
          </w:p>
        </w:tc>
      </w:tr>
      <w:tr w:rsidR="00EF74C7" w:rsidRPr="002A677E" w14:paraId="1B8ACD23" w14:textId="77777777" w:rsidTr="00822842">
        <w:trPr>
          <w:trHeight w:val="680"/>
        </w:trPr>
        <w:tc>
          <w:tcPr>
            <w:tcW w:w="1384" w:type="dxa"/>
          </w:tcPr>
          <w:p w14:paraId="74E98C99" w14:textId="77777777" w:rsidR="00EF74C7" w:rsidRPr="002A677E" w:rsidRDefault="00EF74C7" w:rsidP="00822842">
            <w:pPr>
              <w:pStyle w:val="Applicationdirecte"/>
              <w:spacing w:before="0" w:after="0"/>
            </w:pPr>
            <w:r>
              <w:t xml:space="preserve">0130</w:t>
            </w:r>
          </w:p>
        </w:tc>
        <w:tc>
          <w:tcPr>
            <w:tcW w:w="7655" w:type="dxa"/>
            <w:vAlign w:val="center"/>
          </w:tcPr>
          <w:p w14:paraId="3EC3B867"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EFEKTIIVINEN ODOTETTU VASTAPUOLIRISKI (EEPE)</w:t>
            </w:r>
          </w:p>
          <w:p w14:paraId="758613C4"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Asetuksen (EU) N:o 575/2013 272 artiklan 22 kohta, 284 artiklan 3 kohta ja 284 artiklan 6 kohta</w:t>
            </w:r>
          </w:p>
          <w:p w14:paraId="33B149EE" w14:textId="77777777" w:rsidR="00EF74C7" w:rsidRPr="002A677E" w:rsidRDefault="00EF74C7" w:rsidP="00822842">
            <w:pPr>
              <w:pStyle w:val="Default"/>
              <w:spacing w:after="120"/>
              <w:jc w:val="both"/>
              <w:rPr>
                <w:color w:val="auto"/>
                <w:rFonts w:ascii="Times New Roman" w:hAnsi="Times New Roman" w:cs="Times New Roman"/>
              </w:rPr>
            </w:pPr>
            <w:r>
              <w:rPr>
                <w:color w:val="auto"/>
                <w:rFonts w:ascii="Times New Roman" w:hAnsi="Times New Roman"/>
              </w:rPr>
              <w:t xml:space="preserve">Nettoutusryhmän efektiivinen odotettu vastapuoliriski (EEPE) määritellään asetuksen (EU) N:o 575/2013 272 artiklan 22 alakohdassa, ja se on laskettava asetuksen (EU) N:o 575/2013 284 artiklan 6 kohdan mukaisesti.</w:t>
            </w:r>
          </w:p>
          <w:p w14:paraId="336DEF87"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Laitoksen on ilmoitettava kaikkien omien varojen vaatimusten määrittämisessä asetuksen (EU) N:o 575/2013 284 artiklan 3 kohdan mukaisesti sovellettavien efektiivisten odotettujen vastapuoliriskien summa. Tässä yhteydessä on käytettävä efektiivisiä odotettuja vastapuoliriskejä, jotka on laskettu joko nykyhetken markkinatietoja käyttäen tai stressikalibrointia käyttäen sen mukaan, kumpi johtaa korkeampiin omien varojen vaatimuksiin.</w:t>
            </w:r>
          </w:p>
        </w:tc>
      </w:tr>
      <w:tr w:rsidR="00EF74C7" w:rsidRPr="002A677E" w14:paraId="663F4BA2" w14:textId="77777777" w:rsidTr="00822842">
        <w:trPr>
          <w:trHeight w:val="680"/>
        </w:trPr>
        <w:tc>
          <w:tcPr>
            <w:tcW w:w="1384" w:type="dxa"/>
          </w:tcPr>
          <w:p w14:paraId="36EC68F2" w14:textId="77777777" w:rsidR="00EF74C7" w:rsidRPr="002A677E" w:rsidRDefault="00EF74C7" w:rsidP="00822842">
            <w:pPr>
              <w:pStyle w:val="Applicationdirecte"/>
              <w:spacing w:before="0" w:after="0"/>
            </w:pPr>
            <w:r>
              <w:t xml:space="preserve">0140</w:t>
            </w:r>
          </w:p>
        </w:tc>
        <w:tc>
          <w:tcPr>
            <w:tcW w:w="7655" w:type="dxa"/>
            <w:vAlign w:val="center"/>
          </w:tcPr>
          <w:p w14:paraId="2682CC5B"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SÄÄNTELYN MUKAISEN VASTUUARVON LASKENNASSA KÄYTETTY ALFA</w:t>
            </w:r>
            <w:r>
              <w:rPr>
                <w:rStyle w:val="InstructionsTabelleberschrift"/>
                <w:sz w:val="24"/>
                <w:rFonts w:ascii="Times New Roman" w:hAnsi="Times New Roman"/>
              </w:rPr>
              <w:t xml:space="preserve"> </w:t>
            </w:r>
          </w:p>
          <w:p w14:paraId="02E67AA1"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Asetuksen (EU) N:o 575/2013 274 artiklan 2 kohta, 282 artiklan 2 kohta, 281 artiklan 1 kohta ja 284 artiklan 4 ja 9 kohta</w:t>
            </w:r>
          </w:p>
          <w:p w14:paraId="5EFB3579" w14:textId="77777777" w:rsidR="00EF74C7" w:rsidRPr="002A677E" w:rsidRDefault="00EF74C7" w:rsidP="00822842">
            <w:pPr>
              <w:spacing w:before="60"/>
              <w:rPr>
                <w:i/>
                <w:sz w:val="24"/>
                <w:rFonts w:ascii="Times New Roman" w:eastAsia="Calibri" w:hAnsi="Times New Roman"/>
              </w:rPr>
            </w:pPr>
            <w:r>
              <w:rPr>
                <w:sz w:val="24"/>
                <w:rFonts w:ascii="Times New Roman" w:hAnsi="Times New Roman"/>
              </w:rPr>
              <w:t xml:space="preserve">Alkuperäisen hankintahinnan menetelmää, yksinkertaistettua SA-CCR-menetelmää ja SA-CCR-menetelmää koskevilla riveillä alfan (α) arvoksi on vahvistettu 1,4 asetuksen (EU) N:o 575/2013 282 artiklan 2 kohdan, 281 artiklan 1 kohdan ja 274 artiklan 2 kohdan mukaisesti.</w:t>
            </w:r>
            <w:r>
              <w:rPr>
                <w:sz w:val="24"/>
                <w:rFonts w:ascii="Times New Roman" w:hAnsi="Times New Roman"/>
              </w:rPr>
              <w:t xml:space="preserve"> </w:t>
            </w:r>
            <w:r>
              <w:rPr>
                <w:sz w:val="24"/>
                <w:rFonts w:ascii="Times New Roman" w:hAnsi="Times New Roman"/>
              </w:rPr>
              <w:t xml:space="preserve">Käytettäessä sisäisen mallin menetelmää α:n arvo voi olla joko oletusarvo 1,4 tai jokin muu arvo, jos toimivaltaiset viranomaiset vaativat suurempaa alfaa asetuksen (EU) N:o 575/2013 284 artiklan 4 kohdan mukaisesti tai sallivat kyseisen asetuksen 284 artiklan 9 kohdan mukaisesti sen, että laitokset käyttävät omia estimaattejaan.</w:t>
            </w:r>
          </w:p>
        </w:tc>
      </w:tr>
      <w:tr w:rsidR="00EF74C7" w:rsidRPr="002A677E" w14:paraId="04AA2156" w14:textId="77777777" w:rsidTr="00822842">
        <w:trPr>
          <w:trHeight w:val="680"/>
        </w:trPr>
        <w:tc>
          <w:tcPr>
            <w:tcW w:w="1384" w:type="dxa"/>
          </w:tcPr>
          <w:p w14:paraId="25456D2E" w14:textId="77777777" w:rsidR="00EF74C7" w:rsidRPr="002A677E" w:rsidRDefault="00EF74C7" w:rsidP="00822842">
            <w:pPr>
              <w:pStyle w:val="Applicationdirecte"/>
              <w:spacing w:before="0" w:after="0"/>
            </w:pPr>
            <w:r>
              <w:t xml:space="preserve">0150</w:t>
            </w:r>
          </w:p>
        </w:tc>
        <w:tc>
          <w:tcPr>
            <w:tcW w:w="7655" w:type="dxa"/>
          </w:tcPr>
          <w:p w14:paraId="737A43B1"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VASTUUARVO ENNEN LUOTTORISKIN VÄHENTÄMISTÄ</w:t>
            </w:r>
            <w:r>
              <w:rPr>
                <w:rStyle w:val="InstructionsTabelleberschrift"/>
                <w:sz w:val="24"/>
                <w:rFonts w:ascii="Times New Roman" w:hAnsi="Times New Roman"/>
              </w:rPr>
              <w:t xml:space="preserve"> </w:t>
            </w:r>
          </w:p>
          <w:p w14:paraId="3483D02B"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Vastapuoliriskin nettoutusryhmien vastuuarvo ennen luottoriskin vähentämistä on laskettava asetuksen (EU) N:o 575/2013 kolmannen osan II osaston 4 ja 6 luvussa säädettyjen menetelmien mukaisesti ottaen huomioon nettoutuksen vaikutus mutta ottamatta huomioon muita luottoriskin vähentämistekniikoita (esim. marginaalivakuudet).</w:t>
            </w:r>
            <w:r>
              <w:rPr>
                <w:sz w:val="24"/>
                <w:rFonts w:ascii="Times New Roman" w:hAnsi="Times New Roman"/>
              </w:rPr>
              <w:t xml:space="preserve"> </w:t>
            </w:r>
          </w:p>
          <w:p w14:paraId="3FD5C6A1"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Arvopapereilla toteutettavien rahoitustoimien tapauksessa arvopaperiosaa ei oteta huomioon määritettäessä vastuuarvoa ennen luottoriskin vähentämistä, kun vakuus on saatu ja ei sen vuoksi vähennä vastuuarvoa.</w:t>
            </w:r>
            <w:r>
              <w:rPr>
                <w:sz w:val="24"/>
                <w:rFonts w:ascii="Times New Roman" w:hAnsi="Times New Roman"/>
              </w:rPr>
              <w:t xml:space="preserve"> </w:t>
            </w:r>
            <w:r>
              <w:rPr>
                <w:sz w:val="24"/>
                <w:rFonts w:ascii="Times New Roman" w:hAnsi="Times New Roman"/>
              </w:rPr>
              <w:t xml:space="preserve">Sen sijaan arvopapereilla toteutettavien rahoitustoimien arvopaperiosa otetaan tavalliseen tapaan huomioon määritettäessä vastuuarvoa ennen luottoriskin vähentämistä, kun vakuus on asetettu.</w:t>
            </w:r>
            <w:r>
              <w:rPr>
                <w:sz w:val="24"/>
                <w:rFonts w:ascii="Times New Roman" w:hAnsi="Times New Roman"/>
              </w:rPr>
              <w:t xml:space="preserve"> </w:t>
            </w:r>
          </w:p>
          <w:p w14:paraId="0731F37F"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Lisäksi vakuudellista liiketoimintaa on käsiteltävä kuten vakuudetonta, eli marginaalien laskennan vaikutuksia ei sovelleta.</w:t>
            </w:r>
            <w:r>
              <w:rPr>
                <w:sz w:val="24"/>
                <w:rFonts w:ascii="Times New Roman" w:hAnsi="Times New Roman"/>
              </w:rPr>
              <w:t xml:space="preserve"> </w:t>
            </w:r>
          </w:p>
          <w:p w14:paraId="2256FCEC"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Sellaisten liiketoimien vastuuarvo ennen luottoriskin vähentämistä, joihin on havaittu liittyvän erityinen wrong way -riski, on määritettävä asetuksen (EU) N:o 575/2013 291 artiklan mukaisesti.</w:t>
            </w:r>
            <w:r>
              <w:rPr>
                <w:sz w:val="24"/>
                <w:rFonts w:ascii="Times New Roman" w:hAnsi="Times New Roman"/>
              </w:rPr>
              <w:t xml:space="preserve"> </w:t>
            </w:r>
          </w:p>
          <w:p w14:paraId="7E319C8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Vastuuarvossa ennen luottoriskin vähentämistä ei saa ottaa huomioon vastuiden arvonoikaisusta aiheutuvaa tappiota asetuksen (EU) N:o 575/2013 273 artiklan 6 kohdan mukaisesti.</w:t>
            </w:r>
            <w:r>
              <w:rPr>
                <w:sz w:val="24"/>
                <w:rFonts w:ascii="Times New Roman" w:hAnsi="Times New Roman"/>
              </w:rPr>
              <w:t xml:space="preserve"> </w:t>
            </w:r>
          </w:p>
          <w:p w14:paraId="504F1374"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Laitoksen on ilmoitettava kaikkien ennen luottoriskin vähentämistä laskettujen vastuuarvojen summa asianomaisella rivillä.</w:t>
            </w:r>
          </w:p>
        </w:tc>
      </w:tr>
      <w:tr w:rsidR="00EF74C7" w:rsidRPr="002A677E" w14:paraId="79D7A4AF" w14:textId="77777777" w:rsidTr="00822842">
        <w:trPr>
          <w:trHeight w:val="680"/>
        </w:trPr>
        <w:tc>
          <w:tcPr>
            <w:tcW w:w="1384" w:type="dxa"/>
          </w:tcPr>
          <w:p w14:paraId="0DCD8BB4" w14:textId="77777777" w:rsidR="00EF74C7" w:rsidRPr="002A677E" w:rsidRDefault="00EF74C7" w:rsidP="00822842">
            <w:pPr>
              <w:pStyle w:val="Applicationdirecte"/>
              <w:spacing w:before="0" w:after="0"/>
            </w:pPr>
            <w:r>
              <w:t xml:space="preserve">0160</w:t>
            </w:r>
          </w:p>
        </w:tc>
        <w:tc>
          <w:tcPr>
            <w:tcW w:w="7655" w:type="dxa"/>
          </w:tcPr>
          <w:p w14:paraId="2175395B"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VASTUUARVO LUOTTORISKIN VÄHENTÄMISEN JÄLKEEN</w:t>
            </w:r>
            <w:r>
              <w:rPr>
                <w:rStyle w:val="InstructionsTabelleberschrift"/>
                <w:sz w:val="24"/>
                <w:rFonts w:ascii="Times New Roman" w:hAnsi="Times New Roman"/>
              </w:rPr>
              <w:t xml:space="preserve"> </w:t>
            </w:r>
          </w:p>
          <w:p w14:paraId="29261E0B"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Vastapuoliriskin nettoutusryhmien vastuuarvo luottoriskin vähentämisen jälkeen on laskettava asetuksen (EU) N:o 575/2013 kolmannen osan II osaston 4 ja 6 luvussa säädettyjen menetelmien mukaisesti kyseisen asetuksen kolmannen luvun II osaston 4 ja 6 luvun mukaisesti sovellettavien luottoriskin vähentämistekniikoiden soveltamisen jälkeen.</w:t>
            </w:r>
          </w:p>
          <w:p w14:paraId="365B5880"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Sellaisten liiketoimien vastuuarvo luottoriskin vähentämisen jälkeen, joihin on havaittu liittyvän erityinen wrong way -riski, on määritettävä asetuksen (EU) N:o 575/2013 291 artiklan mukaisesti.</w:t>
            </w:r>
            <w:r>
              <w:rPr>
                <w:sz w:val="24"/>
                <w:rFonts w:ascii="Times New Roman" w:hAnsi="Times New Roman"/>
              </w:rPr>
              <w:t xml:space="preserve"> </w:t>
            </w:r>
          </w:p>
          <w:p w14:paraId="695EEB6F"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Vastuuarvossa luottoriskin vähentämisen jälkeen ei saa ottaa huomioon vastuiden arvonoikaisusta aiheutuvaa tappiota asetuksen (EU) N:o 575/2013 273 artiklan 6 kohdan mukaisesti.</w:t>
            </w:r>
          </w:p>
          <w:p w14:paraId="797ADF5B"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Laitoksen on ilmoitettava kaikkien luottoriskin vähentämisen jälkeisten vastuuarvojen summa asianomaisella rivillä.</w:t>
            </w:r>
          </w:p>
        </w:tc>
      </w:tr>
      <w:tr w:rsidR="00EF74C7" w:rsidRPr="002A677E" w14:paraId="45FF5B7E" w14:textId="77777777" w:rsidTr="00822842">
        <w:trPr>
          <w:trHeight w:val="680"/>
        </w:trPr>
        <w:tc>
          <w:tcPr>
            <w:tcW w:w="1384" w:type="dxa"/>
          </w:tcPr>
          <w:p w14:paraId="60D5CCE0" w14:textId="77777777" w:rsidR="00EF74C7" w:rsidRPr="002A677E" w:rsidRDefault="00EF74C7" w:rsidP="00822842">
            <w:pPr>
              <w:pStyle w:val="Applicationdirecte"/>
              <w:spacing w:before="0" w:after="0"/>
            </w:pPr>
            <w:r>
              <w:t xml:space="preserve">0170</w:t>
            </w:r>
          </w:p>
        </w:tc>
        <w:tc>
          <w:tcPr>
            <w:tcW w:w="7655" w:type="dxa"/>
            <w:vAlign w:val="center"/>
          </w:tcPr>
          <w:p w14:paraId="05219E98"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VASTUUARVO</w:t>
            </w:r>
          </w:p>
          <w:p w14:paraId="75CDF24D"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Tässä tarkoitetaan asetuksen (EU) N:o 575/2013 kolmannen osan II osaston 4 ja 6 luvussa säädettyjen menetelmien mukaisesti laskettua vastapuoliriskin nettoutusryhmien vastuuarvoa, jota käytetään laskettaessa riskipainotettuja vastuueriä, ts. sen jälkeen kun on sovellettu asetuksen (EU) N:o 575/2013 kolmannen osan II osaston 4 ja 6 luvun mukaisesti sovellettavia luottoriskin vähentämistekniikoita ja ottaen huomioon asetuksen (EU) N:o 575/2013 273 artiklan 6 kohdan mukainen vastuiden arvonoikaisusta aiheutuneen tappion vähentäminen.</w:t>
            </w:r>
            <w:r>
              <w:rPr>
                <w:sz w:val="24"/>
                <w:rFonts w:ascii="Times New Roman" w:hAnsi="Times New Roman"/>
              </w:rPr>
              <w:t xml:space="preserve"> </w:t>
            </w:r>
          </w:p>
          <w:p w14:paraId="78D55FF1" w14:textId="77777777" w:rsidR="00EF74C7" w:rsidRPr="002A677E" w:rsidRDefault="00EF74C7" w:rsidP="00822842">
            <w:pPr>
              <w:rPr>
                <w:sz w:val="24"/>
                <w:rFonts w:ascii="Times New Roman" w:hAnsi="Times New Roman"/>
              </w:rPr>
            </w:pPr>
            <w:r>
              <w:rPr>
                <w:sz w:val="24"/>
                <w:rFonts w:ascii="Times New Roman" w:hAnsi="Times New Roman"/>
              </w:rPr>
              <w:t xml:space="preserve">Sellaisten liiketoimien vastuuarvo, joihin on havaittu liittyvän erityinen wrong way -riski, on määritettävä asetuksen (EU) N:o 575/2013 291 artiklan mukaisesti.</w:t>
            </w:r>
          </w:p>
          <w:p w14:paraId="2CCE9704"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Tapauksissa, joissa käytetään useampaa kuin yhtä vastapuoliriskimenetelmää yhden vastapuolen osalta, vastapuolen tasolla vähennettävä vastuiden arvonoikaisusta aiheutunut tappio on sisällytettävä kussakin vastapuoliriskimenetelmässä niiden eri nettoutusryhmien vastuuarvoon, jotka kuvastavat kyseisten nettoutusryhmien luottoriskin vähentämisen jälkeisen vastuuarvon suhdetta vastapuolen kokonaisvastuuarvoon luottoriskin vähentämisen jälkeen.</w:t>
            </w:r>
          </w:p>
          <w:p w14:paraId="0C842EAD" w14:textId="77777777" w:rsidR="00EF74C7" w:rsidRPr="002A677E" w:rsidRDefault="00EF74C7" w:rsidP="00822842">
            <w:r>
              <w:rPr>
                <w:sz w:val="24"/>
                <w:rFonts w:ascii="Times New Roman" w:hAnsi="Times New Roman"/>
              </w:rPr>
              <w:t xml:space="preserve">Laitoksen on ilmoitettava kaikkien vastuuarvojen summa asianomaisella rivillä.</w:t>
            </w:r>
          </w:p>
        </w:tc>
      </w:tr>
      <w:tr w:rsidR="00EF74C7" w:rsidRPr="002A677E" w14:paraId="06C4F9AA" w14:textId="77777777" w:rsidTr="00822842">
        <w:trPr>
          <w:trHeight w:val="680"/>
        </w:trPr>
        <w:tc>
          <w:tcPr>
            <w:tcW w:w="1384" w:type="dxa"/>
          </w:tcPr>
          <w:p w14:paraId="7065D6E6" w14:textId="77777777" w:rsidR="00EF74C7" w:rsidRPr="002A677E" w:rsidRDefault="00EF74C7" w:rsidP="00822842">
            <w:pPr>
              <w:pStyle w:val="Applicationdirecte"/>
              <w:spacing w:before="0" w:after="0"/>
            </w:pPr>
            <w:r>
              <w:t xml:space="preserve">0180</w:t>
            </w:r>
          </w:p>
        </w:tc>
        <w:tc>
          <w:tcPr>
            <w:tcW w:w="7655" w:type="dxa"/>
          </w:tcPr>
          <w:p w14:paraId="0DF22580"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Luottoriskiä koskevalla standardimenetelmällä käsiteltävät positiot</w:t>
            </w:r>
          </w:p>
          <w:p w14:paraId="1D95615D"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Tässä tarkoitetaan sellaisten positioiden vastapuoliriskin vastuuarvoa, jotka käsitellään luottoriskiä koskevalla standardimenetelmällä asetuksen (EU) N:o 575/2013 kolmannen osan II osaston 2 luvun mukaisesti.</w:t>
            </w:r>
          </w:p>
        </w:tc>
      </w:tr>
      <w:tr w:rsidR="00EF74C7" w:rsidRPr="002A677E" w14:paraId="16278C7D" w14:textId="77777777" w:rsidTr="00822842">
        <w:trPr>
          <w:trHeight w:val="557"/>
        </w:trPr>
        <w:tc>
          <w:tcPr>
            <w:tcW w:w="1384" w:type="dxa"/>
          </w:tcPr>
          <w:p w14:paraId="4DAAB02B" w14:textId="77777777" w:rsidR="00EF74C7" w:rsidRPr="002A677E" w:rsidRDefault="00EF74C7" w:rsidP="00822842">
            <w:pPr>
              <w:pStyle w:val="Applicationdirecte"/>
              <w:spacing w:before="0" w:after="0"/>
            </w:pPr>
            <w:r>
              <w:t xml:space="preserve">0190</w:t>
            </w:r>
          </w:p>
        </w:tc>
        <w:tc>
          <w:tcPr>
            <w:tcW w:w="7655" w:type="dxa"/>
          </w:tcPr>
          <w:p w14:paraId="2835516A"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Luottoriskiä koskevalla IRB-menetelmällä käsiteltävät positiot</w:t>
            </w:r>
          </w:p>
          <w:p w14:paraId="208129A6" w14:textId="77777777" w:rsidR="00EF74C7" w:rsidRPr="002A677E" w:rsidRDefault="00EF74C7" w:rsidP="00822842">
            <w:pPr>
              <w:rPr>
                <w:sz w:val="24"/>
                <w:rFonts w:ascii="Times New Roman" w:hAnsi="Times New Roman"/>
              </w:rPr>
            </w:pPr>
            <w:r>
              <w:rPr>
                <w:sz w:val="24"/>
                <w:rFonts w:ascii="Times New Roman" w:hAnsi="Times New Roman"/>
              </w:rPr>
              <w:t xml:space="preserve">Tässä tarkoitetaan sellaisten positioiden vastapuoliriskin vastuuarvoa, jotka käsitellään luottoriskiä koskevalla IRB-menetelmällä asetuksen (EU) N:o 575/2013 kolmannen osan II osaston 3 luvun mukaisesti.</w:t>
            </w:r>
            <w:r>
              <w:rPr>
                <w:sz w:val="24"/>
                <w:rFonts w:ascii="Times New Roman" w:hAnsi="Times New Roman"/>
              </w:rPr>
              <w:t xml:space="preserve"> </w:t>
            </w:r>
          </w:p>
        </w:tc>
      </w:tr>
      <w:tr w:rsidR="00EF74C7" w:rsidRPr="002A677E" w14:paraId="1D9862B5" w14:textId="77777777" w:rsidTr="00822842">
        <w:trPr>
          <w:trHeight w:val="680"/>
        </w:trPr>
        <w:tc>
          <w:tcPr>
            <w:tcW w:w="1384" w:type="dxa"/>
          </w:tcPr>
          <w:p w14:paraId="06456052" w14:textId="77777777" w:rsidR="00EF74C7" w:rsidRPr="002A677E" w:rsidRDefault="00EF74C7" w:rsidP="00822842">
            <w:pPr>
              <w:pStyle w:val="Applicationdirecte"/>
              <w:spacing w:before="0" w:after="0"/>
            </w:pPr>
            <w:r>
              <w:t xml:space="preserve">0200</w:t>
            </w:r>
          </w:p>
        </w:tc>
        <w:tc>
          <w:tcPr>
            <w:tcW w:w="7655" w:type="dxa"/>
          </w:tcPr>
          <w:p w14:paraId="2E8CD327"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RISKIPAINOTETUT VASTUUERÄT</w:t>
            </w:r>
          </w:p>
          <w:p w14:paraId="6B8D3CD5" w14:textId="6159F38D"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Tässä tarkoitetaan asetuksen (EU) N:o 575/2013 92 artiklan 3 kohdassa määriteltyjä vastapuoliriskin riskipainotettuja vastuueriä, jotka on laskettu kyseisen asetuksen kolmannen osan II osaston 2 ja 3 luvussa vahvistettujen menetelmien mukaisesti.</w:t>
            </w:r>
          </w:p>
          <w:p w14:paraId="2463A407" w14:textId="77777777" w:rsidR="00EF74C7" w:rsidRPr="002A677E" w:rsidRDefault="00EF74C7" w:rsidP="00822842">
            <w:pPr>
              <w:rPr>
                <w:sz w:val="24"/>
                <w:rFonts w:ascii="Times New Roman" w:hAnsi="Times New Roman"/>
              </w:rPr>
            </w:pPr>
            <w:r>
              <w:rPr>
                <w:sz w:val="24"/>
                <w:rFonts w:ascii="Times New Roman" w:hAnsi="Times New Roman"/>
              </w:rPr>
              <w:t xml:space="preserve">Asetuksen (EU) N:o 575/2013 501 artiklassa tarkoitettu pk-yritysten tukikerroin ja 501 a artiklassa tarkoitettu infrastruktuuritukikerroin on otettava huomioon.</w:t>
            </w:r>
            <w:r>
              <w:rPr>
                <w:sz w:val="24"/>
                <w:rFonts w:ascii="Times New Roman" w:hAnsi="Times New Roman"/>
              </w:rPr>
              <w:t xml:space="preserve"> </w:t>
            </w:r>
          </w:p>
        </w:tc>
      </w:tr>
      <w:tr w:rsidR="00EF74C7" w:rsidRPr="002A677E"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2A677E" w:rsidRDefault="00EF74C7" w:rsidP="00822842">
            <w:pPr>
              <w:pStyle w:val="Applicationdirecte"/>
              <w:spacing w:before="0"/>
              <w:jc w:val="left"/>
            </w:pPr>
            <w:r>
              <w:t xml:space="preserve">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Luottoriskiä koskevalla standardimenetelmällä käsiteltävät positiot</w:t>
            </w:r>
          </w:p>
          <w:p w14:paraId="6E572F83"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Tässä tarkoitetaan sellaisten vastapuoliriskiin liittyvien vastuiden riskipainotettua vastuuarvoa, jotka käsitellään luottoriskiä koskevalla standardimenetelmällä asetuksen (EU) N:o 575/2013 kolmannen osan II osaston 2 luvun mukaisesti.</w:t>
            </w:r>
            <w:r>
              <w:rPr>
                <w:sz w:val="24"/>
                <w:rFonts w:ascii="Times New Roman" w:hAnsi="Times New Roman"/>
              </w:rPr>
              <w:t xml:space="preserve"> </w:t>
            </w:r>
          </w:p>
          <w:p w14:paraId="21C6ADFA" w14:textId="77777777" w:rsidR="00EF74C7" w:rsidRPr="002A677E" w:rsidRDefault="00EF74C7" w:rsidP="00822842">
            <w:pPr>
              <w:rPr>
                <w:sz w:val="24"/>
                <w:rFonts w:ascii="Times New Roman" w:hAnsi="Times New Roman"/>
              </w:rPr>
            </w:pPr>
            <w:r>
              <w:rPr>
                <w:sz w:val="24"/>
                <w:rFonts w:ascii="Times New Roman" w:hAnsi="Times New Roman"/>
              </w:rPr>
              <w:t xml:space="preserve">Määrä vastaa sitä määrää, joka on ilmoitettava lomakkeen C 07.00 sarakkeessa 0220 vastapuoliriskipositioiden osalta.</w:t>
            </w:r>
          </w:p>
        </w:tc>
      </w:tr>
      <w:tr w:rsidR="00EF74C7" w:rsidRPr="002A677E"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2A677E" w:rsidRDefault="00EF74C7" w:rsidP="00822842">
            <w:pPr>
              <w:pStyle w:val="Applicationdirecte"/>
              <w:spacing w:before="0"/>
              <w:jc w:val="left"/>
            </w:pPr>
            <w:r>
              <w:t xml:space="preserve">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Luottoriskiä koskevalla IRB-menetelmällä käsiteltävät positiot</w:t>
            </w:r>
          </w:p>
          <w:p w14:paraId="51FF06D9" w14:textId="77777777" w:rsidR="00EF74C7" w:rsidRPr="002A677E" w:rsidRDefault="00EF74C7" w:rsidP="00822842">
            <w:pPr>
              <w:pStyle w:val="TableMainHeading"/>
              <w:spacing w:before="60"/>
              <w:jc w:val="both"/>
              <w:rPr>
                <w:sz w:val="24"/>
                <w:rFonts w:ascii="Times New Roman" w:hAnsi="Times New Roman"/>
              </w:rPr>
            </w:pPr>
            <w:r>
              <w:rPr>
                <w:sz w:val="24"/>
                <w:rFonts w:ascii="Times New Roman" w:hAnsi="Times New Roman"/>
              </w:rPr>
              <w:t xml:space="preserve">Tässä tarkoitetaan sellaisten vastapuoliriskiin liittyvien vastuiden riskipainotettua vastuuarvoa, jotka käsitellään luottoriskiä koskevalla IRB-menetelmällä asetuksen (EU) N:o 575/2013 kolmannen osan II osaston 3 luvun mukaisesti.</w:t>
            </w:r>
          </w:p>
          <w:p w14:paraId="3FB6A074" w14:textId="77777777" w:rsidR="00EF74C7" w:rsidRPr="002A677E" w:rsidRDefault="00EF74C7" w:rsidP="00822842">
            <w:pPr>
              <w:rPr>
                <w:sz w:val="24"/>
                <w:rFonts w:ascii="Times New Roman" w:hAnsi="Times New Roman"/>
              </w:rPr>
            </w:pPr>
            <w:r>
              <w:rPr>
                <w:sz w:val="24"/>
                <w:rFonts w:ascii="Times New Roman" w:hAnsi="Times New Roman"/>
              </w:rPr>
              <w:t xml:space="preserve">Määrä vastaa sitä määrää, joka on ilmoitettava lomakkeen C 08.01 sarakkeessa 0260 vastapuoliriskipositioiden osalta.</w:t>
            </w:r>
          </w:p>
        </w:tc>
      </w:tr>
      <w:tr w:rsidR="00EF74C7" w:rsidRPr="002A677E"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2A677E" w:rsidRDefault="00EF74C7" w:rsidP="00822842">
            <w:pPr>
              <w:pStyle w:val="Applicationdirecte"/>
              <w:spacing w:before="0"/>
              <w:jc w:val="left"/>
            </w:pPr>
            <w:r>
              <w:t xml:space="preserve">0230–0250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KOKONAISRISKIPAINOLATTIA</w:t>
            </w:r>
          </w:p>
          <w:p w14:paraId="78547488" w14:textId="2021F309"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sz w:val="24"/>
                <w:rFonts w:ascii="Times New Roman" w:hAnsi="Times New Roman"/>
              </w:rPr>
              <w:t xml:space="preserve">Niiden laitosten osalta, joihin sovelletaan asetuksen (EU) N:o 575/2013 92 artiklan 3 kohdan mukaista kokonaisriskipainolattiaa.</w:t>
            </w:r>
          </w:p>
        </w:tc>
      </w:tr>
      <w:tr w:rsidR="00EF74C7" w:rsidRPr="002A677E"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2A677E" w:rsidRDefault="00EF74C7" w:rsidP="00822842">
            <w:pPr>
              <w:pStyle w:val="Applicationdirecte"/>
              <w:spacing w:before="0"/>
              <w:jc w:val="left"/>
            </w:pPr>
            <w:r>
              <w:t xml:space="preserve">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Default="00EF74C7" w:rsidP="00822842">
            <w:pPr>
              <w:rPr>
                <w:rStyle w:val="InstructionsTabelleberschrift"/>
                <w:sz w:val="24"/>
                <w:rFonts w:ascii="Times New Roman" w:eastAsiaTheme="minorEastAsia" w:hAnsi="Times New Roman"/>
              </w:rPr>
            </w:pPr>
            <w:r>
              <w:rPr>
                <w:rStyle w:val="InstructionsTabelleberschrift"/>
                <w:sz w:val="24"/>
                <w:rFonts w:ascii="Times New Roman" w:hAnsi="Times New Roman"/>
              </w:rPr>
              <w:t xml:space="preserve">S-TREA:N LASKENNASSA KÄYTETTÄVÄ VASTUUARVO</w:t>
            </w:r>
          </w:p>
          <w:p w14:paraId="076EA294" w14:textId="45BB26AF"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sz w:val="24"/>
                <w:rFonts w:ascii="Times New Roman" w:hAnsi="Times New Roman"/>
              </w:rPr>
              <w:t xml:space="preserve">Asetuksen (EU) N:o 575/2013 92 artiklan 5 kohdan mukaisesti laskettuun standardoidun kokonaisriskin määrän (S-TREA) laskentaan sisältyvien vastapuoliriskivastuiden </w:t>
            </w:r>
            <w:r>
              <w:rPr>
                <w:sz w:val="24"/>
                <w:rStyle w:val="InstructionsTabelleberschrift"/>
                <w:rFonts w:ascii="Times New Roman" w:hAnsi="Times New Roman"/>
              </w:rPr>
              <w:t xml:space="preserve">vastuuarvo</w:t>
            </w:r>
            <w:r>
              <w:rPr>
                <w:sz w:val="24"/>
                <w:rFonts w:ascii="Times New Roman" w:hAnsi="Times New Roman"/>
              </w:rPr>
              <w:t xml:space="preserve">.</w:t>
            </w:r>
          </w:p>
        </w:tc>
      </w:tr>
      <w:tr w:rsidR="00EF74C7" w:rsidRPr="002A677E"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2A677E" w:rsidRDefault="00EF74C7" w:rsidP="00822842">
            <w:pPr>
              <w:pStyle w:val="Applicationdirecte"/>
              <w:spacing w:before="0"/>
              <w:jc w:val="left"/>
            </w:pPr>
            <w:r>
              <w:t xml:space="preserve">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S-TREA</w:t>
            </w:r>
          </w:p>
          <w:p w14:paraId="3E780FC2" w14:textId="37C7D341"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sz w:val="24"/>
                <w:rFonts w:ascii="Times New Roman" w:hAnsi="Times New Roman"/>
              </w:rPr>
              <w:t xml:space="preserve">Vastapuoliriskivastuiden standardoitu kokonaisriskin määrä (S-TREA) laskettuna asetuksen (EU) N:o 575/2013 92 artiklan 5 kohdan mukaisesti.</w:t>
            </w:r>
          </w:p>
        </w:tc>
      </w:tr>
      <w:tr w:rsidR="00EF74C7" w:rsidRPr="002A677E"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2A677E" w:rsidRDefault="00EF74C7" w:rsidP="00822842">
            <w:pPr>
              <w:pStyle w:val="Applicationdirecte"/>
              <w:spacing w:before="0"/>
              <w:jc w:val="left"/>
            </w:pPr>
            <w:r>
              <w:t xml:space="preserve">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LISÄTIETOERÄT: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RISKIPAINOTETUT VASTUUERÄT, JOTKA LIITTYVÄT ASETUKSEN (EU) N:O 575/2013 465 ARTIKLAN 4 KOHDAN SOVELTAMISEEN</w:t>
            </w:r>
          </w:p>
          <w:p w14:paraId="5E592907" w14:textId="45615761"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sz w:val="24"/>
                <w:rFonts w:ascii="Times New Roman" w:hAnsi="Times New Roman"/>
              </w:rPr>
              <w:t xml:space="preserve">Asetuksen (EU) N:o 575/2013 465 artiklan 4 kohta.</w:t>
            </w:r>
            <w:r>
              <w:rPr>
                <w:sz w:val="24"/>
                <w:rFonts w:ascii="Times New Roman" w:hAnsi="Times New Roman"/>
              </w:rPr>
              <w:t xml:space="preserve"> </w:t>
            </w:r>
            <w:r>
              <w:rPr>
                <w:sz w:val="24"/>
                <w:rFonts w:ascii="Times New Roman" w:hAnsi="Times New Roman"/>
              </w:rPr>
              <w:t xml:space="preserve">Tässä on ilmoitettava niiden riskipainotettujen vastuuerien määrän, joihin ei sovelleta siirtymäsäännöksiä, ja niiden riskipainotettujen vastuuerien määrän, joihin sovelletaan siirtymäsäännöksiä, välinen erotus.</w:t>
            </w:r>
          </w:p>
        </w:tc>
      </w:tr>
      <w:tr w:rsidR="00EF74C7" w:rsidRPr="002A677E"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2A677E" w:rsidRDefault="00EF74C7" w:rsidP="00822842">
            <w:pPr>
              <w:pStyle w:val="TableMainHeading"/>
              <w:spacing w:before="60"/>
              <w:rPr>
                <w:rFonts w:ascii="Times New Roman" w:hAnsi="Times New Roman"/>
                <w:i/>
                <w:sz w:val="24"/>
                <w:szCs w:val="24"/>
              </w:rPr>
            </w:pPr>
          </w:p>
        </w:tc>
      </w:tr>
      <w:tr w:rsidR="00EF74C7" w:rsidRPr="002A677E"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2A677E" w:rsidRDefault="00EF74C7" w:rsidP="00822842">
            <w:pPr>
              <w:pStyle w:val="TableMainHeading"/>
              <w:spacing w:before="60"/>
              <w:rPr>
                <w:b/>
                <w:sz w:val="24"/>
                <w:szCs w:val="24"/>
                <w:rFonts w:ascii="Times New Roman" w:hAnsi="Times New Roman"/>
              </w:rPr>
            </w:pPr>
            <w:r>
              <w:rPr>
                <w:b/>
                <w:sz w:val="24"/>
                <w:rFonts w:ascii="Times New Roman" w:hAnsi="Times New Roman"/>
              </w:rPr>
              <w:t xml:space="preserve">Rivi</w:t>
            </w:r>
            <w:r>
              <w:rPr>
                <w:b/>
                <w:sz w:val="24"/>
                <w:rFonts w:ascii="Times New Roman" w:hAnsi="Times New Roman"/>
              </w:rPr>
              <w:t xml:space="preserve"> </w:t>
            </w:r>
          </w:p>
        </w:tc>
      </w:tr>
      <w:tr w:rsidR="00EF74C7" w:rsidRPr="002A677E" w14:paraId="7053F9E4" w14:textId="77777777" w:rsidTr="00822842">
        <w:trPr>
          <w:trHeight w:val="680"/>
        </w:trPr>
        <w:tc>
          <w:tcPr>
            <w:tcW w:w="1384" w:type="dxa"/>
          </w:tcPr>
          <w:p w14:paraId="28CCF211" w14:textId="77777777" w:rsidR="00EF74C7" w:rsidRPr="002A677E" w:rsidRDefault="00EF74C7" w:rsidP="00822842">
            <w:pPr>
              <w:pStyle w:val="Applicationdirecte"/>
              <w:spacing w:before="0" w:after="0"/>
            </w:pPr>
            <w:r>
              <w:t xml:space="preserve">0010</w:t>
            </w:r>
          </w:p>
        </w:tc>
        <w:tc>
          <w:tcPr>
            <w:tcW w:w="7655" w:type="dxa"/>
          </w:tcPr>
          <w:p w14:paraId="596F329B" w14:textId="77777777" w:rsidR="00EF74C7" w:rsidRPr="002A677E" w:rsidRDefault="00EF74C7" w:rsidP="00822842">
            <w:pPr>
              <w:pStyle w:val="TableMainHeading"/>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ALKUPERÄISEN HANKINTA-ARVON MENETELMÄ (JOHDANNAISILLE)</w:t>
            </w:r>
            <w:r>
              <w:rPr>
                <w:rStyle w:val="InstructionsTabelleberschrift"/>
                <w:sz w:val="24"/>
                <w:rFonts w:ascii="Times New Roman" w:hAnsi="Times New Roman"/>
              </w:rPr>
              <w:t xml:space="preserve"> </w:t>
            </w:r>
          </w:p>
          <w:p w14:paraId="19F53DE3" w14:textId="77777777" w:rsidR="00EF74C7" w:rsidRPr="002A677E" w:rsidRDefault="00EF74C7" w:rsidP="00822842">
            <w:pPr>
              <w:pStyle w:val="TableMainHeading"/>
              <w:spacing w:before="60"/>
              <w:rPr>
                <w:i/>
                <w:sz w:val="24"/>
                <w:szCs w:val="24"/>
                <w:rFonts w:ascii="Times New Roman" w:hAnsi="Times New Roman"/>
              </w:rPr>
            </w:pPr>
            <w:r>
              <w:rPr>
                <w:sz w:val="24"/>
                <w:rFonts w:ascii="Times New Roman" w:hAnsi="Times New Roman"/>
              </w:rPr>
              <w:t xml:space="preserve">Tässä tarkoitetaan johdannaisia ja pitkän selvitysajan liiketoimia, joille laitos laskee vastuuarvon asetuksen (EU) N:o 575/2013 kolmannen osan II osaston 6 luvun 5 jakson mukaisesti.</w:t>
            </w:r>
            <w:r>
              <w:rPr>
                <w:sz w:val="24"/>
                <w:rFonts w:ascii="Times New Roman" w:hAnsi="Times New Roman"/>
              </w:rPr>
              <w:t xml:space="preserve"> </w:t>
            </w:r>
            <w:r>
              <w:rPr>
                <w:sz w:val="24"/>
                <w:rFonts w:ascii="Times New Roman" w:hAnsi="Times New Roman"/>
              </w:rPr>
              <w:t xml:space="preserve">Tätä yksinkertaistettua vastuuarvon laskentamenetelmää voivat käyttää ainoastaan laitokset, jotka täyttävät asetuksen (EU) N:o 575/2013 273 a artiklan 2 kohdan tai 273 a artiklan 4 kohdan edellytykset.</w:t>
            </w:r>
          </w:p>
        </w:tc>
      </w:tr>
      <w:tr w:rsidR="00EF74C7" w:rsidRPr="002A677E"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2A677E" w:rsidRDefault="00EF74C7" w:rsidP="00822842">
            <w:pPr>
              <w:pStyle w:val="Applicationdirecte"/>
              <w:spacing w:before="0" w:after="0"/>
            </w:pPr>
            <w:r>
              <w:t xml:space="preserve">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2A677E" w:rsidRDefault="00EF74C7" w:rsidP="00822842">
            <w:pPr>
              <w:pStyle w:val="TableMainHeading"/>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YKSINKERTAISTETTU VASTAPUOLIRISKIN STANDARDIMENETELMÄ (YKSINKERTAISTETTU SA-CCR-MENETELMÄ JOHDANNAISILLE)</w:t>
            </w:r>
          </w:p>
          <w:p w14:paraId="0C771BB4"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Tässä tarkoitetaan johdannaisia ja pitkän selvitysajan liiketoimia, joille laitos laskee vastuuarvon asetuksen (EU) N:o 575/2013 kolmannen osan II osaston 6 luvun 4 jakson mukaisesti.</w:t>
            </w:r>
            <w:r>
              <w:rPr>
                <w:sz w:val="24"/>
                <w:rFonts w:ascii="Times New Roman" w:hAnsi="Times New Roman"/>
              </w:rPr>
              <w:t xml:space="preserve"> </w:t>
            </w:r>
            <w:r>
              <w:rPr>
                <w:sz w:val="24"/>
                <w:rFonts w:ascii="Times New Roman" w:hAnsi="Times New Roman"/>
              </w:rPr>
              <w:t xml:space="preserve">Tätä yksinkertaistettua standardimenetelmää vastuuarvon laskemiseksi voivat käyttää ainoastaan laitokset, jotka täyttävät asetuksen (EU) N:o 575/2013 273 a artiklan 1 kohdan tai 273 a artiklan 4 kohdan edellytykset.</w:t>
            </w:r>
            <w:r>
              <w:rPr>
                <w:sz w:val="24"/>
                <w:rFonts w:ascii="Times New Roman" w:hAnsi="Times New Roman"/>
              </w:rPr>
              <w:t xml:space="preserve"> </w:t>
            </w:r>
          </w:p>
        </w:tc>
      </w:tr>
      <w:tr w:rsidR="00EF74C7" w:rsidRPr="002A677E"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2A677E" w:rsidRDefault="00EF74C7" w:rsidP="00822842">
            <w:pPr>
              <w:pStyle w:val="Applicationdirecte"/>
              <w:spacing w:before="0" w:after="0"/>
            </w:pPr>
            <w:r>
              <w:t xml:space="preserve">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2A677E" w:rsidRDefault="00EF74C7" w:rsidP="00822842">
            <w:pPr>
              <w:pStyle w:val="TableMainHeading"/>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VASTAPUOLIRISKIN STANDARDIMENETELMÄ (SA-CCR-MENETELMÄ JOHDANNAISILLE)</w:t>
            </w:r>
          </w:p>
          <w:p w14:paraId="771ED2E1" w14:textId="77777777" w:rsidR="00EF74C7" w:rsidRPr="002A677E" w:rsidRDefault="00EF74C7" w:rsidP="00822842">
            <w:pPr>
              <w:pStyle w:val="TableMainHeading"/>
              <w:spacing w:before="60"/>
              <w:rPr>
                <w:sz w:val="24"/>
                <w:szCs w:val="24"/>
                <w:rFonts w:ascii="Times New Roman" w:hAnsi="Times New Roman"/>
              </w:rPr>
            </w:pPr>
            <w:r>
              <w:rPr>
                <w:sz w:val="24"/>
                <w:rFonts w:ascii="Times New Roman" w:hAnsi="Times New Roman"/>
              </w:rPr>
              <w:t xml:space="preserve">Tässä tarkoitetaan johdannaisia ja pitkän selvitysajan liiketoimia, joille laitos laskee vastuuarvon asetuksen (EU) N:o 575/2013 kolmannen osan II osaston 6 luvun 3 jakson mukaisesti.</w:t>
            </w:r>
          </w:p>
        </w:tc>
      </w:tr>
      <w:tr w:rsidR="00EF74C7" w:rsidRPr="002A677E"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2A677E" w:rsidRDefault="00EF74C7" w:rsidP="00822842">
            <w:pPr>
              <w:pStyle w:val="Applicationdirecte"/>
              <w:spacing w:before="0" w:after="0"/>
            </w:pPr>
            <w:r>
              <w:t xml:space="preserve">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2A677E" w:rsidRDefault="00EF74C7" w:rsidP="00822842">
            <w:pPr>
              <w:pStyle w:val="TableMainHeading"/>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SISÄISEN MALLIN MENETELMÄ (JOHDANNAISILLE JA ARVOPAPEREILLA TOTEUTETTAVILLE RAHOITUSTOIMILLE)</w:t>
            </w:r>
          </w:p>
          <w:p w14:paraId="19499FEB" w14:textId="77777777" w:rsidR="00EF74C7" w:rsidRPr="002A677E" w:rsidRDefault="00EF74C7" w:rsidP="00822842">
            <w:pPr>
              <w:pStyle w:val="TableMainHeading"/>
              <w:spacing w:before="60"/>
              <w:rPr>
                <w:sz w:val="24"/>
                <w:szCs w:val="24"/>
                <w:rFonts w:ascii="Times New Roman" w:hAnsi="Times New Roman"/>
              </w:rPr>
            </w:pPr>
            <w:r>
              <w:rPr>
                <w:sz w:val="24"/>
                <w:rFonts w:ascii="Times New Roman" w:hAnsi="Times New Roman"/>
              </w:rPr>
              <w:t xml:space="preserve">Tässä tarkoitetaan johdannaisia, pitkän selvitysajan liiketoimia ja arvopapereilla toteutettavia rahoitustoimia, joille laitos on saanut luvan laskea vastuuarvon käyttäen sisäisen mallin menetelmää (IMM) asetuksen (EU) N:o 575/2013 kolmannen osan II osaston 6 luvun 6 jakson mukaisesti.</w:t>
            </w:r>
          </w:p>
        </w:tc>
      </w:tr>
      <w:tr w:rsidR="00EF74C7" w:rsidRPr="002A677E"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2A677E" w:rsidRDefault="00EF74C7" w:rsidP="00822842">
            <w:pPr>
              <w:pStyle w:val="Applicationdirecte"/>
              <w:spacing w:before="0" w:after="0"/>
            </w:pPr>
            <w:r>
              <w:t xml:space="preserve">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Arvopapereilla toteutettavien rahoitustoimien nettoutusryhmät</w:t>
            </w:r>
          </w:p>
          <w:p w14:paraId="08069DA3"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Tässä tarkoitetaan nettoutusryhmiä, jotka sisältävät ainoastaan asetuksen (EU) N:o 575/2013 4 artiklan 139 alakohdassa määriteltyjä arvopapereilla toteutettavia rahoitustoimia ja joiden osalta laitos on saanut luvan määrittää vastuuarvon sisäisen mallin menetelmää käyttäen.</w:t>
            </w:r>
          </w:p>
          <w:p w14:paraId="00DA27AC"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Tällä rivillä ei ilmoiteta tuotteiden ristikkäisnettoutuksen nettoutusryhmään kuuluvia arvopapereilla toteutettavia rahoitustoimia, vaan ne ilmoitetaan rivillä 0070.</w:t>
            </w:r>
          </w:p>
        </w:tc>
      </w:tr>
      <w:tr w:rsidR="00EF74C7" w:rsidRPr="002A677E"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2A677E" w:rsidRDefault="00EF74C7" w:rsidP="00822842">
            <w:pPr>
              <w:pStyle w:val="Applicationdirecte"/>
              <w:spacing w:before="0" w:after="0"/>
            </w:pPr>
            <w:r>
              <w:t xml:space="preserve">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Johdannaisten ja pitkän selvitysajan liiketoimien nettoutusryhmät</w:t>
            </w:r>
          </w:p>
          <w:p w14:paraId="0E97A475"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Tässä tarkoitetaan nettoutusryhmiä, jotka sisältävät ainoastaan asetuksen (EU) N:o 575/2013 liitteessä II lueteltuja johdannaisinstrumentteja ja asetuksen (EU) N:o 575/2013 272 artiklan 2 alakohdassa määriteltyjä pitkän selvitysajan liiketoimia ja joiden osalta laitos on saanut luvan määrittää vastuuarvon sisäisen mallin menetelmää käyttäen.</w:t>
            </w:r>
          </w:p>
          <w:p w14:paraId="6A8CD02A"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Tällä rivillä ei ilmoiteta tuotteiden ristikkäisnettoutuksen nettoutusryhmiin kuuluvia johdannaisia ja pitkän selvitysajan liiketoimia, vaan ne ilmoitetaan rivillä 0070.</w:t>
            </w:r>
          </w:p>
        </w:tc>
      </w:tr>
      <w:tr w:rsidR="00EF74C7" w:rsidRPr="002A677E"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2A677E" w:rsidRDefault="00EF74C7" w:rsidP="00822842">
            <w:pPr>
              <w:pStyle w:val="Applicationdirecte"/>
              <w:spacing w:before="0" w:after="0"/>
            </w:pPr>
            <w:r>
              <w:t xml:space="preserve">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Tuotteiden ristikkäisnettoutuksen nettoutusryhmät</w:t>
            </w:r>
          </w:p>
          <w:p w14:paraId="118D66FD" w14:textId="77777777" w:rsidR="00EF74C7" w:rsidRPr="002A677E" w:rsidRDefault="00EF74C7" w:rsidP="00822842">
            <w:pPr>
              <w:rPr>
                <w:sz w:val="24"/>
                <w:rFonts w:ascii="Times New Roman" w:hAnsi="Times New Roman"/>
              </w:rPr>
            </w:pPr>
            <w:r>
              <w:rPr>
                <w:sz w:val="24"/>
                <w:rFonts w:ascii="Times New Roman" w:hAnsi="Times New Roman"/>
              </w:rPr>
              <w:t xml:space="preserve">Asetuksen (EU) N:o 575/2013 272 artiklan 11 ja 25 kohta</w:t>
            </w:r>
          </w:p>
          <w:p w14:paraId="78B4A3BD"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Tässä tarkoitetaan nettoutusryhmiä, joihin sisältyy eri tuoteluokkiin kuuluvia liiketoimia (asetuksen (EU) N:o 575/2013 272 artiklan 11 kohta), ts. johdannaisia ja arvopapereilla toteutettavia rahoitustoimia, joiden osalta on olemassa asetuksen (EU) N:o 575/2013 272 artiklan 25 kohdassa määritelty tuotteiden ristikkäisnettoutusta koskeva sopimus ja joille laitos on saanut luvan määrittää vastuuarvon sisäisen mallin menetelmää käyttäen.</w:t>
            </w:r>
          </w:p>
        </w:tc>
      </w:tr>
      <w:tr w:rsidR="00EF74C7" w:rsidRPr="002A677E"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2A677E" w:rsidRDefault="00EF74C7" w:rsidP="00822842">
            <w:pPr>
              <w:pStyle w:val="Applicationdirecte"/>
              <w:spacing w:before="0" w:after="0"/>
            </w:pPr>
            <w:r>
              <w:t xml:space="preserve">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RAHOITUSVAKUUKSIA KOSKEVA YKSINKERTAINEN MENETELMÄ (ARVOPAPEREILLA TOTEUTETTAVILLE RAHOITUSTOIMILLE)</w:t>
            </w:r>
            <w:r>
              <w:rPr>
                <w:rStyle w:val="InstructionsTabelleberschrift"/>
                <w:sz w:val="24"/>
                <w:rFonts w:ascii="Times New Roman" w:hAnsi="Times New Roman"/>
              </w:rPr>
              <w:t xml:space="preserve"> </w:t>
            </w:r>
          </w:p>
          <w:p w14:paraId="1E933FE3" w14:textId="77777777" w:rsidR="00EF74C7" w:rsidRPr="002A677E" w:rsidRDefault="00EF74C7" w:rsidP="00822842">
            <w:pPr>
              <w:rPr>
                <w:sz w:val="24"/>
                <w:rFonts w:ascii="Times New Roman" w:hAnsi="Times New Roman"/>
              </w:rPr>
            </w:pPr>
            <w:r>
              <w:rPr>
                <w:sz w:val="24"/>
                <w:rFonts w:ascii="Times New Roman" w:hAnsi="Times New Roman"/>
              </w:rPr>
              <w:t xml:space="preserve">Asetuksen (EU) N:o 575/2013 222 artikla</w:t>
            </w:r>
          </w:p>
          <w:p w14:paraId="1206AB47"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Tässä tarkoitetaan takaisinostotransaktioita, arvopapereiden tai hyödykkeiden lainaksiantamiseen tai -ottamiseen liittyviä transaktioita, pitkän selvitysajan liiketoimia ja vakuudellista limiittiluotonantoa (margin lending), joille laitos on päättänyt asetuksen (EU) N:o 575/2013 271 artiklan 2 kohdan mukaisesti määrittää vastuuarvot kyseisen asetuksen 222 artiklan mukaisesti sen sijaan, että se soveltaisi asetuksen kolmannen osan II osaston 6 lukua.</w:t>
            </w:r>
          </w:p>
        </w:tc>
      </w:tr>
      <w:tr w:rsidR="00EF74C7" w:rsidRPr="002A677E"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2A677E" w:rsidRDefault="00EF74C7" w:rsidP="00822842">
            <w:pPr>
              <w:pStyle w:val="Applicationdirecte"/>
              <w:spacing w:before="0" w:after="0"/>
            </w:pPr>
            <w:r>
              <w:t xml:space="preserve">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RAHOITUSVAKUUKSIA KOSKEVA KATTAVA MENETELMÄ (ARVOPAPEREILLA TOTEUTETTAVILLE RAHOITUSTOIMILLE)</w:t>
            </w:r>
          </w:p>
          <w:p w14:paraId="13A72AE5" w14:textId="77777777" w:rsidR="00EF74C7" w:rsidRPr="002A677E" w:rsidRDefault="00EF74C7" w:rsidP="00822842">
            <w:pPr>
              <w:rPr>
                <w:sz w:val="24"/>
                <w:rFonts w:ascii="Times New Roman" w:hAnsi="Times New Roman"/>
              </w:rPr>
            </w:pPr>
            <w:r>
              <w:rPr>
                <w:sz w:val="24"/>
                <w:rFonts w:ascii="Times New Roman" w:hAnsi="Times New Roman"/>
              </w:rPr>
              <w:t xml:space="preserve">Asetus (EU) N:o 575/2013, 220 ja 223 artikla.</w:t>
            </w:r>
          </w:p>
          <w:p w14:paraId="0F255BBA" w14:textId="77777777" w:rsidR="00EF74C7" w:rsidRPr="002A677E" w:rsidRDefault="00EF74C7" w:rsidP="00822842">
            <w:pPr>
              <w:pStyle w:val="TableMainHeading"/>
              <w:spacing w:before="60"/>
              <w:jc w:val="both"/>
              <w:rPr>
                <w:i/>
                <w:sz w:val="24"/>
                <w:szCs w:val="24"/>
                <w:rFonts w:ascii="Times New Roman" w:hAnsi="Times New Roman"/>
              </w:rPr>
            </w:pPr>
            <w:r>
              <w:rPr>
                <w:sz w:val="24"/>
                <w:rFonts w:ascii="Times New Roman" w:hAnsi="Times New Roman"/>
              </w:rPr>
              <w:t xml:space="preserve">Tässä tarkoitetaan takaisinostotransaktioita, arvopapereiden tai hyödykkeiden lainaksiantamiseen tai -ottamiseen liittyviä transaktioita, pitkän selvitysajan liiketoimia ja vakuudellista limiittiluotonantoa (margin lending), joille laitos on päättänyt asetuksen (EU) N:o 575/2013 271 artiklan 2 kohdan mukaisesti määrittää vastuuarvot kyseisen asetuksen 223 artiklan mukaisesti sen sijaan, että se soveltaisi asetuksen kolmannen osan II osaston 6 lukua.</w:t>
            </w:r>
          </w:p>
        </w:tc>
      </w:tr>
      <w:tr w:rsidR="00EF74C7" w:rsidRPr="002A677E"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2A677E" w:rsidRDefault="00EF74C7" w:rsidP="00822842">
            <w:pPr>
              <w:pStyle w:val="Applicationdirecte"/>
              <w:spacing w:before="0" w:after="0"/>
            </w:pPr>
            <w:r>
              <w:t xml:space="preserve">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VaR-LUKU ARVOPAPEREILLA TOTEUTETTAVILLE RAHOITUSTOIMILLE</w:t>
            </w:r>
          </w:p>
          <w:p w14:paraId="769E33FD" w14:textId="77777777" w:rsidR="00EF74C7" w:rsidRPr="002A677E" w:rsidRDefault="00EF74C7" w:rsidP="00822842">
            <w:pPr>
              <w:rPr>
                <w:sz w:val="24"/>
                <w:rFonts w:ascii="Times New Roman" w:hAnsi="Times New Roman"/>
              </w:rPr>
            </w:pPr>
            <w:r>
              <w:rPr>
                <w:sz w:val="24"/>
                <w:rFonts w:ascii="Times New Roman" w:hAnsi="Times New Roman"/>
              </w:rPr>
              <w:t xml:space="preserve">Asetuksen (EU) N:o 575/2013 221 artikla</w:t>
            </w:r>
          </w:p>
          <w:p w14:paraId="2E3D6606"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Tässä tarkoitetaan takaisinostotransaktioita, arvopapereiden tai hyödykkeiden lainaksiantamiseen tai -ottamiseen liittyviä transaktioita tai vakuudellista limiittiluotonantoa (margin lending) tai johdannaistransaktioita lukuun ottamatta muita pääomamarkkinalähtöisiä liiketoimia, joille vastuuarvo lasketaan asetuksen (EU) N:o 575/2013 221 artiklan mukaisesti ja toimivaltaisen viranomaisen luvalla käyttäen sisäisen mallin menetelmää, jossa otetaan huomioon päänettoutussopimukseen kuuluvien arvopaperipositioiden väliset korrelaatiovaikutukset sekä kyseisten rahoitusvälineiden likvidiys.</w:t>
            </w:r>
            <w:r>
              <w:rPr>
                <w:sz w:val="24"/>
                <w:rFonts w:ascii="Times New Roman" w:hAnsi="Times New Roman"/>
              </w:rPr>
              <w:t xml:space="preserve"> </w:t>
            </w:r>
          </w:p>
        </w:tc>
      </w:tr>
      <w:tr w:rsidR="00EF74C7" w:rsidRPr="002A677E"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2A677E" w:rsidRDefault="00EF74C7" w:rsidP="00822842">
            <w:pPr>
              <w:pStyle w:val="Applicationdirecte"/>
              <w:spacing w:before="0" w:after="0"/>
            </w:pPr>
            <w:r>
              <w:t xml:space="preserve">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YHTEENSÄ</w:t>
            </w:r>
          </w:p>
          <w:p w14:paraId="31701FF7" w14:textId="77777777" w:rsidR="00EF74C7" w:rsidRPr="002A677E" w:rsidRDefault="00EF74C7" w:rsidP="00822842">
            <w:pPr>
              <w:keepNext/>
              <w:spacing w:before="60"/>
              <w:rPr>
                <w:rStyle w:val="InstructionsTabelleberschrift"/>
                <w:rFonts w:ascii="Times New Roman" w:hAnsi="Times New Roman"/>
                <w:sz w:val="24"/>
              </w:rPr>
            </w:pPr>
          </w:p>
        </w:tc>
      </w:tr>
      <w:tr w:rsidR="00EF74C7" w:rsidRPr="002A677E" w14:paraId="04998E4D" w14:textId="77777777" w:rsidTr="00822842">
        <w:trPr>
          <w:trHeight w:val="1502"/>
        </w:trPr>
        <w:tc>
          <w:tcPr>
            <w:tcW w:w="1384" w:type="dxa"/>
          </w:tcPr>
          <w:p w14:paraId="1C32D020" w14:textId="77777777" w:rsidR="00EF74C7" w:rsidRPr="002A677E" w:rsidDel="003E0C6A" w:rsidRDefault="00EF74C7" w:rsidP="00822842">
            <w:pPr>
              <w:pStyle w:val="Applicationdirecte"/>
              <w:spacing w:before="60" w:after="0"/>
              <w:jc w:val="left"/>
            </w:pPr>
            <w:r>
              <w:t xml:space="preserve">0120</w:t>
            </w:r>
          </w:p>
        </w:tc>
        <w:tc>
          <w:tcPr>
            <w:tcW w:w="7655" w:type="dxa"/>
          </w:tcPr>
          <w:p w14:paraId="64672F51"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Josta: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positiot, joihin liittyy wrong-way -erityisriski</w:t>
            </w:r>
          </w:p>
          <w:p w14:paraId="658F3281" w14:textId="77777777" w:rsidR="00EF74C7" w:rsidRPr="002A677E" w:rsidRDefault="00EF74C7" w:rsidP="00822842">
            <w:pPr>
              <w:keepNext/>
              <w:spacing w:before="60"/>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Asetuksen (EU) N:o 575/2013 291 artikla</w:t>
            </w:r>
          </w:p>
          <w:p w14:paraId="41917746" w14:textId="77777777" w:rsidR="00EF74C7" w:rsidRPr="002A677E" w:rsidDel="003E0C6A" w:rsidRDefault="00EF74C7" w:rsidP="00822842">
            <w:pPr>
              <w:keepNext/>
              <w:spacing w:before="60"/>
              <w:rPr>
                <w:bCs/>
                <w:sz w:val="24"/>
                <w:rFonts w:ascii="Times New Roman" w:hAnsi="Times New Roman"/>
              </w:rPr>
            </w:pPr>
            <w:r>
              <w:rPr>
                <w:sz w:val="24"/>
                <w:rStyle w:val="InstructionsTabelleberschrift"/>
                <w:b w:val="0"/>
                <w:u w:val="none"/>
                <w:rFonts w:ascii="Times New Roman" w:hAnsi="Times New Roman"/>
              </w:rPr>
              <w:t xml:space="preserve">Vastapuoliriskivastuut, joihin on havaittu liittyvän wrong-way -erityisriski asetuksen (EU) N:o 575/2013 291 artiklan mukaisesti.</w:t>
            </w:r>
          </w:p>
        </w:tc>
      </w:tr>
      <w:tr w:rsidR="00EF74C7" w:rsidRPr="002A677E" w14:paraId="59B010B6" w14:textId="77777777" w:rsidTr="00822842">
        <w:trPr>
          <w:trHeight w:val="426"/>
        </w:trPr>
        <w:tc>
          <w:tcPr>
            <w:tcW w:w="1384" w:type="dxa"/>
          </w:tcPr>
          <w:p w14:paraId="11F4D998" w14:textId="77777777" w:rsidR="00EF74C7" w:rsidRPr="002A677E" w:rsidDel="003E0C6A" w:rsidRDefault="00EF74C7" w:rsidP="00822842">
            <w:pPr>
              <w:pStyle w:val="Applicationdirecte"/>
              <w:spacing w:before="60" w:after="0"/>
              <w:jc w:val="left"/>
            </w:pPr>
            <w:r>
              <w:t xml:space="preserve">0130</w:t>
            </w:r>
          </w:p>
        </w:tc>
        <w:tc>
          <w:tcPr>
            <w:tcW w:w="7655" w:type="dxa"/>
          </w:tcPr>
          <w:p w14:paraId="794C69D7"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Vakuudellinen liiketoiminta</w:t>
            </w:r>
          </w:p>
          <w:p w14:paraId="03856435" w14:textId="77777777" w:rsidR="00EF74C7" w:rsidRPr="002A677E" w:rsidRDefault="00EF74C7" w:rsidP="00822842">
            <w:pPr>
              <w:keepNext/>
              <w:spacing w:before="60"/>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Asetuksen (EU) N:o 575/2013 272 artiklan 7 kohta</w:t>
            </w:r>
          </w:p>
          <w:p w14:paraId="2F61E58D" w14:textId="77777777" w:rsidR="00EF74C7" w:rsidRPr="002A677E" w:rsidDel="003E0C6A" w:rsidRDefault="00EF74C7" w:rsidP="00822842">
            <w:pPr>
              <w:keepNext/>
              <w:spacing w:before="60"/>
              <w:rPr>
                <w:sz w:val="24"/>
                <w:rFonts w:ascii="Times New Roman" w:hAnsi="Times New Roman"/>
              </w:rPr>
            </w:pPr>
            <w:r>
              <w:rPr>
                <w:sz w:val="24"/>
                <w:rStyle w:val="InstructionsTabelleberschrift"/>
                <w:b w:val="0"/>
                <w:u w:val="none"/>
                <w:rFonts w:ascii="Times New Roman" w:hAnsi="Times New Roman"/>
              </w:rPr>
              <w:t xml:space="preserve">Tässä tarkoitetaan vakuudellisia vastapuoliriskivastuita eli nettoutusryhmiä, joihin sovelletaan asetuksen (EU) N:o 575/2013 272 artiklan 7 alakohdan mukaista vakuusvajesopimusta.</w:t>
            </w:r>
          </w:p>
        </w:tc>
      </w:tr>
      <w:tr w:rsidR="00EF74C7" w:rsidRPr="002A677E" w14:paraId="518FA613" w14:textId="77777777" w:rsidTr="00822842">
        <w:trPr>
          <w:trHeight w:val="829"/>
        </w:trPr>
        <w:tc>
          <w:tcPr>
            <w:tcW w:w="1384" w:type="dxa"/>
          </w:tcPr>
          <w:p w14:paraId="527E02B0" w14:textId="77777777" w:rsidR="00EF74C7" w:rsidRPr="002A677E" w:rsidDel="003E0C6A" w:rsidRDefault="00EF74C7" w:rsidP="00822842">
            <w:pPr>
              <w:pStyle w:val="Applicationdirecte"/>
              <w:spacing w:before="60" w:after="0"/>
              <w:jc w:val="left"/>
            </w:pPr>
            <w:r>
              <w:t xml:space="preserve">0140</w:t>
            </w:r>
          </w:p>
        </w:tc>
        <w:tc>
          <w:tcPr>
            <w:tcW w:w="7655" w:type="dxa"/>
          </w:tcPr>
          <w:p w14:paraId="4739FB5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Vakuudeton liiketoiminta</w:t>
            </w:r>
          </w:p>
          <w:p w14:paraId="166C3DE8" w14:textId="77777777" w:rsidR="00EF74C7" w:rsidRPr="002A677E" w:rsidDel="003E0C6A" w:rsidRDefault="00EF74C7" w:rsidP="00822842">
            <w:pPr>
              <w:rPr>
                <w:sz w:val="24"/>
                <w:rFonts w:ascii="Times New Roman" w:hAnsi="Times New Roman"/>
              </w:rPr>
            </w:pPr>
            <w:r>
              <w:rPr>
                <w:sz w:val="24"/>
                <w:rFonts w:ascii="Times New Roman" w:hAnsi="Times New Roman"/>
              </w:rPr>
              <w:t xml:space="preserve">Vastapuoliriskivastuut, joita 0130 ei kata.</w:t>
            </w:r>
          </w:p>
        </w:tc>
      </w:tr>
    </w:tbl>
    <w:p w14:paraId="0EE31AF8" w14:textId="77777777" w:rsidR="00EF74C7" w:rsidRPr="002A677E" w:rsidRDefault="00EF74C7" w:rsidP="00EF74C7">
      <w:pPr>
        <w:rPr>
          <w:rFonts w:ascii="Times New Roman" w:hAnsi="Times New Roman"/>
          <w:noProof/>
          <w:sz w:val="24"/>
        </w:rPr>
      </w:pPr>
    </w:p>
    <w:p w14:paraId="398E5D6F"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28" w:name="_Toc19715809"/>
      <w:bookmarkStart w:id="29" w:name="_Toc151714449"/>
      <w:r>
        <w:rPr>
          <w:sz w:val="24"/>
          <w:rFonts w:ascii="Times New Roman" w:hAnsi="Times New Roman"/>
        </w:rPr>
        <w:t xml:space="preserve">C 34.03 – Vastapuoliriskin standardimenetelmällä</w:t>
      </w:r>
      <w:r>
        <w:rPr>
          <w:sz w:val="24"/>
          <w:rFonts w:ascii="Times New Roman" w:hAnsi="Times New Roman"/>
        </w:rPr>
        <w:t xml:space="preserve"> </w:t>
      </w:r>
      <w:r>
        <w:rPr>
          <w:sz w:val="24"/>
          <w:rFonts w:ascii="Times New Roman" w:hAnsi="Times New Roman"/>
        </w:rPr>
        <w:t xml:space="preserve">(SA-CCR) tai yksinkertaistetulla standardimenetelmällä käsiteltävät vastapuoliriskivastuut</w:t>
      </w:r>
      <w:bookmarkEnd w:id="28"/>
      <w:bookmarkEnd w:id="29"/>
    </w:p>
    <w:p w14:paraId="25A32DCA"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30" w:name="_Toc19715810"/>
      <w:bookmarkStart w:id="31" w:name="_Toc151714450"/>
      <w:r>
        <w:rPr>
          <w:sz w:val="24"/>
          <w:rFonts w:ascii="Times New Roman" w:hAnsi="Times New Roman"/>
        </w:rPr>
        <w:t xml:space="preserve">Yleiset huomautukset</w:t>
      </w:r>
      <w:bookmarkEnd w:id="30"/>
      <w:bookmarkEnd w:id="31"/>
    </w:p>
    <w:p w14:paraId="00205649" w14:textId="08D8CDD1"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125</w:t>
      </w:r>
      <w:r>
        <w:fldChar w:fldCharType="end"/>
      </w:r>
      <w:r>
        <w:t xml:space="preserve">.</w:t>
      </w:r>
      <w:r>
        <w:t xml:space="preserve"> </w:t>
      </w:r>
      <w:r>
        <w:t xml:space="preserve">Lomakkeella ilmoitetaan erikseen vastapuoliriskin standardimenetelmällä tai yksinkertaistetulla standardimenetelmällä lasketut vastapuoliriskivastuut.</w:t>
      </w:r>
    </w:p>
    <w:p w14:paraId="739ACEF6"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32" w:name="_Toc19715811"/>
      <w:bookmarkStart w:id="33" w:name="_Toc151714451"/>
      <w:r>
        <w:rPr>
          <w:sz w:val="24"/>
          <w:rFonts w:ascii="Times New Roman" w:hAnsi="Times New Roman"/>
        </w:rPr>
        <w:t xml:space="preserve">Tiettyjä kohtia koskevat ohjeet</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1AD3F40" w14:textId="77777777" w:rsidTr="00822842">
        <w:trPr>
          <w:trHeight w:val="717"/>
        </w:trPr>
        <w:tc>
          <w:tcPr>
            <w:tcW w:w="9039" w:type="dxa"/>
            <w:gridSpan w:val="2"/>
            <w:shd w:val="clear" w:color="auto" w:fill="D9D9D9" w:themeFill="background1" w:themeFillShade="D9"/>
          </w:tcPr>
          <w:p w14:paraId="1502A629"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Sarakkeet</w:t>
            </w:r>
          </w:p>
        </w:tc>
      </w:tr>
      <w:tr w:rsidR="00EF74C7" w:rsidRPr="002A677E" w14:paraId="672D2ACD" w14:textId="77777777" w:rsidTr="00822842">
        <w:trPr>
          <w:trHeight w:val="680"/>
        </w:trPr>
        <w:tc>
          <w:tcPr>
            <w:tcW w:w="1384" w:type="dxa"/>
          </w:tcPr>
          <w:p w14:paraId="0E603140" w14:textId="77777777" w:rsidR="00EF74C7" w:rsidRPr="002A677E" w:rsidRDefault="00EF74C7" w:rsidP="00822842">
            <w:pPr>
              <w:pStyle w:val="Applicationdirecte"/>
              <w:spacing w:before="0" w:after="0"/>
            </w:pPr>
            <w:r>
              <w:t xml:space="preserve">0010</w:t>
            </w:r>
          </w:p>
        </w:tc>
        <w:tc>
          <w:tcPr>
            <w:tcW w:w="7655" w:type="dxa"/>
            <w:vAlign w:val="center"/>
          </w:tcPr>
          <w:p w14:paraId="1B4E242B" w14:textId="77777777" w:rsidR="00EF74C7" w:rsidRPr="002A677E" w:rsidRDefault="00EF74C7" w:rsidP="00822842">
            <w:pPr>
              <w:keepNext/>
              <w:spacing w:before="60"/>
              <w:rPr>
                <w:sz w:val="24"/>
                <w:rFonts w:ascii="Times New Roman" w:hAnsi="Times New Roman"/>
              </w:rPr>
            </w:pPr>
            <w:r>
              <w:rPr>
                <w:rStyle w:val="InstructionsTabelleberschrift"/>
                <w:sz w:val="24"/>
                <w:rFonts w:ascii="Times New Roman" w:hAnsi="Times New Roman"/>
              </w:rPr>
              <w:t xml:space="preserve">VALUUTTA</w:t>
            </w:r>
          </w:p>
          <w:p w14:paraId="1FCE36C7"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Korkoriskiluokkaan sijoitettujen transaktioiden osalta on ilmoitettava se valuutta, jonka määräinen transaktio on.</w:t>
            </w:r>
          </w:p>
          <w:p w14:paraId="451829C3"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Valuuttakurssiriskiluokkaan sijoitettujen transaktioiden osalta on ilmoitettava valuutta, jonka määräinen toinen transaktion kahdesta osasta on.</w:t>
            </w:r>
            <w:r>
              <w:rPr>
                <w:sz w:val="24"/>
                <w:rFonts w:ascii="Times New Roman" w:hAnsi="Times New Roman"/>
              </w:rPr>
              <w:t xml:space="preserve"> </w:t>
            </w:r>
            <w:r>
              <w:rPr>
                <w:sz w:val="24"/>
                <w:rFonts w:ascii="Times New Roman" w:hAnsi="Times New Roman"/>
              </w:rPr>
              <w:t xml:space="preserve">Laitosten on ilmoitettava valuuttaparin valuutat aakkosjärjestyksessä, esim. valuuttaparin Yhdysvaltain dollari / euro tapauksessa tähän sarakkeeseen on merkittävä EUR ja sarakkeeseen 0020 USD.</w:t>
            </w:r>
            <w:r>
              <w:rPr>
                <w:sz w:val="24"/>
                <w:rFonts w:ascii="Times New Roman" w:hAnsi="Times New Roman"/>
              </w:rPr>
              <w:t xml:space="preserve"> </w:t>
            </w:r>
          </w:p>
          <w:p w14:paraId="4B0703E4" w14:textId="77777777" w:rsidR="00EF74C7" w:rsidRPr="002A677E" w:rsidRDefault="00EF74C7" w:rsidP="00822842">
            <w:pPr>
              <w:keepNext/>
              <w:spacing w:before="60"/>
              <w:rPr>
                <w:i/>
                <w:sz w:val="24"/>
                <w:rFonts w:ascii="Times New Roman" w:hAnsi="Times New Roman"/>
              </w:rPr>
            </w:pPr>
            <w:r>
              <w:rPr>
                <w:sz w:val="24"/>
                <w:rFonts w:ascii="Times New Roman" w:hAnsi="Times New Roman"/>
              </w:rPr>
              <w:t xml:space="preserve">Valuutoista on käytettävä</w:t>
            </w:r>
            <w:r>
              <w:t xml:space="preserve"> </w:t>
            </w:r>
            <w:hyperlink r:id="rId10" w:history="1">
              <w:r>
                <w:rPr>
                  <w:sz w:val="24"/>
                  <w:rFonts w:ascii="Times New Roman" w:hAnsi="Times New Roman"/>
                </w:rPr>
                <w:t xml:space="preserve">ISO-koodeja</w:t>
              </w:r>
            </w:hyperlink>
            <w:r>
              <w:rPr>
                <w:sz w:val="24"/>
                <w:rFonts w:ascii="Times New Roman" w:hAnsi="Times New Roman"/>
              </w:rPr>
              <w:t xml:space="preserve">.</w:t>
            </w:r>
          </w:p>
        </w:tc>
      </w:tr>
      <w:tr w:rsidR="00EF74C7" w:rsidRPr="002A677E" w14:paraId="5C5AF16A" w14:textId="77777777" w:rsidTr="00822842">
        <w:trPr>
          <w:trHeight w:val="680"/>
        </w:trPr>
        <w:tc>
          <w:tcPr>
            <w:tcW w:w="1384" w:type="dxa"/>
          </w:tcPr>
          <w:p w14:paraId="4ACFE6AB" w14:textId="77777777" w:rsidR="00EF74C7" w:rsidRPr="002A677E" w:rsidRDefault="00EF74C7" w:rsidP="00822842">
            <w:pPr>
              <w:pStyle w:val="Applicationdirecte"/>
              <w:spacing w:before="0" w:after="0"/>
            </w:pPr>
            <w:r>
              <w:t xml:space="preserve">0020</w:t>
            </w:r>
          </w:p>
        </w:tc>
        <w:tc>
          <w:tcPr>
            <w:tcW w:w="7655" w:type="dxa"/>
            <w:vAlign w:val="center"/>
          </w:tcPr>
          <w:p w14:paraId="24D1130D"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PARIN TOINEN VALUUTTA</w:t>
            </w:r>
          </w:p>
          <w:p w14:paraId="03D4A6E7"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Valuuttakurssiriskiluokkaan sijoitettujen transaktioiden osalta on ilmoitettava valuutta, jonka määräinen toinen transaktion kahdesta osasta on (ottaen huomioon sarakkeessa 0010 ilmoitettu valuutta).</w:t>
            </w:r>
            <w:r>
              <w:rPr>
                <w:sz w:val="24"/>
                <w:rFonts w:ascii="Times New Roman" w:hAnsi="Times New Roman"/>
              </w:rPr>
              <w:t xml:space="preserve"> </w:t>
            </w:r>
            <w:r>
              <w:rPr>
                <w:sz w:val="24"/>
                <w:rFonts w:ascii="Times New Roman" w:hAnsi="Times New Roman"/>
              </w:rPr>
              <w:t xml:space="preserve">Laitosten on ilmoitettava valuuttaparin valuutat aakkosjärjestyksessä, esim. valuuttaparin Yhdysvaltain dollari / euro tapauksessa tähän sarakkeeseen on merkittävä USD ja sarakkeeseen 0010 EUR.</w:t>
            </w:r>
          </w:p>
          <w:p w14:paraId="1013A2D8" w14:textId="77777777" w:rsidR="00EF74C7" w:rsidRPr="002A677E" w:rsidRDefault="00EF74C7" w:rsidP="00822842">
            <w:pPr>
              <w:keepNext/>
              <w:spacing w:before="60"/>
              <w:rPr>
                <w:i/>
                <w:sz w:val="24"/>
                <w:rFonts w:ascii="Times New Roman" w:hAnsi="Times New Roman"/>
              </w:rPr>
            </w:pPr>
            <w:r>
              <w:rPr>
                <w:sz w:val="24"/>
                <w:rFonts w:ascii="Times New Roman" w:hAnsi="Times New Roman"/>
              </w:rPr>
              <w:t xml:space="preserve">Valuutoista on käytettävä</w:t>
            </w:r>
            <w:r>
              <w:t xml:space="preserve"> </w:t>
            </w:r>
            <w:hyperlink r:id="rId11" w:history="1">
              <w:r>
                <w:rPr>
                  <w:sz w:val="24"/>
                  <w:rFonts w:ascii="Times New Roman" w:hAnsi="Times New Roman"/>
                </w:rPr>
                <w:t xml:space="preserve">ISO-koodeja</w:t>
              </w:r>
            </w:hyperlink>
            <w:r>
              <w:rPr>
                <w:sz w:val="24"/>
                <w:rFonts w:ascii="Times New Roman" w:hAnsi="Times New Roman"/>
              </w:rPr>
              <w:t xml:space="preserve">.</w:t>
            </w:r>
          </w:p>
        </w:tc>
      </w:tr>
      <w:tr w:rsidR="00EF74C7" w:rsidRPr="002A677E" w14:paraId="269AB735" w14:textId="77777777" w:rsidTr="00822842">
        <w:trPr>
          <w:trHeight w:val="680"/>
        </w:trPr>
        <w:tc>
          <w:tcPr>
            <w:tcW w:w="1384" w:type="dxa"/>
          </w:tcPr>
          <w:p w14:paraId="27EC4B26" w14:textId="77777777" w:rsidR="00EF74C7" w:rsidRPr="002A677E" w:rsidRDefault="00EF74C7" w:rsidP="00822842">
            <w:pPr>
              <w:pStyle w:val="Applicationdirecte"/>
              <w:spacing w:before="0" w:after="0"/>
            </w:pPr>
            <w:r>
              <w:t xml:space="preserve">0030</w:t>
            </w:r>
          </w:p>
        </w:tc>
        <w:tc>
          <w:tcPr>
            <w:tcW w:w="7655" w:type="dxa"/>
            <w:vAlign w:val="center"/>
          </w:tcPr>
          <w:p w14:paraId="2F0BA9E7"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TRANSAKTIOIDEN LUKUMÄÄRÄ</w:t>
            </w:r>
          </w:p>
          <w:p w14:paraId="6D81C620" w14:textId="77777777" w:rsidR="00EF74C7" w:rsidRPr="002A677E" w:rsidRDefault="00EF74C7" w:rsidP="00822842">
            <w:pPr>
              <w:keepNext/>
              <w:spacing w:before="60"/>
              <w:rPr>
                <w:i/>
                <w:sz w:val="24"/>
                <w:rFonts w:ascii="Times New Roman" w:hAnsi="Times New Roman"/>
              </w:rPr>
            </w:pPr>
            <w:r>
              <w:rPr>
                <w:sz w:val="24"/>
                <w:rFonts w:ascii="Times New Roman" w:hAnsi="Times New Roman"/>
              </w:rPr>
              <w:t xml:space="preserve">Ks. lomakkeen C 34.02 saraketta 0020 koskevat ohjeet.</w:t>
            </w:r>
          </w:p>
        </w:tc>
      </w:tr>
      <w:tr w:rsidR="00EF74C7" w:rsidRPr="002A677E" w14:paraId="01ECDEDD" w14:textId="77777777" w:rsidTr="00822842">
        <w:trPr>
          <w:trHeight w:val="680"/>
        </w:trPr>
        <w:tc>
          <w:tcPr>
            <w:tcW w:w="1384" w:type="dxa"/>
          </w:tcPr>
          <w:p w14:paraId="18733037" w14:textId="77777777" w:rsidR="00EF74C7" w:rsidRPr="002A677E" w:rsidRDefault="00EF74C7" w:rsidP="00822842">
            <w:pPr>
              <w:pStyle w:val="Applicationdirecte"/>
              <w:spacing w:before="0" w:after="0"/>
            </w:pPr>
            <w:r>
              <w:t xml:space="preserve">0040</w:t>
            </w:r>
          </w:p>
        </w:tc>
        <w:tc>
          <w:tcPr>
            <w:tcW w:w="7655" w:type="dxa"/>
            <w:vAlign w:val="center"/>
          </w:tcPr>
          <w:p w14:paraId="160D7E2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NIMELLISMÄÄRÄT</w:t>
            </w:r>
          </w:p>
          <w:p w14:paraId="1EAD85A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Ks. lomakkeen C 34.02 saraketta 0030 koskevat ohjeet.</w:t>
            </w:r>
          </w:p>
        </w:tc>
      </w:tr>
      <w:tr w:rsidR="00EF74C7" w:rsidRPr="002A677E" w14:paraId="3AC762E1" w14:textId="77777777" w:rsidTr="00822842">
        <w:trPr>
          <w:trHeight w:val="680"/>
        </w:trPr>
        <w:tc>
          <w:tcPr>
            <w:tcW w:w="1384" w:type="dxa"/>
          </w:tcPr>
          <w:p w14:paraId="772E888B" w14:textId="77777777" w:rsidR="00EF74C7" w:rsidRPr="002A677E" w:rsidRDefault="00EF74C7" w:rsidP="00822842">
            <w:pPr>
              <w:pStyle w:val="Applicationdirecte"/>
              <w:spacing w:before="0" w:after="0"/>
            </w:pPr>
            <w:r>
              <w:t xml:space="preserve">0050</w:t>
            </w:r>
          </w:p>
        </w:tc>
        <w:tc>
          <w:tcPr>
            <w:tcW w:w="7655" w:type="dxa"/>
            <w:vAlign w:val="center"/>
          </w:tcPr>
          <w:p w14:paraId="4F39288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MARKKINA-ARVO (CMV), POSITIIVINEN</w:t>
            </w:r>
          </w:p>
          <w:p w14:paraId="5ED54A90"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Kaikkien sellaisten suojausryhmien, joiden markkina-arvo on positiivinen, markkina-arvojen summa kyseisessä riskiluokassa.</w:t>
            </w:r>
          </w:p>
          <w:p w14:paraId="379A6FFF"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Suojaustason markkina-arvo on määritettävä nettouttamalla transaktion positiiviset ja negatiiviset markkina-arvot yhdessä suojausryhmässä ilman saatuja tai asetettuja vakuuksia.</w:t>
            </w:r>
          </w:p>
        </w:tc>
      </w:tr>
      <w:tr w:rsidR="00EF74C7" w:rsidRPr="002A677E" w14:paraId="08BA8DB4" w14:textId="77777777" w:rsidTr="00822842">
        <w:trPr>
          <w:trHeight w:val="680"/>
        </w:trPr>
        <w:tc>
          <w:tcPr>
            <w:tcW w:w="1384" w:type="dxa"/>
          </w:tcPr>
          <w:p w14:paraId="0E291208" w14:textId="77777777" w:rsidR="00EF74C7" w:rsidRPr="002A677E" w:rsidRDefault="00EF74C7" w:rsidP="00822842">
            <w:pPr>
              <w:pStyle w:val="Applicationdirecte"/>
              <w:spacing w:before="0" w:after="0"/>
            </w:pPr>
            <w:r>
              <w:t xml:space="preserve">0060</w:t>
            </w:r>
          </w:p>
        </w:tc>
        <w:tc>
          <w:tcPr>
            <w:tcW w:w="7655" w:type="dxa"/>
            <w:vAlign w:val="center"/>
          </w:tcPr>
          <w:p w14:paraId="58A56A89"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MARKKINA-ARVO (CMV), NEGATIIVINEN</w:t>
            </w:r>
          </w:p>
          <w:p w14:paraId="5CF4FB5C"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Kaikkien sellaisten suojausryhmien, joiden markkina-arvo on negatiivinen, absoluuttisten markkina-arvojen summa kyseisessä riskiluokassa.</w:t>
            </w:r>
          </w:p>
          <w:p w14:paraId="3D5BE059"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Suojaustason markkina-arvo on määritettävä nettouttamalla transaktion positiiviset ja negatiiviset markkina-arvot yhdessä suojausryhmässä ilman saatuja tai asetettuja vakuuksia.</w:t>
            </w:r>
          </w:p>
        </w:tc>
      </w:tr>
      <w:tr w:rsidR="00EF74C7" w:rsidRPr="002A677E" w14:paraId="345E1772" w14:textId="77777777" w:rsidTr="00822842">
        <w:trPr>
          <w:trHeight w:val="680"/>
        </w:trPr>
        <w:tc>
          <w:tcPr>
            <w:tcW w:w="1384" w:type="dxa"/>
          </w:tcPr>
          <w:p w14:paraId="77DADDEC" w14:textId="77777777" w:rsidR="00EF74C7" w:rsidRPr="002A677E" w:rsidRDefault="00EF74C7" w:rsidP="00822842">
            <w:pPr>
              <w:pStyle w:val="Applicationdirecte"/>
              <w:spacing w:before="0" w:after="0"/>
            </w:pPr>
            <w:r>
              <w:t xml:space="preserve">0070</w:t>
            </w:r>
          </w:p>
        </w:tc>
        <w:tc>
          <w:tcPr>
            <w:tcW w:w="7655" w:type="dxa"/>
            <w:vAlign w:val="center"/>
          </w:tcPr>
          <w:p w14:paraId="22809508" w14:textId="77777777" w:rsidR="00EF74C7" w:rsidRPr="002A677E" w:rsidRDefault="00EF74C7" w:rsidP="00822842">
            <w:pPr>
              <w:keepNext/>
              <w:spacing w:before="60"/>
              <w:rPr>
                <w:sz w:val="24"/>
                <w:rFonts w:ascii="Times New Roman" w:hAnsi="Times New Roman"/>
              </w:rPr>
            </w:pPr>
            <w:r>
              <w:rPr>
                <w:sz w:val="24"/>
                <w:rStyle w:val="InstructionsTabelleberschrift"/>
                <w:rFonts w:ascii="Times New Roman" w:hAnsi="Times New Roman"/>
              </w:rPr>
              <w:t xml:space="preserve">KOROTUS</w:t>
            </w:r>
            <w:r>
              <w:rPr>
                <w:sz w:val="24"/>
                <w:rFonts w:ascii="Times New Roman" w:hAnsi="Times New Roman"/>
              </w:rPr>
              <w:t xml:space="preserve"> </w:t>
            </w:r>
          </w:p>
          <w:p w14:paraId="39E215C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Asetuksen (EU) N:o 575/2013 280 a–f artikla ja 281 artiklan 2 kohta</w:t>
            </w:r>
          </w:p>
          <w:p w14:paraId="3169F372"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Laitoksen on ilmoitettava kaikkien korotusten summa asianomaisessa suojausryhmässä/riskiluokassa.</w:t>
            </w:r>
            <w:r>
              <w:rPr>
                <w:sz w:val="24"/>
                <w:rFonts w:ascii="Times New Roman" w:hAnsi="Times New Roman"/>
              </w:rPr>
              <w:t xml:space="preserve"> </w:t>
            </w:r>
          </w:p>
          <w:p w14:paraId="48AD1DD4"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Riskiluokkakohtainen korotus, jota käytetään määritettäessä nettoutusryhmän tulevaisuuden potentiaalista vastapuoliriskiä asetuksen (EU) N:o 575/2013 278 artiklan 1 kohdan tai 281 artiklan 2 kohdan f alakohdan mukaisesti, on laskettava kyseisen asetuksen 280 a–f artiklan mukaisesti.</w:t>
            </w:r>
            <w:r>
              <w:rPr>
                <w:sz w:val="24"/>
                <w:rFonts w:ascii="Times New Roman" w:hAnsi="Times New Roman"/>
              </w:rPr>
              <w:t xml:space="preserve"> </w:t>
            </w:r>
            <w:r>
              <w:rPr>
                <w:sz w:val="24"/>
                <w:rFonts w:ascii="Times New Roman" w:hAnsi="Times New Roman"/>
              </w:rPr>
              <w:t xml:space="preserve">Vastapuoliriskin yksinkertaistetussa standardimenetelmässä sovelletaan asetuksen (EU) N:o 575/2013 281 artiklan 2 kohdan säännöksiä.</w:t>
            </w:r>
          </w:p>
        </w:tc>
      </w:tr>
      <w:tr w:rsidR="00EF74C7" w:rsidRPr="002A677E" w14:paraId="2456F0C5" w14:textId="77777777" w:rsidTr="00822842">
        <w:trPr>
          <w:trHeight w:val="680"/>
        </w:trPr>
        <w:tc>
          <w:tcPr>
            <w:tcW w:w="9039" w:type="dxa"/>
            <w:gridSpan w:val="2"/>
            <w:tcBorders>
              <w:left w:val="nil"/>
              <w:right w:val="nil"/>
            </w:tcBorders>
          </w:tcPr>
          <w:p w14:paraId="18B64A8E" w14:textId="77777777" w:rsidR="00EF74C7" w:rsidRPr="002A677E" w:rsidDel="00DF07F8" w:rsidRDefault="00EF74C7" w:rsidP="00822842">
            <w:pPr>
              <w:keepNext/>
              <w:spacing w:before="60"/>
              <w:rPr>
                <w:rFonts w:ascii="Times New Roman" w:hAnsi="Times New Roman"/>
                <w:i/>
                <w:szCs w:val="22"/>
                <w:lang w:eastAsia="en-CA"/>
              </w:rPr>
            </w:pPr>
          </w:p>
        </w:tc>
      </w:tr>
      <w:tr w:rsidR="00EF74C7" w:rsidRPr="002A677E"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2A677E" w:rsidRDefault="00EF74C7" w:rsidP="00822842">
            <w:pPr>
              <w:pStyle w:val="Applicationdirecte"/>
              <w:spacing w:before="0"/>
              <w:jc w:val="left"/>
              <w:rPr>
                <w:b/>
              </w:rPr>
            </w:pPr>
            <w:r>
              <w:rPr>
                <w:b/>
              </w:rPr>
              <w:t xml:space="preserve">Rivit</w:t>
            </w:r>
            <w:r>
              <w:rPr>
                <w:b/>
              </w:rPr>
              <w:t xml:space="preserve"> </w:t>
            </w:r>
          </w:p>
        </w:tc>
      </w:tr>
      <w:tr w:rsidR="00EF74C7" w:rsidRPr="002A677E" w14:paraId="3248D686" w14:textId="77777777" w:rsidTr="00822842">
        <w:trPr>
          <w:trHeight w:val="680"/>
        </w:trPr>
        <w:tc>
          <w:tcPr>
            <w:tcW w:w="1384" w:type="dxa"/>
          </w:tcPr>
          <w:p w14:paraId="402A723E" w14:textId="77777777" w:rsidR="00EF74C7" w:rsidRPr="002A677E" w:rsidRDefault="00EF74C7" w:rsidP="00822842">
            <w:pPr>
              <w:pStyle w:val="Applicationdirecte"/>
              <w:spacing w:before="0" w:after="0"/>
            </w:pPr>
            <w:r>
              <w:t xml:space="preserve">0050,0120, 0190, 0230, 0270, 0340</w:t>
            </w:r>
          </w:p>
        </w:tc>
        <w:tc>
          <w:tcPr>
            <w:tcW w:w="7655" w:type="dxa"/>
          </w:tcPr>
          <w:p w14:paraId="376D7ACF"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RISKILUOKAT</w:t>
            </w:r>
          </w:p>
          <w:p w14:paraId="7E0D193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Asetuksen (EU) N:o 575/2013 277 ja 277 a artikla</w:t>
            </w:r>
          </w:p>
          <w:p w14:paraId="578D076E"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Transaktiot on luokiteltava sen riskiluokan mukaan, johon ne kuuluvat asetuksen (EU) N:o 575/2013 277 artiklan 1–4 kohdan mukaisesti.</w:t>
            </w:r>
          </w:p>
          <w:p w14:paraId="5862E67E" w14:textId="77777777" w:rsidR="00EF74C7" w:rsidRPr="002A677E" w:rsidRDefault="00EF74C7" w:rsidP="00822842">
            <w:pPr>
              <w:pStyle w:val="TableMainHeading"/>
              <w:spacing w:before="60"/>
              <w:jc w:val="both"/>
              <w:rPr>
                <w:sz w:val="24"/>
                <w:rFonts w:ascii="Times New Roman" w:hAnsi="Times New Roman"/>
              </w:rPr>
            </w:pPr>
            <w:r>
              <w:rPr>
                <w:sz w:val="24"/>
                <w:rFonts w:ascii="Times New Roman" w:hAnsi="Times New Roman"/>
              </w:rPr>
              <w:t xml:space="preserve">Suojausryhmiin osoittaminen riskiluokan mukaan on tehtävä asetuksen (EU) N:o 575/2013 277 a artiklan mukaisesti.</w:t>
            </w:r>
          </w:p>
          <w:p w14:paraId="65316050" w14:textId="77777777" w:rsidR="00EF74C7" w:rsidRPr="002A677E" w:rsidRDefault="00EF74C7" w:rsidP="00822842">
            <w:pPr>
              <w:pStyle w:val="TableMainHeading"/>
              <w:spacing w:before="60"/>
              <w:jc w:val="both"/>
              <w:rPr>
                <w:sz w:val="24"/>
                <w:rFonts w:ascii="Times New Roman" w:hAnsi="Times New Roman"/>
              </w:rPr>
            </w:pPr>
            <w:r>
              <w:rPr>
                <w:sz w:val="24"/>
                <w:rFonts w:ascii="Times New Roman" w:hAnsi="Times New Roman"/>
              </w:rPr>
              <w:t xml:space="preserve">Vastapuoliriskin yksinkertaistetussa standardimenetelmässä sovelletaan asetuksen (EU) N:o 575/2013 281 artiklan 2 kohdan säännöksiä.</w:t>
            </w:r>
          </w:p>
        </w:tc>
      </w:tr>
      <w:tr w:rsidR="00EF74C7" w:rsidRPr="002A677E" w14:paraId="21933761" w14:textId="77777777" w:rsidTr="00822842">
        <w:trPr>
          <w:trHeight w:val="680"/>
        </w:trPr>
        <w:tc>
          <w:tcPr>
            <w:tcW w:w="1384" w:type="dxa"/>
          </w:tcPr>
          <w:p w14:paraId="2F5A9704" w14:textId="77777777" w:rsidR="00EF74C7" w:rsidRPr="002A677E" w:rsidRDefault="00EF74C7" w:rsidP="00822842">
            <w:pPr>
              <w:pStyle w:val="Applicationdirecte"/>
              <w:spacing w:before="0" w:after="0"/>
            </w:pPr>
            <w:r>
              <w:t xml:space="preserve">0020-0040</w:t>
            </w:r>
          </w:p>
        </w:tc>
        <w:tc>
          <w:tcPr>
            <w:tcW w:w="7655" w:type="dxa"/>
          </w:tcPr>
          <w:p w14:paraId="4160411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Joista useampaan kuin yhteen riskiluokkaan sijoitetut</w:t>
            </w:r>
          </w:p>
          <w:p w14:paraId="24AE7BA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Asetuksen (EU) N:o 575/2013 277 artiklan 3 kohta</w:t>
            </w:r>
          </w:p>
          <w:p w14:paraId="54CB9801" w14:textId="77777777" w:rsidR="00EF74C7" w:rsidRPr="002A677E" w:rsidRDefault="00EF74C7" w:rsidP="00822842">
            <w:pPr>
              <w:pStyle w:val="TableMainHeading"/>
              <w:spacing w:before="60"/>
              <w:jc w:val="both"/>
              <w:rPr>
                <w:i/>
                <w:sz w:val="24"/>
                <w:szCs w:val="24"/>
                <w:rFonts w:ascii="Times New Roman" w:hAnsi="Times New Roman"/>
              </w:rPr>
            </w:pPr>
            <w:r>
              <w:rPr>
                <w:sz w:val="24"/>
                <w:rFonts w:ascii="Times New Roman" w:hAnsi="Times New Roman"/>
              </w:rPr>
              <w:t xml:space="preserve">Tässä tarkoitetaan johdannaistransaktioita, joilla on useampi kuin yksi olennainen riskitekijä ja jotka on sijoitettu kahteen (0020), kolmeen (0030) tai useampaan kuin kolmeen (0040) riskiluokkaan kussakin riskiluokassa olennaisimman riskitekijän perusteella asetuksen (EU) N:o 575/2013 277 artiklan 3 kohdan ja 277 artiklan 5 kohdassa tarkoitettujen EPV:n teknisten sääntelystandardien mukaisesti.</w:t>
            </w:r>
          </w:p>
        </w:tc>
      </w:tr>
      <w:tr w:rsidR="00EF74C7" w:rsidRPr="002A677E" w14:paraId="5AE04D2C" w14:textId="77777777" w:rsidTr="00822842">
        <w:trPr>
          <w:trHeight w:val="680"/>
        </w:trPr>
        <w:tc>
          <w:tcPr>
            <w:tcW w:w="1384" w:type="dxa"/>
          </w:tcPr>
          <w:p w14:paraId="27C055FD" w14:textId="77777777" w:rsidR="00EF74C7" w:rsidRPr="002A677E" w:rsidRDefault="00EF74C7" w:rsidP="00822842">
            <w:pPr>
              <w:pStyle w:val="Applicationdirecte"/>
              <w:spacing w:before="0" w:after="0"/>
              <w:jc w:val="left"/>
            </w:pPr>
            <w:r>
              <w:t xml:space="preserve">0070–0110 ja 0140–0180</w:t>
            </w:r>
          </w:p>
        </w:tc>
        <w:tc>
          <w:tcPr>
            <w:tcW w:w="7655" w:type="dxa"/>
          </w:tcPr>
          <w:p w14:paraId="18AF84E8" w14:textId="77777777" w:rsidR="00EF74C7" w:rsidRPr="002A677E" w:rsidRDefault="00EF74C7" w:rsidP="00822842">
            <w:pPr>
              <w:pStyle w:val="TableMainHeading"/>
              <w:spacing w:before="60"/>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Suurin valuutta ja valuuttapari</w:t>
            </w:r>
          </w:p>
          <w:p w14:paraId="208A8263" w14:textId="77777777" w:rsidR="00EF74C7" w:rsidRPr="002A677E" w:rsidRDefault="00EF74C7" w:rsidP="00822842">
            <w:pPr>
              <w:rPr>
                <w:sz w:val="24"/>
                <w:rFonts w:ascii="Times New Roman" w:hAnsi="Times New Roman"/>
              </w:rPr>
            </w:pPr>
            <w:r>
              <w:rPr>
                <w:sz w:val="24"/>
                <w:rFonts w:ascii="Times New Roman" w:hAnsi="Times New Roman"/>
              </w:rPr>
              <w:t xml:space="preserve">Tämä luokittelu on tehtävä vastapuoliriskin standardimenetelmän tai yksinkertaistetun standardimenetelmän soveltamisalaan kuuluvan laitoksen salkun markkina-arvon perusteella transaktioille, jotka on sijoitettu joko korkoriskiluokkaan tai valuuttakurssiriskiluokkaan.</w:t>
            </w:r>
            <w:r>
              <w:rPr>
                <w:sz w:val="24"/>
                <w:rFonts w:ascii="Times New Roman" w:hAnsi="Times New Roman"/>
              </w:rPr>
              <w:t xml:space="preserve"> </w:t>
            </w:r>
          </w:p>
          <w:p w14:paraId="7CB8DC17" w14:textId="77777777" w:rsidR="00EF74C7" w:rsidRPr="002A677E" w:rsidRDefault="00EF74C7" w:rsidP="00822842">
            <w:pPr>
              <w:rPr>
                <w:i/>
                <w:sz w:val="24"/>
                <w:rFonts w:ascii="Times New Roman" w:hAnsi="Times New Roman"/>
              </w:rPr>
            </w:pPr>
            <w:r>
              <w:rPr>
                <w:sz w:val="24"/>
                <w:rFonts w:ascii="Times New Roman" w:hAnsi="Times New Roman"/>
              </w:rPr>
              <w:t xml:space="preserve">Luokittelua varten positioiden markkina-arvon absoluuttiset arvot on laskettava yhteen.</w:t>
            </w:r>
          </w:p>
        </w:tc>
      </w:tr>
      <w:tr w:rsidR="00EF74C7" w:rsidRPr="002A677E" w14:paraId="2A739349" w14:textId="77777777" w:rsidTr="00822842">
        <w:trPr>
          <w:trHeight w:val="2279"/>
        </w:trPr>
        <w:tc>
          <w:tcPr>
            <w:tcW w:w="1384" w:type="dxa"/>
          </w:tcPr>
          <w:p w14:paraId="69FD83B3" w14:textId="77777777" w:rsidR="00EF74C7" w:rsidRPr="002A677E" w:rsidRDefault="00EF74C7" w:rsidP="00822842">
            <w:pPr>
              <w:pStyle w:val="Applicationdirecte"/>
              <w:spacing w:before="0" w:after="0"/>
            </w:pPr>
            <w:r>
              <w:t xml:space="preserve">0060,0130, 0200,0240, 0280</w:t>
            </w:r>
          </w:p>
        </w:tc>
        <w:tc>
          <w:tcPr>
            <w:tcW w:w="7655" w:type="dxa"/>
          </w:tcPr>
          <w:p w14:paraId="3DB24763"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Ainoastaan yhteen luokkaan sijoittaminen</w:t>
            </w:r>
          </w:p>
          <w:p w14:paraId="7B69873D"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Asetuksen (EU) N:o 575/2013 277 artiklan 1 ja 2 kohta</w:t>
            </w:r>
          </w:p>
          <w:p w14:paraId="1A762D0B"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Tässä tarkoitetaan johdannaistransaktioita, jotka on sijoitettu ainoastaan yhteen riskiluokkaan asetuksen (EU) N:o 575/2013 277 artiklan 1 ja 2 kohdan mukaisesti.</w:t>
            </w:r>
            <w:r>
              <w:rPr>
                <w:sz w:val="24"/>
                <w:rFonts w:ascii="Times New Roman" w:hAnsi="Times New Roman"/>
              </w:rPr>
              <w:t xml:space="preserve"> </w:t>
            </w:r>
          </w:p>
          <w:p w14:paraId="42AAB877"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Transaktiot, jotka on sijoitettu eri riskiluokkiin asetuksen (EU) N:o 575/2013 277 artiklan 3 kohdan mukaisesti, eivät sisälly tähän.</w:t>
            </w:r>
          </w:p>
        </w:tc>
      </w:tr>
      <w:tr w:rsidR="00EF74C7" w:rsidRPr="002A677E" w14:paraId="17A6F38B" w14:textId="77777777" w:rsidTr="00822842">
        <w:trPr>
          <w:trHeight w:val="680"/>
        </w:trPr>
        <w:tc>
          <w:tcPr>
            <w:tcW w:w="1384" w:type="dxa"/>
          </w:tcPr>
          <w:p w14:paraId="2EE61A22" w14:textId="77777777" w:rsidR="00EF74C7" w:rsidRPr="002A677E" w:rsidRDefault="00EF74C7" w:rsidP="00822842">
            <w:pPr>
              <w:pStyle w:val="Applicationdirecte"/>
              <w:spacing w:before="0" w:after="0"/>
            </w:pPr>
            <w:r>
              <w:t xml:space="preserve">0210, 0250</w:t>
            </w:r>
            <w:r>
              <w:t xml:space="preserve"> </w:t>
            </w:r>
          </w:p>
        </w:tc>
        <w:tc>
          <w:tcPr>
            <w:tcW w:w="7655" w:type="dxa"/>
          </w:tcPr>
          <w:p w14:paraId="4C85502F" w14:textId="77777777" w:rsidR="00EF74C7" w:rsidRPr="00624117" w:rsidRDefault="00EF74C7" w:rsidP="00822842">
            <w:pPr>
              <w:pStyle w:val="TableMainHeading"/>
              <w:spacing w:before="60"/>
              <w:jc w:val="both"/>
              <w:rPr>
                <w:rStyle w:val="InstructionsTabelleberschrift"/>
                <w:sz w:val="24"/>
                <w:rFonts w:ascii="Times New Roman" w:hAnsi="Times New Roman"/>
              </w:rPr>
            </w:pPr>
            <w:r>
              <w:rPr>
                <w:rStyle w:val="InstructionsTabelleberschrift"/>
                <w:sz w:val="24"/>
                <w:rFonts w:ascii="Times New Roman" w:hAnsi="Times New Roman"/>
              </w:rPr>
              <w:t xml:space="preserve">Yhden kohteen liiketoimet</w:t>
            </w:r>
            <w:r>
              <w:rPr>
                <w:rStyle w:val="InstructionsTabelleberschrift"/>
                <w:sz w:val="24"/>
                <w:rFonts w:ascii="Times New Roman" w:hAnsi="Times New Roman"/>
              </w:rPr>
              <w:t xml:space="preserve"> </w:t>
            </w:r>
          </w:p>
          <w:p w14:paraId="31620001" w14:textId="77777777" w:rsidR="00EF74C7" w:rsidRPr="002A677E" w:rsidRDefault="00EF74C7" w:rsidP="00822842">
            <w:pPr>
              <w:pStyle w:val="TableMainHeading"/>
              <w:spacing w:before="60"/>
              <w:jc w:val="both"/>
              <w:rPr>
                <w:rStyle w:val="InstructionsTabelleberschrift"/>
                <w:sz w:val="24"/>
                <w:rFonts w:ascii="Times New Roman" w:hAnsi="Times New Roman"/>
              </w:rPr>
            </w:pPr>
            <w:r>
              <w:rPr>
                <w:sz w:val="24"/>
                <w:rFonts w:ascii="Times New Roman" w:hAnsi="Times New Roman"/>
              </w:rPr>
              <w:t xml:space="preserve">Tällä tarkoitetaan yhden kohteen liiketoimia, jotka on sijoitettu joko luottoriski- tai osakeriskiluokkaan.</w:t>
            </w:r>
            <w:r>
              <w:rPr>
                <w:sz w:val="24"/>
                <w:rStyle w:val="InstructionsTabelleberschrift"/>
                <w:rFonts w:ascii="Times New Roman" w:hAnsi="Times New Roman"/>
              </w:rPr>
              <w:t xml:space="preserve"> </w:t>
            </w:r>
          </w:p>
        </w:tc>
      </w:tr>
      <w:tr w:rsidR="00EF74C7" w:rsidRPr="002A677E" w14:paraId="411237CA" w14:textId="77777777" w:rsidTr="00822842">
        <w:trPr>
          <w:trHeight w:val="680"/>
        </w:trPr>
        <w:tc>
          <w:tcPr>
            <w:tcW w:w="1384" w:type="dxa"/>
          </w:tcPr>
          <w:p w14:paraId="7AD9D26A" w14:textId="77777777" w:rsidR="00EF74C7" w:rsidRPr="002A677E" w:rsidRDefault="00EF74C7" w:rsidP="00822842">
            <w:pPr>
              <w:pStyle w:val="Applicationdirecte"/>
              <w:spacing w:before="0" w:after="0"/>
            </w:pPr>
            <w:r>
              <w:t xml:space="preserve">0220, 0260</w:t>
            </w:r>
          </w:p>
        </w:tc>
        <w:tc>
          <w:tcPr>
            <w:tcW w:w="7655" w:type="dxa"/>
          </w:tcPr>
          <w:p w14:paraId="116A322F"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Usean kohteen liiketoimet</w:t>
            </w:r>
          </w:p>
          <w:p w14:paraId="3213EA59"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Tällä tarkoitetaan usean kohteen liiketoimia, jotka on sijoitettu joko luottoriski- tai osakeriskiluokkaan.</w:t>
            </w:r>
            <w:r>
              <w:rPr>
                <w:sz w:val="24"/>
                <w:rFonts w:ascii="Times New Roman" w:hAnsi="Times New Roman"/>
              </w:rPr>
              <w:t xml:space="preserve"> </w:t>
            </w:r>
          </w:p>
        </w:tc>
      </w:tr>
      <w:tr w:rsidR="00EF74C7" w:rsidRPr="002A677E" w14:paraId="7EFE115E" w14:textId="77777777" w:rsidTr="00822842">
        <w:trPr>
          <w:trHeight w:val="680"/>
        </w:trPr>
        <w:tc>
          <w:tcPr>
            <w:tcW w:w="1384" w:type="dxa"/>
          </w:tcPr>
          <w:p w14:paraId="72F329F4" w14:textId="77777777" w:rsidR="00EF74C7" w:rsidRPr="002A677E" w:rsidRDefault="00EF74C7" w:rsidP="00822842">
            <w:pPr>
              <w:pStyle w:val="Applicationdirecte"/>
              <w:spacing w:before="0" w:after="0"/>
            </w:pPr>
            <w:r>
              <w:t xml:space="preserve">0290-0330</w:t>
            </w:r>
          </w:p>
        </w:tc>
        <w:tc>
          <w:tcPr>
            <w:tcW w:w="7655" w:type="dxa"/>
          </w:tcPr>
          <w:p w14:paraId="759D733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Hyödykeriskiluokan suojausryhmät</w:t>
            </w:r>
          </w:p>
          <w:p w14:paraId="345A15AB"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Tässä tarkoitetaan johdannaistransaktioita, jotka on sijoitettu asetuksen (EU) N:o 575/2013 277 a artiklan 1 kohdan e alakohdassa lueteltuihin hyödykeriskiluokan suojausryhmiin.</w:t>
            </w:r>
          </w:p>
        </w:tc>
      </w:tr>
    </w:tbl>
    <w:p w14:paraId="73ED3197" w14:textId="77777777" w:rsidR="00EF74C7" w:rsidRPr="002A677E" w:rsidRDefault="00EF74C7" w:rsidP="00EF74C7">
      <w:pPr>
        <w:tabs>
          <w:tab w:val="left" w:pos="1430"/>
        </w:tabs>
        <w:rPr>
          <w:rFonts w:ascii="Times New Roman" w:hAnsi="Times New Roman"/>
        </w:rPr>
      </w:pPr>
    </w:p>
    <w:p w14:paraId="6D94642A"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34" w:name="_Toc19715812"/>
      <w:bookmarkStart w:id="35" w:name="_Toc151714452"/>
      <w:r>
        <w:rPr>
          <w:sz w:val="24"/>
          <w:rFonts w:ascii="Times New Roman" w:hAnsi="Times New Roman"/>
        </w:rPr>
        <w:t xml:space="preserve">C 34.04 – Alkuperäisen hankinta-arvon menetelmällä (OEM) käsiteltävät vastapuoliriskivastuut</w:t>
      </w:r>
      <w:bookmarkEnd w:id="34"/>
      <w:bookmarkEnd w:id="35"/>
    </w:p>
    <w:p w14:paraId="70D39844"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36" w:name="_Toc19715813"/>
      <w:bookmarkStart w:id="37" w:name="_Toc151714453"/>
      <w:r>
        <w:rPr>
          <w:sz w:val="24"/>
          <w:rFonts w:ascii="Times New Roman" w:hAnsi="Times New Roman"/>
        </w:rPr>
        <w:t xml:space="preserve">Tiettyjä kohtia koskevat ohjeet</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55C08F8" w14:textId="77777777" w:rsidTr="00822842">
        <w:trPr>
          <w:trHeight w:val="238"/>
        </w:trPr>
        <w:tc>
          <w:tcPr>
            <w:tcW w:w="9039" w:type="dxa"/>
            <w:gridSpan w:val="2"/>
            <w:shd w:val="clear" w:color="auto" w:fill="D9D9D9" w:themeFill="background1" w:themeFillShade="D9"/>
          </w:tcPr>
          <w:p w14:paraId="00855009"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Sarakkeet</w:t>
            </w:r>
          </w:p>
        </w:tc>
      </w:tr>
      <w:tr w:rsidR="00EF74C7" w:rsidRPr="002A677E" w14:paraId="77E289F2" w14:textId="77777777" w:rsidTr="00822842">
        <w:trPr>
          <w:trHeight w:val="680"/>
        </w:trPr>
        <w:tc>
          <w:tcPr>
            <w:tcW w:w="1384" w:type="dxa"/>
          </w:tcPr>
          <w:p w14:paraId="06D0BF35" w14:textId="77777777" w:rsidR="00EF74C7" w:rsidRPr="002A677E" w:rsidRDefault="00EF74C7" w:rsidP="00822842">
            <w:pPr>
              <w:pStyle w:val="Applicationdirecte"/>
              <w:spacing w:before="0" w:after="0"/>
            </w:pPr>
            <w:r>
              <w:t xml:space="preserve">0010 - 0020</w:t>
            </w:r>
          </w:p>
        </w:tc>
        <w:tc>
          <w:tcPr>
            <w:tcW w:w="7655" w:type="dxa"/>
            <w:vAlign w:val="center"/>
          </w:tcPr>
          <w:p w14:paraId="1143FA3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Sarakkeita 0010 ja 0020 koskevat ohjeet ovat samat kuin lomakkeessa C 34.02.</w:t>
            </w:r>
          </w:p>
        </w:tc>
      </w:tr>
      <w:tr w:rsidR="00EF74C7" w:rsidRPr="002A677E" w14:paraId="246DE35A" w14:textId="77777777" w:rsidTr="00822842">
        <w:trPr>
          <w:trHeight w:val="680"/>
        </w:trPr>
        <w:tc>
          <w:tcPr>
            <w:tcW w:w="1384" w:type="dxa"/>
          </w:tcPr>
          <w:p w14:paraId="48D3046F" w14:textId="77777777" w:rsidR="00EF74C7" w:rsidRPr="002A677E" w:rsidRDefault="00EF74C7" w:rsidP="00822842">
            <w:pPr>
              <w:pStyle w:val="Applicationdirecte"/>
              <w:spacing w:before="0" w:after="0"/>
              <w:jc w:val="left"/>
            </w:pPr>
            <w:r>
              <w:t xml:space="preserve">0030</w:t>
            </w:r>
          </w:p>
        </w:tc>
        <w:tc>
          <w:tcPr>
            <w:tcW w:w="7655" w:type="dxa"/>
            <w:vAlign w:val="center"/>
          </w:tcPr>
          <w:p w14:paraId="625DEDC4"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MARKKINA-ARVO (CMV), POSITIIVINEN</w:t>
            </w:r>
          </w:p>
          <w:p w14:paraId="48775111"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Kaikkien sellaisten transaktioiden, joiden markkina-arvo on positiivinen, markkina-arvojen summa asianomaisessa riskiluokassa.</w:t>
            </w:r>
          </w:p>
        </w:tc>
      </w:tr>
      <w:tr w:rsidR="00EF74C7" w:rsidRPr="002A677E" w14:paraId="755B978D" w14:textId="77777777" w:rsidTr="00822842">
        <w:trPr>
          <w:trHeight w:val="680"/>
        </w:trPr>
        <w:tc>
          <w:tcPr>
            <w:tcW w:w="1384" w:type="dxa"/>
          </w:tcPr>
          <w:p w14:paraId="26B7B5EF" w14:textId="77777777" w:rsidR="00EF74C7" w:rsidRPr="002A677E" w:rsidRDefault="00EF74C7" w:rsidP="00822842">
            <w:pPr>
              <w:pStyle w:val="Applicationdirecte"/>
              <w:spacing w:before="0" w:after="0"/>
              <w:jc w:val="left"/>
            </w:pPr>
            <w:r>
              <w:t xml:space="preserve">0040</w:t>
            </w:r>
          </w:p>
        </w:tc>
        <w:tc>
          <w:tcPr>
            <w:tcW w:w="7655" w:type="dxa"/>
            <w:vAlign w:val="center"/>
          </w:tcPr>
          <w:p w14:paraId="70CB5B2D"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MARKKINA-ARVO (CMV), NEGATIIVINEN</w:t>
            </w:r>
          </w:p>
          <w:p w14:paraId="4475C6E2" w14:textId="77777777" w:rsidR="00EF74C7" w:rsidRPr="002A677E" w:rsidRDefault="00EF74C7" w:rsidP="00822842">
            <w:pPr>
              <w:keepNext/>
              <w:spacing w:before="60"/>
              <w:rPr>
                <w:rStyle w:val="InstructionsTabelleberschrift"/>
                <w:b w:val="0"/>
                <w:bCs w:val="0"/>
                <w:sz w:val="24"/>
                <w:u w:val="none"/>
                <w:rFonts w:ascii="Times New Roman" w:hAnsi="Times New Roman"/>
              </w:rPr>
            </w:pPr>
            <w:r>
              <w:rPr>
                <w:sz w:val="24"/>
                <w:rFonts w:ascii="Times New Roman" w:hAnsi="Times New Roman"/>
              </w:rPr>
              <w:t xml:space="preserve">Kaikkien sellaisten transaktioiden, joiden markkina-arvo on negatiivinen, absoluuttisten markkina-arvojen summa asianomaisessa riskiluokassa.</w:t>
            </w:r>
          </w:p>
        </w:tc>
      </w:tr>
      <w:tr w:rsidR="00EF74C7" w:rsidRPr="002A677E" w14:paraId="02760C8A" w14:textId="77777777" w:rsidTr="00822842">
        <w:trPr>
          <w:trHeight w:val="680"/>
        </w:trPr>
        <w:tc>
          <w:tcPr>
            <w:tcW w:w="1384" w:type="dxa"/>
          </w:tcPr>
          <w:p w14:paraId="55D1F90D" w14:textId="77777777" w:rsidR="00EF74C7" w:rsidRPr="002A677E" w:rsidRDefault="00EF74C7" w:rsidP="00822842">
            <w:pPr>
              <w:pStyle w:val="Applicationdirecte"/>
              <w:spacing w:before="0" w:after="0"/>
              <w:jc w:val="left"/>
            </w:pPr>
            <w:r>
              <w:t xml:space="preserve">0050</w:t>
            </w:r>
          </w:p>
        </w:tc>
        <w:tc>
          <w:tcPr>
            <w:tcW w:w="7655" w:type="dxa"/>
            <w:vAlign w:val="center"/>
          </w:tcPr>
          <w:p w14:paraId="734C593C"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TULEVAISUUDEN POTENTIAALINEN VASTAPUOLIRISKI (PFE)</w:t>
            </w:r>
          </w:p>
          <w:p w14:paraId="53085A1E"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Laitoksen on ilmoitettava tulevaisuuden potentiaalisten vastapuoliriskien summa kaikkien samaan riskiluokkaan kuuluvien transaktioiden osalta.</w:t>
            </w:r>
          </w:p>
        </w:tc>
      </w:tr>
      <w:tr w:rsidR="00EF74C7" w:rsidRPr="002A677E"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Rivit</w:t>
            </w:r>
          </w:p>
        </w:tc>
      </w:tr>
      <w:tr w:rsidR="00EF74C7" w:rsidRPr="002A677E" w14:paraId="753D4ED0" w14:textId="77777777" w:rsidTr="00822842">
        <w:trPr>
          <w:trHeight w:val="680"/>
        </w:trPr>
        <w:tc>
          <w:tcPr>
            <w:tcW w:w="1384" w:type="dxa"/>
          </w:tcPr>
          <w:p w14:paraId="1FCDB527" w14:textId="77777777" w:rsidR="00EF74C7" w:rsidRPr="002A677E" w:rsidRDefault="00EF74C7" w:rsidP="00822842">
            <w:pPr>
              <w:pStyle w:val="Applicationdirecte"/>
              <w:spacing w:before="0" w:after="0"/>
            </w:pPr>
            <w:r>
              <w:t xml:space="preserve">0020 - 0070</w:t>
            </w:r>
          </w:p>
        </w:tc>
        <w:tc>
          <w:tcPr>
            <w:tcW w:w="7655" w:type="dxa"/>
            <w:vAlign w:val="center"/>
          </w:tcPr>
          <w:p w14:paraId="31AB6B37"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RISKILUOKAT</w:t>
            </w:r>
          </w:p>
          <w:p w14:paraId="183CF2DA"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Tässä tarkoitetaan johdannaistransaktioita, jotka on sijoitettu asetuksen (EU) N:o 575/2013 282 artiklan 4 kohdan b alakohdassa lueteltuihin riskiluokkiin.</w:t>
            </w:r>
          </w:p>
        </w:tc>
      </w:tr>
    </w:tbl>
    <w:p w14:paraId="4C05758D" w14:textId="77777777" w:rsidR="00EF74C7" w:rsidRPr="002A677E" w:rsidRDefault="00EF74C7" w:rsidP="00EF74C7">
      <w:pPr>
        <w:tabs>
          <w:tab w:val="left" w:pos="1430"/>
        </w:tabs>
        <w:rPr>
          <w:rFonts w:ascii="Times New Roman" w:hAnsi="Times New Roman"/>
        </w:rPr>
      </w:pPr>
    </w:p>
    <w:p w14:paraId="087B82F5"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38" w:name="_Toc19715814"/>
      <w:bookmarkStart w:id="39" w:name="_Toc151714454"/>
      <w:r>
        <w:rPr>
          <w:sz w:val="24"/>
          <w:rFonts w:ascii="Times New Roman" w:hAnsi="Times New Roman"/>
        </w:rPr>
        <w:t xml:space="preserve">C 34.05 – Sisäisen mallin menetelmällä (IMM) käsiteltävät vastapuoliriskivastuut</w:t>
      </w:r>
      <w:bookmarkEnd w:id="38"/>
      <w:bookmarkEnd w:id="39"/>
    </w:p>
    <w:p w14:paraId="055BB797"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40" w:name="_Toc19715815"/>
      <w:bookmarkStart w:id="41" w:name="_Toc151714455"/>
      <w:r>
        <w:rPr>
          <w:sz w:val="24"/>
          <w:rFonts w:ascii="Times New Roman" w:hAnsi="Times New Roman"/>
        </w:rPr>
        <w:t xml:space="preserve">Tiettyjä kohtia koskevat ohjeet</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A1FFA92" w14:textId="77777777" w:rsidTr="00822842">
        <w:trPr>
          <w:trHeight w:val="238"/>
        </w:trPr>
        <w:tc>
          <w:tcPr>
            <w:tcW w:w="9039" w:type="dxa"/>
            <w:gridSpan w:val="2"/>
            <w:shd w:val="clear" w:color="auto" w:fill="D9D9D9" w:themeFill="background1" w:themeFillShade="D9"/>
          </w:tcPr>
          <w:p w14:paraId="2A9ED361"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Sarakkeet</w:t>
            </w:r>
          </w:p>
        </w:tc>
      </w:tr>
      <w:tr w:rsidR="00EF74C7" w:rsidRPr="002A677E" w14:paraId="38FC6FA5" w14:textId="77777777" w:rsidTr="00822842">
        <w:trPr>
          <w:trHeight w:val="680"/>
        </w:trPr>
        <w:tc>
          <w:tcPr>
            <w:tcW w:w="1384" w:type="dxa"/>
          </w:tcPr>
          <w:p w14:paraId="27DC6DB6" w14:textId="77777777" w:rsidR="00EF74C7" w:rsidRPr="002A677E" w:rsidRDefault="00EF74C7" w:rsidP="00822842">
            <w:pPr>
              <w:pStyle w:val="Applicationdirecte"/>
              <w:spacing w:before="0" w:after="0"/>
            </w:pPr>
            <w:r>
              <w:t xml:space="preserve">00010 - 0080</w:t>
            </w:r>
          </w:p>
        </w:tc>
        <w:tc>
          <w:tcPr>
            <w:tcW w:w="7655" w:type="dxa"/>
            <w:vAlign w:val="center"/>
          </w:tcPr>
          <w:p w14:paraId="4E699B36" w14:textId="77777777" w:rsidR="00EF74C7" w:rsidRPr="002A677E" w:rsidRDefault="00EF74C7" w:rsidP="00822842">
            <w:pPr>
              <w:keepNext/>
              <w:spacing w:before="60"/>
              <w:rPr>
                <w:strike/>
                <w:sz w:val="24"/>
                <w:rFonts w:ascii="Times New Roman" w:hAnsi="Times New Roman"/>
              </w:rPr>
            </w:pPr>
            <w:r>
              <w:rPr>
                <w:rStyle w:val="InstructionsTabelleberschrift"/>
                <w:sz w:val="24"/>
                <w:rFonts w:ascii="Times New Roman" w:hAnsi="Times New Roman"/>
              </w:rPr>
              <w:t xml:space="preserve">VAKUUDELLISET</w:t>
            </w:r>
            <w:r>
              <w:rPr>
                <w:rStyle w:val="InstructionsTabelleberschrift"/>
                <w:sz w:val="24"/>
                <w:rFonts w:ascii="Times New Roman" w:hAnsi="Times New Roman"/>
              </w:rPr>
              <w:t xml:space="preserve"> </w:t>
            </w:r>
          </w:p>
          <w:p w14:paraId="44743405"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Ks. lomakkeen C 34.02 riviä 0130 koskevat ohjeet.</w:t>
            </w:r>
          </w:p>
        </w:tc>
      </w:tr>
      <w:tr w:rsidR="00EF74C7" w:rsidRPr="002A677E" w14:paraId="2E882AEE" w14:textId="77777777" w:rsidTr="00822842">
        <w:trPr>
          <w:trHeight w:val="680"/>
        </w:trPr>
        <w:tc>
          <w:tcPr>
            <w:tcW w:w="1384" w:type="dxa"/>
          </w:tcPr>
          <w:p w14:paraId="4753DFE3" w14:textId="77777777" w:rsidR="00EF74C7" w:rsidRPr="002A677E" w:rsidRDefault="00EF74C7" w:rsidP="00822842">
            <w:pPr>
              <w:pStyle w:val="Applicationdirecte"/>
              <w:spacing w:before="0" w:after="0"/>
            </w:pPr>
            <w:r>
              <w:t xml:space="preserve">0090 - 0160</w:t>
            </w:r>
          </w:p>
        </w:tc>
        <w:tc>
          <w:tcPr>
            <w:tcW w:w="7655" w:type="dxa"/>
            <w:vAlign w:val="center"/>
          </w:tcPr>
          <w:p w14:paraId="77C0E439" w14:textId="77777777" w:rsidR="00EF74C7" w:rsidRPr="002A677E" w:rsidRDefault="00EF74C7" w:rsidP="00822842">
            <w:pPr>
              <w:keepNext/>
              <w:spacing w:before="60"/>
              <w:rPr>
                <w:rStyle w:val="InstructionsTabelleberschrift"/>
                <w:b w:val="0"/>
                <w:bCs w:val="0"/>
                <w:sz w:val="24"/>
                <w:rFonts w:ascii="Times New Roman" w:hAnsi="Times New Roman"/>
              </w:rPr>
            </w:pPr>
            <w:r>
              <w:rPr>
                <w:rStyle w:val="InstructionsTabelleberschrift"/>
                <w:sz w:val="24"/>
                <w:rFonts w:ascii="Times New Roman" w:hAnsi="Times New Roman"/>
              </w:rPr>
              <w:t xml:space="preserve">VAKUUDETTOMAT</w:t>
            </w:r>
            <w:r>
              <w:rPr>
                <w:rStyle w:val="InstructionsTabelleberschrift"/>
                <w:sz w:val="24"/>
                <w:rFonts w:ascii="Times New Roman" w:hAnsi="Times New Roman"/>
              </w:rPr>
              <w:t xml:space="preserve"> </w:t>
            </w:r>
          </w:p>
          <w:p w14:paraId="3E0059F7"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Ks. lomakkeen C 34.02 riviä 0140 koskevat ohjeet.</w:t>
            </w:r>
          </w:p>
        </w:tc>
      </w:tr>
      <w:tr w:rsidR="00EF74C7" w:rsidRPr="002A677E" w14:paraId="11088642" w14:textId="77777777" w:rsidTr="00822842">
        <w:trPr>
          <w:trHeight w:val="680"/>
        </w:trPr>
        <w:tc>
          <w:tcPr>
            <w:tcW w:w="1384" w:type="dxa"/>
          </w:tcPr>
          <w:p w14:paraId="38E3A9E7" w14:textId="77777777" w:rsidR="00EF74C7" w:rsidRPr="002A677E" w:rsidRDefault="00EF74C7" w:rsidP="00822842">
            <w:pPr>
              <w:pStyle w:val="Applicationdirecte"/>
              <w:spacing w:before="0" w:after="0"/>
              <w:jc w:val="left"/>
            </w:pPr>
            <w:r>
              <w:t xml:space="preserve">0010,0090</w:t>
            </w:r>
          </w:p>
        </w:tc>
        <w:tc>
          <w:tcPr>
            <w:tcW w:w="7655" w:type="dxa"/>
            <w:vAlign w:val="center"/>
          </w:tcPr>
          <w:p w14:paraId="10F9DAAA"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TRANSAKTIOIDEN LUKUMÄÄRÄ</w:t>
            </w:r>
            <w:r>
              <w:rPr>
                <w:rStyle w:val="InstructionsTabelleberschrift"/>
                <w:sz w:val="24"/>
                <w:rFonts w:ascii="Times New Roman" w:hAnsi="Times New Roman"/>
              </w:rPr>
              <w:t xml:space="preserve"> </w:t>
            </w:r>
          </w:p>
          <w:p w14:paraId="5C4653C5"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Ks. lomakkeen C 34.02 saraketta 0020 koskevat ohjeet.</w:t>
            </w:r>
          </w:p>
        </w:tc>
      </w:tr>
      <w:tr w:rsidR="00EF74C7" w:rsidRPr="002A677E" w14:paraId="2A1C3305" w14:textId="77777777" w:rsidTr="00822842">
        <w:trPr>
          <w:trHeight w:val="680"/>
        </w:trPr>
        <w:tc>
          <w:tcPr>
            <w:tcW w:w="1384" w:type="dxa"/>
          </w:tcPr>
          <w:p w14:paraId="0F1355B7" w14:textId="77777777" w:rsidR="00EF74C7" w:rsidRPr="002A677E" w:rsidRDefault="00EF74C7" w:rsidP="00822842">
            <w:pPr>
              <w:pStyle w:val="Applicationdirecte"/>
              <w:spacing w:before="0" w:after="0"/>
              <w:jc w:val="left"/>
            </w:pPr>
            <w:r>
              <w:t xml:space="preserve">0020,0100</w:t>
            </w:r>
          </w:p>
        </w:tc>
        <w:tc>
          <w:tcPr>
            <w:tcW w:w="7655" w:type="dxa"/>
            <w:vAlign w:val="center"/>
          </w:tcPr>
          <w:p w14:paraId="73CC08BF" w14:textId="77777777" w:rsidR="00EF74C7" w:rsidRPr="002A677E" w:rsidRDefault="00EF74C7" w:rsidP="00822842">
            <w:pPr>
              <w:keepNext/>
              <w:spacing w:before="60"/>
              <w:rPr>
                <w:rStyle w:val="InstructionsTabelleberschrift"/>
                <w:b w:val="0"/>
                <w:bCs w:val="0"/>
                <w:sz w:val="24"/>
                <w:rFonts w:ascii="Times New Roman" w:hAnsi="Times New Roman"/>
              </w:rPr>
            </w:pPr>
            <w:r>
              <w:rPr>
                <w:rStyle w:val="InstructionsTabelleberschrift"/>
                <w:sz w:val="24"/>
                <w:rFonts w:ascii="Times New Roman" w:hAnsi="Times New Roman"/>
              </w:rPr>
              <w:t xml:space="preserve">NIMELLISMÄÄRÄT</w:t>
            </w:r>
            <w:r>
              <w:rPr>
                <w:rStyle w:val="InstructionsTabelleberschrift"/>
                <w:sz w:val="24"/>
                <w:rFonts w:ascii="Times New Roman" w:hAnsi="Times New Roman"/>
              </w:rPr>
              <w:t xml:space="preserve"> </w:t>
            </w:r>
          </w:p>
          <w:p w14:paraId="75787B39" w14:textId="77777777" w:rsidR="00EF74C7" w:rsidRPr="002A677E" w:rsidRDefault="00EF74C7" w:rsidP="00822842">
            <w:pPr>
              <w:keepNext/>
              <w:spacing w:before="60"/>
              <w:rPr>
                <w:i/>
                <w:strike/>
                <w:sz w:val="24"/>
                <w:rFonts w:ascii="Times New Roman" w:hAnsi="Times New Roman"/>
              </w:rPr>
            </w:pPr>
            <w:r>
              <w:rPr>
                <w:sz w:val="24"/>
                <w:rFonts w:ascii="Times New Roman" w:hAnsi="Times New Roman"/>
              </w:rPr>
              <w:t xml:space="preserve">Ks. lomakkeen C 34.02 saraketta 0030 koskevat ohjeet.</w:t>
            </w:r>
          </w:p>
        </w:tc>
      </w:tr>
      <w:tr w:rsidR="00EF74C7" w:rsidRPr="002A677E" w14:paraId="07CB3F2E" w14:textId="77777777" w:rsidTr="00822842">
        <w:trPr>
          <w:trHeight w:val="680"/>
        </w:trPr>
        <w:tc>
          <w:tcPr>
            <w:tcW w:w="1384" w:type="dxa"/>
          </w:tcPr>
          <w:p w14:paraId="16DDFD4B" w14:textId="77777777" w:rsidR="00EF74C7" w:rsidRPr="002A677E" w:rsidRDefault="00EF74C7" w:rsidP="00822842">
            <w:pPr>
              <w:pStyle w:val="Applicationdirecte"/>
              <w:spacing w:before="0" w:after="0"/>
              <w:jc w:val="left"/>
            </w:pPr>
            <w:r>
              <w:t xml:space="preserve">0030,0110</w:t>
            </w:r>
          </w:p>
        </w:tc>
        <w:tc>
          <w:tcPr>
            <w:tcW w:w="7655" w:type="dxa"/>
            <w:vAlign w:val="center"/>
          </w:tcPr>
          <w:p w14:paraId="5D4ADBBE"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MARKKINA-ARVO (CMV), POSITIIVINEN</w:t>
            </w:r>
          </w:p>
          <w:p w14:paraId="1BDCFC64"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Kaikkien sellaisten samaan omaisuusluokkaan kuuluvien transaktioiden, joiden markkina-arvo on positiivinen, markkina-arvojen summa.</w:t>
            </w:r>
          </w:p>
        </w:tc>
      </w:tr>
      <w:tr w:rsidR="00EF74C7" w:rsidRPr="002A677E" w14:paraId="1D55DF7C" w14:textId="77777777" w:rsidTr="00822842">
        <w:trPr>
          <w:trHeight w:val="680"/>
        </w:trPr>
        <w:tc>
          <w:tcPr>
            <w:tcW w:w="1384" w:type="dxa"/>
          </w:tcPr>
          <w:p w14:paraId="1B4379B1" w14:textId="77777777" w:rsidR="00EF74C7" w:rsidRPr="002A677E" w:rsidRDefault="00EF74C7" w:rsidP="00822842">
            <w:pPr>
              <w:pStyle w:val="Applicationdirecte"/>
              <w:spacing w:before="0" w:after="0"/>
              <w:jc w:val="left"/>
            </w:pPr>
            <w:r>
              <w:t xml:space="preserve">0040,0120</w:t>
            </w:r>
          </w:p>
        </w:tc>
        <w:tc>
          <w:tcPr>
            <w:tcW w:w="7655" w:type="dxa"/>
            <w:vAlign w:val="center"/>
          </w:tcPr>
          <w:p w14:paraId="06A034B3"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MARKKINA-ARVO (CMV), NEGATIIVINEN</w:t>
            </w:r>
          </w:p>
          <w:p w14:paraId="4B126FBF"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Kaikkien sellaisten samaan omaisuusluokkaan kuuluvien transaktioiden, joiden markkina-arvo on negatiivinen, absoluuttisten markkina-arvojen summa.</w:t>
            </w:r>
          </w:p>
        </w:tc>
      </w:tr>
      <w:tr w:rsidR="00EF74C7" w:rsidRPr="002A677E" w14:paraId="5443ACE2" w14:textId="77777777" w:rsidTr="00822842">
        <w:trPr>
          <w:trHeight w:val="680"/>
        </w:trPr>
        <w:tc>
          <w:tcPr>
            <w:tcW w:w="1384" w:type="dxa"/>
          </w:tcPr>
          <w:p w14:paraId="026B5D82" w14:textId="77777777" w:rsidR="00EF74C7" w:rsidRPr="002A677E" w:rsidRDefault="00EF74C7" w:rsidP="00822842">
            <w:pPr>
              <w:pStyle w:val="Applicationdirecte"/>
              <w:spacing w:before="0" w:after="0"/>
              <w:jc w:val="left"/>
            </w:pPr>
            <w:r>
              <w:t xml:space="preserve">0050,0130</w:t>
            </w:r>
          </w:p>
        </w:tc>
        <w:tc>
          <w:tcPr>
            <w:tcW w:w="7655" w:type="dxa"/>
            <w:vAlign w:val="center"/>
          </w:tcPr>
          <w:p w14:paraId="6BEF0650"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NYKYHETKEN VASTAPUOLIRISKI</w:t>
            </w:r>
          </w:p>
          <w:p w14:paraId="4BD20CD9"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Ks. lomakkeen C 34.02 saraketta 0120 koskevat ohjeet.</w:t>
            </w:r>
          </w:p>
        </w:tc>
      </w:tr>
      <w:tr w:rsidR="00EF74C7" w:rsidRPr="002A677E" w14:paraId="33A01D3A" w14:textId="77777777" w:rsidTr="00822842">
        <w:trPr>
          <w:trHeight w:val="680"/>
        </w:trPr>
        <w:tc>
          <w:tcPr>
            <w:tcW w:w="1384" w:type="dxa"/>
          </w:tcPr>
          <w:p w14:paraId="434C41F4" w14:textId="77777777" w:rsidR="00EF74C7" w:rsidRPr="002A677E" w:rsidRDefault="00EF74C7" w:rsidP="00822842">
            <w:pPr>
              <w:pStyle w:val="Applicationdirecte"/>
              <w:spacing w:before="0" w:after="0"/>
              <w:jc w:val="left"/>
            </w:pPr>
            <w:r>
              <w:t xml:space="preserve">0060,0140</w:t>
            </w:r>
          </w:p>
        </w:tc>
        <w:tc>
          <w:tcPr>
            <w:tcW w:w="7655" w:type="dxa"/>
            <w:vAlign w:val="center"/>
          </w:tcPr>
          <w:p w14:paraId="5F8AFE09"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EFEKTIIVINEN ODOTETTU VASTAPUOLIRISKI (EEPE)</w:t>
            </w:r>
          </w:p>
          <w:p w14:paraId="72409BA6" w14:textId="77777777" w:rsidR="00EF74C7" w:rsidRPr="002A677E" w:rsidRDefault="00EF74C7" w:rsidP="00822842">
            <w:pPr>
              <w:pStyle w:val="Default"/>
              <w:spacing w:after="120"/>
              <w:jc w:val="both"/>
              <w:rPr>
                <w:strike/>
                <w:color w:val="auto"/>
                <w:rFonts w:ascii="Times New Roman" w:hAnsi="Times New Roman" w:cs="Times New Roman"/>
              </w:rPr>
            </w:pPr>
            <w:r>
              <w:rPr>
                <w:color w:val="auto"/>
                <w:rFonts w:ascii="Times New Roman" w:hAnsi="Times New Roman"/>
              </w:rPr>
              <w:t xml:space="preserve">Ks. lomakkeen C 34.02 saraketta 0130 koskevat ohjeet.</w:t>
            </w:r>
          </w:p>
        </w:tc>
      </w:tr>
      <w:tr w:rsidR="00EF74C7" w:rsidRPr="002A677E" w14:paraId="1D10918D" w14:textId="77777777" w:rsidTr="00822842">
        <w:trPr>
          <w:trHeight w:val="680"/>
        </w:trPr>
        <w:tc>
          <w:tcPr>
            <w:tcW w:w="1384" w:type="dxa"/>
          </w:tcPr>
          <w:p w14:paraId="208DFF88" w14:textId="77777777" w:rsidR="00EF74C7" w:rsidRPr="002A677E" w:rsidRDefault="00EF74C7" w:rsidP="00822842">
            <w:pPr>
              <w:pStyle w:val="Applicationdirecte"/>
              <w:spacing w:before="0" w:after="0"/>
              <w:jc w:val="left"/>
            </w:pPr>
            <w:r>
              <w:t xml:space="preserve">0070,0150</w:t>
            </w:r>
          </w:p>
        </w:tc>
        <w:tc>
          <w:tcPr>
            <w:tcW w:w="7655" w:type="dxa"/>
            <w:vAlign w:val="center"/>
          </w:tcPr>
          <w:p w14:paraId="0290C67F"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STRESSIKAUDEN EEPE</w:t>
            </w:r>
          </w:p>
          <w:p w14:paraId="071BB18F"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Asetuksen (EU) N:o 575/2013 284 ja 6 artikla ja 292 artiklan 2 kohta</w:t>
            </w:r>
          </w:p>
          <w:p w14:paraId="4C777000"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Stressikauden EEPE lasketaan kuten EEPE (asetuksen (EU) N:o 575/2013 284 artiklan 6 kohta) mutta käyttäen stressikalibraatiota asetuksen (EU) N:o 575/2013 292 artiklan 2 kohdan mukaisesti.</w:t>
            </w:r>
          </w:p>
        </w:tc>
      </w:tr>
      <w:tr w:rsidR="00EF74C7" w:rsidRPr="002A677E" w14:paraId="2950463C" w14:textId="77777777" w:rsidTr="00822842">
        <w:trPr>
          <w:trHeight w:val="680"/>
        </w:trPr>
        <w:tc>
          <w:tcPr>
            <w:tcW w:w="1384" w:type="dxa"/>
          </w:tcPr>
          <w:p w14:paraId="1FAC8572" w14:textId="77777777" w:rsidR="00EF74C7" w:rsidRPr="002A677E" w:rsidRDefault="00EF74C7" w:rsidP="00822842">
            <w:pPr>
              <w:pStyle w:val="Applicationdirecte"/>
              <w:spacing w:before="0" w:after="0"/>
              <w:jc w:val="left"/>
            </w:pPr>
            <w:r>
              <w:t xml:space="preserve">0080, 0160,0170</w:t>
            </w:r>
          </w:p>
        </w:tc>
        <w:tc>
          <w:tcPr>
            <w:tcW w:w="7655" w:type="dxa"/>
            <w:vAlign w:val="center"/>
          </w:tcPr>
          <w:p w14:paraId="38883B3C"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VASTUUARVO</w:t>
            </w:r>
          </w:p>
          <w:p w14:paraId="5D5537F3"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Ks. lomakkeen C 34.02 saraketta 0170 koskevat ohjeet.</w:t>
            </w:r>
          </w:p>
        </w:tc>
      </w:tr>
      <w:tr w:rsidR="00EF74C7" w:rsidRPr="00403B9F" w14:paraId="1DF28D0B" w14:textId="77777777" w:rsidTr="00822842">
        <w:trPr>
          <w:trHeight w:val="680"/>
        </w:trPr>
        <w:tc>
          <w:tcPr>
            <w:tcW w:w="9039" w:type="dxa"/>
            <w:gridSpan w:val="2"/>
            <w:tcBorders>
              <w:left w:val="nil"/>
              <w:right w:val="nil"/>
            </w:tcBorders>
          </w:tcPr>
          <w:p w14:paraId="07A3474A" w14:textId="77777777" w:rsidR="00EF74C7" w:rsidRPr="00D768D3" w:rsidDel="00291448" w:rsidRDefault="00EF74C7" w:rsidP="00822842">
            <w:pPr>
              <w:rPr>
                <w:rFonts w:ascii="Times New Roman" w:hAnsi="Times New Roman"/>
                <w:sz w:val="24"/>
              </w:rPr>
            </w:pPr>
          </w:p>
        </w:tc>
      </w:tr>
      <w:tr w:rsidR="00EF74C7" w:rsidRPr="002A677E"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2A677E" w:rsidRDefault="00EF74C7" w:rsidP="00822842">
            <w:pPr>
              <w:pStyle w:val="Applicationdirecte"/>
              <w:spacing w:before="0"/>
              <w:jc w:val="left"/>
              <w:rPr>
                <w:b/>
              </w:rPr>
            </w:pPr>
            <w:r>
              <w:rPr>
                <w:b/>
              </w:rPr>
              <w:t xml:space="preserve">Rivi</w:t>
            </w:r>
            <w:r>
              <w:rPr>
                <w:b/>
              </w:rPr>
              <w:t xml:space="preserve">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2A677E" w:rsidRDefault="00EF74C7" w:rsidP="00822842">
            <w:pPr>
              <w:pStyle w:val="TableMainHeading"/>
              <w:spacing w:before="60"/>
              <w:rPr>
                <w:b/>
                <w:sz w:val="24"/>
                <w:szCs w:val="24"/>
                <w:rFonts w:ascii="Times New Roman" w:hAnsi="Times New Roman"/>
              </w:rPr>
            </w:pPr>
            <w:r>
              <w:rPr>
                <w:b/>
                <w:sz w:val="24"/>
                <w:rFonts w:ascii="Times New Roman" w:hAnsi="Times New Roman"/>
              </w:rPr>
              <w:t xml:space="preserve">Selitys</w:t>
            </w:r>
            <w:r>
              <w:rPr>
                <w:b/>
                <w:sz w:val="24"/>
                <w:rFonts w:ascii="Times New Roman" w:hAnsi="Times New Roman"/>
              </w:rPr>
              <w:t xml:space="preserve"> </w:t>
            </w:r>
          </w:p>
        </w:tc>
      </w:tr>
      <w:tr w:rsidR="00EF74C7" w:rsidRPr="002A677E" w14:paraId="09B9D5F2" w14:textId="77777777" w:rsidTr="00822842">
        <w:trPr>
          <w:trHeight w:val="426"/>
        </w:trPr>
        <w:tc>
          <w:tcPr>
            <w:tcW w:w="1384" w:type="dxa"/>
          </w:tcPr>
          <w:p w14:paraId="4740A097" w14:textId="77777777" w:rsidR="00EF74C7" w:rsidRPr="002A677E" w:rsidRDefault="00EF74C7" w:rsidP="00822842">
            <w:pPr>
              <w:pStyle w:val="Applicationdirecte"/>
              <w:spacing w:before="0" w:after="0"/>
            </w:pPr>
            <w:r>
              <w:t xml:space="preserve">0010</w:t>
            </w:r>
          </w:p>
        </w:tc>
        <w:tc>
          <w:tcPr>
            <w:tcW w:w="7655" w:type="dxa"/>
          </w:tcPr>
          <w:p w14:paraId="155D9C7F"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YHTEENSÄ</w:t>
            </w:r>
            <w:r>
              <w:rPr>
                <w:rStyle w:val="InstructionsTabelleberschrift"/>
                <w:sz w:val="24"/>
                <w:rFonts w:ascii="Times New Roman" w:hAnsi="Times New Roman"/>
              </w:rPr>
              <w:t xml:space="preserve"> </w:t>
            </w:r>
          </w:p>
          <w:p w14:paraId="43496D3B" w14:textId="77777777" w:rsidR="00EF74C7" w:rsidRPr="002A677E" w:rsidRDefault="00EF74C7" w:rsidP="00822842">
            <w:pPr>
              <w:keepNext/>
              <w:spacing w:before="60"/>
              <w:rPr>
                <w:sz w:val="24"/>
              </w:rPr>
            </w:pPr>
            <w:r>
              <w:rPr>
                <w:sz w:val="24"/>
                <w:rFonts w:ascii="Times New Roman" w:hAnsi="Times New Roman"/>
              </w:rPr>
              <w:t xml:space="preserve">Asetuksen (EU) N:o 575/2013 283 artikla</w:t>
            </w:r>
          </w:p>
          <w:p w14:paraId="72F05A01" w14:textId="77777777" w:rsidR="00EF74C7" w:rsidRPr="002A677E" w:rsidRDefault="00EF74C7" w:rsidP="00822842">
            <w:pPr>
              <w:rPr>
                <w:sz w:val="24"/>
              </w:rPr>
            </w:pPr>
            <w:r>
              <w:rPr>
                <w:sz w:val="24"/>
                <w:rFonts w:ascii="Times New Roman" w:hAnsi="Times New Roman"/>
              </w:rPr>
              <w:t xml:space="preserve">Laitoksen on ilmoitettava tiedot johdannaisista, pitkän selvitysajan liiketoimista ja arvopapereilla toteutettavista rahoitustoimista, joille se on saanut luvan määrittää vastuuarvon sisäisen mallin menetelmää (IMM) käyttäen asetuksen (EU) N:o 575/2013 283 artiklan mukaisesti.</w:t>
            </w:r>
          </w:p>
        </w:tc>
      </w:tr>
      <w:tr w:rsidR="00EF74C7" w:rsidRPr="002A677E" w14:paraId="61D3022A" w14:textId="77777777" w:rsidTr="00822842">
        <w:trPr>
          <w:trHeight w:val="829"/>
        </w:trPr>
        <w:tc>
          <w:tcPr>
            <w:tcW w:w="1384" w:type="dxa"/>
          </w:tcPr>
          <w:p w14:paraId="395168E0" w14:textId="77777777" w:rsidR="00EF74C7" w:rsidRPr="002A677E" w:rsidRDefault="00EF74C7" w:rsidP="00822842">
            <w:pPr>
              <w:pStyle w:val="Applicationdirecte"/>
              <w:spacing w:before="0" w:after="0"/>
            </w:pPr>
            <w:r>
              <w:t xml:space="preserve">0020</w:t>
            </w:r>
          </w:p>
        </w:tc>
        <w:tc>
          <w:tcPr>
            <w:tcW w:w="7655" w:type="dxa"/>
          </w:tcPr>
          <w:p w14:paraId="0331298D"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Josta: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positiot, joihin liittyy wrong-way -erityisriski</w:t>
            </w:r>
          </w:p>
          <w:p w14:paraId="1013C757" w14:textId="77777777" w:rsidR="00EF74C7" w:rsidRPr="002A677E" w:rsidRDefault="00EF74C7" w:rsidP="00822842">
            <w:pPr>
              <w:rPr>
                <w:sz w:val="24"/>
                <w:rFonts w:ascii="Times New Roman" w:hAnsi="Times New Roman"/>
              </w:rPr>
            </w:pPr>
            <w:r>
              <w:rPr>
                <w:sz w:val="24"/>
                <w:rFonts w:ascii="Times New Roman" w:hAnsi="Times New Roman"/>
              </w:rPr>
              <w:t xml:space="preserve">Ks. lomakkeen C 34.02 riviä 0120 koskevat ohjeet.</w:t>
            </w:r>
          </w:p>
        </w:tc>
      </w:tr>
      <w:tr w:rsidR="00EF74C7" w:rsidRPr="002A677E" w14:paraId="53E2F2D0" w14:textId="77777777" w:rsidTr="00822842">
        <w:trPr>
          <w:trHeight w:val="842"/>
        </w:trPr>
        <w:tc>
          <w:tcPr>
            <w:tcW w:w="1384" w:type="dxa"/>
          </w:tcPr>
          <w:p w14:paraId="7706E084" w14:textId="77777777" w:rsidR="00EF74C7" w:rsidRPr="002A677E" w:rsidRDefault="00EF74C7" w:rsidP="00822842">
            <w:pPr>
              <w:pStyle w:val="Applicationdirecte"/>
              <w:spacing w:before="0" w:after="0"/>
              <w:jc w:val="left"/>
            </w:pPr>
            <w:r>
              <w:t xml:space="preserve">0030</w:t>
            </w:r>
          </w:p>
        </w:tc>
        <w:tc>
          <w:tcPr>
            <w:tcW w:w="7655" w:type="dxa"/>
          </w:tcPr>
          <w:p w14:paraId="5DE0314C"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Luottoriskiä koskevalla standardimenetelmällä käsiteltävät nettoutusryhmät</w:t>
            </w:r>
          </w:p>
          <w:p w14:paraId="7CD0087F" w14:textId="77777777" w:rsidR="00EF74C7" w:rsidRPr="002A677E" w:rsidRDefault="00EF74C7" w:rsidP="00822842">
            <w:pPr>
              <w:rPr>
                <w:rStyle w:val="InstructionsTabelleberschrift"/>
                <w:b w:val="0"/>
                <w:bCs w:val="0"/>
                <w:sz w:val="24"/>
                <w:rFonts w:ascii="Times New Roman" w:hAnsi="Times New Roman" w:cstheme="minorBidi"/>
              </w:rPr>
            </w:pPr>
            <w:r>
              <w:rPr>
                <w:sz w:val="24"/>
                <w:rFonts w:ascii="Times New Roman" w:hAnsi="Times New Roman"/>
              </w:rPr>
              <w:t xml:space="preserve">Ks. lomakkeen C 34.02 saraketta 0180 koskevat ohjeet.</w:t>
            </w:r>
          </w:p>
        </w:tc>
      </w:tr>
      <w:tr w:rsidR="00EF74C7" w:rsidRPr="002A677E" w14:paraId="246949FB" w14:textId="77777777" w:rsidTr="00822842">
        <w:trPr>
          <w:trHeight w:val="839"/>
        </w:trPr>
        <w:tc>
          <w:tcPr>
            <w:tcW w:w="1384" w:type="dxa"/>
          </w:tcPr>
          <w:p w14:paraId="4489E702" w14:textId="77777777" w:rsidR="00EF74C7" w:rsidRPr="002A677E" w:rsidRDefault="00EF74C7" w:rsidP="00822842">
            <w:pPr>
              <w:pStyle w:val="Applicationdirecte"/>
              <w:spacing w:before="0" w:after="0"/>
              <w:jc w:val="left"/>
            </w:pPr>
            <w:r>
              <w:t xml:space="preserve">0040</w:t>
            </w:r>
          </w:p>
        </w:tc>
        <w:tc>
          <w:tcPr>
            <w:tcW w:w="7655" w:type="dxa"/>
          </w:tcPr>
          <w:p w14:paraId="79702292"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Luottoriskiä koskevalla IRB-menetelmällä käsiteltävät nettoutusryhmät</w:t>
            </w:r>
          </w:p>
          <w:p w14:paraId="5DEB3BFD" w14:textId="77777777" w:rsidR="00EF74C7" w:rsidRPr="002A677E" w:rsidRDefault="00EF74C7" w:rsidP="00822842">
            <w:pPr>
              <w:rPr>
                <w:rStyle w:val="InstructionsTabelleberschrift"/>
                <w:b w:val="0"/>
                <w:bCs w:val="0"/>
                <w:sz w:val="24"/>
                <w:rFonts w:ascii="Times New Roman" w:hAnsi="Times New Roman" w:cstheme="minorBidi"/>
              </w:rPr>
            </w:pPr>
            <w:r>
              <w:rPr>
                <w:sz w:val="24"/>
                <w:rFonts w:ascii="Times New Roman" w:hAnsi="Times New Roman"/>
              </w:rPr>
              <w:t xml:space="preserve">Ks. lomakkeen C 34.02 saraketta 0190 koskevat ohjeet.</w:t>
            </w:r>
          </w:p>
        </w:tc>
      </w:tr>
      <w:tr w:rsidR="00EF74C7" w:rsidRPr="002A677E" w14:paraId="6C69A9B4" w14:textId="77777777" w:rsidTr="00822842">
        <w:trPr>
          <w:trHeight w:val="1971"/>
        </w:trPr>
        <w:tc>
          <w:tcPr>
            <w:tcW w:w="1384" w:type="dxa"/>
          </w:tcPr>
          <w:p w14:paraId="7647D954" w14:textId="77777777" w:rsidR="00EF74C7" w:rsidRPr="002A677E" w:rsidRDefault="00EF74C7" w:rsidP="00822842">
            <w:pPr>
              <w:pStyle w:val="Applicationdirecte"/>
              <w:spacing w:before="0" w:after="0"/>
              <w:jc w:val="left"/>
            </w:pPr>
            <w:r>
              <w:t xml:space="preserve">0050 - 0110</w:t>
            </w:r>
          </w:p>
        </w:tc>
        <w:tc>
          <w:tcPr>
            <w:tcW w:w="7655" w:type="dxa"/>
          </w:tcPr>
          <w:p w14:paraId="3D695FB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OTC-JOHDANNAISET</w:t>
            </w:r>
          </w:p>
          <w:p w14:paraId="0E8A5849" w14:textId="77777777" w:rsidR="00EF74C7" w:rsidRPr="002A677E" w:rsidRDefault="00EF74C7" w:rsidP="00822842">
            <w:pPr>
              <w:rPr>
                <w:sz w:val="24"/>
                <w:rFonts w:ascii="Times New Roman" w:hAnsi="Times New Roman"/>
              </w:rPr>
            </w:pPr>
            <w:r>
              <w:rPr>
                <w:sz w:val="24"/>
                <w:rFonts w:ascii="Times New Roman" w:hAnsi="Times New Roman"/>
              </w:rPr>
              <w:t xml:space="preserve">Laitoksen on ilmoitettava tiedot nettoutusryhmistä, jotka sisältävät ainoastaan OTC-johdannaisia tai pitkän selvitysajan liiketoimia, joille se on saanut luvan määrittää vastuuarvon sisäisen mallin menetelmää (IMM) käyttäen, jaoteltuna eri omaisuusluokkien mukaan kohde-etuuden osalta (korko, valuutta, luotto, osake, hyödyke tai muu).</w:t>
            </w:r>
          </w:p>
        </w:tc>
      </w:tr>
      <w:tr w:rsidR="00EF74C7" w:rsidRPr="002A677E" w14:paraId="32F0A14D" w14:textId="77777777" w:rsidTr="00822842">
        <w:trPr>
          <w:trHeight w:val="1970"/>
        </w:trPr>
        <w:tc>
          <w:tcPr>
            <w:tcW w:w="1384" w:type="dxa"/>
          </w:tcPr>
          <w:p w14:paraId="2CA05FA5" w14:textId="77777777" w:rsidR="00EF74C7" w:rsidRPr="002A677E" w:rsidRDefault="00EF74C7" w:rsidP="00822842">
            <w:pPr>
              <w:pStyle w:val="Applicationdirecte"/>
              <w:spacing w:before="0" w:after="0"/>
            </w:pPr>
            <w:r>
              <w:t xml:space="preserve">0120 - 0180</w:t>
            </w:r>
          </w:p>
        </w:tc>
        <w:tc>
          <w:tcPr>
            <w:tcW w:w="7655" w:type="dxa"/>
          </w:tcPr>
          <w:p w14:paraId="1F81FD2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PÖRSSILISTATUT JOHDANNAISET</w:t>
            </w:r>
          </w:p>
          <w:p w14:paraId="58D9B48E" w14:textId="77777777" w:rsidR="00EF74C7" w:rsidRPr="002A677E" w:rsidRDefault="00EF74C7" w:rsidP="00822842">
            <w:pPr>
              <w:rPr>
                <w:sz w:val="24"/>
                <w:rFonts w:ascii="Times New Roman" w:hAnsi="Times New Roman"/>
              </w:rPr>
            </w:pPr>
            <w:r>
              <w:rPr>
                <w:sz w:val="24"/>
                <w:rFonts w:ascii="Times New Roman" w:hAnsi="Times New Roman"/>
              </w:rPr>
              <w:t xml:space="preserve">Laitoksen on ilmoitettava tiedot nettoutusryhmistä, jotka sisältävät ainoastaan pörssilistattuja johdannaisia tai pitkän selvitysajan liiketoimia, joille se on saanut luvan määrittää vastuuarvon sisäisen mallin menetelmää (IMM) käyttäen, jaoteltuna eri omaisuusluokkien mukaan kohde-etuuden osalta (korko, valuutta, luotto, osake, hyödyke tai muu).</w:t>
            </w:r>
          </w:p>
        </w:tc>
      </w:tr>
      <w:tr w:rsidR="00EF74C7" w:rsidRPr="002A677E" w14:paraId="3A390CF4" w14:textId="77777777" w:rsidTr="00822842">
        <w:trPr>
          <w:trHeight w:val="1701"/>
        </w:trPr>
        <w:tc>
          <w:tcPr>
            <w:tcW w:w="1384" w:type="dxa"/>
          </w:tcPr>
          <w:p w14:paraId="5468C829" w14:textId="77777777" w:rsidR="00EF74C7" w:rsidRPr="002A677E" w:rsidRDefault="00EF74C7" w:rsidP="00822842">
            <w:pPr>
              <w:pStyle w:val="Applicationdirecte"/>
              <w:spacing w:before="0" w:after="0"/>
            </w:pPr>
            <w:r>
              <w:t xml:space="preserve">0190 - 0220</w:t>
            </w:r>
          </w:p>
        </w:tc>
        <w:tc>
          <w:tcPr>
            <w:tcW w:w="7655" w:type="dxa"/>
          </w:tcPr>
          <w:p w14:paraId="52D3A7C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ARVOPAPEREILLA TOTEUTETTAVAT RAHOITUSTOIMET</w:t>
            </w:r>
          </w:p>
          <w:p w14:paraId="1CD88A29" w14:textId="77777777" w:rsidR="00EF74C7" w:rsidRPr="002A677E" w:rsidRDefault="00EF74C7" w:rsidP="00822842">
            <w:pPr>
              <w:rPr>
                <w:sz w:val="24"/>
                <w:rFonts w:ascii="Times New Roman" w:hAnsi="Times New Roman"/>
              </w:rPr>
            </w:pPr>
            <w:r>
              <w:rPr>
                <w:sz w:val="24"/>
                <w:rFonts w:ascii="Times New Roman" w:hAnsi="Times New Roman"/>
              </w:rPr>
              <w:t xml:space="preserve">Laitoksen on ilmoitettava tiedot nettoutusryhmistä, jotka sisältävät ainoastaan arvopapereilla toteutettavia rahoitustoimia, joille se on saanut luvan määrittää vastuuarvon sisäisen mallin menetelmää (IMM) käyttäen, jaoteltuna arvopapereilla toteutettavien rahoitustoimien arvopaperiosassa olevan kohde-etuuden tyypin mukaan (joukkovelkakirja, osake tai muu).</w:t>
            </w:r>
          </w:p>
        </w:tc>
      </w:tr>
      <w:tr w:rsidR="00EF74C7" w:rsidRPr="002A677E" w14:paraId="64C592C4" w14:textId="77777777" w:rsidTr="00822842">
        <w:trPr>
          <w:trHeight w:val="833"/>
        </w:trPr>
        <w:tc>
          <w:tcPr>
            <w:tcW w:w="1384" w:type="dxa"/>
          </w:tcPr>
          <w:p w14:paraId="39B2C01D" w14:textId="77777777" w:rsidR="00EF74C7" w:rsidRPr="002A677E" w:rsidRDefault="00EF74C7" w:rsidP="00822842">
            <w:pPr>
              <w:pStyle w:val="Applicationdirecte"/>
              <w:spacing w:before="0" w:after="0"/>
            </w:pPr>
            <w:r>
              <w:t xml:space="preserve">0230</w:t>
            </w:r>
          </w:p>
        </w:tc>
        <w:tc>
          <w:tcPr>
            <w:tcW w:w="7655" w:type="dxa"/>
          </w:tcPr>
          <w:p w14:paraId="1980D95A"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TUOTTEIDEN RISTIKKÄISNETTOUTUKSEN NETTOUTUSRYHMÄT</w:t>
            </w:r>
          </w:p>
          <w:p w14:paraId="7F1F09BD" w14:textId="77777777" w:rsidR="00EF74C7" w:rsidRPr="002A677E" w:rsidRDefault="00EF74C7" w:rsidP="00822842">
            <w:pPr>
              <w:rPr>
                <w:sz w:val="24"/>
                <w:rFonts w:ascii="Times New Roman" w:hAnsi="Times New Roman"/>
              </w:rPr>
            </w:pPr>
            <w:r>
              <w:rPr>
                <w:sz w:val="24"/>
                <w:rFonts w:ascii="Times New Roman" w:hAnsi="Times New Roman"/>
              </w:rPr>
              <w:t xml:space="preserve">Ks. lomakkeen C 34.02 riviä 0070 koskevat ohjeet.</w:t>
            </w:r>
          </w:p>
        </w:tc>
      </w:tr>
    </w:tbl>
    <w:p w14:paraId="0A9C53D4" w14:textId="77777777" w:rsidR="00EF74C7" w:rsidRPr="002A677E" w:rsidRDefault="00EF74C7" w:rsidP="00EF74C7">
      <w:pPr>
        <w:tabs>
          <w:tab w:val="left" w:pos="1430"/>
        </w:tabs>
        <w:rPr>
          <w:rFonts w:ascii="Times New Roman" w:hAnsi="Times New Roman"/>
        </w:rPr>
      </w:pPr>
    </w:p>
    <w:p w14:paraId="2A48B1B3"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42" w:name="_Toc19715816"/>
      <w:bookmarkStart w:id="43" w:name="_Toc151714456"/>
      <w:r>
        <w:rPr>
          <w:sz w:val="24"/>
          <w:rFonts w:ascii="Times New Roman" w:hAnsi="Times New Roman"/>
        </w:rPr>
        <w:t xml:space="preserve">C 34.06 – Kaksikymmentä suurinta vastapuolta</w:t>
      </w:r>
      <w:bookmarkEnd w:id="42"/>
      <w:bookmarkEnd w:id="43"/>
    </w:p>
    <w:p w14:paraId="41D5F705"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44" w:name="_Toc19715817"/>
      <w:bookmarkStart w:id="45" w:name="_Toc151714457"/>
      <w:r>
        <w:rPr>
          <w:sz w:val="24"/>
          <w:rFonts w:ascii="Times New Roman" w:hAnsi="Times New Roman"/>
        </w:rPr>
        <w:t xml:space="preserve">Yleiset huomautukset</w:t>
      </w:r>
      <w:bookmarkEnd w:id="44"/>
      <w:bookmarkEnd w:id="45"/>
    </w:p>
    <w:p w14:paraId="4872503C" w14:textId="005C8DB1"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126</w:t>
      </w:r>
      <w:r>
        <w:fldChar w:fldCharType="end"/>
      </w:r>
      <w:r>
        <w:t xml:space="preserve">.</w:t>
      </w:r>
      <w:r>
        <w:t xml:space="preserve"> </w:t>
      </w:r>
      <w:r>
        <w:t xml:space="preserve">Laitosten on ilmoitettava tiedot 20 suurimmasta vastapuolesta, joihin niiden suurimmat vastapuoliriskivastuut liittyvät.</w:t>
      </w:r>
      <w:r>
        <w:t xml:space="preserve"> </w:t>
      </w:r>
      <w:r>
        <w:t xml:space="preserve">Luokitus on tehtävä käyttäen tämän lomakkeen sarakkeessa 0120 ilmoitettuja vastapuoliriskin vastuuarvoja, jotka liittyvät kaikkiin nettoutusryhmiin asianomaisten vastapuolten kanssa.</w:t>
      </w:r>
      <w:r>
        <w:t xml:space="preserve"> </w:t>
      </w:r>
      <w:r>
        <w:t xml:space="preserve">Konsernin sisäiset vastuut tai muut vastuut, joista aiheutuu vastapuoliriski mutta joihin laitokset soveltavat riskipainoa nolla omien varojen vaatimusten laskennassa asetuksen (EU) N:o 575/2013 113 artiklan 6 ja 7 kohdan mukaisesti, on otettava huomioon määritettäessä 20 suurinta vastapuolta.</w:t>
      </w:r>
    </w:p>
    <w:p w14:paraId="647CEA55" w14:textId="4D261834"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127</w:t>
      </w:r>
      <w:r>
        <w:fldChar w:fldCharType="end"/>
      </w:r>
      <w:r>
        <w:t xml:space="preserve">.</w:t>
      </w:r>
      <w:r>
        <w:t xml:space="preserve"> </w:t>
      </w:r>
      <w:r>
        <w:t xml:space="preserve">Laitosten, jotka soveltavat standardimenetelmää (SA-CCR) tai sisäisen mallin menetelmää (IMM) vastapuoliriskivastuiden laskennassa asetuksen (EU) N:o 575/2013 kolmannen osan II osaston 6 luvun 3 ja 6 jakson mukaisesti, on toimitettava tämä lomake neljännesvuosittain.</w:t>
      </w:r>
      <w:r>
        <w:t xml:space="preserve"> </w:t>
      </w:r>
      <w:r>
        <w:t xml:space="preserve">Laitosten, jotka soveltavat yksinkertaistettua standardimenetelmää tai alkuperäisen hankinta-arvon menetelmää (OEM) vastapuoliriskivastuiden laskennassa asetuksen (EU) N:o 575/2013 kolmannen osan II osaston 6 luvun 4 ja 5 jakson mukaisesti, on toimitettava tämä lomake puolivuosittain.</w:t>
      </w:r>
      <w:r>
        <w:t xml:space="preserve"> </w:t>
      </w:r>
      <w:bookmarkStart w:id="46" w:name="_Toc19715818"/>
      <w:r>
        <w:t xml:space="preserve">Tiettyjä kohtia koskevat ohjeet</w:t>
      </w:r>
      <w:bookmarkEnd w:id="46"/>
    </w:p>
    <w:p w14:paraId="2736A53C"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47" w:name="_Toc151714458"/>
      <w:r>
        <w:rPr>
          <w:sz w:val="24"/>
          <w:rFonts w:ascii="Times New Roman" w:hAnsi="Times New Roman"/>
        </w:rPr>
        <w:t xml:space="preserve">Tiettyjä kohtia koskevat ohjeet</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Sarakkeet</w:t>
            </w:r>
          </w:p>
        </w:tc>
      </w:tr>
      <w:tr w:rsidR="00EF74C7" w:rsidRPr="002A677E" w14:paraId="1E5ECC03" w14:textId="77777777" w:rsidTr="00822842">
        <w:trPr>
          <w:trHeight w:val="680"/>
        </w:trPr>
        <w:tc>
          <w:tcPr>
            <w:tcW w:w="1384" w:type="dxa"/>
          </w:tcPr>
          <w:p w14:paraId="67FE490E" w14:textId="77777777" w:rsidR="00EF74C7" w:rsidRPr="002A677E" w:rsidRDefault="00EF74C7" w:rsidP="00822842">
            <w:pPr>
              <w:pStyle w:val="Applicationdirecte"/>
              <w:spacing w:before="0" w:after="0"/>
            </w:pPr>
            <w:r>
              <w:t xml:space="preserve">0011</w:t>
            </w:r>
          </w:p>
        </w:tc>
        <w:tc>
          <w:tcPr>
            <w:tcW w:w="7655" w:type="dxa"/>
            <w:vAlign w:val="center"/>
          </w:tcPr>
          <w:p w14:paraId="2145838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NIMI</w:t>
            </w:r>
          </w:p>
          <w:p w14:paraId="02D41CBA" w14:textId="77777777" w:rsidR="00EF74C7" w:rsidRPr="002A677E" w:rsidRDefault="00EF74C7" w:rsidP="00822842">
            <w:pPr>
              <w:keepNext/>
              <w:spacing w:before="60"/>
              <w:rPr>
                <w:szCs w:val="22"/>
                <w:rFonts w:ascii="Times New Roman" w:hAnsi="Times New Roman"/>
              </w:rPr>
            </w:pPr>
            <w:r>
              <w:rPr>
                <w:sz w:val="24"/>
                <w:rFonts w:ascii="Times New Roman" w:hAnsi="Times New Roman"/>
              </w:rPr>
              <w:t xml:space="preserve">Vastapuolen nimi</w:t>
            </w:r>
          </w:p>
        </w:tc>
      </w:tr>
      <w:tr w:rsidR="00EF74C7" w:rsidRPr="002A677E" w14:paraId="4B2EA2C4" w14:textId="77777777" w:rsidTr="00822842">
        <w:trPr>
          <w:trHeight w:val="680"/>
        </w:trPr>
        <w:tc>
          <w:tcPr>
            <w:tcW w:w="1384" w:type="dxa"/>
          </w:tcPr>
          <w:p w14:paraId="35C54AA9" w14:textId="77777777" w:rsidR="00EF74C7" w:rsidRPr="002A677E" w:rsidRDefault="00EF74C7" w:rsidP="00822842">
            <w:pPr>
              <w:pStyle w:val="Applicationdirecte"/>
              <w:spacing w:before="0" w:after="0"/>
            </w:pPr>
            <w:r>
              <w:t xml:space="preserve">0020</w:t>
            </w:r>
          </w:p>
        </w:tc>
        <w:tc>
          <w:tcPr>
            <w:tcW w:w="7655" w:type="dxa"/>
            <w:vAlign w:val="center"/>
          </w:tcPr>
          <w:p w14:paraId="6CCE0F62"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TUNNUS</w:t>
            </w:r>
          </w:p>
          <w:p w14:paraId="38310236" w14:textId="77777777" w:rsidR="00EF74C7" w:rsidRPr="002A677E" w:rsidRDefault="00EF74C7" w:rsidP="00822842">
            <w:pPr>
              <w:keepNext/>
              <w:spacing w:before="60"/>
              <w:rPr>
                <w:sz w:val="24"/>
                <w:u w:val="single"/>
                <w:rFonts w:ascii="Times New Roman" w:hAnsi="Times New Roman"/>
              </w:rPr>
            </w:pPr>
            <w:r>
              <w:rPr>
                <w:sz w:val="24"/>
                <w:rFonts w:ascii="Times New Roman" w:hAnsi="Times New Roman"/>
              </w:rPr>
              <w:t xml:space="preserve">Tunnus on osa rivin tunnistetta, ja sen on oltava yksilöllinen kullekin ilmoitetulle yhteisölle.</w:t>
            </w:r>
            <w:r>
              <w:rPr>
                <w:sz w:val="24"/>
                <w:rFonts w:ascii="Times New Roman" w:hAnsi="Times New Roman"/>
              </w:rPr>
              <w:t xml:space="preserve"> </w:t>
            </w:r>
            <w:r>
              <w:rPr>
                <w:sz w:val="24"/>
                <w:rFonts w:ascii="Times New Roman" w:hAnsi="Times New Roman"/>
              </w:rPr>
              <w:t xml:space="preserve">Laitosten ja vakuutusyritysten osalta tunnus on oikeushenkilötunnus (LEI-tunnus).</w:t>
            </w:r>
            <w:r>
              <w:rPr>
                <w:sz w:val="24"/>
                <w:rFonts w:ascii="Times New Roman" w:hAnsi="Times New Roman"/>
              </w:rPr>
              <w:t xml:space="preserve"> </w:t>
            </w:r>
            <w:r>
              <w:rPr>
                <w:sz w:val="24"/>
                <w:rFonts w:ascii="Times New Roman" w:hAnsi="Times New Roman"/>
              </w:rPr>
              <w:t xml:space="preserve">Muiden yhteisöjen osalta tunnus on LEI-tunnus, tai jos sellaista ei ole, muu kuin LEI-tunnus.</w:t>
            </w:r>
            <w:r>
              <w:rPr>
                <w:sz w:val="24"/>
                <w:rFonts w:ascii="Times New Roman" w:hAnsi="Times New Roman"/>
              </w:rPr>
              <w:t xml:space="preserve"> </w:t>
            </w:r>
            <w:r>
              <w:rPr>
                <w:sz w:val="24"/>
                <w:rFonts w:ascii="Times New Roman" w:hAnsi="Times New Roman"/>
              </w:rPr>
              <w:t xml:space="preserve">Tunnuksen on oltava yksilöllinen, ja sitä on käytettävä johdonmukaisesti kaikissa lomakkeissa kaikkina aikoina.</w:t>
            </w:r>
            <w:r>
              <w:rPr>
                <w:sz w:val="24"/>
                <w:rFonts w:ascii="Times New Roman" w:hAnsi="Times New Roman"/>
              </w:rPr>
              <w:t xml:space="preserve"> </w:t>
            </w:r>
            <w:r>
              <w:rPr>
                <w:sz w:val="24"/>
                <w:rFonts w:ascii="Times New Roman" w:hAnsi="Times New Roman"/>
              </w:rPr>
              <w:t xml:space="preserve">Tunnuksella on aina oltava arvo.</w:t>
            </w:r>
          </w:p>
        </w:tc>
      </w:tr>
      <w:tr w:rsidR="00EF74C7" w:rsidRPr="002A677E" w14:paraId="2DAA4B2D" w14:textId="77777777" w:rsidTr="00822842">
        <w:trPr>
          <w:trHeight w:val="680"/>
        </w:trPr>
        <w:tc>
          <w:tcPr>
            <w:tcW w:w="1384" w:type="dxa"/>
          </w:tcPr>
          <w:p w14:paraId="5727082D" w14:textId="77777777" w:rsidR="00EF74C7" w:rsidRPr="002A677E" w:rsidRDefault="00EF74C7" w:rsidP="00822842">
            <w:pPr>
              <w:pStyle w:val="Applicationdirecte"/>
              <w:spacing w:before="0" w:after="0"/>
            </w:pPr>
            <w:r>
              <w:t xml:space="preserve">0030</w:t>
            </w:r>
          </w:p>
        </w:tc>
        <w:tc>
          <w:tcPr>
            <w:tcW w:w="7655" w:type="dxa"/>
            <w:vAlign w:val="center"/>
          </w:tcPr>
          <w:p w14:paraId="0F71916C"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TUNNUSTYYPPI</w:t>
            </w:r>
          </w:p>
          <w:p w14:paraId="12E4A55E" w14:textId="77777777" w:rsidR="00EF74C7" w:rsidRPr="002A677E" w:rsidRDefault="00EF74C7" w:rsidP="00822842">
            <w:pPr>
              <w:rPr>
                <w:rStyle w:val="FormatvorlageInstructionsTabelleText"/>
                <w:rFonts w:ascii="Calibri" w:hAnsi="Calibri" w:cs="Calibri"/>
              </w:rPr>
            </w:pPr>
            <w:r>
              <w:rPr>
                <w:sz w:val="24"/>
                <w:rStyle w:val="FormatvorlageInstructionsTabelleText"/>
                <w:rFonts w:ascii="Times New Roman" w:hAnsi="Times New Roman"/>
              </w:rPr>
              <w:t xml:space="preserve">Laitosten on ilmoitettava, onko sarakkeessa 0020 ilmoitettu tunnus tyypiltään ”LEI-tunnus” vai ”kansallinen tunnus”.</w:t>
            </w:r>
          </w:p>
          <w:p w14:paraId="68A8C569" w14:textId="77777777" w:rsidR="00EF74C7" w:rsidRPr="002A677E" w:rsidRDefault="00EF74C7" w:rsidP="00822842">
            <w:pPr>
              <w:rPr>
                <w:bCs/>
                <w:sz w:val="24"/>
                <w:rFonts w:ascii="Times New Roman" w:hAnsi="Times New Roman"/>
              </w:rPr>
            </w:pPr>
            <w:r>
              <w:rPr>
                <w:sz w:val="24"/>
                <w:rFonts w:ascii="Times New Roman" w:hAnsi="Times New Roman"/>
              </w:rPr>
              <w:t xml:space="preserve">Tunnustyyppi on ilmoitettava aina.</w:t>
            </w:r>
          </w:p>
        </w:tc>
      </w:tr>
      <w:tr w:rsidR="00EF74C7" w:rsidRPr="002A677E" w14:paraId="5CE3DDA8" w14:textId="77777777" w:rsidTr="00822842">
        <w:trPr>
          <w:trHeight w:val="680"/>
        </w:trPr>
        <w:tc>
          <w:tcPr>
            <w:tcW w:w="1384" w:type="dxa"/>
          </w:tcPr>
          <w:p w14:paraId="7912C4C0" w14:textId="77777777" w:rsidR="00EF74C7" w:rsidRPr="002A677E" w:rsidRDefault="00EF74C7" w:rsidP="00822842">
            <w:pPr>
              <w:pStyle w:val="Applicationdirecte"/>
              <w:spacing w:before="0" w:after="0"/>
            </w:pPr>
            <w:r>
              <w:t xml:space="preserve">0035</w:t>
            </w:r>
          </w:p>
        </w:tc>
        <w:tc>
          <w:tcPr>
            <w:tcW w:w="7655" w:type="dxa"/>
            <w:vAlign w:val="center"/>
          </w:tcPr>
          <w:p w14:paraId="6012FDEC"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KANSALLINEN TUNNUS</w:t>
            </w:r>
          </w:p>
          <w:p w14:paraId="53A43075" w14:textId="77777777" w:rsidR="00EF74C7" w:rsidRPr="002A677E" w:rsidRDefault="00EF74C7" w:rsidP="00822842">
            <w:pPr>
              <w:pStyle w:val="ListParagraph"/>
              <w:ind w:left="65"/>
              <w:rPr>
                <w:b/>
                <w:sz w:val="24"/>
                <w:u w:val="single"/>
                <w:rFonts w:ascii="Times New Roman" w:hAnsi="Times New Roman"/>
              </w:rPr>
            </w:pPr>
            <w:r>
              <w:rPr>
                <w:sz w:val="24"/>
                <w:rFonts w:ascii="Times New Roman" w:hAnsi="Times New Roman"/>
              </w:rPr>
              <w:t xml:space="preserve">Laitokset voivat lisäksi ilmoittaa kansallisen tunnuksen, kun ne ilmoittavat LEI-tunnuksen tunnisteena sarakkeessa 0020.</w:t>
            </w:r>
          </w:p>
        </w:tc>
      </w:tr>
      <w:tr w:rsidR="00EF74C7" w:rsidRPr="002A677E" w14:paraId="224798DC" w14:textId="77777777" w:rsidTr="00822842">
        <w:trPr>
          <w:trHeight w:val="680"/>
        </w:trPr>
        <w:tc>
          <w:tcPr>
            <w:tcW w:w="1384" w:type="dxa"/>
          </w:tcPr>
          <w:p w14:paraId="2CBB581D" w14:textId="77777777" w:rsidR="00EF74C7" w:rsidRPr="002A677E" w:rsidRDefault="00EF74C7" w:rsidP="00822842">
            <w:pPr>
              <w:pStyle w:val="Applicationdirecte"/>
              <w:spacing w:before="0" w:after="0"/>
            </w:pPr>
            <w:r>
              <w:t xml:space="preserve">0040</w:t>
            </w:r>
          </w:p>
        </w:tc>
        <w:tc>
          <w:tcPr>
            <w:tcW w:w="7655" w:type="dxa"/>
            <w:vAlign w:val="center"/>
          </w:tcPr>
          <w:p w14:paraId="2A302176"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VASTAPUOLEN ALA</w:t>
            </w:r>
          </w:p>
          <w:p w14:paraId="138065F1"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Kullekin vastapuolelle on valittava yksi ala seuraavasta FINREPin talouden alaa koskevasta luokituksesta (ks. tämän täytäntöönpanoasetuksen liitteessä V oleva 3 osa):</w:t>
            </w:r>
          </w:p>
          <w:p w14:paraId="3FD37943"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w:t>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keskuspankit;</w:t>
            </w:r>
          </w:p>
          <w:p w14:paraId="2EDFC75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julkisyhteisöt;</w:t>
            </w:r>
          </w:p>
          <w:p w14:paraId="59EF6A2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iii)</w:t>
            </w:r>
            <w:r>
              <w:rPr>
                <w:sz w:val="24"/>
                <w:rFonts w:ascii="Times New Roman" w:hAnsi="Times New Roman"/>
              </w:rPr>
              <w:tab/>
            </w:r>
            <w:r>
              <w:rPr>
                <w:sz w:val="24"/>
                <w:rFonts w:ascii="Times New Roman" w:hAnsi="Times New Roman"/>
              </w:rPr>
              <w:t xml:space="preserve">luottolaitokset;</w:t>
            </w:r>
          </w:p>
          <w:p w14:paraId="50C89603"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iv)</w:t>
            </w:r>
            <w:r>
              <w:rPr>
                <w:sz w:val="24"/>
                <w:rFonts w:ascii="Times New Roman" w:hAnsi="Times New Roman"/>
              </w:rPr>
              <w:tab/>
            </w:r>
            <w:r>
              <w:rPr>
                <w:sz w:val="24"/>
                <w:rFonts w:ascii="Times New Roman" w:hAnsi="Times New Roman"/>
              </w:rPr>
              <w:t xml:space="preserve">asetuksen (EU) N:o 575/2013 4 artiklan 1 kohdan 2 alakohdassa määritellyt sijoituspalveluyritykset;</w:t>
            </w:r>
          </w:p>
          <w:p w14:paraId="3A2FD93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w:t>
            </w:r>
            <w:r>
              <w:rPr>
                <w:sz w:val="24"/>
                <w:rFonts w:ascii="Times New Roman" w:hAnsi="Times New Roman"/>
              </w:rPr>
              <w:tab/>
            </w:r>
            <w:r>
              <w:rPr>
                <w:sz w:val="24"/>
                <w:rFonts w:ascii="Times New Roman" w:hAnsi="Times New Roman"/>
              </w:rPr>
              <w:t xml:space="preserve">muut rahoituslaitokset (lukuun ottamatta sijoituspalveluyrityksiä);</w:t>
            </w:r>
          </w:p>
          <w:p w14:paraId="58ADE56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vi)</w:t>
            </w:r>
            <w:r>
              <w:rPr>
                <w:sz w:val="24"/>
                <w:rFonts w:ascii="Times New Roman" w:hAnsi="Times New Roman"/>
              </w:rPr>
              <w:tab/>
            </w:r>
            <w:r>
              <w:rPr>
                <w:sz w:val="24"/>
                <w:rFonts w:ascii="Times New Roman" w:hAnsi="Times New Roman"/>
              </w:rPr>
              <w:t xml:space="preserve">rahoitusalan ulkopuoliset yritykset.</w:t>
            </w:r>
          </w:p>
        </w:tc>
      </w:tr>
      <w:tr w:rsidR="00EF74C7" w:rsidRPr="002A677E" w14:paraId="24F599F8" w14:textId="77777777" w:rsidTr="00822842">
        <w:trPr>
          <w:trHeight w:val="680"/>
        </w:trPr>
        <w:tc>
          <w:tcPr>
            <w:tcW w:w="1384" w:type="dxa"/>
          </w:tcPr>
          <w:p w14:paraId="2FBFF8FA" w14:textId="77777777" w:rsidR="00EF74C7" w:rsidRPr="002A677E" w:rsidRDefault="00EF74C7" w:rsidP="00822842">
            <w:pPr>
              <w:pStyle w:val="Applicationdirecte"/>
              <w:spacing w:before="0" w:after="0"/>
            </w:pPr>
            <w:r>
              <w:t xml:space="preserve">0050</w:t>
            </w:r>
          </w:p>
        </w:tc>
        <w:tc>
          <w:tcPr>
            <w:tcW w:w="7655" w:type="dxa"/>
            <w:vAlign w:val="center"/>
          </w:tcPr>
          <w:p w14:paraId="72BF6C7A"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VASTAPUOLITYYPPI</w:t>
            </w:r>
          </w:p>
          <w:p w14:paraId="34B1867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Laitoksen on ilmoitettava vastapuolityyppi, joka voi olla:</w:t>
            </w:r>
          </w:p>
          <w:p w14:paraId="19809711"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 QCCP: kun vastapuoli on ehdot täyttävä keskusvastapuoli;</w:t>
            </w:r>
          </w:p>
          <w:p w14:paraId="7530291C"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 EI-QCCP: kun vastapuoli on keskusvastapuoli, joka ei täytä ehtoja;</w:t>
            </w:r>
          </w:p>
          <w:p w14:paraId="53A61161"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 EI-CCP: kun vastapuoli ei ole keskusvastapuoli.</w:t>
            </w:r>
            <w:r>
              <w:rPr>
                <w:sz w:val="24"/>
                <w:rFonts w:ascii="Times New Roman" w:hAnsi="Times New Roman"/>
              </w:rPr>
              <w:t xml:space="preserve"> </w:t>
            </w:r>
          </w:p>
        </w:tc>
      </w:tr>
      <w:tr w:rsidR="00EF74C7" w:rsidRPr="002A677E" w14:paraId="7138E79A" w14:textId="77777777" w:rsidTr="00822842">
        <w:trPr>
          <w:trHeight w:val="680"/>
        </w:trPr>
        <w:tc>
          <w:tcPr>
            <w:tcW w:w="1384" w:type="dxa"/>
          </w:tcPr>
          <w:p w14:paraId="7D208FDD" w14:textId="77777777" w:rsidR="00EF74C7" w:rsidRPr="002A677E" w:rsidRDefault="00EF74C7" w:rsidP="00822842">
            <w:pPr>
              <w:pStyle w:val="Applicationdirecte"/>
              <w:spacing w:before="0" w:after="0"/>
            </w:pPr>
            <w:r>
              <w:t xml:space="preserve">0060</w:t>
            </w:r>
          </w:p>
        </w:tc>
        <w:tc>
          <w:tcPr>
            <w:tcW w:w="7655" w:type="dxa"/>
            <w:vAlign w:val="center"/>
          </w:tcPr>
          <w:p w14:paraId="653C0A24"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VASTAPUOLEN KOTIPAIKKA</w:t>
            </w:r>
          </w:p>
          <w:p w14:paraId="4B5E06D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Käytetään vastapuolen rekisteröintimaan ISO-koodia 3166–1-alpha-2 (mukaan lukien kansainvälisten järjestöjen ISO-pseudokoodit, jotka ovat saatavissa Eurostatin maksutasekäsikirjan ”Balance of Payments Vademecum” painoksesta, sellaisena kuin se on muutettuna).</w:t>
            </w:r>
          </w:p>
        </w:tc>
      </w:tr>
      <w:tr w:rsidR="00EF74C7" w:rsidRPr="002A677E" w14:paraId="27926B1D" w14:textId="77777777" w:rsidTr="00822842">
        <w:trPr>
          <w:trHeight w:val="680"/>
        </w:trPr>
        <w:tc>
          <w:tcPr>
            <w:tcW w:w="1384" w:type="dxa"/>
          </w:tcPr>
          <w:p w14:paraId="2F19F110" w14:textId="77777777" w:rsidR="00EF74C7" w:rsidRPr="002A677E" w:rsidRDefault="00EF74C7" w:rsidP="00822842">
            <w:pPr>
              <w:pStyle w:val="Applicationdirecte"/>
              <w:spacing w:before="0" w:after="0"/>
            </w:pPr>
            <w:r>
              <w:t xml:space="preserve">0070</w:t>
            </w:r>
          </w:p>
        </w:tc>
        <w:tc>
          <w:tcPr>
            <w:tcW w:w="7655" w:type="dxa"/>
            <w:vAlign w:val="center"/>
          </w:tcPr>
          <w:p w14:paraId="1141BEDE"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TRANSAKTIOIDEN LUKUMÄÄRÄ</w:t>
            </w:r>
          </w:p>
          <w:p w14:paraId="22440C23"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Ks. lomakkeen C 34.02 saraketta 0020 koskevat ohjeet.</w:t>
            </w:r>
          </w:p>
        </w:tc>
      </w:tr>
      <w:tr w:rsidR="00EF74C7" w:rsidRPr="002A677E" w14:paraId="41609849" w14:textId="77777777" w:rsidTr="00822842">
        <w:trPr>
          <w:trHeight w:val="426"/>
        </w:trPr>
        <w:tc>
          <w:tcPr>
            <w:tcW w:w="1384" w:type="dxa"/>
          </w:tcPr>
          <w:p w14:paraId="37240D8E" w14:textId="77777777" w:rsidR="00EF74C7" w:rsidRPr="002A677E" w:rsidRDefault="00EF74C7" w:rsidP="00822842">
            <w:pPr>
              <w:pStyle w:val="Applicationdirecte"/>
              <w:spacing w:before="0" w:after="0"/>
            </w:pPr>
            <w:r>
              <w:t xml:space="preserve">0080</w:t>
            </w:r>
          </w:p>
        </w:tc>
        <w:tc>
          <w:tcPr>
            <w:tcW w:w="7655" w:type="dxa"/>
            <w:vAlign w:val="center"/>
          </w:tcPr>
          <w:p w14:paraId="7D28C824"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NIMELLISMÄÄRÄT</w:t>
            </w:r>
          </w:p>
          <w:p w14:paraId="2092F8D4"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Ks. lomakkeen C 34.02 saraketta 0030 koskevat ohjeet.</w:t>
            </w:r>
          </w:p>
        </w:tc>
      </w:tr>
      <w:tr w:rsidR="00EF74C7" w:rsidRPr="002A677E" w14:paraId="6B0D6FEC" w14:textId="77777777" w:rsidTr="00822842">
        <w:trPr>
          <w:trHeight w:val="680"/>
        </w:trPr>
        <w:tc>
          <w:tcPr>
            <w:tcW w:w="1384" w:type="dxa"/>
          </w:tcPr>
          <w:p w14:paraId="31BEF5FF" w14:textId="77777777" w:rsidR="00EF74C7" w:rsidRPr="002A677E" w:rsidRDefault="00EF74C7" w:rsidP="00822842">
            <w:pPr>
              <w:pStyle w:val="Applicationdirecte"/>
              <w:spacing w:before="0" w:after="0"/>
            </w:pPr>
            <w:r>
              <w:t xml:space="preserve">0090</w:t>
            </w:r>
          </w:p>
        </w:tc>
        <w:tc>
          <w:tcPr>
            <w:tcW w:w="7655" w:type="dxa"/>
            <w:vAlign w:val="center"/>
          </w:tcPr>
          <w:p w14:paraId="05F00A70"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MARKKINA-ARVO (CMV), POSITIIVINEN</w:t>
            </w:r>
          </w:p>
          <w:p w14:paraId="64CD1326"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Ks. lomakkeen C 34.02 saraketta 0040 koskevat ohjeet.</w:t>
            </w:r>
          </w:p>
          <w:p w14:paraId="2A6475F1"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Laitoksen on ilmoitettava markkina-arvoltaan positiivisten nettoutusryhmien summa, jos samalle vastapuolelle on useita nettoutusryhmiä.</w:t>
            </w:r>
          </w:p>
        </w:tc>
      </w:tr>
      <w:tr w:rsidR="00EF74C7" w:rsidRPr="002A677E" w14:paraId="11A7EB1F" w14:textId="77777777" w:rsidTr="00822842">
        <w:trPr>
          <w:trHeight w:val="680"/>
        </w:trPr>
        <w:tc>
          <w:tcPr>
            <w:tcW w:w="1384" w:type="dxa"/>
          </w:tcPr>
          <w:p w14:paraId="7D8B949C" w14:textId="77777777" w:rsidR="00EF74C7" w:rsidRPr="002A677E" w:rsidRDefault="00EF74C7" w:rsidP="00822842">
            <w:pPr>
              <w:pStyle w:val="Applicationdirecte"/>
              <w:spacing w:before="0" w:after="0"/>
            </w:pPr>
            <w:r>
              <w:t xml:space="preserve">0100</w:t>
            </w:r>
          </w:p>
        </w:tc>
        <w:tc>
          <w:tcPr>
            <w:tcW w:w="7655" w:type="dxa"/>
            <w:vAlign w:val="center"/>
          </w:tcPr>
          <w:p w14:paraId="6ED129D1"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MARKKINA-ARVO (CMV), NEGATIIVINEN</w:t>
            </w:r>
          </w:p>
          <w:p w14:paraId="693E2E96"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Ks. lomakkeen C 34.02 saraketta 0040 koskevat ohjeet.</w:t>
            </w:r>
          </w:p>
          <w:p w14:paraId="118E0D7B"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Laitoksen on ilmoitettava markkina-arvoltaan negatiivisten nettoutusryhmien absoluuttinen summa, jos samalle vastapuolelle on useita nettoutusryhmiä.</w:t>
            </w:r>
          </w:p>
        </w:tc>
      </w:tr>
      <w:tr w:rsidR="00EF74C7" w:rsidRPr="002A677E" w14:paraId="733474D0" w14:textId="77777777" w:rsidTr="00822842">
        <w:trPr>
          <w:trHeight w:val="680"/>
        </w:trPr>
        <w:tc>
          <w:tcPr>
            <w:tcW w:w="1384" w:type="dxa"/>
          </w:tcPr>
          <w:p w14:paraId="71F3CA04" w14:textId="77777777" w:rsidR="00EF74C7" w:rsidRPr="002A677E" w:rsidRDefault="00EF74C7" w:rsidP="00822842">
            <w:pPr>
              <w:pStyle w:val="Applicationdirecte"/>
              <w:spacing w:before="0" w:after="0"/>
            </w:pPr>
            <w:r>
              <w:t xml:space="preserve">0110</w:t>
            </w:r>
          </w:p>
        </w:tc>
        <w:tc>
          <w:tcPr>
            <w:tcW w:w="7655" w:type="dxa"/>
            <w:vAlign w:val="center"/>
          </w:tcPr>
          <w:p w14:paraId="3099FFC7"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VASTUUARVO LUOTTORISKIN VÄHENTÄMISEN JÄLKEEN</w:t>
            </w:r>
          </w:p>
          <w:p w14:paraId="1EF646B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Ks. lomakkeen C 34.02 saraketta 0160 koskevat ohjeet.</w:t>
            </w:r>
            <w:r>
              <w:rPr>
                <w:sz w:val="24"/>
                <w:rFonts w:ascii="Times New Roman" w:hAnsi="Times New Roman"/>
              </w:rPr>
              <w:t xml:space="preserve"> </w:t>
            </w:r>
          </w:p>
          <w:p w14:paraId="6904AB81"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Laitoksen on ilmoitettava nettoutusryhmiin liittyvien luottoriskin vähentämisen jälkeisten vastuuarvojen summa, jos samalle vastapuolelle on useita nettoutusryhmiä.</w:t>
            </w:r>
          </w:p>
        </w:tc>
      </w:tr>
      <w:tr w:rsidR="00EF74C7" w:rsidRPr="002A677E" w14:paraId="2DC25145" w14:textId="77777777" w:rsidTr="00822842">
        <w:trPr>
          <w:trHeight w:val="680"/>
        </w:trPr>
        <w:tc>
          <w:tcPr>
            <w:tcW w:w="1384" w:type="dxa"/>
          </w:tcPr>
          <w:p w14:paraId="3E72408E" w14:textId="77777777" w:rsidR="00EF74C7" w:rsidRPr="002A677E" w:rsidRDefault="00EF74C7" w:rsidP="00822842">
            <w:pPr>
              <w:pStyle w:val="Applicationdirecte"/>
              <w:spacing w:before="0" w:after="0"/>
            </w:pPr>
            <w:r>
              <w:t xml:space="preserve">0120</w:t>
            </w:r>
          </w:p>
        </w:tc>
        <w:tc>
          <w:tcPr>
            <w:tcW w:w="7655" w:type="dxa"/>
            <w:vAlign w:val="center"/>
          </w:tcPr>
          <w:p w14:paraId="40235E21"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VASTUUARVO</w:t>
            </w:r>
          </w:p>
          <w:p w14:paraId="27DEE9F6"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Ks. lomakkeen C 34.02 saraketta 0170 koskevat ohjeet.</w:t>
            </w:r>
          </w:p>
        </w:tc>
      </w:tr>
      <w:tr w:rsidR="00EF74C7" w:rsidRPr="002A677E" w14:paraId="00801519" w14:textId="77777777" w:rsidTr="00822842">
        <w:trPr>
          <w:trHeight w:val="680"/>
        </w:trPr>
        <w:tc>
          <w:tcPr>
            <w:tcW w:w="1384" w:type="dxa"/>
          </w:tcPr>
          <w:p w14:paraId="12B481CF" w14:textId="77777777" w:rsidR="00EF74C7" w:rsidRPr="002A677E" w:rsidRDefault="00EF74C7" w:rsidP="00822842">
            <w:pPr>
              <w:pStyle w:val="Applicationdirecte"/>
              <w:spacing w:before="0" w:after="0"/>
            </w:pPr>
            <w:r>
              <w:t xml:space="preserve">0130</w:t>
            </w:r>
          </w:p>
        </w:tc>
        <w:tc>
          <w:tcPr>
            <w:tcW w:w="7655" w:type="dxa"/>
            <w:vAlign w:val="center"/>
          </w:tcPr>
          <w:p w14:paraId="31E4AF74"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RISKIPAINOTETUT VASTUUERÄT</w:t>
            </w:r>
          </w:p>
          <w:p w14:paraId="2D2BB308"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Ks. lomakkeen C 34.02 saraketta 0200 koskevat ohjeet.</w:t>
            </w:r>
          </w:p>
        </w:tc>
      </w:tr>
    </w:tbl>
    <w:p w14:paraId="4CB615BB" w14:textId="77777777" w:rsidR="00EF74C7" w:rsidRPr="002A677E" w:rsidRDefault="00EF74C7" w:rsidP="00EF74C7">
      <w:pPr>
        <w:pStyle w:val="Titlelevel2"/>
        <w:spacing w:before="120" w:after="120"/>
        <w:jc w:val="both"/>
        <w:rPr>
          <w:rFonts w:ascii="Times New Roman" w:hAnsi="Times New Roman" w:cs="Times New Roman"/>
          <w:color w:val="auto"/>
          <w:sz w:val="24"/>
          <w:lang w:val="en-GB"/>
        </w:rPr>
      </w:pPr>
    </w:p>
    <w:p w14:paraId="006C82E0"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48" w:name="_Toc19715819"/>
      <w:bookmarkStart w:id="49" w:name="_Toc151714459"/>
      <w:r>
        <w:rPr>
          <w:sz w:val="24"/>
          <w:rFonts w:ascii="Times New Roman" w:hAnsi="Times New Roman"/>
        </w:rPr>
        <w:t xml:space="preserve">C 34.07 – IRB-menetelmä – vastapuoliriskivastuut eriteltyinä vastuuryhmän ja PD-asteikon mukaan</w:t>
      </w:r>
      <w:bookmarkEnd w:id="48"/>
      <w:bookmarkEnd w:id="49"/>
      <w:r>
        <w:rPr>
          <w:sz w:val="24"/>
          <w:rFonts w:ascii="Times New Roman" w:hAnsi="Times New Roman"/>
        </w:rPr>
        <w:t xml:space="preserve"> </w:t>
      </w:r>
    </w:p>
    <w:p w14:paraId="5DE58571"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50" w:name="_Toc19715820"/>
      <w:bookmarkStart w:id="51" w:name="_Toc151714460"/>
      <w:r>
        <w:rPr>
          <w:sz w:val="24"/>
          <w:rFonts w:ascii="Times New Roman" w:hAnsi="Times New Roman"/>
        </w:rPr>
        <w:t xml:space="preserve">Yleiset huomautukset</w:t>
      </w:r>
      <w:bookmarkEnd w:id="50"/>
      <w:bookmarkEnd w:id="51"/>
    </w:p>
    <w:p w14:paraId="493D377D" w14:textId="08D4F1D7"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128</w:t>
      </w:r>
      <w:r>
        <w:fldChar w:fldCharType="end"/>
      </w:r>
      <w:r>
        <w:t xml:space="preserve">.</w:t>
      </w:r>
      <w:r>
        <w:t xml:space="preserve"> </w:t>
      </w:r>
      <w:r>
        <w:t xml:space="preserve">Laitosten, jotka käyttävät joko edistynyttä IRB-menetelmää tai IRB-perusmenetelmää laskiessaan kaikkien vastapuoliriskivastuidensa tai niistä osan riskipainotettujen vastuuerien yhteismäärää asetuksen (EU) N:o 575/2013 107 artiklan mukaisesti, on toimitettava tämä lomake riippumatta vastapuoliriskimenetelmästä, jota käytetään vastuuarvojen määrittämiseen asetuksen (EU) N:o 575/2013 kolmannen osan II osaston 4 ja 6 luvun mukaisesti.</w:t>
      </w:r>
      <w:r>
        <w:t xml:space="preserve"> </w:t>
      </w:r>
    </w:p>
    <w:p w14:paraId="4C8689E1" w14:textId="222A66BC"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129</w:t>
      </w:r>
      <w:r>
        <w:fldChar w:fldCharType="end"/>
      </w:r>
      <w:r>
        <w:t xml:space="preserve">.</w:t>
      </w:r>
      <w:r>
        <w:t xml:space="preserve"> </w:t>
      </w:r>
      <w:r>
        <w:t xml:space="preserve">Lomake on toimitettava erikseen kaikkien vastuuryhmien kokonaismäärän osalta sekä erikseen kunkin asetuksen (EU) N:o 575/2013 147 artiklassa luetellun vastuuryhmän osalta.</w:t>
      </w:r>
      <w:r>
        <w:t xml:space="preserve"> </w:t>
      </w:r>
      <w:r>
        <w:t xml:space="preserve">Tähän lomakkeeseen eivät sisälly keskusvastapuolen määrittämät vastuut.</w:t>
      </w:r>
      <w:r>
        <w:t xml:space="preserve"> </w:t>
      </w:r>
    </w:p>
    <w:p w14:paraId="606463EA" w14:textId="4FB3F052"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130</w:t>
      </w:r>
      <w:r>
        <w:fldChar w:fldCharType="end"/>
      </w:r>
      <w:r>
        <w:t xml:space="preserve">.</w:t>
      </w:r>
      <w:r>
        <w:t xml:space="preserve"> </w:t>
      </w:r>
      <w:r>
        <w:t xml:space="preserve">Jotta saadaan selvyys siitä, käyttääkö laitos omia LGD- ja/tai CF-estimaatteja, jokaisesta raportoitavasta vastuuryhmästä on ilmoitettava seuraavat tiedot:</w:t>
      </w:r>
    </w:p>
    <w:p w14:paraId="0659E66C" w14:textId="77777777" w:rsidR="00EF74C7" w:rsidRPr="002A677E" w:rsidRDefault="00EF74C7" w:rsidP="00EF74C7">
      <w:pPr>
        <w:autoSpaceDE w:val="0"/>
        <w:autoSpaceDN w:val="0"/>
        <w:adjustRightInd w:val="0"/>
        <w:spacing w:after="240"/>
        <w:ind w:left="709"/>
        <w:rPr>
          <w:sz w:val="24"/>
          <w:rFonts w:ascii="Times New Roman" w:hAnsi="Times New Roman"/>
        </w:rPr>
      </w:pPr>
      <w:r>
        <w:rPr>
          <w:sz w:val="24"/>
          <w:rFonts w:ascii="Times New Roman" w:hAnsi="Times New Roman"/>
        </w:rPr>
        <w:t xml:space="preserve">”EI” = kun käytetään valvojan määrittämiä LGD- ja CF-estimaatteja (IRB-perusmenetelmä, Foundation IRB)</w:t>
      </w:r>
    </w:p>
    <w:p w14:paraId="41E96B9D" w14:textId="77777777" w:rsidR="00EF74C7" w:rsidRPr="002A677E" w:rsidRDefault="00EF74C7" w:rsidP="00EF74C7">
      <w:pPr>
        <w:autoSpaceDE w:val="0"/>
        <w:autoSpaceDN w:val="0"/>
        <w:adjustRightInd w:val="0"/>
        <w:spacing w:after="240"/>
        <w:ind w:left="709"/>
        <w:rPr>
          <w:sz w:val="24"/>
          <w:rFonts w:ascii="Times New Roman" w:hAnsi="Times New Roman"/>
        </w:rPr>
      </w:pPr>
      <w:r>
        <w:rPr>
          <w:sz w:val="24"/>
          <w:rFonts w:ascii="Times New Roman" w:hAnsi="Times New Roman"/>
        </w:rPr>
        <w:t xml:space="preserve">”KYLLÄ” = kun käytetään omia LGD- ja CF-estimaatteja (edistynyt IRB-menetelmä, Advanced IRB).</w:t>
      </w:r>
      <w:r>
        <w:rPr>
          <w:sz w:val="24"/>
          <w:rFonts w:ascii="Times New Roman" w:hAnsi="Times New Roman"/>
        </w:rPr>
        <w:t xml:space="preserve"> </w:t>
      </w:r>
    </w:p>
    <w:p w14:paraId="32D25096"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52" w:name="_Toc19715821"/>
      <w:bookmarkStart w:id="53" w:name="_Toc151714461"/>
      <w:r>
        <w:rPr>
          <w:sz w:val="24"/>
          <w:rFonts w:ascii="Times New Roman" w:hAnsi="Times New Roman"/>
        </w:rPr>
        <w:t xml:space="preserve">Tiettyjä kohtia koskevat ohjeet</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2A677E" w14:paraId="0D87515F" w14:textId="77777777" w:rsidTr="00822842">
        <w:trPr>
          <w:trHeight w:val="238"/>
        </w:trPr>
        <w:tc>
          <w:tcPr>
            <w:tcW w:w="9067" w:type="dxa"/>
            <w:shd w:val="clear" w:color="auto" w:fill="D9D9D9" w:themeFill="background1" w:themeFillShade="D9"/>
          </w:tcPr>
          <w:p w14:paraId="496A4935"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Sarakkeet</w:t>
            </w:r>
          </w:p>
        </w:tc>
      </w:tr>
    </w:tbl>
    <w:tbl>
      <w:tblPr>
        <w:tblStyle w:val="TableGrid"/>
        <w:tblW w:w="9067" w:type="dxa"/>
        <w:tblLook w:val="04A0" w:firstRow="1" w:lastRow="0" w:firstColumn="1" w:lastColumn="0" w:noHBand="0" w:noVBand="1"/>
      </w:tblPr>
      <w:tblGrid>
        <w:gridCol w:w="1413"/>
        <w:gridCol w:w="7654"/>
      </w:tblGrid>
      <w:tr w:rsidR="00EF74C7" w:rsidRPr="002A677E" w14:paraId="5CB4A790" w14:textId="77777777" w:rsidTr="00822842">
        <w:tc>
          <w:tcPr>
            <w:tcW w:w="1413" w:type="dxa"/>
          </w:tcPr>
          <w:p w14:paraId="1B495832" w14:textId="77777777" w:rsidR="00EF74C7" w:rsidRPr="002A677E" w:rsidRDefault="00EF74C7" w:rsidP="00822842">
            <w:pPr>
              <w:spacing w:before="60" w:after="240"/>
              <w:rPr>
                <w:sz w:val="24"/>
                <w:szCs w:val="22"/>
                <w:rFonts w:ascii="Times New Roman" w:hAnsi="Times New Roman"/>
              </w:rPr>
            </w:pPr>
            <w:r>
              <w:rPr>
                <w:sz w:val="24"/>
                <w:rFonts w:ascii="Times New Roman" w:hAnsi="Times New Roman"/>
              </w:rPr>
              <w:t xml:space="preserve">0010</w:t>
            </w:r>
          </w:p>
        </w:tc>
        <w:tc>
          <w:tcPr>
            <w:tcW w:w="7654" w:type="dxa"/>
          </w:tcPr>
          <w:p w14:paraId="67C92FDB" w14:textId="77777777" w:rsidR="00EF74C7" w:rsidRPr="001235ED"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Vastuuarvo</w:t>
            </w:r>
            <w:r>
              <w:rPr>
                <w:rStyle w:val="InstructionsTabelleberschrift"/>
                <w:sz w:val="24"/>
                <w:rFonts w:ascii="Times New Roman" w:hAnsi="Times New Roman"/>
              </w:rPr>
              <w:t xml:space="preserve"> </w:t>
            </w:r>
          </w:p>
          <w:p w14:paraId="2C3DDF84" w14:textId="77777777" w:rsidR="00EF74C7" w:rsidRPr="002A677E" w:rsidRDefault="00EF74C7" w:rsidP="00822842">
            <w:pPr>
              <w:spacing w:before="60" w:after="240"/>
              <w:rPr>
                <w:sz w:val="24"/>
                <w:rFonts w:ascii="Times New Roman" w:hAnsi="Times New Roman"/>
              </w:rPr>
            </w:pPr>
            <w:r>
              <w:rPr>
                <w:sz w:val="24"/>
                <w:rFonts w:ascii="Times New Roman" w:hAnsi="Times New Roman"/>
              </w:rPr>
              <w:t xml:space="preserve">Vastuuarvo (ks. lomakkeen C 34.02 saraketta 0170 koskevat ohjeet) eriteltynä annetun PD-asteikon mukaan</w:t>
            </w:r>
          </w:p>
        </w:tc>
      </w:tr>
      <w:tr w:rsidR="00EF74C7" w:rsidRPr="002A677E" w14:paraId="7A3BA614" w14:textId="77777777" w:rsidTr="00822842">
        <w:tc>
          <w:tcPr>
            <w:tcW w:w="1413" w:type="dxa"/>
          </w:tcPr>
          <w:p w14:paraId="198D2CA3" w14:textId="77777777" w:rsidR="00EF74C7" w:rsidRPr="002A677E" w:rsidRDefault="00EF74C7" w:rsidP="00822842">
            <w:pPr>
              <w:spacing w:before="60" w:after="240"/>
              <w:rPr>
                <w:sz w:val="24"/>
                <w:szCs w:val="22"/>
                <w:rFonts w:ascii="Times New Roman" w:hAnsi="Times New Roman"/>
              </w:rPr>
            </w:pPr>
            <w:r>
              <w:rPr>
                <w:sz w:val="24"/>
                <w:rFonts w:ascii="Times New Roman" w:hAnsi="Times New Roman"/>
              </w:rPr>
              <w:t xml:space="preserve">0020</w:t>
            </w:r>
          </w:p>
        </w:tc>
        <w:tc>
          <w:tcPr>
            <w:tcW w:w="7654" w:type="dxa"/>
          </w:tcPr>
          <w:p w14:paraId="57F61D37" w14:textId="77777777" w:rsidR="00EF74C7" w:rsidRPr="001235ED" w:rsidRDefault="00EF74C7" w:rsidP="00822842">
            <w:pPr>
              <w:spacing w:before="60" w:after="240"/>
              <w:rPr>
                <w:rStyle w:val="InstructionsTabelleberschrift"/>
                <w:sz w:val="24"/>
                <w:rFonts w:ascii="Times New Roman" w:hAnsi="Times New Roman"/>
              </w:rPr>
            </w:pPr>
            <w:r>
              <w:rPr>
                <w:rStyle w:val="InstructionsTabelleberschrift"/>
                <w:sz w:val="24"/>
                <w:rFonts w:ascii="Times New Roman" w:hAnsi="Times New Roman"/>
              </w:rPr>
              <w:t xml:space="preserve">Vastuun määrällä painotettu keskimääräinen PD (%)</w:t>
            </w:r>
          </w:p>
          <w:p w14:paraId="17CBA312" w14:textId="77777777" w:rsidR="00EF74C7" w:rsidRPr="002A677E" w:rsidRDefault="00EF74C7" w:rsidP="00822842">
            <w:pPr>
              <w:spacing w:before="60" w:after="240"/>
              <w:rPr>
                <w:sz w:val="24"/>
                <w:rFonts w:ascii="Times New Roman" w:hAnsi="Times New Roman"/>
              </w:rPr>
            </w:pPr>
            <w:r>
              <w:rPr>
                <w:sz w:val="24"/>
                <w:rFonts w:ascii="Times New Roman" w:hAnsi="Times New Roman"/>
              </w:rPr>
              <w:t xml:space="preserve">Yksittäisten vastapuoliluokan PD-lukujen keskiarvo painotettuna niiden vastaavalla vastuuarvolla, joka on määritelty sarakkeessa 0010</w:t>
            </w:r>
          </w:p>
        </w:tc>
      </w:tr>
      <w:tr w:rsidR="00EF74C7" w:rsidRPr="002A677E" w14:paraId="463531AA" w14:textId="77777777" w:rsidTr="00822842">
        <w:tc>
          <w:tcPr>
            <w:tcW w:w="1413" w:type="dxa"/>
          </w:tcPr>
          <w:p w14:paraId="5D5F447A" w14:textId="77777777" w:rsidR="00EF74C7" w:rsidRPr="002A677E" w:rsidRDefault="00EF74C7" w:rsidP="00822842">
            <w:pPr>
              <w:spacing w:before="60" w:after="240"/>
              <w:rPr>
                <w:sz w:val="24"/>
                <w:szCs w:val="22"/>
                <w:rFonts w:ascii="Times New Roman" w:hAnsi="Times New Roman"/>
              </w:rPr>
            </w:pPr>
            <w:r>
              <w:rPr>
                <w:sz w:val="24"/>
                <w:rFonts w:ascii="Times New Roman" w:hAnsi="Times New Roman"/>
              </w:rPr>
              <w:t xml:space="preserve">0030</w:t>
            </w:r>
          </w:p>
        </w:tc>
        <w:tc>
          <w:tcPr>
            <w:tcW w:w="7654" w:type="dxa"/>
          </w:tcPr>
          <w:p w14:paraId="2AD2D5DC" w14:textId="77777777" w:rsidR="00EF74C7" w:rsidRPr="001235ED"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Vastapuolten lukumäärä</w:t>
            </w:r>
            <w:r>
              <w:rPr>
                <w:rStyle w:val="InstructionsTabelleberschrift"/>
                <w:sz w:val="24"/>
                <w:rFonts w:ascii="Times New Roman" w:hAnsi="Times New Roman"/>
              </w:rPr>
              <w:t xml:space="preserve"> </w:t>
            </w:r>
          </w:p>
          <w:p w14:paraId="75633515" w14:textId="77777777" w:rsidR="00EF74C7" w:rsidRPr="002A677E" w:rsidRDefault="00EF74C7" w:rsidP="00822842">
            <w:pPr>
              <w:rPr>
                <w:sz w:val="24"/>
                <w:rFonts w:ascii="Times New Roman" w:hAnsi="Times New Roman"/>
              </w:rPr>
            </w:pPr>
            <w:r>
              <w:rPr>
                <w:sz w:val="24"/>
                <w:rFonts w:ascii="Times New Roman" w:hAnsi="Times New Roman"/>
              </w:rPr>
              <w:t xml:space="preserve">Niiden vahvistetun PD-asteikon kuhunkin ryhmään kohdennettujen oikeushenkilöiden tai vastapuolten lukumäärä, jotka on luokiteltu erikseen, riippumatta myönnettyjen eri luottojen tai vastuiden lukumäärästä.</w:t>
            </w:r>
          </w:p>
          <w:p w14:paraId="79F85080" w14:textId="77777777" w:rsidR="00EF74C7" w:rsidRPr="002A677E" w:rsidRDefault="00EF74C7" w:rsidP="00822842">
            <w:pPr>
              <w:rPr>
                <w:sz w:val="24"/>
                <w:rFonts w:ascii="Times New Roman" w:hAnsi="Times New Roman"/>
              </w:rPr>
            </w:pPr>
            <w:r>
              <w:rPr>
                <w:sz w:val="24"/>
                <w:rFonts w:ascii="Times New Roman" w:hAnsi="Times New Roman"/>
              </w:rPr>
              <w:t xml:space="preserve">Jos samaan vastapuoleen liittyvät eri vastuut luokitellaan erikseen, ne on laskettava erikseen.</w:t>
            </w:r>
            <w:r>
              <w:rPr>
                <w:sz w:val="24"/>
                <w:rFonts w:ascii="Times New Roman" w:hAnsi="Times New Roman"/>
              </w:rPr>
              <w:t xml:space="preserve"> </w:t>
            </w:r>
            <w:r>
              <w:rPr>
                <w:sz w:val="24"/>
                <w:rFonts w:ascii="Times New Roman" w:hAnsi="Times New Roman"/>
              </w:rPr>
              <w:t xml:space="preserve">Tällainen tilanne voi syntyä, jos samaan vastapuoleen liittyvät erilliset vastuut luokitellaan eri vastapuoliluokkiin asetuksen (EU) N:o 575/2013 172 artiklan 1 kohdan e alakohdan toisen virkkeen mukaisesti.</w:t>
            </w:r>
          </w:p>
        </w:tc>
      </w:tr>
      <w:tr w:rsidR="00EF74C7" w:rsidRPr="002A677E" w14:paraId="239943F5" w14:textId="77777777" w:rsidTr="00822842">
        <w:tc>
          <w:tcPr>
            <w:tcW w:w="1413" w:type="dxa"/>
          </w:tcPr>
          <w:p w14:paraId="01BF27A5" w14:textId="77777777" w:rsidR="00EF74C7" w:rsidRPr="002A677E" w:rsidRDefault="00EF74C7" w:rsidP="00822842">
            <w:pPr>
              <w:spacing w:before="60" w:after="240"/>
              <w:rPr>
                <w:sz w:val="24"/>
                <w:szCs w:val="22"/>
                <w:rFonts w:ascii="Times New Roman" w:hAnsi="Times New Roman"/>
              </w:rPr>
            </w:pPr>
            <w:r>
              <w:rPr>
                <w:sz w:val="24"/>
                <w:rFonts w:ascii="Times New Roman" w:hAnsi="Times New Roman"/>
              </w:rPr>
              <w:t xml:space="preserve">0040</w:t>
            </w:r>
          </w:p>
        </w:tc>
        <w:tc>
          <w:tcPr>
            <w:tcW w:w="7654" w:type="dxa"/>
          </w:tcPr>
          <w:p w14:paraId="1D60931A" w14:textId="77777777" w:rsidR="00EF74C7" w:rsidRPr="001235ED" w:rsidRDefault="00EF74C7" w:rsidP="00822842">
            <w:pPr>
              <w:spacing w:before="60" w:after="240"/>
              <w:rPr>
                <w:rStyle w:val="InstructionsTabelleberschrift"/>
                <w:sz w:val="24"/>
                <w:rFonts w:ascii="Times New Roman" w:hAnsi="Times New Roman"/>
              </w:rPr>
            </w:pPr>
            <w:r>
              <w:rPr>
                <w:rStyle w:val="InstructionsTabelleberschrift"/>
                <w:sz w:val="24"/>
                <w:rFonts w:ascii="Times New Roman" w:hAnsi="Times New Roman"/>
              </w:rPr>
              <w:t xml:space="preserve">Vastuun määrällä painotettu keskimääräinen LGD (%)</w:t>
            </w:r>
          </w:p>
          <w:p w14:paraId="1CF7FBBB" w14:textId="77777777" w:rsidR="00EF74C7" w:rsidRPr="002A677E" w:rsidRDefault="00EF74C7" w:rsidP="00822842">
            <w:pPr>
              <w:spacing w:before="60" w:after="240"/>
              <w:rPr>
                <w:sz w:val="24"/>
                <w:rFonts w:ascii="Times New Roman" w:hAnsi="Times New Roman"/>
              </w:rPr>
            </w:pPr>
            <w:r>
              <w:rPr>
                <w:sz w:val="24"/>
                <w:rFonts w:ascii="Times New Roman" w:hAnsi="Times New Roman"/>
              </w:rPr>
              <w:t xml:space="preserve">Vastapuoliluokan LGD-lukujen keskiarvo painotettuna niiden vastaavalla vastuuarvolla, joka on määritelty sarakkeessa 0010</w:t>
            </w:r>
          </w:p>
          <w:p w14:paraId="7080F0A6" w14:textId="080029A0" w:rsidR="00EF74C7" w:rsidRPr="002A677E" w:rsidRDefault="00EF74C7" w:rsidP="00822842">
            <w:pPr>
              <w:rPr>
                <w:sz w:val="24"/>
                <w:rFonts w:ascii="Times New Roman" w:hAnsi="Times New Roman"/>
              </w:rPr>
            </w:pPr>
            <w:r>
              <w:rPr>
                <w:sz w:val="24"/>
                <w:rFonts w:ascii="Times New Roman" w:hAnsi="Times New Roman"/>
              </w:rPr>
              <w:t xml:space="preserve">Ilmoitetun LGD:n on vastattava lopullista LGD-estimaattia, jota käytetään laskettaessa mahdollisten luottoriskin vähentämistekniikoiden vaikutusten ja laskusuhdanneolojen huomioon ottamisen jälkeen saatuja riskipainotettujen vastuuerien yhteismääriä, kuten asetuksen (EU) N:o 575/2013 kolmannen osan II osaston 3 ja 4 luvussa täsmennetään.</w:t>
            </w:r>
            <w:r>
              <w:rPr>
                <w:sz w:val="24"/>
                <w:rFonts w:ascii="Times New Roman" w:hAnsi="Times New Roman"/>
              </w:rPr>
              <w:t xml:space="preserve"> </w:t>
            </w:r>
            <w:r>
              <w:rPr>
                <w:sz w:val="24"/>
                <w:rFonts w:ascii="Times New Roman" w:hAnsi="Times New Roman"/>
              </w:rPr>
              <w:t xml:space="preserve">Erityisesti laitoksilla, jotka soveltavat IRB-menetelmää mutta eivät käytä omia LGD-estimaatteja, rahoitusvakuuksien luottoriskin vähennysvaikutukset on otettava huomioon E*-arvossa eli täysin mukautetussa vastuuarvossa ja sen jälkeen LGD*-arvossa asetuksen (EU) N:o 575/2013 230 artiklan mukaisesti.</w:t>
            </w:r>
            <w:r>
              <w:rPr>
                <w:sz w:val="24"/>
                <w:rFonts w:ascii="Times New Roman" w:hAnsi="Times New Roman"/>
              </w:rPr>
              <w:t xml:space="preserve"> </w:t>
            </w:r>
            <w:r>
              <w:rPr>
                <w:sz w:val="24"/>
                <w:rFonts w:ascii="Times New Roman" w:hAnsi="Times New Roman"/>
              </w:rPr>
              <w:t xml:space="preserve">Käytettäessä omia LGD-estimaatteja on otettava huomioon asetuksen (EU) N:o 575/2013 175 artikla ja 181 artiklan 1 ja 2 kohta.</w:t>
            </w:r>
          </w:p>
          <w:p w14:paraId="1D9D0798" w14:textId="77777777" w:rsidR="00EF74C7" w:rsidRPr="002A677E" w:rsidRDefault="00EF74C7" w:rsidP="00822842">
            <w:pPr>
              <w:rPr>
                <w:sz w:val="24"/>
                <w:rFonts w:ascii="Times New Roman" w:hAnsi="Times New Roman"/>
              </w:rPr>
            </w:pPr>
            <w:r>
              <w:rPr>
                <w:sz w:val="24"/>
                <w:rFonts w:ascii="Times New Roman" w:hAnsi="Times New Roman"/>
              </w:rPr>
              <w:t xml:space="preserve">Kun on kyse velallisen ja takaajan samanaikaisen maksukyvyttömyyden käsittelyn piirissä olevista vastuista, ilmoitettavan LGD-arvon on vastattava asetuksen (EU) N:o 575/2013 161 artiklan 4 kohdan mukaisesti valittua arvoa.</w:t>
            </w:r>
          </w:p>
          <w:p w14:paraId="2C390C4A" w14:textId="77777777" w:rsidR="00EF74C7" w:rsidRPr="002A677E" w:rsidRDefault="00EF74C7" w:rsidP="00822842">
            <w:pPr>
              <w:spacing w:before="60" w:after="240"/>
              <w:rPr>
                <w:strike/>
                <w:sz w:val="24"/>
                <w:rFonts w:ascii="Times New Roman" w:hAnsi="Times New Roman"/>
              </w:rPr>
            </w:pPr>
            <w:r>
              <w:rPr>
                <w:sz w:val="24"/>
                <w:rFonts w:ascii="Times New Roman" w:hAnsi="Times New Roman"/>
              </w:rPr>
              <w:t xml:space="preserve">Kun on kyse maksukyvyttömistä vastuista A-IRB-menetelmässä, on otettava huomioon asetuksen (EU) N:o 575/2013 181 artiklan 1 kohdan h alakohdan säännökset.</w:t>
            </w:r>
            <w:r>
              <w:rPr>
                <w:sz w:val="24"/>
                <w:rFonts w:ascii="Times New Roman" w:hAnsi="Times New Roman"/>
              </w:rPr>
              <w:t xml:space="preserve"> </w:t>
            </w:r>
            <w:r>
              <w:rPr>
                <w:sz w:val="24"/>
                <w:rFonts w:ascii="Times New Roman" w:hAnsi="Times New Roman"/>
              </w:rPr>
              <w:t xml:space="preserve">Ilmoitetun LGD-arvon on vastattava maksukyvyttömyystilassa olevien vastuiden LGD-estimaattia.</w:t>
            </w:r>
            <w:r>
              <w:rPr>
                <w:sz w:val="24"/>
                <w:rFonts w:ascii="Times New Roman" w:hAnsi="Times New Roman"/>
              </w:rPr>
              <w:t xml:space="preserve"> </w:t>
            </w:r>
          </w:p>
        </w:tc>
      </w:tr>
      <w:tr w:rsidR="00EF74C7" w:rsidRPr="002A677E" w14:paraId="6EA42417" w14:textId="77777777" w:rsidTr="00822842">
        <w:tc>
          <w:tcPr>
            <w:tcW w:w="1413" w:type="dxa"/>
          </w:tcPr>
          <w:p w14:paraId="49D0D602" w14:textId="77777777" w:rsidR="00EF74C7" w:rsidRPr="002A677E" w:rsidRDefault="00EF74C7" w:rsidP="00822842">
            <w:pPr>
              <w:spacing w:before="60" w:after="240"/>
              <w:rPr>
                <w:sz w:val="24"/>
                <w:rFonts w:ascii="Times New Roman" w:hAnsi="Times New Roman"/>
              </w:rPr>
            </w:pPr>
            <w:r>
              <w:rPr>
                <w:sz w:val="24"/>
                <w:rFonts w:ascii="Times New Roman" w:hAnsi="Times New Roman"/>
              </w:rPr>
              <w:t xml:space="preserve">0050</w:t>
            </w:r>
          </w:p>
        </w:tc>
        <w:tc>
          <w:tcPr>
            <w:tcW w:w="7654" w:type="dxa"/>
          </w:tcPr>
          <w:p w14:paraId="6BAEF9EB" w14:textId="77777777" w:rsidR="00EF74C7" w:rsidRPr="001235ED"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Vastuun määrällä painotettu keskimääräinen maturiteetti (vuotta)</w:t>
            </w:r>
          </w:p>
          <w:p w14:paraId="32B69B7E"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Vastapuolen maturiteettien keskiarvo vuosina painotettuna niiden vastaavalla vastuuarvolla, joka on määritelty sarakkeessa 0010</w:t>
            </w:r>
          </w:p>
          <w:p w14:paraId="2277F2A3" w14:textId="77777777" w:rsidR="00EF74C7" w:rsidRPr="002A677E" w:rsidRDefault="00EF74C7" w:rsidP="00822842">
            <w:pPr>
              <w:rPr>
                <w:sz w:val="24"/>
                <w:rFonts w:ascii="Times New Roman" w:hAnsi="Times New Roman"/>
              </w:rPr>
            </w:pPr>
            <w:r>
              <w:rPr>
                <w:sz w:val="24"/>
                <w:rFonts w:ascii="Times New Roman" w:hAnsi="Times New Roman"/>
              </w:rPr>
              <w:t xml:space="preserve">Maturiteetti on määritettävä asetuksen (EU) N:o 575/2013 162 artiklan mukaisesti.</w:t>
            </w:r>
            <w:r>
              <w:rPr>
                <w:sz w:val="24"/>
                <w:rFonts w:ascii="Times New Roman" w:hAnsi="Times New Roman"/>
              </w:rPr>
              <w:t xml:space="preserve"> </w:t>
            </w:r>
          </w:p>
        </w:tc>
      </w:tr>
      <w:tr w:rsidR="00EF74C7" w:rsidRPr="002A677E" w14:paraId="5B18C05A" w14:textId="77777777" w:rsidTr="00822842">
        <w:tc>
          <w:tcPr>
            <w:tcW w:w="1413" w:type="dxa"/>
          </w:tcPr>
          <w:p w14:paraId="2A096E22" w14:textId="77777777" w:rsidR="00EF74C7" w:rsidRPr="002A677E" w:rsidRDefault="00EF74C7" w:rsidP="00822842">
            <w:pPr>
              <w:spacing w:before="60" w:after="240"/>
              <w:rPr>
                <w:sz w:val="24"/>
              </w:rPr>
            </w:pPr>
            <w:r>
              <w:rPr>
                <w:sz w:val="24"/>
                <w:rFonts w:ascii="Times New Roman" w:hAnsi="Times New Roman"/>
              </w:rPr>
              <w:t xml:space="preserve">0060</w:t>
            </w:r>
          </w:p>
        </w:tc>
        <w:tc>
          <w:tcPr>
            <w:tcW w:w="7654" w:type="dxa"/>
          </w:tcPr>
          <w:p w14:paraId="46D2D7DB" w14:textId="77777777" w:rsidR="00EF74C7" w:rsidRPr="002A677E" w:rsidRDefault="00EF74C7" w:rsidP="00822842">
            <w:pPr>
              <w:spacing w:before="60"/>
              <w:rPr>
                <w:sz w:val="24"/>
                <w:rFonts w:ascii="Times New Roman" w:hAnsi="Times New Roman"/>
              </w:rPr>
            </w:pPr>
            <w:r>
              <w:rPr>
                <w:sz w:val="24"/>
                <w:rStyle w:val="InstructionsTabelleberschrift"/>
                <w:rFonts w:ascii="Times New Roman" w:hAnsi="Times New Roman"/>
              </w:rPr>
              <w:t xml:space="preserve">Riskipainotetut vastuuerät</w:t>
            </w:r>
            <w:r>
              <w:rPr>
                <w:sz w:val="24"/>
                <w:i/>
                <w:rFonts w:ascii="Times New Roman" w:hAnsi="Times New Roman"/>
              </w:rPr>
              <w:t xml:space="preserve"> </w:t>
            </w:r>
          </w:p>
          <w:p w14:paraId="21AFCDAB" w14:textId="09499DC5" w:rsidR="00EF74C7" w:rsidRPr="002A677E" w:rsidRDefault="00EF74C7" w:rsidP="00822842">
            <w:pPr>
              <w:spacing w:before="60"/>
              <w:rPr>
                <w:sz w:val="24"/>
                <w:rFonts w:ascii="Times New Roman" w:hAnsi="Times New Roman"/>
              </w:rPr>
            </w:pPr>
            <w:r>
              <w:rPr>
                <w:sz w:val="24"/>
                <w:rFonts w:ascii="Times New Roman" w:hAnsi="Times New Roman"/>
              </w:rPr>
              <w:t xml:space="preserve">Tässä tarkoitetaan asetuksen (EU) N:o 575/2013 92 artiklan 3 kohdassa määriteltyjen riskipainotettujen vastuuerien yhteismäärää positioille, joiden riskipainot arvioidaan asetuksen (EU) N:o 575/2013 kolmannen osan II osaston 3 luvun vaatimusten perusteella ja joiden osalta vastapuoliriskiin liittyvän liiketoiminnan vastuuarvo lasketaan kyseisen asetuksen kolmannen osan II osaston 4 ja 6 luvun mukaisesti.</w:t>
            </w:r>
            <w:r>
              <w:rPr>
                <w:sz w:val="24"/>
                <w:rFonts w:ascii="Times New Roman" w:hAnsi="Times New Roman"/>
              </w:rPr>
              <w:t xml:space="preserve"> </w:t>
            </w:r>
          </w:p>
          <w:p w14:paraId="7071DC2E" w14:textId="77777777" w:rsidR="00EF74C7" w:rsidRPr="002A677E" w:rsidRDefault="00EF74C7" w:rsidP="00822842">
            <w:pPr>
              <w:spacing w:before="60" w:after="240"/>
              <w:rPr>
                <w:i/>
                <w:sz w:val="24"/>
                <w:rFonts w:ascii="Times New Roman" w:hAnsi="Times New Roman"/>
              </w:rPr>
            </w:pPr>
            <w:r>
              <w:rPr>
                <w:sz w:val="24"/>
                <w:rFonts w:ascii="Times New Roman" w:hAnsi="Times New Roman"/>
              </w:rPr>
              <w:t xml:space="preserve">Asetuksen (EU) N:o 575/2013 501 artiklassa tarkoitettu pk-yritysten tukikerroin ja 501 a artiklassa tarkoitettu infrastruktuuritukikerroin on otettava huomioon.</w:t>
            </w:r>
            <w:r>
              <w:rPr>
                <w:sz w:val="24"/>
                <w:rFonts w:ascii="Times New Roman" w:hAnsi="Times New Roman"/>
              </w:rPr>
              <w:t xml:space="preserve"> </w:t>
            </w:r>
          </w:p>
        </w:tc>
      </w:tr>
      <w:tr w:rsidR="00EF74C7" w:rsidRPr="002A677E" w14:paraId="4BA3B7AB" w14:textId="77777777" w:rsidTr="00822842">
        <w:tc>
          <w:tcPr>
            <w:tcW w:w="1413" w:type="dxa"/>
          </w:tcPr>
          <w:p w14:paraId="5F982F69" w14:textId="77777777" w:rsidR="00EF74C7" w:rsidRPr="002A677E" w:rsidRDefault="00EF74C7" w:rsidP="00822842">
            <w:pPr>
              <w:spacing w:before="60" w:after="240"/>
              <w:rPr>
                <w:sz w:val="24"/>
              </w:rPr>
            </w:pPr>
            <w:r>
              <w:rPr>
                <w:sz w:val="24"/>
                <w:rFonts w:ascii="Times New Roman" w:hAnsi="Times New Roman"/>
              </w:rPr>
              <w:t xml:space="preserve">0070</w:t>
            </w:r>
          </w:p>
        </w:tc>
        <w:tc>
          <w:tcPr>
            <w:tcW w:w="7654" w:type="dxa"/>
          </w:tcPr>
          <w:p w14:paraId="6C5FAC81" w14:textId="77777777" w:rsidR="00EF74C7" w:rsidRPr="001235ED"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Riskipainotettujen vastuuerien tiheys</w:t>
            </w:r>
            <w:r>
              <w:rPr>
                <w:rStyle w:val="InstructionsTabelleberschrift"/>
                <w:sz w:val="24"/>
                <w:rFonts w:ascii="Times New Roman" w:hAnsi="Times New Roman"/>
              </w:rPr>
              <w:t xml:space="preserve"> </w:t>
            </w:r>
          </w:p>
          <w:p w14:paraId="2D69B724" w14:textId="77777777" w:rsidR="00EF74C7" w:rsidRPr="002A677E" w:rsidDel="00291448" w:rsidRDefault="00EF74C7" w:rsidP="00822842">
            <w:pPr>
              <w:spacing w:before="60"/>
              <w:rPr>
                <w:sz w:val="24"/>
                <w:rFonts w:ascii="Times New Roman" w:hAnsi="Times New Roman"/>
              </w:rPr>
            </w:pPr>
            <w:r>
              <w:rPr>
                <w:sz w:val="24"/>
                <w:rFonts w:ascii="Times New Roman" w:hAnsi="Times New Roman"/>
              </w:rPr>
              <w:t xml:space="preserve">Riskipainotettujen vastuuerien yhteismäärän (ilmoitettu sarakkeessa 0060) suhde vastuuarvoon (ilmoitettu sarakkeessa 0010).</w:t>
            </w:r>
          </w:p>
        </w:tc>
      </w:tr>
    </w:tbl>
    <w:p w14:paraId="62CA01EC" w14:textId="77777777" w:rsidR="00EF74C7" w:rsidRPr="002A677E"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75F0F1C" w14:textId="77777777" w:rsidTr="00822842">
        <w:trPr>
          <w:trHeight w:val="720"/>
        </w:trPr>
        <w:tc>
          <w:tcPr>
            <w:tcW w:w="9039" w:type="dxa"/>
            <w:gridSpan w:val="2"/>
            <w:shd w:val="clear" w:color="auto" w:fill="D9D9D9" w:themeFill="background1" w:themeFillShade="D9"/>
          </w:tcPr>
          <w:p w14:paraId="7AB89CAA" w14:textId="77777777" w:rsidR="00EF74C7" w:rsidRPr="002A677E" w:rsidRDefault="00EF74C7" w:rsidP="00822842">
            <w:pPr>
              <w:autoSpaceDE w:val="0"/>
              <w:autoSpaceDN w:val="0"/>
              <w:adjustRightInd w:val="0"/>
              <w:rPr>
                <w:sz w:val="24"/>
                <w:rFonts w:ascii="Times New Roman" w:hAnsi="Times New Roman"/>
              </w:rPr>
            </w:pPr>
            <w:r>
              <w:rPr>
                <w:b/>
                <w:sz w:val="24"/>
                <w:rFonts w:ascii="Times New Roman" w:hAnsi="Times New Roman"/>
              </w:rPr>
              <w:t xml:space="preserve">Rivit</w:t>
            </w:r>
            <w:r>
              <w:rPr>
                <w:b/>
                <w:sz w:val="24"/>
                <w:rFonts w:ascii="Times New Roman" w:hAnsi="Times New Roman"/>
              </w:rPr>
              <w:t xml:space="preserve"> </w:t>
            </w:r>
          </w:p>
        </w:tc>
      </w:tr>
      <w:tr w:rsidR="00EF74C7" w:rsidRPr="002A677E" w14:paraId="68004F65" w14:textId="77777777" w:rsidTr="00822842">
        <w:trPr>
          <w:trHeight w:val="680"/>
        </w:trPr>
        <w:tc>
          <w:tcPr>
            <w:tcW w:w="1384" w:type="dxa"/>
          </w:tcPr>
          <w:p w14:paraId="34D367A2" w14:textId="77777777" w:rsidR="00EF74C7" w:rsidRPr="002A677E" w:rsidRDefault="00EF74C7" w:rsidP="00822842">
            <w:pPr>
              <w:pStyle w:val="Applicationdirecte"/>
              <w:spacing w:before="60" w:after="0"/>
              <w:jc w:val="center"/>
            </w:pPr>
            <w:r>
              <w:t xml:space="preserve">0010 - 0170</w:t>
            </w:r>
          </w:p>
        </w:tc>
        <w:tc>
          <w:tcPr>
            <w:tcW w:w="7655" w:type="dxa"/>
            <w:vAlign w:val="center"/>
          </w:tcPr>
          <w:p w14:paraId="2D3B901D" w14:textId="77777777" w:rsidR="00EF74C7" w:rsidRPr="002A677E" w:rsidRDefault="00EF74C7" w:rsidP="00822842">
            <w:pPr>
              <w:spacing w:before="60"/>
              <w:rPr>
                <w:b/>
                <w:bCs/>
                <w:sz w:val="24"/>
                <w:u w:val="single"/>
                <w:rFonts w:ascii="Times New Roman" w:hAnsi="Times New Roman"/>
              </w:rPr>
            </w:pPr>
            <w:r>
              <w:rPr>
                <w:rStyle w:val="InstructionsTabelleberschrift"/>
                <w:sz w:val="24"/>
                <w:rFonts w:ascii="Times New Roman" w:hAnsi="Times New Roman"/>
              </w:rPr>
              <w:t xml:space="preserve">PD-asteikko</w:t>
            </w:r>
          </w:p>
          <w:p w14:paraId="61146F57" w14:textId="68363C58" w:rsidR="00EF74C7" w:rsidRPr="002A677E" w:rsidRDefault="00EF74C7" w:rsidP="00822842">
            <w:pPr>
              <w:spacing w:before="60"/>
              <w:rPr>
                <w:sz w:val="24"/>
                <w:rFonts w:ascii="Times New Roman" w:hAnsi="Times New Roman"/>
              </w:rPr>
            </w:pPr>
            <w:r>
              <w:rPr>
                <w:sz w:val="24"/>
                <w:rFonts w:ascii="Times New Roman" w:hAnsi="Times New Roman"/>
              </w:rPr>
              <w:t xml:space="preserve">Vastapuoliriskivastuut (määritetty vastapuolen tasolla) on kohdennettava asianmukaiseen vahvistetun PD-asteikon ryhmään kutakin tähän vastuuryhmään luokiteltua vastapuolta koskevan PD-estimaatin perusteella (ottaen huomioon takauksesta tai luottojohdannaisesta aiheutuvat mahdolliset substituutiovaikutukset).</w:t>
            </w:r>
            <w:r>
              <w:rPr>
                <w:sz w:val="24"/>
                <w:rFonts w:ascii="Times New Roman" w:hAnsi="Times New Roman"/>
              </w:rPr>
              <w:t xml:space="preserve"> </w:t>
            </w:r>
            <w:r>
              <w:rPr>
                <w:sz w:val="24"/>
                <w:rFonts w:ascii="Times New Roman" w:hAnsi="Times New Roman"/>
              </w:rPr>
              <w:t xml:space="preserve">Laitosten on sijoitettava vastuut lomakkeessa esitettyyn PD-asteikkoon, myös ottaen huomioon jatkuvat asteikot.</w:t>
            </w:r>
            <w:r>
              <w:rPr>
                <w:sz w:val="24"/>
                <w:rFonts w:ascii="Times New Roman" w:hAnsi="Times New Roman"/>
              </w:rPr>
              <w:t xml:space="preserve"> </w:t>
            </w:r>
            <w:r>
              <w:rPr>
                <w:sz w:val="24"/>
                <w:rFonts w:ascii="Times New Roman" w:hAnsi="Times New Roman"/>
              </w:rPr>
              <w:t xml:space="preserve">Kaikki maksukyvyttömyystilassa olevat vastuut on sisällytettävä ryhmään, jossa PD on 100 prosenttia.</w:t>
            </w:r>
          </w:p>
        </w:tc>
      </w:tr>
    </w:tbl>
    <w:p w14:paraId="6EF2BA05"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54" w:name="_Toc19715822"/>
      <w:bookmarkStart w:id="55" w:name="_Toc151714462"/>
      <w:r>
        <w:rPr>
          <w:sz w:val="24"/>
          <w:rFonts w:ascii="Times New Roman" w:hAnsi="Times New Roman"/>
        </w:rPr>
        <w:t xml:space="preserve">C 34.08 – Vastapuoliriskivastuiden vakuuksien koostumus</w:t>
      </w:r>
      <w:bookmarkEnd w:id="54"/>
      <w:bookmarkEnd w:id="55"/>
    </w:p>
    <w:p w14:paraId="70D733F8"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56" w:name="_Toc19715823"/>
      <w:bookmarkStart w:id="57" w:name="_Toc151714463"/>
      <w:r>
        <w:rPr>
          <w:sz w:val="24"/>
          <w:rFonts w:ascii="Times New Roman" w:hAnsi="Times New Roman"/>
        </w:rPr>
        <w:t xml:space="preserve">Yleiset huomautukset</w:t>
      </w:r>
      <w:bookmarkEnd w:id="56"/>
      <w:bookmarkEnd w:id="57"/>
    </w:p>
    <w:p w14:paraId="0AF1AF80" w14:textId="794CBD92"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131</w:t>
      </w:r>
      <w:r>
        <w:fldChar w:fldCharType="end"/>
      </w:r>
      <w:r>
        <w:t xml:space="preserve">.</w:t>
      </w:r>
      <w:r>
        <w:t xml:space="preserve"> </w:t>
      </w:r>
      <w:r>
        <w:t xml:space="preserve">Tähän lomakkeeseen on täytettävä johdannaistransaktioihin, pitkän selvitysajan liiketoimiin tai arvopapereilla toteutettaviin rahoitustoimiin liittyvissä vastapuoliriskivastuissa käytettyjen (asetettujen tai vastaanotettujen) vakuuksien käyvät arvot riippumatta siitä, määritetäänkö transaktiot keskusvastapuolen välityksellä ja asetetaanko vakuus keskusvastapuolelle.</w:t>
      </w:r>
      <w:r>
        <w:t xml:space="preserve"> </w:t>
      </w:r>
    </w:p>
    <w:p w14:paraId="74E68575"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58" w:name="_Toc19715824"/>
      <w:bookmarkStart w:id="59" w:name="_Toc151714464"/>
      <w:r>
        <w:rPr>
          <w:sz w:val="24"/>
          <w:rFonts w:ascii="Times New Roman" w:hAnsi="Times New Roman"/>
        </w:rPr>
        <w:t xml:space="preserve">Tiettyjä kohtia koskevat ohjeet</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2A677E" w:rsidRDefault="00EF74C7" w:rsidP="00822842">
            <w:pPr>
              <w:pStyle w:val="TableMainHeading"/>
              <w:spacing w:before="60"/>
              <w:rPr>
                <w:b/>
                <w:sz w:val="24"/>
                <w:szCs w:val="24"/>
                <w:rFonts w:ascii="Times New Roman" w:hAnsi="Times New Roman"/>
              </w:rPr>
            </w:pPr>
            <w:r>
              <w:rPr>
                <w:b/>
                <w:sz w:val="24"/>
                <w:rFonts w:ascii="Times New Roman" w:hAnsi="Times New Roman"/>
              </w:rPr>
              <w:t xml:space="preserve">Sarakkeet</w:t>
            </w:r>
            <w:r>
              <w:rPr>
                <w:b/>
                <w:sz w:val="24"/>
                <w:rFonts w:ascii="Times New Roman" w:hAnsi="Times New Roman"/>
              </w:rPr>
              <w:t xml:space="preserve"> </w:t>
            </w:r>
          </w:p>
        </w:tc>
      </w:tr>
      <w:tr w:rsidR="00EF74C7" w:rsidRPr="002A677E" w14:paraId="26586561" w14:textId="77777777" w:rsidTr="00822842">
        <w:trPr>
          <w:trHeight w:val="680"/>
        </w:trPr>
        <w:tc>
          <w:tcPr>
            <w:tcW w:w="1384" w:type="dxa"/>
          </w:tcPr>
          <w:p w14:paraId="21B980D6" w14:textId="77777777" w:rsidR="00EF74C7" w:rsidRPr="002A677E" w:rsidRDefault="00EF74C7" w:rsidP="00822842">
            <w:pPr>
              <w:pStyle w:val="Applicationdirecte"/>
              <w:spacing w:before="60" w:after="0"/>
            </w:pPr>
            <w:r>
              <w:t xml:space="preserve">0010 - 0080</w:t>
            </w:r>
          </w:p>
        </w:tc>
        <w:tc>
          <w:tcPr>
            <w:tcW w:w="7655" w:type="dxa"/>
            <w:vAlign w:val="center"/>
          </w:tcPr>
          <w:p w14:paraId="64904DC2"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Johdannaistransaktioissa käytetty vakuus</w:t>
            </w:r>
            <w:r>
              <w:rPr>
                <w:rStyle w:val="InstructionsTabelleberschrift"/>
                <w:sz w:val="24"/>
                <w:rFonts w:ascii="Times New Roman" w:hAnsi="Times New Roman"/>
              </w:rPr>
              <w:t xml:space="preserve"> </w:t>
            </w:r>
          </w:p>
          <w:p w14:paraId="0F03F847" w14:textId="77777777" w:rsidR="00EF74C7" w:rsidRPr="002A677E" w:rsidRDefault="00EF74C7" w:rsidP="00822842">
            <w:pPr>
              <w:pStyle w:val="numberedparagraph"/>
              <w:numPr>
                <w:ilvl w:val="0"/>
                <w:numId w:val="0"/>
              </w:numPr>
              <w:spacing w:before="60" w:line="240" w:lineRule="auto"/>
              <w:rPr>
                <w:sz w:val="24"/>
                <w:rFonts w:ascii="Times New Roman" w:hAnsi="Times New Roman" w:cs="Times New Roman"/>
              </w:rPr>
            </w:pPr>
            <w:r>
              <w:rPr>
                <w:sz w:val="24"/>
                <w:rFonts w:ascii="Times New Roman" w:hAnsi="Times New Roman"/>
              </w:rPr>
              <w:t xml:space="preserve">Laitosten on ilmoitettava vakuus (mukaan lukien alkumarginaali- ja vakuusmarginaalivakuus), jota käytetään sellaisissa vastapuoliriskivastuissa, jotka liittyvät asetuksen (EU) N:o 575/2013 liitteessä II lueteltuihin johdannaisinstrumentteihin tai saman asetuksen 272 artiklan 2 kohdan mukaiseen pitkän selvitysajan liiketoimeen, jota ei katsota arvopapereilla toteutettavaksi rahoitustoimeksi.</w:t>
            </w:r>
            <w:r>
              <w:rPr>
                <w:sz w:val="24"/>
                <w:rFonts w:ascii="Times New Roman" w:hAnsi="Times New Roman"/>
              </w:rPr>
              <w:t xml:space="preserve"> </w:t>
            </w:r>
          </w:p>
        </w:tc>
      </w:tr>
      <w:tr w:rsidR="00EF74C7" w:rsidRPr="002A677E" w14:paraId="1B7CDC53" w14:textId="77777777" w:rsidTr="00822842">
        <w:trPr>
          <w:trHeight w:val="680"/>
        </w:trPr>
        <w:tc>
          <w:tcPr>
            <w:tcW w:w="1384" w:type="dxa"/>
          </w:tcPr>
          <w:p w14:paraId="28360CD0" w14:textId="77777777" w:rsidR="00EF74C7" w:rsidRPr="002A677E" w:rsidRDefault="00EF74C7" w:rsidP="00822842">
            <w:pPr>
              <w:pStyle w:val="Applicationdirecte"/>
              <w:spacing w:before="60" w:after="0"/>
            </w:pPr>
            <w:r>
              <w:t xml:space="preserve">0090 - 0180</w:t>
            </w:r>
          </w:p>
        </w:tc>
        <w:tc>
          <w:tcPr>
            <w:tcW w:w="7655" w:type="dxa"/>
            <w:vAlign w:val="center"/>
          </w:tcPr>
          <w:p w14:paraId="3C96417C"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Arvopapereilla toteutettavissa rahoitustoimissa käytetty vakuus</w:t>
            </w:r>
            <w:r>
              <w:rPr>
                <w:rStyle w:val="InstructionsTabelleberschrift"/>
                <w:sz w:val="24"/>
                <w:rFonts w:ascii="Times New Roman" w:hAnsi="Times New Roman"/>
              </w:rPr>
              <w:t xml:space="preserve"> </w:t>
            </w:r>
          </w:p>
          <w:p w14:paraId="6B5AF52E" w14:textId="77777777" w:rsidR="00EF74C7" w:rsidRPr="002A677E" w:rsidRDefault="00EF74C7" w:rsidP="00822842">
            <w:pPr>
              <w:pStyle w:val="numberedparagraph"/>
              <w:numPr>
                <w:ilvl w:val="0"/>
                <w:numId w:val="0"/>
              </w:numPr>
              <w:spacing w:before="60" w:line="240" w:lineRule="auto"/>
              <w:rPr>
                <w:sz w:val="24"/>
                <w:rFonts w:ascii="Times New Roman" w:hAnsi="Times New Roman" w:cs="Times New Roman"/>
              </w:rPr>
            </w:pPr>
            <w:r>
              <w:rPr>
                <w:sz w:val="24"/>
                <w:rFonts w:ascii="Times New Roman" w:hAnsi="Times New Roman"/>
              </w:rPr>
              <w:t xml:space="preserve">Laitosten on ilmoitettava vakuus (mukaan lukien alkumarginaali- ja vakuusmarginaalivakuus sekä arvopapereilla toteutettavassa rahoitustoimessa arvopaperin muodossa oleva vakuus), jota käytetään sellaisiin arvopapereilla toteutettaviin rahoitustoimiin tai pitkän selvitysajan liiketoimiin liittyvissä vastapuoliriskivastuissa, joita ei katsota johdannaisiksi.</w:t>
            </w:r>
            <w:r>
              <w:rPr>
                <w:sz w:val="24"/>
                <w:rFonts w:ascii="Times New Roman" w:hAnsi="Times New Roman"/>
              </w:rPr>
              <w:t xml:space="preserve"> </w:t>
            </w:r>
          </w:p>
        </w:tc>
      </w:tr>
      <w:tr w:rsidR="00EF74C7" w:rsidRPr="002A677E" w14:paraId="0B6009FC" w14:textId="77777777" w:rsidTr="00822842">
        <w:trPr>
          <w:trHeight w:val="416"/>
        </w:trPr>
        <w:tc>
          <w:tcPr>
            <w:tcW w:w="1384" w:type="dxa"/>
          </w:tcPr>
          <w:p w14:paraId="201D2450" w14:textId="77777777" w:rsidR="00EF74C7" w:rsidRPr="002A677E" w:rsidRDefault="00EF74C7" w:rsidP="00822842">
            <w:pPr>
              <w:pStyle w:val="Applicationdirecte"/>
              <w:spacing w:before="60" w:after="0"/>
            </w:pPr>
            <w:r>
              <w:t xml:space="preserve">0010, 0020, 0050, 0060, 0090, 0100, 0140, 0150</w:t>
            </w:r>
          </w:p>
        </w:tc>
        <w:tc>
          <w:tcPr>
            <w:tcW w:w="7655" w:type="dxa"/>
            <w:vAlign w:val="center"/>
          </w:tcPr>
          <w:p w14:paraId="1906C178"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Eroteltu</w:t>
            </w:r>
          </w:p>
          <w:p w14:paraId="3338D91C" w14:textId="77777777" w:rsidR="00EF74C7" w:rsidRPr="002A677E" w:rsidRDefault="00EF74C7" w:rsidP="00822842">
            <w:pPr>
              <w:spacing w:before="60"/>
              <w:rPr>
                <w:rStyle w:val="InstructionsTabelleberschrift"/>
                <w:sz w:val="24"/>
                <w:rFonts w:ascii="Times New Roman" w:hAnsi="Times New Roman"/>
              </w:rPr>
            </w:pPr>
            <w:r>
              <w:rPr>
                <w:sz w:val="24"/>
                <w:rFonts w:ascii="Times New Roman" w:hAnsi="Times New Roman"/>
              </w:rPr>
              <w:t xml:space="preserve">Asetuksen (EU) N:o 575/2013 300 artiklan 1 kohta</w:t>
            </w:r>
          </w:p>
          <w:p w14:paraId="26EDC9B6"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Laitosten on ilmoitettava vakuudet, jotka pidetään asetuksen (EU) N:o 575/2013 300 artiklan 1 kohdassa määritellyllä tavalla konkurssioikeudellisesti erillisinä, eriteltyinä edelleen alku- tai vakuusmarginaalin muodossa oleviin vakuuksiin.</w:t>
            </w:r>
          </w:p>
        </w:tc>
      </w:tr>
      <w:tr w:rsidR="00EF74C7" w:rsidRPr="002A677E" w14:paraId="72806B64" w14:textId="77777777" w:rsidTr="00822842">
        <w:trPr>
          <w:trHeight w:val="680"/>
        </w:trPr>
        <w:tc>
          <w:tcPr>
            <w:tcW w:w="1384" w:type="dxa"/>
          </w:tcPr>
          <w:p w14:paraId="7E6BCB3B" w14:textId="77777777" w:rsidR="00EF74C7" w:rsidRPr="002A677E" w:rsidRDefault="00EF74C7" w:rsidP="00822842">
            <w:pPr>
              <w:pStyle w:val="Applicationdirecte"/>
              <w:spacing w:before="60" w:after="0"/>
            </w:pPr>
            <w:r>
              <w:t xml:space="preserve">0030, 0040, 0070, 0080, 0110, 0120, 0130, 0160, 0170, 0180</w:t>
            </w:r>
            <w:r>
              <w:t xml:space="preserve"> </w:t>
            </w:r>
          </w:p>
        </w:tc>
        <w:tc>
          <w:tcPr>
            <w:tcW w:w="7655" w:type="dxa"/>
          </w:tcPr>
          <w:p w14:paraId="0860899A"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Erottamaton</w:t>
            </w:r>
            <w:r>
              <w:rPr>
                <w:rStyle w:val="InstructionsTabelleberschrift"/>
                <w:sz w:val="24"/>
                <w:rFonts w:ascii="Times New Roman" w:hAnsi="Times New Roman"/>
              </w:rPr>
              <w:t xml:space="preserve"> </w:t>
            </w:r>
          </w:p>
          <w:p w14:paraId="7A8B9376" w14:textId="77777777" w:rsidR="00EF74C7" w:rsidRPr="002A677E" w:rsidRDefault="00EF74C7" w:rsidP="00822842">
            <w:pPr>
              <w:spacing w:before="60"/>
              <w:rPr>
                <w:rStyle w:val="InstructionsTabelleberschrift"/>
                <w:sz w:val="24"/>
                <w:rFonts w:ascii="Times New Roman" w:hAnsi="Times New Roman"/>
              </w:rPr>
            </w:pPr>
            <w:r>
              <w:rPr>
                <w:sz w:val="24"/>
                <w:rFonts w:ascii="Times New Roman" w:hAnsi="Times New Roman"/>
              </w:rPr>
              <w:t xml:space="preserve">Asetuksen (EU) N:o 575/2013 300 artiklan 1 kohta</w:t>
            </w:r>
          </w:p>
          <w:p w14:paraId="57A510C0" w14:textId="77777777" w:rsidR="00EF74C7" w:rsidRPr="002A677E" w:rsidRDefault="00EF74C7" w:rsidP="00822842">
            <w:pPr>
              <w:rPr>
                <w:sz w:val="24"/>
                <w:rFonts w:ascii="Times New Roman" w:hAnsi="Times New Roman"/>
              </w:rPr>
            </w:pPr>
            <w:r>
              <w:rPr>
                <w:sz w:val="24"/>
                <w:rFonts w:ascii="Times New Roman" w:hAnsi="Times New Roman"/>
              </w:rPr>
              <w:t xml:space="preserve">Laitosten on ilmoitettava vakuudet, joita ei pidetä asetuksen (EU) N:o 575/2013 300 artiklan 1 kohdassa määritellyllä tavalla konkurssioikeudellisesti erillisinä, eriteltyinä edelleen alku- tai vakuusmarginaalin muodossa oleviin vakuuksiin ja arvopapereilla toteutettavien rahoitustoimien arvopaperiosaan.</w:t>
            </w:r>
          </w:p>
        </w:tc>
      </w:tr>
      <w:tr w:rsidR="00EF74C7" w:rsidRPr="002A677E" w14:paraId="10122572" w14:textId="77777777" w:rsidTr="00822842">
        <w:trPr>
          <w:trHeight w:val="680"/>
        </w:trPr>
        <w:tc>
          <w:tcPr>
            <w:tcW w:w="1384" w:type="dxa"/>
          </w:tcPr>
          <w:p w14:paraId="43A4CCC5" w14:textId="77777777" w:rsidR="00EF74C7" w:rsidRPr="002A677E" w:rsidRDefault="00EF74C7" w:rsidP="00822842">
            <w:pPr>
              <w:pStyle w:val="Applicationdirecte"/>
              <w:spacing w:before="60" w:after="0"/>
            </w:pPr>
            <w:r>
              <w:t xml:space="preserve">0010, 0030, 0050, 0070, 0090, 0110, 0140, 0160</w:t>
            </w:r>
          </w:p>
        </w:tc>
        <w:tc>
          <w:tcPr>
            <w:tcW w:w="7655" w:type="dxa"/>
            <w:vAlign w:val="center"/>
          </w:tcPr>
          <w:p w14:paraId="24507BB5"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Alkumarginaali</w:t>
            </w:r>
          </w:p>
          <w:p w14:paraId="3EA695F0"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Asetuksen (EU) N:o 575/2013 4 artiklan 1 kohdan 140 alakohta</w:t>
            </w:r>
          </w:p>
          <w:p w14:paraId="17D2E11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Laitosten on ilmoitettava alkumarginaalina (määritelty asetuksen (EU) N:o 575/2013 4 artiklan 1 kohdan 140 alakohdassa) vastaanotetun tai asetetun vakuuden käyvät arvot.</w:t>
            </w:r>
          </w:p>
        </w:tc>
      </w:tr>
      <w:tr w:rsidR="00EF74C7" w:rsidRPr="002A677E" w14:paraId="32DE18A2" w14:textId="77777777" w:rsidTr="00822842">
        <w:trPr>
          <w:trHeight w:val="680"/>
        </w:trPr>
        <w:tc>
          <w:tcPr>
            <w:tcW w:w="1384" w:type="dxa"/>
          </w:tcPr>
          <w:p w14:paraId="23334415" w14:textId="77777777" w:rsidR="00EF74C7" w:rsidRPr="002A677E" w:rsidRDefault="00EF74C7" w:rsidP="00822842">
            <w:pPr>
              <w:pStyle w:val="Applicationdirecte"/>
              <w:spacing w:before="60" w:after="0"/>
            </w:pPr>
            <w:r>
              <w:t xml:space="preserve">0020, 0040, 0060, 0080, 0100, 0120, 0150, 0170</w:t>
            </w:r>
          </w:p>
        </w:tc>
        <w:tc>
          <w:tcPr>
            <w:tcW w:w="7655" w:type="dxa"/>
            <w:vAlign w:val="center"/>
          </w:tcPr>
          <w:p w14:paraId="00C79FEA"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Vakuusmarginaali</w:t>
            </w:r>
          </w:p>
          <w:p w14:paraId="054E9606"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Laitosten on ilmoitettava vakuusmarginaalina vastaanotetun tai asetetun vakuuden käyvät arvot.</w:t>
            </w:r>
          </w:p>
        </w:tc>
      </w:tr>
      <w:tr w:rsidR="00EF74C7" w:rsidRPr="002A677E" w14:paraId="1FB544F3" w14:textId="77777777" w:rsidTr="00822842">
        <w:trPr>
          <w:trHeight w:val="680"/>
        </w:trPr>
        <w:tc>
          <w:tcPr>
            <w:tcW w:w="1384" w:type="dxa"/>
          </w:tcPr>
          <w:p w14:paraId="0D63C386" w14:textId="77777777" w:rsidR="00EF74C7" w:rsidRPr="002A677E" w:rsidRDefault="00EF74C7" w:rsidP="00822842">
            <w:pPr>
              <w:pStyle w:val="Applicationdirecte"/>
              <w:spacing w:before="60" w:after="0"/>
            </w:pPr>
            <w:r>
              <w:t xml:space="preserve">0130, 0180</w:t>
            </w:r>
          </w:p>
        </w:tc>
        <w:tc>
          <w:tcPr>
            <w:tcW w:w="7655" w:type="dxa"/>
            <w:vAlign w:val="center"/>
          </w:tcPr>
          <w:p w14:paraId="47509680"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Arvopapereilla toteuttavan rahoitustoimen arvopaperiosa</w:t>
            </w:r>
            <w:r>
              <w:rPr>
                <w:rStyle w:val="InstructionsTabelleberschrift"/>
                <w:sz w:val="24"/>
                <w:rFonts w:ascii="Times New Roman" w:hAnsi="Times New Roman"/>
              </w:rPr>
              <w:t xml:space="preserve"> </w:t>
            </w:r>
          </w:p>
          <w:p w14:paraId="79AA9223" w14:textId="77777777" w:rsidR="00EF74C7" w:rsidRPr="002A677E" w:rsidRDefault="00EF74C7" w:rsidP="00822842">
            <w:pPr>
              <w:spacing w:before="60"/>
              <w:rPr>
                <w:i/>
                <w:sz w:val="24"/>
                <w:rFonts w:ascii="Times New Roman" w:eastAsia="Calibri" w:hAnsi="Times New Roman"/>
              </w:rPr>
            </w:pPr>
            <w:r>
              <w:rPr>
                <w:sz w:val="24"/>
                <w:rFonts w:ascii="Times New Roman" w:hAnsi="Times New Roman"/>
              </w:rPr>
              <w:t xml:space="preserve">Laitosten on ilmoitettava arvopapereilla toteutettavissa rahoitustoimissa arvopaperin muodossa olevan vakuuden käyvät arvot (sarakkeessa 0130 arvopapereilla toteutettavan rahoitustoimen se arvopaperiosa, joka on vastaanotettu, ja sarakkeessa 0180 se arvopaperiosa, joka on asetettu).</w:t>
            </w:r>
          </w:p>
        </w:tc>
      </w:tr>
    </w:tbl>
    <w:p w14:paraId="0822D80D" w14:textId="77777777" w:rsidR="00EF74C7" w:rsidRPr="002A677E"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1207939" w14:textId="77777777" w:rsidTr="00822842">
        <w:trPr>
          <w:trHeight w:val="238"/>
        </w:trPr>
        <w:tc>
          <w:tcPr>
            <w:tcW w:w="9039" w:type="dxa"/>
            <w:gridSpan w:val="2"/>
            <w:shd w:val="clear" w:color="auto" w:fill="D9D9D9" w:themeFill="background1" w:themeFillShade="D9"/>
          </w:tcPr>
          <w:p w14:paraId="3BC71FEC" w14:textId="77777777" w:rsidR="00EF74C7" w:rsidRPr="002A677E" w:rsidRDefault="00EF74C7" w:rsidP="00822842">
            <w:pPr>
              <w:autoSpaceDE w:val="0"/>
              <w:autoSpaceDN w:val="0"/>
              <w:adjustRightInd w:val="0"/>
              <w:rPr>
                <w:sz w:val="24"/>
                <w:rFonts w:ascii="Times New Roman" w:hAnsi="Times New Roman"/>
              </w:rPr>
            </w:pPr>
            <w:r>
              <w:rPr>
                <w:b/>
                <w:sz w:val="24"/>
                <w:rFonts w:ascii="Times New Roman" w:hAnsi="Times New Roman"/>
              </w:rPr>
              <w:t xml:space="preserve">Rivit</w:t>
            </w:r>
            <w:r>
              <w:rPr>
                <w:b/>
                <w:sz w:val="24"/>
                <w:rFonts w:ascii="Times New Roman" w:hAnsi="Times New Roman"/>
              </w:rPr>
              <w:t xml:space="preserve"> </w:t>
            </w:r>
          </w:p>
        </w:tc>
      </w:tr>
      <w:tr w:rsidR="00EF74C7" w:rsidRPr="002A677E"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Vakuustyyppi</w:t>
            </w:r>
          </w:p>
          <w:p w14:paraId="4B5DD4D2"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Erittely eri vakuustyyppien mukaan</w:t>
            </w:r>
          </w:p>
        </w:tc>
      </w:tr>
    </w:tbl>
    <w:p w14:paraId="2E2AAEC8" w14:textId="77777777" w:rsidR="00EF74C7" w:rsidRPr="002A677E" w:rsidRDefault="00EF74C7" w:rsidP="00EF74C7">
      <w:pPr>
        <w:pStyle w:val="Titlelevel2"/>
        <w:spacing w:before="120" w:after="120"/>
        <w:rPr>
          <w:rFonts w:ascii="Times New Roman" w:hAnsi="Times New Roman" w:cs="Times New Roman"/>
          <w:color w:val="auto"/>
          <w:sz w:val="24"/>
        </w:rPr>
      </w:pPr>
    </w:p>
    <w:p w14:paraId="367FEDD2"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60" w:name="_Toc19715825"/>
      <w:bookmarkStart w:id="61" w:name="_Toc151714465"/>
      <w:r>
        <w:rPr>
          <w:sz w:val="24"/>
          <w:rFonts w:ascii="Times New Roman" w:hAnsi="Times New Roman"/>
        </w:rPr>
        <w:t xml:space="preserve">C 34.09 – Luottojohdannaisvastuut</w:t>
      </w:r>
      <w:bookmarkEnd w:id="60"/>
      <w:bookmarkEnd w:id="61"/>
    </w:p>
    <w:p w14:paraId="64D36FD9"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62" w:name="_Toc19715826"/>
      <w:bookmarkStart w:id="63" w:name="_Toc151714466"/>
      <w:r>
        <w:rPr>
          <w:sz w:val="24"/>
          <w:rFonts w:ascii="Times New Roman" w:hAnsi="Times New Roman"/>
        </w:rPr>
        <w:t xml:space="preserve">Tiettyjä kohtia koskevat ohjeet</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Sarakkeet</w:t>
            </w:r>
            <w:r>
              <w:rPr>
                <w:b/>
                <w:sz w:val="24"/>
                <w:rFonts w:ascii="Times New Roman" w:hAnsi="Times New Roman"/>
              </w:rPr>
              <w:t xml:space="preserve"> </w:t>
            </w:r>
          </w:p>
        </w:tc>
      </w:tr>
      <w:tr w:rsidR="00EF74C7" w:rsidRPr="002A677E"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LUOTTOJOHDANNAISSUOJAUS</w:t>
            </w:r>
          </w:p>
          <w:p w14:paraId="7A5AD5A8" w14:textId="77777777" w:rsidR="00EF74C7" w:rsidRPr="002A677E" w:rsidRDefault="00EF74C7" w:rsidP="00822842">
            <w:pPr>
              <w:autoSpaceDE w:val="0"/>
              <w:autoSpaceDN w:val="0"/>
              <w:adjustRightInd w:val="0"/>
              <w:spacing w:before="60"/>
              <w:rPr>
                <w:b/>
                <w:sz w:val="24"/>
                <w:rFonts w:ascii="Times New Roman" w:hAnsi="Times New Roman"/>
              </w:rPr>
            </w:pPr>
            <w:r>
              <w:rPr>
                <w:sz w:val="24"/>
                <w:rFonts w:ascii="Times New Roman" w:hAnsi="Times New Roman"/>
              </w:rPr>
              <w:t xml:space="preserve">Ostettu tai myyty luottojohdannaissuojaus.</w:t>
            </w:r>
          </w:p>
        </w:tc>
      </w:tr>
      <w:tr w:rsidR="00EF74C7" w:rsidRPr="002A677E"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NIMELLISMÄÄRÄT</w:t>
            </w:r>
            <w:r>
              <w:rPr>
                <w:rStyle w:val="InstructionsTabelleberschrift"/>
                <w:sz w:val="24"/>
                <w:rFonts w:ascii="Times New Roman" w:hAnsi="Times New Roman"/>
              </w:rPr>
              <w:t xml:space="preserve"> </w:t>
            </w:r>
          </w:p>
          <w:p w14:paraId="10378DBE" w14:textId="77777777" w:rsidR="00EF74C7" w:rsidRPr="002A677E" w:rsidRDefault="00EF74C7" w:rsidP="00822842">
            <w:pPr>
              <w:autoSpaceDE w:val="0"/>
              <w:autoSpaceDN w:val="0"/>
              <w:adjustRightInd w:val="0"/>
              <w:spacing w:before="60"/>
              <w:rPr>
                <w:i/>
                <w:sz w:val="24"/>
                <w:rFonts w:ascii="Times New Roman" w:hAnsi="Times New Roman"/>
              </w:rPr>
            </w:pPr>
            <w:r>
              <w:rPr>
                <w:sz w:val="24"/>
                <w:rFonts w:ascii="Times New Roman" w:hAnsi="Times New Roman"/>
              </w:rPr>
              <w:t xml:space="preserve">Johdannaisten nimellismäärien summa ennen nettoutusta tuotetyypeittäin eriteltynä.</w:t>
            </w:r>
          </w:p>
        </w:tc>
      </w:tr>
      <w:tr w:rsidR="00EF74C7" w:rsidRPr="002A677E"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2A677E" w:rsidRDefault="00EF74C7" w:rsidP="00822842">
            <w:pPr>
              <w:autoSpaceDE w:val="0"/>
              <w:autoSpaceDN w:val="0"/>
              <w:adjustRightInd w:val="0"/>
              <w:spacing w:before="60"/>
              <w:rPr>
                <w:rStyle w:val="InstructionsTabelleberschrift"/>
                <w:sz w:val="24"/>
                <w:rFonts w:ascii="Times New Roman" w:hAnsi="Times New Roman"/>
              </w:rPr>
            </w:pPr>
            <w:r>
              <w:rPr>
                <w:rStyle w:val="InstructionsTabelleberschrift"/>
                <w:sz w:val="24"/>
                <w:rFonts w:ascii="Times New Roman" w:hAnsi="Times New Roman"/>
              </w:rPr>
              <w:t xml:space="preserve">KÄYVÄT ARVOT</w:t>
            </w:r>
          </w:p>
          <w:p w14:paraId="3C50834E" w14:textId="77777777" w:rsidR="00EF74C7" w:rsidRPr="002A677E" w:rsidRDefault="00EF74C7" w:rsidP="00822842">
            <w:pPr>
              <w:autoSpaceDE w:val="0"/>
              <w:autoSpaceDN w:val="0"/>
              <w:adjustRightInd w:val="0"/>
              <w:spacing w:before="60"/>
              <w:rPr>
                <w:i/>
                <w:sz w:val="24"/>
                <w:rFonts w:ascii="Times New Roman" w:hAnsi="Times New Roman"/>
              </w:rPr>
            </w:pPr>
            <w:r>
              <w:rPr>
                <w:sz w:val="24"/>
                <w:rFonts w:ascii="Times New Roman" w:hAnsi="Times New Roman"/>
              </w:rPr>
              <w:t xml:space="preserve">Käypien arvojen summa eriteltynä ostetun ja myydyn suojauksen mukaan.</w:t>
            </w:r>
            <w:r>
              <w:rPr>
                <w:sz w:val="24"/>
                <w:rFonts w:ascii="Times New Roman" w:hAnsi="Times New Roman"/>
              </w:rPr>
              <w:t xml:space="preserve"> </w:t>
            </w:r>
          </w:p>
        </w:tc>
      </w:tr>
    </w:tbl>
    <w:p w14:paraId="1E39E61C" w14:textId="77777777" w:rsidR="00EF74C7" w:rsidRPr="002A677E"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0B4D4225" w14:textId="77777777" w:rsidTr="00822842">
        <w:trPr>
          <w:trHeight w:val="238"/>
        </w:trPr>
        <w:tc>
          <w:tcPr>
            <w:tcW w:w="9039" w:type="dxa"/>
            <w:gridSpan w:val="2"/>
            <w:shd w:val="clear" w:color="auto" w:fill="D9D9D9" w:themeFill="background1" w:themeFillShade="D9"/>
          </w:tcPr>
          <w:p w14:paraId="2E3D936B" w14:textId="77777777" w:rsidR="00EF74C7" w:rsidRPr="002A677E" w:rsidRDefault="00EF74C7" w:rsidP="00822842">
            <w:pPr>
              <w:autoSpaceDE w:val="0"/>
              <w:autoSpaceDN w:val="0"/>
              <w:adjustRightInd w:val="0"/>
              <w:rPr>
                <w:sz w:val="24"/>
                <w:rFonts w:ascii="Times New Roman" w:hAnsi="Times New Roman"/>
              </w:rPr>
            </w:pPr>
            <w:r>
              <w:rPr>
                <w:b/>
                <w:sz w:val="24"/>
                <w:rFonts w:ascii="Times New Roman" w:hAnsi="Times New Roman"/>
              </w:rPr>
              <w:t xml:space="preserve">Rivit</w:t>
            </w:r>
            <w:r>
              <w:rPr>
                <w:b/>
                <w:sz w:val="24"/>
                <w:rFonts w:ascii="Times New Roman" w:hAnsi="Times New Roman"/>
              </w:rPr>
              <w:t xml:space="preserve"> </w:t>
            </w:r>
          </w:p>
        </w:tc>
      </w:tr>
      <w:tr w:rsidR="00EF74C7" w:rsidRPr="002A677E"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Tuotetyyppi</w:t>
            </w:r>
          </w:p>
          <w:p w14:paraId="6C2C37AC"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Luottojohdannaisten tuotetyyppien jaottelu.</w:t>
            </w:r>
          </w:p>
        </w:tc>
      </w:tr>
      <w:tr w:rsidR="00EF74C7" w:rsidRPr="002A677E"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Yhteensä</w:t>
            </w:r>
          </w:p>
          <w:p w14:paraId="6166DDC1" w14:textId="77777777" w:rsidR="00EF74C7" w:rsidRPr="002A677E" w:rsidRDefault="00EF74C7" w:rsidP="00822842">
            <w:pPr>
              <w:autoSpaceDE w:val="0"/>
              <w:autoSpaceDN w:val="0"/>
              <w:adjustRightInd w:val="0"/>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Kaikkien tuotetyyppien summa</w:t>
            </w:r>
          </w:p>
        </w:tc>
      </w:tr>
      <w:tr w:rsidR="00EF74C7" w:rsidRPr="002A677E"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Käyvät arvot</w:t>
            </w:r>
          </w:p>
          <w:p w14:paraId="69350AE6" w14:textId="77777777" w:rsidR="00EF74C7" w:rsidRPr="002A677E" w:rsidRDefault="00EF74C7" w:rsidP="00822842">
            <w:pPr>
              <w:autoSpaceDE w:val="0"/>
              <w:autoSpaceDN w:val="0"/>
              <w:adjustRightInd w:val="0"/>
              <w:rPr>
                <w:bCs/>
                <w:sz w:val="24"/>
                <w:rFonts w:ascii="Times New Roman" w:hAnsi="Times New Roman"/>
              </w:rPr>
            </w:pPr>
            <w:r>
              <w:rPr>
                <w:sz w:val="24"/>
                <w:rFonts w:ascii="Times New Roman" w:hAnsi="Times New Roman"/>
              </w:rPr>
              <w:t xml:space="preserve">Käyvät arvot eriteltyinä tuotetyypin, varojen (positiiviset käyvät arvot) ja velkojen (negatiiviset käyvät arvot) mukaan</w:t>
            </w:r>
          </w:p>
        </w:tc>
      </w:tr>
    </w:tbl>
    <w:p w14:paraId="3EEB26BA" w14:textId="77777777" w:rsidR="00EF74C7" w:rsidRPr="002A677E"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64" w:name="_Toc19715827"/>
      <w:bookmarkStart w:id="65" w:name="_Toc151714467"/>
      <w:r>
        <w:rPr>
          <w:sz w:val="24"/>
          <w:rFonts w:ascii="Times New Roman" w:hAnsi="Times New Roman"/>
        </w:rPr>
        <w:t xml:space="preserve">C 34.10 – Keskusvastapuoliin liittyvät vastuut</w:t>
      </w:r>
      <w:bookmarkEnd w:id="64"/>
      <w:bookmarkEnd w:id="65"/>
    </w:p>
    <w:p w14:paraId="61966719"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66" w:name="_Toc19715828"/>
      <w:bookmarkStart w:id="67" w:name="_Toc151714468"/>
      <w:r>
        <w:rPr>
          <w:sz w:val="24"/>
          <w:rFonts w:ascii="Times New Roman" w:hAnsi="Times New Roman"/>
        </w:rPr>
        <w:t xml:space="preserve">Yleiset huomautukset</w:t>
      </w:r>
      <w:bookmarkEnd w:id="66"/>
      <w:bookmarkEnd w:id="67"/>
    </w:p>
    <w:p w14:paraId="61FE0E56" w14:textId="36BE8166"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132</w:t>
      </w:r>
      <w:r>
        <w:fldChar w:fldCharType="end"/>
      </w:r>
      <w:r>
        <w:t xml:space="preserve">.</w:t>
      </w:r>
      <w:r>
        <w:t xml:space="preserve"> </w:t>
      </w:r>
      <w:r>
        <w:t xml:space="preserve">Laitosten on ilmoitettava tiedot vastuista, jotka liittyvät keskusvastapuoliin, eli asetuksen (EU) N:o 575/2013 301 artiklan 1 kohdassa lueteltuihin sopimuksiin ja liiketoimiin niin kauan kuin niitä ei ole vielä selvitetty keskusvastapuolen kanssa, ja kyseisen asetuksen 300 artiklan 2 kohdan mukaisista keskusvastapuoliin liittyvistä liiketoimista aiheutuvista vastuista, joiden osalta omien varojen vaatimukset lasketaan kyseisen asetuksen kolmannen osan II osaston 6 luvun 9 jakson mukaisesti.</w:t>
      </w:r>
      <w:r>
        <w:t xml:space="preserve"> </w:t>
      </w:r>
    </w:p>
    <w:p w14:paraId="6A78D46D"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68" w:name="_Toc19715829"/>
      <w:bookmarkStart w:id="69" w:name="_Toc151714469"/>
      <w:r>
        <w:rPr>
          <w:sz w:val="24"/>
          <w:rFonts w:ascii="Times New Roman" w:hAnsi="Times New Roman"/>
        </w:rPr>
        <w:t xml:space="preserve">Tiettyjä kohtia koskevat ohjeet</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Sarakkeet</w:t>
            </w:r>
            <w:r>
              <w:rPr>
                <w:b/>
                <w:sz w:val="24"/>
                <w:rFonts w:ascii="Times New Roman" w:hAnsi="Times New Roman"/>
              </w:rPr>
              <w:t xml:space="preserve"> </w:t>
            </w:r>
          </w:p>
        </w:tc>
      </w:tr>
      <w:tr w:rsidR="00EF74C7" w:rsidRPr="002A677E" w14:paraId="124AAA9B" w14:textId="77777777" w:rsidTr="00822842">
        <w:trPr>
          <w:trHeight w:val="680"/>
        </w:trPr>
        <w:tc>
          <w:tcPr>
            <w:tcW w:w="1384" w:type="dxa"/>
          </w:tcPr>
          <w:p w14:paraId="011E66AA" w14:textId="77777777" w:rsidR="00EF74C7" w:rsidRPr="002A677E" w:rsidRDefault="00EF74C7" w:rsidP="00822842">
            <w:pPr>
              <w:pStyle w:val="Applicationdirecte"/>
              <w:spacing w:before="0" w:after="0"/>
            </w:pPr>
            <w:r>
              <w:t xml:space="preserve">0010</w:t>
            </w:r>
          </w:p>
        </w:tc>
        <w:tc>
          <w:tcPr>
            <w:tcW w:w="7655" w:type="dxa"/>
            <w:vAlign w:val="center"/>
          </w:tcPr>
          <w:p w14:paraId="06553A7D"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VASTUUARVO</w:t>
            </w:r>
            <w:r>
              <w:rPr>
                <w:rStyle w:val="InstructionsTabelleberschrift"/>
                <w:sz w:val="24"/>
                <w:rFonts w:ascii="Times New Roman" w:hAnsi="Times New Roman"/>
              </w:rPr>
              <w:t xml:space="preserve"> </w:t>
            </w:r>
          </w:p>
          <w:p w14:paraId="0EB17FC4"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Tässä tarkoitetaan asetuksen (EU) N:o 575/2013 kolmannen osan II osaston 6 luvun 9 jakson soveltamisalaan kuuluvien liiketoimien vastuuarvoa, joka lasketaan kyseisessä luvussa ja erityisesti sen 9 jaksossa säädettyjen menetelmien mukaisesti.</w:t>
            </w:r>
          </w:p>
          <w:p w14:paraId="4A7F4393"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Ilmoitettava vastuuarvo on määrä, jolla on merkitystä asetuksen (EU) N:o 575/2013 kolmannen osan II osaston 6 luvun 9 jakson mukaisessa omien varojen vaatimusten laskennassa, kun otetaan huomioon mainitun asetuksen 497 artiklan vaatimukset kyseisessä artiklassa säädetyn siirtymäkauden aikana.</w:t>
            </w:r>
          </w:p>
          <w:p w14:paraId="0F502FE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Vastuu voi olla asetuksen (EU) N:o 575/2013 4 artiklan 1 kohdan 91 alakohdassa määritelty kaupankäyntivastuu.</w:t>
            </w:r>
          </w:p>
        </w:tc>
      </w:tr>
      <w:tr w:rsidR="00EF74C7" w:rsidRPr="002A677E" w14:paraId="774930E7" w14:textId="77777777" w:rsidTr="00822842">
        <w:trPr>
          <w:trHeight w:val="680"/>
        </w:trPr>
        <w:tc>
          <w:tcPr>
            <w:tcW w:w="1384" w:type="dxa"/>
          </w:tcPr>
          <w:p w14:paraId="557FAF2F" w14:textId="77777777" w:rsidR="00EF74C7" w:rsidRPr="002A677E" w:rsidRDefault="00EF74C7" w:rsidP="00822842">
            <w:pPr>
              <w:pStyle w:val="Applicationdirecte"/>
              <w:spacing w:before="0" w:after="0"/>
            </w:pPr>
            <w:r>
              <w:t xml:space="preserve">0020</w:t>
            </w:r>
          </w:p>
        </w:tc>
        <w:tc>
          <w:tcPr>
            <w:tcW w:w="7655" w:type="dxa"/>
            <w:vAlign w:val="center"/>
          </w:tcPr>
          <w:p w14:paraId="1E7084BA" w14:textId="77777777" w:rsidR="00EF74C7" w:rsidRPr="002A677E" w:rsidRDefault="00EF74C7" w:rsidP="00822842">
            <w:pPr>
              <w:keepNext/>
              <w:tabs>
                <w:tab w:val="left" w:pos="6983"/>
              </w:tabs>
              <w:spacing w:before="60"/>
              <w:rPr>
                <w:rStyle w:val="InstructionsTabelleberschrift"/>
                <w:sz w:val="24"/>
                <w:rFonts w:ascii="Times New Roman" w:hAnsi="Times New Roman"/>
              </w:rPr>
            </w:pPr>
            <w:r>
              <w:rPr>
                <w:rStyle w:val="InstructionsTabelleberschrift"/>
                <w:sz w:val="24"/>
                <w:rFonts w:ascii="Times New Roman" w:hAnsi="Times New Roman"/>
              </w:rPr>
              <w:t xml:space="preserve">RISKIPAINOTETUT VASTUUERÄT</w:t>
            </w:r>
          </w:p>
          <w:p w14:paraId="5DA0A790"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Tässä tarkoitetaan riskipainotettuja vastuueriä, jotka on määritetty asetuksen (EU) N:o 575/2013 kolmannen osan II osaston 6 luvun 9 jakson mukaisesti ottaen huomioon mainitun asetuksen 497 artiklan vaatimukset kyseisessä artiklassa säädetyn siirtymäkauden aikana.</w:t>
            </w:r>
          </w:p>
        </w:tc>
      </w:tr>
    </w:tbl>
    <w:p w14:paraId="4DE5F5D8" w14:textId="77777777" w:rsidR="00EF74C7" w:rsidRPr="002A677E"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AE86182" w14:textId="77777777" w:rsidTr="00822842">
        <w:trPr>
          <w:trHeight w:val="238"/>
        </w:trPr>
        <w:tc>
          <w:tcPr>
            <w:tcW w:w="9039" w:type="dxa"/>
            <w:gridSpan w:val="2"/>
            <w:shd w:val="clear" w:color="auto" w:fill="D9D9D9" w:themeFill="background1" w:themeFillShade="D9"/>
          </w:tcPr>
          <w:p w14:paraId="0A1536EA" w14:textId="77777777" w:rsidR="00EF74C7" w:rsidRPr="002A677E" w:rsidRDefault="00EF74C7" w:rsidP="00822842">
            <w:pPr>
              <w:autoSpaceDE w:val="0"/>
              <w:autoSpaceDN w:val="0"/>
              <w:adjustRightInd w:val="0"/>
              <w:rPr>
                <w:sz w:val="24"/>
                <w:rFonts w:ascii="Times New Roman" w:hAnsi="Times New Roman"/>
              </w:rPr>
            </w:pPr>
            <w:r>
              <w:rPr>
                <w:b/>
                <w:sz w:val="24"/>
                <w:rFonts w:ascii="Times New Roman" w:hAnsi="Times New Roman"/>
              </w:rPr>
              <w:t xml:space="preserve">Rivit</w:t>
            </w:r>
            <w:r>
              <w:rPr>
                <w:b/>
                <w:sz w:val="24"/>
                <w:rFonts w:ascii="Times New Roman" w:hAnsi="Times New Roman"/>
              </w:rPr>
              <w:t xml:space="preserve"> </w:t>
            </w:r>
          </w:p>
        </w:tc>
      </w:tr>
      <w:tr w:rsidR="00EF74C7" w:rsidRPr="002A677E" w14:paraId="2D4AF3E6" w14:textId="77777777" w:rsidTr="00822842">
        <w:trPr>
          <w:trHeight w:val="680"/>
        </w:trPr>
        <w:tc>
          <w:tcPr>
            <w:tcW w:w="1384" w:type="dxa"/>
          </w:tcPr>
          <w:p w14:paraId="6FF1A266" w14:textId="77777777" w:rsidR="00EF74C7" w:rsidRPr="002A677E" w:rsidRDefault="00EF74C7" w:rsidP="00822842">
            <w:pPr>
              <w:pStyle w:val="Applicationdirecte"/>
              <w:spacing w:before="0" w:after="0"/>
            </w:pPr>
            <w:r>
              <w:t xml:space="preserve">0010-0100</w:t>
            </w:r>
          </w:p>
        </w:tc>
        <w:tc>
          <w:tcPr>
            <w:tcW w:w="7655" w:type="dxa"/>
            <w:vAlign w:val="center"/>
          </w:tcPr>
          <w:p w14:paraId="23F00BBB" w14:textId="77777777" w:rsidR="00EF74C7" w:rsidRPr="002A677E" w:rsidRDefault="00EF74C7" w:rsidP="00822842">
            <w:pPr>
              <w:spacing w:beforeLines="60" w:before="144" w:afterLines="60" w:after="144"/>
              <w:rPr>
                <w:sz w:val="24"/>
                <w:rFonts w:ascii="Times New Roman" w:hAnsi="Times New Roman"/>
              </w:rPr>
            </w:pPr>
            <w:r>
              <w:rPr>
                <w:sz w:val="24"/>
                <w:rStyle w:val="InstructionsTabelleberschrift"/>
                <w:rFonts w:ascii="Times New Roman" w:hAnsi="Times New Roman"/>
              </w:rPr>
              <w:t xml:space="preserve">Ehdot täyttävä keskusvastapuoli (QCCP)</w:t>
            </w:r>
            <w:r>
              <w:rPr>
                <w:sz w:val="24"/>
                <w:rFonts w:ascii="Times New Roman" w:hAnsi="Times New Roman"/>
              </w:rPr>
              <w:t xml:space="preserve"> </w:t>
            </w:r>
          </w:p>
          <w:p w14:paraId="4AFED555"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Tässä tarkoitetaan asetuksen (EU) N:o 575/2013 4 artiklan 1 kohdan 88 alakohdassa määriteltyä ehdot täyttävää keskusvastapuolta.</w:t>
            </w:r>
            <w:r>
              <w:rPr>
                <w:sz w:val="24"/>
                <w:rFonts w:ascii="Times New Roman" w:hAnsi="Times New Roman"/>
              </w:rPr>
              <w:t xml:space="preserve"> </w:t>
            </w:r>
          </w:p>
        </w:tc>
      </w:tr>
      <w:tr w:rsidR="00EF74C7" w:rsidRPr="002A677E" w14:paraId="4EE07156" w14:textId="77777777" w:rsidTr="00822842">
        <w:trPr>
          <w:trHeight w:val="680"/>
        </w:trPr>
        <w:tc>
          <w:tcPr>
            <w:tcW w:w="1384" w:type="dxa"/>
          </w:tcPr>
          <w:p w14:paraId="2F7B861D" w14:textId="77777777" w:rsidR="00EF74C7" w:rsidRPr="002A677E" w:rsidRDefault="00EF74C7" w:rsidP="00822842">
            <w:pPr>
              <w:pStyle w:val="Applicationdirecte"/>
              <w:spacing w:before="0" w:after="0"/>
            </w:pPr>
            <w:r>
              <w:t xml:space="preserve">0070, 0080</w:t>
            </w:r>
          </w:p>
          <w:p w14:paraId="30D4CBEC" w14:textId="77777777" w:rsidR="00EF74C7" w:rsidRPr="002A677E" w:rsidRDefault="00EF74C7" w:rsidP="00822842">
            <w:pPr>
              <w:pStyle w:val="Fait"/>
            </w:pPr>
            <w:r>
              <w:t xml:space="preserve">0170, 0180</w:t>
            </w:r>
          </w:p>
        </w:tc>
        <w:tc>
          <w:tcPr>
            <w:tcW w:w="7655" w:type="dxa"/>
            <w:vAlign w:val="center"/>
          </w:tcPr>
          <w:p w14:paraId="6E9FD7DA" w14:textId="77777777" w:rsidR="00EF74C7" w:rsidRPr="002A677E" w:rsidRDefault="00EF74C7" w:rsidP="00822842">
            <w:pPr>
              <w:keepNext/>
              <w:spacing w:before="60"/>
              <w:rPr>
                <w:rStyle w:val="InstructionsTabelleberschrift"/>
                <w:b w:val="0"/>
                <w:sz w:val="24"/>
                <w:rFonts w:ascii="Times New Roman" w:hAnsi="Times New Roman"/>
              </w:rPr>
            </w:pPr>
            <w:r>
              <w:rPr>
                <w:rStyle w:val="InstructionsTabelleberschrift"/>
                <w:sz w:val="24"/>
                <w:rFonts w:ascii="Times New Roman" w:hAnsi="Times New Roman"/>
              </w:rPr>
              <w:t xml:space="preserve">Alkumarginaali</w:t>
            </w:r>
          </w:p>
          <w:p w14:paraId="0528AC1A"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Ks. lomaketta C 34.08 koskevat ohjeet.</w:t>
            </w:r>
          </w:p>
          <w:p w14:paraId="045F1620" w14:textId="77777777" w:rsidR="00EF74C7" w:rsidRPr="002A677E" w:rsidRDefault="00EF74C7" w:rsidP="00822842">
            <w:pPr>
              <w:keepNext/>
              <w:spacing w:before="60"/>
              <w:rPr>
                <w:i/>
                <w:sz w:val="24"/>
                <w:rFonts w:ascii="Times New Roman" w:hAnsi="Times New Roman"/>
              </w:rPr>
            </w:pPr>
            <w:r>
              <w:rPr>
                <w:sz w:val="24"/>
                <w:rFonts w:ascii="Times New Roman" w:hAnsi="Times New Roman"/>
              </w:rPr>
              <w:t xml:space="preserve">Tässä lomakkeessa alkumarginaali ei sisällä osuuksia, jotka maksetaan keskusvastapuolelle keskinäisiä tappionjakojärjestelyjä varten (jos keskusvastapuoli käyttää alkumarginaalia tappioiden jakamiseen määritysosapuolten kesken, sitä on käsiteltävä maksukyvyttömyysrahastoon liittyvänä vastuuna).</w:t>
            </w:r>
            <w:r>
              <w:rPr>
                <w:sz w:val="24"/>
                <w:rFonts w:ascii="Times New Roman" w:hAnsi="Times New Roman"/>
              </w:rPr>
              <w:t xml:space="preserve"> </w:t>
            </w:r>
          </w:p>
        </w:tc>
      </w:tr>
      <w:tr w:rsidR="00EF74C7" w:rsidRPr="002A677E" w14:paraId="678BD1FD" w14:textId="77777777" w:rsidTr="00822842">
        <w:trPr>
          <w:trHeight w:val="680"/>
        </w:trPr>
        <w:tc>
          <w:tcPr>
            <w:tcW w:w="1384" w:type="dxa"/>
          </w:tcPr>
          <w:p w14:paraId="1368D46D" w14:textId="77777777" w:rsidR="00EF74C7" w:rsidRPr="002A677E" w:rsidRDefault="00EF74C7" w:rsidP="00822842">
            <w:pPr>
              <w:pStyle w:val="Applicationdirecte"/>
              <w:spacing w:before="0" w:after="0"/>
            </w:pPr>
            <w:r>
              <w:t xml:space="preserve">0090, 0190</w:t>
            </w:r>
          </w:p>
        </w:tc>
        <w:tc>
          <w:tcPr>
            <w:tcW w:w="7655" w:type="dxa"/>
            <w:vAlign w:val="center"/>
          </w:tcPr>
          <w:p w14:paraId="37AA0774"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Maksukyvyttömyysrahastoon ennakkoon rahastoidut osuudet</w:t>
            </w:r>
          </w:p>
          <w:p w14:paraId="10ECCD47"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Asetuksen (EU) N:o 575/2013 308 ja 309 artikla; asetuksen (EU) N:o 575/2013 4 artiklan 1 kohdan 89 alakohdassa määritelty maksukyvyttömyysrahasto; laitoksen maksama osuus keskusvastapuolen maksukyvyttömyysrahastoon</w:t>
            </w:r>
          </w:p>
        </w:tc>
      </w:tr>
      <w:tr w:rsidR="00EF74C7" w:rsidRPr="002A677E" w14:paraId="7BD4821D" w14:textId="77777777" w:rsidTr="00822842">
        <w:trPr>
          <w:trHeight w:val="680"/>
        </w:trPr>
        <w:tc>
          <w:tcPr>
            <w:tcW w:w="1384" w:type="dxa"/>
          </w:tcPr>
          <w:p w14:paraId="7A03D5C3" w14:textId="77777777" w:rsidR="00EF74C7" w:rsidRPr="002A677E" w:rsidRDefault="00EF74C7" w:rsidP="00822842">
            <w:pPr>
              <w:pStyle w:val="Applicationdirecte"/>
              <w:spacing w:before="0" w:after="0"/>
            </w:pPr>
            <w:r>
              <w:t xml:space="preserve">0100, 0200</w:t>
            </w:r>
          </w:p>
        </w:tc>
        <w:tc>
          <w:tcPr>
            <w:tcW w:w="7655" w:type="dxa"/>
            <w:vAlign w:val="center"/>
          </w:tcPr>
          <w:p w14:paraId="002C878A"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Maksukyvyttömyysrahastoon rahastoimattomat osuudet</w:t>
            </w:r>
          </w:p>
          <w:p w14:paraId="4758699C" w14:textId="77777777" w:rsidR="00EF74C7" w:rsidRPr="002A677E" w:rsidRDefault="00EF74C7" w:rsidP="00822842">
            <w:pPr>
              <w:keepNext/>
              <w:spacing w:before="60"/>
              <w:rPr>
                <w:rStyle w:val="InstructionsTabelleberschrift"/>
                <w:b w:val="0"/>
                <w:bCs w:val="0"/>
                <w:sz w:val="24"/>
                <w:rFonts w:ascii="Times New Roman" w:hAnsi="Times New Roman"/>
              </w:rPr>
            </w:pPr>
            <w:r>
              <w:rPr>
                <w:sz w:val="24"/>
                <w:rFonts w:ascii="Times New Roman" w:hAnsi="Times New Roman"/>
              </w:rPr>
              <w:t xml:space="preserve">Asetuksen (EU) N:o 575/2013 309 ja 310 artikla; asetuksen (EU) N:o 575/2013 4 artiklan 1 kohdan 89 alakohdassa määritelty maksukyvyttömyysrahasto</w:t>
            </w:r>
          </w:p>
          <w:p w14:paraId="25D8738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Laitosten on ilmoitettava osuudet, jotka määritysosapuolena toimiva laitos on sopimusperusteisesti sitoutunut toimittamaan keskusvastapuolelle sen jälkeen, kun keskusvastapuoli on käyttänyt maksukyvyttömyysrahastonsa varat kattamaan tappiot, joita sille on aiheutunut yhden tai useamman määritysosapuolensa maksukyvyttömyydestä.</w:t>
            </w:r>
          </w:p>
        </w:tc>
      </w:tr>
      <w:tr w:rsidR="00EF74C7" w:rsidRPr="002A677E" w14:paraId="7623E425" w14:textId="77777777" w:rsidTr="00822842">
        <w:trPr>
          <w:trHeight w:val="680"/>
        </w:trPr>
        <w:tc>
          <w:tcPr>
            <w:tcW w:w="1384" w:type="dxa"/>
          </w:tcPr>
          <w:p w14:paraId="229099B5" w14:textId="77777777" w:rsidR="00EF74C7" w:rsidRPr="002A677E" w:rsidRDefault="00EF74C7" w:rsidP="00822842">
            <w:pPr>
              <w:pStyle w:val="Applicationdirecte"/>
              <w:spacing w:before="0" w:after="0"/>
            </w:pPr>
            <w:r>
              <w:t xml:space="preserve">0070, 0170</w:t>
            </w:r>
          </w:p>
        </w:tc>
        <w:tc>
          <w:tcPr>
            <w:tcW w:w="7655" w:type="dxa"/>
            <w:vAlign w:val="center"/>
          </w:tcPr>
          <w:p w14:paraId="2065824F"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Eroteltu</w:t>
            </w:r>
          </w:p>
          <w:p w14:paraId="7144C419"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Ks. lomaketta C 34.08 koskevat ohjeet.</w:t>
            </w:r>
          </w:p>
        </w:tc>
      </w:tr>
      <w:tr w:rsidR="00EF74C7" w:rsidRPr="002A677E" w14:paraId="26D915DB" w14:textId="77777777" w:rsidTr="00822842">
        <w:trPr>
          <w:trHeight w:val="680"/>
        </w:trPr>
        <w:tc>
          <w:tcPr>
            <w:tcW w:w="1384" w:type="dxa"/>
          </w:tcPr>
          <w:p w14:paraId="59F46364" w14:textId="77777777" w:rsidR="00EF74C7" w:rsidRPr="002A677E" w:rsidRDefault="00EF74C7" w:rsidP="00822842">
            <w:pPr>
              <w:pStyle w:val="Applicationdirecte"/>
              <w:spacing w:before="0" w:after="0"/>
            </w:pPr>
            <w:r>
              <w:t xml:space="preserve">0080, 0180</w:t>
            </w:r>
          </w:p>
        </w:tc>
        <w:tc>
          <w:tcPr>
            <w:tcW w:w="7655" w:type="dxa"/>
            <w:vAlign w:val="center"/>
          </w:tcPr>
          <w:p w14:paraId="0F95C83A"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Erottamaton</w:t>
            </w:r>
          </w:p>
          <w:p w14:paraId="002F04D5"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Ks. lomaketta C 34.08 koskevat ohjeet.</w:t>
            </w:r>
          </w:p>
        </w:tc>
      </w:tr>
    </w:tbl>
    <w:p w14:paraId="7128280E"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70" w:name="_Toc19715830"/>
      <w:bookmarkStart w:id="71" w:name="_Toc151714470"/>
      <w:r>
        <w:rPr>
          <w:sz w:val="24"/>
          <w:rFonts w:ascii="Times New Roman" w:hAnsi="Times New Roman"/>
        </w:rPr>
        <w:t xml:space="preserve">C 34.11 – Vastapuoliriskivastuiden riskipainotettujen vastuuerien (RWEA) yhteismäärän virtalaskelmat sisäisen mallin menetelmän mukaisesti</w:t>
      </w:r>
      <w:bookmarkEnd w:id="70"/>
      <w:bookmarkEnd w:id="71"/>
    </w:p>
    <w:p w14:paraId="2C95A3D6"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72" w:name="_Toc19715831"/>
      <w:bookmarkStart w:id="73" w:name="_Toc151714471"/>
      <w:r>
        <w:rPr>
          <w:sz w:val="24"/>
          <w:rFonts w:ascii="Times New Roman" w:hAnsi="Times New Roman"/>
        </w:rPr>
        <w:t xml:space="preserve">Yleiset huomautukset</w:t>
      </w:r>
      <w:bookmarkEnd w:id="72"/>
      <w:bookmarkEnd w:id="73"/>
    </w:p>
    <w:p w14:paraId="03BB213D" w14:textId="647FCB93"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133</w:t>
      </w:r>
      <w:r>
        <w:fldChar w:fldCharType="end"/>
      </w:r>
      <w:r>
        <w:t xml:space="preserve">.</w:t>
      </w:r>
      <w:r>
        <w:t xml:space="preserve"> </w:t>
      </w:r>
      <w:r>
        <w:t xml:space="preserve">Laitosten, jotka käyttävät sisäisen mallin menetelmää laskeakseen riskipainotettujen vastuuerien yhteismäärän kaikille vastapuoliriskivastuilleen tai osalle niistä asetuksen (EU) N:o 575/2013 kolmannen osan II osaston 6 luvun mukaisesti riippumatta luottoriskimenetelmästä, jota käytetään vastaavien riskipainojen määrittämiseen, on toimitettava tämä lomake yhdessä virtalaskelman kanssa, jossa selitetään sisäisen mallin menetelmän soveltamisalaan kuuluvien johdannaisten ja arvopapereilla toteutettavien rahoitustoimien riskipainotettujen vastuuerien yhteismäärän muutokset eriteltyinä keskeisten tekijöiden mukaan ja kohtuullisten arvioiden perusteella.</w:t>
      </w:r>
    </w:p>
    <w:p w14:paraId="3CF6C221" w14:textId="3050BF14"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134</w:t>
      </w:r>
      <w:r>
        <w:fldChar w:fldCharType="end"/>
      </w:r>
      <w:r>
        <w:t xml:space="preserve">.</w:t>
      </w:r>
      <w:r>
        <w:t xml:space="preserve"> </w:t>
      </w:r>
      <w:r>
        <w:t xml:space="preserve">Laitosten, joiden on toimitettava tämä lomake neljännesvuosittain, on täytettävä ainoastaan sarake 0010.</w:t>
      </w:r>
      <w:r>
        <w:t xml:space="preserve"> </w:t>
      </w:r>
      <w:r>
        <w:t xml:space="preserve">Laitosten, joiden on toimitettava tämä lomake vuosittain, on täytettävä ainoastaan sarake 0020.</w:t>
      </w:r>
      <w:r>
        <w:t xml:space="preserve"> </w:t>
      </w:r>
    </w:p>
    <w:p w14:paraId="618242D4" w14:textId="24BF40AD"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135</w:t>
      </w:r>
      <w:r>
        <w:fldChar w:fldCharType="end"/>
      </w:r>
      <w:r>
        <w:t xml:space="preserve">.</w:t>
      </w:r>
      <w:r>
        <w:t xml:space="preserve"> </w:t>
      </w:r>
      <w:r>
        <w:t xml:space="preserve">Tässä lomakkeessa ei oteta huomioon keskusvastapuoleen liittyviä vastuita koskevia riskipainotettuja vastuueriä (asetuksen (EU) N:o 575/2013 kolmannen osan II osaston 6 luvun 9 jakso).</w:t>
      </w:r>
    </w:p>
    <w:p w14:paraId="5D4AACDC"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74" w:name="_Toc19715832"/>
      <w:bookmarkStart w:id="75" w:name="_Toc151714472"/>
      <w:r>
        <w:rPr>
          <w:sz w:val="24"/>
          <w:rFonts w:ascii="Times New Roman" w:hAnsi="Times New Roman"/>
        </w:rPr>
        <w:t xml:space="preserve">Tiettyjä kohtia koskevat ohjeet</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2A677E" w:rsidRDefault="00EF74C7" w:rsidP="00822842">
            <w:pPr>
              <w:rPr>
                <w:b/>
                <w:sz w:val="24"/>
                <w:rFonts w:ascii="Times New Roman" w:hAnsi="Times New Roman"/>
              </w:rPr>
            </w:pPr>
            <w:r>
              <w:rPr>
                <w:b/>
                <w:sz w:val="24"/>
                <w:rFonts w:ascii="Times New Roman" w:hAnsi="Times New Roman"/>
              </w:rPr>
              <w:t xml:space="preserve">Sarakkeet</w:t>
            </w:r>
          </w:p>
        </w:tc>
      </w:tr>
      <w:tr w:rsidR="00EF74C7" w:rsidRPr="002A677E"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2A677E" w:rsidRDefault="00EF74C7" w:rsidP="00822842">
            <w:pPr>
              <w:pStyle w:val="Applicationdirecte"/>
              <w:spacing w:before="0" w:after="0"/>
            </w:pPr>
            <w:r>
              <w:t xml:space="preserve">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RISKIPAINOTETUT VASTUUERÄT</w:t>
            </w:r>
          </w:p>
          <w:p w14:paraId="0630F3A5" w14:textId="03B5FB80" w:rsidR="00EF74C7" w:rsidRPr="002A677E" w:rsidRDefault="00EF74C7" w:rsidP="00822842">
            <w:pPr>
              <w:rPr>
                <w:sz w:val="24"/>
                <w:rFonts w:ascii="Times New Roman" w:hAnsi="Times New Roman"/>
              </w:rPr>
            </w:pPr>
            <w:r>
              <w:rPr>
                <w:sz w:val="24"/>
                <w:rFonts w:ascii="Times New Roman" w:hAnsi="Times New Roman"/>
              </w:rPr>
              <w:t xml:space="preserve">Tässä tarkoitetaan asetuksen (EU) N:o 575/2013 92 artiklan 3 kohdassa määriteltyä riskipainotettujen vastuuerien yhteismäärää positioille, joiden riskipainot arvioidaan kyseisen asetuksen kolmannen osan II osaston 2 ja 3 luvun vaatimusten perusteella ja joille laitos on saanut luvan laskea vastuuarvon sisäisen mallin menetelmää käyttäen kyseisen asetuksen kolmannen osan II osaston 6 luvun 6 jakson mukaisesti.</w:t>
            </w:r>
            <w:r>
              <w:rPr>
                <w:sz w:val="24"/>
                <w:rFonts w:ascii="Times New Roman" w:hAnsi="Times New Roman"/>
              </w:rPr>
              <w:t xml:space="preserve"> </w:t>
            </w:r>
          </w:p>
          <w:p w14:paraId="1EFFB8C4"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Asetuksen (EU) N:o 575/2013 501 artiklassa tarkoitettu pk-yritysten tukikerroin ja 501 a artiklassa tarkoitettu infrastruktuuritukikerroin on otettava huomioon.</w:t>
            </w:r>
          </w:p>
        </w:tc>
      </w:tr>
    </w:tbl>
    <w:p w14:paraId="2395318C" w14:textId="77777777" w:rsidR="00EF74C7" w:rsidRPr="002A677E"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2A677E" w:rsidRDefault="00EF74C7" w:rsidP="00822842">
            <w:pPr>
              <w:rPr>
                <w:b/>
                <w:sz w:val="24"/>
                <w:rFonts w:ascii="Times New Roman" w:hAnsi="Times New Roman"/>
              </w:rPr>
            </w:pPr>
            <w:r>
              <w:rPr>
                <w:b/>
                <w:sz w:val="24"/>
                <w:rFonts w:ascii="Times New Roman" w:hAnsi="Times New Roman"/>
              </w:rPr>
              <w:t xml:space="preserve">Rivit</w:t>
            </w:r>
          </w:p>
        </w:tc>
      </w:tr>
      <w:tr w:rsidR="00EF74C7" w:rsidRPr="002A677E"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2A677E" w:rsidRDefault="00EF74C7" w:rsidP="00822842">
            <w:pPr>
              <w:pStyle w:val="Applicationdirecte"/>
              <w:spacing w:before="0" w:after="0"/>
            </w:pPr>
            <w:r>
              <w:t xml:space="preserve">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Riskipainotettujen vastuuerien yhteismäärä edellisen raportointikauden lopussa</w:t>
            </w:r>
          </w:p>
          <w:p w14:paraId="27A42CBA"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Tässä ilmoitetaan vastapuoliriskivastuiden riskipainotettujen vastuuerien yhteismäärä sisäisen mallin menetelmän mukaan edellisen raportointikauden lopussa.</w:t>
            </w:r>
          </w:p>
        </w:tc>
      </w:tr>
      <w:tr w:rsidR="00EF74C7" w:rsidRPr="002A677E"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2A677E" w:rsidRDefault="00EF74C7" w:rsidP="00822842">
            <w:pPr>
              <w:pStyle w:val="Applicationdirecte"/>
              <w:spacing w:before="0" w:after="0"/>
            </w:pPr>
            <w:r>
              <w:t xml:space="preserve">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Omaisuuserän koko</w:t>
            </w:r>
          </w:p>
          <w:p w14:paraId="1826143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Tässä ilmoitetaan riskipainotettujen vastuuerien yhteismäärän muutokset (positiiviset tai negatiiviset), jotka johtuvat tavanomaisesta liiketoiminnasta johtuvista muutoksista kaupankäyntivaraston ulkopuolisten erien koossa ja koostumuksessa (mukaan lukien uusien liiketoimintojen syntyminen ja erääntyvät vastuut), lukuun ottamatta yhteisöjen hankinnasta ja myynnistä johtuvia muutoksia kaupankäyntivaraston ulkopuolisten erien koossa.</w:t>
            </w:r>
          </w:p>
        </w:tc>
      </w:tr>
      <w:tr w:rsidR="00EF74C7" w:rsidRPr="002A677E"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2A677E" w:rsidRDefault="00EF74C7" w:rsidP="00822842">
            <w:pPr>
              <w:pStyle w:val="Applicationdirecte"/>
              <w:spacing w:before="0" w:after="0"/>
            </w:pPr>
            <w:r>
              <w:t xml:space="preserve">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Vastapuolten luottolaatu</w:t>
            </w:r>
            <w:r>
              <w:rPr>
                <w:rStyle w:val="InstructionsTabelleberschrift"/>
                <w:sz w:val="24"/>
                <w:rFonts w:ascii="Times New Roman" w:hAnsi="Times New Roman"/>
              </w:rPr>
              <w:t xml:space="preserve"> </w:t>
            </w:r>
          </w:p>
          <w:p w14:paraId="250F3251"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Tässä ilmoitetaan riskipainotettujen vastuuerien yhteismäärän muutokset (positiiviset tai negatiiviset), jotka johtuvat muutoksista laitoksen vastapuolten arvioidussa laadussa mitattuna luottoriskikehyksen mukaisesti laitoksen soveltamasta menetelmästä riippumatta.</w:t>
            </w:r>
            <w:r>
              <w:rPr>
                <w:sz w:val="24"/>
                <w:rFonts w:ascii="Times New Roman" w:hAnsi="Times New Roman"/>
              </w:rPr>
              <w:t xml:space="preserve"> </w:t>
            </w:r>
            <w:r>
              <w:rPr>
                <w:sz w:val="24"/>
                <w:rFonts w:ascii="Times New Roman" w:hAnsi="Times New Roman"/>
              </w:rPr>
              <w:t xml:space="preserve">Tämä rivi sisältää myös mahdolliset riskipainotettujen vastuuerien yhteismäärän muutokset, jotka johtuvat IRB-malleista, kun laitos käyttää IRB-menetelmää.</w:t>
            </w:r>
          </w:p>
        </w:tc>
      </w:tr>
      <w:tr w:rsidR="00EF74C7" w:rsidRPr="002A677E"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2A677E" w:rsidRDefault="00EF74C7" w:rsidP="00822842">
            <w:pPr>
              <w:pStyle w:val="Applicationdirecte"/>
              <w:spacing w:before="0" w:after="0"/>
            </w:pPr>
            <w:r>
              <w:t xml:space="preserve">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Mallin päivitykset (vain sisäisen mallin menetelmä)</w:t>
            </w:r>
          </w:p>
          <w:p w14:paraId="18D81B07"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Tässä ilmoitetaan riskipainotettujen vastuuerien yhteismäärän muutokset (positiiviset tai negatiiviset), jotka johtuvat mallin käyttöönotosta, mallin soveltamisalan muutoksista tai mahdollisista muutoksista, joilla pyritään korjaamaan mallin heikkouksia.</w:t>
            </w:r>
          </w:p>
          <w:p w14:paraId="35919C0F"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Tällä rivillä käsitellään vain muutoksia sisäisen mallin menetelmässä.</w:t>
            </w:r>
          </w:p>
        </w:tc>
      </w:tr>
      <w:tr w:rsidR="00EF74C7" w:rsidRPr="002A677E"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2A677E" w:rsidRDefault="00EF74C7" w:rsidP="00822842">
            <w:pPr>
              <w:pStyle w:val="Applicationdirecte"/>
              <w:spacing w:before="0" w:after="0"/>
            </w:pPr>
            <w:r>
              <w:t xml:space="preserve">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Metodologia ja politiikka (vain sisäisen mallin menetelmä)</w:t>
            </w:r>
          </w:p>
          <w:p w14:paraId="492776FC"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Tässä ilmoitetaan riskipainotettujen vastuuerien yhteismäärän muutokset (positiiviset tai negatiiviset), jotka johtuvat sääntelypolitiikan muutoksista, kuten uusista säännöksistä, aiheutuvista laskelmien metodologisista muutoksista (vain sisäisen mallin menetelmässä).</w:t>
            </w:r>
          </w:p>
        </w:tc>
      </w:tr>
      <w:tr w:rsidR="00EF74C7" w:rsidRPr="002A677E"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2A677E" w:rsidRDefault="00EF74C7" w:rsidP="00822842">
            <w:pPr>
              <w:pStyle w:val="Applicationdirecte"/>
              <w:spacing w:before="0" w:after="0"/>
            </w:pPr>
            <w:r>
              <w:t xml:space="preserve">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Hankinnat ja luovutukset</w:t>
            </w:r>
          </w:p>
          <w:p w14:paraId="556F6F9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Tässä ilmoitetaan riskipainotettujen vastuuerien yhteismäärän muutokset (positiiviset tai negatiiviset), jotka johtuvat yhteisöjen hankinnoista ja luovutuksista aiheutuvista kaupankäyntivaraston ulkopuolisten erien koon muutoksista.</w:t>
            </w:r>
          </w:p>
        </w:tc>
      </w:tr>
      <w:tr w:rsidR="00EF74C7" w:rsidRPr="002A677E"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2A677E" w:rsidRDefault="00EF74C7" w:rsidP="00822842">
            <w:pPr>
              <w:pStyle w:val="Applicationdirecte"/>
              <w:spacing w:before="0" w:after="0"/>
            </w:pPr>
            <w:r>
              <w:t xml:space="preserve">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Valuuttakurssivaihtelut</w:t>
            </w:r>
          </w:p>
          <w:p w14:paraId="29E3F8C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Tässä ilmoitetaan riskipainotettujen vastuuerien yhteismäärän muutokset (positiiviset tai negatiiviset), jotka johtuvat valuuttakurssivaihteluista johtuvista muutoksista.</w:t>
            </w:r>
            <w:r>
              <w:rPr>
                <w:sz w:val="24"/>
                <w:rFonts w:ascii="Times New Roman" w:hAnsi="Times New Roman"/>
              </w:rPr>
              <w:t xml:space="preserve"> </w:t>
            </w:r>
          </w:p>
        </w:tc>
      </w:tr>
      <w:tr w:rsidR="00EF74C7" w:rsidRPr="002A677E"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2A677E" w:rsidRDefault="00EF74C7" w:rsidP="00822842">
            <w:pPr>
              <w:pStyle w:val="Applicationdirecte"/>
              <w:spacing w:before="0" w:after="0"/>
            </w:pPr>
            <w:r>
              <w:t xml:space="preserve">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Muut</w:t>
            </w:r>
          </w:p>
          <w:p w14:paraId="0BAC5EB4"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Tätä luokkaa on käytettävä sellaisten riskipainotettujen vastuuerien yhteismäärän muutosten (positiivisten tai negatiivisten) ilmoittamiseksi, joita ei voida kohdistaa edellä mainittuihin luokkiin.</w:t>
            </w:r>
            <w:r>
              <w:rPr>
                <w:sz w:val="24"/>
                <w:rFonts w:ascii="Times New Roman" w:hAnsi="Times New Roman"/>
              </w:rPr>
              <w:t xml:space="preserve"> </w:t>
            </w:r>
          </w:p>
        </w:tc>
      </w:tr>
      <w:tr w:rsidR="00EF74C7" w:rsidRPr="002A677E"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2A677E" w:rsidRDefault="00EF74C7" w:rsidP="00822842">
            <w:pPr>
              <w:pStyle w:val="Applicationdirecte"/>
              <w:spacing w:before="0" w:after="0"/>
            </w:pPr>
            <w:r>
              <w:t xml:space="preserve">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Riskipainotettujen vastuuerien yhteismäärä nykyisen raportointikauden lopussa</w:t>
            </w:r>
          </w:p>
          <w:p w14:paraId="51365175"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Tässä ilmoitetaan vastapuoliriskivastuiden riskipainotettujen vastuuerien yhteismäärä sisäisen mallin menetelmän mukaan nykyisen raportointikauden lopussa.</w:t>
            </w:r>
          </w:p>
        </w:tc>
      </w:tr>
    </w:tbl>
    <w:p w14:paraId="46880A2A" w14:textId="77777777" w:rsidR="00EF74C7" w:rsidRDefault="00EF74C7"/>
    <w:p w14:paraId="0CA113AF" w14:textId="77777777" w:rsidR="00EF74C7" w:rsidRDefault="00EF74C7"/>
    <w:sectPr w:rsidR="00EF74C7">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631623"/>
    <w:rsid w:val="00632962"/>
    <w:rsid w:val="00793BDE"/>
    <w:rsid w:val="007D3B3D"/>
    <w:rsid w:val="00A6002C"/>
    <w:rsid w:val="00B5223F"/>
    <w:rsid w:val="00B71F25"/>
    <w:rsid w:val="00BD63AA"/>
    <w:rsid w:val="00D57F80"/>
    <w:rsid w:val="00DE7FB9"/>
    <w:rsid w:val="00E26A90"/>
    <w:rsid w:val="00EF07A1"/>
    <w:rsid w:val="00EF7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val="fi-FI"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val="fi-FI"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val="fi-FI"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val="fi-FI"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val="fi-FI"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val="fi-FI"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val="fi-FI"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fi-FI"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fi-FI"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fi-FI"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fi-FI"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fi-FI"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fi-FI"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val="fi-FI"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fi-FI"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val="fi-FI"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fi-FI"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fi-FI"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val="fi-FI"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fi-FI"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val="fi-FI"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fi-FI"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val="fi-FI"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fi-FI"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val="fi-FI"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fi-FI"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fi-FI"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val="fi-FI"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val="fi-FI"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val="fi-FI"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fi-FI"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lang w:val="fi-FI"/>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fi-FI"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lang w:val="fi-FI"/>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val="fi-FI"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fi-FI"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lang w:val="fi-FI"/>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lang w:val="fi-FI"/>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lang w:val="fi-FI"/>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lang w:val="fi-FI"/>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val="fi-FI" w:eastAsia="en-GB"/>
    </w:rPr>
  </w:style>
  <w:style w:type="paragraph" w:customStyle="1" w:styleId="List1">
    <w:name w:val="List1"/>
    <w:autoRedefine/>
    <w:qFormat/>
    <w:rsid w:val="00EF74C7"/>
    <w:pPr>
      <w:numPr>
        <w:numId w:val="23"/>
      </w:numPr>
      <w:spacing w:after="0" w:line="240" w:lineRule="auto"/>
    </w:pPr>
    <w:rPr>
      <w:rFonts w:eastAsiaTheme="minorEastAsia"/>
      <w:kern w:val="0"/>
      <w:lang w:val="fi-FI"/>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lang w:val="fi-FI"/>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lang w:val="fi-FI"/>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fi-FI"/>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lang w:val="fi-FI"/>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lang w:val="fi-FI"/>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val="fi-FI"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lang w:val="fi-FI"/>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lang w:val="fi-FI"/>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lang w:val="fi-FI"/>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lang w:val="fi-FI"/>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fi-FI"/>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fi-FI"/>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val="fi-FI"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lang w:val="fi-FI"/>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lang w:val="fi-FI"/>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val="fi-FI"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val="fi-FI"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val="fi-FI"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val="fi-FI"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val="fi-FI"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fi-FI"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val="fi-FI"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3.xml><?xml version="1.0" encoding="utf-8"?>
<ds:datastoreItem xmlns:ds="http://schemas.openxmlformats.org/officeDocument/2006/customXml" ds:itemID="{D55CB1AE-6711-4A2B-A568-2473AA401349}"/>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26</Pages>
  <Words>7372</Words>
  <Characters>42023</Characters>
  <Application>Microsoft Office Word</Application>
  <DocSecurity>0</DocSecurity>
  <Lines>350</Lines>
  <Paragraphs>98</Paragraphs>
  <ScaleCrop>false</ScaleCrop>
  <Company>European Banking Authority</Company>
  <LinksUpToDate>false</LinksUpToDate>
  <CharactersWithSpaces>49297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2024-06-19T16:03:00Z</dcterms:created>
  <dcterms:modified xsi:type="dcterms:W3CDTF">2024-06-21T12:20:00Z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ies>
</file>