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AFA97" w14:textId="77777777" w:rsidR="00AE0E53" w:rsidRDefault="00AE0E53" w:rsidP="00AE0E53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681C21FC" w14:textId="77777777" w:rsidR="00AE0E53" w:rsidRDefault="00AE0E53" w:rsidP="00AE0E53">
      <w:pPr>
        <w:rPr>
          <w:rFonts w:asciiTheme="minorHAnsi" w:hAnsiTheme="minorHAnsi"/>
          <w:sz w:val="22"/>
        </w:rPr>
      </w:pPr>
    </w:p>
    <w:p w14:paraId="47ABC2AB" w14:textId="77777777" w:rsidR="00081E64" w:rsidRPr="00037E7B" w:rsidRDefault="00081E64" w:rsidP="00081E64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 II</w:t>
      </w:r>
    </w:p>
    <w:p w14:paraId="2357EEF1" w14:textId="77777777" w:rsidR="00081E64" w:rsidRPr="00037E7B" w:rsidRDefault="00081E64" w:rsidP="00081E64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7F765EB3" w14:textId="77777777" w:rsidR="00081E64" w:rsidRPr="00037E7B" w:rsidRDefault="00081E64" w:rsidP="00081E64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7B1C0058" w14:textId="77777777" w:rsidR="00081E64" w:rsidRDefault="00081E64" w:rsidP="00081E64"/>
    <w:p w14:paraId="7C4631F7" w14:textId="77777777" w:rsidR="00081E64" w:rsidRDefault="00081E64" w:rsidP="00081E64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MAL-FORMOLA</w:t>
      </w:r>
    </w:p>
    <w:p w14:paraId="2BF7D6A1" w14:textId="77777777" w:rsidR="00081E64" w:rsidRDefault="00081E64" w:rsidP="00081E64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5DF1A8BE" w14:textId="77777777" w:rsidR="00081E64" w:rsidRPr="00736637" w:rsidRDefault="00081E64" w:rsidP="00081E64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32874A85" w14:textId="5A263197" w:rsidR="00E7212E" w:rsidRPr="002A677E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8.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Kopertura tat-Telf tal-NPE (NPE LC)</w:t>
      </w:r>
    </w:p>
    <w:p w14:paraId="0B42A092" w14:textId="77777777" w:rsidR="00E7212E" w:rsidRPr="002A677E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0" w:name="_Toc19715887"/>
      <w:bookmarkStart w:id="1" w:name="_Toc151714527"/>
      <w:r>
        <w:rPr>
          <w:sz w:val="24"/>
          <w:u w:val="none"/>
          <w:rFonts w:ascii="Times New Roman" w:hAnsi="Times New Roman"/>
        </w:rPr>
        <w:t xml:space="preserve">8.1.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Kummenti ġenerali</w:t>
      </w:r>
      <w:bookmarkEnd w:id="0"/>
      <w:bookmarkEnd w:id="1"/>
      <w:r>
        <w:rPr>
          <w:sz w:val="24"/>
          <w:u w:val="none"/>
          <w:rFonts w:ascii="Times New Roman" w:hAnsi="Times New Roman"/>
        </w:rPr>
        <w:t xml:space="preserve"> </w:t>
      </w:r>
    </w:p>
    <w:p w14:paraId="1616B9C3" w14:textId="77777777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>
        <w:t>202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Il-formoli tal-kopertura tat-telf tal-NPE fihom informazzjoni dwar skoperturi li ma jrendux (non-performing exposures, NPEs) għall-finijiet tal-kalkolu tar-rekwiżit ta’ kopertura tat-telf minima għal skoperturi li ma jrendux kif speċifikat fl-Artikoli 47a, 47b u 47c tar-Regolament (UE) Nru 575/2013.</w:t>
      </w:r>
    </w:p>
    <w:p w14:paraId="00E13494" w14:textId="77777777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>
        <w:t>203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Il-blokka ta’ formoli tikkonsisti minn sett ta’ tliet formoli:</w:t>
      </w:r>
    </w:p>
    <w:p w14:paraId="5AAAB0DC" w14:textId="77777777" w:rsidR="00E7212E" w:rsidRDefault="00E7212E" w:rsidP="00E7212E">
      <w:pPr>
        <w:pStyle w:val="ListParagraph"/>
        <w:numPr>
          <w:ilvl w:val="0"/>
          <w:numId w:val="3"/>
        </w:numPr>
        <w:ind w:left="1077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Il-kalkolu tat-tnaqqis għall-NPEs (C 35.01):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din hija formola ġenerali li tindika l-ammont applikabbli ta’ kopertura insuffiċjenti, ikkalkolat bħala d-differenza bejn ir-rekwiżiti ta’ kopertura minima totali għall-NPEs u l-dispożizzjonijiet u l-aġġustamenti jew it-tnaqqis totali li diġà saru.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Il-formola tkopri kemm l-iskoperturi li ma jrendux fejn ma tkunx ingħatat miżura ta’ konċessjoni, kif ukoll skoperturi soġġetti għal konċessjoni li ma jrendux.</w:t>
      </w:r>
    </w:p>
    <w:p w14:paraId="614FD05F" w14:textId="77777777" w:rsidR="00E7212E" w:rsidRPr="002A677E" w:rsidRDefault="00E7212E" w:rsidP="00E7212E">
      <w:pPr>
        <w:pStyle w:val="ListParagraph"/>
        <w:numPr>
          <w:ilvl w:val="0"/>
          <w:numId w:val="3"/>
        </w:numPr>
        <w:ind w:left="1077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Rekwiżiti minimi ta’ kopertura u valuri tal-iskopertura ta’ skoperturi li ma jrendux, esklużi skoperturi soġġetti għal konċessjoni li jaqgħu taħt l-Artikolu 47c(6) tar-Regolament (UE) Nru 575/2013 (C 35.02):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il-formola tikkalkula r-rekwiżiti ta’ kopertura minima totali għal skoperturi li ma jrendux li mhumiex skoperturi soġġetti għal konċessjoni li ma jrendux li jaqgħu taħt l-Artikolu 47c(6) tar-Regolament (UE) Nru 575/2013, filwaqt li tindika l-fatturi li għandhom jiġu applikati fuq il-valuri tal-iskopertura għall-finijiet ta’ dan il-kalkolu skont jekk l-iskopertura hijiex garantita jew mhux garantita u skont iż-żmien minn meta l-iskopertura saret ma trendix.</w:t>
      </w:r>
    </w:p>
    <w:p w14:paraId="4DF9B9C2" w14:textId="77777777" w:rsidR="00E7212E" w:rsidRPr="002A677E" w:rsidRDefault="00E7212E" w:rsidP="00E7212E">
      <w:pPr>
        <w:pStyle w:val="ListParagraph"/>
        <w:numPr>
          <w:ilvl w:val="0"/>
          <w:numId w:val="3"/>
        </w:numPr>
        <w:spacing w:line="276" w:lineRule="auto"/>
        <w:ind w:left="1077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Rekwiżiti minimi ta’ kopertura u valuri tal-iskopertura ta’ skoperturi soġġetti għal konċessjoni li ma jrendux li jaqgħu taħt l-Artikolu 47c(6) tar-Regolament (UE) Nru 575/2013 (C 35.03):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il-formola tikkalkula r-rekwiżiti ta’ kopertura minima totali għal skoperturi soġġetti għal konċessjoni li ma jrendux li jaqgħu taħt l-Artikolu 47c(6) tar-Regolament (UE) Nru 575/2013, filwaqt li tindika l-fatturi li għandhom jiġu applikati fuq il-valuri tal-iskopertura għall-finijiet ta’ dan il-kalkolu skont jekk l-iskopertura hijiex garantita jew mhux garantita u skont iż-żmien minn meta l-iskopertura saret ma trendix.</w:t>
      </w:r>
      <w:r>
        <w:rPr>
          <w:sz w:val="24"/>
          <w:rFonts w:ascii="Times New Roman" w:hAnsi="Times New Roman"/>
        </w:rPr>
        <w:t xml:space="preserve"> </w:t>
      </w:r>
    </w:p>
    <w:p w14:paraId="00581AE0" w14:textId="6EF53D3E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>
        <w:t>204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Ir-rekwiżit minimu ta’ kopertura għat-telf għal skoperturi li ma jrendux japplika għal (i) skoperturi, oriġinati fis-26 ta’ April 2019 jew wara, li jsiru ma jrendux, u (ii) skoperturi oriġinati qabel is-26 ta’ April 2019 meta jiġu modifikati wara dik id-data b’mod li jżid il-valur tal-iskopertura tagħhom għad-debitur (l-Artikolu 469a tar-Regolament (UE) Nru 575/2013), li jsiru ma jrendux.</w:t>
      </w:r>
      <w:r>
        <w:t xml:space="preserve"> </w:t>
      </w:r>
      <w:r>
        <w:t xml:space="preserve">F’konformità mal-Artikolu 47c(4a) tar-Regolament (UE) Nru 575/2013, ir-rekwiżit ta’ kopertura minima għat-telf ma japplikax għall-parti tal-iskoperturi li ma jrendux garantiti jew assigurati minn aġenzija uffiċjali ta’ kreditu għall-esportazzjoni.</w:t>
      </w:r>
    </w:p>
    <w:p w14:paraId="4F0BBD38" w14:textId="513B7167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>
        <w:t>205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L-istituzzjonijiet għandhom jikkalkolaw it-tnaqqis għall-NPEs f’konformità mal-Artikolu 47c(1), il-punti (a) u (b), tar-Regolament (UE) Nru 575/2013, inkluż il-kalkolu tar-rekwiżiti ta’ kopertura minima u d-dispożizzjonijiet totali u l-aġġustamenti jew it-tnaqqis, fil-livell tal-iskopertura individwali (“ibbażati fuq it-tranżazzjonijiet”) u mhux fil-livell tad-debitur jew tal-portafoll.</w:t>
      </w:r>
    </w:p>
    <w:p w14:paraId="1066EFE1" w14:textId="77777777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>
        <w:t>206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Għall-finijiet tal-kalkolu tat-tnaqqis għall-NPEs, l-istituzzjonijiet għandhom jiddistingwu bejn il-parti mhux garantita u dik garantita ta’ NPE f’konformità mal-Artikolu 47c(1) tar-Regolament (UE) Nru 575/2013.</w:t>
      </w:r>
      <w:r>
        <w:t xml:space="preserve"> </w:t>
      </w:r>
      <w:r>
        <w:t xml:space="preserve">Għal dan l-għan, l-istituzzjonijiet għandhom jirrapportaw il-valuri tal-iskoperturi u r-rekwiżiti minimi ta’ kopertura b’mod separat għall-parti mhux garantita tal-NPEs u għall-parti garantita tal-NPEs.</w:t>
      </w:r>
    </w:p>
    <w:bookmarkStart w:id="2" w:name="_Toc522019774"/>
    <w:p w14:paraId="782A124B" w14:textId="2131E94E" w:rsidR="00C6168C" w:rsidRDefault="00E7212E" w:rsidP="002567E9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>
        <w:t>207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Għall-finijiet tal-klassifikazzjoni tal-fatturi applikabbli rilevanti u tal-kalkolu tar-rekwiżiti ta’ kopertura minima, l-istituzzjonijiet għandhom jikklassifikaw il-parti garantita tal-NPEs skont it-tip ta’ protezzjoni ta’ kreditu f’konformità mal-Artikolu 47c(3) tar-Regolament (UE) Nru 575/2013 kif ġej:</w:t>
      </w:r>
      <w:r>
        <w:t xml:space="preserve"> </w:t>
      </w:r>
      <w:r>
        <w:t xml:space="preserve">(i) “garantita minn proprjetà immobbli jew self residenzjali garantit minn fornitur tal-protezzjoni eliġibbli kif imsemmi fl-Artikolu 201”, (ii) “garantita minn protezzjoni tal-kreditu ffinanzjata jew mhux iffinanzjata oħra” jew (iii) “garantita jew kontrogarantita minn fornitur tal-protezzjoni eliġibbli”.</w:t>
      </w:r>
      <w:r>
        <w:t xml:space="preserve"> </w:t>
      </w:r>
      <w:r>
        <w:t xml:space="preserve">Meta skopertura li ma trendix tkun garantita minn aktar minn tip wieħed ta’ protezzjoni ta’ kreditu, il-valur tal-iskopertura tagħha għandu jiġi allokat skont il-kwalità tal-protezzjoni tal-kreditu, b’dik tal-ogħla kwalità l-ewwel.</w:t>
      </w:r>
    </w:p>
    <w:p w14:paraId="2778C954" w14:textId="1C8C1115" w:rsidR="00C6168C" w:rsidRPr="00C6168C" w:rsidRDefault="00C6168C" w:rsidP="00C6168C">
      <w:pPr>
        <w:pStyle w:val="InstructionsText2"/>
        <w:numPr>
          <w:ilvl w:val="0"/>
          <w:numId w:val="0"/>
        </w:numPr>
        <w:ind w:left="993"/>
        <w:rPr>
          <w:noProof/>
        </w:rPr>
      </w:pPr>
      <w:r>
        <w:t xml:space="preserve">207a.</w:t>
      </w:r>
      <w:r>
        <w:t xml:space="preserve">  </w:t>
      </w:r>
      <w:r>
        <w:t xml:space="preserve">F’konformità mal-Artikolu 36(5) tar-Regolament (UE) Nru 575/2013, ir-ristrutturaturi tad-dejn speċjalizzati għandhom jirrapportaw l-iskoperturi rilevanti kollha inklużi l-iskoperturi li ma jrendux mixtrija minn dawn l-istituzzjonijiet fil-formoli C35.01 sa C35.03 u jistabbilixxu l-ammont applikabbli ta’ kopertura insuffiċjenti tal-parti mixtrija ugwali għal żero fir-ringiela 0010 ta’ C35.01.</w:t>
      </w:r>
      <w:r>
        <w:t xml:space="preserve"> </w:t>
      </w:r>
    </w:p>
    <w:p w14:paraId="580D4721" w14:textId="5FD06AB7" w:rsidR="00E7212E" w:rsidRPr="002A677E" w:rsidRDefault="00E7212E" w:rsidP="002567E9">
      <w:pPr>
        <w:pStyle w:val="InstructionsText2"/>
        <w:numPr>
          <w:ilvl w:val="0"/>
          <w:numId w:val="0"/>
        </w:numPr>
        <w:ind w:left="993"/>
        <w:rPr>
          <w:noProof/>
        </w:rPr>
      </w:pPr>
    </w:p>
    <w:p w14:paraId="106EA644" w14:textId="77777777" w:rsidR="00E7212E" w:rsidRPr="002A677E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3" w:name="_Toc19715888"/>
      <w:bookmarkStart w:id="4" w:name="_Toc151714528"/>
      <w:r>
        <w:rPr>
          <w:sz w:val="24"/>
          <w:u w:val="none"/>
          <w:rFonts w:ascii="Times New Roman" w:hAnsi="Times New Roman"/>
        </w:rPr>
        <w:t xml:space="preserve">8.2.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C 35.01 – </w:t>
      </w:r>
      <w:bookmarkEnd w:id="2"/>
      <w:r>
        <w:rPr>
          <w:sz w:val="24"/>
          <w:u w:val="none"/>
          <w:rFonts w:ascii="Times New Roman" w:hAnsi="Times New Roman"/>
        </w:rPr>
        <w:t xml:space="preserve">IL-KALKOLU TA’ TNAQQIS GĦAL SKOPERTURI LI MA JRENDUX (NPE LC1)</w:t>
      </w:r>
      <w:bookmarkEnd w:id="3"/>
      <w:bookmarkEnd w:id="4"/>
    </w:p>
    <w:p w14:paraId="7FED3A0B" w14:textId="77777777" w:rsidR="00E7212E" w:rsidRPr="002A677E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sz w:val="24"/>
          <w:rFonts w:ascii="Times New Roman" w:hAnsi="Times New Roman" w:cs="Times New Roman"/>
        </w:rPr>
      </w:pPr>
      <w:bookmarkStart w:id="5" w:name="_Toc151714529"/>
      <w:r>
        <w:rPr>
          <w:sz w:val="24"/>
          <w:rFonts w:ascii="Times New Roman" w:hAnsi="Times New Roman"/>
        </w:rPr>
        <w:t xml:space="preserve">Struzzjonijiet dwar pożizzjonijiet speċifiċi</w:t>
      </w:r>
      <w:bookmarkEnd w:id="5"/>
    </w:p>
    <w:p w14:paraId="4AD8B2CE" w14:textId="77777777" w:rsidR="00E7212E" w:rsidRPr="002A677E" w:rsidRDefault="00E7212E" w:rsidP="00E7212E">
      <w:pPr>
        <w:pStyle w:val="body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53298809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6505795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bookmarkStart w:id="6" w:name="_Toc19715889"/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3CEBAA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E7212E" w:rsidRPr="002A677E" w14:paraId="2C9D21A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B2B6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0010 - 0100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E11B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Żmien li għadda minn meta l-iskoperturi ġew klassifikati bħala li ma jrendux</w:t>
            </w:r>
          </w:p>
          <w:p w14:paraId="1BC0C5B7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Iż-“żmien li għadda minn meta l-iskoperturi ġew klassifikati bħala li ma jrendux” għandha tfisser iż-żmien, fi snin, li għadda, mid-data ta’ referenza, minn meta l-iskopertura tkun ġiet klassifikata bħala li ma trendix.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mixtrija li ma jrendux, iż-żmien, fi snin, għandu jibda jgħodd mid-data li fiha l-iskoperturi kienu oriġinarjament klassifikati bħala li ma jrendux, u mhux mid-data tax-xiri tagħhom.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D6DCF87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data dwar l-iskoperturi li għalihom id-data ta’ referenza taqa’ taħt l-intervall taż-żmien korrispondenti li jindika l-perjodu fi snin wara l-klassifikazzjoni tal-iskoperturi bħala li ma jrendux, irrispettivament minn kwalunkwe applikazzjoni ta’ miżuri ta’ tolleranza.</w:t>
            </w:r>
          </w:p>
          <w:p w14:paraId="08BF43EA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Għall-intervall ta’ żmien, “&gt; X sena/snin, &lt; = Y sena/snin”, l-istituzzjonijiet għandhom jirrapportaw data dwar l-iskoperturi li għalihom id-data ta’ referenza tikkorrispondi għall-perjodu bejn l-ewwel u l-aħħar jum tas-Sena S ta’ wara l-klassifikazzjoni ta’ dawn l-iskoperturi bħala li ma jrendux.</w:t>
            </w:r>
          </w:p>
        </w:tc>
      </w:tr>
      <w:tr w:rsidR="00E7212E" w:rsidRPr="002A677E" w14:paraId="2FAB9F3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EB1E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9845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Totali</w:t>
            </w:r>
          </w:p>
          <w:p w14:paraId="785D55A5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it-total tal-kolonni kollha minn 0010 sa 0100.</w:t>
            </w:r>
          </w:p>
        </w:tc>
      </w:tr>
    </w:tbl>
    <w:p w14:paraId="6606E534" w14:textId="77777777" w:rsidR="00E7212E" w:rsidRPr="002A677E" w:rsidRDefault="00E7212E" w:rsidP="00E7212E">
      <w:pPr>
        <w:tabs>
          <w:tab w:val="left" w:pos="1301"/>
        </w:tabs>
        <w:ind w:left="113"/>
        <w:jc w:val="left"/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6F33990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bookmarkEnd w:id="6"/>
          <w:p w14:paraId="3193E3E4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19A802A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E7212E" w:rsidRPr="002A677E" w14:paraId="4E93765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B694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0A2F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applikabbli ta’ kopertura insuffiċjenti</w:t>
            </w:r>
          </w:p>
          <w:p w14:paraId="07CA6C51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 tar-Regolament (UE) Nru 575/2013</w:t>
            </w:r>
          </w:p>
          <w:p w14:paraId="7BAA1E96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Għall-kalkolu tal-ammont applikabbli ta’ kopertura insuffiċjenti, l-istituzzjonijiet għandhom inaqqsu d-dispożizzjonijiet totali u l-aġġustamenti jew it-tnaqqis (limitati) (ir-ringiela 0080) mir-rekwiżit ta’ kopertura minima totali għal skoperturi li ma jrendux (ir-ringiela 0020).</w:t>
            </w:r>
          </w:p>
          <w:p w14:paraId="4864656A" w14:textId="5DE2BE38" w:rsidR="006124F8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applikabbli ta’ kopertura insuffiċjenti (jiġifieri n-nuqqas fir-rekwiżit ta’ kopertura minima totali għal skoperturi li ma jrendux) għandu jkun żero jew akbar.</w:t>
            </w:r>
          </w:p>
        </w:tc>
      </w:tr>
      <w:tr w:rsidR="00E7212E" w:rsidRPr="002A677E" w14:paraId="3B92E92C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17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BFA1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 ta’ kopertura minima totali għal skoperturi li ma jrendux</w:t>
            </w:r>
          </w:p>
          <w:p w14:paraId="649C7EAB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 tar-Regolament (UE) 575/2013</w:t>
            </w:r>
          </w:p>
          <w:p w14:paraId="62B457A3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Għall-kalkolu tar-rekwiżit ta’ kopertura minima totali għal skoperturi li ma jrendux, l-istituzzjonijiet għandhom jgħoddu flimkien ir-rekwiżit ta’ kopertura minima għall-parti mhux garantita tal-NPEs (ir-ringiela 0030) u għall-parti garantita tal-NPEs (ir-ringiela 0040).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7212E" w:rsidRPr="002A677E" w14:paraId="1AD58A0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187A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B7A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Parti mhux garantita tal-NPEs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3825922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(a)(i), l-Artikolu 47c(2), l-Artikolu 47c(6) tar-Regolament (UE) Nru 575/2013</w:t>
            </w:r>
          </w:p>
          <w:p w14:paraId="6AA26A2E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r-rekwiżit ta’ kopertura minima totali għall-parti mhux garantita tal-NPEs, jiġifieri l-aggregat tal-kalkoli fil-livell tal-iskopertura.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3D05839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rapportat f’kull kolonna għandu jkun ugwali għat-total tal-ammonti rapportati fir-ringiela 0020 ta’ C 35.02 u fir-ringiela 0020 ta’ C 35.03 (fejn applikabbli) fil-kolonni rispettivi.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7212E" w:rsidRPr="002A677E" w14:paraId="3196F57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A2F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662C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garantita tal-NPEs</w:t>
            </w:r>
          </w:p>
          <w:p w14:paraId="12886933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(a)(ii), l-Artikolu 47c(3), l-Artikolu 47c(4), l-Artikolu 47c(6) tar-Regolament (UE) Nru 575/2013.</w:t>
            </w:r>
          </w:p>
          <w:p w14:paraId="16387A62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ir-rekwiżit ta’ kopertura minima totali għall-parti garantita tal-NPEs, jiġifieri l-aggregat tal-kalkoli fil-livell tal-iskopertura.</w:t>
            </w:r>
          </w:p>
          <w:p w14:paraId="0FBBC591" w14:textId="5F5FD10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rapportat f’kull kolonna għandu jkun ugwali għas-somma tal-ammonti rapportati fir-ringiela 0030-0045 ta’ C 35.02 u fir-ringiela 0030-0040 ta’ C 35.03 (fejn applikabbli) fil-kolonni rispettivi.</w:t>
            </w:r>
          </w:p>
        </w:tc>
      </w:tr>
      <w:tr w:rsidR="00E7212E" w:rsidRPr="002A677E" w14:paraId="0181192F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D87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5199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3D274535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47 a(2) tar-Regolament (UE) Nru 575/2013</w:t>
            </w:r>
          </w:p>
          <w:p w14:paraId="2696C7F0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totali tal-NPEs inklużi kemm skoperturi mhux garantiti kif ukoll skoperturi garantiti.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jikkorrispondi għat-total tar-ringiela 0060 u r-ringiela 0070.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7212E" w:rsidRPr="002A677E" w14:paraId="7F3AD59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CF21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0188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Parti mhux garantita tal-NPEs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C09637F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47a(2) u l-Artikolu 47c(1) tar-Regolament (UE) Nru 575/2013</w:t>
            </w:r>
          </w:p>
        </w:tc>
      </w:tr>
      <w:tr w:rsidR="00E7212E" w:rsidRPr="002A677E" w14:paraId="7CEC971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6651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DE29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garantita tal-NPEs</w:t>
            </w:r>
          </w:p>
          <w:p w14:paraId="457D8F3B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47a(2) u l-Artikolu 47c(1) tar-Regolament (UE) Nru 575/2013</w:t>
            </w:r>
          </w:p>
        </w:tc>
      </w:tr>
      <w:tr w:rsidR="00E7212E" w:rsidRPr="002A677E" w14:paraId="7AF212AE" w14:textId="77777777" w:rsidTr="00BF7D57">
        <w:trPr>
          <w:trHeight w:val="69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F9DE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693A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Dispożizzjonijiet totali u aġġustamenti jew tnaqqis (limitati)</w:t>
            </w:r>
          </w:p>
          <w:p w14:paraId="1063BD06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l-ammont limitat tat-total tal-entrati elenkati fir-ringieli 0100-0150 f’konformità mal-Artikolu 47c(1), il-punt (b)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Il-limitu massimu għal dispożizzjonijiet u aġġustament jew tnaqqis limitati huwa l-ammont ta’ rekwiżit ta’ kopertura minima fil-livell tal-iskopertura.</w:t>
            </w:r>
          </w:p>
          <w:p w14:paraId="5D5758AF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limitat għandu jiġi kkalkolat separatament għal kull skopertura bħala l-ammont l-aktar baxx bejn ir-rekwiżit ta’ kopertura minima għal din l-iskopertura u d-dispożizzjonijiet totali u l-aġġustamenti jew it-tnaqqis għall-istess skopertura.</w:t>
            </w:r>
          </w:p>
        </w:tc>
      </w:tr>
      <w:tr w:rsidR="00E7212E" w:rsidRPr="002A677E" w14:paraId="65FF4B1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86A3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E491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Dispożizzjonijiet totali u aġġustamenti jew tnaqqis (mhux limitati)</w:t>
            </w:r>
          </w:p>
          <w:p w14:paraId="761D8835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it-total tal-ammont mhux limitat tal-entrati elenkati fir-ringieli 0100-0150 f’konformità mal-Artikolu 47c(1), il-punt (b)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Id-dispożizzjonijiet u l-aġġustamenti jew it-tnaqqis (mhux limitati) ma għandhomx ikunu limitati għall-ammont tar-rekwiżit ta’ kopertura minima fil-livell tal-iskopertura.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7212E" w:rsidRPr="002A677E" w14:paraId="0E953394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C816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9F9A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speċifiċi għar-riskju ta’ kreditu</w:t>
            </w:r>
          </w:p>
          <w:p w14:paraId="7E86A5D7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(b)(i) tar-Regolament (UE) Nru 575/2013</w:t>
            </w:r>
          </w:p>
        </w:tc>
      </w:tr>
      <w:tr w:rsidR="00E7212E" w:rsidRPr="002A677E" w14:paraId="512D12BF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5BA8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F9EC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addizzjonali tal-valwazzjoni</w:t>
            </w:r>
          </w:p>
          <w:p w14:paraId="2B50ADEC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(b)(ii) tar-Regolament (UE) Nru 575/2013</w:t>
            </w:r>
          </w:p>
        </w:tc>
      </w:tr>
      <w:tr w:rsidR="00E7212E" w:rsidRPr="002A677E" w14:paraId="6BE2616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0553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1620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Tnaqqis ieħor minn fondi proprji</w:t>
            </w:r>
          </w:p>
          <w:p w14:paraId="0DCF7C5B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(b)(iii) tar-Regolament (UE) Nru 575/2013</w:t>
            </w:r>
          </w:p>
        </w:tc>
      </w:tr>
      <w:tr w:rsidR="00E7212E" w:rsidRPr="002A677E" w14:paraId="4245AAE7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D561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DB27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Nuqqas IRB</w:t>
            </w:r>
          </w:p>
          <w:p w14:paraId="40095D1B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(b)(iv) tar-Regolament (UE) Nru 575/2013</w:t>
            </w:r>
          </w:p>
        </w:tc>
      </w:tr>
      <w:tr w:rsidR="00E7212E" w:rsidRPr="002A677E" w14:paraId="30D29DC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2E72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8CAD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Differenza bejn il-prezz tax-xiri u l-ammont dovut mid-debitur</w:t>
            </w:r>
          </w:p>
          <w:p w14:paraId="27E5AAB5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(b)(v) tar-Regolament (UE) Nru 575/2013</w:t>
            </w:r>
          </w:p>
        </w:tc>
      </w:tr>
      <w:tr w:rsidR="00E7212E" w:rsidRPr="002A677E" w14:paraId="76CAC8E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7B5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6EBC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Ammonti mħassra mill-istituzzjoni minn meta l-iskopertura tkun ġiet klassifikata bħala li ma trendix</w:t>
            </w:r>
          </w:p>
          <w:p w14:paraId="0A7CF4DF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(b)(vi) tar-Regolament (UE) Nru 575/2013</w:t>
            </w:r>
          </w:p>
        </w:tc>
      </w:tr>
    </w:tbl>
    <w:p w14:paraId="5C8B3BF5" w14:textId="77777777" w:rsidR="00E7212E" w:rsidRPr="002A677E" w:rsidRDefault="00E7212E" w:rsidP="00E7212E">
      <w:pPr>
        <w:pStyle w:val="Instructionsberschrift2"/>
        <w:numPr>
          <w:ilvl w:val="1"/>
          <w:numId w:val="4"/>
        </w:numPr>
        <w:tabs>
          <w:tab w:val="num" w:pos="360"/>
        </w:tabs>
        <w:ind w:left="1440" w:hanging="360"/>
        <w:rPr>
          <w:sz w:val="24"/>
          <w:rFonts w:ascii="Times New Roman" w:hAnsi="Times New Roman" w:cs="Times New Roman"/>
        </w:rPr>
      </w:pPr>
      <w:bookmarkStart w:id="7" w:name="_Toc19715890"/>
      <w:bookmarkStart w:id="8" w:name="_Toc151714530"/>
      <w:r>
        <w:rPr>
          <w:sz w:val="24"/>
          <w:rFonts w:ascii="Times New Roman" w:hAnsi="Times New Roman"/>
        </w:rPr>
        <w:t xml:space="preserve">C 35.02 – REKWIŻITI TA’ KOPERTURA MINIMA U VALURI TAL-ISKOPERTURA TA’ SKOPERTURI LI MA JRENDUX, ESKLUŻI SKOPERTURI SOĠĠETTI GĦAL KONĊESSJONI LI JAQGĦU TAĦT L-ARTIKOLU 47C(6) TAR-REGOLAMENT (UE) NRU 575/2013 (NPE LC2)</w:t>
      </w:r>
      <w:bookmarkStart w:id="9" w:name="_Toc19715891"/>
      <w:bookmarkEnd w:id="7"/>
      <w:bookmarkEnd w:id="8"/>
      <w:bookmarkEnd w:id="9"/>
    </w:p>
    <w:p w14:paraId="64881C9D" w14:textId="77777777" w:rsidR="00E7212E" w:rsidRPr="002A677E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sz w:val="24"/>
          <w:rFonts w:ascii="Times New Roman" w:hAnsi="Times New Roman" w:cs="Times New Roman"/>
        </w:rPr>
      </w:pPr>
      <w:bookmarkStart w:id="10" w:name="_Toc19715892"/>
      <w:bookmarkStart w:id="11" w:name="_Toc151714531"/>
      <w:r>
        <w:rPr>
          <w:sz w:val="24"/>
          <w:rFonts w:ascii="Times New Roman" w:hAnsi="Times New Roman"/>
        </w:rPr>
        <w:t xml:space="preserve">Struzzjonijiet dwar pożizzjonijiet speċifiċi</w:t>
      </w:r>
      <w:bookmarkEnd w:id="10"/>
      <w:bookmarkEnd w:id="11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7E3648A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4BEA17B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045BB7C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E7212E" w:rsidRPr="002A677E" w14:paraId="102DEDD7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23B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0010 - 0100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CC20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Żmien li għadda minn meta l-iskoperturi ġew klassifikati bħala li ma jrendux</w:t>
            </w:r>
          </w:p>
          <w:p w14:paraId="27559F86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Iż-“żmien li għadda minn meta l-iskoperturi ġew klassifikati bħala li ma jrendux” għandha tfisser iż-żmien, fi snin, li għadda minn meta l-iskopertura tkun ġiet ikklassifikata bħala li ma trendix.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jirrapportaw data dwar l-iskoperturi li għalihom id-data ta’ referenza taqa’ taħt l-intervall taż-żmien korrispondenti li jindika l-perjodu fi snin wara l-klassifikazzjoni tal-iskoperturi bħala li ma jrendux, irrispettivament minn kwalunkwe applikazzjoni ta’ miżuri ta’ konċessjoni.</w:t>
            </w:r>
          </w:p>
          <w:p w14:paraId="1AD59E7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Għall-intervall ta’ żmien, “&gt; X sena/snin, &lt; = Y sena/snin”, l-istituzzjonijiet għandhom jirrapportaw data dwar l-iskoperturi li għalihom id-data ta’ referenza tikkorrispondi għall-perjodu bejn l-ewwel u l-aħħar jum tas-Sena S ta’ wara l-klassifikazzjoni ta’ dawn l-iskoperturi bħala li ma jrendux.</w:t>
            </w:r>
          </w:p>
        </w:tc>
      </w:tr>
      <w:tr w:rsidR="00E7212E" w:rsidRPr="002A677E" w14:paraId="3B7E96E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0F12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07B3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Totali</w:t>
            </w:r>
          </w:p>
          <w:p w14:paraId="5AC10F8E" w14:textId="77777777" w:rsidR="00E7212E" w:rsidRPr="002A677E" w:rsidRDefault="00E7212E" w:rsidP="00BF7D57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it-total tal-kolonni kollha minn 0010 sa 0100.</w:t>
            </w:r>
          </w:p>
        </w:tc>
      </w:tr>
    </w:tbl>
    <w:p w14:paraId="026FC701" w14:textId="77777777" w:rsidR="00E7212E" w:rsidRPr="002A677E" w:rsidRDefault="00E7212E" w:rsidP="00E7212E">
      <w:pPr>
        <w:jc w:val="left"/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773F30D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53235DA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248A06C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E7212E" w:rsidRPr="002A677E" w14:paraId="530CBE4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220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D892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 ta’ kopertura minima totali</w:t>
            </w:r>
          </w:p>
          <w:p w14:paraId="182F35CE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 tar-Regolament (UE) 575/2013</w:t>
            </w:r>
          </w:p>
          <w:p w14:paraId="662FCE5D" w14:textId="79E2CFC8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Għall-kalkolu tar-rekwiżit ta’ kopertura minima totali għal skoperturi li ma jrendux, esklużi skoperturi soġġetti għal konċessjoni li jaqgħu taħt l-Artikolu 47c(6) tar-Regolament (UE) Nru 575/2013, l-istituzzjonijiet għandhom jgħoddu flimkien ir-rekwiżit ta’ kopertura minima għall-parti mhux garantita tal-NPEs (ir-ringiela 0020) u r-rekwiżit ta’ kopertura minima għall-parti garantita tal-NPEs (ir-ringieli 0030-0045).</w:t>
            </w:r>
          </w:p>
        </w:tc>
      </w:tr>
      <w:tr w:rsidR="00E7212E" w:rsidRPr="002A677E" w14:paraId="4F6620D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39E7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2EC8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mhux garantita tal-NPEs</w:t>
            </w:r>
          </w:p>
          <w:p w14:paraId="27ED7CA9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(a)(i), l-Artikolu 47c(2) tar-Regolament (UE) Nru 575/2013</w:t>
            </w:r>
          </w:p>
          <w:p w14:paraId="5CD4163E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kopertura minima għandu jiġi kkalkolat billi jiġu mmultiplikati l-valuri tal-iskopertura aggregata fir-ringiela 0070 bil-fattur korrispondenti għal kull kolonna.</w:t>
            </w:r>
          </w:p>
        </w:tc>
      </w:tr>
      <w:tr w:rsidR="00E7212E" w:rsidRPr="002A677E" w14:paraId="305ED6F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9E0C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EB14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bi proprjetà immobbli jew self residenzjali garantit minn fornitur tal-protezzjoni eliġibbli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AB54B5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(a)(ii) u l-Artikolu 47c(3), il-punt (a), (b), (c), (d), (f), (h) u (i) tar-Regolament (UE) Nru 575/2013</w:t>
            </w:r>
          </w:p>
          <w:p w14:paraId="3818F43F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kopertura minima għandu jiġi kkalkolat billi jiġu mmultiplikati l-valuri tal-iskopertura aggregata fir-ringiela 0080 bil-fattur korrispondenti għal kull kolonna.</w:t>
            </w:r>
          </w:p>
        </w:tc>
      </w:tr>
      <w:tr w:rsidR="00E7212E" w:rsidRPr="002A677E" w14:paraId="325AB5DC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F03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2F93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bi protezzjoni tal-kreditu ffinanzjata jew mhux iffinanzjata oħra</w:t>
            </w:r>
          </w:p>
          <w:p w14:paraId="5857E4F4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(a)(ii) u l-Artikolu 47c(3), il-punt (a), (b), (c), (e) u (g) tar-Regolament (UE) Nru 575/2013</w:t>
            </w:r>
          </w:p>
          <w:p w14:paraId="3EF75A94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kopertura minima għandu jiġi kkalkolat billi jiġu mmultiplikati l-valuri tal-iskopertura aggregata fir-ringiela 0090 bil-fattur korrispondenti għal kull kolonna.</w:t>
            </w:r>
          </w:p>
        </w:tc>
      </w:tr>
      <w:tr w:rsidR="00644DC5" w:rsidRPr="002A677E" w14:paraId="0058707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461" w14:textId="584000EC" w:rsidR="00644DC5" w:rsidRPr="002A677E" w:rsidRDefault="00644DC5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0045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B3D8" w14:textId="77777777" w:rsidR="00644DC5" w:rsidRDefault="00920721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jew kontrogarantiti minn fornitur tal-protezzjoni eliġibbli</w:t>
            </w:r>
          </w:p>
          <w:p w14:paraId="4C97CF34" w14:textId="77777777" w:rsidR="00920721" w:rsidRDefault="00EB1058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47c(4)(b) tar-Regolament (UE) Nru 575/2013.</w:t>
            </w:r>
          </w:p>
          <w:p w14:paraId="450588A8" w14:textId="2E5C57D7" w:rsidR="009A1028" w:rsidRPr="009A1028" w:rsidRDefault="009A1028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rStyle w:val="cf01"/>
                <w:sz w:val="24"/>
                <w:rFonts w:ascii="Times New Roman" w:hAnsi="Times New Roman"/>
              </w:rPr>
              <w:t xml:space="preserve">Ir-rekwiżit ta’ kopertura minima għandu jiġi kkalkolat billi jiġu mmultiplikati l-valuri tal-iskopertura aggregata fir-ringiela 0110 u 0120 bil-fattur korrispondenti għal kull kolonna.</w:t>
            </w:r>
          </w:p>
        </w:tc>
      </w:tr>
      <w:tr w:rsidR="00E7212E" w:rsidRPr="002A677E" w14:paraId="7E5A3A0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90A9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760A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2F7544E3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47 a(2) tar-Regolament (UE) Nru 575/2013</w:t>
            </w:r>
          </w:p>
          <w:p w14:paraId="40E077A1" w14:textId="04FB6552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Għall-kalkolu tar-ringiela 0060, l-istituzzjonijiet għandhom jgħoddu flimkien il-valuri tal-iskopertura rrapportati għall-parti mhux garantita tal-NPEs (ir-ringiela 0070), il-parti tal-NPEs garantiti bi proprjetà immobbli jew self residenzjali ggarantit minn fornitur tal-protezzjoni eliġibbli (ir-ringiela 0080), il-parti tal-NPEs garantiti bi protezzjoni tal-kreditu ffinanzjata jew mhux iffinanzjata oħra (ir-ringiela 0090) u l-parti tal-NPEs garantiti jew kontrogarantiti minn fornitur tal-protezzjoni eliġibbli (ir-ringiela 0110 u r-ringiela 0120).</w:t>
            </w:r>
          </w:p>
        </w:tc>
      </w:tr>
      <w:tr w:rsidR="00E7212E" w:rsidRPr="002A677E" w14:paraId="7D97CB26" w14:textId="77777777" w:rsidTr="00BF7D57">
        <w:trPr>
          <w:trHeight w:val="8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C10A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7F04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mhux garantita tal-NPEs</w:t>
            </w:r>
          </w:p>
          <w:p w14:paraId="7BA082E2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47a(2), l-Artikolu 47c(1) u l-Artikolu 47c(2) tar-Regolament (UE) Nru 575/2013</w:t>
            </w:r>
          </w:p>
          <w:p w14:paraId="57CA0E6A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totali tal-parti mhux garantita tal-NPEs diżaggregat skont iż-żmien li għadda minn meta l-iskoperturi ġew klassifikati bħala li ma jrendux.</w:t>
            </w:r>
          </w:p>
        </w:tc>
      </w:tr>
      <w:tr w:rsidR="00E7212E" w:rsidRPr="002A677E" w14:paraId="132096C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7E6B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466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bi proprjetà immobbli jew self residenzjali garantit minn fornitur tal-protezzjoni eliġibbli</w:t>
            </w:r>
          </w:p>
          <w:p w14:paraId="353C8B9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47c(2), l-Artikolu 47c(1) u l-Artikolu 47c(3), il-punti (a), (b), (c), (d), (f), (h) u (i) tar-Regolament (UE) Nru 575/2013</w:t>
            </w:r>
          </w:p>
          <w:p w14:paraId="6EC4E8B7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totali tal-partijiet tal-NPEs garantiti bi proprjetà immobbli skont il-Parti Tlieta, it-Titolu II tar-Regolament (UE) Nru 575/2013 jew li huwa self residenzjali garantit minn fornitur tal-protezzjoni eliġibbli kif imsemmi fl-Artikolu 201 ta’ dak ir-Regolament.</w:t>
            </w:r>
          </w:p>
        </w:tc>
      </w:tr>
      <w:tr w:rsidR="00E7212E" w:rsidRPr="002A677E" w14:paraId="7DE3775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82D8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2E6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bi protezzjoni tal-kreditu ffinanzjata jew mhux iffinanzjata oħra</w:t>
            </w:r>
          </w:p>
          <w:p w14:paraId="3F457A1D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47c(2), l-Artikolu 47c(1) u l-Artikolu 47c(3), il-punti (a), (b), (c), (e) u (g) tar-Regolament (UE) Nru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6A8E56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totali tal-partijiet tal-NPEs garantiti bi protezzjoni ta’ kreditu ffinanzjata jew mhux iffinanzjata oħra skont il-Parti Tlieta, it-Titolu II tar-Regolament (UE) Nru 575/2013.</w:t>
            </w:r>
          </w:p>
        </w:tc>
      </w:tr>
      <w:tr w:rsidR="00DE7A8B" w:rsidRPr="002A677E" w14:paraId="7603122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AAEE" w14:textId="30225BB7" w:rsidR="00DE7A8B" w:rsidRPr="002A677E" w:rsidRDefault="00DE7A8B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04CC" w14:textId="77777777" w:rsidR="00DE7A8B" w:rsidRDefault="00DE7A8B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jew kontrogarantiti minn fornitur tal-protezzjoni eliġibbli (fattur 1)</w:t>
            </w:r>
          </w:p>
          <w:p w14:paraId="4D27415B" w14:textId="7FB89EC4" w:rsidR="00DE7A8B" w:rsidRPr="00DE7A8B" w:rsidRDefault="00DE7A8B" w:rsidP="00BF7D57">
            <w:pPr>
              <w:jc w:val="left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 (4), il-punt (b) tar-Regolament (UE) Nru 575/2013 (fattur 1)</w:t>
            </w:r>
          </w:p>
        </w:tc>
      </w:tr>
      <w:tr w:rsidR="00DE7A8B" w:rsidRPr="002A677E" w14:paraId="11A8A84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6928" w14:textId="2FC46201" w:rsidR="00DE7A8B" w:rsidRPr="002A677E" w:rsidRDefault="00DE7A8B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1854" w14:textId="77777777" w:rsidR="00DE7A8B" w:rsidRDefault="00DE7A8B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jew kontrogarantiti minn fornitur tal-protezzjoni eliġibbli (fattur 0)</w:t>
            </w:r>
          </w:p>
          <w:p w14:paraId="1F86CE64" w14:textId="53FD9558" w:rsidR="00A13F70" w:rsidRPr="00AD1E4E" w:rsidRDefault="00DE7A8B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47c(4), il-punt (a) u l-punt (b) tar-Regolament (UE) Nru 575/2013 (fattur 0).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li għalihom fornitur tal-protezzjoni eliġibbli qabel li jissodisfa l-obbligi kollha ta’ pagament tad-debitur lejn l-istituzzjoni ta’ kreditu b’mod sħiħ u f’konformità mal-iskeda ta’ pagament kuntrattwali oriġinali jenħtieġ li jiġu rrapportati fir-ringiela 0120 (għat-taqsimiet tal-ħin kollha)</w:t>
            </w:r>
          </w:p>
        </w:tc>
      </w:tr>
    </w:tbl>
    <w:p w14:paraId="50ED2ECA" w14:textId="77777777" w:rsidR="00E7212E" w:rsidRPr="002A677E" w:rsidRDefault="00E7212E" w:rsidP="00E7212E">
      <w:pPr>
        <w:spacing w:before="0" w:after="160" w:line="259" w:lineRule="auto"/>
        <w:jc w:val="left"/>
        <w:rPr>
          <w:rFonts w:ascii="Times New Roman" w:hAnsi="Times New Roman"/>
          <w:sz w:val="24"/>
        </w:rPr>
      </w:pPr>
    </w:p>
    <w:p w14:paraId="3628EDB9" w14:textId="77777777" w:rsidR="00E7212E" w:rsidRPr="002A677E" w:rsidRDefault="00E7212E" w:rsidP="00E7212E">
      <w:pPr>
        <w:pStyle w:val="Instructionsberschrift2"/>
        <w:numPr>
          <w:ilvl w:val="1"/>
          <w:numId w:val="4"/>
        </w:numPr>
        <w:tabs>
          <w:tab w:val="num" w:pos="360"/>
        </w:tabs>
        <w:ind w:left="1440" w:hanging="360"/>
        <w:rPr>
          <w:sz w:val="24"/>
          <w:rFonts w:ascii="Times New Roman" w:hAnsi="Times New Roman" w:cs="Times New Roman"/>
        </w:rPr>
      </w:pPr>
      <w:bookmarkStart w:id="12" w:name="_Toc19715893"/>
      <w:bookmarkStart w:id="13" w:name="_Toc151714532"/>
      <w:r>
        <w:rPr>
          <w:sz w:val="24"/>
          <w:rFonts w:ascii="Times New Roman" w:hAnsi="Times New Roman"/>
        </w:rPr>
        <w:t xml:space="preserve">C 35.03 – REKWIŻITI TA’ KOPERTURA MINIMA U VALURI TAL-ISKOPERTURA TA’ SKOPERTURI SOĠĠETTI GĦAL KONĊESSJONI LI MA JRENDUX LI JAQGĦU TAĦT L-ARTIKOLU 47C(6) TAR-REGOLAMENT (UE) NRU 575/2013 (NPE LC3)</w:t>
      </w:r>
      <w:bookmarkStart w:id="14" w:name="_Toc19715894"/>
      <w:bookmarkEnd w:id="12"/>
      <w:bookmarkEnd w:id="13"/>
      <w:bookmarkEnd w:id="14"/>
    </w:p>
    <w:p w14:paraId="5B34B317" w14:textId="77777777" w:rsidR="00E7212E" w:rsidRPr="002A677E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sz w:val="24"/>
          <w:rFonts w:ascii="Times New Roman" w:hAnsi="Times New Roman" w:cs="Times New Roman"/>
        </w:rPr>
      </w:pPr>
      <w:bookmarkStart w:id="15" w:name="_Toc19715895"/>
      <w:bookmarkStart w:id="16" w:name="_Toc151714533"/>
      <w:r>
        <w:rPr>
          <w:sz w:val="24"/>
          <w:rFonts w:ascii="Times New Roman" w:hAnsi="Times New Roman"/>
        </w:rPr>
        <w:t xml:space="preserve">Struzzjonijiet dwar pożizzjonijiet speċifiċi</w:t>
      </w:r>
      <w:bookmarkEnd w:id="15"/>
      <w:bookmarkEnd w:id="16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58876AE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C74DE1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C036004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E7212E" w:rsidRPr="002A677E" w14:paraId="7EDF27B4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AD54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0010 - 0100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5D10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Żmien li għadda minn meta l-iskoperturi ġew klassifikati bħala li ma jrendux</w:t>
            </w:r>
          </w:p>
          <w:p w14:paraId="6028F7B7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Iż-“żmien li għadda minn meta l-iskoperturi ġew klassifikati bħala li ma jrendux” għandha tfisser iż-żmien, fi snin, li għadda minn meta l-iskopertura tkun ġiet ikklassifikata bħala li ma trendix.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jirrapportaw data dwar l-iskoperturi li għalihom id-data ta’ referenza taqa’ taħt l-intervall taż-żmien korrispondenti li jindika l-perjodu fi snin wara l-klassifikazzjoni tal-iskoperturi bħala li ma jrendux, irrispettivament minn kwalunkwe applikazzjoni ta’ miżuri ta’ konċessjoni.</w:t>
            </w:r>
          </w:p>
          <w:p w14:paraId="1EB41D92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Għall-intervall ta’ żmien, “&gt; X sena/snin, &lt; = Y sena/snin”, l-istituzzjonijiet għandhom jirrapportaw data dwar l-iskoperturi li għalihom id-data ta’ referenza tikkorrispondi għall-perjodu bejn l-ewwel u l-aħħar jum tas-Sena S ta’ wara l-klassifikazzjoni ta’ dawn l-iskoperturi bħala li ma jrendux.</w:t>
            </w:r>
          </w:p>
        </w:tc>
      </w:tr>
      <w:tr w:rsidR="00E7212E" w:rsidRPr="002A677E" w14:paraId="2DDAC16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1109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6ECB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Totali</w:t>
            </w:r>
          </w:p>
          <w:p w14:paraId="63F44A7E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it-total tal-kolonni kollha minn 0010 sa 0100.</w:t>
            </w:r>
          </w:p>
        </w:tc>
      </w:tr>
    </w:tbl>
    <w:p w14:paraId="3C3B63E4" w14:textId="77777777" w:rsidR="00E7212E" w:rsidRPr="002A677E" w:rsidRDefault="00E7212E" w:rsidP="00E7212E">
      <w:pPr>
        <w:jc w:val="lef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1FAB494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73EDE1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79B896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E7212E" w:rsidRPr="002A677E" w14:paraId="4AFA24F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18B6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A648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 ta’ kopertura minima totali</w:t>
            </w:r>
          </w:p>
          <w:p w14:paraId="1C8DD96C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 u l-Artikolu 47c(6) tar-Regolament (UE) Nru 575/2013</w:t>
            </w:r>
          </w:p>
          <w:p w14:paraId="08DABFBB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Għall-kalkolu tar-rekwiżit ta’ kopertura minima totali ta’ skoperturi soġġetti għal konċessjoni li ma jrendux li jaqgħu taħt l-Artikolu 47c(6) tar-Regolament (UE) Nru 575/2013, l-istituzzjonijiet għandhom jgħoddu flimkien ir-rekwiżiti ta’ kopertura minima għall-parti mhux garantita ta’ NPEs soġġetti għal konċessjoni (ir-ringiela 0020), il-parti ta’ NPEs soġġetti għal konċessjoni garantiti bi proprjetà immobbli jew self residenzjali garantit minn fornitur tal-protezzjoni eliġibbli (ir-ringiela 0030) u l-parti ta’ NPEs soġġetti għal konċessjoni garantita bi protezzjoni ta’ kreditu ffinanzjata jew mhux iffinanzjata oħra (ir-ringiela 0040).</w:t>
            </w:r>
          </w:p>
        </w:tc>
      </w:tr>
      <w:tr w:rsidR="00E7212E" w:rsidRPr="002A677E" w14:paraId="17F3937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6B12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87DA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mhux garantita tal-NPEs</w:t>
            </w:r>
          </w:p>
          <w:p w14:paraId="01C888D8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(a)(i), l-Artikolu 47c(2), l-Artikolu 47c(6) tar-Regolament (UE) Nru 575/2013</w:t>
            </w:r>
          </w:p>
          <w:p w14:paraId="0536875C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ir-rekwiżit ta’ kopertura minima totali għall-parti mhux garantita tal-iskoperturi soġġetti għal konċessjoni li ma jrendux li jaqgħu taħt l-Artikolu 47c(6) tar-Regolament (UE) Nru 575/2013, jiġifieri l-aggregat tal-kalkoli fil-livell tal-iskopertura.</w:t>
            </w:r>
          </w:p>
        </w:tc>
      </w:tr>
      <w:tr w:rsidR="00E7212E" w:rsidRPr="002A677E" w14:paraId="3B5740C0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174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DDF2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bi proprjetà immobbli jew self residenzjali garantit minn fornitur tal-protezzjoni eliġibbli</w:t>
            </w:r>
          </w:p>
          <w:p w14:paraId="073D5D9E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(a)(ii) u l-Artikolu 47c(3), il-punt (a), (b), (c), (d), (f), (h) u (i), l-Artikolu 47c(6) tar-Regolament (UE) Nru 575/2013</w:t>
            </w:r>
          </w:p>
          <w:p w14:paraId="583D1B90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ir-rekwiżit ta’ kopertura minima totali għal partijiet ta’ skoperturi soġġetti għal konċessjoni li ma jrendux garantiti bi proprjetà immobbli skont il-Parti Tlieta, it-Titolu II tar-Regolament (UE) Nru 575/2013 jew li huma self residenzjali garantit minn fornitur tal-protezzjoni eliġibbli kif imsemmi fl-Artikolu 201 ta’ dak ir-Regolament, li jaqgħu taħt l-Artikolu 47c(6) ta’ dak ir-Regolament, jiġifieri l-aggregat tal-kalkoli fil-livell tal-iskopertura.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7212E" w:rsidRPr="002A677E" w14:paraId="68B6C19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CCA2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363F" w14:textId="77777777" w:rsidR="00E7212E" w:rsidRPr="002A677E" w:rsidRDefault="00E7212E" w:rsidP="00BF7D57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bi protezzjoni tal-kreditu ffinanzjata jew mhux iffinanzjata oħra</w:t>
            </w:r>
          </w:p>
          <w:p w14:paraId="001BEF19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47c(1), il-punt (a)(ii) u l-Artikolu 47c(3), il-punt (a), (b), (c), (e) u (g), l-Artikolu 47c(6) tar-Regolament (UE) Nru 575/2013</w:t>
            </w:r>
          </w:p>
          <w:p w14:paraId="4AB04E40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ir-rekwiżit ta’ kopertura minima totali għal partijiet ta’ skoperturi soġġetti għal konċessjoni li ma jrendux garantiti bi protezzjoni ta’ kreditu ffinanzjata jew mhux iffinanzjata oħra, li jaqgħu taħt l-Artikolu 47c(6) tar-Regolament (UE) Nru 575/2013, jiġifieri l-aggregat tal-kalkoli fil-livell tal-iskopertura.</w:t>
            </w:r>
          </w:p>
        </w:tc>
      </w:tr>
      <w:tr w:rsidR="00E7212E" w:rsidRPr="002A677E" w14:paraId="04E19BF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C6DB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E16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1D4AA342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47a(2) u l-Artikolu 47c(6) tar-Regolament (UE) Nru 575/2013</w:t>
            </w:r>
          </w:p>
          <w:p w14:paraId="5365D678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Għall-kalkolu tal-valur tal-iskopertura, l-istituzzjonijiet għandhom jgħoddu flimkien il-valuri tal-iskoperturi għall-parti mhux garantita tal-NPEs (ir-ringiela 0060), il-parti tal-NPEs garantiti bi proprjetà immobbli jew self residenzjali garantit minn fornitur tal-protezzjoni eliġibbli (ir-ringiela 0070) u l-parti tal-NPEs garantiti bi protezzjoni tal-kreditu ffinanzjata jew mhux iffinanzjata oħra (ir-ringiela 0120), fejn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7212E" w:rsidRPr="002A677E" w14:paraId="2C7881D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8C40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698F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mhux garantita tal-NPEs</w:t>
            </w:r>
          </w:p>
          <w:p w14:paraId="5A3C8BE2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47a(2), l-Artikolu 47c(1), l-Artikolu 47c(2), l-Artikolu 47c(6) tar-Regolament (UE) Nru 575/2013</w:t>
            </w:r>
          </w:p>
          <w:p w14:paraId="5FCF3D88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totali tal-parti mhux garantita ta’ NPEs soġġetti għal konċessjoni li jaqgħu taħt l-Artikolu 47c(6) tar-Regolament (UE) Nru 575/2013 meta l-ewwel miżura ta’ tolleranza tkun ingħatat bejn l-ewwel u l-aħħar jum tat-tieni sena wara li l-iskopertura tkun ġiet klassifikata bħala li ma trendix (&gt; sena;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&lt;= sentejn).</w:t>
            </w:r>
          </w:p>
        </w:tc>
      </w:tr>
      <w:tr w:rsidR="00E7212E" w:rsidRPr="002A677E" w14:paraId="4A0A438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037A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2826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Parti mill-NPEs garantiti bi proprjetà immobbli jew self residenzjali garantit minn fornitur tal-protezzjoni eliġibbli</w:t>
            </w:r>
          </w:p>
          <w:p w14:paraId="6D8528EC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47a(2), l-Artikolu 47c(1) u l-Artikolu 47c(3), il-punti (a), (b), (c), (d), (f), (h) u (i), l-Artikolu 47c(6) tar-Regolament (UE) Nru 575/2013</w:t>
            </w:r>
          </w:p>
          <w:p w14:paraId="287FCDE3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totali tal-partijiet tal-NPEs soġġetti għal konċessjoni li jaqgħu taħt l-Artikolu 47c(6) tar-Regolament (UE) Nru 575/2013 garantiti bi proprjetà immobbli skont il-Parti Tlieta, it-Titolu II ta’ dak ir-Regolament jew li huwa self residenzjali garantit minn fornitur tal-protezzjoni eliġibbli kif imsemmi fl-Artikolu 201 ta’ dak ir-Regolament.</w:t>
            </w:r>
          </w:p>
        </w:tc>
      </w:tr>
      <w:tr w:rsidR="00E7212E" w:rsidRPr="002A677E" w14:paraId="46C7DDF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3F27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BFC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&gt;sentejn u &lt;= 3 snin wara l-klassifikazzjoni bħala NPE</w:t>
            </w:r>
          </w:p>
          <w:p w14:paraId="132D2A99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tal-NPEs soġġetti għal konċessjoni li jaqgħu taħt l-Artikolu 47c(6) tar-Regolament (UE) Nru 575/2013 garantiti bi proprjetà immobbli jew self residenzjali garantit minn fornitur tal-protezzjoni eliġibbli meta l-ewwel miżura ta’ konċessjoni tkun ingħatat bejn l-ewwel u l-aħħar jum tat-tielet sena wara li l-iskopertura tkun ġiet klassifikata bħala li ma trendix.</w:t>
            </w:r>
          </w:p>
        </w:tc>
      </w:tr>
      <w:tr w:rsidR="00E7212E" w:rsidRPr="002A677E" w14:paraId="648961B9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0E9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C616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3 u &lt;= 4 snin wara l-klassifikazzjoni bħala NPE</w:t>
            </w:r>
          </w:p>
          <w:p w14:paraId="5A90152E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tal-NPEs soġġetti għal konċessjoni li jaqgħu taħt l-Artikolu 47c(6) tar-Regolament (UE) Nru 575/2013 garantiti bi proprjetà immobbli jew self residenzjali garantit minn fornitur tal-protezzjoni eliġibbli meta l-ewwel miżura ta’ konċessjoni tkun ingħatat bejn l-ewwel u l-aħħar jum tar-raba’ sena wara li l-iskopertura tkun ġiet klassifikata bħala li ma trendix.</w:t>
            </w:r>
          </w:p>
        </w:tc>
      </w:tr>
      <w:tr w:rsidR="00E7212E" w:rsidRPr="002A677E" w14:paraId="2A45718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226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A69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4 u &lt;= 5 snin wara l-klassifikazzjoni bħala NPE</w:t>
            </w:r>
          </w:p>
          <w:p w14:paraId="5C5E573C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tal-NPEs soġġetti għal konċessjoni li jaqgħu taħt l-Artikolu 47c(6) tar-Regolament (UE) Nru 575/2013 garantiti bi proprjetà immobbli jew self residenzjali garantit minn fornitur tal-protezzjoni eliġibbli meta l-ewwel miżura ta’ konċessjoni tkun ingħatat bejn l-ewwel u l-aħħar jum tal-ħames sena wara li l-iskopertura tkun ġiet klassifikata bħala li ma trendix.</w:t>
            </w:r>
          </w:p>
        </w:tc>
      </w:tr>
      <w:tr w:rsidR="00E7212E" w:rsidRPr="002A677E" w14:paraId="1E99DC3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8AD4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B17F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5 u &lt;= 6 snin wara l-klassifikazzjoni bħala NPE</w:t>
            </w:r>
          </w:p>
          <w:p w14:paraId="59F81DBE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tal-NPEs soġġetti għal konċessjoni li jaqgħu taħt l-Artikolu 47c(6) tar-Regolament (UE) Nru 575/2013 bi proprjetà immobbli jew self residenzjali garantit minn fornitur tal-protezzjoni eliġibbli meta l-ewwel miżura ta’ konċessjoni tkun ingħatat bejn l-ewwel u l-aħħar jum tas-sitt sena wara li l-iskopertura tkun ġiet klassifikata bħala li ma trendix.</w:t>
            </w:r>
          </w:p>
        </w:tc>
      </w:tr>
      <w:tr w:rsidR="00E7212E" w:rsidRPr="002A677E" w14:paraId="267AFB02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E50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67D8" w14:textId="77777777" w:rsidR="00E7212E" w:rsidRPr="002A677E" w:rsidRDefault="00E7212E" w:rsidP="00BF7D57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Parti mill-NPEs garantiti bi protezzjoni tal-kreditu ffinanzjata jew mhux iffinanzjata oħra</w:t>
            </w:r>
          </w:p>
          <w:p w14:paraId="4697BFEE" w14:textId="77777777" w:rsidR="00E7212E" w:rsidRPr="002A677E" w:rsidRDefault="00E7212E" w:rsidP="00BF7D57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47c(1) u l-Artikolu 47c(3), il-punt (a), (b), (c), (e) u (g), l-Artikolu 47c(6) tar-Regolament (UE) Nru 575/2013</w:t>
            </w:r>
          </w:p>
          <w:p w14:paraId="46AAEE0B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totali tal-partijiet tal-NPEs soġġetti għal konċessjoni li jaqgħu taħt l-Artikolu 47c(6) tar-Regolament (UE) Nru 575/2013 garantiti bi protezzjoni ta’ kreditu ffinanzjata jew mhux iffinanzjata oħra skont il-Parti Tlieta, it-Titolu II tar-Regolament (UE) Nru 575/2013.</w:t>
            </w:r>
          </w:p>
        </w:tc>
      </w:tr>
      <w:tr w:rsidR="00E7212E" w:rsidRPr="002A677E" w14:paraId="02BA28E0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3B7D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1A5B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2 u &lt;= 3 snin wara l-klassifikazzjoni bħala NPE</w:t>
            </w:r>
          </w:p>
          <w:p w14:paraId="3196D6C6" w14:textId="77777777" w:rsidR="00E7212E" w:rsidRPr="002A677E" w:rsidRDefault="00E7212E" w:rsidP="00BF7D57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tal-NPEs soġġetti għal konċessjoni li jaqgħu taħt l-Artikolu 47c(6) tar-Regolament (UE) Nru 575/2013 garantiti bi protezzjoni ta’ kreditu iffinanzjata jew mhux iffinanzjata oħra, meta l-ewwel miżura ta’ konċessjoni tkun ingħatat bejn l-ewwel u l-aħħar jum tat-tielet sena wara li l-iskopertura tkun ġiet klassifikata bħala li ma trendix.</w:t>
            </w:r>
          </w:p>
        </w:tc>
      </w:tr>
      <w:tr w:rsidR="00E7212E" w:rsidRPr="002A677E" w14:paraId="56AE585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CAB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B4CE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3 u &lt;= 4 snin wara l-klassifikazzjoni bħala NPE</w:t>
            </w:r>
          </w:p>
          <w:p w14:paraId="601D14A8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tal-NPEs soġġetti għal konċessjoni li jaqgħu taħt l-Artikolu 47c(6) tar-Regolament (UE) Nru 575/2013 garantiti bi protezzjoni ta’ kreditu iffinanzjata jew mhux iffinanzjata oħra, meta l-ewwel miżura ta’ konċessjoni tkun ingħatat bejn l-ewwel u l-aħħar jum tar-raba’ sena wara li l-iskopertura tkun ġiet klassifikata bħala li ma trendix.</w:t>
            </w:r>
          </w:p>
        </w:tc>
      </w:tr>
      <w:tr w:rsidR="00E7212E" w:rsidRPr="002A677E" w14:paraId="6139760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8767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6D48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4 u &lt;= 5 snin wara l-klassifikazzjoni bħala NPE</w:t>
            </w:r>
          </w:p>
          <w:p w14:paraId="2D884E88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tal-NPEs soġġetti għal konċessjoni li jaqgħu taħt l-Artikolu 47c(6) tar-Regolament (UE) Nru 575/2013 garantiti bi protezzjoni ta’ kreditu iffinanzjata jew mhux iffinanzjata oħra, meta l-ewwel miżura ta’ konċessjoni tkun ingħatat bejn l-ewwel u l-aħħar jum tal-ħames sena wara li l-iskopertura tkun ġiet klassifikata bħala li ma trendix.</w:t>
            </w:r>
          </w:p>
        </w:tc>
      </w:tr>
      <w:tr w:rsidR="00E7212E" w:rsidRPr="002A677E" w14:paraId="731898E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7E80" w14:textId="77777777" w:rsidR="00E7212E" w:rsidRPr="002A677E" w:rsidRDefault="00E7212E" w:rsidP="00BF7D5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F407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5 u &lt;= 6 snin wara l-klassifikazzjoni bħala NPE</w:t>
            </w:r>
          </w:p>
          <w:p w14:paraId="337D9061" w14:textId="77777777" w:rsidR="00E7212E" w:rsidRPr="002A677E" w:rsidRDefault="00E7212E" w:rsidP="00BF7D57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tal-NPEs soġġetti għal konċessjoni li jaqgħu taħt l-Artikolu 47c(6) tar-Regolament (UE) Nru 575/2013 garantiti bi protezzjoni ta’ kreditu iffinanzjata jew mhux iffinanzjata oħra, meta l-ewwel miżura ta’ konċessjoni tkun ingħatat bejn l-ewwel u l-aħħar jum tas-sitt sena wara li l-iskopertura tkun ġiet klassifikata bħala li ma trendix.”</w:t>
            </w:r>
          </w:p>
        </w:tc>
      </w:tr>
    </w:tbl>
    <w:p w14:paraId="11AFA513" w14:textId="77777777" w:rsidR="00E7212E" w:rsidRDefault="00E7212E" w:rsidP="00E7212E">
      <w:pPr>
        <w:spacing w:after="0"/>
        <w:rPr>
          <w:rStyle w:val="InstructionsTabelleText"/>
          <w:rFonts w:ascii="Times New Roman" w:hAnsi="Times New Roman"/>
          <w:sz w:val="24"/>
        </w:rPr>
      </w:pPr>
    </w:p>
    <w:p w14:paraId="2904933F" w14:textId="77777777" w:rsidR="00E7212E" w:rsidRDefault="00E7212E"/>
    <w:p w14:paraId="02452ACA" w14:textId="77777777" w:rsidR="00E7212E" w:rsidRDefault="00E7212E"/>
    <w:sectPr w:rsidR="00E7212E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855B9" w14:textId="77777777" w:rsidR="00E7212E" w:rsidRDefault="00E7212E" w:rsidP="00E7212E">
      <w:pPr>
        <w:spacing w:before="0" w:after="0"/>
      </w:pPr>
      <w:r>
        <w:separator/>
      </w:r>
    </w:p>
  </w:endnote>
  <w:endnote w:type="continuationSeparator" w:id="0">
    <w:p w14:paraId="6762C1CE" w14:textId="77777777" w:rsidR="00E7212E" w:rsidRDefault="00E7212E" w:rsidP="00E721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4E631" w14:textId="77777777" w:rsidR="00E7212E" w:rsidRDefault="00E7212E" w:rsidP="00E7212E">
      <w:pPr>
        <w:spacing w:before="0" w:after="0"/>
      </w:pPr>
      <w:r>
        <w:separator/>
      </w:r>
    </w:p>
  </w:footnote>
  <w:footnote w:type="continuationSeparator" w:id="0">
    <w:p w14:paraId="42FAF87D" w14:textId="77777777" w:rsidR="00E7212E" w:rsidRDefault="00E7212E" w:rsidP="00E721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FFFDF" w14:textId="690734D7" w:rsidR="00E7212E" w:rsidRDefault="00E7212E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548306CD" wp14:editId="4FA01B7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0518714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996F3" w14:textId="0AD0C14C" w:rsidR="00E7212E" w:rsidRPr="00E7212E" w:rsidRDefault="00E7212E" w:rsidP="00E7212E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8306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16996F3" w14:textId="0AD0C14C" w:rsidR="00E7212E" w:rsidRPr="00E7212E" w:rsidRDefault="00E7212E" w:rsidP="00E7212E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2CB4E" w14:textId="718E4983" w:rsidR="00E7212E" w:rsidRDefault="00E7212E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AA72417" wp14:editId="79B1803A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833437356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9E981A" w14:textId="4D3DF82F" w:rsidR="00E7212E" w:rsidRPr="00E7212E" w:rsidRDefault="00E7212E" w:rsidP="00E7212E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A724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69E981A" w14:textId="4D3DF82F" w:rsidR="00E7212E" w:rsidRPr="00E7212E" w:rsidRDefault="00E7212E" w:rsidP="00E7212E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BAC92" w14:textId="374ACA92" w:rsidR="00E7212E" w:rsidRDefault="00E7212E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B4A1576" wp14:editId="09A5134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68551181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1F9012" w14:textId="7DE6DFAC" w:rsidR="00E7212E" w:rsidRPr="00E7212E" w:rsidRDefault="00E7212E" w:rsidP="00E7212E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4A157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81F9012" w14:textId="7DE6DFAC" w:rsidR="00E7212E" w:rsidRPr="00E7212E" w:rsidRDefault="00E7212E" w:rsidP="00E7212E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B576DD"/>
    <w:multiLevelType w:val="hybridMultilevel"/>
    <w:tmpl w:val="0B589F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70FF94">
      <w:start w:val="1"/>
      <w:numFmt w:val="lowerRoman"/>
      <w:lvlText w:val="%3."/>
      <w:lvlJc w:val="right"/>
      <w:pPr>
        <w:ind w:left="1800" w:hanging="180"/>
      </w:pPr>
      <w:rPr>
        <w:b w:val="0"/>
        <w:bCs w:val="0"/>
      </w:r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4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85394352">
    <w:abstractNumId w:val="1"/>
  </w:num>
  <w:num w:numId="2" w16cid:durableId="1923681300">
    <w:abstractNumId w:val="0"/>
  </w:num>
  <w:num w:numId="3" w16cid:durableId="249973241">
    <w:abstractNumId w:val="3"/>
  </w:num>
  <w:num w:numId="4" w16cid:durableId="1115178956">
    <w:abstractNumId w:val="4"/>
  </w:num>
  <w:num w:numId="5" w16cid:durableId="815414938">
    <w:abstractNumId w:val="0"/>
  </w:num>
  <w:num w:numId="6" w16cid:durableId="1398165494">
    <w:abstractNumId w:val="0"/>
  </w:num>
  <w:num w:numId="7" w16cid:durableId="333068090">
    <w:abstractNumId w:val="2"/>
  </w:num>
  <w:num w:numId="8" w16cid:durableId="7101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7212E"/>
    <w:rsid w:val="00081E64"/>
    <w:rsid w:val="002567E9"/>
    <w:rsid w:val="003952A8"/>
    <w:rsid w:val="00483B10"/>
    <w:rsid w:val="005334A8"/>
    <w:rsid w:val="0054523A"/>
    <w:rsid w:val="006124F8"/>
    <w:rsid w:val="00613074"/>
    <w:rsid w:val="00631623"/>
    <w:rsid w:val="00644DC5"/>
    <w:rsid w:val="00697C35"/>
    <w:rsid w:val="006F49DC"/>
    <w:rsid w:val="00743A25"/>
    <w:rsid w:val="00762D95"/>
    <w:rsid w:val="008A07E7"/>
    <w:rsid w:val="008F5111"/>
    <w:rsid w:val="00920721"/>
    <w:rsid w:val="009A1028"/>
    <w:rsid w:val="00A13F70"/>
    <w:rsid w:val="00A6002C"/>
    <w:rsid w:val="00AD1E4E"/>
    <w:rsid w:val="00AE0E53"/>
    <w:rsid w:val="00B051AC"/>
    <w:rsid w:val="00B71F25"/>
    <w:rsid w:val="00C60464"/>
    <w:rsid w:val="00C6168C"/>
    <w:rsid w:val="00CE7E0E"/>
    <w:rsid w:val="00D04724"/>
    <w:rsid w:val="00D7097B"/>
    <w:rsid w:val="00D87B9C"/>
    <w:rsid w:val="00D96891"/>
    <w:rsid w:val="00DE7A8B"/>
    <w:rsid w:val="00E41AE1"/>
    <w:rsid w:val="00E7212E"/>
    <w:rsid w:val="00EB1058"/>
    <w:rsid w:val="00EF07A1"/>
    <w:rsid w:val="00F3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6A3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12E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1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berschrift2">
    <w:name w:val="Instructions Überschrift 2"/>
    <w:basedOn w:val="Heading2"/>
    <w:rsid w:val="00E7212E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mt-MT" w:eastAsia="x-none"/>
    </w:rPr>
  </w:style>
  <w:style w:type="character" w:customStyle="1" w:styleId="InstructionsTabelleText">
    <w:name w:val="Instructions Tabelle Text"/>
    <w:rsid w:val="00E7212E"/>
    <w:rPr>
      <w:rFonts w:ascii="Verdana" w:hAnsi="Verdana" w:cs="Times New Roman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E7212E"/>
    <w:pPr>
      <w:ind w:left="708"/>
    </w:pPr>
  </w:style>
  <w:style w:type="paragraph" w:customStyle="1" w:styleId="InstructionsText2">
    <w:name w:val="Instructions Text 2"/>
    <w:basedOn w:val="Normal"/>
    <w:qFormat/>
    <w:rsid w:val="00E7212E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customStyle="1" w:styleId="body">
    <w:name w:val="body"/>
    <w:link w:val="bodyChar"/>
    <w:qFormat/>
    <w:rsid w:val="00E7212E"/>
    <w:pPr>
      <w:spacing w:before="240" w:after="120" w:line="276" w:lineRule="auto"/>
      <w:jc w:val="both"/>
    </w:pPr>
    <w:rPr>
      <w:rFonts w:eastAsiaTheme="minorEastAsia"/>
      <w:kern w:val="0"/>
      <w:szCs w:val="24"/>
      <w:lang w:val="mt-MT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212E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12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7212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12E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DE7A8B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124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24F8"/>
    <w:pPr>
      <w:spacing w:before="0" w:after="0"/>
      <w:jc w:val="left"/>
    </w:pPr>
    <w:rPr>
      <w:rFonts w:asciiTheme="minorHAnsi" w:eastAsiaTheme="minorEastAsia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24F8"/>
    <w:rPr>
      <w:rFonts w:eastAsiaTheme="minorEastAsia"/>
      <w:kern w:val="0"/>
      <w:sz w:val="20"/>
      <w:szCs w:val="20"/>
      <w14:ligatures w14:val="none"/>
    </w:rPr>
  </w:style>
  <w:style w:type="character" w:customStyle="1" w:styleId="bodyChar">
    <w:name w:val="body Char"/>
    <w:basedOn w:val="DefaultParagraphFont"/>
    <w:link w:val="body"/>
    <w:rsid w:val="00C6168C"/>
    <w:rPr>
      <w:rFonts w:eastAsiaTheme="minorEastAsia"/>
      <w:kern w:val="0"/>
      <w:szCs w:val="24"/>
      <w:lang w:val="mt-MT"/>
      <w14:ligatures w14:val="none"/>
    </w:rPr>
  </w:style>
  <w:style w:type="character" w:customStyle="1" w:styleId="cf01">
    <w:name w:val="cf01"/>
    <w:basedOn w:val="DefaultParagraphFont"/>
    <w:rsid w:val="009A1028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4A8"/>
    <w:pPr>
      <w:spacing w:before="120" w:after="120"/>
      <w:jc w:val="both"/>
    </w:pPr>
    <w:rPr>
      <w:rFonts w:ascii="Verdana" w:eastAsia="Times New Roman" w:hAnsi="Verdana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4A8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7B0D17-AF02-4D4F-8509-845B2FD90EB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4410740E-5B1F-49BE-B647-CDF9849EF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7CF3F-21D7-4476-BA7D-BD01F832E93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3494</Words>
  <Characters>19917</Characters>
  <Application>Microsoft Office Word</Application>
  <DocSecurity>0</DocSecurity>
  <Lines>165</Lines>
  <Paragraphs>46</Paragraphs>
  <ScaleCrop>false</ScaleCrop>
  <Company/>
  <LinksUpToDate>false</LinksUpToDate>
  <CharactersWithSpaces>23365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2024-06-19T18:07:00Z</dcterms:created>
  <dcterms:modified xsi:type="dcterms:W3CDTF">2024-06-21T12:21:00Z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