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CCFF" w14:textId="77777777" w:rsidR="00632962" w:rsidRDefault="00632962" w:rsidP="00632962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A25A977" w14:textId="77777777" w:rsidR="00074AC8" w:rsidRPr="00037E7B" w:rsidRDefault="00074AC8" w:rsidP="00632962">
      <w:pPr>
        <w:rPr>
          <w:rFonts w:ascii="Times New Roman" w:hAnsi="Times New Roman"/>
          <w:sz w:val="24"/>
        </w:rPr>
      </w:pPr>
    </w:p>
    <w:p w14:paraId="01E2F594" w14:textId="77777777" w:rsidR="00074AC8" w:rsidRPr="00037E7B" w:rsidRDefault="00074AC8" w:rsidP="00074AC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7AF3DCD8" w14:textId="77777777" w:rsidR="00074AC8" w:rsidRPr="00037E7B" w:rsidRDefault="00074AC8" w:rsidP="00074AC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786C3F82" w14:textId="77777777" w:rsidR="00074AC8" w:rsidRPr="00037E7B" w:rsidRDefault="00074AC8" w:rsidP="00074AC8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6BCD4480" w14:textId="77777777" w:rsidR="00074AC8" w:rsidRPr="00037E7B" w:rsidRDefault="00074AC8" w:rsidP="00074AC8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3CC9E074" w14:textId="77777777" w:rsidR="00074AC8" w:rsidRPr="00037E7B" w:rsidRDefault="00074AC8" w:rsidP="00074AC8">
      <w:pPr>
        <w:rPr>
          <w:rFonts w:ascii="Times New Roman" w:hAnsi="Times New Roman"/>
          <w:sz w:val="24"/>
        </w:rPr>
      </w:pPr>
    </w:p>
    <w:p w14:paraId="27B4A905" w14:textId="77777777" w:rsidR="00074AC8" w:rsidRPr="00037E7B" w:rsidRDefault="00074AC8" w:rsidP="00074AC8">
      <w:pPr>
        <w:pStyle w:val="Heading2"/>
        <w:rPr>
          <w:rFonts w:ascii="Times New Roman" w:hAnsi="Times New Roman"/>
        </w:rPr>
      </w:pPr>
      <w:bookmarkStart w:id="0" w:name="_Toc360188322"/>
      <w:bookmarkStart w:id="1" w:name="_Toc473560870"/>
      <w:bookmarkStart w:id="2" w:name="_Toc151714358"/>
      <w:r>
        <w:rPr>
          <w:rFonts w:ascii="Times New Roman" w:hAnsi="Times New Roman"/>
        </w:rPr>
        <w:t xml:space="preserve">PARTI II: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STRUZZJONIJIET RELATATI MAL-FORMOLI</w:t>
      </w:r>
      <w:bookmarkEnd w:id="0"/>
      <w:bookmarkEnd w:id="1"/>
      <w:bookmarkEnd w:id="2"/>
    </w:p>
    <w:p w14:paraId="58C4E75A" w14:textId="77777777" w:rsidR="00074AC8" w:rsidRPr="00037E7B" w:rsidRDefault="00074AC8" w:rsidP="00074AC8">
      <w:pPr>
        <w:rPr>
          <w:lang w:eastAsia="x-none"/>
        </w:rPr>
      </w:pPr>
    </w:p>
    <w:p w14:paraId="14EC4CED" w14:textId="77777777" w:rsidR="00074AC8" w:rsidRPr="00037E7B" w:rsidRDefault="00074AC8" w:rsidP="00074AC8">
      <w:r>
        <w:t xml:space="preserve">(…)</w:t>
      </w:r>
    </w:p>
    <w:p w14:paraId="6B9B322A" w14:textId="77777777" w:rsidR="00E26A90" w:rsidRDefault="00E26A90"/>
    <w:p w14:paraId="1A7CCECF" w14:textId="77777777" w:rsidR="00EF74C7" w:rsidRPr="002A677E" w:rsidRDefault="00EF74C7" w:rsidP="00EF74C7">
      <w:pPr>
        <w:pStyle w:val="ListParagraph"/>
        <w:keepNext/>
        <w:numPr>
          <w:ilvl w:val="1"/>
          <w:numId w:val="29"/>
        </w:numPr>
        <w:spacing w:before="240" w:after="240"/>
        <w:outlineLvl w:val="1"/>
        <w:rPr>
          <w:sz w:val="24"/>
          <w:rFonts w:ascii="Times New Roman" w:hAnsi="Times New Roman"/>
        </w:rPr>
      </w:pPr>
      <w:bookmarkStart w:id="3" w:name="_Toc19715796"/>
      <w:bookmarkStart w:id="4" w:name="_Toc151714441"/>
      <w:r>
        <w:rPr>
          <w:sz w:val="24"/>
          <w:rFonts w:ascii="Times New Roman" w:hAnsi="Times New Roman"/>
        </w:rPr>
        <w:t xml:space="preserve">Riskju ta’ Kreditu tal-Kontroparti</w:t>
      </w:r>
      <w:bookmarkEnd w:id="3"/>
      <w:bookmarkEnd w:id="4"/>
    </w:p>
    <w:p w14:paraId="41169173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5" w:name="_Toc19712307"/>
      <w:bookmarkStart w:id="6" w:name="_Toc19715797"/>
      <w:bookmarkStart w:id="7" w:name="_Toc19715798"/>
      <w:bookmarkStart w:id="8" w:name="_Toc19715799"/>
      <w:bookmarkStart w:id="9" w:name="_Toc19715800"/>
      <w:bookmarkStart w:id="10" w:name="_Toc19715801"/>
      <w:bookmarkStart w:id="11" w:name="_Toc5612629"/>
      <w:bookmarkStart w:id="12" w:name="_Toc19715802"/>
      <w:bookmarkStart w:id="13" w:name="_Toc151714442"/>
      <w:bookmarkEnd w:id="5"/>
      <w:bookmarkEnd w:id="6"/>
      <w:bookmarkEnd w:id="7"/>
      <w:bookmarkEnd w:id="8"/>
      <w:bookmarkEnd w:id="9"/>
      <w:bookmarkEnd w:id="10"/>
      <w:r>
        <w:rPr>
          <w:sz w:val="24"/>
          <w:rFonts w:ascii="Times New Roman" w:hAnsi="Times New Roman"/>
        </w:rPr>
        <w:t xml:space="preserve">Ambitu tal-formoli tar-riskju ta’ kreditu tal-kontroparti</w:t>
      </w:r>
      <w:bookmarkEnd w:id="11"/>
      <w:bookmarkEnd w:id="12"/>
      <w:bookmarkEnd w:id="13"/>
    </w:p>
    <w:p w14:paraId="19D6AFBD" w14:textId="47A5FE99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119</w:t>
      </w:r>
      <w:r>
        <w:fldChar w:fldCharType="end"/>
      </w:r>
      <w:r>
        <w:t xml:space="preserve">.</w:t>
      </w:r>
      <w:r>
        <w:t xml:space="preserve"> </w:t>
      </w:r>
      <w:r>
        <w:t xml:space="preserve">Il-formoli tar-riskju ta’ kreditu tal-kontroparti jkopru informazzjoni dwar skoperturi soġġetti għal riskju ta’ kreditu tal-kontroparti fl-applikazzjoni tat-Tielet Parti, it-Titolu II, il-Kapitoli 4 u 6, tar-Regolament (UE) Nru 575/2013.</w:t>
      </w:r>
    </w:p>
    <w:p w14:paraId="5C2099A9" w14:textId="470C3ABA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120</w:t>
      </w:r>
      <w:r>
        <w:fldChar w:fldCharType="end"/>
      </w:r>
      <w:r>
        <w:t xml:space="preserve">.</w:t>
      </w:r>
      <w:r>
        <w:t xml:space="preserve"> </w:t>
      </w:r>
      <w:r>
        <w:t xml:space="preserve">Il-formoli jeskludu r-rekwiżiti ta’ fondi proprji għar-riskju ta’ CVA (l-Artikolu 92(3), il-punt (d) u t-Tielet Parti, it-Titolu VI, tar-Regolament (UE) Nru 575/2013), li huma rapportati fil-formola tar-riskju tas-CVA.</w:t>
      </w:r>
      <w:r>
        <w:t xml:space="preserve"> </w:t>
      </w:r>
    </w:p>
    <w:p w14:paraId="69B3C47B" w14:textId="3B35D766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121</w:t>
      </w:r>
      <w:r>
        <w:fldChar w:fldCharType="end"/>
      </w:r>
      <w:r>
        <w:t xml:space="preserve">.</w:t>
      </w:r>
      <w:r>
        <w:t xml:space="preserve"> </w:t>
      </w:r>
      <w:r>
        <w:t xml:space="preserve">L-iskoperturi tar-riskju ta’ kreditu tal-kontroparti għal kontropartijiet ċentrali (it-Tielet Parti, it-Titolu II, il-Kapitolu 4 u l-Kapitolu 6, it-Taqsima 9, tar-Regolament (UE) Nru 575/2013) għandhom jiġu inklużi fiċ-ċifri tas-CCR, sakemm ma jkunx iddikjarat mod ieħor.</w:t>
      </w:r>
      <w:r>
        <w:t xml:space="preserve"> </w:t>
      </w:r>
      <w:r>
        <w:t xml:space="preserve">Madankollu, il-kontribuzzjonijiet tal-fond tal-inadempjenza kkalkolati f’konformità mal-Artikoli 307 sa 310 tar-Regolament (UE) Nru 575/2013 ma għandhomx jiġu rapportati fil-formoli tar-riskju ta’ kreditu tal-kontroparti, bl-eċċezzjoni tal-formola C 34.10, b’mod partikolari r-ringieli korrispondenti.</w:t>
      </w:r>
      <w:r>
        <w:t xml:space="preserve"> </w:t>
      </w:r>
      <w:r>
        <w:t xml:space="preserve">Ġeneralment, l-ammonti tal-iskopertura ponderati għar-riskju ta’ kontribuzzjonijiet għall-fond tal-inadempjenza jiġu rrapportati direttament fil-formola C 02.00 ringiela 0460.</w:t>
      </w:r>
    </w:p>
    <w:p w14:paraId="30858597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14" w:name="_Toc19715803"/>
      <w:bookmarkStart w:id="15" w:name="_Toc151714443"/>
      <w:bookmarkStart w:id="16" w:name="_Toc516210659"/>
      <w:r>
        <w:rPr>
          <w:sz w:val="24"/>
          <w:rFonts w:ascii="Times New Roman" w:hAnsi="Times New Roman"/>
        </w:rPr>
        <w:t xml:space="preserve">C 34.01 - Daqs tan-negozju tad-derivattivi</w:t>
      </w:r>
      <w:bookmarkEnd w:id="14"/>
      <w:bookmarkEnd w:id="15"/>
    </w:p>
    <w:p w14:paraId="0D62C2B5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17" w:name="_Toc19715804"/>
      <w:bookmarkStart w:id="18" w:name="_Toc151714444"/>
      <w:r>
        <w:rPr>
          <w:sz w:val="24"/>
          <w:rFonts w:ascii="Times New Roman" w:hAnsi="Times New Roman"/>
        </w:rPr>
        <w:t xml:space="preserve">Rimarki ġenerali</w:t>
      </w:r>
      <w:bookmarkEnd w:id="16"/>
      <w:bookmarkEnd w:id="17"/>
      <w:bookmarkEnd w:id="18"/>
    </w:p>
    <w:p w14:paraId="20D44CDB" w14:textId="375893F1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122</w:t>
      </w:r>
      <w:r>
        <w:fldChar w:fldCharType="end"/>
      </w:r>
      <w:r>
        <w:t xml:space="preserve">.</w:t>
      </w:r>
      <w:r>
        <w:t xml:space="preserve"> </w:t>
      </w:r>
      <w:r>
        <w:t xml:space="preserve">F’konformità mal-Artikolu 273a tar-Regolament (UE) Nru 575/2013, istituzzjoni tista’ tikkalkola l-valur tal-iskopertura tal-pożizzjonijiet derivattivi tagħha f’konformità mal-metodu stabbilit fit-Tielet Parti, it-Titolu II, il-Kapitolu 6, it-Taqsima 4 jew 5, tar-Regolament (UE) Nru 575/2013, dment li d-daqs tan-negozju tad-derivattivi tagħha fil-karta bilanċjali u li ma jidhirx fil-karta bilanċjali jkun daqs jew inqas mil-limiti predefiniti, rispettivament.</w:t>
      </w:r>
      <w:r>
        <w:t xml:space="preserve"> </w:t>
      </w:r>
      <w:r>
        <w:t xml:space="preserve">Il-valutazzjoni korrispondenti għandha ssir fuq bażi ta’ kull xahar bl-użu tad-data sal-aħħar jum tax-xahar.</w:t>
      </w:r>
      <w:r>
        <w:t xml:space="preserve"> </w:t>
      </w:r>
      <w:r>
        <w:t xml:space="preserve">Din il-formola tipprovdi l-informazzjoni dwar il-konformità ma’ dawk il-limiti u, b’mod aktar ġenerali, informazzjoni importanti dwar id-daqs tan-negozju tad-derivattivi.</w:t>
      </w:r>
    </w:p>
    <w:p w14:paraId="0B9542C1" w14:textId="25E74705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123</w:t>
      </w:r>
      <w:r>
        <w:fldChar w:fldCharType="end"/>
      </w:r>
      <w:r>
        <w:t xml:space="preserve">.</w:t>
      </w:r>
      <w:r>
        <w:t xml:space="preserve"> </w:t>
      </w:r>
      <w:r>
        <w:t xml:space="preserve">Ix-Xahar 1, ix-Xahar 2 u x-Xahar 3 jirreferu għall-ewwel, it-tieni u l-aħħar xahar, rispettivament, tat-trimestru li jkun qed jiġi rapportat.</w:t>
      </w:r>
      <w:r>
        <w:t xml:space="preserve"> </w:t>
      </w:r>
      <w:r>
        <w:t xml:space="preserve">L-informazzjoni għandha tiġi rrapportata biss għall-jiem ta’ tmiem ix-xhur wara t-28 ta’ Ġunju 2021.</w:t>
      </w:r>
    </w:p>
    <w:p w14:paraId="782EADBE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19" w:name="_Toc516210660"/>
      <w:bookmarkStart w:id="20" w:name="_Toc19715805"/>
      <w:bookmarkStart w:id="21" w:name="_Toc151714445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9"/>
      <w:bookmarkEnd w:id="20"/>
      <w:bookmarkEnd w:id="21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7771"/>
      </w:tblGrid>
      <w:tr w:rsidR="00EF74C7" w:rsidRPr="002A677E" w14:paraId="0475E41A" w14:textId="77777777" w:rsidTr="00822842">
        <w:tc>
          <w:tcPr>
            <w:tcW w:w="851" w:type="dxa"/>
            <w:gridSpan w:val="2"/>
            <w:shd w:val="clear" w:color="auto" w:fill="CCCCCC"/>
          </w:tcPr>
          <w:p w14:paraId="31CC44BD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39875704" w14:textId="77777777" w:rsidTr="00822842">
        <w:tc>
          <w:tcPr>
            <w:tcW w:w="851" w:type="dxa"/>
          </w:tcPr>
          <w:p w14:paraId="39BC59F7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0010, 0040, 0070</w:t>
            </w:r>
          </w:p>
        </w:tc>
        <w:tc>
          <w:tcPr>
            <w:tcW w:w="8108" w:type="dxa"/>
          </w:tcPr>
          <w:p w14:paraId="09D42C21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TAD-DERIVATTIVI TWAL</w:t>
            </w:r>
          </w:p>
          <w:p w14:paraId="2BADA7D6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L-Artikolu 273a(3) tar-Regolament (UE) Nru 575/2013</w:t>
            </w:r>
          </w:p>
          <w:p w14:paraId="400C78E9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Għandha tiġi rrapportata s-somma tal-valuri assoluti tas-suq tal-pożizzjonijiet derivattivi twal fl-aħħar data tax-xahar.</w:t>
            </w:r>
          </w:p>
        </w:tc>
      </w:tr>
      <w:tr w:rsidR="00EF74C7" w:rsidRPr="002A677E" w14:paraId="76F76EF8" w14:textId="77777777" w:rsidTr="00822842">
        <w:tc>
          <w:tcPr>
            <w:tcW w:w="851" w:type="dxa"/>
          </w:tcPr>
          <w:p w14:paraId="1821FC2A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0020, 0050,</w:t>
            </w:r>
          </w:p>
          <w:p w14:paraId="6AD38436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08" w:type="dxa"/>
          </w:tcPr>
          <w:p w14:paraId="4F840B38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TAD-DERIVATTIVI QOSRA</w:t>
            </w:r>
          </w:p>
          <w:p w14:paraId="17AF4A13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L-Artikolu 273a(3) tar-Regolament (UE) Nru 575/2013</w:t>
            </w:r>
          </w:p>
          <w:p w14:paraId="3AB96F81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Għandha tiġi rrapportata s-somma tal-valuri assoluti tas-suq tal-pożizzjonijiet derivattivi qosra fl-aħħar data tax-xahar.</w:t>
            </w:r>
          </w:p>
        </w:tc>
      </w:tr>
      <w:tr w:rsidR="00EF74C7" w:rsidRPr="002A677E" w14:paraId="03A14C37" w14:textId="77777777" w:rsidTr="00822842">
        <w:tc>
          <w:tcPr>
            <w:tcW w:w="851" w:type="dxa"/>
          </w:tcPr>
          <w:p w14:paraId="0D690866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0030, 0060,</w:t>
            </w:r>
          </w:p>
          <w:p w14:paraId="1173DE8A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08" w:type="dxa"/>
          </w:tcPr>
          <w:p w14:paraId="252D116D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</w:t>
            </w:r>
          </w:p>
          <w:p w14:paraId="4D024C67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273a(3), il-punt (b),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6C39E208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 assolut ta’ pożizzjonijiet derivattivi twal u l-valur assolut ta’ pożizzjonijiet derivattivi qosra.</w:t>
            </w:r>
          </w:p>
        </w:tc>
      </w:tr>
    </w:tbl>
    <w:p w14:paraId="5DF57E78" w14:textId="77777777" w:rsidR="00EF74C7" w:rsidRPr="002A677E" w:rsidRDefault="00EF74C7" w:rsidP="00EF74C7">
      <w:pPr>
        <w:rPr>
          <w:rFonts w:ascii="Times New Roman" w:hAnsi="Times New Roman"/>
          <w:noProof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187"/>
      </w:tblGrid>
      <w:tr w:rsidR="00EF74C7" w:rsidRPr="002A677E" w14:paraId="1158449C" w14:textId="77777777" w:rsidTr="00822842">
        <w:tc>
          <w:tcPr>
            <w:tcW w:w="9039" w:type="dxa"/>
            <w:gridSpan w:val="2"/>
            <w:shd w:val="clear" w:color="auto" w:fill="CCCCCC"/>
          </w:tcPr>
          <w:p w14:paraId="2E01AD0B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EF74C7" w:rsidRPr="002A677E" w14:paraId="2C6F42AE" w14:textId="77777777" w:rsidTr="00822842">
        <w:tc>
          <w:tcPr>
            <w:tcW w:w="852" w:type="dxa"/>
          </w:tcPr>
          <w:p w14:paraId="024CBE56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87" w:type="dxa"/>
          </w:tcPr>
          <w:p w14:paraId="552E9C6B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Daqs tan-negozju tad-derivattivi</w:t>
            </w:r>
          </w:p>
          <w:p w14:paraId="78339108" w14:textId="77777777" w:rsidR="00EF74C7" w:rsidRPr="002A677E" w:rsidRDefault="00EF74C7" w:rsidP="00822842">
            <w:pPr>
              <w:spacing w:beforeLines="60" w:before="144" w:afterLines="60" w:after="144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273a(3)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6D4FE0C8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Id-derivattivi kollha fil-karta bilanċjali u li ma jidhrux fil-karta bilanċjali għandhom ikunu inklużi, ħlief id-derivattivi ta’ kreditu li huma rikonoxxuti bħala ħeġġijiet interni kontra l-iskoperturi għar-riskju ta’ kreditu fil-portafoll mhux tan-negozjar.</w:t>
            </w:r>
          </w:p>
        </w:tc>
      </w:tr>
      <w:tr w:rsidR="00EF74C7" w:rsidRPr="002A677E" w14:paraId="579E43BD" w14:textId="77777777" w:rsidTr="00822842">
        <w:tc>
          <w:tcPr>
            <w:tcW w:w="852" w:type="dxa"/>
          </w:tcPr>
          <w:p w14:paraId="435DE7F3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187" w:type="dxa"/>
          </w:tcPr>
          <w:p w14:paraId="04982DD9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Derivattivi fil-karta bilanċjali u mhux fil-karta bilanċjali</w:t>
            </w:r>
          </w:p>
          <w:p w14:paraId="5D2385C4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273a(3), il-punti (a) u (b), 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36CFA94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Għandu jiġi rrapportat il-valur totali tas-suq tal-pożizzjonijiet derivattivi li jidhru fil-karta bilanċjali u li ma jidhrux fil-karta bilanċjali sal-aħħar jum tax-xahar.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l-valur tas-suq ta’ pożizzjoni ma jkunx disponibbli f’dik id-data, l-istituzzjonijiet għandhom jieħdu valur ġust għall-pożizzjoni f’dik id-data;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l-valur tas-suq u l-valur ġust ta’ pożizzjoni ma jkunux disponibbli f’dik id-data, l-istituzzjonijiet għandhom jieħdu l-valur tas-suq jew il-valur ġust l-aktar riċenti għal dik il-pożizzjoni.</w:t>
            </w:r>
          </w:p>
        </w:tc>
      </w:tr>
      <w:tr w:rsidR="00EF74C7" w:rsidRPr="002A677E" w14:paraId="0D0ADD9F" w14:textId="77777777" w:rsidTr="00822842">
        <w:tc>
          <w:tcPr>
            <w:tcW w:w="852" w:type="dxa"/>
          </w:tcPr>
          <w:p w14:paraId="6D998AEA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187" w:type="dxa"/>
          </w:tcPr>
          <w:p w14:paraId="36732A5F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Derivattivi ta’ kreditu li huma rikonoxxuti bħala ħeġġijiet interni kontra skoperturi ta’ riskju tal-kreditu fil-portafoll mhux tan-negozjar</w:t>
            </w:r>
          </w:p>
          <w:p w14:paraId="7B2D3F9F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273a(3), il-punt (c), 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11EEB10C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totali tas-suq tad-derivattivi ta’ kreditu li huma rikonoxxuti bħala ħeġġijiet interni kontra skoperturi ta’ riskju ta’ kreditu fil-portafoll mhux tan-negozjar.</w:t>
            </w:r>
          </w:p>
        </w:tc>
      </w:tr>
      <w:tr w:rsidR="00EF74C7" w:rsidRPr="002A677E" w14:paraId="35FDB40E" w14:textId="77777777" w:rsidTr="00822842">
        <w:tc>
          <w:tcPr>
            <w:tcW w:w="852" w:type="dxa"/>
          </w:tcPr>
          <w:p w14:paraId="74E4E271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87" w:type="dxa"/>
          </w:tcPr>
          <w:p w14:paraId="0BD00669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Assi totali</w:t>
            </w:r>
          </w:p>
          <w:p w14:paraId="46929946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L-assi totali f’konformità mal-istandards kontabilistiċi applikabbli.</w:t>
            </w:r>
          </w:p>
          <w:p w14:paraId="010EF5F0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Għar-rapportar konsolidat, l-istituzzjoni għandha tirrapporta l-assi totali bl-użu tal-ambitu prudenzjali ta’ konsolidazzjoni f’konformità mal-Parti Wieħed, it-Titolu II, il-Kapitolu 2, it-Taqsima 2</w:t>
            </w:r>
            <w:r>
              <w:rPr>
                <w:sz w:val="24"/>
                <w:rFonts w:ascii="Times New Roman" w:hAnsi="Times New Roman"/>
              </w:rPr>
              <w:t xml:space="preserve">,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EF74C7" w:rsidRPr="002A677E" w14:paraId="4D325D16" w14:textId="77777777" w:rsidTr="00822842">
        <w:tc>
          <w:tcPr>
            <w:tcW w:w="852" w:type="dxa"/>
          </w:tcPr>
          <w:p w14:paraId="60F15BF2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87" w:type="dxa"/>
          </w:tcPr>
          <w:p w14:paraId="26613692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Perċentwal tal-assi totali</w:t>
            </w:r>
          </w:p>
          <w:p w14:paraId="7A7748D7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Il-proporzjon li għandu jiġi kkalkolat billi jittieħed id-daqs tan-negozju tad-derivattivi (ringiela 0010) diviż bl-assi totali (ringiela 0040).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0399B49B" w14:textId="77777777" w:rsidTr="00822842">
        <w:tc>
          <w:tcPr>
            <w:tcW w:w="9039" w:type="dxa"/>
            <w:gridSpan w:val="2"/>
            <w:shd w:val="clear" w:color="auto" w:fill="A6A6A6" w:themeFill="background1" w:themeFillShade="A6"/>
          </w:tcPr>
          <w:p w14:paraId="2029EDEF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DEROGA F’KONFORMITÀ MAL-ARTIKOLU 273a(4) TAR-REGOLAMENT (UE) NRU 575/2013</w:t>
            </w:r>
          </w:p>
        </w:tc>
      </w:tr>
      <w:tr w:rsidR="00EF74C7" w:rsidRPr="002A677E" w14:paraId="70D864E0" w14:textId="77777777" w:rsidTr="00822842">
        <w:trPr>
          <w:trHeight w:val="3003"/>
        </w:trPr>
        <w:tc>
          <w:tcPr>
            <w:tcW w:w="852" w:type="dxa"/>
          </w:tcPr>
          <w:p w14:paraId="3AB25C6D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87" w:type="dxa"/>
          </w:tcPr>
          <w:p w14:paraId="67908B53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Il-kundizzjonijiet tal-Artikolu 273a 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huma ssodisfati, inkluża l-approvazzjoni mill-awtorità kompetenti?</w:t>
            </w:r>
          </w:p>
          <w:p w14:paraId="2F3DE52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748D5951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L-istituzzjonijiet li jaqbżu l-livelli limitu biex jintuża approċċ simplifikat għar-riskju ta’ kreditu tal-kontroparti iżda li għadhom qed jużaw wieħed minnhom fuq il-bażi tal-Artikolu 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għandhom jindikaw (b’Iva/Le) jekk jissodisfawx il-kundizzjonijiet kollha ta’ dak l-Artikolu.</w:t>
            </w:r>
          </w:p>
          <w:p w14:paraId="6DA86931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Din l-entrata għandha tiġi rapportata biss minn dawk l-istituzzjonijiet li japplikaw id-deroga f’konformità mal-Artikolu 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EF74C7" w:rsidRPr="002A677E" w14:paraId="454EB33C" w14:textId="77777777" w:rsidTr="00822842">
        <w:tc>
          <w:tcPr>
            <w:tcW w:w="852" w:type="dxa"/>
          </w:tcPr>
          <w:p w14:paraId="38A2CAC1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87" w:type="dxa"/>
          </w:tcPr>
          <w:p w14:paraId="58491ECF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Metodu għall-kalkolu tal-valuri tal-iskopertura f’livell konsolidat</w:t>
            </w:r>
          </w:p>
          <w:p w14:paraId="082FDD18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2F4198CB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Il-metodu għall-kalkolu tal-valuri tal-iskopertura ta’ pożizzjonijiet tad-derivattivi fuq bażi konsolidata li jintuża wkoll fil-livell ta’ entità waħedha f’konformità mal-Artikolu 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:</w:t>
            </w:r>
          </w:p>
          <w:p w14:paraId="028F6AA2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- OEM: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Metodu ta’ Skopertura Oriġinali</w:t>
            </w:r>
          </w:p>
          <w:p w14:paraId="52FA75E2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- SA-CCR Issimplifikat: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Approċċ standardizzat simplifikat għar-riskju ta’ kreditu tal-kontroparti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6D893F4F" w14:textId="77777777" w:rsidR="00EF74C7" w:rsidRPr="002A677E" w:rsidRDefault="00EF74C7" w:rsidP="0082284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Din l-entrata għandha tiġi rapportata biss minn dawk l-istituzzjonijiet li japplikaw id-deroga f’konformità mal-Artikolu 273a(4)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</w:tbl>
    <w:p w14:paraId="773ED03F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22" w:name="_Toc19715806"/>
      <w:bookmarkStart w:id="23" w:name="_Toc151714446"/>
      <w:r>
        <w:rPr>
          <w:sz w:val="24"/>
          <w:rFonts w:ascii="Times New Roman" w:hAnsi="Times New Roman"/>
        </w:rPr>
        <w:t xml:space="preserve">C 34.02 - Skoperturi tas-CCR skont l-approċċ</w:t>
      </w:r>
      <w:bookmarkEnd w:id="22"/>
      <w:bookmarkEnd w:id="23"/>
      <w:r>
        <w:rPr>
          <w:sz w:val="24"/>
          <w:rFonts w:ascii="Times New Roman" w:hAnsi="Times New Roman"/>
        </w:rPr>
        <w:t xml:space="preserve"> </w:t>
      </w:r>
    </w:p>
    <w:p w14:paraId="3FC7FDB8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24" w:name="_Toc19715807"/>
      <w:bookmarkStart w:id="25" w:name="_Toc151714447"/>
      <w:r>
        <w:rPr>
          <w:sz w:val="24"/>
          <w:rFonts w:ascii="Times New Roman" w:hAnsi="Times New Roman"/>
        </w:rPr>
        <w:t xml:space="preserve">Rimarki ġenerali</w:t>
      </w:r>
      <w:bookmarkEnd w:id="24"/>
      <w:bookmarkEnd w:id="25"/>
    </w:p>
    <w:p w14:paraId="765D46FE" w14:textId="20A30CC8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124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il-formola b’mod separat għall-iskoperturi kollha tas-CCR u għall-iskoperturi kollha tas-CCR esklużi l-iskoperturi għal kontropartijiet ċentrali (CCPs, central counterparties) kif definiti għall-fini tal-formola C 34.10.</w:t>
      </w:r>
    </w:p>
    <w:p w14:paraId="73798597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26" w:name="_Toc19715808"/>
      <w:bookmarkStart w:id="27" w:name="_Toc151714448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26"/>
      <w:bookmarkEnd w:id="27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5DC5F817" w14:textId="77777777" w:rsidTr="00822842">
        <w:trPr>
          <w:trHeight w:val="616"/>
        </w:trPr>
        <w:tc>
          <w:tcPr>
            <w:tcW w:w="903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806F3D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5AF62E03" w14:textId="77777777" w:rsidTr="00822842">
        <w:trPr>
          <w:trHeight w:val="680"/>
        </w:trPr>
        <w:tc>
          <w:tcPr>
            <w:tcW w:w="1384" w:type="dxa"/>
          </w:tcPr>
          <w:p w14:paraId="0ECB7AE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  <w:vAlign w:val="center"/>
          </w:tcPr>
          <w:p w14:paraId="2F369CA7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KONTROPARTIJIET</w:t>
            </w:r>
          </w:p>
          <w:p w14:paraId="5D247700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kontropartijiet individwali li għalihom l-istituzzjoni għandha skoperturi tas-CCR.</w:t>
            </w:r>
          </w:p>
        </w:tc>
      </w:tr>
      <w:tr w:rsidR="00EF74C7" w:rsidRPr="002A677E" w14:paraId="47187F35" w14:textId="77777777" w:rsidTr="00822842">
        <w:trPr>
          <w:trHeight w:val="416"/>
        </w:trPr>
        <w:tc>
          <w:tcPr>
            <w:tcW w:w="1384" w:type="dxa"/>
          </w:tcPr>
          <w:p w14:paraId="31502253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vAlign w:val="center"/>
          </w:tcPr>
          <w:p w14:paraId="6A419FF1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TRANŻAZZJONIJIET</w:t>
            </w:r>
          </w:p>
          <w:p w14:paraId="72A1DFED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tranżazzjonijiet soġġetti għar-riskju ta’ kreditu tal-kontroparti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Innota li n-numri tan-negozju tas-CCPs ma għandhomx jinkludu flussi ’l ġewwa jew ’il barra iżda l-pożizzjonijiet kumplessivi fil-portafoll tas-CCR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strument derivattiv jew SFT li huwa maqsum f’żewġ partijiet jew aktar (tal-inqas) għall-fini tal-immudellar xorta għandhom jitqiesu bħala tranżazzjoni waħda.</w:t>
            </w:r>
          </w:p>
        </w:tc>
      </w:tr>
      <w:tr w:rsidR="00EF74C7" w:rsidRPr="002A677E" w14:paraId="095C33EA" w14:textId="77777777" w:rsidTr="00822842">
        <w:trPr>
          <w:trHeight w:val="680"/>
        </w:trPr>
        <w:tc>
          <w:tcPr>
            <w:tcW w:w="1384" w:type="dxa"/>
          </w:tcPr>
          <w:p w14:paraId="11D4F4B1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0030</w:t>
            </w:r>
          </w:p>
        </w:tc>
        <w:tc>
          <w:tcPr>
            <w:tcW w:w="7655" w:type="dxa"/>
            <w:vAlign w:val="center"/>
          </w:tcPr>
          <w:p w14:paraId="31BBD503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NOZZJONALI</w:t>
            </w:r>
          </w:p>
          <w:p w14:paraId="0DE79C19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tal-ammonti nozzjonali għal derivattivi u għal SFTs qabel kwalunkwe netting u mingħajr ebda aġġustament f’konformità mal-Artikolu 279b tar-Regolament (UE) Nru 575/2013.</w:t>
            </w:r>
          </w:p>
        </w:tc>
      </w:tr>
      <w:tr w:rsidR="00EF74C7" w:rsidRPr="002A677E" w14:paraId="5C1FBFBA" w14:textId="77777777" w:rsidTr="00822842">
        <w:trPr>
          <w:trHeight w:val="680"/>
        </w:trPr>
        <w:tc>
          <w:tcPr>
            <w:tcW w:w="1384" w:type="dxa"/>
          </w:tcPr>
          <w:p w14:paraId="314060C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0040</w:t>
            </w:r>
          </w:p>
        </w:tc>
        <w:tc>
          <w:tcPr>
            <w:tcW w:w="7655" w:type="dxa"/>
            <w:vAlign w:val="center"/>
          </w:tcPr>
          <w:p w14:paraId="0DCD00FE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POŻITTIV</w:t>
            </w:r>
          </w:p>
          <w:p w14:paraId="0CABD62F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272(12) tar-Regolament (UE) Nru 575/2013</w:t>
            </w:r>
          </w:p>
          <w:p w14:paraId="37448E9C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tal-valuri tas-suq kurrenti (CMV, current market values) tas-settijiet tan-netting kollha b’CMV pożittiv kif definit fl-Artikolu 272(12)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267FA73E" w14:textId="77777777" w:rsidTr="00822842">
        <w:trPr>
          <w:trHeight w:val="680"/>
        </w:trPr>
        <w:tc>
          <w:tcPr>
            <w:tcW w:w="1384" w:type="dxa"/>
          </w:tcPr>
          <w:p w14:paraId="490B203B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</w:t>
            </w:r>
          </w:p>
        </w:tc>
        <w:tc>
          <w:tcPr>
            <w:tcW w:w="7655" w:type="dxa"/>
            <w:vAlign w:val="center"/>
          </w:tcPr>
          <w:p w14:paraId="4AE0533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NEGATTIV</w:t>
            </w:r>
          </w:p>
          <w:p w14:paraId="1AE578B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272(12) tar-Regolament (UE) Nru 575/2013</w:t>
            </w:r>
          </w:p>
          <w:p w14:paraId="7055CBFD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tal-valuri tas-suq kurrenti (CMV) tas-settijiet tan-netting kollha b’CMV pożittiv kif definit fl-Artikolu 272(12) tar-Regolament (UE) Nru 575/2013.</w:t>
            </w:r>
          </w:p>
        </w:tc>
      </w:tr>
      <w:tr w:rsidR="00EF74C7" w:rsidRPr="002A677E" w14:paraId="0BB7F6EF" w14:textId="77777777" w:rsidTr="00822842">
        <w:trPr>
          <w:trHeight w:val="680"/>
        </w:trPr>
        <w:tc>
          <w:tcPr>
            <w:tcW w:w="1384" w:type="dxa"/>
          </w:tcPr>
          <w:p w14:paraId="0A3FB298" w14:textId="77777777" w:rsidR="00EF74C7" w:rsidRPr="002A677E" w:rsidRDefault="00EF74C7" w:rsidP="00822842">
            <w:pPr>
              <w:pStyle w:val="Fait"/>
            </w:pPr>
            <w:r>
              <w:t xml:space="preserve">0060</w:t>
            </w:r>
          </w:p>
        </w:tc>
        <w:tc>
          <w:tcPr>
            <w:tcW w:w="7655" w:type="dxa"/>
            <w:vAlign w:val="center"/>
          </w:tcPr>
          <w:p w14:paraId="48B3261E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MARĠNI TA’ VARJAZZJONI (VM), RIĊEVUT</w:t>
            </w:r>
          </w:p>
          <w:p w14:paraId="1BCA2FE2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275(2), 275(3) u 276 tar-Regolament (UE) Nru 575/2013</w:t>
            </w:r>
          </w:p>
          <w:p w14:paraId="369BA28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tal-ammonti tal-marġni ta’ varjazzjoni (VM, variation margin) tal-ftehimiet ta’ marġni kollha li għalihom jiġi riċevut l-MV, ikkalkolati f’konformità mal-Artikolu 276 tar-Regolament (UE) Nru 575/2013.</w:t>
            </w:r>
          </w:p>
        </w:tc>
      </w:tr>
      <w:tr w:rsidR="00EF74C7" w:rsidRPr="002A677E" w14:paraId="6C721687" w14:textId="77777777" w:rsidTr="00822842">
        <w:trPr>
          <w:trHeight w:val="680"/>
        </w:trPr>
        <w:tc>
          <w:tcPr>
            <w:tcW w:w="1384" w:type="dxa"/>
          </w:tcPr>
          <w:p w14:paraId="2B88DE08" w14:textId="77777777" w:rsidR="00EF74C7" w:rsidRPr="002A677E" w:rsidRDefault="00EF74C7" w:rsidP="00822842">
            <w:pPr>
              <w:pStyle w:val="Fait"/>
            </w:pPr>
            <w:r>
              <w:t xml:space="preserve">0070</w:t>
            </w:r>
          </w:p>
        </w:tc>
        <w:tc>
          <w:tcPr>
            <w:tcW w:w="7655" w:type="dxa"/>
            <w:vAlign w:val="center"/>
          </w:tcPr>
          <w:p w14:paraId="3CBA9D04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MARĠINI TA’ VARJAZZJONI (VM), DEPOŻITAT</w:t>
            </w:r>
          </w:p>
          <w:p w14:paraId="5E268090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275(2), 275(3) u 276 tar-Regolament (UE) Nru 575/2013</w:t>
            </w:r>
          </w:p>
          <w:p w14:paraId="061EF38D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tal-ammonti tal-marġni ta’ varjazzjoni (VM) tal-ftehimiet ta’ marġni kollha li għalihom jiġi ddepożitat il-VM, ikkalkolati f’konformità mal-Artikolu 276 tar-Regolament (UE) Nru 575/2013.</w:t>
            </w:r>
          </w:p>
        </w:tc>
      </w:tr>
      <w:tr w:rsidR="00EF74C7" w:rsidRPr="002A677E" w14:paraId="4403BF45" w14:textId="77777777" w:rsidTr="00822842">
        <w:trPr>
          <w:trHeight w:val="680"/>
        </w:trPr>
        <w:tc>
          <w:tcPr>
            <w:tcW w:w="1384" w:type="dxa"/>
          </w:tcPr>
          <w:p w14:paraId="6FD71C9F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0080</w:t>
            </w:r>
          </w:p>
        </w:tc>
        <w:tc>
          <w:tcPr>
            <w:tcW w:w="7655" w:type="dxa"/>
            <w:vAlign w:val="center"/>
          </w:tcPr>
          <w:p w14:paraId="2A71E90A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TA’ KOLLATERAL INDIPENDENTI NETT (NICA), RIĊEVUT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F05E00C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272(12a), 275(3) u 276 tar-Regolament (UE) Nru 575/2013</w:t>
            </w:r>
          </w:p>
          <w:p w14:paraId="4F712E22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tal-ammonti ta’ kollateral indipendenti nett (NICA, net independent collateral amounts) tal-ftehimiet ta’ marġni kollha li għalihom jiġi riċevut in-NICA, ikkalkolati f’konformità mal-Artikolu 276 tar-Regolament (UE) Nru 575/2013.</w:t>
            </w:r>
          </w:p>
        </w:tc>
      </w:tr>
      <w:tr w:rsidR="00EF74C7" w:rsidRPr="002A677E" w14:paraId="6199258D" w14:textId="77777777" w:rsidTr="00822842">
        <w:trPr>
          <w:trHeight w:val="680"/>
        </w:trPr>
        <w:tc>
          <w:tcPr>
            <w:tcW w:w="1384" w:type="dxa"/>
          </w:tcPr>
          <w:p w14:paraId="5ECD89A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</w:t>
            </w:r>
          </w:p>
        </w:tc>
        <w:tc>
          <w:tcPr>
            <w:tcW w:w="7655" w:type="dxa"/>
            <w:vAlign w:val="center"/>
          </w:tcPr>
          <w:p w14:paraId="0E262EAD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TA’ KOLLATERAL INDIPENDENTI NETT (NICA), DEPOŻITAT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9D94B02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272(12a), 275(3) u 276 tar-Regolament (UE) Nru 575/2013</w:t>
            </w:r>
          </w:p>
          <w:p w14:paraId="501F735A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tal-ammonti ta’ kollateral indipendenti nett (NICA) tal-ftehimiet ta’ marġni kollha li għalihom jiġi depożitat in-NICA, ikkalkolati f’konformità mal-Artikolu 276 tar-Regolament (UE) Nru 575/2013.</w:t>
            </w:r>
          </w:p>
        </w:tc>
      </w:tr>
      <w:tr w:rsidR="00EF74C7" w:rsidRPr="002A677E" w14:paraId="1D70BDB1" w14:textId="77777777" w:rsidTr="00822842">
        <w:trPr>
          <w:trHeight w:val="680"/>
        </w:trPr>
        <w:tc>
          <w:tcPr>
            <w:tcW w:w="1384" w:type="dxa"/>
          </w:tcPr>
          <w:p w14:paraId="4B42749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0100</w:t>
            </w:r>
          </w:p>
        </w:tc>
        <w:tc>
          <w:tcPr>
            <w:tcW w:w="7655" w:type="dxa"/>
            <w:vAlign w:val="center"/>
          </w:tcPr>
          <w:p w14:paraId="4F8024BE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 TAS-SOSTITUZZJONI (RC)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020E5CFA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275, 281 u 282 tar-Regolament (UE) Nru 575/2013</w:t>
            </w:r>
          </w:p>
          <w:p w14:paraId="7C118F06" w14:textId="77777777" w:rsidR="00EF74C7" w:rsidRPr="002A677E" w:rsidRDefault="00EF74C7" w:rsidP="00822842">
            <w:pPr>
              <w:pStyle w:val="TableMainHeading"/>
              <w:spacing w:before="0" w:after="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Il-kost tas-sostituzzjoni (RC, replacement cost) għal kull sett tan-netting għandu jiġi kkalkolat f’konformità ma’: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A8DFD4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L-Artikolu 282(3) tar-Regolament (UE) Nru 575/2013 għall-Metodu ta’ Skopertura Oriġinali,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19FA22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l-Artikolu 281 tar-Regolament (UE) Nru 575/2013 għall-SA-CCR Issimplifikat,</w:t>
            </w:r>
          </w:p>
          <w:p w14:paraId="341C9FB7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l-Artikolu 275 tar-Regolament (UE) Nru 575/2013 għall-SA-CCR.</w:t>
            </w:r>
          </w:p>
          <w:p w14:paraId="4927F863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tal-kostijiet tas-sostituzzjoni tas-settijiet tan-netting fir-ringiela rispettiva.</w:t>
            </w:r>
          </w:p>
        </w:tc>
      </w:tr>
      <w:tr w:rsidR="00EF74C7" w:rsidRPr="002A677E" w14:paraId="6A436014" w14:textId="77777777" w:rsidTr="00822842">
        <w:trPr>
          <w:trHeight w:val="680"/>
        </w:trPr>
        <w:tc>
          <w:tcPr>
            <w:tcW w:w="1384" w:type="dxa"/>
          </w:tcPr>
          <w:p w14:paraId="0929ECF8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0110</w:t>
            </w:r>
          </w:p>
        </w:tc>
        <w:tc>
          <w:tcPr>
            <w:tcW w:w="7655" w:type="dxa"/>
            <w:vAlign w:val="center"/>
          </w:tcPr>
          <w:p w14:paraId="2874AC61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POTENZJALI FUTURA (PFE)</w:t>
            </w:r>
          </w:p>
          <w:p w14:paraId="1F05C741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278, 281 u 282 tar-Regolament (UE) Nru 575/2013</w:t>
            </w:r>
          </w:p>
          <w:p w14:paraId="3BB9BD10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potenzjali futura (PFE, potential future exposure) għal kull sett tan-netting għandha tiġi kkalkolata f’konformità ma’: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F96EE5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L-Artikolu 282(4) tar-Regolament (UE) Nru 575/2013 għall-Metodu ta’ Skopertura Oriġinali,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C429683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281 tar-Regolament (UE) Nru 575/2013 għall-SA-CCR Issimplifikat,</w:t>
            </w:r>
          </w:p>
          <w:p w14:paraId="6194F2AF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l-Artikolu 278 tar-Regolament (UE) Nru 575/2013 għall-SA-CCR.</w:t>
            </w:r>
          </w:p>
          <w:p w14:paraId="2A2F0E46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tal-iskoperturi potenzjali futuri kollha tas-settijiet tan-netting fir-ringiela rispettiva.</w:t>
            </w:r>
          </w:p>
        </w:tc>
      </w:tr>
      <w:tr w:rsidR="00EF74C7" w:rsidRPr="002A677E" w14:paraId="77C5A8CC" w14:textId="77777777" w:rsidTr="00822842">
        <w:trPr>
          <w:trHeight w:val="680"/>
        </w:trPr>
        <w:tc>
          <w:tcPr>
            <w:tcW w:w="1384" w:type="dxa"/>
          </w:tcPr>
          <w:p w14:paraId="35C9D88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0120</w:t>
            </w:r>
          </w:p>
        </w:tc>
        <w:tc>
          <w:tcPr>
            <w:tcW w:w="7655" w:type="dxa"/>
            <w:vAlign w:val="center"/>
          </w:tcPr>
          <w:p w14:paraId="1B837C4C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ATTWALI</w:t>
            </w:r>
          </w:p>
          <w:p w14:paraId="1E442243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272(17)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6E33616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attwali għal kull sett tan-netting għandha tkun il-valur kif definit fl-Artikolu 272(17) tar-Regolament (UE) Nru 575/2013.</w:t>
            </w:r>
          </w:p>
          <w:p w14:paraId="459ECA5A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tal-iskoperturi attwali kollha tas-settijiet tan-netting fir-ringiela rispettiva.</w:t>
            </w:r>
          </w:p>
        </w:tc>
      </w:tr>
      <w:tr w:rsidR="00EF74C7" w:rsidRPr="002A677E" w14:paraId="1B8ACD23" w14:textId="77777777" w:rsidTr="00822842">
        <w:trPr>
          <w:trHeight w:val="680"/>
        </w:trPr>
        <w:tc>
          <w:tcPr>
            <w:tcW w:w="1384" w:type="dxa"/>
          </w:tcPr>
          <w:p w14:paraId="74E98C9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0130</w:t>
            </w:r>
          </w:p>
        </w:tc>
        <w:tc>
          <w:tcPr>
            <w:tcW w:w="7655" w:type="dxa"/>
            <w:vAlign w:val="center"/>
          </w:tcPr>
          <w:p w14:paraId="3EC3B867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POŻITTIVA EFFETTIVA MISTENNIJA (EEPE)</w:t>
            </w:r>
          </w:p>
          <w:p w14:paraId="758613C4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272(22) u 284(3) u 284(6) tar-Regolament (UE) Nru 575/2013</w:t>
            </w:r>
          </w:p>
          <w:p w14:paraId="33B149EE" w14:textId="77777777" w:rsidR="00EF74C7" w:rsidRPr="002A677E" w:rsidRDefault="00EF74C7" w:rsidP="00822842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L-EPE effettiva għal kull sett tan-netting hija definita fl-Artikolu 272(22) tar-Regolament (UE) Nru 575/2013 u għandha tiġi kkalkolata f’konformità mal-Artikolu 284(6) tar-Regolament (UE) Nru 575/2013.</w:t>
            </w:r>
          </w:p>
          <w:p w14:paraId="336DEF87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t-total tal-EPE effettivi kollha applikati għad-determinazzjoni tar-rekwiżiti ta’ fondi proprji f’konformità mal-Artikolu 284(3) tar-Regolament (UE) Nru 575/2013, jiġifieri l-EPE effettiva kkalkolata bl-użu tad-data tas-suq kurrenti, jew l-EPE effettiva kkalkolata bl-użu ta’ kalibrazzjoni tal-kondizzjonijiet ta’ kriżi, skont liema jwassal għal rekwiżit ta’ fondi proprji ogħla.</w:t>
            </w:r>
          </w:p>
        </w:tc>
      </w:tr>
      <w:tr w:rsidR="00EF74C7" w:rsidRPr="002A677E" w14:paraId="663F4BA2" w14:textId="77777777" w:rsidTr="00822842">
        <w:trPr>
          <w:trHeight w:val="680"/>
        </w:trPr>
        <w:tc>
          <w:tcPr>
            <w:tcW w:w="1384" w:type="dxa"/>
          </w:tcPr>
          <w:p w14:paraId="36EC68F2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0140</w:t>
            </w:r>
          </w:p>
        </w:tc>
        <w:tc>
          <w:tcPr>
            <w:tcW w:w="7655" w:type="dxa"/>
            <w:vAlign w:val="center"/>
          </w:tcPr>
          <w:p w14:paraId="2682CC5B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ALFA UŻATA GĦALL-KOMPUTAZZJONI TAL-VALUR TAL-ISKOPERTURA REGOLATORJA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02E67AA1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274(2), 282(2), 281(1), 284(4) u (9) tar-Regolament (UE) Nru 575/2013</w:t>
            </w:r>
          </w:p>
          <w:p w14:paraId="5EFB3579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ta’ α huwa ffissat bħala 1,4 fir-ringieli għal OEM, SA-CCR Issimplifikat u SA-CCR f’konformità mal-Artikoli 282(2), 281(1) u 274(2)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Għall-finijiet ta’ IMM, il-valur ta’ α jista’ jkun dak prestabbilit ta’ 1,4 jew differenti meta l-awtoritajiet kompetenti jeħtieġu α ogħla f’konformità mal-Artikolu 284(4) tar-Regolament (UE) Nru 575/2013 jew jippermettu lill-istituzzjonijiet jużaw l-istimi tagħhom stess f’konformità mal-Artikolu 284(9) ta’ dak ir-Regolament.</w:t>
            </w:r>
          </w:p>
        </w:tc>
      </w:tr>
      <w:tr w:rsidR="00EF74C7" w:rsidRPr="002A677E" w14:paraId="04AA2156" w14:textId="77777777" w:rsidTr="00822842">
        <w:trPr>
          <w:trHeight w:val="680"/>
        </w:trPr>
        <w:tc>
          <w:tcPr>
            <w:tcW w:w="1384" w:type="dxa"/>
          </w:tcPr>
          <w:p w14:paraId="25456D2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0150</w:t>
            </w:r>
          </w:p>
        </w:tc>
        <w:tc>
          <w:tcPr>
            <w:tcW w:w="7655" w:type="dxa"/>
          </w:tcPr>
          <w:p w14:paraId="737A43B1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 QABEL IS-CRM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483D02B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qabel is-CRM għas-settijiet tan-netting tas-CCR għandu jiġi kkalkolat f’konformità mal-metodi stabbiliti fit-Tielet Parti, it-Titolu II, il-Kapitoli 4 u 6, tar-Regolament (UE) Nru 575/2013 filwaqt li jitqies l-effett tan-netting, iżda tiġi injorata kwalunkwe teknika oħra ta’ mitigazzjoni tar-riskju ta’ kreditu (eż. kollateral ta’ marġni).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FD5C6A1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SFTs, il-komponent tat-titolu ma għandux jiġi kkunsidrat fid-determinazzjoni tal-valur tal-iskopertura ta’ qabel is-CRM meta jiġi riċevut il-kollateral u, għalhekk, ma għandux inaqqas il-valur tal-iskopertura.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Għall-kuntrarju, il-komponent tat-titolu ta’ tranżazzjoni li tiffinanzja it-titoli għandu jiġi kkunsidrat fid-determinazzjoni tal-valur tal-iskopertura ta’ qabel is-CRM bil-mod regolari meta jiġi ddepożitat il-kollateral.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731F37F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Barra minn hekk, negozju kollateralizzat għandu jiġi ttrattat bħala mhux kollateralizzat, jiġifieri ma japplika l-ebda effett ta’ marġinazzjoni.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256FCEC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qabel is-CRM għal tranżazzjonijiet fejn ġie identifikat riskju speċifiku ta’ korrelazzjoni negattiva jrid jiġi determinat f’konformità mal-Artikolu 291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E319C8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ta’ qabel is-CRM ma għandux iqis it-tnaqqis tat-telf ta’ CVA mġarrab f’konformità mal-Artikolu 273(6)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04F1374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tal-valuri kollha tal-iskopertura qabel is-CRM fir-ringiela rispettiva.</w:t>
            </w:r>
          </w:p>
        </w:tc>
      </w:tr>
      <w:tr w:rsidR="00EF74C7" w:rsidRPr="002A677E" w14:paraId="79D7A4AF" w14:textId="77777777" w:rsidTr="00822842">
        <w:trPr>
          <w:trHeight w:val="680"/>
        </w:trPr>
        <w:tc>
          <w:tcPr>
            <w:tcW w:w="1384" w:type="dxa"/>
          </w:tcPr>
          <w:p w14:paraId="0DCD8BB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0160</w:t>
            </w:r>
          </w:p>
        </w:tc>
        <w:tc>
          <w:tcPr>
            <w:tcW w:w="7655" w:type="dxa"/>
          </w:tcPr>
          <w:p w14:paraId="2175395B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 WARA S-CRM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9261E0B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wara s-CRM għas-settijiet tan-netting tas-CCR għandu jiġi kkalkolat f’konformità mal-metodi stabbiliti fit-Tielet Parti, it-Titolu II, il-Kapitoli 4 u 6, tar-Regolament (UE) Nru 575/2013, wara li jiġu applikati t-tekniki tas-CRM kif applikabbli f’konformità mat-Tielet Parti, it-Titolu II, il-Kapitoli 4 u 6, ta’ dak ir-Regolament.</w:t>
            </w:r>
          </w:p>
          <w:p w14:paraId="365B5880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wara s-CRM għal tranżazzjonijiet fejn ġie identifikat riskju speċifiku ta’ korrelazzjoni negattiva jrid jiġi determinat f’konformità mal-Artikolu 291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5EEB6F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wara s-CRM ma għandux iqis it-tnaqqis tat-telf ta’ CVA mġarrab f’konformità mal-Artikolu 273(6) tar-Regolament (UE) Nru 575/2013.</w:t>
            </w:r>
          </w:p>
          <w:p w14:paraId="797ADF5B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tal-valuri kollha tal-iskopertura wara s-CRM fir-ringiela rispettiva.</w:t>
            </w:r>
          </w:p>
        </w:tc>
      </w:tr>
      <w:tr w:rsidR="00EF74C7" w:rsidRPr="002A677E" w14:paraId="45FF5B7E" w14:textId="77777777" w:rsidTr="00822842">
        <w:trPr>
          <w:trHeight w:val="680"/>
        </w:trPr>
        <w:tc>
          <w:tcPr>
            <w:tcW w:w="1384" w:type="dxa"/>
          </w:tcPr>
          <w:p w14:paraId="60D5CCE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0170</w:t>
            </w:r>
          </w:p>
        </w:tc>
        <w:tc>
          <w:tcPr>
            <w:tcW w:w="7655" w:type="dxa"/>
            <w:vAlign w:val="center"/>
          </w:tcPr>
          <w:p w14:paraId="05219E98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</w:p>
          <w:p w14:paraId="75CDF24D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għal settijiet tan-netting tas-CCR ikkalkolat f’konformità mal-metodi stabbiliti fit-Tielet Parti, it-Titolu II, il-Kapitoli 4 u 6, tar-Regolament (UE) Nru 575/2013, li huwa l-ammont rilevanti għall-kalkolu tal-ammonti tal-iskopertura ponderati għar-riskju, jiġifieri li jkunu applikaw tekniki CRM kif applikabbli f’konformità mat-Tielet Parti, it-Titolu II, il-Kapitoli 4 u 6, tar-Regolament (UE) Nru 575/2013 u filwaqt li jitqies it-tnaqqis tat-telf ta’ CVA mġarrab f’konformità ma-Artikolu 273(6)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8D55FF1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għal tranżazzjonijiet fejn ġie identifikat riskju speċifiku ta’ korrelazzjoni negattiva jrid jiġi determinat f’konformità mal-Artikolu 291 tar-Regolament (UE) Nru 575/2013.</w:t>
            </w:r>
          </w:p>
          <w:p w14:paraId="2CCE9704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każijiet meta jintuża aktar minn approċċ wieħed tas-CCR għal kontroparti waħda, it-telf tas-CVA mġarrab, li jitnaqqas fil-livell tal-kontroparti, għandu jiġi assenjat għall-valur tal-iskopertura tas-settijiet tan-netting differenti f’kull approċċ tas-CCR li jirriflettu l-proporzjon tal-valur tal-iskopertura wara s-CRM tas-settijiet tan-netting rispettivi għall-valur tal-iskopertura totali wara s-CRM tal-kontroparti.</w:t>
            </w:r>
          </w:p>
          <w:p w14:paraId="0C842EAD" w14:textId="77777777" w:rsidR="00EF74C7" w:rsidRPr="002A677E" w:rsidRDefault="00EF74C7" w:rsidP="00822842">
            <w:r>
              <w:rPr>
                <w:sz w:val="24"/>
                <w:rFonts w:ascii="Times New Roman" w:hAnsi="Times New Roman"/>
              </w:rPr>
              <w:t xml:space="preserve">L-istituzzjoni għandha tirrapporta s-somma tal-valuri kollha tal-iskoperturi fir-ringiela rispettiva.</w:t>
            </w:r>
          </w:p>
        </w:tc>
      </w:tr>
      <w:tr w:rsidR="00EF74C7" w:rsidRPr="002A677E" w14:paraId="06C4F9AA" w14:textId="77777777" w:rsidTr="00822842">
        <w:trPr>
          <w:trHeight w:val="680"/>
        </w:trPr>
        <w:tc>
          <w:tcPr>
            <w:tcW w:w="1384" w:type="dxa"/>
          </w:tcPr>
          <w:p w14:paraId="7065D6E6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0180</w:t>
            </w:r>
          </w:p>
        </w:tc>
        <w:tc>
          <w:tcPr>
            <w:tcW w:w="7655" w:type="dxa"/>
          </w:tcPr>
          <w:p w14:paraId="0DF22580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trattati bl-Approċċ Standardizzat CR</w:t>
            </w:r>
          </w:p>
          <w:p w14:paraId="1D95615D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għas-CCR ta’ pożizzjonijiet li huma trattati bl-approċċ standardizzat għar-riskju ta’ kreditu f’konformità mat-Tielet Parti, it-Titolu II, il-Kapitolu 2, tar-Regolament (UE) Nru 575/2013.</w:t>
            </w:r>
          </w:p>
        </w:tc>
      </w:tr>
      <w:tr w:rsidR="00EF74C7" w:rsidRPr="002A677E" w14:paraId="16278C7D" w14:textId="77777777" w:rsidTr="00822842">
        <w:trPr>
          <w:trHeight w:val="557"/>
        </w:trPr>
        <w:tc>
          <w:tcPr>
            <w:tcW w:w="1384" w:type="dxa"/>
          </w:tcPr>
          <w:p w14:paraId="4DAAB02B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0190</w:t>
            </w:r>
          </w:p>
        </w:tc>
        <w:tc>
          <w:tcPr>
            <w:tcW w:w="7655" w:type="dxa"/>
          </w:tcPr>
          <w:p w14:paraId="2835516A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trattati bl-Approċċ CR IRB</w:t>
            </w:r>
          </w:p>
          <w:p w14:paraId="208129A6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għas-CCR ta’ pożizzjonijiet li huma trattati bl-approċċ IRB għar-riskju ta’ kreditu f’konformità mat-Tielet Parti, it-Titolu II, il-Kapitolu 3,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1D9862B5" w14:textId="77777777" w:rsidTr="00822842">
        <w:trPr>
          <w:trHeight w:val="680"/>
        </w:trPr>
        <w:tc>
          <w:tcPr>
            <w:tcW w:w="1384" w:type="dxa"/>
          </w:tcPr>
          <w:p w14:paraId="06456052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0200</w:t>
            </w:r>
          </w:p>
        </w:tc>
        <w:tc>
          <w:tcPr>
            <w:tcW w:w="7655" w:type="dxa"/>
          </w:tcPr>
          <w:p w14:paraId="2E8CD327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TAL-ISKOPERTURA PONDERATI GĦAR-RISKJU</w:t>
            </w:r>
          </w:p>
          <w:p w14:paraId="6B8D3CD5" w14:textId="6159F38D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għas-CCR kif definit fl-Artikolu 92(3) tar-Regolament (UE) Nru 575/2013, ikkalkolati f’konformità mal-metodi stabbiliti fit-Tielet Parti, it-Titolu II, il-Kapitoli 2 u 3.</w:t>
            </w:r>
          </w:p>
          <w:p w14:paraId="2463A407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l-fatturi ta’ appoġġ tal-SMEs u l-infrastruttura stabbiliti fl-Artikolu 501 u l-Artikolu 501a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5E0D0D2F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7C23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485F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trattati bl-Approċċ Standardizzat CR</w:t>
            </w:r>
          </w:p>
          <w:p w14:paraId="6E572F83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għall-iskoperturi tas-CCR li huma trattati bl-approċċ standardizzat għar-riskju ta’ kreditu f’konformità mat-Tielet Parti, it-Titolu II, il-Kapitolu 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1C6ADFA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jikkorrispondi għall-ammont li għandu jiġi inkluż fil-kolonna 0220 tal-formola C 07.00 għall-pożizzjonijiet tas-CCR.</w:t>
            </w:r>
          </w:p>
        </w:tc>
      </w:tr>
      <w:tr w:rsidR="00EF74C7" w:rsidRPr="002A677E" w14:paraId="5C365203" w14:textId="77777777" w:rsidTr="00822842">
        <w:trPr>
          <w:trHeight w:val="4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BB36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D91E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trattati bl-Approċċ CR IRB</w:t>
            </w:r>
          </w:p>
          <w:p w14:paraId="51FF06D9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għall-iskoperturi tas-CCR li huma trattati bl-approċċ IRB għar-riskju ta’ kreditu f’konformità mat-Tielet Parti, it-Titolu II, il-Kapitolu 3 tar-Regolament (UE) Nru 575/2013.</w:t>
            </w:r>
          </w:p>
          <w:p w14:paraId="3FB6A074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jikkorrispondi għall-ammont li għandu jiġi inkluż fil-kolonna 0260 tal-formola C 08.01 għall-pożizzjonijiet tas-CCR.</w:t>
            </w:r>
          </w:p>
        </w:tc>
      </w:tr>
      <w:tr w:rsidR="00EF74C7" w:rsidRPr="002A677E" w14:paraId="5B077F8A" w14:textId="77777777" w:rsidTr="00822842">
        <w:trPr>
          <w:trHeight w:val="4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2F0F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0230-0250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107E" w14:textId="77777777" w:rsidR="00EF74C7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MINIMU TAL-OUTPUT</w:t>
            </w:r>
          </w:p>
          <w:p w14:paraId="78547488" w14:textId="2021F309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soġġetti għall-minimu tal-output skont l-Artikolu 92(3) tar-Regolament (UE) Nru 575/2013.</w:t>
            </w:r>
          </w:p>
        </w:tc>
      </w:tr>
      <w:tr w:rsidR="00EF74C7" w:rsidRPr="002A677E" w14:paraId="3A5FB9BE" w14:textId="77777777" w:rsidTr="00822842">
        <w:trPr>
          <w:trHeight w:val="4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ADF8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DEF5" w14:textId="77777777" w:rsidR="00EF74C7" w:rsidRDefault="00EF74C7" w:rsidP="00822842">
            <w:pPr>
              <w:rPr>
                <w:rStyle w:val="InstructionsTabelleberschrift"/>
                <w:sz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 GĦALL-KALKOLU TA’ S-TREA</w:t>
            </w:r>
          </w:p>
          <w:p w14:paraId="076EA294" w14:textId="45BB26AF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Il-valur tal-iskopertura</w:t>
            </w:r>
            <w:r>
              <w:rPr>
                <w:sz w:val="24"/>
                <w:rFonts w:ascii="Times New Roman" w:hAnsi="Times New Roman"/>
              </w:rPr>
              <w:t xml:space="preserve"> tal-iskoperturi tas-CCR inkluż fil-kalkolu tal-Ammont standardizzat tal-iskopertura totali għar-riskju (S-TREA, Standardised total risk exposure amount) ikkalkolat f’konformità mal-Artikolu 92(5)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tar-Regolament (UE) Nru 575/2013.</w:t>
            </w:r>
          </w:p>
        </w:tc>
      </w:tr>
      <w:tr w:rsidR="00EF74C7" w:rsidRPr="002A677E" w14:paraId="1F014AF0" w14:textId="77777777" w:rsidTr="00822842">
        <w:trPr>
          <w:trHeight w:val="4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8DC9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10BE" w14:textId="77777777" w:rsidR="00EF74C7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3E780FC2" w14:textId="37C7D341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standardizzat tal-iskopertura totali għar-riskju (S-TREA) tal-iskoperturi tas-CCR ikkalkolat f’konformità mal-Artikolu 92(5) tar-Regolament (UE) Nru 575/2013.</w:t>
            </w:r>
          </w:p>
        </w:tc>
      </w:tr>
      <w:tr w:rsidR="00EF74C7" w:rsidRPr="002A677E" w14:paraId="1D87E276" w14:textId="77777777" w:rsidTr="00822842">
        <w:trPr>
          <w:trHeight w:val="4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9B47" w14:textId="77777777" w:rsidR="00EF74C7" w:rsidRPr="002A677E" w:rsidRDefault="00EF74C7" w:rsidP="00822842">
            <w:pPr>
              <w:pStyle w:val="Applicationdirecte"/>
              <w:spacing w:before="0"/>
              <w:jc w:val="left"/>
            </w:pPr>
            <w:r>
              <w:t xml:space="preserve">0250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AE36" w14:textId="77777777" w:rsidR="00EF74C7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ENTRATI TA’ MEMORANDUM: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RWEA RELATAT MAL-IMPATT TAL-APPLIKAZZJONI TAL-ARTIKOLU 465(4) TAR-REGOLAMENT (UE) NRU 575/2013</w:t>
            </w:r>
          </w:p>
          <w:p w14:paraId="5E592907" w14:textId="45615761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465(4)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Għandha tiġi rrapportata d-differenza bejn l-ammont ta’ RWEA mingħajr l-applikazzjoni tad-dispożizzjonijiet tranżizzjonali u l-ammont ta’ RWEA bl-applikazzjoni tad-dispożizzjonijiet tranżizzjonali.</w:t>
            </w:r>
          </w:p>
        </w:tc>
      </w:tr>
      <w:tr w:rsidR="00EF74C7" w:rsidRPr="002A677E" w14:paraId="1B6FFD25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79872" w14:textId="77777777" w:rsidR="00EF74C7" w:rsidRPr="002A677E" w:rsidRDefault="00EF74C7" w:rsidP="00822842">
            <w:pPr>
              <w:pStyle w:val="TableMainHeading"/>
              <w:spacing w:before="6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74C7" w:rsidRPr="002A677E" w14:paraId="25C8F0DC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4F42F8" w14:textId="77777777" w:rsidR="00EF74C7" w:rsidRPr="002A677E" w:rsidRDefault="00EF74C7" w:rsidP="00822842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7053F9E4" w14:textId="77777777" w:rsidTr="00822842">
        <w:trPr>
          <w:trHeight w:val="680"/>
        </w:trPr>
        <w:tc>
          <w:tcPr>
            <w:tcW w:w="1384" w:type="dxa"/>
          </w:tcPr>
          <w:p w14:paraId="28CCF211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</w:tcPr>
          <w:p w14:paraId="596F329B" w14:textId="77777777" w:rsidR="00EF74C7" w:rsidRPr="002A677E" w:rsidRDefault="00EF74C7" w:rsidP="00822842">
            <w:pPr>
              <w:pStyle w:val="TableMainHeading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METODU TA’ SKOPERTURA ORIĠINALI (GĦAD-DERIVATTIVI)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9F53DE3" w14:textId="77777777" w:rsidR="00EF74C7" w:rsidRPr="002A677E" w:rsidRDefault="00EF74C7" w:rsidP="00822842">
            <w:pPr>
              <w:pStyle w:val="TableMainHeading"/>
              <w:spacing w:before="60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 tranżazzjonijiet ta’ saldu fit-tul li għalihom l-istituzzjoni tikkalkola l-valur tal-iskopertura f’konformità mat-Tielet Parti, it-Titolu II, il-Kapitolu 6, it-Taqsima 5,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il-metodu simplifikat għall-kalkolu tal-valur tal-iskopertura jista’ jintuża biss minn istituzzjonijiet li jissodisfaw il-kundizzjonijiet stabbiliti fl-Artikolu 273a(2) jew 273a(4) tar-Regolament (UE) Nru 575/2013.</w:t>
            </w:r>
          </w:p>
        </w:tc>
      </w:tr>
      <w:tr w:rsidR="00EF74C7" w:rsidRPr="002A677E" w14:paraId="506E7A5E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8428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D4C2" w14:textId="77777777" w:rsidR="00EF74C7" w:rsidRPr="002A677E" w:rsidRDefault="00EF74C7" w:rsidP="00822842">
            <w:pPr>
              <w:pStyle w:val="TableMainHeading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STANDARDIZZAT SIMPLIFIKAT GĦAS-CCR (SA-CCR ISSIMPLIFIKAT GĦAD-DERIVATTIVI)</w:t>
            </w:r>
          </w:p>
          <w:p w14:paraId="0C771BB4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 tranżazzjonijiet ta’ saldu fit-tul li għalihom l-istituzzjoni tikkalkola l-valur tal-iskopertura f’konformità mat-Tielet Parti, it-Titolu II, il-Kapitolu 6, it-Taqsima 4,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l-approċċ standardizzat għall-kalkolu tal-valur tal-iskopertura jista’ jintuża biss minn istituzzjonijiet li jissodisfaw il-kundizzjonijiet stabbiliti fl-Artikolu 273a(1) jew 273a(4)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748CED8F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7E8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6E5E" w14:textId="77777777" w:rsidR="00EF74C7" w:rsidRPr="002A677E" w:rsidRDefault="00EF74C7" w:rsidP="00822842">
            <w:pPr>
              <w:pStyle w:val="TableMainHeading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STANDARDIZZAT GĦAS-CCR (SA-CCR GĦAD-DERIVATTIVI)</w:t>
            </w:r>
          </w:p>
          <w:p w14:paraId="771ED2E1" w14:textId="77777777" w:rsidR="00EF74C7" w:rsidRPr="002A677E" w:rsidRDefault="00EF74C7" w:rsidP="00822842">
            <w:pPr>
              <w:pStyle w:val="TableMainHeading"/>
              <w:spacing w:before="60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 tranżazzjonijiet ta’ saldu fit-tul li għalihom l-istituzzjoni tikkalkola l-valur tal-iskopertura f’konformità mat-Tielet Parti, it-Titolu II, il-Kapitolu 6, it-Taqsima 3, tar-Regolament (UE) Nru 575/2013.</w:t>
            </w:r>
          </w:p>
        </w:tc>
      </w:tr>
      <w:tr w:rsidR="00EF74C7" w:rsidRPr="002A677E" w14:paraId="3888C154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F7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5DC7" w14:textId="77777777" w:rsidR="00EF74C7" w:rsidRPr="002A677E" w:rsidRDefault="00EF74C7" w:rsidP="00822842">
            <w:pPr>
              <w:pStyle w:val="TableMainHeading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IMM (GĦAD-DERIVATTIVI U L-SFTS)</w:t>
            </w:r>
          </w:p>
          <w:p w14:paraId="19499FEB" w14:textId="77777777" w:rsidR="00EF74C7" w:rsidRPr="002A677E" w:rsidRDefault="00EF74C7" w:rsidP="00822842">
            <w:pPr>
              <w:pStyle w:val="TableMainHeading"/>
              <w:spacing w:before="60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Derivattivi, tranżazzjonijiet ta’ saldu fit-tul u SFTs li għalihom l-istituzzjoni ġiet permessa tikkalkola l-valur tal-iskopertura bl-użu tal-Metodu tal-Mudelli Interni (IMM, Internal Model Method) f’konformità mat-Tielet Parti, it-Titolu II, il-Kapitolu 6, it-Taqsima 6, tar-Regolament (UE) Nru 575/2013.</w:t>
            </w:r>
          </w:p>
        </w:tc>
      </w:tr>
      <w:tr w:rsidR="00EF74C7" w:rsidRPr="002A677E" w14:paraId="4C30A077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8DE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CD4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ta’ tranżazzjonijiet ta’ finanzjament tat-titoli</w:t>
            </w:r>
          </w:p>
          <w:p w14:paraId="08069DA3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Settijiet tan-netting li fihom biss SFTs kif definit fl-Artikolu 4(139) tar-Regolament (UE) Nru 575/2013, li għalihom l-istituzzjoni ġiet permessa tiddetermina l-valur tal-iskopertura bl-użu tal-IMM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00DA27AC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STFs li huma inklużi f’sett tan-netting kuntrattwali bejn prodotti differenti u għalhekk huma rrapportati fir-ringiela 0070 ma għandhomx ikunu rrapportati f’din ir-ringiela.</w:t>
            </w:r>
          </w:p>
        </w:tc>
      </w:tr>
      <w:tr w:rsidR="00EF74C7" w:rsidRPr="002A677E" w14:paraId="371AD188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CAC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0060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A0D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ta’ derivattivi u tranżazzjonijiet ta’ saldu twil</w:t>
            </w:r>
          </w:p>
          <w:p w14:paraId="0E97A475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Settijiet tan-netting li fihom biss strumenti derivattivi elenkati fl-Anness II tar-Regolament (UE) Nru 575/2013 u tranżazzjonijiet ta’ saldu twil kif definit fl-Artikolu 272(2) tar-Regolament (UE) Nru 575/2013, li għalihom l-istituzzjoni ġiet permessa tiddetermina l-valur tal-iskopertura bl-użu tal-IMM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6A8CD02A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 Tranżazzjonijiet ta’ Saldu fit-Tul li huma inklużi f’sett ta’ Netting Bejn Prodotti Differenti kuntrattwali u għalhekk irrapportati fir-ringiela 0070 ma għandhomx ikunu rrapportati f’din ir-ringiela.</w:t>
            </w:r>
          </w:p>
        </w:tc>
      </w:tr>
      <w:tr w:rsidR="00EF74C7" w:rsidRPr="002A677E" w14:paraId="44FA93D4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30B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9BF1" w14:textId="77777777" w:rsidR="00EF74C7" w:rsidRPr="002A677E" w:rsidRDefault="00EF74C7" w:rsidP="00822842">
            <w:pPr>
              <w:pStyle w:val="TableMainHeading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Minn settijiet tan-netting kuntrattwali bejn prodotti differenti</w:t>
            </w:r>
          </w:p>
          <w:p w14:paraId="118D66FD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272(11) u (25) tar-Regolament (UE) Nru 575/2013</w:t>
            </w:r>
          </w:p>
          <w:p w14:paraId="78B4A3BD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Settijiet tan-netting li fihom tranżazzjonijiet ta’ kategoriji ta’ prodotti differenti (l-Artikolu 272(11) tar-Regolament (UE) Nru 575/2013), jiġifieri derivattivi u SFTs li għalihom jeżisti ftehim ta’ netting kuntrattwali bejn prodotti differenti kif definit fl-Artikolu 272(25) tar-Regolament (UE) Nru 575/2013 u li għalihom l-istituzzjoni ġiet permessa tiddetermina l-valur tal-iskopertura billi tuża l-IMM.</w:t>
            </w:r>
          </w:p>
        </w:tc>
      </w:tr>
      <w:tr w:rsidR="00EF74C7" w:rsidRPr="002A677E" w14:paraId="24E58508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03C1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0080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F7D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METODU SEMPLIĊI TAL-KOLLATERAL FINANZJARJU (GĦALL-SFTS)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E933FE3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222 tar-Regolament (UE) Nru 575/2013</w:t>
            </w:r>
          </w:p>
          <w:p w14:paraId="1206AB47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ta’ riakkwist, tranżazzjonijiet ta’ għoti jew teħid b’self ta’ titoli jew ta’ komoditajiet, tranżazzjonijiet ta’ saldu twil u tranżazzjonijiet ta’ self b’marġni li għalihom l-istituzzjoni għażlet li tiddetermina l-valur tal-iskopertura f’konformità mal-Artikolu 222 tar-Regolament (UE) Nru 575/2013 għall-kuntrarju tat-Tielet Parti, it-Titolu II, il-Kapitolu 6, ta’ dak ir-Regolament f’konformità mal-Artikolu 271(2) tal-istess Regolament.</w:t>
            </w:r>
          </w:p>
        </w:tc>
      </w:tr>
      <w:tr w:rsidR="00EF74C7" w:rsidRPr="002A677E" w14:paraId="273C9B74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4D4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D683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METODU KOMPRENSIV TAL-KOLLATERAL FINANZJARJU (GĦALL-SFTS)</w:t>
            </w:r>
          </w:p>
          <w:p w14:paraId="13A72AE5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220 u 223 tar-Regolament (UE) Nru 575/2013</w:t>
            </w:r>
          </w:p>
          <w:p w14:paraId="0F255BBA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ta’ riakkwist, tranżazzjonijiet ta’ għoti jew teħid b’self ta’ titoli jew ta’ komoditajiet, tranżazzjonijiet ta’ saldu twil u tranżazzjonijiet ta’ self b’marġni li għalihom l-istituzzjoni għażlet li tiddetermina l-valur tal-iskopertura f’konformità mal-Artikolu 223 tar-Regolament (UE) Nru 575/2013 għall-kuntrarju tat-Tielet Parti, it-Titolu II, il-Kapitolu 6, ta’ dak ir-Regolament f’konformità mal-Artikolu 271(2) tal-istess Regolament.</w:t>
            </w:r>
          </w:p>
        </w:tc>
      </w:tr>
      <w:tr w:rsidR="00EF74C7" w:rsidRPr="002A677E" w14:paraId="047FCA6D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836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0100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3DEB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 GĦALL-SFTS</w:t>
            </w:r>
          </w:p>
          <w:p w14:paraId="769E33FD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221 tar-Regolament (UE) Nru 575/2013</w:t>
            </w:r>
          </w:p>
          <w:p w14:paraId="2E3D6606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ta’ riakkwist, tranżazzjonijiet ta’ għoti jew teħid b’self ta’ titoli jew ta’ komoditajiet jew tranżazzjonijiet ta’ self b’marġni, jew tranżazzjonijiet immotivati mis-suq kapitali għajr tranżazzjonijiet derivattivi li għalihom, f’konformità mal-Artikolu 221 tar-Regolament (UE) Nru 575/2013 u soġġett għall-permess mill-awtorità kompetenti, il-valur tal-iskopertura huwa kkalkolat bl-użu ta’ approċċ ta’ mudelli interni li tikkunsidra l-effetti ta’ korrelazzjoni bejn il-pożizzjonijiet ta’ titoli soġġetti għall-ftehim prinċipali ta’ netting, kif ukoll il-likwidità tal-istrumenti kkonċernati.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35872212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6DB2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250C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</w:t>
            </w:r>
          </w:p>
          <w:p w14:paraId="31701FF7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EF74C7" w:rsidRPr="002A677E" w14:paraId="04998E4D" w14:textId="77777777" w:rsidTr="00822842">
        <w:trPr>
          <w:trHeight w:val="1502"/>
        </w:trPr>
        <w:tc>
          <w:tcPr>
            <w:tcW w:w="1384" w:type="dxa"/>
          </w:tcPr>
          <w:p w14:paraId="1C32D020" w14:textId="77777777" w:rsidR="00EF74C7" w:rsidRPr="002A677E" w:rsidDel="003E0C6A" w:rsidRDefault="00EF74C7" w:rsidP="00822842">
            <w:pPr>
              <w:pStyle w:val="Applicationdirecte"/>
              <w:spacing w:before="60" w:after="0"/>
              <w:jc w:val="left"/>
            </w:pPr>
            <w:r>
              <w:t xml:space="preserve">0120</w:t>
            </w:r>
          </w:p>
        </w:tc>
        <w:tc>
          <w:tcPr>
            <w:tcW w:w="7655" w:type="dxa"/>
          </w:tcPr>
          <w:p w14:paraId="64672F51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SWWR</w:t>
            </w:r>
          </w:p>
          <w:p w14:paraId="658F3281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291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41917746" w14:textId="77777777" w:rsidR="00EF74C7" w:rsidRPr="002A677E" w:rsidDel="003E0C6A" w:rsidRDefault="00EF74C7" w:rsidP="00822842">
            <w:pPr>
              <w:keepNext/>
              <w:spacing w:before="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Skoperturi tas-CCR li għalihom ġie identifikat riskju speċifiku ta’ korrelazzjoni negattiva (SWWR, specific wrong way risk) f’konformità mal-Artikolu 291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EF74C7" w:rsidRPr="002A677E" w14:paraId="59B010B6" w14:textId="77777777" w:rsidTr="00822842">
        <w:trPr>
          <w:trHeight w:val="426"/>
        </w:trPr>
        <w:tc>
          <w:tcPr>
            <w:tcW w:w="1384" w:type="dxa"/>
          </w:tcPr>
          <w:p w14:paraId="11F4D998" w14:textId="77777777" w:rsidR="00EF74C7" w:rsidRPr="002A677E" w:rsidDel="003E0C6A" w:rsidRDefault="00EF74C7" w:rsidP="00822842">
            <w:pPr>
              <w:pStyle w:val="Applicationdirecte"/>
              <w:spacing w:before="60" w:after="0"/>
              <w:jc w:val="left"/>
            </w:pPr>
            <w:r>
              <w:t xml:space="preserve">0130</w:t>
            </w:r>
          </w:p>
        </w:tc>
        <w:tc>
          <w:tcPr>
            <w:tcW w:w="7655" w:type="dxa"/>
          </w:tcPr>
          <w:p w14:paraId="794C69D7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Negozju marġinat</w:t>
            </w:r>
          </w:p>
          <w:p w14:paraId="03856435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272(7)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  <w:p w14:paraId="2F61E58D" w14:textId="77777777" w:rsidR="00EF74C7" w:rsidRPr="002A677E" w:rsidDel="003E0C6A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Skoperturi tas-CCR li huma marġinati, jiġifieri settijiet tan-netting soġġetti għal dwar il-marġni f’konformità mal-Artikolu 272(7)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EF74C7" w:rsidRPr="002A677E" w14:paraId="518FA613" w14:textId="77777777" w:rsidTr="00822842">
        <w:trPr>
          <w:trHeight w:val="829"/>
        </w:trPr>
        <w:tc>
          <w:tcPr>
            <w:tcW w:w="1384" w:type="dxa"/>
          </w:tcPr>
          <w:p w14:paraId="527E02B0" w14:textId="77777777" w:rsidR="00EF74C7" w:rsidRPr="002A677E" w:rsidDel="003E0C6A" w:rsidRDefault="00EF74C7" w:rsidP="00822842">
            <w:pPr>
              <w:pStyle w:val="Applicationdirecte"/>
              <w:spacing w:before="60" w:after="0"/>
              <w:jc w:val="left"/>
            </w:pPr>
            <w:r>
              <w:t xml:space="preserve">0140</w:t>
            </w:r>
          </w:p>
        </w:tc>
        <w:tc>
          <w:tcPr>
            <w:tcW w:w="7655" w:type="dxa"/>
          </w:tcPr>
          <w:p w14:paraId="4739FB5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Negozju mhux marġinat</w:t>
            </w:r>
          </w:p>
          <w:p w14:paraId="166C3DE8" w14:textId="77777777" w:rsidR="00EF74C7" w:rsidRPr="002A677E" w:rsidDel="003E0C6A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tas-CCR mhux koperti fir-ringiela 0130.</w:t>
            </w:r>
          </w:p>
        </w:tc>
      </w:tr>
    </w:tbl>
    <w:p w14:paraId="0EE31AF8" w14:textId="77777777" w:rsidR="00EF74C7" w:rsidRPr="002A677E" w:rsidRDefault="00EF74C7" w:rsidP="00EF74C7">
      <w:pPr>
        <w:rPr>
          <w:rFonts w:ascii="Times New Roman" w:hAnsi="Times New Roman"/>
          <w:noProof/>
          <w:sz w:val="24"/>
        </w:rPr>
      </w:pPr>
    </w:p>
    <w:p w14:paraId="398E5D6F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28" w:name="_Toc19715809"/>
      <w:bookmarkStart w:id="29" w:name="_Toc151714449"/>
      <w:r>
        <w:rPr>
          <w:sz w:val="24"/>
          <w:rFonts w:ascii="Times New Roman" w:hAnsi="Times New Roman"/>
        </w:rPr>
        <w:t xml:space="preserve">C 34.03 - skoperturi tas-CCR trattati b’approċċi standardizzati: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SA-CCR u SA-CCR Issimplifikat</w:t>
      </w:r>
      <w:bookmarkEnd w:id="28"/>
      <w:bookmarkEnd w:id="29"/>
    </w:p>
    <w:p w14:paraId="25A32DCA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30" w:name="_Toc19715810"/>
      <w:bookmarkStart w:id="31" w:name="_Toc151714450"/>
      <w:r>
        <w:rPr>
          <w:sz w:val="24"/>
          <w:rFonts w:ascii="Times New Roman" w:hAnsi="Times New Roman"/>
        </w:rPr>
        <w:t xml:space="preserve">Rimarki ġenerali</w:t>
      </w:r>
      <w:bookmarkEnd w:id="30"/>
      <w:bookmarkEnd w:id="31"/>
    </w:p>
    <w:p w14:paraId="00205649" w14:textId="08D8CDD1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125</w:t>
      </w:r>
      <w:r>
        <w:fldChar w:fldCharType="end"/>
      </w:r>
      <w:r>
        <w:t xml:space="preserve">.</w:t>
      </w:r>
      <w:r>
        <w:t xml:space="preserve"> </w:t>
      </w:r>
      <w:r>
        <w:t xml:space="preserve">Il-formola għandha tintuża b’mod separat għar-rapportar tal-iskoperturi tas-CCR ikkalkolati bl-SA-CCR jew l-SA-CCR Issimplifikat, kif applikabbli.</w:t>
      </w:r>
    </w:p>
    <w:p w14:paraId="739ACEF6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32" w:name="_Toc19715811"/>
      <w:bookmarkStart w:id="33" w:name="_Toc151714451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32"/>
      <w:bookmarkEnd w:id="33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21AD3F40" w14:textId="77777777" w:rsidTr="00822842">
        <w:trPr>
          <w:trHeight w:val="717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502A629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672D2ACD" w14:textId="77777777" w:rsidTr="00822842">
        <w:trPr>
          <w:trHeight w:val="680"/>
        </w:trPr>
        <w:tc>
          <w:tcPr>
            <w:tcW w:w="1384" w:type="dxa"/>
          </w:tcPr>
          <w:p w14:paraId="0E60314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  <w:vAlign w:val="center"/>
          </w:tcPr>
          <w:p w14:paraId="1B4E242B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MUNITA</w:t>
            </w:r>
          </w:p>
          <w:p w14:paraId="1FCE36C7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tranżazzjonijiet ikklassifikati fil-kategorija ta’ riskju taċ-ċaqliq fir-rata tal-imgħax, għandha tiġi rrapportata l-munita ta’ denominazzjoni tat-tranżazzjoni.</w:t>
            </w:r>
          </w:p>
          <w:p w14:paraId="451829C3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tranżazzjonijiet ikklassifikati fil-kategorija ta’ riskju tal-kambju, għandha tiġi rrapportata l-munita ta’ denominazzjoni ta’ waħda miż-żewġ partijiet tat-tranżazzjoni.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idaħħlu l-muniti fl-akkoppjament ta’ muniti f’ordni alfabetika, eż. għad-Dollaru Amerikan/għall-Euro imla din il-kolonna b’EUR u kolonna 0020 b’USD.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0703E4" w14:textId="77777777" w:rsidR="00EF74C7" w:rsidRPr="002A677E" w:rsidRDefault="00EF74C7" w:rsidP="00822842">
            <w:pPr>
              <w:keepNext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jintużaw il-</w:t>
            </w:r>
            <w:hyperlink r:id="rId10" w:history="1">
              <w:r>
                <w:rPr>
                  <w:sz w:val="24"/>
                  <w:rFonts w:ascii="Times New Roman" w:hAnsi="Times New Roman"/>
                </w:rPr>
                <w:t xml:space="preserve">kodiċijiet ISO</w:t>
              </w:r>
            </w:hyperlink>
            <w:r>
              <w:rPr>
                <w:sz w:val="24"/>
                <w:rFonts w:ascii="Times New Roman" w:hAnsi="Times New Roman"/>
              </w:rPr>
              <w:t xml:space="preserve"> tal-munita.</w:t>
            </w:r>
          </w:p>
        </w:tc>
      </w:tr>
      <w:tr w:rsidR="00EF74C7" w:rsidRPr="002A677E" w14:paraId="5C5AF16A" w14:textId="77777777" w:rsidTr="00822842">
        <w:trPr>
          <w:trHeight w:val="680"/>
        </w:trPr>
        <w:tc>
          <w:tcPr>
            <w:tcW w:w="1384" w:type="dxa"/>
          </w:tcPr>
          <w:p w14:paraId="4ACFE6AB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vAlign w:val="center"/>
          </w:tcPr>
          <w:p w14:paraId="24D1130D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IT-TIENI MUNITA F’PAR</w:t>
            </w:r>
          </w:p>
          <w:p w14:paraId="03D4A6E7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tranżazzjonijiet ikklassifikati fil-kategorija ta’ riskju tal-kambju, għandha tiġi rrapportata l-munita ta’ denominazzjoni tal-parti l-oħra tat-tranżazzjoni (fir-rigward ta’ dik ikkunsidrata fil-kolonna 0010).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idaħħlu l-muniti fil-par muniti f’ordni alfabetika, eż. għad-Dollaru Amerikan/għall-Euro imla din il-kolonna b’USD u l-kolonna 0010 b’EUR.</w:t>
            </w:r>
          </w:p>
          <w:p w14:paraId="1013A2D8" w14:textId="77777777" w:rsidR="00EF74C7" w:rsidRPr="002A677E" w:rsidRDefault="00EF74C7" w:rsidP="00822842">
            <w:pPr>
              <w:keepNext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jintużaw il-</w:t>
            </w:r>
            <w:hyperlink r:id="rId11" w:history="1">
              <w:r>
                <w:rPr>
                  <w:sz w:val="24"/>
                  <w:rFonts w:ascii="Times New Roman" w:hAnsi="Times New Roman"/>
                </w:rPr>
                <w:t xml:space="preserve">kodiċijiet ISO</w:t>
              </w:r>
            </w:hyperlink>
            <w:r>
              <w:rPr>
                <w:sz w:val="24"/>
                <w:rFonts w:ascii="Times New Roman" w:hAnsi="Times New Roman"/>
              </w:rPr>
              <w:t xml:space="preserve"> tal-munita.</w:t>
            </w:r>
          </w:p>
        </w:tc>
      </w:tr>
      <w:tr w:rsidR="00EF74C7" w:rsidRPr="002A677E" w14:paraId="269AB735" w14:textId="77777777" w:rsidTr="00822842">
        <w:trPr>
          <w:trHeight w:val="680"/>
        </w:trPr>
        <w:tc>
          <w:tcPr>
            <w:tcW w:w="1384" w:type="dxa"/>
          </w:tcPr>
          <w:p w14:paraId="27EC4B26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0030</w:t>
            </w:r>
          </w:p>
        </w:tc>
        <w:tc>
          <w:tcPr>
            <w:tcW w:w="7655" w:type="dxa"/>
            <w:vAlign w:val="center"/>
          </w:tcPr>
          <w:p w14:paraId="2F0BA9E7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TRANŻAZZJONIJIET</w:t>
            </w:r>
          </w:p>
          <w:p w14:paraId="6D81C620" w14:textId="77777777" w:rsidR="00EF74C7" w:rsidRPr="002A677E" w:rsidRDefault="00EF74C7" w:rsidP="00822842">
            <w:pPr>
              <w:keepNext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0020 fil-formula C 34.02.</w:t>
            </w:r>
          </w:p>
        </w:tc>
      </w:tr>
      <w:tr w:rsidR="00EF74C7" w:rsidRPr="002A677E" w14:paraId="01ECDEDD" w14:textId="77777777" w:rsidTr="00822842">
        <w:trPr>
          <w:trHeight w:val="680"/>
        </w:trPr>
        <w:tc>
          <w:tcPr>
            <w:tcW w:w="1384" w:type="dxa"/>
          </w:tcPr>
          <w:p w14:paraId="1873303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0040</w:t>
            </w:r>
          </w:p>
        </w:tc>
        <w:tc>
          <w:tcPr>
            <w:tcW w:w="7655" w:type="dxa"/>
            <w:vAlign w:val="center"/>
          </w:tcPr>
          <w:p w14:paraId="160D7E2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NOZZJONALI</w:t>
            </w:r>
          </w:p>
          <w:p w14:paraId="1EAD85A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0030 fil-formula C 34.02.</w:t>
            </w:r>
          </w:p>
        </w:tc>
      </w:tr>
      <w:tr w:rsidR="00EF74C7" w:rsidRPr="002A677E" w14:paraId="3AC762E1" w14:textId="77777777" w:rsidTr="00822842">
        <w:trPr>
          <w:trHeight w:val="680"/>
        </w:trPr>
        <w:tc>
          <w:tcPr>
            <w:tcW w:w="1384" w:type="dxa"/>
          </w:tcPr>
          <w:p w14:paraId="772E888B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</w:t>
            </w:r>
          </w:p>
        </w:tc>
        <w:tc>
          <w:tcPr>
            <w:tcW w:w="7655" w:type="dxa"/>
            <w:vAlign w:val="center"/>
          </w:tcPr>
          <w:p w14:paraId="4F39288B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POŻITTIV</w:t>
            </w:r>
          </w:p>
          <w:p w14:paraId="5ED54A90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tas-settijiet ta’ ħħeġġjar kollha b’CMV pożittiv fil-kategorija tar-riskju rispettiva.</w:t>
            </w:r>
          </w:p>
          <w:p w14:paraId="379A6FFF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Is-CMV fuq il-livell tas-sett ta’ ħħeġġjar għandu jiġi ddeterminat billi jiġu nnettjati l-valuri tas-suq pożittivi u negattivi tat-tranżazzjonijiet fi ħdan sett ta’ ħħeġġjar wieħed gross ta’ kwalunkwe kollateral miżmum jew depożitat.</w:t>
            </w:r>
          </w:p>
        </w:tc>
      </w:tr>
      <w:tr w:rsidR="00EF74C7" w:rsidRPr="002A677E" w14:paraId="08BA8DB4" w14:textId="77777777" w:rsidTr="00822842">
        <w:trPr>
          <w:trHeight w:val="680"/>
        </w:trPr>
        <w:tc>
          <w:tcPr>
            <w:tcW w:w="1384" w:type="dxa"/>
          </w:tcPr>
          <w:p w14:paraId="0E291208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0060</w:t>
            </w:r>
          </w:p>
        </w:tc>
        <w:tc>
          <w:tcPr>
            <w:tcW w:w="7655" w:type="dxa"/>
            <w:vAlign w:val="center"/>
          </w:tcPr>
          <w:p w14:paraId="58A56A8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NEGATTIV</w:t>
            </w:r>
          </w:p>
          <w:p w14:paraId="5CF4FB5C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assoluti tas-settijiet ta’ ħħeġġjar kollha b’CMV negattiv fil-kategorija tar-riskju rispettiva.</w:t>
            </w:r>
          </w:p>
          <w:p w14:paraId="3D5BE05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Is-CMV fuq il-livell tas-sett ta’ ħħeġġjar għandu jiġi ddeterminat billi jiġu nnettjati l-valuri tas-suq pożittivi u negattivi tat-tranżazzjonijiet fi ħdan sett ta’ ħħeġġjar wieħed gross ta’ kwalunkwe kollateral miżmum jew depożitat.</w:t>
            </w:r>
          </w:p>
        </w:tc>
      </w:tr>
      <w:tr w:rsidR="00EF74C7" w:rsidRPr="002A677E" w14:paraId="345E1772" w14:textId="77777777" w:rsidTr="00822842">
        <w:trPr>
          <w:trHeight w:val="680"/>
        </w:trPr>
        <w:tc>
          <w:tcPr>
            <w:tcW w:w="1384" w:type="dxa"/>
          </w:tcPr>
          <w:p w14:paraId="77DADDEC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</w:t>
            </w:r>
          </w:p>
        </w:tc>
        <w:tc>
          <w:tcPr>
            <w:tcW w:w="7655" w:type="dxa"/>
            <w:vAlign w:val="center"/>
          </w:tcPr>
          <w:p w14:paraId="22809508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SUPPLIMENT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E215C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280a sa 280f u 281(2) tar-Regolament (UE) Nru 575/2013</w:t>
            </w:r>
          </w:p>
          <w:p w14:paraId="3169F372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tas-supplimenti kollha fis-sett ta’ ħħeġġjar/kategorija ta’ riskju rispettivi.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AD1DD4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Is-suppliment għal kull kategorija ta’ riskju li tintuża biex tiġi determinata l-iskopertura futura potenzjali ta’ sett tan-netting f’konformità mal-Artikolu 278(1) jew l-Artikolu 281(2), il-punt (f), tar-Regolament (UE) Nru 575/2013 għandhom jiġu kkalkolati f’konformità mal-Artikoli 280a sa 280f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Għas-SA-CCR Issimplifikat japplikaw id-dispożizzjonijiet stabbiliti fl-Artikolu 281(2) tar-Regolament (UE) Nru 575/2013.</w:t>
            </w:r>
          </w:p>
        </w:tc>
      </w:tr>
      <w:tr w:rsidR="00EF74C7" w:rsidRPr="002A677E" w14:paraId="2456F0C5" w14:textId="77777777" w:rsidTr="00822842">
        <w:trPr>
          <w:trHeight w:val="680"/>
        </w:trPr>
        <w:tc>
          <w:tcPr>
            <w:tcW w:w="9039" w:type="dxa"/>
            <w:gridSpan w:val="2"/>
            <w:tcBorders>
              <w:left w:val="nil"/>
              <w:right w:val="nil"/>
            </w:tcBorders>
          </w:tcPr>
          <w:p w14:paraId="18B64A8E" w14:textId="77777777" w:rsidR="00EF74C7" w:rsidRPr="002A677E" w:rsidDel="00DF07F8" w:rsidRDefault="00EF74C7" w:rsidP="00822842">
            <w:pPr>
              <w:keepNext/>
              <w:spacing w:before="60"/>
              <w:rPr>
                <w:rFonts w:ascii="Times New Roman" w:hAnsi="Times New Roman"/>
                <w:i/>
                <w:szCs w:val="22"/>
                <w:lang w:eastAsia="en-CA"/>
              </w:rPr>
            </w:pPr>
          </w:p>
        </w:tc>
      </w:tr>
      <w:tr w:rsidR="00EF74C7" w:rsidRPr="002A677E" w14:paraId="0883B7AF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5F7E79" w14:textId="77777777" w:rsidR="00EF74C7" w:rsidRPr="002A677E" w:rsidRDefault="00EF74C7" w:rsidP="00822842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Ringieli</w:t>
            </w:r>
            <w:r>
              <w:rPr>
                <w:b/>
              </w:rPr>
              <w:t xml:space="preserve"> </w:t>
            </w:r>
          </w:p>
        </w:tc>
      </w:tr>
      <w:tr w:rsidR="00EF74C7" w:rsidRPr="002A677E" w14:paraId="3248D686" w14:textId="77777777" w:rsidTr="00822842">
        <w:trPr>
          <w:trHeight w:val="680"/>
        </w:trPr>
        <w:tc>
          <w:tcPr>
            <w:tcW w:w="1384" w:type="dxa"/>
          </w:tcPr>
          <w:p w14:paraId="402A723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0050, 0120, 0190, 0230, 0270, 0340</w:t>
            </w:r>
          </w:p>
        </w:tc>
        <w:tc>
          <w:tcPr>
            <w:tcW w:w="7655" w:type="dxa"/>
          </w:tcPr>
          <w:p w14:paraId="376D7AC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KATEGORIJI TA’ RISKJU</w:t>
            </w:r>
          </w:p>
          <w:p w14:paraId="7E0D193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277 u 277a tar-Regolament (UE) Nru 575/2013</w:t>
            </w:r>
          </w:p>
          <w:p w14:paraId="578D076E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It-tranżazzjonijiet għandhom jiġu klassifikati f’konformità mal-kategorija ta’ riskju li jappartjenu għaliha f’konformità mal-Artikolu 277 (1) sa (4) tar-Regolament (UE) Nru 575/2013.</w:t>
            </w:r>
          </w:p>
          <w:p w14:paraId="5862E67E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L-assenjazzjoni għal settijiet ta’ ħħeġġjar f’konformità mal-kategorija ta’ riskju għandha titwettaq f’konformità mal-Artikolu 277a tar-Regolament (UE) Nru 575/2013.</w:t>
            </w:r>
          </w:p>
          <w:p w14:paraId="65316050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Għas-SA-CCR Issimplifikat japplikaw id-dispożizzjonijiet stabbiliti fl-Artikolu 281(2) tar-Regolament (UE) Nru 575/2013.</w:t>
            </w:r>
          </w:p>
        </w:tc>
      </w:tr>
      <w:tr w:rsidR="00EF74C7" w:rsidRPr="002A677E" w14:paraId="21933761" w14:textId="77777777" w:rsidTr="00822842">
        <w:trPr>
          <w:trHeight w:val="680"/>
        </w:trPr>
        <w:tc>
          <w:tcPr>
            <w:tcW w:w="1384" w:type="dxa"/>
          </w:tcPr>
          <w:p w14:paraId="2F5A970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0020-0040</w:t>
            </w:r>
          </w:p>
        </w:tc>
        <w:tc>
          <w:tcPr>
            <w:tcW w:w="7655" w:type="dxa"/>
          </w:tcPr>
          <w:p w14:paraId="4160411B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 huma kklassifikati f’aktar minn kategorija ta’ riskju waħda</w:t>
            </w:r>
          </w:p>
          <w:p w14:paraId="24AE7BA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277(3) tar-Regolament (UE) Nru 575/2013</w:t>
            </w:r>
          </w:p>
          <w:p w14:paraId="54CB9801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derivattivi b’aktar minn motivatur tar-riskju materjali wieħed klassifikati għal żewġ (0020) kategoriji ta’ riskju, tlieta (0030) jew aktar (0040) fuq il-bażi tal-aktar motivatur tar-riskju materjali f’kull kategorija ta’ riskju, f’konformità mal-Artikolu 277(3) tar-Regolament (UE) Nru 575/2013 u l-RTS tal-EBA msemmija fl-Artikolu 277(5) ta’ dak ir-Regolament.</w:t>
            </w:r>
          </w:p>
        </w:tc>
      </w:tr>
      <w:tr w:rsidR="00EF74C7" w:rsidRPr="002A677E" w14:paraId="5AE04D2C" w14:textId="77777777" w:rsidTr="00822842">
        <w:trPr>
          <w:trHeight w:val="680"/>
        </w:trPr>
        <w:tc>
          <w:tcPr>
            <w:tcW w:w="1384" w:type="dxa"/>
          </w:tcPr>
          <w:p w14:paraId="27C055FD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0070-0110 u 0140-0180</w:t>
            </w:r>
          </w:p>
        </w:tc>
        <w:tc>
          <w:tcPr>
            <w:tcW w:w="7655" w:type="dxa"/>
          </w:tcPr>
          <w:p w14:paraId="18AF84E8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rStyle w:val="InstructionsTabelleberschrift"/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L-akbar munita u par ta’ muniti</w:t>
            </w:r>
          </w:p>
          <w:p w14:paraId="208A8263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il-klassifikazzjoni għandha ssir fuq il-bażi tas-CMV tal-portafoll tal-istituzzjoni fl-ambitu tal-SA-CCR jew l-SA-CCR Issimplifikat, kif applikabbli, għal tranżazzjonijiet ikklassifikati fil-kategorija tar-riskju taċ-ċaqliq fir-rata tal-imgħax u tal-kambju, rispettivament.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CB8DC17" w14:textId="77777777" w:rsidR="00EF74C7" w:rsidRPr="002A677E" w:rsidRDefault="00EF74C7" w:rsidP="00822842">
            <w:pPr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 tal-klassifikazzjoni, </w:t>
            </w:r>
            <w:r>
              <w:rPr>
                <w:sz w:val="24"/>
                <w:rFonts w:ascii="inherit" w:hAnsi="inherit"/>
              </w:rPr>
              <w:t xml:space="preserve">għandu jiġi magħdud il-valur assolut tas-CMV tal-pożizzjonijiet.</w:t>
            </w:r>
          </w:p>
        </w:tc>
      </w:tr>
      <w:tr w:rsidR="00EF74C7" w:rsidRPr="002A677E" w14:paraId="2A739349" w14:textId="77777777" w:rsidTr="00822842">
        <w:trPr>
          <w:trHeight w:val="2279"/>
        </w:trPr>
        <w:tc>
          <w:tcPr>
            <w:tcW w:w="1384" w:type="dxa"/>
          </w:tcPr>
          <w:p w14:paraId="69FD83B3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0060, 0130, 0200,0240, 0280</w:t>
            </w:r>
          </w:p>
        </w:tc>
        <w:tc>
          <w:tcPr>
            <w:tcW w:w="7655" w:type="dxa"/>
          </w:tcPr>
          <w:p w14:paraId="3DB24763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Klassifikazzjoni esklussiva</w:t>
            </w:r>
          </w:p>
          <w:p w14:paraId="7B69873D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277(1) u (2) tar-Regolament (UE) Nru 575/2013</w:t>
            </w:r>
          </w:p>
          <w:p w14:paraId="1A762D0B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derivattivi klassifikati esklużivament f’kategorija ta’ riskju waħda f’konformità mal-Artikolu 277(1) u (2)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AAB877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esklużi t-tranżazzjonijiet li huma klassifikati f’kategoriji ta’ riskju differenti f’konformità mal-Artikolu 277(3) tar-Regolament (UE) Nru 575/2013.</w:t>
            </w:r>
          </w:p>
        </w:tc>
      </w:tr>
      <w:tr w:rsidR="00EF74C7" w:rsidRPr="002A677E" w14:paraId="17A6F38B" w14:textId="77777777" w:rsidTr="00822842">
        <w:trPr>
          <w:trHeight w:val="680"/>
        </w:trPr>
        <w:tc>
          <w:tcPr>
            <w:tcW w:w="1384" w:type="dxa"/>
          </w:tcPr>
          <w:p w14:paraId="2EE61A22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0210, 0250</w:t>
            </w:r>
            <w:r>
              <w:t xml:space="preserve"> </w:t>
            </w:r>
          </w:p>
        </w:tc>
        <w:tc>
          <w:tcPr>
            <w:tcW w:w="7655" w:type="dxa"/>
          </w:tcPr>
          <w:p w14:paraId="4C85502F" w14:textId="77777777" w:rsidR="00EF74C7" w:rsidRPr="00624117" w:rsidRDefault="00EF74C7" w:rsidP="00822842">
            <w:pPr>
              <w:pStyle w:val="TableMainHeading"/>
              <w:spacing w:before="60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b’isem wieħed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1620001" w14:textId="77777777" w:rsidR="00EF74C7" w:rsidRPr="002A677E" w:rsidRDefault="00EF74C7" w:rsidP="00822842">
            <w:pPr>
              <w:pStyle w:val="TableMainHeading"/>
              <w:spacing w:before="60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b’isem wieħed li huma kklassifikati fil-kategorija tar-riskju ta’ kreditu u ta’ ekwità, rispettivament.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411237CA" w14:textId="77777777" w:rsidTr="00822842">
        <w:trPr>
          <w:trHeight w:val="680"/>
        </w:trPr>
        <w:tc>
          <w:tcPr>
            <w:tcW w:w="1384" w:type="dxa"/>
          </w:tcPr>
          <w:p w14:paraId="7AD9D26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0220, 0260</w:t>
            </w:r>
          </w:p>
        </w:tc>
        <w:tc>
          <w:tcPr>
            <w:tcW w:w="7655" w:type="dxa"/>
          </w:tcPr>
          <w:p w14:paraId="116A322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b’diversi ismijiet</w:t>
            </w:r>
          </w:p>
          <w:p w14:paraId="3213EA5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b’diversi ismijiet li huma kklassifikati fil-kategorija tar-riskju ta’ kreditu u ta’ ekwità, rispettivament.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7EFE115E" w14:textId="77777777" w:rsidTr="00822842">
        <w:trPr>
          <w:trHeight w:val="680"/>
        </w:trPr>
        <w:tc>
          <w:tcPr>
            <w:tcW w:w="1384" w:type="dxa"/>
          </w:tcPr>
          <w:p w14:paraId="72F329F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0290-0330</w:t>
            </w:r>
          </w:p>
        </w:tc>
        <w:tc>
          <w:tcPr>
            <w:tcW w:w="7655" w:type="dxa"/>
          </w:tcPr>
          <w:p w14:paraId="759D733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ta’ ħħeġġjar tal-kategorija tar-riskju tal-komoditajiet</w:t>
            </w:r>
          </w:p>
          <w:p w14:paraId="345A15AB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derivattivi assenjati lis-settijiet ta’ ħħeġġjar tal-kategorija tar-riskju tal-komoditajiet kif elenkati fl-Artikolu 277a(1), il-punt (e), tar-Regolament (UE) Nru 575/2013.</w:t>
            </w:r>
          </w:p>
        </w:tc>
      </w:tr>
    </w:tbl>
    <w:p w14:paraId="73ED3197" w14:textId="77777777" w:rsidR="00EF74C7" w:rsidRPr="002A677E" w:rsidRDefault="00EF74C7" w:rsidP="00EF74C7">
      <w:pPr>
        <w:tabs>
          <w:tab w:val="left" w:pos="1430"/>
        </w:tabs>
        <w:rPr>
          <w:rFonts w:ascii="Times New Roman" w:hAnsi="Times New Roman"/>
        </w:rPr>
      </w:pPr>
    </w:p>
    <w:p w14:paraId="6D94642A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34" w:name="_Toc19715812"/>
      <w:bookmarkStart w:id="35" w:name="_Toc151714452"/>
      <w:r>
        <w:rPr>
          <w:sz w:val="24"/>
          <w:rFonts w:ascii="Times New Roman" w:hAnsi="Times New Roman"/>
        </w:rPr>
        <w:t xml:space="preserve">C 34.04 - skoperturi tas-CCR trattati bil-Metodu ta’ Skopertura Oriġinali (OEM)</w:t>
      </w:r>
      <w:bookmarkEnd w:id="34"/>
      <w:bookmarkEnd w:id="35"/>
    </w:p>
    <w:p w14:paraId="70D39844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36" w:name="_Toc19715813"/>
      <w:bookmarkStart w:id="37" w:name="_Toc151714453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36"/>
      <w:bookmarkEnd w:id="37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155C08F8" w14:textId="77777777" w:rsidTr="00822842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0855009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77E289F2" w14:textId="77777777" w:rsidTr="00822842">
        <w:trPr>
          <w:trHeight w:val="680"/>
        </w:trPr>
        <w:tc>
          <w:tcPr>
            <w:tcW w:w="1384" w:type="dxa"/>
          </w:tcPr>
          <w:p w14:paraId="06D0BF35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0010 - 0020</w:t>
            </w:r>
          </w:p>
        </w:tc>
        <w:tc>
          <w:tcPr>
            <w:tcW w:w="7655" w:type="dxa"/>
            <w:vAlign w:val="center"/>
          </w:tcPr>
          <w:p w14:paraId="1143FA3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L-istruzzjonijiet għall-kolonni 0010 u 0020 għandhom ikunu dawk previsti għall-formola C 34.02.</w:t>
            </w:r>
          </w:p>
        </w:tc>
      </w:tr>
      <w:tr w:rsidR="00EF74C7" w:rsidRPr="002A677E" w14:paraId="246DE35A" w14:textId="77777777" w:rsidTr="00822842">
        <w:trPr>
          <w:trHeight w:val="680"/>
        </w:trPr>
        <w:tc>
          <w:tcPr>
            <w:tcW w:w="1384" w:type="dxa"/>
          </w:tcPr>
          <w:p w14:paraId="48D3046F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0030</w:t>
            </w:r>
          </w:p>
        </w:tc>
        <w:tc>
          <w:tcPr>
            <w:tcW w:w="7655" w:type="dxa"/>
            <w:vAlign w:val="center"/>
          </w:tcPr>
          <w:p w14:paraId="625DEDC4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POŻITTIV</w:t>
            </w:r>
          </w:p>
          <w:p w14:paraId="48775111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tat-tranżazzjonijiet kollha b’CMV pożittiv fil-kategorija tar-riskju rispettiva.</w:t>
            </w:r>
          </w:p>
        </w:tc>
      </w:tr>
      <w:tr w:rsidR="00EF74C7" w:rsidRPr="002A677E" w14:paraId="755B978D" w14:textId="77777777" w:rsidTr="00822842">
        <w:trPr>
          <w:trHeight w:val="680"/>
        </w:trPr>
        <w:tc>
          <w:tcPr>
            <w:tcW w:w="1384" w:type="dxa"/>
          </w:tcPr>
          <w:p w14:paraId="26B7B5EF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0040</w:t>
            </w:r>
          </w:p>
        </w:tc>
        <w:tc>
          <w:tcPr>
            <w:tcW w:w="7655" w:type="dxa"/>
            <w:vAlign w:val="center"/>
          </w:tcPr>
          <w:p w14:paraId="70CB5B2D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NEGATTIV</w:t>
            </w:r>
          </w:p>
          <w:p w14:paraId="4475C6E2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assoluti tat-tranżazzjonijiet kollha b’CMV negattiv fil-kategorija tar-riskju rispettiva.</w:t>
            </w:r>
          </w:p>
        </w:tc>
      </w:tr>
      <w:tr w:rsidR="00EF74C7" w:rsidRPr="002A677E" w14:paraId="02760C8A" w14:textId="77777777" w:rsidTr="00822842">
        <w:trPr>
          <w:trHeight w:val="680"/>
        </w:trPr>
        <w:tc>
          <w:tcPr>
            <w:tcW w:w="1384" w:type="dxa"/>
          </w:tcPr>
          <w:p w14:paraId="55D1F90D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0050</w:t>
            </w:r>
          </w:p>
        </w:tc>
        <w:tc>
          <w:tcPr>
            <w:tcW w:w="7655" w:type="dxa"/>
            <w:vAlign w:val="center"/>
          </w:tcPr>
          <w:p w14:paraId="734C593C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POTENZJALI FUTURA (PFE)</w:t>
            </w:r>
          </w:p>
          <w:p w14:paraId="53085A1E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tal-PFEs għat-tranżazzjonijiet kollha li jappartjenu għall-istess kategorija ta’ riskju.</w:t>
            </w:r>
          </w:p>
        </w:tc>
      </w:tr>
      <w:tr w:rsidR="00EF74C7" w:rsidRPr="002A677E" w14:paraId="750D71A5" w14:textId="77777777" w:rsidTr="00822842">
        <w:trPr>
          <w:trHeight w:val="238"/>
        </w:trPr>
        <w:tc>
          <w:tcPr>
            <w:tcW w:w="903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5CBC33B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EF74C7" w:rsidRPr="002A677E" w14:paraId="753D4ED0" w14:textId="77777777" w:rsidTr="00822842">
        <w:trPr>
          <w:trHeight w:val="680"/>
        </w:trPr>
        <w:tc>
          <w:tcPr>
            <w:tcW w:w="1384" w:type="dxa"/>
          </w:tcPr>
          <w:p w14:paraId="1FCDB52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0020 - 0070</w:t>
            </w:r>
          </w:p>
        </w:tc>
        <w:tc>
          <w:tcPr>
            <w:tcW w:w="7655" w:type="dxa"/>
            <w:vAlign w:val="center"/>
          </w:tcPr>
          <w:p w14:paraId="31AB6B37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KATEGORIJI TA’ RISKJU</w:t>
            </w:r>
          </w:p>
          <w:p w14:paraId="183CF2DA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derivattivi klassifikati għall-kategoriji ta’ riskju kif elenkati fl-Artikolu 282(4), il-punt (b), tar-Regolament (UE) Nru 575/2013</w:t>
            </w:r>
          </w:p>
        </w:tc>
      </w:tr>
    </w:tbl>
    <w:p w14:paraId="4C05758D" w14:textId="77777777" w:rsidR="00EF74C7" w:rsidRPr="002A677E" w:rsidRDefault="00EF74C7" w:rsidP="00EF74C7">
      <w:pPr>
        <w:tabs>
          <w:tab w:val="left" w:pos="1430"/>
        </w:tabs>
        <w:rPr>
          <w:rFonts w:ascii="Times New Roman" w:hAnsi="Times New Roman"/>
        </w:rPr>
      </w:pPr>
    </w:p>
    <w:p w14:paraId="087B82F5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38" w:name="_Toc19715814"/>
      <w:bookmarkStart w:id="39" w:name="_Toc151714454"/>
      <w:r>
        <w:rPr>
          <w:sz w:val="24"/>
          <w:rFonts w:ascii="Times New Roman" w:hAnsi="Times New Roman"/>
        </w:rPr>
        <w:t xml:space="preserve">C 34.05 – skoperturi tas-CCR trattati bil-Metodu tal-Mudelli Interni (IMM)</w:t>
      </w:r>
      <w:bookmarkEnd w:id="38"/>
      <w:bookmarkEnd w:id="39"/>
    </w:p>
    <w:p w14:paraId="055BB797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40" w:name="_Toc19715815"/>
      <w:bookmarkStart w:id="41" w:name="_Toc151714455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40"/>
      <w:bookmarkEnd w:id="41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2A1FFA92" w14:textId="77777777" w:rsidTr="00822842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A9ED361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38FC6FA5" w14:textId="77777777" w:rsidTr="00822842">
        <w:trPr>
          <w:trHeight w:val="680"/>
        </w:trPr>
        <w:tc>
          <w:tcPr>
            <w:tcW w:w="1384" w:type="dxa"/>
          </w:tcPr>
          <w:p w14:paraId="27DC6DB6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00010 - 0080</w:t>
            </w:r>
          </w:p>
        </w:tc>
        <w:tc>
          <w:tcPr>
            <w:tcW w:w="7655" w:type="dxa"/>
            <w:vAlign w:val="center"/>
          </w:tcPr>
          <w:p w14:paraId="4E699B36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MARĠINATI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4743405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għar-ringiela 0130 fil-formula C 34.02.</w:t>
            </w:r>
          </w:p>
        </w:tc>
      </w:tr>
      <w:tr w:rsidR="00EF74C7" w:rsidRPr="002A677E" w14:paraId="2E882AEE" w14:textId="77777777" w:rsidTr="00822842">
        <w:trPr>
          <w:trHeight w:val="680"/>
        </w:trPr>
        <w:tc>
          <w:tcPr>
            <w:tcW w:w="1384" w:type="dxa"/>
          </w:tcPr>
          <w:p w14:paraId="4753DFE3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0090 - 0160</w:t>
            </w:r>
          </w:p>
        </w:tc>
        <w:tc>
          <w:tcPr>
            <w:tcW w:w="7655" w:type="dxa"/>
            <w:vAlign w:val="center"/>
          </w:tcPr>
          <w:p w14:paraId="77C0E43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MHUX MARĠINATI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E0059F7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għar-ringiela 0140 fil-formula C 34.02.</w:t>
            </w:r>
          </w:p>
        </w:tc>
      </w:tr>
      <w:tr w:rsidR="00EF74C7" w:rsidRPr="002A677E" w14:paraId="11088642" w14:textId="77777777" w:rsidTr="00822842">
        <w:trPr>
          <w:trHeight w:val="680"/>
        </w:trPr>
        <w:tc>
          <w:tcPr>
            <w:tcW w:w="1384" w:type="dxa"/>
          </w:tcPr>
          <w:p w14:paraId="38E3A9E7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0010, 0090</w:t>
            </w:r>
          </w:p>
        </w:tc>
        <w:tc>
          <w:tcPr>
            <w:tcW w:w="7655" w:type="dxa"/>
            <w:vAlign w:val="center"/>
          </w:tcPr>
          <w:p w14:paraId="10F9DAAA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TRANŻAZZJONIJIET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4653C5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0020 fil-formula C 34.02.</w:t>
            </w:r>
          </w:p>
        </w:tc>
      </w:tr>
      <w:tr w:rsidR="00EF74C7" w:rsidRPr="002A677E" w14:paraId="2A1C3305" w14:textId="77777777" w:rsidTr="00822842">
        <w:trPr>
          <w:trHeight w:val="680"/>
        </w:trPr>
        <w:tc>
          <w:tcPr>
            <w:tcW w:w="1384" w:type="dxa"/>
          </w:tcPr>
          <w:p w14:paraId="0F1355B7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0020, 0100</w:t>
            </w:r>
          </w:p>
        </w:tc>
        <w:tc>
          <w:tcPr>
            <w:tcW w:w="7655" w:type="dxa"/>
            <w:vAlign w:val="center"/>
          </w:tcPr>
          <w:p w14:paraId="73CC08B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NOZZJONALI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5787B39" w14:textId="77777777" w:rsidR="00EF74C7" w:rsidRPr="002A677E" w:rsidRDefault="00EF74C7" w:rsidP="00822842">
            <w:pPr>
              <w:keepNext/>
              <w:spacing w:before="60"/>
              <w:rPr>
                <w:i/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0030 fil-formula C 34.02.</w:t>
            </w:r>
          </w:p>
        </w:tc>
      </w:tr>
      <w:tr w:rsidR="00EF74C7" w:rsidRPr="002A677E" w14:paraId="07CB3F2E" w14:textId="77777777" w:rsidTr="00822842">
        <w:trPr>
          <w:trHeight w:val="680"/>
        </w:trPr>
        <w:tc>
          <w:tcPr>
            <w:tcW w:w="1384" w:type="dxa"/>
          </w:tcPr>
          <w:p w14:paraId="16DDFD4B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0030, 0110</w:t>
            </w:r>
          </w:p>
        </w:tc>
        <w:tc>
          <w:tcPr>
            <w:tcW w:w="7655" w:type="dxa"/>
            <w:vAlign w:val="center"/>
          </w:tcPr>
          <w:p w14:paraId="5D4ADBBE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POŻITTIV</w:t>
            </w:r>
          </w:p>
          <w:p w14:paraId="1BDCFC64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tat-tranżazzjonijiet kollha b’CMV pożittiv li jappartjenu għall-istess klassi ta’ assi.</w:t>
            </w:r>
          </w:p>
        </w:tc>
      </w:tr>
      <w:tr w:rsidR="00EF74C7" w:rsidRPr="002A677E" w14:paraId="1D55DF7C" w14:textId="77777777" w:rsidTr="00822842">
        <w:trPr>
          <w:trHeight w:val="680"/>
        </w:trPr>
        <w:tc>
          <w:tcPr>
            <w:tcW w:w="1384" w:type="dxa"/>
          </w:tcPr>
          <w:p w14:paraId="1B4379B1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0040, 0120</w:t>
            </w:r>
          </w:p>
        </w:tc>
        <w:tc>
          <w:tcPr>
            <w:tcW w:w="7655" w:type="dxa"/>
            <w:vAlign w:val="center"/>
          </w:tcPr>
          <w:p w14:paraId="06A034B3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 ATTWALI (CMV), NEGATTIV</w:t>
            </w:r>
          </w:p>
          <w:p w14:paraId="4B126FB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tal-valuri tas-suq kurrenti (CMV) assoluti tat-tranżazzjonijiet kollha b’CMV negattiv li jappartjenu għall-istess klassi ta’ assi.</w:t>
            </w:r>
          </w:p>
        </w:tc>
      </w:tr>
      <w:tr w:rsidR="00EF74C7" w:rsidRPr="002A677E" w14:paraId="5443ACE2" w14:textId="77777777" w:rsidTr="00822842">
        <w:trPr>
          <w:trHeight w:val="680"/>
        </w:trPr>
        <w:tc>
          <w:tcPr>
            <w:tcW w:w="1384" w:type="dxa"/>
          </w:tcPr>
          <w:p w14:paraId="026B5D82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0050, 0130</w:t>
            </w:r>
          </w:p>
        </w:tc>
        <w:tc>
          <w:tcPr>
            <w:tcW w:w="7655" w:type="dxa"/>
            <w:vAlign w:val="center"/>
          </w:tcPr>
          <w:p w14:paraId="6BEF0650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ATTWALI</w:t>
            </w:r>
          </w:p>
          <w:p w14:paraId="4BD20CD9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0120 fil-formula C 34.02.</w:t>
            </w:r>
          </w:p>
        </w:tc>
      </w:tr>
      <w:tr w:rsidR="00EF74C7" w:rsidRPr="002A677E" w14:paraId="33A01D3A" w14:textId="77777777" w:rsidTr="00822842">
        <w:trPr>
          <w:trHeight w:val="680"/>
        </w:trPr>
        <w:tc>
          <w:tcPr>
            <w:tcW w:w="1384" w:type="dxa"/>
          </w:tcPr>
          <w:p w14:paraId="434C41F4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0060, 0140</w:t>
            </w:r>
          </w:p>
        </w:tc>
        <w:tc>
          <w:tcPr>
            <w:tcW w:w="7655" w:type="dxa"/>
            <w:vAlign w:val="center"/>
          </w:tcPr>
          <w:p w14:paraId="5F8AFE09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POŻITTIVA EFFETTIVA MISTENNIJA (EEPE)</w:t>
            </w:r>
          </w:p>
          <w:p w14:paraId="72409BA6" w14:textId="77777777" w:rsidR="00EF74C7" w:rsidRPr="002A677E" w:rsidRDefault="00EF74C7" w:rsidP="00822842">
            <w:pPr>
              <w:pStyle w:val="Default"/>
              <w:spacing w:after="120"/>
              <w:jc w:val="both"/>
              <w:rPr>
                <w:strike/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Ara l-istruzzjonijiet għall-kolonna 0130 fil-formula C 34.02.</w:t>
            </w:r>
          </w:p>
        </w:tc>
      </w:tr>
      <w:tr w:rsidR="00EF74C7" w:rsidRPr="002A677E" w14:paraId="1D10918D" w14:textId="77777777" w:rsidTr="00822842">
        <w:trPr>
          <w:trHeight w:val="680"/>
        </w:trPr>
        <w:tc>
          <w:tcPr>
            <w:tcW w:w="1384" w:type="dxa"/>
          </w:tcPr>
          <w:p w14:paraId="208DFF88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0070, 0150</w:t>
            </w:r>
          </w:p>
        </w:tc>
        <w:tc>
          <w:tcPr>
            <w:tcW w:w="7655" w:type="dxa"/>
            <w:vAlign w:val="center"/>
          </w:tcPr>
          <w:p w14:paraId="0290C67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STRESS TAL-EEPE</w:t>
            </w:r>
          </w:p>
          <w:p w14:paraId="071BB18F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284(6) u l-Artikolu 292(2) tar-Regolament (UE) Nru 575/2013</w:t>
            </w:r>
          </w:p>
          <w:p w14:paraId="4C777000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L-Istress tal-EPE effettiva huwa kkalkolat b’analoġija mal-EPE effettiva (l-Artikolu 284(6) tar-Regolament (UE) Nru 575/2013), iżda bl-użu ta’ kalibrazzjoni tal-kondizzjonijiet ta’ kriżi f’konformità mal-Artikolu 292(2) tar-Regolament (UE) Nru 575/2013.</w:t>
            </w:r>
          </w:p>
        </w:tc>
      </w:tr>
      <w:tr w:rsidR="00EF74C7" w:rsidRPr="002A677E" w14:paraId="2950463C" w14:textId="77777777" w:rsidTr="00822842">
        <w:trPr>
          <w:trHeight w:val="680"/>
        </w:trPr>
        <w:tc>
          <w:tcPr>
            <w:tcW w:w="1384" w:type="dxa"/>
          </w:tcPr>
          <w:p w14:paraId="1FAC8572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0080, 0160, 0170</w:t>
            </w:r>
          </w:p>
        </w:tc>
        <w:tc>
          <w:tcPr>
            <w:tcW w:w="7655" w:type="dxa"/>
            <w:vAlign w:val="center"/>
          </w:tcPr>
          <w:p w14:paraId="38883B3C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</w:p>
          <w:p w14:paraId="5D5537F3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0170 fil-formula C 34.02.</w:t>
            </w:r>
          </w:p>
        </w:tc>
      </w:tr>
      <w:tr w:rsidR="00EF74C7" w:rsidRPr="00403B9F" w14:paraId="1DF28D0B" w14:textId="77777777" w:rsidTr="00822842">
        <w:trPr>
          <w:trHeight w:val="680"/>
        </w:trPr>
        <w:tc>
          <w:tcPr>
            <w:tcW w:w="9039" w:type="dxa"/>
            <w:gridSpan w:val="2"/>
            <w:tcBorders>
              <w:left w:val="nil"/>
              <w:right w:val="nil"/>
            </w:tcBorders>
          </w:tcPr>
          <w:p w14:paraId="07A3474A" w14:textId="77777777" w:rsidR="00EF74C7" w:rsidRPr="00D768D3" w:rsidDel="00291448" w:rsidRDefault="00EF74C7" w:rsidP="00822842">
            <w:pPr>
              <w:rPr>
                <w:rFonts w:ascii="Times New Roman" w:hAnsi="Times New Roman"/>
                <w:sz w:val="24"/>
              </w:rPr>
            </w:pPr>
          </w:p>
        </w:tc>
      </w:tr>
      <w:tr w:rsidR="00EF74C7" w:rsidRPr="002A677E" w14:paraId="6D57400A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9AA72" w14:textId="77777777" w:rsidR="00EF74C7" w:rsidRPr="002A677E" w:rsidRDefault="00EF74C7" w:rsidP="00822842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Ringiela</w:t>
            </w:r>
            <w:r>
              <w:rPr>
                <w:b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CD43E" w14:textId="77777777" w:rsidR="00EF74C7" w:rsidRPr="002A677E" w:rsidRDefault="00EF74C7" w:rsidP="00822842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09B9D5F2" w14:textId="77777777" w:rsidTr="00822842">
        <w:trPr>
          <w:trHeight w:val="426"/>
        </w:trPr>
        <w:tc>
          <w:tcPr>
            <w:tcW w:w="1384" w:type="dxa"/>
          </w:tcPr>
          <w:p w14:paraId="4740A09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</w:tcPr>
          <w:p w14:paraId="155D9C7F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3496D3B" w14:textId="77777777" w:rsidR="00EF74C7" w:rsidRPr="002A677E" w:rsidRDefault="00EF74C7" w:rsidP="00822842">
            <w:pPr>
              <w:keepNext/>
              <w:spacing w:before="60"/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L-Artikolu 283 tar-Regolament (UE) Nru 575/2013</w:t>
            </w:r>
          </w:p>
          <w:p w14:paraId="72F05A01" w14:textId="77777777" w:rsidR="00EF74C7" w:rsidRPr="002A677E" w:rsidRDefault="00EF74C7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l-informazzjoni rilevanti rigward id-derivattivi, it-tranżazzjonijiet ta’ saldu twil u l-SFTs li għalihom ġiet permessa tiddetermina l-valur tal-iskopertura kkalkolat bl-użu tal-Metodu tal-Mudelli Interni (IMM) f’konformità mal-Artikolu 283 tar-Regolament (UE) Nru 575/2013.</w:t>
            </w:r>
          </w:p>
        </w:tc>
      </w:tr>
      <w:tr w:rsidR="00EF74C7" w:rsidRPr="002A677E" w14:paraId="61D3022A" w14:textId="77777777" w:rsidTr="00822842">
        <w:trPr>
          <w:trHeight w:val="829"/>
        </w:trPr>
        <w:tc>
          <w:tcPr>
            <w:tcW w:w="1384" w:type="dxa"/>
          </w:tcPr>
          <w:p w14:paraId="395168E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</w:tcPr>
          <w:p w14:paraId="0331298D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SWWR</w:t>
            </w:r>
          </w:p>
          <w:p w14:paraId="1013C757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għar-ringiela 0120 f’C 34.02.</w:t>
            </w:r>
          </w:p>
        </w:tc>
      </w:tr>
      <w:tr w:rsidR="00EF74C7" w:rsidRPr="002A677E" w14:paraId="53E2F2D0" w14:textId="77777777" w:rsidTr="00822842">
        <w:trPr>
          <w:trHeight w:val="842"/>
        </w:trPr>
        <w:tc>
          <w:tcPr>
            <w:tcW w:w="1384" w:type="dxa"/>
          </w:tcPr>
          <w:p w14:paraId="7706E084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0030</w:t>
            </w:r>
          </w:p>
        </w:tc>
        <w:tc>
          <w:tcPr>
            <w:tcW w:w="7655" w:type="dxa"/>
          </w:tcPr>
          <w:p w14:paraId="5DE0314C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trattati bl-Approċċ Standardizzat CR</w:t>
            </w:r>
          </w:p>
          <w:p w14:paraId="7CD0087F" w14:textId="77777777" w:rsidR="00EF74C7" w:rsidRPr="002A677E" w:rsidRDefault="00EF74C7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 w:cstheme="minorBidi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0180 f’C 34.02.</w:t>
            </w:r>
          </w:p>
        </w:tc>
      </w:tr>
      <w:tr w:rsidR="00EF74C7" w:rsidRPr="002A677E" w14:paraId="246949FB" w14:textId="77777777" w:rsidTr="00822842">
        <w:trPr>
          <w:trHeight w:val="839"/>
        </w:trPr>
        <w:tc>
          <w:tcPr>
            <w:tcW w:w="1384" w:type="dxa"/>
          </w:tcPr>
          <w:p w14:paraId="4489E702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0040</w:t>
            </w:r>
          </w:p>
        </w:tc>
        <w:tc>
          <w:tcPr>
            <w:tcW w:w="7655" w:type="dxa"/>
          </w:tcPr>
          <w:p w14:paraId="79702292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trattati bl-Approċċ Standardizzat CR IRB</w:t>
            </w:r>
          </w:p>
          <w:p w14:paraId="5DEB3BFD" w14:textId="77777777" w:rsidR="00EF74C7" w:rsidRPr="002A677E" w:rsidRDefault="00EF74C7" w:rsidP="00822842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 w:cstheme="minorBidi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0190 f’C 34.02.</w:t>
            </w:r>
          </w:p>
        </w:tc>
      </w:tr>
      <w:tr w:rsidR="00EF74C7" w:rsidRPr="002A677E" w14:paraId="6C69A9B4" w14:textId="77777777" w:rsidTr="00822842">
        <w:trPr>
          <w:trHeight w:val="1971"/>
        </w:trPr>
        <w:tc>
          <w:tcPr>
            <w:tcW w:w="1384" w:type="dxa"/>
          </w:tcPr>
          <w:p w14:paraId="7647D954" w14:textId="77777777" w:rsidR="00EF74C7" w:rsidRPr="002A677E" w:rsidRDefault="00EF74C7" w:rsidP="00822842">
            <w:pPr>
              <w:pStyle w:val="Applicationdirecte"/>
              <w:spacing w:before="0" w:after="0"/>
              <w:jc w:val="left"/>
            </w:pPr>
            <w:r>
              <w:t xml:space="preserve">0050 - 0110</w:t>
            </w:r>
          </w:p>
        </w:tc>
        <w:tc>
          <w:tcPr>
            <w:tcW w:w="7655" w:type="dxa"/>
          </w:tcPr>
          <w:p w14:paraId="3D695FBB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DERIVATTIVI OTC</w:t>
            </w:r>
          </w:p>
          <w:p w14:paraId="0E8A5849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l-informazzjoni rilevanti rigward is-settijiet tan-netting li fihom biss derivattivi OTC jew tranżazzjonijiet ta’ saldu fit-tul li għalihom ġiet permessa tiddetermina l-valur tal-iskopertura bl-użu tal-IMM diżaggregat skont il-klassijiet tal-assi differenti fir-rigward tas-sottostanti (rata tal-imgħax, kambju, kreditu, ekwità, komodità jew oħrajn).</w:t>
            </w:r>
          </w:p>
        </w:tc>
      </w:tr>
      <w:tr w:rsidR="00EF74C7" w:rsidRPr="002A677E" w14:paraId="32F0A14D" w14:textId="77777777" w:rsidTr="00822842">
        <w:trPr>
          <w:trHeight w:val="1970"/>
        </w:trPr>
        <w:tc>
          <w:tcPr>
            <w:tcW w:w="1384" w:type="dxa"/>
          </w:tcPr>
          <w:p w14:paraId="2CA05FA5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0120 - 0180</w:t>
            </w:r>
          </w:p>
        </w:tc>
        <w:tc>
          <w:tcPr>
            <w:tcW w:w="7655" w:type="dxa"/>
          </w:tcPr>
          <w:p w14:paraId="1F81FD2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DERIVATTIVI NNEGOZJATI FIL-BORŻA</w:t>
            </w:r>
          </w:p>
          <w:p w14:paraId="58D9B48E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l-informazzjoni rilevanti rigward is-settijiet tan-netting li fihom biss derivattivi nnegozjati fil-borża jew tranżazzjonijiet ta’ saldu fit-tul li għalihom ġiet permessa tiddetermina l-valur tal-iskopertura bl-użu tal-IMM diżaggregat skont il-klassijiet tal-assi differenti fir-rigward tas-sottostanti (rata tal-imgħax, kambju, kreditu, ekwità, komodità jew oħrajn).</w:t>
            </w:r>
          </w:p>
        </w:tc>
      </w:tr>
      <w:tr w:rsidR="00EF74C7" w:rsidRPr="002A677E" w14:paraId="3A390CF4" w14:textId="77777777" w:rsidTr="00822842">
        <w:trPr>
          <w:trHeight w:val="1701"/>
        </w:trPr>
        <w:tc>
          <w:tcPr>
            <w:tcW w:w="1384" w:type="dxa"/>
          </w:tcPr>
          <w:p w14:paraId="5468C82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0190 - 0220</w:t>
            </w:r>
          </w:p>
        </w:tc>
        <w:tc>
          <w:tcPr>
            <w:tcW w:w="7655" w:type="dxa"/>
          </w:tcPr>
          <w:p w14:paraId="52D3A7C8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LI JIFFINANZJAW IT-TITOLI</w:t>
            </w:r>
          </w:p>
          <w:p w14:paraId="1CD88A29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l-informazzjoni rilevanti rigward is-settijiet tan-netting li fihom biss tranżazzjonijiet li jiffinanzjaw it-titoli li għalihom ġiet permessa tiddetermina l-valur tal-iskopertura bl-użu tal-IMM diżaggregat skont it-tip tas-sottostanti fil-komponent tat-titolu tat-tranżazzjoni li tiffinanzja t-titoli (bond, ekwità jew oħrajn).</w:t>
            </w:r>
          </w:p>
        </w:tc>
      </w:tr>
      <w:tr w:rsidR="00EF74C7" w:rsidRPr="002A677E" w14:paraId="64C592C4" w14:textId="77777777" w:rsidTr="00822842">
        <w:trPr>
          <w:trHeight w:val="833"/>
        </w:trPr>
        <w:tc>
          <w:tcPr>
            <w:tcW w:w="1384" w:type="dxa"/>
          </w:tcPr>
          <w:p w14:paraId="39B2C01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0230</w:t>
            </w:r>
          </w:p>
        </w:tc>
        <w:tc>
          <w:tcPr>
            <w:tcW w:w="7655" w:type="dxa"/>
          </w:tcPr>
          <w:p w14:paraId="1980D95A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KUNTRATTWALI BEJN PRODOTTI DIFFERENTI</w:t>
            </w:r>
          </w:p>
          <w:p w14:paraId="7F1F09BD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għar-ringiela 0070 f’C 34.02.</w:t>
            </w:r>
          </w:p>
        </w:tc>
      </w:tr>
    </w:tbl>
    <w:p w14:paraId="0A9C53D4" w14:textId="77777777" w:rsidR="00EF74C7" w:rsidRPr="002A677E" w:rsidRDefault="00EF74C7" w:rsidP="00EF74C7">
      <w:pPr>
        <w:tabs>
          <w:tab w:val="left" w:pos="1430"/>
        </w:tabs>
        <w:rPr>
          <w:rFonts w:ascii="Times New Roman" w:hAnsi="Times New Roman"/>
        </w:rPr>
      </w:pPr>
    </w:p>
    <w:p w14:paraId="2A48B1B3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42" w:name="_Toc19715816"/>
      <w:bookmarkStart w:id="43" w:name="_Toc151714456"/>
      <w:r>
        <w:rPr>
          <w:sz w:val="24"/>
          <w:rFonts w:ascii="Times New Roman" w:hAnsi="Times New Roman"/>
        </w:rPr>
        <w:t xml:space="preserve">C 34.06 – L-ewwel għoxrin kontroparti</w:t>
      </w:r>
      <w:bookmarkEnd w:id="42"/>
      <w:bookmarkEnd w:id="43"/>
    </w:p>
    <w:p w14:paraId="41D5F705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44" w:name="_Toc19715817"/>
      <w:bookmarkStart w:id="45" w:name="_Toc151714457"/>
      <w:r>
        <w:rPr>
          <w:sz w:val="24"/>
          <w:rFonts w:ascii="Times New Roman" w:hAnsi="Times New Roman"/>
        </w:rPr>
        <w:t xml:space="preserve">Rimarki ġenerali</w:t>
      </w:r>
      <w:bookmarkEnd w:id="44"/>
      <w:bookmarkEnd w:id="45"/>
    </w:p>
    <w:p w14:paraId="4872503C" w14:textId="005C8DB1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126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informazzjoni dwar l-ewwel 20 kontroparti li magħhom ikollhom l-ogħla skoperturi tas-CCR.</w:t>
      </w:r>
      <w:r>
        <w:t xml:space="preserve"> </w:t>
      </w:r>
      <w:r>
        <w:t xml:space="preserve">Il-klassifikazzjoni għandha ssir bl-użu tal-valuri tal-iskopertura tas-CCR, kif irrapportati fil-kolonna 0120 ta’ din il-formola, tas-settijiet tan-netting kollha mal-kontropartijiet rispettivi.</w:t>
      </w:r>
      <w:r>
        <w:t xml:space="preserve"> </w:t>
      </w:r>
      <w:r>
        <w:t xml:space="preserve">Skoperturi intragrupp jew skoperturi oħra li joħolqu riskju ta’ kreditu tal-kontroparti iżda li għalihom l-istituzzjonijiet jassenjaw ponderazzjoni tar-riskju ta’ żero għall-kalkolu tar-rekwiżiti ta’ fondi proprji, f’konformità mal-Artikolu 113(6) u 113(7) tar-Regolament (UE) Nru 575/2013, għandhom xorta jiġu kkunsidrati meta tiġi ddeterminata l-lista tal-ewwel 20 kontroparti.</w:t>
      </w:r>
    </w:p>
    <w:p w14:paraId="647CEA55" w14:textId="4D261834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127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li japplikaw l-approċċ standardizzat (SA-CCR) jew il-Metodu tal-Mudelli Interni (IMM) għall-kalkolu tal-iskoperturi tas-CCR skont it-Tielet Parti, it-Titolu II, il-Kapitolu 6, it-Taqsimiet 3 u 6, tar-Regolament (UE) Nru 575/2013 għandhom jirrapportaw din il-formola kull tliet xhur.</w:t>
      </w:r>
      <w:r>
        <w:t xml:space="preserve"> </w:t>
      </w:r>
      <w:r>
        <w:t xml:space="preserve">L-istituzzjonijiet li japplikaw l-approċċ standardizzat simplifikat jew il-metodu tal-iskopertura oriġinali (OEM) għall-kalkolu tal-iskoperturi tas-CCR skont it-Tielet Parti, it-Titolu II, il-Kapitolu 6, it-Taqsimiet 4 u 5, tar-Regolament (UE) Nru 575/2013 għandhom jirrapportaw din il-formola fuq bażi semiannwali.</w:t>
      </w:r>
      <w:r>
        <w:t xml:space="preserve"> </w:t>
      </w:r>
      <w:bookmarkStart w:id="46" w:name="_Toc19715818"/>
      <w:r>
        <w:t xml:space="preserve">Struzzjonijiet li jikkonċernaw pożizzjonijiet speċifiċi</w:t>
      </w:r>
      <w:bookmarkEnd w:id="46"/>
      <w:r>
        <w:t xml:space="preserve">.</w:t>
      </w:r>
    </w:p>
    <w:p w14:paraId="2736A53C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47" w:name="_Toc151714458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47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67A96115" w14:textId="77777777" w:rsidTr="00822842">
        <w:trPr>
          <w:trHeight w:val="238"/>
        </w:trPr>
        <w:tc>
          <w:tcPr>
            <w:tcW w:w="903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66DA6EA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1E5ECC03" w14:textId="77777777" w:rsidTr="00822842">
        <w:trPr>
          <w:trHeight w:val="680"/>
        </w:trPr>
        <w:tc>
          <w:tcPr>
            <w:tcW w:w="1384" w:type="dxa"/>
          </w:tcPr>
          <w:p w14:paraId="67FE490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0011</w:t>
            </w:r>
          </w:p>
        </w:tc>
        <w:tc>
          <w:tcPr>
            <w:tcW w:w="7655" w:type="dxa"/>
            <w:vAlign w:val="center"/>
          </w:tcPr>
          <w:p w14:paraId="2145838B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ISEM</w:t>
            </w:r>
          </w:p>
          <w:p w14:paraId="02D41CBA" w14:textId="77777777" w:rsidR="00EF74C7" w:rsidRPr="002A677E" w:rsidRDefault="00EF74C7" w:rsidP="00822842">
            <w:pPr>
              <w:keepNext/>
              <w:spacing w:before="60"/>
              <w:rPr>
                <w:szCs w:val="22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Isem il-kontroparti</w:t>
            </w:r>
          </w:p>
        </w:tc>
      </w:tr>
      <w:tr w:rsidR="00EF74C7" w:rsidRPr="002A677E" w14:paraId="4B2EA2C4" w14:textId="77777777" w:rsidTr="00822842">
        <w:trPr>
          <w:trHeight w:val="680"/>
        </w:trPr>
        <w:tc>
          <w:tcPr>
            <w:tcW w:w="1384" w:type="dxa"/>
          </w:tcPr>
          <w:p w14:paraId="35C54AA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vAlign w:val="center"/>
          </w:tcPr>
          <w:p w14:paraId="6CCE0F62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KODIĊI</w:t>
            </w:r>
          </w:p>
          <w:p w14:paraId="38310236" w14:textId="77777777" w:rsidR="00EF74C7" w:rsidRPr="002A677E" w:rsidRDefault="00EF74C7" w:rsidP="00822842">
            <w:pPr>
              <w:keepNext/>
              <w:spacing w:before="60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bħala parti minn identifikatur tar-ringiela jrid ikun uniku għal kull entità rrapportata.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Għall-istituzzjonijiet u l-impriżi tal-assigurazzjoni, il-kodiċi għandu jkun il-kodiċi LEI.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entitajiet oħra l-kodiċi għandu jkun il-kodiċi LEI, jew jekk mhux disponibbli, kodiċi mhux LEI.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Il-kodiċi għandu jkun uniku u jintuża b’mod konsistenti fil-formoli kollha u tul iż-żmien.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Il-kodiċi għandu dejjem ikollu valur</w:t>
            </w:r>
            <w:r>
              <w:rPr>
                <w:sz w:val="24"/>
                <w:i/>
                <w:rFonts w:ascii="Times New Roman" w:hAnsi="Times New Roman"/>
              </w:rPr>
              <w:t xml:space="preserve">.</w:t>
            </w:r>
          </w:p>
        </w:tc>
      </w:tr>
      <w:tr w:rsidR="00EF74C7" w:rsidRPr="002A677E" w14:paraId="2DAA4B2D" w14:textId="77777777" w:rsidTr="00822842">
        <w:trPr>
          <w:trHeight w:val="680"/>
        </w:trPr>
        <w:tc>
          <w:tcPr>
            <w:tcW w:w="1384" w:type="dxa"/>
          </w:tcPr>
          <w:p w14:paraId="5727082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0030</w:t>
            </w:r>
          </w:p>
        </w:tc>
        <w:tc>
          <w:tcPr>
            <w:tcW w:w="7655" w:type="dxa"/>
            <w:vAlign w:val="center"/>
          </w:tcPr>
          <w:p w14:paraId="0F71916C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KODIĊI</w:t>
            </w:r>
          </w:p>
          <w:p w14:paraId="12E4A55E" w14:textId="77777777" w:rsidR="00EF74C7" w:rsidRPr="002A677E" w:rsidRDefault="00EF74C7" w:rsidP="00822842">
            <w:pPr>
              <w:rPr>
                <w:rStyle w:val="FormatvorlageInstructionsTabelleText"/>
                <w:rFonts w:ascii="Calibri" w:hAnsi="Calibri" w:cs="Calibri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tidentifika t-tip ta’ kodiċi rapportat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fil-kolonna 0020 bħala “kodiċi LEI” jew “Kodiċi nazzjonali”.</w:t>
            </w:r>
          </w:p>
          <w:p w14:paraId="68A8C569" w14:textId="77777777" w:rsidR="00EF74C7" w:rsidRPr="002A677E" w:rsidRDefault="00EF74C7" w:rsidP="00822842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It-tip tal-kodiċi għandu jiġi rapportat dejjem.</w:t>
            </w:r>
          </w:p>
        </w:tc>
      </w:tr>
      <w:tr w:rsidR="00EF74C7" w:rsidRPr="002A677E" w14:paraId="5CE3DDA8" w14:textId="77777777" w:rsidTr="00822842">
        <w:trPr>
          <w:trHeight w:val="680"/>
        </w:trPr>
        <w:tc>
          <w:tcPr>
            <w:tcW w:w="1384" w:type="dxa"/>
          </w:tcPr>
          <w:p w14:paraId="7912C4C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0035</w:t>
            </w:r>
          </w:p>
        </w:tc>
        <w:tc>
          <w:tcPr>
            <w:tcW w:w="7655" w:type="dxa"/>
            <w:vAlign w:val="center"/>
          </w:tcPr>
          <w:p w14:paraId="6012FDEC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KODIĊI NAZZJONALI</w:t>
            </w:r>
          </w:p>
          <w:p w14:paraId="53A43075" w14:textId="77777777" w:rsidR="00EF74C7" w:rsidRPr="002A677E" w:rsidRDefault="00EF74C7" w:rsidP="00822842">
            <w:pPr>
              <w:pStyle w:val="ListParagraph"/>
              <w:ind w:left="65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tista’ tirrapporta wkoll il-kodiċi nazzjonali meta tirrapporta l-kodiċi LEI bħala identifikatur fil-kolonna 0020 tal-“Kodiċi”.</w:t>
            </w:r>
          </w:p>
        </w:tc>
      </w:tr>
      <w:tr w:rsidR="00EF74C7" w:rsidRPr="002A677E" w14:paraId="224798DC" w14:textId="77777777" w:rsidTr="00822842">
        <w:trPr>
          <w:trHeight w:val="680"/>
        </w:trPr>
        <w:tc>
          <w:tcPr>
            <w:tcW w:w="1384" w:type="dxa"/>
          </w:tcPr>
          <w:p w14:paraId="2CBB581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0040</w:t>
            </w:r>
          </w:p>
        </w:tc>
        <w:tc>
          <w:tcPr>
            <w:tcW w:w="7655" w:type="dxa"/>
            <w:vAlign w:val="center"/>
          </w:tcPr>
          <w:p w14:paraId="2A302176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SETTUR TAL-KONTROPARTI</w:t>
            </w:r>
          </w:p>
          <w:p w14:paraId="138065F1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jintgħażel settur wieħed għal kull kontroparti fuq il-bażi tal-klassijiet tas-settur ekonomiku FINREP li ġejjin (ara l-Parti 3 tal-Anness V ta’ dan ir-Regolament ta’ Implimentazzjoni):</w:t>
            </w:r>
          </w:p>
          <w:p w14:paraId="3FD37943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Banek Ċentrali;</w:t>
            </w:r>
          </w:p>
          <w:p w14:paraId="2EDFC759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Gvernijiet Estiżi;</w:t>
            </w:r>
          </w:p>
          <w:p w14:paraId="59EF6A29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Istituzzjonijiet ta’ kreditu;</w:t>
            </w:r>
          </w:p>
          <w:p w14:paraId="50C89603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(iv)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Ditti ta’ investiment kif definit fl-Artikolu 4(1), il-punt (2), tar-Regolament (UE) Nru 575/2013;</w:t>
            </w:r>
          </w:p>
          <w:p w14:paraId="3A2FD93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(v)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Korporazzjonijiet finanzjarji oħrajn (eskluż ditti ta’ investiment);</w:t>
            </w:r>
          </w:p>
          <w:p w14:paraId="58ADE56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(vi)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Korporazzjonijiet mhux finanzjarji.</w:t>
            </w:r>
          </w:p>
        </w:tc>
      </w:tr>
      <w:tr w:rsidR="00EF74C7" w:rsidRPr="002A677E" w14:paraId="24F599F8" w14:textId="77777777" w:rsidTr="00822842">
        <w:trPr>
          <w:trHeight w:val="680"/>
        </w:trPr>
        <w:tc>
          <w:tcPr>
            <w:tcW w:w="1384" w:type="dxa"/>
          </w:tcPr>
          <w:p w14:paraId="2FBFF8F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</w:t>
            </w:r>
          </w:p>
        </w:tc>
        <w:tc>
          <w:tcPr>
            <w:tcW w:w="7655" w:type="dxa"/>
            <w:vAlign w:val="center"/>
          </w:tcPr>
          <w:p w14:paraId="72BF6C7A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TAL-KONTROPARTI</w:t>
            </w:r>
          </w:p>
          <w:p w14:paraId="34B18679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tindika t-tip ta’ kontroparti, li jista’ jkun:</w:t>
            </w:r>
          </w:p>
          <w:p w14:paraId="19809711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QCCP: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l-kontroparti tkun CCP kwalifikanti;</w:t>
            </w:r>
          </w:p>
          <w:p w14:paraId="7530291C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MHUX QCCP: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l-kontroparti tkun CCP mhux kwalifikanti;</w:t>
            </w:r>
          </w:p>
          <w:p w14:paraId="53A61161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Mhux CCP: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l-kontroparti ma tkunx CCP.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7138E79A" w14:textId="77777777" w:rsidTr="00822842">
        <w:trPr>
          <w:trHeight w:val="680"/>
        </w:trPr>
        <w:tc>
          <w:tcPr>
            <w:tcW w:w="1384" w:type="dxa"/>
          </w:tcPr>
          <w:p w14:paraId="7D208FD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0060</w:t>
            </w:r>
          </w:p>
        </w:tc>
        <w:tc>
          <w:tcPr>
            <w:tcW w:w="7655" w:type="dxa"/>
            <w:vAlign w:val="center"/>
          </w:tcPr>
          <w:p w14:paraId="653C0A24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RESIDENZA TAL-KONTROPARTI</w:t>
            </w:r>
          </w:p>
          <w:p w14:paraId="4B5E06D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jintuża l-kodiċi ISO 3166-1-alpha-2 tal-pajjiż ta’ inkorporazzjoni tal-emittent jew tal-kontroparti (inklużi kodiċijiet pseudo-ISO għal organizzazzjonijiet internazzjonali, disponibbli fil-“Vademecum tal-Bilanċ tal-Pagamenti” tal-Eurostat, kif emendat).</w:t>
            </w:r>
          </w:p>
        </w:tc>
      </w:tr>
      <w:tr w:rsidR="00EF74C7" w:rsidRPr="002A677E" w14:paraId="27926B1D" w14:textId="77777777" w:rsidTr="00822842">
        <w:trPr>
          <w:trHeight w:val="680"/>
        </w:trPr>
        <w:tc>
          <w:tcPr>
            <w:tcW w:w="1384" w:type="dxa"/>
          </w:tcPr>
          <w:p w14:paraId="2F19F110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</w:t>
            </w:r>
          </w:p>
        </w:tc>
        <w:tc>
          <w:tcPr>
            <w:tcW w:w="7655" w:type="dxa"/>
            <w:vAlign w:val="center"/>
          </w:tcPr>
          <w:p w14:paraId="1141BEDE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TRANŻAZZJONIJIET</w:t>
            </w:r>
          </w:p>
          <w:p w14:paraId="22440C23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0020 fil-formula C 34.02.</w:t>
            </w:r>
          </w:p>
        </w:tc>
      </w:tr>
      <w:tr w:rsidR="00EF74C7" w:rsidRPr="002A677E" w14:paraId="41609849" w14:textId="77777777" w:rsidTr="00822842">
        <w:trPr>
          <w:trHeight w:val="426"/>
        </w:trPr>
        <w:tc>
          <w:tcPr>
            <w:tcW w:w="1384" w:type="dxa"/>
          </w:tcPr>
          <w:p w14:paraId="37240D8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0080</w:t>
            </w:r>
          </w:p>
        </w:tc>
        <w:tc>
          <w:tcPr>
            <w:tcW w:w="7655" w:type="dxa"/>
            <w:vAlign w:val="center"/>
          </w:tcPr>
          <w:p w14:paraId="7D28C824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AMMONTI NOZZJONALI</w:t>
            </w:r>
          </w:p>
          <w:p w14:paraId="2092F8D4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0030 fil-formula C 34.02.</w:t>
            </w:r>
          </w:p>
        </w:tc>
      </w:tr>
      <w:tr w:rsidR="00EF74C7" w:rsidRPr="002A677E" w14:paraId="6B0D6FEC" w14:textId="77777777" w:rsidTr="00822842">
        <w:trPr>
          <w:trHeight w:val="680"/>
        </w:trPr>
        <w:tc>
          <w:tcPr>
            <w:tcW w:w="1384" w:type="dxa"/>
          </w:tcPr>
          <w:p w14:paraId="31BEF5FF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</w:t>
            </w:r>
          </w:p>
        </w:tc>
        <w:tc>
          <w:tcPr>
            <w:tcW w:w="7655" w:type="dxa"/>
            <w:vAlign w:val="center"/>
          </w:tcPr>
          <w:p w14:paraId="05F00A70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TAS-SUQ ATTWALI (CMV), Pożittiv</w:t>
            </w:r>
          </w:p>
          <w:p w14:paraId="64CD1326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0040 fil-formula C 34.02.</w:t>
            </w:r>
          </w:p>
          <w:p w14:paraId="2A6475F1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tas-settijiet tan-netting b’CMV pożittiv jekk ikun hemm diversi settijiet tan-netting għall-istess kontroparti.</w:t>
            </w:r>
          </w:p>
        </w:tc>
      </w:tr>
      <w:tr w:rsidR="00EF74C7" w:rsidRPr="002A677E" w14:paraId="11A7EB1F" w14:textId="77777777" w:rsidTr="00822842">
        <w:trPr>
          <w:trHeight w:val="680"/>
        </w:trPr>
        <w:tc>
          <w:tcPr>
            <w:tcW w:w="1384" w:type="dxa"/>
          </w:tcPr>
          <w:p w14:paraId="7D8B949C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0100</w:t>
            </w:r>
          </w:p>
        </w:tc>
        <w:tc>
          <w:tcPr>
            <w:tcW w:w="7655" w:type="dxa"/>
            <w:vAlign w:val="center"/>
          </w:tcPr>
          <w:p w14:paraId="6ED129D1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TAS-SUQ ATTWALI (CMV), Negattiv</w:t>
            </w:r>
          </w:p>
          <w:p w14:paraId="693E2E96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0040 fil-formula C 34.02.</w:t>
            </w:r>
          </w:p>
          <w:p w14:paraId="118E0D7B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assoluta tas-settijiet tan-netting b’CMV negattiv jekk ikun hemm diversi settijiet tan-netting għall-istess kontroparti.</w:t>
            </w:r>
          </w:p>
        </w:tc>
      </w:tr>
      <w:tr w:rsidR="00EF74C7" w:rsidRPr="002A677E" w14:paraId="733474D0" w14:textId="77777777" w:rsidTr="00822842">
        <w:trPr>
          <w:trHeight w:val="680"/>
        </w:trPr>
        <w:tc>
          <w:tcPr>
            <w:tcW w:w="1384" w:type="dxa"/>
          </w:tcPr>
          <w:p w14:paraId="71F3CA0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0110</w:t>
            </w:r>
          </w:p>
        </w:tc>
        <w:tc>
          <w:tcPr>
            <w:tcW w:w="7655" w:type="dxa"/>
            <w:vAlign w:val="center"/>
          </w:tcPr>
          <w:p w14:paraId="3099FFC7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WARA S-CRM</w:t>
            </w:r>
          </w:p>
          <w:p w14:paraId="1EF646BE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0160 fil-formula C 34.02.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04AB81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s-somma tal-valuri tal-iskoperturi tas-settijiet tan-netting wara s-CRM jekk ikun hemm diversi settijiet tan-netting għall-istess kontroparti.</w:t>
            </w:r>
          </w:p>
        </w:tc>
      </w:tr>
      <w:tr w:rsidR="00EF74C7" w:rsidRPr="002A677E" w14:paraId="2DC25145" w14:textId="77777777" w:rsidTr="00822842">
        <w:trPr>
          <w:trHeight w:val="680"/>
        </w:trPr>
        <w:tc>
          <w:tcPr>
            <w:tcW w:w="1384" w:type="dxa"/>
          </w:tcPr>
          <w:p w14:paraId="3E72408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0120</w:t>
            </w:r>
          </w:p>
        </w:tc>
        <w:tc>
          <w:tcPr>
            <w:tcW w:w="7655" w:type="dxa"/>
            <w:vAlign w:val="center"/>
          </w:tcPr>
          <w:p w14:paraId="40235E21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27DEE9F6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0170 fil-formula C 34.02.</w:t>
            </w:r>
          </w:p>
        </w:tc>
      </w:tr>
      <w:tr w:rsidR="00EF74C7" w:rsidRPr="002A677E" w14:paraId="00801519" w14:textId="77777777" w:rsidTr="00822842">
        <w:trPr>
          <w:trHeight w:val="680"/>
        </w:trPr>
        <w:tc>
          <w:tcPr>
            <w:tcW w:w="1384" w:type="dxa"/>
          </w:tcPr>
          <w:p w14:paraId="12B481CF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0130</w:t>
            </w:r>
          </w:p>
        </w:tc>
        <w:tc>
          <w:tcPr>
            <w:tcW w:w="7655" w:type="dxa"/>
            <w:vAlign w:val="center"/>
          </w:tcPr>
          <w:p w14:paraId="31E4AF74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AMMONTI TAL-ISKOPERTURA PONDERATI GĦAR-RISKJU</w:t>
            </w:r>
          </w:p>
          <w:p w14:paraId="2D2BB308" w14:textId="77777777" w:rsidR="00EF74C7" w:rsidRPr="002A677E" w:rsidRDefault="00EF74C7" w:rsidP="00822842">
            <w:pPr>
              <w:keepNext/>
              <w:spacing w:before="6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0200 fil-formula C 34.02.</w:t>
            </w:r>
          </w:p>
        </w:tc>
      </w:tr>
    </w:tbl>
    <w:p w14:paraId="4CB615BB" w14:textId="77777777" w:rsidR="00EF74C7" w:rsidRPr="002A677E" w:rsidRDefault="00EF74C7" w:rsidP="00EF74C7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p w14:paraId="006C82E0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48" w:name="_Toc19715819"/>
      <w:bookmarkStart w:id="49" w:name="_Toc151714459"/>
      <w:r>
        <w:rPr>
          <w:sz w:val="24"/>
          <w:rFonts w:ascii="Times New Roman" w:hAnsi="Times New Roman"/>
        </w:rPr>
        <w:t xml:space="preserve">C 34.07 - Approċċ IRB – Skoperturi tas-CCR skont il-klassi tal-iskoperturi u l-iskala tal-PD</w:t>
      </w:r>
      <w:bookmarkEnd w:id="48"/>
      <w:bookmarkEnd w:id="49"/>
      <w:r>
        <w:rPr>
          <w:sz w:val="24"/>
          <w:rFonts w:ascii="Times New Roman" w:hAnsi="Times New Roman"/>
        </w:rPr>
        <w:t xml:space="preserve"> </w:t>
      </w:r>
    </w:p>
    <w:p w14:paraId="5DE58571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50" w:name="_Toc19715820"/>
      <w:bookmarkStart w:id="51" w:name="_Toc151714460"/>
      <w:r>
        <w:rPr>
          <w:sz w:val="24"/>
          <w:rFonts w:ascii="Times New Roman" w:hAnsi="Times New Roman"/>
        </w:rPr>
        <w:t xml:space="preserve">Rimarki ġenerali</w:t>
      </w:r>
      <w:bookmarkEnd w:id="50"/>
      <w:bookmarkEnd w:id="51"/>
    </w:p>
    <w:p w14:paraId="493D377D" w14:textId="08D4F1D7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128</w:t>
      </w:r>
      <w:r>
        <w:fldChar w:fldCharType="end"/>
      </w:r>
      <w:r>
        <w:t xml:space="preserve">.</w:t>
      </w:r>
      <w:r>
        <w:t xml:space="preserve"> </w:t>
      </w:r>
      <w:r>
        <w:t xml:space="preserve">Din il-formola għandha tiġi rapportata mill-istituzzjonijiet li jużaw l-approċċ IRB avvanzat jew ta’ fondazzjoni biex jikkalkolaw l-ammonti tal-iskopertura ponderati għar-riskju għall-iskoperturi tas-CCR tagħhom kollha jew parti minnhom f’konformità mal-Artikolu 107 tar-Regolament (UE) Nru 575/2013, irrispettivament mill-approċċ tas-CCR użat biex jiġu determinati l-valuri tal-iskopertura f’konformità mat-Tielet Parti, it-Titolu II, il-Kapitolu 4 u 6, tar-Regolament (UE) Nru 575/2013.</w:t>
      </w:r>
      <w:r>
        <w:t xml:space="preserve"> </w:t>
      </w:r>
    </w:p>
    <w:p w14:paraId="4C8689E1" w14:textId="222A66BC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129</w:t>
      </w:r>
      <w:r>
        <w:fldChar w:fldCharType="end"/>
      </w:r>
      <w:r>
        <w:t xml:space="preserve">.</w:t>
      </w:r>
      <w:r>
        <w:t xml:space="preserve"> </w:t>
      </w:r>
      <w:r>
        <w:t xml:space="preserve">Il-formola għandha tiġi rapportata b’mod separat għat-total tal-klassijiet tal-iskoperturi kollha kif ukoll b’mod separat għal kull waħda mill-klassijiet tal-iskoperturi elenkati fl-Artikolu 147 tar-Regolament (UE) Nru 575/2013.</w:t>
      </w:r>
      <w:r>
        <w:t xml:space="preserve"> </w:t>
      </w:r>
      <w:r>
        <w:t xml:space="preserve">Din il-formola teskludi l-iskoperturi kklerjati permezz ta’ CCP.</w:t>
      </w:r>
      <w:r>
        <w:t xml:space="preserve"> </w:t>
      </w:r>
    </w:p>
    <w:p w14:paraId="606463EA" w14:textId="4FB3F052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130</w:t>
      </w:r>
      <w:r>
        <w:fldChar w:fldCharType="end"/>
      </w:r>
      <w:r>
        <w:t xml:space="preserve">.</w:t>
      </w:r>
      <w:r>
        <w:t xml:space="preserve"> </w:t>
      </w:r>
      <w:r>
        <w:t xml:space="preserve">Biex jiġi ċċarat jekk l-istituzzjoni tużax l-istimi tagħha stess għal-LGD u/jew fatturi ta’ konverżjoni tal-kreditu, għandha tiġi pprovduta l-informazzjoni li ġejja għal kull klassi tal-iskoperturi rrapportata:</w:t>
      </w:r>
    </w:p>
    <w:p w14:paraId="0659E66C" w14:textId="77777777" w:rsidR="00EF74C7" w:rsidRPr="002A677E" w:rsidRDefault="00EF74C7" w:rsidP="00EF74C7">
      <w:pPr>
        <w:autoSpaceDE w:val="0"/>
        <w:autoSpaceDN w:val="0"/>
        <w:adjustRightInd w:val="0"/>
        <w:spacing w:after="240"/>
        <w:ind w:left="709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“LE” = f’każ li jintużaw l-istimi superviżorji tal-LGD u l-fatturi ta’ konverżjoni tal-kreditu (IRB ta’ Fondazzjoni)</w:t>
      </w:r>
    </w:p>
    <w:p w14:paraId="41E96B9D" w14:textId="77777777" w:rsidR="00EF74C7" w:rsidRPr="002A677E" w:rsidRDefault="00EF74C7" w:rsidP="00EF74C7">
      <w:pPr>
        <w:autoSpaceDE w:val="0"/>
        <w:autoSpaceDN w:val="0"/>
        <w:adjustRightInd w:val="0"/>
        <w:spacing w:after="240"/>
        <w:ind w:left="709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“IVA” = f’każ li jintużaw l-istimi proprji tal-LGD u l-fatturi ta’ konverżjoni tal-kreditu (IRB Avvanzat)</w:t>
      </w:r>
      <w:r>
        <w:rPr>
          <w:sz w:val="24"/>
          <w:rFonts w:ascii="Times New Roman" w:hAnsi="Times New Roman"/>
        </w:rPr>
        <w:t xml:space="preserve"> </w:t>
      </w:r>
    </w:p>
    <w:p w14:paraId="32D25096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52" w:name="_Toc19715821"/>
      <w:bookmarkStart w:id="53" w:name="_Toc151714461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52"/>
      <w:bookmarkEnd w:id="53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EF74C7" w:rsidRPr="002A677E" w14:paraId="0D87515F" w14:textId="77777777" w:rsidTr="00822842">
        <w:trPr>
          <w:trHeight w:val="238"/>
        </w:trPr>
        <w:tc>
          <w:tcPr>
            <w:tcW w:w="9067" w:type="dxa"/>
            <w:shd w:val="clear" w:color="auto" w:fill="D9D9D9" w:themeFill="background1" w:themeFillShade="D9"/>
          </w:tcPr>
          <w:p w14:paraId="496A4935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</w:tbl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EF74C7" w:rsidRPr="002A677E" w14:paraId="5CB4A790" w14:textId="77777777" w:rsidTr="00822842">
        <w:tc>
          <w:tcPr>
            <w:tcW w:w="1413" w:type="dxa"/>
          </w:tcPr>
          <w:p w14:paraId="1B495832" w14:textId="77777777" w:rsidR="00EF74C7" w:rsidRPr="002A677E" w:rsidRDefault="00EF74C7" w:rsidP="00822842">
            <w:pPr>
              <w:spacing w:before="60" w:after="240"/>
              <w:rPr>
                <w:sz w:val="24"/>
                <w:szCs w:val="22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654" w:type="dxa"/>
          </w:tcPr>
          <w:p w14:paraId="67C92FDB" w14:textId="77777777" w:rsidR="00EF74C7" w:rsidRPr="001235ED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C3DDF84" w14:textId="77777777" w:rsidR="00EF74C7" w:rsidRPr="002A677E" w:rsidRDefault="00EF74C7" w:rsidP="00822842">
            <w:pPr>
              <w:spacing w:before="60" w:after="2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(ara l-istruzzjonijiet għall-kolonna 0170 fil-formula C 34.02), diżaggregat skont l-iskala tal-PD partikolari</w:t>
            </w:r>
          </w:p>
        </w:tc>
      </w:tr>
      <w:tr w:rsidR="00EF74C7" w:rsidRPr="002A677E" w14:paraId="7A3BA614" w14:textId="77777777" w:rsidTr="00822842">
        <w:tc>
          <w:tcPr>
            <w:tcW w:w="1413" w:type="dxa"/>
          </w:tcPr>
          <w:p w14:paraId="198D2CA3" w14:textId="77777777" w:rsidR="00EF74C7" w:rsidRPr="002A677E" w:rsidRDefault="00EF74C7" w:rsidP="00822842">
            <w:pPr>
              <w:spacing w:before="60" w:after="240"/>
              <w:rPr>
                <w:sz w:val="24"/>
                <w:szCs w:val="22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654" w:type="dxa"/>
          </w:tcPr>
          <w:p w14:paraId="57F61D37" w14:textId="77777777" w:rsidR="00EF74C7" w:rsidRPr="001235ED" w:rsidRDefault="00EF74C7" w:rsidP="00822842">
            <w:pPr>
              <w:spacing w:before="60" w:after="24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PD medju ponderat skont l-iskopertura (%)</w:t>
            </w:r>
          </w:p>
          <w:p w14:paraId="17CBA312" w14:textId="77777777" w:rsidR="00EF74C7" w:rsidRPr="002A677E" w:rsidRDefault="00EF74C7" w:rsidP="00822842">
            <w:pPr>
              <w:spacing w:before="60" w:after="2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Medja ta’ PDs tal-grad tal-obbligant individwali peżati bil-valur tal-iskopertura korrispondenti tagħhom kif definita għall-kolonna 0010</w:t>
            </w:r>
          </w:p>
        </w:tc>
      </w:tr>
      <w:tr w:rsidR="00EF74C7" w:rsidRPr="002A677E" w14:paraId="463531AA" w14:textId="77777777" w:rsidTr="00822842">
        <w:tc>
          <w:tcPr>
            <w:tcW w:w="1413" w:type="dxa"/>
          </w:tcPr>
          <w:p w14:paraId="5D5F447A" w14:textId="77777777" w:rsidR="00EF74C7" w:rsidRPr="002A677E" w:rsidRDefault="00EF74C7" w:rsidP="00822842">
            <w:pPr>
              <w:spacing w:before="60" w:after="240"/>
              <w:rPr>
                <w:sz w:val="24"/>
                <w:szCs w:val="22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654" w:type="dxa"/>
          </w:tcPr>
          <w:p w14:paraId="2AD2D5DC" w14:textId="77777777" w:rsidR="00EF74C7" w:rsidRPr="001235ED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Numru ta’ obbliganti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5633515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entitajiet legali jew obbliganti allokati għal kull taqsima tal-iskala tal-PD fissa, li ġew ikklassifikati separatament, irrispettivament mill-għadd ta’ self jew skoperturi differenti mogħtija</w:t>
            </w:r>
          </w:p>
          <w:p w14:paraId="79F85080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skoperturi differenti għall-istess obbligant ikunu kklassifikati separatament, għandhom jingħaddu separatament.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sitwazzjoni tista’ sseħħ jekk skoperturi separati għall-istess debitur jiġu assenjati fi gradi differenti ta’ debituri f’konformità mal-Artikolu 172(1), it-tieni sentenza, il-punt (e) tar-Regolament (UE) Nru 575/2013.</w:t>
            </w:r>
          </w:p>
        </w:tc>
      </w:tr>
      <w:tr w:rsidR="00EF74C7" w:rsidRPr="002A677E" w14:paraId="239943F5" w14:textId="77777777" w:rsidTr="00822842">
        <w:tc>
          <w:tcPr>
            <w:tcW w:w="1413" w:type="dxa"/>
          </w:tcPr>
          <w:p w14:paraId="01BF27A5" w14:textId="77777777" w:rsidR="00EF74C7" w:rsidRPr="002A677E" w:rsidRDefault="00EF74C7" w:rsidP="00822842">
            <w:pPr>
              <w:spacing w:before="60" w:after="240"/>
              <w:rPr>
                <w:sz w:val="24"/>
                <w:szCs w:val="22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654" w:type="dxa"/>
          </w:tcPr>
          <w:p w14:paraId="1D60931A" w14:textId="77777777" w:rsidR="00EF74C7" w:rsidRPr="001235ED" w:rsidRDefault="00EF74C7" w:rsidP="00822842">
            <w:pPr>
              <w:spacing w:before="60" w:after="24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LGD medju ponderat skont l-iskopertura (%)</w:t>
            </w:r>
          </w:p>
          <w:p w14:paraId="1CF7FBBB" w14:textId="77777777" w:rsidR="00EF74C7" w:rsidRPr="002A677E" w:rsidRDefault="00EF74C7" w:rsidP="00822842">
            <w:pPr>
              <w:spacing w:before="60" w:after="2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Medja ta’ LGDs tal-grad tal-obbligant peżati bil-valur tal-iskopertura korrispondenti tagħhom kif definita għall-kolonna 0010</w:t>
            </w:r>
          </w:p>
          <w:p w14:paraId="7080F0A6" w14:textId="080029A0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L-LGD irrapportat għandu jikkorrispondi għall-istima finali tal-LGD użata fil-kalkolu tal-ammonti tal-iskopertura ponderati għar-riskju miksuba wara kunsiderazzjoni ta’ kwalunkwe effett tas-CRM u kundizzjonijiet ta’ tnaqqis fir-ritmu ekonomiku kif speċifikat fit-Tielet Parti, it-Titolu II, il-Kapitolu 3 u 4, tar-Regolament (UE) Nru 575/2013, meta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B’mod partikolari, għal istituzzjonijiet li japplikaw l-approċċ IRB iżda li ma jużawx l-istimi tagħhom stess tal-LGD, l-effetti ta’ mitigazzjoni tar-riskju tal-kollateral finanzjarju huma riflessi f’E*, il-valur totalment aġġustat tal-iskopertura, u mbagħad rifless fl-LGD* f’konformità mal-Artikolu 230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jiġu applikati l-istimi proprji tal-LGD, għandhom jiġu kkunsidrati l-Artikolu 175 u l-Artikolu 181(1) u (2) tar-Regolament (UE) Nru 575/2013.</w:t>
            </w:r>
          </w:p>
          <w:p w14:paraId="1D9D0798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skoperturi soġġetti għat-trattament doppju ta’ inadempjenza, l-LGD li għandu jiġi rapportat għandu jikkorrispondi għal dak magħżul f’konformità mal-Artikolu 161(4) tar-Regolament (UE) Nru 575/2013.</w:t>
            </w:r>
          </w:p>
          <w:p w14:paraId="2C390C4A" w14:textId="77777777" w:rsidR="00EF74C7" w:rsidRPr="002A677E" w:rsidRDefault="00EF74C7" w:rsidP="00822842">
            <w:pPr>
              <w:spacing w:before="60" w:after="24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inadempjenti skont l-approċċ A-IRB, għandhom jitqiesu d-dispożizzjonijiet stabbiliti fl-Artikolu 181(1), il-punt (h),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L-LGD irrapportat għandu jikkorrispondi mal-istima tal-LGD fl-inadempjenza.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6EA42417" w14:textId="77777777" w:rsidTr="00822842">
        <w:tc>
          <w:tcPr>
            <w:tcW w:w="1413" w:type="dxa"/>
          </w:tcPr>
          <w:p w14:paraId="49D0D602" w14:textId="77777777" w:rsidR="00EF74C7" w:rsidRPr="002A677E" w:rsidRDefault="00EF74C7" w:rsidP="00822842">
            <w:pPr>
              <w:spacing w:before="60" w:after="2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654" w:type="dxa"/>
          </w:tcPr>
          <w:p w14:paraId="6BAEF9EB" w14:textId="77777777" w:rsidR="00EF74C7" w:rsidRPr="001235ED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Maturità medja ppeżata skont l-iskopertura (snin)</w:t>
            </w:r>
          </w:p>
          <w:p w14:paraId="32B69B7E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Medja</w:t>
            </w:r>
            <w:r>
              <w:rPr>
                <w:sz w:val="24"/>
                <w:rFonts w:ascii="Times New Roman" w:hAnsi="Times New Roman"/>
              </w:rPr>
              <w:t xml:space="preserve"> ta’ maturitajiet tad-debitur fi snin ponderati bil-valur tal-iskopertura korrispondenti tagħhom kif definita għall-kolonna 0010</w:t>
            </w:r>
          </w:p>
          <w:p w14:paraId="2277F2A3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Il-maturità għandha tiġi determinata f’konformità mal-Artikolu 162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5B18C05A" w14:textId="77777777" w:rsidTr="00822842">
        <w:tc>
          <w:tcPr>
            <w:tcW w:w="1413" w:type="dxa"/>
          </w:tcPr>
          <w:p w14:paraId="2A096E22" w14:textId="77777777" w:rsidR="00EF74C7" w:rsidRPr="002A677E" w:rsidRDefault="00EF74C7" w:rsidP="00822842">
            <w:pPr>
              <w:spacing w:before="60" w:after="240"/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654" w:type="dxa"/>
          </w:tcPr>
          <w:p w14:paraId="46D2D7DB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Ammonti tal-iskopertura ponderati għar-riskju</w:t>
            </w:r>
            <w:r>
              <w:rPr>
                <w:sz w:val="24"/>
                <w:i/>
                <w:rFonts w:ascii="Times New Roman" w:hAnsi="Times New Roman"/>
              </w:rPr>
              <w:t xml:space="preserve"> </w:t>
            </w:r>
          </w:p>
          <w:p w14:paraId="21AFCDAB" w14:textId="09499DC5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għar-riskju, kif definiti fl-Artikolu 92(3) tar-Regolament (UE) Nru 575/2013, għal pożizzjonijiet li l-ponderazzjonijiet tar-riskju tagħhom huma stmati fuq il-bażi tar-rekwiżiti stabbiliti fit-Tielet Parti, it-Titolu II, il-Kapitolu 3, tar-Regolament (UE) Nru 575/2013 u li għalihom il-valur tal-iskopertura għall-operazzjonijiet tas-CCR huwa kkalkolat f’konformità mat-Tielet Parti, it-Titolu II, il-Kapitoli 4 u 6,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071DC2E" w14:textId="77777777" w:rsidR="00EF74C7" w:rsidRPr="002A677E" w:rsidRDefault="00EF74C7" w:rsidP="00822842">
            <w:pPr>
              <w:spacing w:before="60" w:after="24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l-fatturi ta’ appoġġ tal-SMEs u l-infrastruttura stabbiliti fl-Artikolu 501 u l-Artikolu 501a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4BA3B7AB" w14:textId="77777777" w:rsidTr="00822842">
        <w:tc>
          <w:tcPr>
            <w:tcW w:w="1413" w:type="dxa"/>
          </w:tcPr>
          <w:p w14:paraId="5F982F69" w14:textId="77777777" w:rsidR="00EF74C7" w:rsidRPr="002A677E" w:rsidRDefault="00EF74C7" w:rsidP="00822842">
            <w:pPr>
              <w:spacing w:before="60" w:after="240"/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654" w:type="dxa"/>
          </w:tcPr>
          <w:p w14:paraId="6C5FAC81" w14:textId="77777777" w:rsidR="00EF74C7" w:rsidRPr="001235ED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Densità tal-ammonti tal-iskopertura ponderati għar-riskju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D69B724" w14:textId="77777777" w:rsidR="00EF74C7" w:rsidRPr="002A677E" w:rsidDel="00291448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Proporzjon tal-ammonti totali tal-iskopertura ponderati għar-riskju (irrapportati fil-kolonna 0060) għall-valur tal-iskopertura (irrapportat fil-kolonna 0010)</w:t>
            </w:r>
          </w:p>
        </w:tc>
      </w:tr>
    </w:tbl>
    <w:p w14:paraId="62CA01EC" w14:textId="77777777" w:rsidR="00EF74C7" w:rsidRPr="002A677E" w:rsidRDefault="00EF74C7" w:rsidP="00EF74C7">
      <w:pPr>
        <w:spacing w:before="60" w:after="240"/>
        <w:rPr>
          <w:rFonts w:ascii="Times New Roman" w:hAnsi="Times New Roman"/>
          <w:sz w:val="24"/>
          <w:lang w:eastAsia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175F0F1C" w14:textId="77777777" w:rsidTr="00822842">
        <w:trPr>
          <w:trHeight w:val="720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AB89CAA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68004F65" w14:textId="77777777" w:rsidTr="00822842">
        <w:trPr>
          <w:trHeight w:val="680"/>
        </w:trPr>
        <w:tc>
          <w:tcPr>
            <w:tcW w:w="1384" w:type="dxa"/>
          </w:tcPr>
          <w:p w14:paraId="34D367A2" w14:textId="77777777" w:rsidR="00EF74C7" w:rsidRPr="002A677E" w:rsidRDefault="00EF74C7" w:rsidP="00822842">
            <w:pPr>
              <w:pStyle w:val="Applicationdirecte"/>
              <w:spacing w:before="60" w:after="0"/>
              <w:jc w:val="center"/>
            </w:pPr>
            <w:r>
              <w:t xml:space="preserve">0010 - 0170</w:t>
            </w:r>
          </w:p>
        </w:tc>
        <w:tc>
          <w:tcPr>
            <w:tcW w:w="7655" w:type="dxa"/>
            <w:vAlign w:val="center"/>
          </w:tcPr>
          <w:p w14:paraId="2D3B901D" w14:textId="77777777" w:rsidR="00EF74C7" w:rsidRPr="002A677E" w:rsidRDefault="00EF74C7" w:rsidP="00822842">
            <w:pPr>
              <w:spacing w:before="6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Skala tal-PD</w:t>
            </w:r>
          </w:p>
          <w:p w14:paraId="61146F57" w14:textId="68363C58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tas-CCR (determinati fil-livell tal-kontroparti) għandhom ikunu allokati għat-taqsima xierqa tal-iskala ta’ PD fissa bbażata fuq il-PD stmata għal kull debitur assenjat għal din il-klassi tal-iskoperturi (filwaqt li titqies kwalunkwe sostituzzjoni dovuta għall-eżistenza ta’ garanzija jew derivattiv ta’ kreditu).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jimmappjaw skopertura, skopertura għall-iskala tal-PD ipprovduta fil-mudell, filwaqt li jqisu wkoll skali kontinwi.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L-iskoperturi inadempjenti kollha għandhom jiġu inklużi fil-bucket li tirrappreżenta PD ta’ 100</w:t>
            </w:r>
            <w:r>
              <w:t xml:space="preserve"> </w:t>
            </w:r>
            <w:r>
              <w:rPr>
                <w:sz w:val="24"/>
                <w:rFonts w:ascii="Times New Roman" w:hAnsi="Times New Roman"/>
              </w:rPr>
              <w:t xml:space="preserve">%.</w:t>
            </w:r>
          </w:p>
        </w:tc>
      </w:tr>
    </w:tbl>
    <w:p w14:paraId="6EF2BA05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54" w:name="_Toc19715822"/>
      <w:bookmarkStart w:id="55" w:name="_Toc151714462"/>
      <w:r>
        <w:rPr>
          <w:sz w:val="24"/>
          <w:rFonts w:ascii="Times New Roman" w:hAnsi="Times New Roman"/>
        </w:rPr>
        <w:t xml:space="preserve">C 34.08 - Kompożizzjoni tal-kollateral għall-iskoperturi tas-CCR</w:t>
      </w:r>
      <w:bookmarkEnd w:id="54"/>
      <w:bookmarkEnd w:id="55"/>
    </w:p>
    <w:p w14:paraId="70D733F8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56" w:name="_Toc19715823"/>
      <w:bookmarkStart w:id="57" w:name="_Toc151714463"/>
      <w:r>
        <w:rPr>
          <w:sz w:val="24"/>
          <w:rFonts w:ascii="Times New Roman" w:hAnsi="Times New Roman"/>
        </w:rPr>
        <w:t xml:space="preserve">Rimarki ġenerali</w:t>
      </w:r>
      <w:bookmarkEnd w:id="56"/>
      <w:bookmarkEnd w:id="57"/>
    </w:p>
    <w:p w14:paraId="0AF1AF80" w14:textId="794CBD92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131</w:t>
      </w:r>
      <w:r>
        <w:fldChar w:fldCharType="end"/>
      </w:r>
      <w:r>
        <w:t xml:space="preserve">.</w:t>
      </w:r>
      <w:r>
        <w:t xml:space="preserve"> </w:t>
      </w:r>
      <w:r>
        <w:t xml:space="preserve">Din il-formola għandha timtela b’valuri ġusti ta’ kollateral (depożitat jew riċevut) użati fi skoperturi tas-CCR relatati ma’ tranżazzjonijiet ta’ derivattivi, tranżazzjoni ta’ saldu fit-tul jew tranżazzjonijiet li jiffinanzjaw it-titoli, kemm jekk it-tranżazzjonijiet jiġu kklerjati permezz ta’ CCP jew le u kemm jekk il-kollateral jiġi depożitat f’CCP jew le.</w:t>
      </w:r>
      <w:r>
        <w:t xml:space="preserve"> </w:t>
      </w:r>
    </w:p>
    <w:p w14:paraId="74E68575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58" w:name="_Toc19715824"/>
      <w:bookmarkStart w:id="59" w:name="_Toc151714464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58"/>
      <w:bookmarkEnd w:id="59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302BF743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9AD00A" w14:textId="77777777" w:rsidR="00EF74C7" w:rsidRPr="002A677E" w:rsidRDefault="00EF74C7" w:rsidP="00822842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26586561" w14:textId="77777777" w:rsidTr="00822842">
        <w:trPr>
          <w:trHeight w:val="680"/>
        </w:trPr>
        <w:tc>
          <w:tcPr>
            <w:tcW w:w="1384" w:type="dxa"/>
          </w:tcPr>
          <w:p w14:paraId="21B980D6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0010 - 0080</w:t>
            </w:r>
          </w:p>
        </w:tc>
        <w:tc>
          <w:tcPr>
            <w:tcW w:w="7655" w:type="dxa"/>
            <w:vAlign w:val="center"/>
          </w:tcPr>
          <w:p w14:paraId="64904DC2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Kollateral użat fi tranżazzjonijiet derivattivi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0F03F847" w14:textId="77777777" w:rsidR="00EF74C7" w:rsidRPr="002A677E" w:rsidRDefault="00EF74C7" w:rsidP="00822842">
            <w:pPr>
              <w:pStyle w:val="numberedparagraph"/>
              <w:numPr>
                <w:ilvl w:val="0"/>
                <w:numId w:val="0"/>
              </w:numPr>
              <w:spacing w:before="60" w:line="240" w:lineRule="auto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il-kollateral (inkluż il-marġni inizjali u l-marġni ta’ varjazzjoni tal-kollateral) li jintuża fl-iskoperturi tas-CCR relatati ma’ kwalunkwe strument derivattiv elenkat fl-Anness II tar-Regolament (UE) Nru 575/2013 jew tranżazzjoni ta’ saldu twil kif definit fl-Artikolu 272, il-punt (2), tal-istess Regolament li ma jikkwalifikax bħala SFT.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1B7CDC53" w14:textId="77777777" w:rsidTr="00822842">
        <w:trPr>
          <w:trHeight w:val="680"/>
        </w:trPr>
        <w:tc>
          <w:tcPr>
            <w:tcW w:w="1384" w:type="dxa"/>
          </w:tcPr>
          <w:p w14:paraId="28360CD0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0090 - 0180</w:t>
            </w:r>
          </w:p>
        </w:tc>
        <w:tc>
          <w:tcPr>
            <w:tcW w:w="7655" w:type="dxa"/>
            <w:vAlign w:val="center"/>
          </w:tcPr>
          <w:p w14:paraId="3C96417C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Kollateral użat f’SFTs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B5AF52E" w14:textId="77777777" w:rsidR="00EF74C7" w:rsidRPr="002A677E" w:rsidRDefault="00EF74C7" w:rsidP="00822842">
            <w:pPr>
              <w:pStyle w:val="numberedparagraph"/>
              <w:numPr>
                <w:ilvl w:val="0"/>
                <w:numId w:val="0"/>
              </w:numPr>
              <w:spacing w:before="60" w:line="240" w:lineRule="auto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il-kollateral (inkluż il-marġni inizjali u l-marġni ta’ varjazzjoni tal-kollateral kif ukoll il-kollateral li jidher bħala sigurtà tal-SFT) li jintuża fl-iskoperturi tas-CCR relatati ma’ kwalunkwe SFT jew tranżazzjoni ta’ saldu twil li ma tikkwalifikax bħala derivattiv.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0B6009FC" w14:textId="77777777" w:rsidTr="00822842">
        <w:trPr>
          <w:trHeight w:val="416"/>
        </w:trPr>
        <w:tc>
          <w:tcPr>
            <w:tcW w:w="1384" w:type="dxa"/>
          </w:tcPr>
          <w:p w14:paraId="201D2450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0010, 0020, 0050, 0060, 0090, 0100, 0140, 0150</w:t>
            </w:r>
          </w:p>
        </w:tc>
        <w:tc>
          <w:tcPr>
            <w:tcW w:w="7655" w:type="dxa"/>
            <w:vAlign w:val="center"/>
          </w:tcPr>
          <w:p w14:paraId="1906C178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Segregat</w:t>
            </w:r>
          </w:p>
          <w:p w14:paraId="3338D91C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300(1) tar-Regolament (UE) Nru 575/2013</w:t>
            </w:r>
          </w:p>
          <w:p w14:paraId="26EDC9B6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il-kollateral li jinżamm b’mod protett f’każ ta’ falliment kif definit fl-Artikolu 300(1) tar-Regolament (UE) Nru 575/2013, b’diżaggregazzjoni ulterjuri f’kollateral li jidher fil-forma ta’ marġni inizjali jew ta’ varjazzjoni.</w:t>
            </w:r>
          </w:p>
        </w:tc>
      </w:tr>
      <w:tr w:rsidR="00EF74C7" w:rsidRPr="002A677E" w14:paraId="72806B64" w14:textId="77777777" w:rsidTr="00822842">
        <w:trPr>
          <w:trHeight w:val="680"/>
        </w:trPr>
        <w:tc>
          <w:tcPr>
            <w:tcW w:w="1384" w:type="dxa"/>
          </w:tcPr>
          <w:p w14:paraId="7E6BCB3B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0030, 0040, 0070, 0080, 0110, 0120, 0130, 0160, 0170, 0180</w:t>
            </w:r>
            <w:r>
              <w:t xml:space="preserve"> </w:t>
            </w:r>
          </w:p>
        </w:tc>
        <w:tc>
          <w:tcPr>
            <w:tcW w:w="7655" w:type="dxa"/>
          </w:tcPr>
          <w:p w14:paraId="0860899A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Mhux segregat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A8B9376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300(1) tar-Regolament (UE) Nru 575/2013</w:t>
            </w:r>
          </w:p>
          <w:p w14:paraId="57A510C0" w14:textId="77777777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il-kollateral li ma jinżammx b’mod protett f’każ ta’ falliment kif definit fl-Artikolu 300(1) tar-Regolament (UE) Nru 575/2013, b’diżaggregazzjoni ulterjuri skont il-marġni inizjali, il-marġni ta’ varjazzjoni u sigurtà tal-SFT.</w:t>
            </w:r>
          </w:p>
        </w:tc>
      </w:tr>
      <w:tr w:rsidR="00EF74C7" w:rsidRPr="002A677E" w14:paraId="10122572" w14:textId="77777777" w:rsidTr="00822842">
        <w:trPr>
          <w:trHeight w:val="680"/>
        </w:trPr>
        <w:tc>
          <w:tcPr>
            <w:tcW w:w="1384" w:type="dxa"/>
          </w:tcPr>
          <w:p w14:paraId="43A4CCC5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0010, 0030, 0050, 0070, 0090, 0110, 0140, 0160</w:t>
            </w:r>
          </w:p>
        </w:tc>
        <w:tc>
          <w:tcPr>
            <w:tcW w:w="7655" w:type="dxa"/>
            <w:vAlign w:val="center"/>
          </w:tcPr>
          <w:p w14:paraId="24507BB5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Marġini inizjali</w:t>
            </w:r>
          </w:p>
          <w:p w14:paraId="3EA695F0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(140), tar-Regolament (UE) Nru 575/2013</w:t>
            </w:r>
          </w:p>
          <w:p w14:paraId="17D2E11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il-valuri ġusti tal-kollateral riċevut jew depożitat bħala marġni inizjali (definit fl-Artikolu 4(1), il-punt (140), tar-Regolament (UE) Nru 575/2013).</w:t>
            </w:r>
          </w:p>
        </w:tc>
      </w:tr>
      <w:tr w:rsidR="00EF74C7" w:rsidRPr="002A677E" w14:paraId="32DE18A2" w14:textId="77777777" w:rsidTr="00822842">
        <w:trPr>
          <w:trHeight w:val="680"/>
        </w:trPr>
        <w:tc>
          <w:tcPr>
            <w:tcW w:w="1384" w:type="dxa"/>
          </w:tcPr>
          <w:p w14:paraId="23334415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0020, 0040, 0060, 0080, 0100, 0120, 0150, 0170</w:t>
            </w:r>
          </w:p>
        </w:tc>
        <w:tc>
          <w:tcPr>
            <w:tcW w:w="7655" w:type="dxa"/>
            <w:vAlign w:val="center"/>
          </w:tcPr>
          <w:p w14:paraId="00C79FEA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Marġini ta’ varjazzjoni</w:t>
            </w:r>
          </w:p>
          <w:p w14:paraId="054E9606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il-valuri ġusti tal-kollateral riċevut jew depożitat bħala marġini ta’ varjazzjoni.</w:t>
            </w:r>
          </w:p>
        </w:tc>
      </w:tr>
      <w:tr w:rsidR="00EF74C7" w:rsidRPr="002A677E" w14:paraId="1FB544F3" w14:textId="77777777" w:rsidTr="00822842">
        <w:trPr>
          <w:trHeight w:val="680"/>
        </w:trPr>
        <w:tc>
          <w:tcPr>
            <w:tcW w:w="1384" w:type="dxa"/>
          </w:tcPr>
          <w:p w14:paraId="0D63C386" w14:textId="77777777" w:rsidR="00EF74C7" w:rsidRPr="002A677E" w:rsidRDefault="00EF74C7" w:rsidP="00822842">
            <w:pPr>
              <w:pStyle w:val="Applicationdirecte"/>
              <w:spacing w:before="60" w:after="0"/>
            </w:pPr>
            <w:r>
              <w:t xml:space="preserve">0130, 0180</w:t>
            </w:r>
          </w:p>
        </w:tc>
        <w:tc>
          <w:tcPr>
            <w:tcW w:w="7655" w:type="dxa"/>
            <w:vAlign w:val="center"/>
          </w:tcPr>
          <w:p w14:paraId="47509680" w14:textId="77777777" w:rsidR="00EF74C7" w:rsidRPr="002A677E" w:rsidRDefault="00EF74C7" w:rsidP="00822842">
            <w:pPr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Sigurtà tal-SFT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9AA9223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il-valuri ġusti tal-kollateral li jidher bħala titolu fi tranżizzjonijiet li jiffinanzjaw titoli (pereż. il-komponent tat-titolu tat-tranżizzjoni li tiffinanzja titoli li jkun ġie riċevut għall-kolonna 0130, jew iddepożitat għall-kolonna 0180).</w:t>
            </w:r>
          </w:p>
        </w:tc>
      </w:tr>
    </w:tbl>
    <w:p w14:paraId="0822D80D" w14:textId="77777777" w:rsidR="00EF74C7" w:rsidRPr="002A677E" w:rsidRDefault="00EF74C7" w:rsidP="00EF74C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61207939" w14:textId="77777777" w:rsidTr="00822842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3BC71FE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69BA6111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6D67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– 0080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DF43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 ta’ kollateral</w:t>
            </w:r>
          </w:p>
          <w:p w14:paraId="4B5DD4D2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Diżaggregazzjoni skont it-tipi differenti ta’ kollateral</w:t>
            </w:r>
          </w:p>
        </w:tc>
      </w:tr>
    </w:tbl>
    <w:p w14:paraId="2E2AAEC8" w14:textId="77777777" w:rsidR="00EF74C7" w:rsidRPr="002A677E" w:rsidRDefault="00EF74C7" w:rsidP="00EF74C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367FEDD2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60" w:name="_Toc19715825"/>
      <w:bookmarkStart w:id="61" w:name="_Toc151714465"/>
      <w:r>
        <w:rPr>
          <w:sz w:val="24"/>
          <w:rFonts w:ascii="Times New Roman" w:hAnsi="Times New Roman"/>
        </w:rPr>
        <w:t xml:space="preserve">C 34.09 - Skoperturi ta’ derivattivi ta’ kreditu</w:t>
      </w:r>
      <w:bookmarkEnd w:id="60"/>
      <w:bookmarkEnd w:id="61"/>
    </w:p>
    <w:p w14:paraId="64D36FD9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62" w:name="_Toc19715826"/>
      <w:bookmarkStart w:id="63" w:name="_Toc151714466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62"/>
      <w:bookmarkEnd w:id="63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4BDE15E5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76BA84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09C39834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D805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E0BE3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PROTEZZJONI TA’ DERIVATTIVI TA’ KREDITU</w:t>
            </w:r>
          </w:p>
          <w:p w14:paraId="7A5AD5A8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Protezzjoni mixtrija jew mibjugħa ta’ derivattivi ta’ kreditu</w:t>
            </w:r>
          </w:p>
        </w:tc>
      </w:tr>
      <w:tr w:rsidR="00EF74C7" w:rsidRPr="002A677E" w14:paraId="3E4575D5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B445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0010, 0020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8970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NOZZJONALI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0378DBE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tal-ammonti nozzjonali tad-derivattivi qabel kwalunkwe netting, diżaggregati skont it-tip ta’ prodott</w:t>
            </w:r>
          </w:p>
        </w:tc>
      </w:tr>
      <w:tr w:rsidR="00EF74C7" w:rsidRPr="002A677E" w14:paraId="77CA12A3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54F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EA8B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VALURI ĠUSTI</w:t>
            </w:r>
          </w:p>
          <w:p w14:paraId="3C50834E" w14:textId="77777777" w:rsidR="00EF74C7" w:rsidRPr="002A677E" w:rsidRDefault="00EF74C7" w:rsidP="00822842">
            <w:pPr>
              <w:autoSpaceDE w:val="0"/>
              <w:autoSpaceDN w:val="0"/>
              <w:adjustRightInd w:val="0"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tal-valuri ġusti diżaggregata skont il-protezzjoni mixtrija u l-protezzjoni mibjugħa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E39E61C" w14:textId="77777777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0B4D4225" w14:textId="77777777" w:rsidTr="00822842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E3D936B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7760BE03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49DA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– 0050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03D1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 ta’ prodott</w:t>
            </w:r>
          </w:p>
          <w:p w14:paraId="6C2C37A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Diżaggregazzjoni tat-tipi tal-prodott ta’ derivattivi ta’ kreditu</w:t>
            </w:r>
          </w:p>
        </w:tc>
      </w:tr>
      <w:tr w:rsidR="00EF74C7" w:rsidRPr="002A677E" w14:paraId="4256109A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7518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0B3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Totali</w:t>
            </w:r>
          </w:p>
          <w:p w14:paraId="6166DDC1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Somma tat-tipi kollha ta’ prodotti</w:t>
            </w:r>
          </w:p>
        </w:tc>
      </w:tr>
      <w:tr w:rsidR="00EF74C7" w:rsidRPr="002A677E" w14:paraId="32F011E4" w14:textId="77777777" w:rsidTr="00822842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B577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0070, 0080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880C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Valuri ġusti</w:t>
            </w:r>
          </w:p>
          <w:p w14:paraId="69350AE6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Valuri ġusti diżaggregati skont it-tip ta’ prodott kif ukoll l-assi (valuri ġusti pożittivi) u l-obbligazzjonijiet (valuri ġusti negattivi)</w:t>
            </w:r>
          </w:p>
        </w:tc>
      </w:tr>
    </w:tbl>
    <w:p w14:paraId="3EEB26BA" w14:textId="77777777" w:rsidR="00EF74C7" w:rsidRPr="002A677E" w:rsidRDefault="00EF74C7" w:rsidP="00EF74C7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5E3991AC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64" w:name="_Toc19715827"/>
      <w:bookmarkStart w:id="65" w:name="_Toc151714467"/>
      <w:r>
        <w:rPr>
          <w:sz w:val="24"/>
          <w:rFonts w:ascii="Times New Roman" w:hAnsi="Times New Roman"/>
        </w:rPr>
        <w:t xml:space="preserve">C 34.10 - Skoperturi għal CCPs</w:t>
      </w:r>
      <w:bookmarkEnd w:id="64"/>
      <w:bookmarkEnd w:id="65"/>
    </w:p>
    <w:p w14:paraId="61966719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66" w:name="_Toc19715828"/>
      <w:bookmarkStart w:id="67" w:name="_Toc151714468"/>
      <w:r>
        <w:rPr>
          <w:sz w:val="24"/>
          <w:rFonts w:ascii="Times New Roman" w:hAnsi="Times New Roman"/>
        </w:rPr>
        <w:t xml:space="preserve">Rimarki ġenerali</w:t>
      </w:r>
      <w:bookmarkEnd w:id="66"/>
      <w:bookmarkEnd w:id="67"/>
    </w:p>
    <w:p w14:paraId="61FE0E56" w14:textId="36BE8166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132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dwar skoperturi għal CCPs, jiġifieri għal kuntratti u tranżazzjonijiet elenkati fl-Artikolu 301(1) tar-Regolament (UE) Nru 575/2013 sakemm ikunu pendenti ma’ CCP u skoperturi minn tranżazzjonijiet relatati mas-CCP, f’konformità mal-Artikolu 300(2) ta’ dak ir-Regolament, li għalihom ir-rekwiżiti ta’ fondi proprji huma kkalkolati f’konformità mat-Tielet Parti, it-Titolu II, il-Kapitolu 6, it-Taqsima 9, ta’ dak ir-Regolament.</w:t>
      </w:r>
      <w:r>
        <w:t xml:space="preserve"> </w:t>
      </w:r>
    </w:p>
    <w:p w14:paraId="6A78D46D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68" w:name="_Toc19715829"/>
      <w:bookmarkStart w:id="69" w:name="_Toc151714469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68"/>
      <w:bookmarkEnd w:id="69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49273B65" w14:textId="77777777" w:rsidTr="00822842">
        <w:trPr>
          <w:trHeight w:val="6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A5BF9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124AAA9B" w14:textId="77777777" w:rsidTr="00822842">
        <w:trPr>
          <w:trHeight w:val="680"/>
        </w:trPr>
        <w:tc>
          <w:tcPr>
            <w:tcW w:w="1384" w:type="dxa"/>
          </w:tcPr>
          <w:p w14:paraId="011E66A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  <w:vAlign w:val="center"/>
          </w:tcPr>
          <w:p w14:paraId="06553A7D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0EB17FC4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għal tranżazzjonijiet fil-kamp ta’ applikazzjoni tat-Tielet Parti, it-Titolu II, il-Kapitolu 6, it-Taqsima 9, tar-Regolament (UE) Nru 575/2013 ikkalkolat f’konformità mal-metodi rilevanti stabbiliti f’dak il-Kapitolu u b’mod partikolari fit-Taqsima 9 tiegħu</w:t>
            </w:r>
          </w:p>
          <w:p w14:paraId="4A7F4393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rapportat għandu jkun l-ammont rilevanti għall-kalkolu tar-rekwiżiti ta’ fondi proprji f’konformità mat-Tielet Parti, it-Titolu II, il-Kapitolu 6, it-Taqsima 9, tar-Regolament (UE) Nru 575/2013, b’kunsiderazzjoni tar-rekwiżiti fl-Artikolu 497 ta’ dak ir-Regolament waqt il-perjodu tranżizzjonali previst f’dak l-Artikolu.</w:t>
            </w:r>
          </w:p>
          <w:p w14:paraId="0F502FE9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Skopertura tista’ tkun skopertura ta’ negozju, kif definit fl-Artikolu 4(1), il-punt (91), tar-Regolament (UE) Nru 575/2013.</w:t>
            </w:r>
          </w:p>
        </w:tc>
      </w:tr>
      <w:tr w:rsidR="00EF74C7" w:rsidRPr="002A677E" w14:paraId="774930E7" w14:textId="77777777" w:rsidTr="00822842">
        <w:trPr>
          <w:trHeight w:val="680"/>
        </w:trPr>
        <w:tc>
          <w:tcPr>
            <w:tcW w:w="1384" w:type="dxa"/>
          </w:tcPr>
          <w:p w14:paraId="557FAF2F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vAlign w:val="center"/>
          </w:tcPr>
          <w:p w14:paraId="1E7084BA" w14:textId="77777777" w:rsidR="00EF74C7" w:rsidRPr="002A677E" w:rsidRDefault="00EF74C7" w:rsidP="00822842">
            <w:pPr>
              <w:keepNext/>
              <w:tabs>
                <w:tab w:val="left" w:pos="6983"/>
              </w:tabs>
              <w:spacing w:before="6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TAL-ISKOPERTURA PONDERATI GĦAR-RISKJU</w:t>
            </w:r>
          </w:p>
          <w:p w14:paraId="5DA0A790" w14:textId="77777777" w:rsidR="00EF74C7" w:rsidRPr="002A677E" w:rsidRDefault="00EF74C7" w:rsidP="00822842">
            <w:pPr>
              <w:keepNext/>
              <w:spacing w:before="60"/>
              <w:rPr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ddeterminati f’konformità mat-Tielet Parti, it-Titolu II, il-Kapitolu 6, it-Taqsima 9, tar-Regolament (UE) Nru 575/2013, b’kunsiderazzjoni tar-rekwiżiti fl-Artikolu 497 ta’ dak ir-Regolament matul il-perjodu tranżizzjonali previst minn dak l-Artikolu</w:t>
            </w:r>
          </w:p>
        </w:tc>
      </w:tr>
    </w:tbl>
    <w:p w14:paraId="4DE5F5D8" w14:textId="77777777" w:rsidR="00EF74C7" w:rsidRPr="002A677E" w:rsidRDefault="00EF74C7" w:rsidP="00EF74C7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6AE86182" w14:textId="77777777" w:rsidTr="00822842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A1536EA" w14:textId="77777777" w:rsidR="00EF74C7" w:rsidRPr="002A677E" w:rsidRDefault="00EF74C7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2D4AF3E6" w14:textId="77777777" w:rsidTr="00822842">
        <w:trPr>
          <w:trHeight w:val="680"/>
        </w:trPr>
        <w:tc>
          <w:tcPr>
            <w:tcW w:w="1384" w:type="dxa"/>
          </w:tcPr>
          <w:p w14:paraId="6FF1A266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0010-0100</w:t>
            </w:r>
          </w:p>
        </w:tc>
        <w:tc>
          <w:tcPr>
            <w:tcW w:w="7655" w:type="dxa"/>
            <w:vAlign w:val="center"/>
          </w:tcPr>
          <w:p w14:paraId="23F00BBB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CCP li tikkwalifika (QCCP)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AFED555" w14:textId="77777777" w:rsidR="00EF74C7" w:rsidRPr="002A677E" w:rsidRDefault="00EF74C7" w:rsidP="0082284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Kontroparti ċentrali kwalifikanti jew “QCCP” kif definit fl-Artikolu 4(1), il-punt (88),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4EE07156" w14:textId="77777777" w:rsidTr="00822842">
        <w:trPr>
          <w:trHeight w:val="680"/>
        </w:trPr>
        <w:tc>
          <w:tcPr>
            <w:tcW w:w="1384" w:type="dxa"/>
          </w:tcPr>
          <w:p w14:paraId="2F7B861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0070, 0080</w:t>
            </w:r>
          </w:p>
          <w:p w14:paraId="30D4CBEC" w14:textId="77777777" w:rsidR="00EF74C7" w:rsidRPr="002A677E" w:rsidRDefault="00EF74C7" w:rsidP="00822842">
            <w:pPr>
              <w:pStyle w:val="Fait"/>
            </w:pPr>
            <w:r>
              <w:t xml:space="preserve">0170, 0180</w:t>
            </w:r>
          </w:p>
        </w:tc>
        <w:tc>
          <w:tcPr>
            <w:tcW w:w="7655" w:type="dxa"/>
            <w:vAlign w:val="center"/>
          </w:tcPr>
          <w:p w14:paraId="6E9FD7DA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Marġini inizjali</w:t>
            </w:r>
          </w:p>
          <w:p w14:paraId="0528AC1A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għall-formola C 34.08.</w:t>
            </w:r>
          </w:p>
          <w:p w14:paraId="045F1620" w14:textId="77777777" w:rsidR="00EF74C7" w:rsidRPr="002A677E" w:rsidRDefault="00EF74C7" w:rsidP="00822842">
            <w:pPr>
              <w:keepNext/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Għall-finijiet ta’ din il-formola, il-marġni inizjali m’għandux jinkludi kontribuzzjonijet lil CCP għal arranġamenti tal-kondiviżjoni tat-telf mutwalizzati (jiġifieri f’każijiet meta CCP tuża marġni inizjali sabiex jimmutwalizza t-telf fost il-membri tal-ikklirjar, għandha tiġi ttrattata bħala skopertura ta’ fond ta’ inadempjenza).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678BD1FD" w14:textId="77777777" w:rsidTr="00822842">
        <w:trPr>
          <w:trHeight w:val="680"/>
        </w:trPr>
        <w:tc>
          <w:tcPr>
            <w:tcW w:w="1384" w:type="dxa"/>
          </w:tcPr>
          <w:p w14:paraId="1368D46D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0090, 0190</w:t>
            </w:r>
          </w:p>
        </w:tc>
        <w:tc>
          <w:tcPr>
            <w:tcW w:w="7655" w:type="dxa"/>
            <w:vAlign w:val="center"/>
          </w:tcPr>
          <w:p w14:paraId="37AA0774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Kontribuzzjonijiet prefinanzjati għal fond tal-inadempjenza</w:t>
            </w:r>
          </w:p>
          <w:p w14:paraId="10ECCD47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308 u 309 tar-Regolament (UE) Nru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fond ta’ inadempjenza kif definit fl-Artikolu 4(1), il-punt (89), tar-Regolament (UE) Nru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il-kontribuzzjoni lill-fond tal-inadempjenza ta’ CCP li titħallas mill-istituzzjoni</w:t>
            </w:r>
          </w:p>
        </w:tc>
      </w:tr>
      <w:tr w:rsidR="00EF74C7" w:rsidRPr="002A677E" w14:paraId="7BD4821D" w14:textId="77777777" w:rsidTr="00822842">
        <w:trPr>
          <w:trHeight w:val="680"/>
        </w:trPr>
        <w:tc>
          <w:tcPr>
            <w:tcW w:w="1384" w:type="dxa"/>
          </w:tcPr>
          <w:p w14:paraId="7A03D5C3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0100, 0200</w:t>
            </w:r>
          </w:p>
        </w:tc>
        <w:tc>
          <w:tcPr>
            <w:tcW w:w="7655" w:type="dxa"/>
            <w:vAlign w:val="center"/>
          </w:tcPr>
          <w:p w14:paraId="002C878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Kontribuzzjonijiet mhux iffinanzjati għal fond tal-inadempjenza</w:t>
            </w:r>
          </w:p>
          <w:p w14:paraId="4758699C" w14:textId="77777777" w:rsidR="00EF74C7" w:rsidRPr="002A677E" w:rsidRDefault="00EF74C7" w:rsidP="00822842">
            <w:pPr>
              <w:keepNext/>
              <w:spacing w:before="6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309 u 310 tar-Regolament (UE) Nru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fond ta’ inadempjenza kif definit fl-Artikolu 4(1), il-punt (89), tar-Regolament (UE) Nru 575/2013</w:t>
            </w:r>
          </w:p>
          <w:p w14:paraId="25D87385" w14:textId="77777777" w:rsidR="00EF74C7" w:rsidRPr="002A677E" w:rsidRDefault="00EF74C7" w:rsidP="00822842">
            <w:pPr>
              <w:keepNext/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il-kontribuzzjonijiet li istituzzjoni li taġixxi bħala membru tal-ikklirjar tkun intrabtet kuntrattwalment li tipprovdi lil CCP wara li s-CCP tkun eżawriet il-fond tal-inadempjenza tagħha biex tkopri t-telf li ġarrbet wara l-inadempjenza ta’ wieħed jew aktar mill-membri tal-ikklirjar tagħha.</w:t>
            </w:r>
          </w:p>
        </w:tc>
      </w:tr>
      <w:tr w:rsidR="00EF74C7" w:rsidRPr="002A677E" w14:paraId="7623E425" w14:textId="77777777" w:rsidTr="00822842">
        <w:trPr>
          <w:trHeight w:val="680"/>
        </w:trPr>
        <w:tc>
          <w:tcPr>
            <w:tcW w:w="1384" w:type="dxa"/>
          </w:tcPr>
          <w:p w14:paraId="229099B5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0070, 0170</w:t>
            </w:r>
          </w:p>
        </w:tc>
        <w:tc>
          <w:tcPr>
            <w:tcW w:w="7655" w:type="dxa"/>
            <w:vAlign w:val="center"/>
          </w:tcPr>
          <w:p w14:paraId="2065824F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Segregat</w:t>
            </w:r>
          </w:p>
          <w:p w14:paraId="7144C419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għall-formola C 34.08.</w:t>
            </w:r>
          </w:p>
        </w:tc>
      </w:tr>
      <w:tr w:rsidR="00EF74C7" w:rsidRPr="002A677E" w14:paraId="26D915DB" w14:textId="77777777" w:rsidTr="00822842">
        <w:trPr>
          <w:trHeight w:val="680"/>
        </w:trPr>
        <w:tc>
          <w:tcPr>
            <w:tcW w:w="1384" w:type="dxa"/>
          </w:tcPr>
          <w:p w14:paraId="59F4636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0080, 0180</w:t>
            </w:r>
          </w:p>
        </w:tc>
        <w:tc>
          <w:tcPr>
            <w:tcW w:w="7655" w:type="dxa"/>
            <w:vAlign w:val="center"/>
          </w:tcPr>
          <w:p w14:paraId="0F95C83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Mhux segregat</w:t>
            </w:r>
          </w:p>
          <w:p w14:paraId="002F04D5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għall-formola C 34.08.</w:t>
            </w:r>
          </w:p>
        </w:tc>
      </w:tr>
    </w:tbl>
    <w:p w14:paraId="7128280E" w14:textId="77777777" w:rsidR="00EF74C7" w:rsidRPr="002A677E" w:rsidRDefault="00EF74C7" w:rsidP="00EF74C7">
      <w:pPr>
        <w:pStyle w:val="Instructionsberschrift2"/>
        <w:numPr>
          <w:ilvl w:val="2"/>
          <w:numId w:val="29"/>
        </w:numPr>
        <w:rPr>
          <w:sz w:val="24"/>
          <w:rFonts w:ascii="Times New Roman" w:hAnsi="Times New Roman" w:cs="Times New Roman"/>
        </w:rPr>
      </w:pPr>
      <w:bookmarkStart w:id="70" w:name="_Toc19715830"/>
      <w:bookmarkStart w:id="71" w:name="_Toc151714470"/>
      <w:r>
        <w:rPr>
          <w:sz w:val="24"/>
          <w:rFonts w:ascii="Times New Roman" w:hAnsi="Times New Roman"/>
        </w:rPr>
        <w:t xml:space="preserve">C 34.11 - Rapporti tal-fluss tal-ammonti tal-iskopertura ponderati għar-riskju (RWEA) tas-CCR skont l-IMM</w:t>
      </w:r>
      <w:bookmarkEnd w:id="70"/>
      <w:bookmarkEnd w:id="71"/>
    </w:p>
    <w:p w14:paraId="2C95A3D6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72" w:name="_Toc19715831"/>
      <w:bookmarkStart w:id="73" w:name="_Toc151714471"/>
      <w:r>
        <w:rPr>
          <w:sz w:val="24"/>
          <w:rFonts w:ascii="Times New Roman" w:hAnsi="Times New Roman"/>
        </w:rPr>
        <w:t xml:space="preserve">Rimarki ġenerali</w:t>
      </w:r>
      <w:bookmarkEnd w:id="72"/>
      <w:bookmarkEnd w:id="73"/>
    </w:p>
    <w:p w14:paraId="03BB213D" w14:textId="647FCB93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133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li jużaw l-IMM biex jikkalkolaw l-ammont tal-iskopertura ponderat għar-riskju għall-iskoperturi tas-CCR kollha tagħhom jew parti minnhom f’konformità mat-Tielet Parti, it-Titolu II, il-Kapitolu 6, tar-Regolament (UE) Nru 575/2013, irrispettivament mill-approċċ tar-riskju ta’ kreditu użat biex jiġu ddeterminati l-ponderazzjonijiet tar-riskju korrispondenti, għandhom jirrapportaw din il-formola bir-rapport tal-fluss li tispjega l-bidliet fl-ammonti tal-iskopertura ponderati għar-riskju tad-derivattivi u l-SFTs fil-kamp ta’ applikazzjoni tal-IMM differenzjati minn motivaturi ewlenin u fuq il-bażi ta’ stimi raġonevoli.</w:t>
      </w:r>
    </w:p>
    <w:p w14:paraId="3CF6C221" w14:textId="3050BF14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134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li jirrapportaw din il-formola kull tliet xhur għandhom jimlew biss il-kolonna 0010.</w:t>
      </w:r>
      <w:r>
        <w:t xml:space="preserve"> </w:t>
      </w:r>
      <w:r>
        <w:t xml:space="preserve">L-istituzzjonijiet li jirrapportaw din il-formola kull sena għandhom jimlew biss il-kolonna 0020.</w:t>
      </w:r>
      <w:r>
        <w:t xml:space="preserve"> </w:t>
      </w:r>
    </w:p>
    <w:p w14:paraId="618242D4" w14:textId="24BF40AD" w:rsidR="00EF74C7" w:rsidRPr="002A677E" w:rsidRDefault="00EF74C7" w:rsidP="00EF74C7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135</w:t>
      </w:r>
      <w:r>
        <w:fldChar w:fldCharType="end"/>
      </w:r>
      <w:r>
        <w:t xml:space="preserve">.</w:t>
      </w:r>
      <w:r>
        <w:t xml:space="preserve"> </w:t>
      </w:r>
      <w:r>
        <w:t xml:space="preserve">Din il-formola teskludi l-ammonti tal-iskopertura ponderati għar-riskju għal skoperturi għal kontroparti ċentrali (it-Tielet Parti, it-Titolu II, il-Kapitolu 6, it-Taqsima 9, tar-Regolament (UE) Nru 575/2013).</w:t>
      </w:r>
    </w:p>
    <w:p w14:paraId="5D4AACDC" w14:textId="77777777" w:rsidR="00EF74C7" w:rsidRPr="002A677E" w:rsidRDefault="00EF74C7" w:rsidP="00EF74C7">
      <w:pPr>
        <w:pStyle w:val="Instructionsberschrift2"/>
        <w:numPr>
          <w:ilvl w:val="3"/>
          <w:numId w:val="29"/>
        </w:numPr>
        <w:rPr>
          <w:sz w:val="24"/>
          <w:rFonts w:ascii="Times New Roman" w:hAnsi="Times New Roman" w:cs="Times New Roman"/>
        </w:rPr>
      </w:pPr>
      <w:bookmarkStart w:id="74" w:name="_Toc19715832"/>
      <w:bookmarkStart w:id="75" w:name="_Toc151714472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74"/>
      <w:bookmarkEnd w:id="75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7E15B0A0" w14:textId="77777777" w:rsidTr="00822842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D658B4" w14:textId="77777777" w:rsidR="00EF74C7" w:rsidRPr="002A677E" w:rsidRDefault="00EF74C7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EF74C7" w:rsidRPr="002A677E" w14:paraId="535FF70B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F605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0010, 0020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D616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TAL-ISKOPERTURA PONDERATI GĦAR-RISKJU</w:t>
            </w:r>
          </w:p>
          <w:p w14:paraId="0630F3A5" w14:textId="03B5FB80" w:rsidR="00EF74C7" w:rsidRPr="002A677E" w:rsidRDefault="00EF74C7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għar-riskju, kif definit fl-Artikolu 92(3) tar-Regolament (UE) Nru 575/2013, għal pożizzjonijiet li l-ponderazzjonijiet tar-riskju tagħhom huma stmati fuq il-bażi tar-rekwiżiti stabbiliti fit-Tielet Parti, it-Titolu II, il-Kapitoli 2 u 3, ta’ dak ir-Regolament u li għalihom l-istituzzjoni tkun ġiet permessa tikkalkula l-valur tal-iskopertura bl-użu tal-IMM f’konformità mat-Tielet Parti, it-Titolu II, il-Kapitolu 6, it-Taqsima 6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FFB8C4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l-fatturi ta’ appoġġ tal-SMEs u l-infrastruttura stabbiliti fl-Artikolu 501 u l-Artikolu 501a tar-Regolament (UE) Nru 575/2013.</w:t>
            </w:r>
          </w:p>
        </w:tc>
      </w:tr>
    </w:tbl>
    <w:p w14:paraId="2395318C" w14:textId="77777777" w:rsidR="00EF74C7" w:rsidRPr="002A677E" w:rsidRDefault="00EF74C7" w:rsidP="00EF74C7">
      <w:pPr>
        <w:pStyle w:val="Titlelevel2"/>
        <w:spacing w:before="60" w:after="120"/>
        <w:jc w:val="both"/>
        <w:rPr>
          <w:rFonts w:ascii="Times New Roman" w:hAnsi="Times New Roman" w:cs="Times New Roman"/>
          <w:color w:val="auto"/>
          <w:sz w:val="24"/>
          <w:lang w:eastAsia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EF74C7" w:rsidRPr="002A677E" w14:paraId="1BFE7275" w14:textId="77777777" w:rsidTr="00822842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9A8574" w14:textId="77777777" w:rsidR="00EF74C7" w:rsidRPr="002A677E" w:rsidRDefault="00EF74C7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EF74C7" w:rsidRPr="002A677E" w14:paraId="605493FD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8A4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1FA7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tal-iskopertura ponderati għar-riskju fi tmiem il-perjodu ta’ rapportar preċedenti</w:t>
            </w:r>
          </w:p>
          <w:p w14:paraId="27A42CBA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Ammonti tal-iskopertura ponderati għar-riskju għal skoperturi tas-CCR skont l-IMM fi tmiem il-perjodu ta’ rapportar preċedenti</w:t>
            </w:r>
          </w:p>
        </w:tc>
      </w:tr>
      <w:tr w:rsidR="00EF74C7" w:rsidRPr="002A677E" w14:paraId="07E271DA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487F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0614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Daqs tal-assi</w:t>
            </w:r>
          </w:p>
          <w:p w14:paraId="1826143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bidliet fid-daqs u l-kompożizzjoni tal-portafoll li jirriżultaw mill-attività użwali tan-negozju (inkluż il-bidu ta’ negozji ġodda u self maturat) iżda esklużi l-bidliet fid-daqs tal-portafoll minħabba akkwiżizzjonijiet u disponiment ta’ entitajiet</w:t>
            </w:r>
          </w:p>
        </w:tc>
      </w:tr>
      <w:tr w:rsidR="00EF74C7" w:rsidRPr="002A677E" w14:paraId="530A19A1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72F1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4A9C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Kwalità kreditizja tal-kontropartijiet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50F3251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bidliet fil-kwalità vvalutata tal-kontropartijiet tal-istituzzjoni kif imkejla skont il-qafas tar-riskju ta’ kreditu, ikun xi jkun l-approċċ li tuża 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ir-ringiela tinkludi wkoll bidliet potenzjali fl-ammont tal-iskopertura ponderat għar-riskju minħabba l-mudelli IRB meta l-istituzzjoni tuża approċċ IRB</w:t>
            </w:r>
          </w:p>
        </w:tc>
      </w:tr>
      <w:tr w:rsidR="00EF74C7" w:rsidRPr="002A677E" w14:paraId="2E1CADFD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04E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4D2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Aġġornamenti tal-mudelli (IMM biss)</w:t>
            </w:r>
          </w:p>
          <w:p w14:paraId="18D81B07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l-implimentazzjoni tal-mudell, bidliet fl-ambitu tal-mudell, jew kwalunkwe bidla maħsuba biex jindirizzaw id-dgħufijiet tal-mudell</w:t>
            </w:r>
          </w:p>
          <w:p w14:paraId="35919C0F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tindirizza biss bidliet fil-mudell IMM.</w:t>
            </w:r>
          </w:p>
        </w:tc>
      </w:tr>
      <w:tr w:rsidR="00EF74C7" w:rsidRPr="002A677E" w14:paraId="0A0C826F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81C7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1FA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Metodoloġija u politika (IMM biss)</w:t>
            </w:r>
          </w:p>
          <w:p w14:paraId="492776FC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tibdil metodoloġiku fil-kalkoli xprunati minn bidliet regolatorji tal-politiki, bħal regolamenti ġodda (fil-mudell IMM biss)</w:t>
            </w:r>
          </w:p>
        </w:tc>
      </w:tr>
      <w:tr w:rsidR="00EF74C7" w:rsidRPr="002A677E" w14:paraId="2F18F45C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8A7C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0060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6653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Akkwiżizzjonijiet u disponimenti</w:t>
            </w:r>
          </w:p>
          <w:p w14:paraId="556F6F9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bidliet fid-daqsijiet kontabilistiċi minħabba l-akkwisti u ċ-ċessjonijiet ta’ entitajiet</w:t>
            </w:r>
          </w:p>
        </w:tc>
      </w:tr>
      <w:tr w:rsidR="00EF74C7" w:rsidRPr="002A677E" w14:paraId="29CBD54B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49A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0070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E736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Ċaqliq fir-rata tal-kambju</w:t>
            </w:r>
          </w:p>
          <w:p w14:paraId="29E3F8C8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Bidliet (pożittivi jew negattivi) fl-ammont tal-iskopertura ponderat għar-riskju minħabba bidliet li jirriżultaw minn movimenti fil-qlib ta’ muniti barranin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6EB9C3F4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6069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0080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5E88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Oħrajn</w:t>
            </w:r>
          </w:p>
          <w:p w14:paraId="0BAC5EB4" w14:textId="77777777" w:rsidR="00EF74C7" w:rsidRPr="002A677E" w:rsidRDefault="00EF74C7" w:rsidP="00822842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il-kategorija għandha tintuża biex tkopri l-bidliet (pożittivi jew negattivi) fl-ammont tal-iskopertura ponderat għar-riskju li ma jistgħux jiġu attribwiti għall-kategoriji ta’ hawn fuq.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F74C7" w:rsidRPr="002A677E" w14:paraId="2BDFC767" w14:textId="77777777" w:rsidTr="00822842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5A0E" w14:textId="77777777" w:rsidR="00EF74C7" w:rsidRPr="002A677E" w:rsidRDefault="00EF74C7" w:rsidP="00822842">
            <w:pPr>
              <w:pStyle w:val="Applicationdirecte"/>
              <w:spacing w:before="0" w:after="0"/>
            </w:pPr>
            <w:r>
              <w:t xml:space="preserve">0090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302" w14:textId="77777777" w:rsidR="00EF74C7" w:rsidRPr="002A677E" w:rsidRDefault="00EF74C7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Ammonti tal-iskopertura ponderati għar-riskju fi tmiem il-perjodu ta’ rapportar attwali</w:t>
            </w:r>
          </w:p>
          <w:p w14:paraId="51365175" w14:textId="77777777" w:rsidR="00EF74C7" w:rsidRPr="002A677E" w:rsidRDefault="00EF74C7" w:rsidP="00822842">
            <w:pPr>
              <w:spacing w:before="6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Ammonti tal-iskopertura ponderati għar-riskju għal skoperturi tas-CCR skont l-IMM fi tmiem il-perjodu ta’ rapportar attwali</w:t>
            </w:r>
          </w:p>
        </w:tc>
      </w:tr>
    </w:tbl>
    <w:p w14:paraId="46880A2A" w14:textId="77777777" w:rsidR="00EF74C7" w:rsidRDefault="00EF74C7"/>
    <w:p w14:paraId="0CA113AF" w14:textId="77777777" w:rsidR="00EF74C7" w:rsidRDefault="00EF74C7"/>
    <w:sectPr w:rsidR="00EF74C7">
      <w:headerReference w:type="even" r:id="rId12"/>
      <w:head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5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6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20"/>
  </w:num>
  <w:num w:numId="3" w16cid:durableId="286200695">
    <w:abstractNumId w:val="28"/>
  </w:num>
  <w:num w:numId="4" w16cid:durableId="487287975">
    <w:abstractNumId w:val="15"/>
  </w:num>
  <w:num w:numId="5" w16cid:durableId="1754350949">
    <w:abstractNumId w:val="23"/>
  </w:num>
  <w:num w:numId="6" w16cid:durableId="1507597667">
    <w:abstractNumId w:val="12"/>
  </w:num>
  <w:num w:numId="7" w16cid:durableId="139271283">
    <w:abstractNumId w:val="27"/>
  </w:num>
  <w:num w:numId="8" w16cid:durableId="763764270">
    <w:abstractNumId w:val="5"/>
  </w:num>
  <w:num w:numId="9" w16cid:durableId="1561986968">
    <w:abstractNumId w:val="21"/>
  </w:num>
  <w:num w:numId="10" w16cid:durableId="1349260748">
    <w:abstractNumId w:val="10"/>
  </w:num>
  <w:num w:numId="11" w16cid:durableId="1097991330">
    <w:abstractNumId w:val="17"/>
  </w:num>
  <w:num w:numId="12" w16cid:durableId="858469680">
    <w:abstractNumId w:val="6"/>
  </w:num>
  <w:num w:numId="13" w16cid:durableId="1485394352">
    <w:abstractNumId w:val="22"/>
  </w:num>
  <w:num w:numId="14" w16cid:durableId="881021889">
    <w:abstractNumId w:val="19"/>
  </w:num>
  <w:num w:numId="15" w16cid:durableId="1923681300">
    <w:abstractNumId w:val="9"/>
  </w:num>
  <w:num w:numId="16" w16cid:durableId="211188018">
    <w:abstractNumId w:val="16"/>
  </w:num>
  <w:num w:numId="17" w16cid:durableId="373817584">
    <w:abstractNumId w:val="8"/>
  </w:num>
  <w:num w:numId="18" w16cid:durableId="1615165847">
    <w:abstractNumId w:val="24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6"/>
  </w:num>
  <w:num w:numId="24" w16cid:durableId="166527561">
    <w:abstractNumId w:val="1"/>
  </w:num>
  <w:num w:numId="25" w16cid:durableId="1544101633">
    <w:abstractNumId w:val="25"/>
  </w:num>
  <w:num w:numId="26" w16cid:durableId="44380249">
    <w:abstractNumId w:val="18"/>
  </w:num>
  <w:num w:numId="27" w16cid:durableId="1838038624">
    <w:abstractNumId w:val="0"/>
  </w:num>
  <w:num w:numId="28" w16cid:durableId="1856265522">
    <w:abstractNumId w:val="7"/>
  </w:num>
  <w:num w:numId="29" w16cid:durableId="2081713154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122B"/>
    <w:rsid w:val="00013986"/>
    <w:rsid w:val="00074AC8"/>
    <w:rsid w:val="00631623"/>
    <w:rsid w:val="00632962"/>
    <w:rsid w:val="00793BDE"/>
    <w:rsid w:val="007D3B3D"/>
    <w:rsid w:val="00A6002C"/>
    <w:rsid w:val="00B5223F"/>
    <w:rsid w:val="00B71F25"/>
    <w:rsid w:val="00BD63AA"/>
    <w:rsid w:val="00D57F80"/>
    <w:rsid w:val="00DE7FB9"/>
    <w:rsid w:val="00E26A90"/>
    <w:rsid w:val="00EF07A1"/>
    <w:rsid w:val="00E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  <w15:docId w15:val="{9763B1B4-A265-4636-BFE7-4B5FDE4C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4C7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EF74C7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F74C7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EF74C7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EF74C7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EF74C7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EF74C7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EF74C7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EF74C7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EF74C7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EF74C7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EF74C7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EF74C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EF74C7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EF74C7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EF74C7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EF74C7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EF74C7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EF74C7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EF74C7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EF74C7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EF74C7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EF74C7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EF74C7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EF74C7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EF74C7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EF74C7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EF74C7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EF74C7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EF74C7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EF74C7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EF74C7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EF74C7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EF74C7"/>
    <w:pPr>
      <w:spacing w:line="312" w:lineRule="auto"/>
      <w:ind w:left="1701" w:hanging="567"/>
    </w:pPr>
  </w:style>
  <w:style w:type="character" w:styleId="Hyperlink">
    <w:name w:val="Hyperlink"/>
    <w:uiPriority w:val="99"/>
    <w:rsid w:val="00EF74C7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EF74C7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EF74C7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EF74C7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EF74C7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EF74C7"/>
    <w:pPr>
      <w:numPr>
        <w:numId w:val="12"/>
      </w:numPr>
    </w:pPr>
  </w:style>
  <w:style w:type="character" w:styleId="PageNumber">
    <w:name w:val="page number"/>
    <w:uiPriority w:val="99"/>
    <w:rsid w:val="00EF74C7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EF74C7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EF74C7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F74C7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EF74C7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EF74C7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EF74C7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F74C7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EF74C7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EF74C7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EF74C7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F74C7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basedOn w:val="DefaultParagraphFont"/>
    <w:link w:val="Quote"/>
    <w:uiPriority w:val="29"/>
    <w:rsid w:val="00EF74C7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EF74C7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EF74C7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EF74C7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EF74C7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EF74C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F74C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F74C7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4C7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EF74C7"/>
    <w:rPr>
      <w:b/>
      <w:bCs/>
    </w:rPr>
  </w:style>
  <w:style w:type="character" w:styleId="FollowedHyperlink">
    <w:name w:val="FollowedHyperlink"/>
    <w:uiPriority w:val="99"/>
    <w:rsid w:val="00EF74C7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EF74C7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F74C7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F7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F74C7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EF74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EF74C7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EF74C7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EF74C7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EF74C7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EF74C7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EF74C7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EF74C7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F74C7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EF74C7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EF74C7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EF74C7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EF74C7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EF74C7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EF74C7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EF74C7"/>
    <w:pPr>
      <w:ind w:left="720"/>
    </w:pPr>
  </w:style>
  <w:style w:type="paragraph" w:customStyle="1" w:styleId="Prrafodelista2">
    <w:name w:val="Párrafo de lista2"/>
    <w:basedOn w:val="Normal"/>
    <w:uiPriority w:val="99"/>
    <w:rsid w:val="00EF74C7"/>
    <w:pPr>
      <w:ind w:left="708"/>
    </w:pPr>
  </w:style>
  <w:style w:type="paragraph" w:styleId="PlainText">
    <w:name w:val="Plain Text"/>
    <w:basedOn w:val="Normal"/>
    <w:link w:val="PlainTextChar"/>
    <w:uiPriority w:val="99"/>
    <w:rsid w:val="00EF74C7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EF74C7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EF74C7"/>
    <w:pPr>
      <w:ind w:left="708"/>
    </w:pPr>
  </w:style>
  <w:style w:type="character" w:customStyle="1" w:styleId="InstructionsTextChar">
    <w:name w:val="Instructions Text Char"/>
    <w:link w:val="InstructionsText"/>
    <w:locked/>
    <w:rsid w:val="00EF74C7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EF74C7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EF74C7"/>
    <w:pPr>
      <w:ind w:left="708"/>
    </w:pPr>
  </w:style>
  <w:style w:type="character" w:styleId="PlaceholderText">
    <w:name w:val="Placeholder Text"/>
    <w:uiPriority w:val="99"/>
    <w:semiHidden/>
    <w:rsid w:val="00EF74C7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EF74C7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EF74C7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EF74C7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EF74C7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4C7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EF74C7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EF74C7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EF74C7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EF74C7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EF74C7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EF74C7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EF74C7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EF74C7"/>
    <w:pPr>
      <w:numPr>
        <w:numId w:val="6"/>
      </w:numPr>
    </w:pPr>
  </w:style>
  <w:style w:type="numbering" w:customStyle="1" w:styleId="Formatvorlage3">
    <w:name w:val="Formatvorlage3"/>
    <w:uiPriority w:val="99"/>
    <w:rsid w:val="00EF74C7"/>
    <w:pPr>
      <w:numPr>
        <w:numId w:val="16"/>
      </w:numPr>
    </w:pPr>
  </w:style>
  <w:style w:type="numbering" w:customStyle="1" w:styleId="Formatvorlage1">
    <w:name w:val="Formatvorlage1"/>
    <w:uiPriority w:val="99"/>
    <w:rsid w:val="00EF74C7"/>
    <w:pPr>
      <w:numPr>
        <w:numId w:val="5"/>
      </w:numPr>
    </w:pPr>
  </w:style>
  <w:style w:type="numbering" w:customStyle="1" w:styleId="Formatvorlage4">
    <w:name w:val="Formatvorlage4"/>
    <w:uiPriority w:val="99"/>
    <w:rsid w:val="00EF74C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EF74C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EF74C7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EF74C7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EF74C7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EF74C7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EF74C7"/>
    <w:pPr>
      <w:ind w:left="708"/>
    </w:pPr>
  </w:style>
  <w:style w:type="character" w:customStyle="1" w:styleId="Platzhaltertext1">
    <w:name w:val="Platzhaltertext1"/>
    <w:uiPriority w:val="99"/>
    <w:semiHidden/>
    <w:rsid w:val="00EF74C7"/>
    <w:rPr>
      <w:color w:val="808080"/>
    </w:rPr>
  </w:style>
  <w:style w:type="paragraph" w:customStyle="1" w:styleId="Default">
    <w:name w:val="Default"/>
    <w:rsid w:val="00EF74C7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EF74C7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F74C7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EF74C7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EF74C7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EF74C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EF74C7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EF74C7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EF74C7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EF74C7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EF74C7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EF74C7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EF74C7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EF74C7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EF74C7"/>
    <w:pPr>
      <w:numPr>
        <w:numId w:val="23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EF74C7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EF74C7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EF74C7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EF74C7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EF74C7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EF74C7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EF74C7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EF74C7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EF74C7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EF74C7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EF74C7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EF74C7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F74C7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EF74C7"/>
  </w:style>
  <w:style w:type="paragraph" w:customStyle="1" w:styleId="Numberedtitlelevel4">
    <w:name w:val="Numbered title level 4"/>
    <w:basedOn w:val="Titlelevel4"/>
    <w:qFormat/>
    <w:rsid w:val="00EF74C7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EF74C7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EF74C7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EF74C7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EF74C7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EF74C7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EF74C7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EF74C7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EF74C7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EF74C7"/>
    <w:pPr>
      <w:numPr>
        <w:numId w:val="26"/>
      </w:numPr>
    </w:pPr>
  </w:style>
  <w:style w:type="character" w:customStyle="1" w:styleId="Marker">
    <w:name w:val="Marker"/>
    <w:rsid w:val="00EF74C7"/>
    <w:rPr>
      <w:color w:val="0000FF"/>
      <w:shd w:val="clear" w:color="auto" w:fill="auto"/>
    </w:rPr>
  </w:style>
  <w:style w:type="character" w:customStyle="1" w:styleId="Marker2">
    <w:name w:val="Marker2"/>
    <w:rsid w:val="00EF74C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EF74C7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EF74C7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EF74C7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EF74C7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EF74C7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EF74C7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EF74C7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EF74C7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EF74C7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EF74C7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EF74C7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EF74C7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EF74C7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EF74C7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EF74C7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EF74C7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F74C7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74C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F74C7"/>
    <w:rPr>
      <w:color w:val="2B579A"/>
      <w:shd w:val="clear" w:color="auto" w:fill="E1DFDD"/>
    </w:rPr>
  </w:style>
  <w:style w:type="paragraph" w:customStyle="1" w:styleId="pf0">
    <w:name w:val="pf0"/>
    <w:basedOn w:val="Normal"/>
    <w:rsid w:val="00EF74C7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EF74C7"/>
  </w:style>
  <w:style w:type="character" w:customStyle="1" w:styleId="cf01">
    <w:name w:val="cf01"/>
    <w:basedOn w:val="DefaultParagraphFont"/>
    <w:rsid w:val="00EF74C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EF74C7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EF74C7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EF74C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EF74C7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7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so.org/iso-4217-currency-codes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iso.org/iso-4217-currency-codes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F06A24-53E1-4128-BDE5-EF027B37DF94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20352F70-C515-4459-8338-3B2EB0E38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74B5C-1240-4937-91A7-1DBCB9321F4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7372</Words>
  <Characters>42023</Characters>
  <Application>Microsoft Office Word</Application>
  <DocSecurity>0</DocSecurity>
  <Lines>350</Lines>
  <Paragraphs>98</Paragraphs>
  <ScaleCrop>false</ScaleCrop>
  <Company>European Banking Authority</Company>
  <LinksUpToDate>false</LinksUpToDate>
  <CharactersWithSpaces>49297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2024-06-19T16:03:00Z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4205b5a0,13da6c1b,42f1195b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</Properties>
</file>