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E8986" w14:textId="77777777" w:rsidR="000355DE" w:rsidRDefault="000355DE" w:rsidP="000355DE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MT</w:t>
      </w:r>
    </w:p>
    <w:p w14:paraId="410E9DA4" w14:textId="77777777" w:rsidR="000355DE" w:rsidRDefault="000355DE" w:rsidP="000355DE">
      <w:pPr>
        <w:rPr>
          <w:rFonts w:asciiTheme="minorHAnsi" w:hAnsiTheme="minorHAnsi"/>
          <w:sz w:val="22"/>
        </w:rPr>
      </w:pPr>
    </w:p>
    <w:p w14:paraId="2B2D3AC4" w14:textId="77777777" w:rsidR="005318F0" w:rsidRPr="00037E7B" w:rsidRDefault="005318F0" w:rsidP="005318F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 II</w:t>
      </w:r>
    </w:p>
    <w:p w14:paraId="013428E1" w14:textId="77777777" w:rsidR="005318F0" w:rsidRPr="00037E7B" w:rsidRDefault="005318F0" w:rsidP="005318F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II</w:t>
      </w:r>
    </w:p>
    <w:p w14:paraId="4910F1A4" w14:textId="77777777" w:rsidR="005318F0" w:rsidRPr="00037E7B" w:rsidRDefault="005318F0" w:rsidP="005318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IR-RAPPORTAR DWAR FONDI PROPRJI U DWAR REKWIŻITI TA’ FONDI PROPRJI</w:t>
      </w:r>
    </w:p>
    <w:p w14:paraId="25AE28EC" w14:textId="77777777" w:rsidR="00921332" w:rsidRDefault="00921332" w:rsidP="00921332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</w:p>
    <w:p w14:paraId="256D52A0" w14:textId="1F309418" w:rsidR="00921332" w:rsidRDefault="00921332" w:rsidP="00921332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PARTI II: STRUZZJONIJIET RELATATI MAL-FORMOLI</w:t>
      </w:r>
    </w:p>
    <w:p w14:paraId="6E07939F" w14:textId="77777777" w:rsidR="00921332" w:rsidRDefault="00921332" w:rsidP="00921332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33B73040" w14:textId="77777777" w:rsidR="00921332" w:rsidRPr="00736637" w:rsidRDefault="00921332" w:rsidP="00921332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6B9B322A" w14:textId="77777777" w:rsidR="00E26A90" w:rsidRDefault="00E26A90"/>
    <w:p w14:paraId="5A619FCA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Formoli tar-Riskju ta’ Kreditu</w:t>
      </w:r>
    </w:p>
    <w:p w14:paraId="6E3BDC00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45"/>
      <w:bookmarkStart w:id="1" w:name="_Toc473560894"/>
      <w:bookmarkStart w:id="2" w:name="_Toc151714382"/>
      <w:bookmarkStart w:id="3" w:name="_Toc262568022"/>
      <w:bookmarkStart w:id="4" w:name="_Toc295829848"/>
      <w:bookmarkStart w:id="5" w:name="_Toc310415014"/>
      <w:r>
        <w:rPr>
          <w:rFonts w:ascii="Times New Roman" w:hAnsi="Times New Roman"/>
          <w:sz w:val="24"/>
          <w:u w:val="none"/>
        </w:rPr>
        <w:t>3.1.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Rimarki ġenerali</w:t>
      </w:r>
      <w:bookmarkEnd w:id="0"/>
      <w:bookmarkEnd w:id="1"/>
      <w:bookmarkEnd w:id="2"/>
      <w:r>
        <w:rPr>
          <w:rFonts w:ascii="Times New Roman" w:hAnsi="Times New Roman"/>
          <w:sz w:val="24"/>
        </w:rPr>
        <w:t xml:space="preserve"> </w:t>
      </w:r>
      <w:bookmarkEnd w:id="3"/>
      <w:bookmarkEnd w:id="4"/>
      <w:bookmarkEnd w:id="5"/>
    </w:p>
    <w:p w14:paraId="0973E11E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39</w:t>
      </w:r>
      <w:r>
        <w:fldChar w:fldCharType="end"/>
      </w:r>
      <w:r>
        <w:t>.</w:t>
      </w:r>
      <w:r>
        <w:tab/>
        <w:t xml:space="preserve">Hemm settijiet differenti ta’ formoli </w:t>
      </w:r>
      <w:proofErr w:type="spellStart"/>
      <w:r>
        <w:t>għall-Approċċ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 xml:space="preserve"> u l-</w:t>
      </w:r>
      <w:proofErr w:type="spellStart"/>
      <w:r>
        <w:t>approċċ</w:t>
      </w:r>
      <w:proofErr w:type="spellEnd"/>
      <w:r>
        <w:t xml:space="preserve"> IRB għar-riskju ta’ kreditu. Barra minn hekk, formoli separati għad-</w:t>
      </w:r>
      <w:proofErr w:type="spellStart"/>
      <w:r>
        <w:t>diżaggregazzjoni</w:t>
      </w:r>
      <w:proofErr w:type="spellEnd"/>
      <w:r>
        <w:t xml:space="preserve"> ġeografika tal-pożizzjonijiet soġġetti għar-riskju ta’ kreditu għandhom ikunu rapportati jekk jinqabeż il-livell limitu relevanti stabbilit fl-Artikolu 5(5) ta’ dan ir-Regolament ta’ Implimentazzjoni. Għal istituzzjoni li tapplika l-</w:t>
      </w:r>
      <w:proofErr w:type="spellStart"/>
      <w:r>
        <w:t>approċċ</w:t>
      </w:r>
      <w:proofErr w:type="spellEnd"/>
      <w:r>
        <w:t xml:space="preserve"> IRB, għandha tiġi rapportata formola C 10.00 separata għall-fini tal-minimu tal-</w:t>
      </w:r>
      <w:proofErr w:type="spellStart"/>
      <w:r>
        <w:t>output</w:t>
      </w:r>
      <w:proofErr w:type="spellEnd"/>
      <w:r>
        <w:t xml:space="preserve">. </w:t>
      </w:r>
    </w:p>
    <w:p w14:paraId="3D8FEBC7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6" w:name="_Toc262568023"/>
      <w:bookmarkStart w:id="7" w:name="_Toc295829849"/>
      <w:bookmarkStart w:id="8" w:name="_Toc310415015"/>
      <w:bookmarkStart w:id="9" w:name="_Toc360188346"/>
      <w:bookmarkStart w:id="10" w:name="_Toc473560895"/>
      <w:bookmarkStart w:id="11" w:name="_Toc151714383"/>
      <w:r>
        <w:rPr>
          <w:rFonts w:ascii="Times New Roman" w:hAnsi="Times New Roman"/>
          <w:sz w:val="24"/>
          <w:u w:val="none"/>
        </w:rPr>
        <w:t>3.1.1.</w:t>
      </w:r>
      <w:r>
        <w:tab/>
      </w:r>
      <w:proofErr w:type="spellStart"/>
      <w:r>
        <w:rPr>
          <w:rFonts w:ascii="Times New Roman" w:hAnsi="Times New Roman"/>
          <w:sz w:val="24"/>
        </w:rPr>
        <w:t>Rapportar</w:t>
      </w:r>
      <w:proofErr w:type="spellEnd"/>
      <w:r>
        <w:rPr>
          <w:rFonts w:ascii="Times New Roman" w:hAnsi="Times New Roman"/>
          <w:sz w:val="24"/>
        </w:rPr>
        <w:t xml:space="preserve"> tat-</w:t>
      </w:r>
      <w:proofErr w:type="spellStart"/>
      <w:r>
        <w:rPr>
          <w:rFonts w:ascii="Times New Roman" w:hAnsi="Times New Roman"/>
          <w:sz w:val="24"/>
        </w:rPr>
        <w:t>tekniki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tas</w:t>
      </w:r>
      <w:proofErr w:type="spellEnd"/>
      <w:r>
        <w:rPr>
          <w:rFonts w:ascii="Times New Roman" w:hAnsi="Times New Roman"/>
          <w:sz w:val="24"/>
        </w:rPr>
        <w:t>-CRM b’effett ta’ sostituzzjoni</w:t>
      </w:r>
      <w:bookmarkEnd w:id="6"/>
      <w:bookmarkEnd w:id="7"/>
      <w:bookmarkEnd w:id="8"/>
      <w:bookmarkEnd w:id="9"/>
      <w:bookmarkEnd w:id="10"/>
      <w:bookmarkEnd w:id="11"/>
    </w:p>
    <w:p w14:paraId="55550DC1" w14:textId="471EA4B1" w:rsidR="00F23615" w:rsidRPr="002A677E" w:rsidRDefault="00F23615" w:rsidP="00C94687">
      <w:pPr>
        <w:pStyle w:val="InstructionsText2"/>
        <w:rPr>
          <w:noProof/>
        </w:rPr>
      </w:pPr>
      <w:r>
        <w:fldChar w:fldCharType="begin"/>
      </w:r>
      <w:r>
        <w:instrText>seq paragraphs</w:instrText>
      </w:r>
      <w:r>
        <w:fldChar w:fldCharType="separate"/>
      </w:r>
      <w:r>
        <w:t>40</w:t>
      </w:r>
      <w:r>
        <w:fldChar w:fldCharType="end"/>
      </w:r>
      <w:r>
        <w:t>.</w:t>
      </w:r>
      <w:r>
        <w:tab/>
      </w:r>
      <w:proofErr w:type="spellStart"/>
      <w:r>
        <w:t>Skoperturi</w:t>
      </w:r>
      <w:proofErr w:type="spellEnd"/>
      <w:r>
        <w:t xml:space="preserve"> għal </w:t>
      </w:r>
      <w:proofErr w:type="spellStart"/>
      <w:r>
        <w:t>obbliganti</w:t>
      </w:r>
      <w:proofErr w:type="spellEnd"/>
      <w:r>
        <w:t xml:space="preserve"> (kontropartijiet immedjati) u fornituri tal-protezzjoni li huma assenjati fl-istess klassi ta’ </w:t>
      </w:r>
      <w:proofErr w:type="spellStart"/>
      <w:r>
        <w:t>skoperturi</w:t>
      </w:r>
      <w:proofErr w:type="spellEnd"/>
      <w:r>
        <w:t xml:space="preserve"> għandhom jiġu </w:t>
      </w:r>
      <w:proofErr w:type="spellStart"/>
      <w:r>
        <w:t>rrapportati</w:t>
      </w:r>
      <w:proofErr w:type="spellEnd"/>
      <w:r>
        <w:t xml:space="preserve"> bħala </w:t>
      </w:r>
      <w:proofErr w:type="spellStart"/>
      <w:r>
        <w:t>fluss</w:t>
      </w:r>
      <w:proofErr w:type="spellEnd"/>
      <w:r>
        <w:t xml:space="preserve"> ’il ġewwa kif ukoll bħala </w:t>
      </w:r>
      <w:proofErr w:type="spellStart"/>
      <w:r>
        <w:t>fluss</w:t>
      </w:r>
      <w:proofErr w:type="spellEnd"/>
      <w:r>
        <w:t xml:space="preserve"> ’il barra għall-istess klassi ta’ </w:t>
      </w:r>
      <w:proofErr w:type="spellStart"/>
      <w:r>
        <w:t>skoperturi</w:t>
      </w:r>
      <w:proofErr w:type="spellEnd"/>
      <w:r>
        <w:t>.</w:t>
      </w:r>
    </w:p>
    <w:p w14:paraId="3AFD847F" w14:textId="77777777" w:rsidR="00F23615" w:rsidRPr="002A677E" w:rsidRDefault="00F23615" w:rsidP="00C94687">
      <w:pPr>
        <w:pStyle w:val="InstructionsText2"/>
        <w:rPr>
          <w:noProof/>
        </w:rPr>
      </w:pPr>
      <w:r>
        <w:fldChar w:fldCharType="begin"/>
      </w:r>
      <w:r>
        <w:instrText>seq paragraphs</w:instrText>
      </w:r>
      <w:r>
        <w:fldChar w:fldCharType="separate"/>
      </w:r>
      <w:r>
        <w:t>41</w:t>
      </w:r>
      <w:r>
        <w:fldChar w:fldCharType="end"/>
      </w:r>
      <w:r>
        <w:t>.</w:t>
      </w:r>
      <w:r>
        <w:tab/>
        <w:t xml:space="preserve">It-tip ta’ </w:t>
      </w:r>
      <w:proofErr w:type="spellStart"/>
      <w:r>
        <w:t>skopertura</w:t>
      </w:r>
      <w:proofErr w:type="spellEnd"/>
      <w:r>
        <w:t xml:space="preserve"> ma għandux jinbidel minħabba protezzjoni ta’ kreditu mhux </w:t>
      </w:r>
      <w:proofErr w:type="spellStart"/>
      <w:r>
        <w:t>iffinanzjata</w:t>
      </w:r>
      <w:proofErr w:type="spellEnd"/>
      <w:r>
        <w:t>.</w:t>
      </w:r>
    </w:p>
    <w:p w14:paraId="2AD0DEBE" w14:textId="2C1C996B" w:rsidR="00F23615" w:rsidRPr="002A677E" w:rsidRDefault="00F23615" w:rsidP="00C94687">
      <w:pPr>
        <w:pStyle w:val="InstructionsText2"/>
        <w:rPr>
          <w:noProof/>
        </w:rPr>
      </w:pPr>
      <w:r>
        <w:fldChar w:fldCharType="begin"/>
      </w:r>
      <w:r>
        <w:instrText>seq paragraphs</w:instrText>
      </w:r>
      <w:r>
        <w:fldChar w:fldCharType="separate"/>
      </w:r>
      <w:r>
        <w:t>42</w:t>
      </w:r>
      <w:r>
        <w:fldChar w:fldCharType="end"/>
      </w:r>
      <w:r>
        <w:t>.</w:t>
      </w:r>
      <w:r>
        <w:tab/>
        <w:t xml:space="preserve">Jekk </w:t>
      </w:r>
      <w:proofErr w:type="spellStart"/>
      <w:r>
        <w:t>skopertura</w:t>
      </w:r>
      <w:proofErr w:type="spellEnd"/>
      <w:r>
        <w:t xml:space="preserve"> hija </w:t>
      </w:r>
      <w:proofErr w:type="spellStart"/>
      <w:r>
        <w:t>ggarantita</w:t>
      </w:r>
      <w:proofErr w:type="spellEnd"/>
      <w:r>
        <w:t xml:space="preserve"> minn protezzjoni ta’ kreditu mhux </w:t>
      </w:r>
      <w:proofErr w:type="spellStart"/>
      <w:r>
        <w:t>iffinanzjata</w:t>
      </w:r>
      <w:proofErr w:type="spellEnd"/>
      <w:r>
        <w:t xml:space="preserve">, il-parti </w:t>
      </w:r>
      <w:proofErr w:type="spellStart"/>
      <w:r>
        <w:t>ggarantita</w:t>
      </w:r>
      <w:proofErr w:type="spellEnd"/>
      <w:r>
        <w:t xml:space="preserve"> għandha tkun assenjata bħala </w:t>
      </w:r>
      <w:proofErr w:type="spellStart"/>
      <w:r>
        <w:t>fluss</w:t>
      </w:r>
      <w:proofErr w:type="spellEnd"/>
      <w:r>
        <w:t xml:space="preserve"> ’il barra fil-klassi ta’ </w:t>
      </w:r>
      <w:proofErr w:type="spellStart"/>
      <w:r>
        <w:t>skoperturi</w:t>
      </w:r>
      <w:proofErr w:type="spellEnd"/>
      <w:r>
        <w:t xml:space="preserve"> tal-</w:t>
      </w:r>
      <w:proofErr w:type="spellStart"/>
      <w:r>
        <w:t>obbligant</w:t>
      </w:r>
      <w:proofErr w:type="spellEnd"/>
      <w:r>
        <w:t xml:space="preserve"> u bħala </w:t>
      </w:r>
      <w:proofErr w:type="spellStart"/>
      <w:r>
        <w:t>fluss</w:t>
      </w:r>
      <w:proofErr w:type="spellEnd"/>
      <w:r>
        <w:t xml:space="preserve"> ’il ġewwa fil-klassi tal-</w:t>
      </w:r>
      <w:proofErr w:type="spellStart"/>
      <w:r>
        <w:t>skoperturi</w:t>
      </w:r>
      <w:proofErr w:type="spellEnd"/>
      <w:r>
        <w:t xml:space="preserve"> tal-fornitur tal-protezzjoni. Madankollu, it-tip ta’ </w:t>
      </w:r>
      <w:proofErr w:type="spellStart"/>
      <w:r>
        <w:t>skopertura</w:t>
      </w:r>
      <w:proofErr w:type="spellEnd"/>
      <w:r>
        <w:t xml:space="preserve"> ma għandux jinbidel minħabba l-bidla fil-klassi tal-</w:t>
      </w:r>
      <w:proofErr w:type="spellStart"/>
      <w:r>
        <w:t>iskoperturi</w:t>
      </w:r>
      <w:proofErr w:type="spellEnd"/>
      <w:r>
        <w:t>.</w:t>
      </w:r>
    </w:p>
    <w:p w14:paraId="6A5B6134" w14:textId="56B078A2" w:rsidR="00F23615" w:rsidRPr="002A677E" w:rsidRDefault="00F23615" w:rsidP="0059380B">
      <w:r w:rsidRPr="00F901E0">
        <w:fldChar w:fldCharType="begin"/>
      </w:r>
      <w:r w:rsidRPr="000059B8">
        <w:rPr>
          <w:rFonts w:ascii="Times New Roman" w:hAnsi="Times New Roman"/>
          <w:sz w:val="24"/>
        </w:rPr>
        <w:instrText>seq paragraphs</w:instrText>
      </w:r>
      <w:r w:rsidRPr="00F901E0">
        <w:fldChar w:fldCharType="separate"/>
      </w:r>
      <w:r>
        <w:rPr>
          <w:rFonts w:ascii="Times New Roman" w:hAnsi="Times New Roman"/>
          <w:sz w:val="24"/>
        </w:rPr>
        <w:t>43</w:t>
      </w:r>
      <w:r w:rsidRPr="00F901E0">
        <w:fldChar w:fldCharType="end"/>
      </w:r>
      <w:r>
        <w:rPr>
          <w:rFonts w:ascii="Times New Roman" w:hAnsi="Times New Roman"/>
          <w:sz w:val="24"/>
        </w:rPr>
        <w:t>.</w:t>
      </w:r>
      <w:r>
        <w:tab/>
      </w:r>
      <w:r>
        <w:rPr>
          <w:rFonts w:ascii="Times New Roman" w:hAnsi="Times New Roman"/>
          <w:sz w:val="24"/>
        </w:rPr>
        <w:t xml:space="preserve">L-effett ta’ sostituzzjoni fil-qafas ta’ </w:t>
      </w:r>
      <w:proofErr w:type="spellStart"/>
      <w:r>
        <w:rPr>
          <w:rFonts w:ascii="Times New Roman" w:hAnsi="Times New Roman"/>
          <w:sz w:val="24"/>
        </w:rPr>
        <w:t>rapportar</w:t>
      </w:r>
      <w:proofErr w:type="spellEnd"/>
      <w:r>
        <w:rPr>
          <w:rFonts w:ascii="Times New Roman" w:hAnsi="Times New Roman"/>
          <w:sz w:val="24"/>
        </w:rPr>
        <w:t xml:space="preserve"> tal-COREP għandu jirrifletti t-trattament tal-</w:t>
      </w:r>
      <w:proofErr w:type="spellStart"/>
      <w:r>
        <w:rPr>
          <w:rFonts w:ascii="Times New Roman" w:hAnsi="Times New Roman"/>
          <w:sz w:val="24"/>
        </w:rPr>
        <w:t>ponderazzjoni</w:t>
      </w:r>
      <w:proofErr w:type="spellEnd"/>
      <w:r>
        <w:rPr>
          <w:rFonts w:ascii="Times New Roman" w:hAnsi="Times New Roman"/>
          <w:sz w:val="24"/>
        </w:rPr>
        <w:t xml:space="preserve"> tar-riskju effettivament applikabbli għall-parti koperta tal-</w:t>
      </w:r>
      <w:proofErr w:type="spellStart"/>
      <w:r>
        <w:rPr>
          <w:rFonts w:ascii="Times New Roman" w:hAnsi="Times New Roman"/>
          <w:sz w:val="24"/>
        </w:rPr>
        <w:t>iskopertura</w:t>
      </w:r>
      <w:proofErr w:type="spellEnd"/>
      <w:r>
        <w:rPr>
          <w:rFonts w:ascii="Times New Roman" w:hAnsi="Times New Roman"/>
          <w:sz w:val="24"/>
        </w:rPr>
        <w:t>.</w:t>
      </w:r>
      <w:r>
        <w:t xml:space="preserve"> </w:t>
      </w:r>
    </w:p>
    <w:p w14:paraId="4EAD03F9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12" w:name="_Toc262568024"/>
      <w:bookmarkStart w:id="13" w:name="_Toc295829850"/>
      <w:bookmarkStart w:id="14" w:name="_Toc310415016"/>
      <w:bookmarkStart w:id="15" w:name="_Toc360188347"/>
      <w:bookmarkStart w:id="16" w:name="_Toc473560896"/>
      <w:bookmarkStart w:id="17" w:name="_Toc151714384"/>
      <w:r>
        <w:rPr>
          <w:rFonts w:ascii="Times New Roman" w:hAnsi="Times New Roman"/>
          <w:sz w:val="24"/>
          <w:u w:val="none"/>
        </w:rPr>
        <w:t>3.1.2.</w:t>
      </w:r>
      <w:r>
        <w:rPr>
          <w:rFonts w:ascii="Times New Roman" w:hAnsi="Times New Roman"/>
          <w:sz w:val="24"/>
          <w:u w:val="none"/>
        </w:rPr>
        <w:tab/>
      </w:r>
      <w:proofErr w:type="spellStart"/>
      <w:r>
        <w:rPr>
          <w:rFonts w:ascii="Times New Roman" w:hAnsi="Times New Roman"/>
          <w:sz w:val="24"/>
        </w:rPr>
        <w:t>Rapportar</w:t>
      </w:r>
      <w:proofErr w:type="spellEnd"/>
      <w:r>
        <w:rPr>
          <w:rFonts w:ascii="Times New Roman" w:hAnsi="Times New Roman"/>
          <w:sz w:val="24"/>
        </w:rPr>
        <w:t xml:space="preserve"> tar-Riskju ta’ Kreditu tal-</w:t>
      </w:r>
      <w:proofErr w:type="spellStart"/>
      <w:r>
        <w:rPr>
          <w:rFonts w:ascii="Times New Roman" w:hAnsi="Times New Roman"/>
          <w:sz w:val="24"/>
        </w:rPr>
        <w:t>Kontroparti</w:t>
      </w:r>
      <w:bookmarkEnd w:id="12"/>
      <w:bookmarkEnd w:id="13"/>
      <w:bookmarkEnd w:id="14"/>
      <w:bookmarkEnd w:id="15"/>
      <w:bookmarkEnd w:id="16"/>
      <w:bookmarkEnd w:id="17"/>
      <w:proofErr w:type="spellEnd"/>
    </w:p>
    <w:p w14:paraId="5E7E3981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44</w:t>
      </w:r>
      <w:r>
        <w:fldChar w:fldCharType="end"/>
      </w:r>
      <w:r>
        <w:t>.</w:t>
      </w:r>
      <w:r>
        <w:tab/>
      </w:r>
      <w:proofErr w:type="spellStart"/>
      <w:r>
        <w:t>Skoperturi</w:t>
      </w:r>
      <w:proofErr w:type="spellEnd"/>
      <w:r>
        <w:t xml:space="preserve"> li ġejjin minn pożizzjonijiet ta’ Riskju ta’ Kreditu tal-</w:t>
      </w:r>
      <w:proofErr w:type="spellStart"/>
      <w:r>
        <w:t>Kontroparti</w:t>
      </w:r>
      <w:proofErr w:type="spellEnd"/>
      <w:r>
        <w:t xml:space="preserve"> </w:t>
      </w:r>
      <w:proofErr w:type="spellStart"/>
      <w:r>
        <w:t>għandhon</w:t>
      </w:r>
      <w:proofErr w:type="spellEnd"/>
      <w:r>
        <w:t xml:space="preserve"> ikunu rapportati fil-formoli CR SA jew CR IRB indipendenti minn jekk humiex </w:t>
      </w:r>
      <w:proofErr w:type="spellStart"/>
      <w:r>
        <w:t>entrati</w:t>
      </w:r>
      <w:proofErr w:type="spellEnd"/>
      <w:r>
        <w:t xml:space="preserve"> tal-</w:t>
      </w:r>
      <w:proofErr w:type="spellStart"/>
      <w:r>
        <w:t>Portafoll</w:t>
      </w:r>
      <w:proofErr w:type="spellEnd"/>
      <w:r>
        <w:t xml:space="preserve"> Bankarju jew tal-</w:t>
      </w:r>
      <w:proofErr w:type="spellStart"/>
      <w:r>
        <w:t>Portafoll</w:t>
      </w:r>
      <w:proofErr w:type="spellEnd"/>
      <w:r>
        <w:t xml:space="preserve"> tan-Negozjar. </w:t>
      </w:r>
    </w:p>
    <w:p w14:paraId="2B70DFBC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18" w:name="_Toc292456202"/>
      <w:bookmarkStart w:id="19" w:name="_Toc295829851"/>
      <w:bookmarkStart w:id="20" w:name="_Toc310415017"/>
      <w:bookmarkStart w:id="21" w:name="_Toc360188348"/>
      <w:bookmarkStart w:id="22" w:name="_Toc473560897"/>
      <w:bookmarkStart w:id="23" w:name="_Toc151714385"/>
      <w:r>
        <w:rPr>
          <w:rFonts w:ascii="Times New Roman" w:hAnsi="Times New Roman"/>
          <w:sz w:val="24"/>
          <w:u w:val="none"/>
        </w:rPr>
        <w:lastRenderedPageBreak/>
        <w:t>3.2.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 07.00 - Riskji tal-kreditu u tal-kreditu tal-</w:t>
      </w:r>
      <w:proofErr w:type="spellStart"/>
      <w:r>
        <w:rPr>
          <w:rFonts w:ascii="Times New Roman" w:hAnsi="Times New Roman"/>
          <w:sz w:val="24"/>
        </w:rPr>
        <w:t>kontroparti</w:t>
      </w:r>
      <w:proofErr w:type="spellEnd"/>
      <w:r>
        <w:rPr>
          <w:rFonts w:ascii="Times New Roman" w:hAnsi="Times New Roman"/>
          <w:sz w:val="24"/>
        </w:rPr>
        <w:t xml:space="preserve"> u konsenji bla ħlas: </w:t>
      </w:r>
      <w:proofErr w:type="spellStart"/>
      <w:r>
        <w:t>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 xml:space="preserve"> għar-Rekwiżiti tal-Kapital</w:t>
      </w:r>
      <w:bookmarkEnd w:id="18"/>
      <w:bookmarkEnd w:id="19"/>
      <w:bookmarkEnd w:id="20"/>
      <w:bookmarkEnd w:id="21"/>
      <w:r>
        <w:t xml:space="preserve"> (CR SA)</w:t>
      </w:r>
      <w:bookmarkEnd w:id="22"/>
      <w:bookmarkEnd w:id="23"/>
    </w:p>
    <w:p w14:paraId="2443E8EB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4" w:name="_Toc262568026"/>
      <w:bookmarkStart w:id="25" w:name="_Toc264038424"/>
      <w:bookmarkStart w:id="26" w:name="_Toc292456203"/>
      <w:bookmarkStart w:id="27" w:name="_Toc295829852"/>
      <w:bookmarkStart w:id="28" w:name="_Toc310415018"/>
      <w:bookmarkStart w:id="29" w:name="_Toc360188349"/>
      <w:bookmarkStart w:id="30" w:name="_Toc473560898"/>
      <w:bookmarkStart w:id="31" w:name="_Toc151714386"/>
      <w:r>
        <w:rPr>
          <w:rFonts w:ascii="Times New Roman" w:hAnsi="Times New Roman"/>
          <w:sz w:val="24"/>
          <w:u w:val="none"/>
        </w:rPr>
        <w:t>3.2.1.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Rimarki ġenerali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5C4B4CFF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45</w:t>
      </w:r>
      <w:r>
        <w:fldChar w:fldCharType="end"/>
      </w:r>
      <w:r>
        <w:t>.</w:t>
      </w:r>
      <w:r>
        <w:tab/>
        <w:t>Il-formoli CR SA jipprovdu l-informazzjoni meħtieġa dwar il-kalkolu tar-rekwiżiti ta’ fondi proprji għar-riskju ta’ kreditu f’</w:t>
      </w:r>
      <w:proofErr w:type="spellStart"/>
      <w:r>
        <w:t>konformità</w:t>
      </w:r>
      <w:proofErr w:type="spellEnd"/>
      <w:r>
        <w:t xml:space="preserve"> </w:t>
      </w:r>
      <w:proofErr w:type="spellStart"/>
      <w:r>
        <w:t>mal-Approċċ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>. B’mod partikolari, jipprovdu informazzjoni dettaljata dwar:</w:t>
      </w:r>
    </w:p>
    <w:p w14:paraId="4FD5B35E" w14:textId="77777777" w:rsidR="00F23615" w:rsidRPr="002A677E" w:rsidRDefault="00F23615" w:rsidP="00C94687">
      <w:pPr>
        <w:pStyle w:val="InstructionsText2"/>
      </w:pPr>
      <w:r>
        <w:t>a)</w:t>
      </w:r>
      <w:r>
        <w:tab/>
        <w:t>id-distribuzzjoni tal-valuri tal-</w:t>
      </w:r>
      <w:proofErr w:type="spellStart"/>
      <w:r>
        <w:t>iskoperturi</w:t>
      </w:r>
      <w:proofErr w:type="spellEnd"/>
      <w:r>
        <w:t xml:space="preserve"> skont tipi ta’ </w:t>
      </w:r>
      <w:proofErr w:type="spellStart"/>
      <w:r>
        <w:t>skoperturi</w:t>
      </w:r>
      <w:proofErr w:type="spellEnd"/>
      <w:r>
        <w:t xml:space="preserve">, </w:t>
      </w:r>
      <w:proofErr w:type="spellStart"/>
      <w:r>
        <w:t>ponderazzjonijiet</w:t>
      </w:r>
      <w:proofErr w:type="spellEnd"/>
      <w:r>
        <w:t xml:space="preserve"> tar-riskju u klassijiet tal-</w:t>
      </w:r>
      <w:proofErr w:type="spellStart"/>
      <w:r>
        <w:t>iskoperturi</w:t>
      </w:r>
      <w:proofErr w:type="spellEnd"/>
      <w:r>
        <w:t xml:space="preserve"> differenti;</w:t>
      </w:r>
    </w:p>
    <w:p w14:paraId="544F0A18" w14:textId="77777777" w:rsidR="00F23615" w:rsidRPr="002A677E" w:rsidRDefault="00F23615" w:rsidP="00C94687">
      <w:pPr>
        <w:pStyle w:val="InstructionsText2"/>
      </w:pPr>
      <w:r>
        <w:t>b)</w:t>
      </w:r>
      <w:r>
        <w:tab/>
        <w:t xml:space="preserve">l-ammont u t-tip ta’ </w:t>
      </w:r>
      <w:proofErr w:type="spellStart"/>
      <w:r>
        <w:t>tekniki</w:t>
      </w:r>
      <w:proofErr w:type="spellEnd"/>
      <w:r>
        <w:t xml:space="preserve"> tal-mitigazzjoni tar-riskju ta’ kreditu użati għall-mitigazzjoni tar-riskji. </w:t>
      </w:r>
    </w:p>
    <w:p w14:paraId="7743189A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32" w:name="_Toc262568027"/>
      <w:bookmarkStart w:id="33" w:name="_Toc264038425"/>
      <w:bookmarkStart w:id="34" w:name="_Toc292456204"/>
      <w:bookmarkStart w:id="35" w:name="_Toc295829853"/>
      <w:bookmarkStart w:id="36" w:name="_Toc310415019"/>
      <w:bookmarkStart w:id="37" w:name="_Toc360188350"/>
      <w:bookmarkStart w:id="38" w:name="_Toc473560899"/>
      <w:bookmarkStart w:id="39" w:name="_Toc151714387"/>
      <w:r>
        <w:rPr>
          <w:rFonts w:ascii="Times New Roman" w:hAnsi="Times New Roman"/>
          <w:sz w:val="24"/>
          <w:u w:val="none"/>
        </w:rPr>
        <w:t>3.2.2.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Kamp ta’ applikazzjoni tal-formola </w:t>
      </w:r>
      <w:proofErr w:type="spellStart"/>
      <w:r>
        <w:rPr>
          <w:rFonts w:ascii="Times New Roman" w:hAnsi="Times New Roman"/>
          <w:sz w:val="24"/>
        </w:rPr>
        <w:t>tas</w:t>
      </w:r>
      <w:proofErr w:type="spellEnd"/>
      <w:r>
        <w:rPr>
          <w:rFonts w:ascii="Times New Roman" w:hAnsi="Times New Roman"/>
          <w:sz w:val="24"/>
        </w:rPr>
        <w:t>-CR SA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6413BCA3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46</w:t>
      </w:r>
      <w:r>
        <w:fldChar w:fldCharType="end"/>
      </w:r>
      <w:r>
        <w:t>.</w:t>
      </w:r>
      <w:r>
        <w:tab/>
        <w:t>F’</w:t>
      </w:r>
      <w:proofErr w:type="spellStart"/>
      <w:r>
        <w:t>konformità</w:t>
      </w:r>
      <w:proofErr w:type="spellEnd"/>
      <w:r>
        <w:t xml:space="preserve"> mal-Artikolu 112 tar-Regolament (UE) Nru 575/2013 kull </w:t>
      </w:r>
      <w:proofErr w:type="spellStart"/>
      <w:r>
        <w:t>skopertura</w:t>
      </w:r>
      <w:proofErr w:type="spellEnd"/>
      <w:r>
        <w:t xml:space="preserve"> SA għandha tiġi assenjata f’waħda mis-16-il klassi tal-</w:t>
      </w:r>
      <w:proofErr w:type="spellStart"/>
      <w:r>
        <w:t>iskoperturi</w:t>
      </w:r>
      <w:proofErr w:type="spellEnd"/>
      <w:r>
        <w:t xml:space="preserve"> SA biex jiġu </w:t>
      </w:r>
      <w:proofErr w:type="spellStart"/>
      <w:r>
        <w:t>kkalkolati</w:t>
      </w:r>
      <w:proofErr w:type="spellEnd"/>
      <w:r>
        <w:t xml:space="preserve"> r-rekwiżiti ta’ fondi proprji.</w:t>
      </w:r>
    </w:p>
    <w:p w14:paraId="64389A3F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47</w:t>
      </w:r>
      <w:r>
        <w:fldChar w:fldCharType="end"/>
      </w:r>
      <w:r>
        <w:t>.</w:t>
      </w:r>
      <w:r>
        <w:tab/>
        <w:t xml:space="preserve">Hija meħtieġa informazzjoni fis-CR SA għall-klassijiet ta’ </w:t>
      </w:r>
      <w:proofErr w:type="spellStart"/>
      <w:r>
        <w:t>skoperturi</w:t>
      </w:r>
      <w:proofErr w:type="spellEnd"/>
      <w:r>
        <w:t xml:space="preserve"> totali u b’mod individwali għal kull waħda mill-klassijiet tal-</w:t>
      </w:r>
      <w:proofErr w:type="spellStart"/>
      <w:r>
        <w:t>iskoperturi</w:t>
      </w:r>
      <w:proofErr w:type="spellEnd"/>
      <w:r>
        <w:t xml:space="preserve"> skont l-</w:t>
      </w:r>
      <w:proofErr w:type="spellStart"/>
      <w:r>
        <w:t>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 xml:space="preserve">. Iċ-ċifri totali kif ukoll l-informazzjoni ta’ kull klassi ta’ </w:t>
      </w:r>
      <w:proofErr w:type="spellStart"/>
      <w:r>
        <w:t>skoperturi</w:t>
      </w:r>
      <w:proofErr w:type="spellEnd"/>
      <w:r>
        <w:t xml:space="preserve"> jiġu rapportati f’dimensjoni separata. </w:t>
      </w:r>
    </w:p>
    <w:p w14:paraId="6A824557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48</w:t>
      </w:r>
      <w:r>
        <w:fldChar w:fldCharType="end"/>
      </w:r>
      <w:r>
        <w:t>.</w:t>
      </w:r>
      <w:r>
        <w:tab/>
        <w:t xml:space="preserve">Madankollu, il-pożizzjonijiet li ġejjin ma jaqgħux fil-kamp ta’ applikazzjoni </w:t>
      </w:r>
      <w:proofErr w:type="spellStart"/>
      <w:r>
        <w:t>tas</w:t>
      </w:r>
      <w:proofErr w:type="spellEnd"/>
      <w:r>
        <w:t>-CR SA:</w:t>
      </w:r>
    </w:p>
    <w:p w14:paraId="22AB0E5F" w14:textId="77777777" w:rsidR="00F23615" w:rsidRPr="002A677E" w:rsidRDefault="00F23615" w:rsidP="00C94687">
      <w:pPr>
        <w:pStyle w:val="InstructionsText2"/>
      </w:pPr>
      <w:r>
        <w:t>(a)</w:t>
      </w:r>
      <w:r>
        <w:tab/>
      </w:r>
      <w:proofErr w:type="spellStart"/>
      <w:r>
        <w:t>Skoperturi</w:t>
      </w:r>
      <w:proofErr w:type="spellEnd"/>
      <w:r>
        <w:t xml:space="preserve"> assenjati fil-klassi ta’ </w:t>
      </w:r>
      <w:proofErr w:type="spellStart"/>
      <w:r>
        <w:t>skoperturi</w:t>
      </w:r>
      <w:proofErr w:type="spellEnd"/>
      <w:r>
        <w:t xml:space="preserve"> “elementi li jirrappreżentaw pożizzjonijiet ta’ </w:t>
      </w:r>
      <w:proofErr w:type="spellStart"/>
      <w:r>
        <w:t>titolizzazzjoni</w:t>
      </w:r>
      <w:proofErr w:type="spellEnd"/>
      <w:r>
        <w:t>” kif imsemmi fl-Artikolu 112, il-punt (m) tar-Regolament (UE) Nru 575/2013, li għandhom ikunu rapportati fil-formoli CR SEC.</w:t>
      </w:r>
    </w:p>
    <w:p w14:paraId="17531E58" w14:textId="77777777" w:rsidR="00F23615" w:rsidRPr="002A677E" w:rsidRDefault="00F23615" w:rsidP="00C94687">
      <w:pPr>
        <w:pStyle w:val="InstructionsText2"/>
      </w:pPr>
      <w:r>
        <w:t>(b)</w:t>
      </w:r>
      <w:r>
        <w:tab/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mnaqqsin</w:t>
      </w:r>
      <w:proofErr w:type="spellEnd"/>
      <w:r>
        <w:t xml:space="preserve"> minn fondi proprji.</w:t>
      </w:r>
    </w:p>
    <w:p w14:paraId="6ABFC28C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49</w:t>
      </w:r>
      <w:r>
        <w:fldChar w:fldCharType="end"/>
      </w:r>
      <w:r>
        <w:t>.</w:t>
      </w:r>
      <w:r>
        <w:tab/>
        <w:t>Il-kamp ta’ applikazzjoni tal-formola CR SA għandu jkopri r-rekwiżiti tal-fondi proprji li ġejjin:</w:t>
      </w:r>
    </w:p>
    <w:p w14:paraId="599777FC" w14:textId="77777777" w:rsidR="00F23615" w:rsidRPr="002A677E" w:rsidRDefault="00F23615" w:rsidP="00C94687">
      <w:pPr>
        <w:pStyle w:val="InstructionsText2"/>
      </w:pPr>
      <w:r>
        <w:t>(a)</w:t>
      </w:r>
      <w:r>
        <w:tab/>
        <w:t>Riskju ta’ kreditu f’</w:t>
      </w:r>
      <w:proofErr w:type="spellStart"/>
      <w:r>
        <w:t>konformità</w:t>
      </w:r>
      <w:proofErr w:type="spellEnd"/>
      <w:r>
        <w:t xml:space="preserve"> mal-Kapitolu 2 (</w:t>
      </w:r>
      <w:proofErr w:type="spellStart"/>
      <w:r>
        <w:t>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>) tal-Parti Tlieta, it-Titolu II tar-Regolament (UE) Nru 575/2013 fil-</w:t>
      </w:r>
      <w:proofErr w:type="spellStart"/>
      <w:r>
        <w:t>portafoll</w:t>
      </w:r>
      <w:proofErr w:type="spellEnd"/>
      <w:r>
        <w:t xml:space="preserve"> bankarju, fosthom ir-riskju ta’ kreditu tal-</w:t>
      </w:r>
      <w:proofErr w:type="spellStart"/>
      <w:r>
        <w:t>kontroparti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mal-Parti Tlieta, it-Titolu II, il-</w:t>
      </w:r>
      <w:proofErr w:type="spellStart"/>
      <w:r>
        <w:t>Kapitoli</w:t>
      </w:r>
      <w:proofErr w:type="spellEnd"/>
      <w:r>
        <w:t xml:space="preserve"> 4 u 6 ta’ dak ir-Regolament fil-</w:t>
      </w:r>
      <w:proofErr w:type="spellStart"/>
      <w:r>
        <w:t>portafoll</w:t>
      </w:r>
      <w:proofErr w:type="spellEnd"/>
      <w:r>
        <w:t xml:space="preserve"> bankarju;</w:t>
      </w:r>
    </w:p>
    <w:p w14:paraId="22E2D371" w14:textId="77777777" w:rsidR="00F23615" w:rsidRPr="002A677E" w:rsidRDefault="00F23615" w:rsidP="00C94687">
      <w:pPr>
        <w:pStyle w:val="InstructionsText2"/>
      </w:pPr>
      <w:r>
        <w:t>(b)</w:t>
      </w:r>
      <w:r>
        <w:tab/>
        <w:t>Riskju tal-kreditu tal-</w:t>
      </w:r>
      <w:proofErr w:type="spellStart"/>
      <w:r>
        <w:t>kontroparti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mal-Parti Tlieta, it-Titolu II, il-</w:t>
      </w:r>
      <w:proofErr w:type="spellStart"/>
      <w:r>
        <w:t>Kapitoli</w:t>
      </w:r>
      <w:proofErr w:type="spellEnd"/>
      <w:r>
        <w:t xml:space="preserve"> 4 u 6 tar-Regolament (UE) Nru 575/2013 fil-</w:t>
      </w:r>
      <w:proofErr w:type="spellStart"/>
      <w:r>
        <w:t>portafoll</w:t>
      </w:r>
      <w:proofErr w:type="spellEnd"/>
      <w:r>
        <w:t xml:space="preserve"> tan-negozjar;</w:t>
      </w:r>
    </w:p>
    <w:p w14:paraId="72D6682B" w14:textId="77777777" w:rsidR="00F23615" w:rsidRPr="002A677E" w:rsidRDefault="00F23615" w:rsidP="00C94687">
      <w:pPr>
        <w:pStyle w:val="InstructionsText2"/>
      </w:pPr>
      <w:r>
        <w:t>(c)</w:t>
      </w:r>
      <w:r>
        <w:tab/>
        <w:t>Riskju ta’ saldu li jirriżulta minn konsenji bla ħlas f’</w:t>
      </w:r>
      <w:proofErr w:type="spellStart"/>
      <w:r>
        <w:t>konformità</w:t>
      </w:r>
      <w:proofErr w:type="spellEnd"/>
      <w:r>
        <w:t xml:space="preserve"> mal-Artikolu 379 tar-Regolament (UE) Nru 575/2013 fir-rigward tal-attivitajiet kummerċjali kollha.</w:t>
      </w:r>
    </w:p>
    <w:p w14:paraId="26673CD3" w14:textId="66939344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50</w:t>
      </w:r>
      <w:r>
        <w:fldChar w:fldCharType="end"/>
      </w:r>
      <w:r>
        <w:t>.</w:t>
      </w:r>
      <w:r>
        <w:tab/>
        <w:t>Il-formola għandha tinkludi l-</w:t>
      </w:r>
      <w:proofErr w:type="spellStart"/>
      <w:r>
        <w:t>iskoperturi</w:t>
      </w:r>
      <w:proofErr w:type="spellEnd"/>
      <w:r>
        <w:t xml:space="preserve"> kollha li għalihom ir-rekwiżiti ta’ fondi proprji huma </w:t>
      </w:r>
      <w:proofErr w:type="spellStart"/>
      <w:r>
        <w:t>kkalkolati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mal-Parti Tlieta, it-Titolu II, il-Kapitolu 2 tar-Regolament (UE) Nru 575/2013 flimkien mal-Parti Tlieta, it-Titolu II, il-</w:t>
      </w:r>
      <w:proofErr w:type="spellStart"/>
      <w:r>
        <w:t>Kapitoli</w:t>
      </w:r>
      <w:proofErr w:type="spellEnd"/>
      <w:r>
        <w:t xml:space="preserve"> 4 u 6 tar-</w:t>
      </w:r>
      <w:r>
        <w:lastRenderedPageBreak/>
        <w:t>Regolament (UE) Nru 575/2013. L-istituzzjonijiet li japplikaw l-Artikolu 94(1) tar-Regolament (UE) Nru 575/2013 jeħtieġ ukoll li jirrapportaw il-pożizzjonijiet tal-</w:t>
      </w:r>
      <w:proofErr w:type="spellStart"/>
      <w:r>
        <w:t>portafoll</w:t>
      </w:r>
      <w:proofErr w:type="spellEnd"/>
      <w:r>
        <w:t xml:space="preserve"> tan-negozjar tagħhom imsemmija fl-Artikolu 92(4), il-punt (b), ta’ dak ir-Regolament f’din il-formola meta japplikaw il-Parti Tlieta, it-Titolu II, il-Kapitolu 2 ta’ dak ir-Regolament biex </w:t>
      </w:r>
      <w:proofErr w:type="spellStart"/>
      <w:r>
        <w:t>jikkalkolaw</w:t>
      </w:r>
      <w:proofErr w:type="spellEnd"/>
      <w:r>
        <w:t xml:space="preserve"> ir-rekwiżiti ta’ fondi proprji tiegħu (il-Parti Tlieta, it-Titolu II, il-</w:t>
      </w:r>
      <w:proofErr w:type="spellStart"/>
      <w:r>
        <w:t>Kapitoli</w:t>
      </w:r>
      <w:proofErr w:type="spellEnd"/>
      <w:r>
        <w:t xml:space="preserve"> 2 u 6 u l-Parti Tlieta, it-Titolu V ta’ dak ir-Regolament). Għaldaqstant, il-formola għandha tipprovdi mhux biss informazzjoni dettaljata dwar it-tip tal-</w:t>
      </w:r>
      <w:proofErr w:type="spellStart"/>
      <w:r>
        <w:t>iskopertura</w:t>
      </w:r>
      <w:proofErr w:type="spellEnd"/>
      <w:r>
        <w:t xml:space="preserve"> (eż. </w:t>
      </w:r>
      <w:proofErr w:type="spellStart"/>
      <w:r>
        <w:t>entrati</w:t>
      </w:r>
      <w:proofErr w:type="spellEnd"/>
      <w:r>
        <w:t xml:space="preserve"> tal-karta bilanċjali/barra l-karta bilanċjali), iżda anki informazzjoni dwar l-allokazzjoni tal-</w:t>
      </w:r>
      <w:proofErr w:type="spellStart"/>
      <w:r>
        <w:t>ponderazzjonijiet</w:t>
      </w:r>
      <w:proofErr w:type="spellEnd"/>
      <w:r>
        <w:t xml:space="preserve"> tar-riskju fil-klassi tal-</w:t>
      </w:r>
      <w:proofErr w:type="spellStart"/>
      <w:r>
        <w:t>iskoperturi</w:t>
      </w:r>
      <w:proofErr w:type="spellEnd"/>
      <w:r>
        <w:t xml:space="preserve"> rispettiva.</w:t>
      </w:r>
    </w:p>
    <w:bookmarkStart w:id="40" w:name="_Toc264033212"/>
    <w:bookmarkStart w:id="41" w:name="_Toc294166813"/>
    <w:bookmarkStart w:id="42" w:name="_Toc294256386"/>
    <w:bookmarkStart w:id="43" w:name="_Toc294256487"/>
    <w:bookmarkStart w:id="44" w:name="_Toc294267371"/>
    <w:bookmarkStart w:id="45" w:name="_Toc294267476"/>
    <w:bookmarkStart w:id="46" w:name="_Toc294267607"/>
    <w:bookmarkStart w:id="47" w:name="_Toc294267709"/>
    <w:bookmarkStart w:id="48" w:name="_Toc294274817"/>
    <w:bookmarkStart w:id="49" w:name="_Toc294280261"/>
    <w:bookmarkStart w:id="50" w:name="_Toc294281586"/>
    <w:bookmarkStart w:id="51" w:name="_Toc294281806"/>
    <w:bookmarkStart w:id="52" w:name="_Toc294282020"/>
    <w:bookmarkStart w:id="53" w:name="_Toc294282223"/>
    <w:bookmarkStart w:id="54" w:name="_Toc294714158"/>
    <w:bookmarkStart w:id="55" w:name="_Toc295314184"/>
    <w:bookmarkStart w:id="56" w:name="_Toc295829573"/>
    <w:bookmarkStart w:id="57" w:name="_Toc295829856"/>
    <w:bookmarkStart w:id="58" w:name="_Toc301772744"/>
    <w:bookmarkStart w:id="59" w:name="_Toc301772822"/>
    <w:bookmarkStart w:id="60" w:name="_Toc302657761"/>
    <w:bookmarkStart w:id="61" w:name="_Toc302657880"/>
    <w:bookmarkStart w:id="62" w:name="_Toc307582992"/>
    <w:bookmarkStart w:id="63" w:name="_Toc307583014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p w14:paraId="61952039" w14:textId="0AEE35D1" w:rsidR="00F23615" w:rsidRPr="002A677E" w:rsidRDefault="00F23615" w:rsidP="00C94687">
      <w:pPr>
        <w:pStyle w:val="InstructionsText2"/>
      </w:pPr>
      <w:r w:rsidRPr="00624117">
        <w:fldChar w:fldCharType="begin"/>
      </w:r>
      <w:r w:rsidRPr="002A677E">
        <w:instrText xml:space="preserve"> seq paragraphs </w:instrText>
      </w:r>
      <w:r w:rsidRPr="00624117">
        <w:fldChar w:fldCharType="separate"/>
      </w:r>
      <w:r>
        <w:t>51</w:t>
      </w:r>
      <w:r w:rsidRPr="00624117">
        <w:fldChar w:fldCharType="end"/>
      </w:r>
      <w:r>
        <w:t>.</w:t>
      </w:r>
      <w:r>
        <w:tab/>
        <w:t xml:space="preserve">Barra minn hekk, </w:t>
      </w:r>
      <w:proofErr w:type="spellStart"/>
      <w:r>
        <w:t>is</w:t>
      </w:r>
      <w:proofErr w:type="spellEnd"/>
      <w:r>
        <w:t xml:space="preserve">-CR SA tinkludi </w:t>
      </w:r>
      <w:proofErr w:type="spellStart"/>
      <w:r>
        <w:t>entrati</w:t>
      </w:r>
      <w:proofErr w:type="spellEnd"/>
      <w:r>
        <w:t xml:space="preserve"> ta’ memorandum fir-ringieli minn 0290 sa 0330 sabiex tiġbor aktar informazzjoni dwar </w:t>
      </w:r>
      <w:proofErr w:type="spellStart"/>
      <w:r>
        <w:t>skoperturi</w:t>
      </w:r>
      <w:proofErr w:type="spellEnd"/>
      <w:r>
        <w:t xml:space="preserve"> garantiti b’ipoteki fuq proprjetà immobbli, </w:t>
      </w:r>
      <w:proofErr w:type="spellStart"/>
      <w:r>
        <w:t>skoperturi</w:t>
      </w:r>
      <w:proofErr w:type="spellEnd"/>
      <w:r>
        <w:t xml:space="preserve"> ADC u </w:t>
      </w:r>
      <w:proofErr w:type="spellStart"/>
      <w:r>
        <w:t>skoperturi</w:t>
      </w:r>
      <w:proofErr w:type="spellEnd"/>
      <w:r>
        <w:t xml:space="preserve"> f’</w:t>
      </w:r>
      <w:proofErr w:type="spellStart"/>
      <w:r>
        <w:t>inadempjenza</w:t>
      </w:r>
      <w:proofErr w:type="spellEnd"/>
      <w:r>
        <w:t xml:space="preserve">. </w:t>
      </w:r>
    </w:p>
    <w:p w14:paraId="3102260A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52</w:t>
      </w:r>
      <w:r>
        <w:fldChar w:fldCharType="end"/>
      </w:r>
      <w:r>
        <w:t>.</w:t>
      </w:r>
      <w:r>
        <w:tab/>
        <w:t>Dawk l-</w:t>
      </w:r>
      <w:proofErr w:type="spellStart"/>
      <w:r>
        <w:t>entrati</w:t>
      </w:r>
      <w:proofErr w:type="spellEnd"/>
      <w:r>
        <w:t xml:space="preserve"> ta’ memorandum għandhom ikunu rapportati biss għall-klassijiet tal-</w:t>
      </w:r>
      <w:proofErr w:type="spellStart"/>
      <w:r>
        <w:t>iskoperturi</w:t>
      </w:r>
      <w:proofErr w:type="spellEnd"/>
      <w:r>
        <w:t xml:space="preserve"> li ġejjin: </w:t>
      </w:r>
    </w:p>
    <w:p w14:paraId="3A7A26B9" w14:textId="77777777" w:rsidR="00F23615" w:rsidRPr="002A677E" w:rsidRDefault="00F23615" w:rsidP="00C94687">
      <w:pPr>
        <w:pStyle w:val="InstructionsText2"/>
      </w:pPr>
      <w:r>
        <w:t>(a)</w:t>
      </w:r>
      <w:r>
        <w:tab/>
        <w:t>Gvernijiet ċentrali jew banek ċentrali (l-Artikolu 112, il-punt (a) tar-Regolament (UE) Nru 575/2013);</w:t>
      </w:r>
    </w:p>
    <w:p w14:paraId="7B2C5FEB" w14:textId="77777777" w:rsidR="00F23615" w:rsidRPr="002A677E" w:rsidRDefault="00F23615" w:rsidP="00C94687">
      <w:pPr>
        <w:pStyle w:val="InstructionsText2"/>
      </w:pPr>
      <w:r>
        <w:t>(b)</w:t>
      </w:r>
      <w:r>
        <w:tab/>
        <w:t>Gvernijiet reġjonali jew awtoritajiet lokali (l-Artikolu 112, il-punt (b) tar-Regolament (UE) 575/2013);</w:t>
      </w:r>
    </w:p>
    <w:p w14:paraId="7068BCF8" w14:textId="77777777" w:rsidR="00F23615" w:rsidRPr="002A677E" w:rsidRDefault="00F23615" w:rsidP="00C94687">
      <w:pPr>
        <w:pStyle w:val="InstructionsText2"/>
      </w:pPr>
      <w:r>
        <w:t>(c)</w:t>
      </w:r>
      <w:r>
        <w:tab/>
        <w:t>L-entitajiet tas-settur pubbliku (l-Artikolu 112, il-punt (c) tar-Regolament (UE) Nru 575/2013);</w:t>
      </w:r>
    </w:p>
    <w:p w14:paraId="7D266702" w14:textId="77777777" w:rsidR="00F23615" w:rsidRPr="002A677E" w:rsidRDefault="00F23615" w:rsidP="00C94687">
      <w:pPr>
        <w:pStyle w:val="InstructionsText2"/>
      </w:pPr>
      <w:r>
        <w:t>(d)</w:t>
      </w:r>
      <w:r>
        <w:tab/>
        <w:t>L-istituzzjonijiet (l-Artikolu 112, il-punt (f) tar-Regolament (UE) Nru 575/2013);</w:t>
      </w:r>
    </w:p>
    <w:p w14:paraId="454AADBD" w14:textId="77777777" w:rsidR="00F23615" w:rsidRPr="002A677E" w:rsidRDefault="00F23615" w:rsidP="00C94687">
      <w:pPr>
        <w:pStyle w:val="InstructionsText2"/>
      </w:pPr>
      <w:r>
        <w:t>(e)</w:t>
      </w:r>
      <w:r>
        <w:tab/>
        <w:t>L-impriżi (l-Artikolu 112, il-punt (g) tar-Regolament (UE) Nru 575/2013);</w:t>
      </w:r>
    </w:p>
    <w:p w14:paraId="5CF808CB" w14:textId="77777777" w:rsidR="00F23615" w:rsidRPr="002A677E" w:rsidRDefault="00F23615" w:rsidP="00C94687">
      <w:pPr>
        <w:pStyle w:val="InstructionsText2"/>
      </w:pPr>
      <w:r>
        <w:t>(f)</w:t>
      </w:r>
      <w:r>
        <w:tab/>
        <w:t>Il-livell tal-konsumatur (l-Artikolu 112, il-punt (h) tar-Regolament (UE) Nru 575/2013).</w:t>
      </w:r>
    </w:p>
    <w:p w14:paraId="32764B7C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53</w:t>
      </w:r>
      <w:r>
        <w:fldChar w:fldCharType="end"/>
      </w:r>
      <w:r>
        <w:t>.</w:t>
      </w:r>
      <w:r>
        <w:tab/>
      </w:r>
      <w:proofErr w:type="spellStart"/>
      <w:r>
        <w:t>Ir-rapportar</w:t>
      </w:r>
      <w:proofErr w:type="spellEnd"/>
      <w:r>
        <w:t xml:space="preserve"> tal-</w:t>
      </w:r>
      <w:proofErr w:type="spellStart"/>
      <w:r>
        <w:t>entrati</w:t>
      </w:r>
      <w:proofErr w:type="spellEnd"/>
      <w:r>
        <w:t xml:space="preserve"> ta’ memorandum la għandu jaffettwa l-kalkolu tal-ammonti tal-</w:t>
      </w:r>
      <w:proofErr w:type="spellStart"/>
      <w:r>
        <w:t>iskopertura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 għar-riskju tal-klassijiet tal-</w:t>
      </w:r>
      <w:proofErr w:type="spellStart"/>
      <w:r>
        <w:t>iskoperturi</w:t>
      </w:r>
      <w:proofErr w:type="spellEnd"/>
      <w:r>
        <w:t xml:space="preserve"> msemmija fl-Artikolu 112, il-punti minn (a) sa (c) u minn (f) sa (h) tar-Regolament (UE) Nru 575/2013 u lanqas tal-klassijiet tal-</w:t>
      </w:r>
      <w:proofErr w:type="spellStart"/>
      <w:r>
        <w:t>iskoperturi</w:t>
      </w:r>
      <w:proofErr w:type="spellEnd"/>
      <w:r>
        <w:t xml:space="preserve"> msemmija fl-Artikolu 112, il-punti (i) u (j) ta’ dak ir-Regolament rapportati fil-formola CR SA. </w:t>
      </w:r>
    </w:p>
    <w:p w14:paraId="7F3A918F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54</w:t>
      </w:r>
      <w:r>
        <w:fldChar w:fldCharType="end"/>
      </w:r>
      <w:r>
        <w:t>.</w:t>
      </w:r>
      <w:r>
        <w:tab/>
        <w:t>Ir-ringieli tal-memorandum jipprovdu informazzjoni addizzjonali dwar l-istruttura tad-debitur tal-klassijiet tal-</w:t>
      </w:r>
      <w:proofErr w:type="spellStart"/>
      <w:r>
        <w:t>iskoperturi</w:t>
      </w:r>
      <w:proofErr w:type="spellEnd"/>
      <w:r>
        <w:t xml:space="preserve"> “f’</w:t>
      </w:r>
      <w:proofErr w:type="spellStart"/>
      <w:r>
        <w:t>inadempjenza</w:t>
      </w:r>
      <w:proofErr w:type="spellEnd"/>
      <w:r>
        <w:t xml:space="preserve">” jew “garantiti bi proprjetà immobbli u </w:t>
      </w:r>
      <w:proofErr w:type="spellStart"/>
      <w:r>
        <w:t>skoperturi</w:t>
      </w:r>
      <w:proofErr w:type="spellEnd"/>
      <w:r>
        <w:t xml:space="preserve"> ADC”. L-</w:t>
      </w:r>
      <w:proofErr w:type="spellStart"/>
      <w:r>
        <w:t>iskoperturi</w:t>
      </w:r>
      <w:proofErr w:type="spellEnd"/>
      <w:r>
        <w:t xml:space="preserve"> għandhom ikunu rapportati f’dawn ir-ringieli meta d-debituri kienu jiġu rapportati fil-klassijiet tal-</w:t>
      </w:r>
      <w:proofErr w:type="spellStart"/>
      <w:r>
        <w:t>iskoperturi</w:t>
      </w:r>
      <w:proofErr w:type="spellEnd"/>
      <w:r>
        <w:t xml:space="preserve"> ta’ “Gvernijiet ċentrali jew banek ċentrali”, “Gvernijiet reġjonali jew awtoritajiet lokali”, “Entitajiet tas-settur pubbliku”, “Istituzzjonijiet”, “Impriżi” u “Livell tal-konsumatur” </w:t>
      </w:r>
      <w:proofErr w:type="spellStart"/>
      <w:r>
        <w:t>tas</w:t>
      </w:r>
      <w:proofErr w:type="spellEnd"/>
      <w:r>
        <w:t>-CR SA, jekk dawk l-</w:t>
      </w:r>
      <w:proofErr w:type="spellStart"/>
      <w:r>
        <w:t>iskoperturi</w:t>
      </w:r>
      <w:proofErr w:type="spellEnd"/>
      <w:r>
        <w:t xml:space="preserve"> ma ġewx assenjati fil-klassijiet tal-</w:t>
      </w:r>
      <w:proofErr w:type="spellStart"/>
      <w:r>
        <w:t>iskoperturi</w:t>
      </w:r>
      <w:proofErr w:type="spellEnd"/>
      <w:r>
        <w:t xml:space="preserve"> “f’</w:t>
      </w:r>
      <w:proofErr w:type="spellStart"/>
      <w:r>
        <w:t>inadempjenza</w:t>
      </w:r>
      <w:proofErr w:type="spellEnd"/>
      <w:r>
        <w:t xml:space="preserve">” jew “garantiti bi proprjetà immobbli u </w:t>
      </w:r>
      <w:proofErr w:type="spellStart"/>
      <w:r>
        <w:t>skoperturi</w:t>
      </w:r>
      <w:proofErr w:type="spellEnd"/>
      <w:r>
        <w:t xml:space="preserve"> ADC”. Madankollu, iċ-ċifri rapportati huma l-istess bħal dawk użati biex jiġu </w:t>
      </w:r>
      <w:proofErr w:type="spellStart"/>
      <w:r>
        <w:t>kkalkolati</w:t>
      </w:r>
      <w:proofErr w:type="spellEnd"/>
      <w:r>
        <w:t xml:space="preserve"> l-ammonti ta’ </w:t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ponderati</w:t>
      </w:r>
      <w:proofErr w:type="spellEnd"/>
      <w:r>
        <w:t xml:space="preserve"> għar-riskju tal-klassijiet tal-</w:t>
      </w:r>
      <w:proofErr w:type="spellStart"/>
      <w:r>
        <w:t>iskoperturi</w:t>
      </w:r>
      <w:proofErr w:type="spellEnd"/>
      <w:r>
        <w:t xml:space="preserve"> “f’</w:t>
      </w:r>
      <w:proofErr w:type="spellStart"/>
      <w:r>
        <w:t>inadempjenza</w:t>
      </w:r>
      <w:proofErr w:type="spellEnd"/>
      <w:r>
        <w:t xml:space="preserve">” jew “garantiti bi proprjetà immobbli u </w:t>
      </w:r>
      <w:proofErr w:type="spellStart"/>
      <w:r>
        <w:t>skoperturi</w:t>
      </w:r>
      <w:proofErr w:type="spellEnd"/>
      <w:r>
        <w:t xml:space="preserve"> ADC”.</w:t>
      </w:r>
    </w:p>
    <w:p w14:paraId="04EF2007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55</w:t>
      </w:r>
      <w:r>
        <w:fldChar w:fldCharType="end"/>
      </w:r>
      <w:r>
        <w:t>.</w:t>
      </w:r>
      <w:r>
        <w:tab/>
        <w:t xml:space="preserve">Eż. jekk </w:t>
      </w:r>
      <w:proofErr w:type="spellStart"/>
      <w:r>
        <w:t>skopertura</w:t>
      </w:r>
      <w:proofErr w:type="spellEnd"/>
      <w:r>
        <w:t xml:space="preserve">, li l-ammonti ta’ </w:t>
      </w:r>
      <w:proofErr w:type="spellStart"/>
      <w:r>
        <w:t>skopertura</w:t>
      </w:r>
      <w:proofErr w:type="spellEnd"/>
      <w:r>
        <w:t xml:space="preserve"> ta’ riskju tagħha huma </w:t>
      </w:r>
      <w:proofErr w:type="spellStart"/>
      <w:r>
        <w:t>kkalkolati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mal-Artikolu 127 tar-Regolament (UE) Nru 575/2013 u l-aġġustamenti tal-</w:t>
      </w:r>
      <w:r>
        <w:lastRenderedPageBreak/>
        <w:t>valur huma inqas minn 20 %, f’dak il-każ dik l-informazzjoni għandha tiġi rapportata fis-CR SA, ir-ringiela 0320 fit-total u fil-klassi tal-</w:t>
      </w:r>
      <w:proofErr w:type="spellStart"/>
      <w:r>
        <w:t>iskoperturi</w:t>
      </w:r>
      <w:proofErr w:type="spellEnd"/>
      <w:r>
        <w:t xml:space="preserve"> “f’</w:t>
      </w:r>
      <w:proofErr w:type="spellStart"/>
      <w:r>
        <w:t>inadempjenza</w:t>
      </w:r>
      <w:proofErr w:type="spellEnd"/>
      <w:r>
        <w:t xml:space="preserve">”. Jekk qabel issir </w:t>
      </w:r>
      <w:proofErr w:type="spellStart"/>
      <w:r>
        <w:t>inadempjenti</w:t>
      </w:r>
      <w:proofErr w:type="spellEnd"/>
      <w:r>
        <w:t>, din l-</w:t>
      </w:r>
      <w:proofErr w:type="spellStart"/>
      <w:r>
        <w:t>iskopertura</w:t>
      </w:r>
      <w:proofErr w:type="spellEnd"/>
      <w:r>
        <w:t xml:space="preserve"> kienet </w:t>
      </w:r>
      <w:proofErr w:type="spellStart"/>
      <w:r>
        <w:t>skopertura</w:t>
      </w:r>
      <w:proofErr w:type="spellEnd"/>
      <w:r>
        <w:t xml:space="preserve"> għal istituzzjoni, mela dik l-informazzjoni għandha tiġi rapportata wkoll fir-ringiela 0320 tal-klassi tal-</w:t>
      </w:r>
      <w:proofErr w:type="spellStart"/>
      <w:r>
        <w:t>iskoperturi</w:t>
      </w:r>
      <w:proofErr w:type="spellEnd"/>
      <w:r>
        <w:t xml:space="preserve"> “istituzzjonijiet’.</w:t>
      </w:r>
    </w:p>
    <w:p w14:paraId="64AC506F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64" w:name="_Toc262568030"/>
      <w:bookmarkStart w:id="65" w:name="_Toc264038428"/>
      <w:bookmarkStart w:id="66" w:name="_Toc292456207"/>
      <w:bookmarkStart w:id="67" w:name="_Toc295829858"/>
      <w:bookmarkStart w:id="68" w:name="_Toc151714388"/>
      <w:r>
        <w:rPr>
          <w:rFonts w:ascii="Times New Roman" w:hAnsi="Times New Roman"/>
          <w:sz w:val="24"/>
          <w:u w:val="none"/>
        </w:rPr>
        <w:t>3.2.3.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 </w:t>
      </w:r>
      <w:bookmarkStart w:id="69" w:name="_Toc310415022"/>
      <w:bookmarkStart w:id="70" w:name="_Toc360188351"/>
      <w:bookmarkStart w:id="71" w:name="_Toc473560900"/>
      <w:proofErr w:type="spellStart"/>
      <w:r>
        <w:rPr>
          <w:rFonts w:ascii="Times New Roman" w:hAnsi="Times New Roman"/>
          <w:sz w:val="24"/>
        </w:rPr>
        <w:t>Assenjar</w:t>
      </w:r>
      <w:proofErr w:type="spellEnd"/>
      <w:r>
        <w:rPr>
          <w:rFonts w:ascii="Times New Roman" w:hAnsi="Times New Roman"/>
          <w:sz w:val="24"/>
        </w:rPr>
        <w:t xml:space="preserve"> ta’ </w:t>
      </w: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għal klassijiet tal-</w:t>
      </w:r>
      <w:proofErr w:type="spellStart"/>
      <w:r>
        <w:rPr>
          <w:rFonts w:ascii="Times New Roman" w:hAnsi="Times New Roman"/>
          <w:sz w:val="24"/>
        </w:rPr>
        <w:t>iskoperturi</w:t>
      </w:r>
      <w:proofErr w:type="spellEnd"/>
      <w:r>
        <w:rPr>
          <w:rFonts w:ascii="Times New Roman" w:hAnsi="Times New Roman"/>
          <w:sz w:val="24"/>
        </w:rPr>
        <w:t xml:space="preserve"> skont l-</w:t>
      </w:r>
      <w:proofErr w:type="spellStart"/>
      <w:r>
        <w:rPr>
          <w:rFonts w:ascii="Times New Roman" w:hAnsi="Times New Roman"/>
          <w:sz w:val="24"/>
        </w:rPr>
        <w:t>Approċċ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Standardizzat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proofErr w:type="spellEnd"/>
    </w:p>
    <w:p w14:paraId="41968C63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56</w:t>
      </w:r>
      <w:r>
        <w:fldChar w:fldCharType="end"/>
      </w:r>
      <w:r>
        <w:t>.</w:t>
      </w:r>
      <w:r>
        <w:tab/>
        <w:t xml:space="preserve">Sabiex tiġi żgurata </w:t>
      </w:r>
      <w:proofErr w:type="spellStart"/>
      <w:r>
        <w:t>kategorizzazzjoni</w:t>
      </w:r>
      <w:proofErr w:type="spellEnd"/>
      <w:r>
        <w:t xml:space="preserve"> konsistenti ta’ </w:t>
      </w:r>
      <w:proofErr w:type="spellStart"/>
      <w:r>
        <w:t>skoperturi</w:t>
      </w:r>
      <w:proofErr w:type="spellEnd"/>
      <w:r>
        <w:t xml:space="preserve"> fil-klassijiet tal-</w:t>
      </w:r>
      <w:proofErr w:type="spellStart"/>
      <w:r>
        <w:t>iskoperturi</w:t>
      </w:r>
      <w:proofErr w:type="spellEnd"/>
      <w:r>
        <w:t xml:space="preserve"> differenti kif imsemmija fl-Artikolu 112 tar-Regolament (UE) Nru 575/2013 għandu jiġi applikat l-</w:t>
      </w:r>
      <w:proofErr w:type="spellStart"/>
      <w:r>
        <w:t>approċċ</w:t>
      </w:r>
      <w:proofErr w:type="spellEnd"/>
      <w:r>
        <w:t xml:space="preserve"> </w:t>
      </w:r>
      <w:proofErr w:type="spellStart"/>
      <w:r>
        <w:t>sekwenzjali</w:t>
      </w:r>
      <w:proofErr w:type="spellEnd"/>
      <w:r>
        <w:t xml:space="preserve"> li ġej: </w:t>
      </w:r>
    </w:p>
    <w:p w14:paraId="4794988B" w14:textId="77777777" w:rsidR="00F23615" w:rsidRPr="002A677E" w:rsidRDefault="00F23615" w:rsidP="00C94687">
      <w:pPr>
        <w:pStyle w:val="InstructionsText2"/>
      </w:pPr>
      <w:r>
        <w:t>(a)</w:t>
      </w:r>
      <w:r>
        <w:tab/>
        <w:t>Bħala l-ewwel pass, il-Fatturi ta’ qabel il-konverżjoni tal-</w:t>
      </w:r>
      <w:proofErr w:type="spellStart"/>
      <w:r>
        <w:t>iskopertura</w:t>
      </w:r>
      <w:proofErr w:type="spellEnd"/>
      <w:r>
        <w:t xml:space="preserve"> oriġinali għandhom ikunu klassifikati fil-klassi tal-</w:t>
      </w:r>
      <w:proofErr w:type="spellStart"/>
      <w:r>
        <w:t>iskoperturi</w:t>
      </w:r>
      <w:proofErr w:type="spellEnd"/>
      <w:r>
        <w:t xml:space="preserve"> korrispondenti (oriġinali) kif imsemmi fl-Artikolu 112 tar-Regolament (KE) Nru 575/2013, bla ħsara għat-trattament speċifiku (</w:t>
      </w:r>
      <w:proofErr w:type="spellStart"/>
      <w:r>
        <w:t>ponderazzjoni</w:t>
      </w:r>
      <w:proofErr w:type="spellEnd"/>
      <w:r>
        <w:t xml:space="preserve"> tar-riskju) li kull </w:t>
      </w:r>
      <w:proofErr w:type="spellStart"/>
      <w:r>
        <w:t>skopertura</w:t>
      </w:r>
      <w:proofErr w:type="spellEnd"/>
      <w:r>
        <w:t xml:space="preserve"> speċifika għandha tirċievi fil-klassi tal-</w:t>
      </w:r>
      <w:proofErr w:type="spellStart"/>
      <w:r>
        <w:t>iskoperturi</w:t>
      </w:r>
      <w:proofErr w:type="spellEnd"/>
      <w:r>
        <w:t xml:space="preserve"> assenjata.</w:t>
      </w:r>
    </w:p>
    <w:p w14:paraId="2AACD986" w14:textId="77777777" w:rsidR="00F23615" w:rsidRPr="002A677E" w:rsidRDefault="00F23615" w:rsidP="00C94687">
      <w:pPr>
        <w:pStyle w:val="InstructionsText2"/>
      </w:pPr>
      <w:r>
        <w:t>(b)</w:t>
      </w:r>
      <w:r>
        <w:tab/>
        <w:t>Fit-tieni pass, l-</w:t>
      </w:r>
      <w:proofErr w:type="spellStart"/>
      <w:r>
        <w:t>iskoperturi</w:t>
      </w:r>
      <w:proofErr w:type="spellEnd"/>
      <w:r>
        <w:t xml:space="preserve"> jistgħu jerġgħu jitqassmu fi klassijiet tal-</w:t>
      </w:r>
      <w:proofErr w:type="spellStart"/>
      <w:r>
        <w:t>iskoperturi</w:t>
      </w:r>
      <w:proofErr w:type="spellEnd"/>
      <w:r>
        <w:t xml:space="preserve"> oħrajn minħabba l-applikazzjoni ta’ </w:t>
      </w:r>
      <w:proofErr w:type="spellStart"/>
      <w:r>
        <w:t>tekniki</w:t>
      </w:r>
      <w:proofErr w:type="spellEnd"/>
      <w:r>
        <w:t xml:space="preserve"> ta’ mitigazzjoni tar-riskju ta’ kreditu (</w:t>
      </w:r>
      <w:proofErr w:type="spellStart"/>
      <w:r>
        <w:t>credit</w:t>
      </w:r>
      <w:proofErr w:type="spellEnd"/>
      <w:r>
        <w:t xml:space="preserve"> risk </w:t>
      </w:r>
      <w:proofErr w:type="spellStart"/>
      <w:r>
        <w:t>mitigation</w:t>
      </w:r>
      <w:proofErr w:type="spellEnd"/>
      <w:r>
        <w:t>, CRM) bl-effetti tas-sostituzzjoni fuq l-</w:t>
      </w:r>
      <w:proofErr w:type="spellStart"/>
      <w:r>
        <w:t>iskopertura</w:t>
      </w:r>
      <w:proofErr w:type="spellEnd"/>
      <w:r>
        <w:t xml:space="preserve"> (eż. garanziji, derivattivi ta’ kreditu, metodu </w:t>
      </w:r>
      <w:proofErr w:type="spellStart"/>
      <w:r>
        <w:t>ssimplifikat</w:t>
      </w:r>
      <w:proofErr w:type="spellEnd"/>
      <w:r>
        <w:t xml:space="preserve"> tal-</w:t>
      </w:r>
      <w:proofErr w:type="spellStart"/>
      <w:r>
        <w:t>kollateral</w:t>
      </w:r>
      <w:proofErr w:type="spellEnd"/>
      <w:r>
        <w:t xml:space="preserve"> finanzjarju) permezz ta’ influssi u </w:t>
      </w:r>
      <w:proofErr w:type="spellStart"/>
      <w:r>
        <w:t>flussi</w:t>
      </w:r>
      <w:proofErr w:type="spellEnd"/>
      <w:r>
        <w:t xml:space="preserve"> ta’ ħruġ.</w:t>
      </w:r>
    </w:p>
    <w:p w14:paraId="4421B907" w14:textId="50725A65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57</w:t>
      </w:r>
      <w:r>
        <w:fldChar w:fldCharType="end"/>
      </w:r>
      <w:r>
        <w:t>.</w:t>
      </w:r>
      <w:r>
        <w:tab/>
        <w:t>Il-kriterji li ġejjin għandhom japplikaw għall-klassifikazzjoni tal-Fatturi ta’ qabel il-konverżjoni tal-</w:t>
      </w:r>
      <w:proofErr w:type="spellStart"/>
      <w:r>
        <w:t>iskopertura</w:t>
      </w:r>
      <w:proofErr w:type="spellEnd"/>
      <w:r>
        <w:t xml:space="preserve"> oriġinali fil-klassijiet differenti ta’ </w:t>
      </w:r>
      <w:proofErr w:type="spellStart"/>
      <w:r>
        <w:t>skoperturi</w:t>
      </w:r>
      <w:proofErr w:type="spellEnd"/>
      <w:r>
        <w:t xml:space="preserve"> (l-ewwel pass) mingħajr ħsara għar-</w:t>
      </w:r>
      <w:proofErr w:type="spellStart"/>
      <w:r>
        <w:t>ridistribuzzjoni</w:t>
      </w:r>
      <w:proofErr w:type="spellEnd"/>
      <w:r>
        <w:t xml:space="preserve"> sussegwenti kkawżata mill-użu ta’ </w:t>
      </w:r>
      <w:proofErr w:type="spellStart"/>
      <w:r>
        <w:t>tekniki</w:t>
      </w:r>
      <w:proofErr w:type="spellEnd"/>
      <w:r>
        <w:t xml:space="preserve"> </w:t>
      </w:r>
      <w:proofErr w:type="spellStart"/>
      <w:r>
        <w:t>tas</w:t>
      </w:r>
      <w:proofErr w:type="spellEnd"/>
      <w:r>
        <w:t>-CRM bl-effetti tas-sostituzzjoni fuq l-</w:t>
      </w:r>
      <w:proofErr w:type="spellStart"/>
      <w:r>
        <w:t>iskopertura</w:t>
      </w:r>
      <w:proofErr w:type="spellEnd"/>
      <w:r>
        <w:t xml:space="preserve"> jew għat-trattament (</w:t>
      </w:r>
      <w:proofErr w:type="spellStart"/>
      <w:r>
        <w:t>ponderazzjoni</w:t>
      </w:r>
      <w:proofErr w:type="spellEnd"/>
      <w:r>
        <w:t xml:space="preserve"> tar-riskju) li kull </w:t>
      </w:r>
      <w:proofErr w:type="spellStart"/>
      <w:r>
        <w:t>skopertura</w:t>
      </w:r>
      <w:proofErr w:type="spellEnd"/>
      <w:r>
        <w:t xml:space="preserve"> speċifika tirċievi fil-klassi tal-</w:t>
      </w:r>
      <w:proofErr w:type="spellStart"/>
      <w:r>
        <w:t>iskoperturi</w:t>
      </w:r>
      <w:proofErr w:type="spellEnd"/>
      <w:r>
        <w:t xml:space="preserve"> assenjata.</w:t>
      </w:r>
    </w:p>
    <w:p w14:paraId="5CC42918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58</w:t>
      </w:r>
      <w:r>
        <w:fldChar w:fldCharType="end"/>
      </w:r>
      <w:r>
        <w:t>.</w:t>
      </w:r>
      <w:r>
        <w:tab/>
        <w:t>Għall-fini ta’ klassifikazzjoni tal-fattur ta’ qabel il-konverżjoni tal-</w:t>
      </w:r>
      <w:proofErr w:type="spellStart"/>
      <w:r>
        <w:t>iskopertura</w:t>
      </w:r>
      <w:proofErr w:type="spellEnd"/>
      <w:r>
        <w:t xml:space="preserve"> oriġinali fl-ewwel pass, ma </w:t>
      </w:r>
      <w:proofErr w:type="spellStart"/>
      <w:r>
        <w:t>jitqisux</w:t>
      </w:r>
      <w:proofErr w:type="spellEnd"/>
      <w:r>
        <w:t xml:space="preserve"> </w:t>
      </w:r>
      <w:proofErr w:type="spellStart"/>
      <w:r>
        <w:t>it-tekniki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-CRM assoċjati </w:t>
      </w:r>
      <w:proofErr w:type="spellStart"/>
      <w:r>
        <w:t>mal-iskoperturi</w:t>
      </w:r>
      <w:proofErr w:type="spellEnd"/>
      <w:r>
        <w:t xml:space="preserve"> (kun af li dawn għandhom jitqiesu b’mod espliċitu fit-tieni fażi) sakemm effett ta’ protezzjoni ma jkunx parti intrinsika mid-definizzjoni ta’ klassi tal-</w:t>
      </w:r>
      <w:proofErr w:type="spellStart"/>
      <w:r>
        <w:t>iskoperturi</w:t>
      </w:r>
      <w:proofErr w:type="spellEnd"/>
      <w:r>
        <w:t xml:space="preserve"> hekk kif inhu l-każ fil-klassi tal-</w:t>
      </w:r>
      <w:proofErr w:type="spellStart"/>
      <w:r>
        <w:t>iskoperturi</w:t>
      </w:r>
      <w:proofErr w:type="spellEnd"/>
      <w:r>
        <w:t xml:space="preserve"> msemmija fl-Artikolu 112, il-punt (i) tar-Regolament (UE) Nru 575/2013 (</w:t>
      </w:r>
      <w:proofErr w:type="spellStart"/>
      <w:r>
        <w:t>skoperturi</w:t>
      </w:r>
      <w:proofErr w:type="spellEnd"/>
      <w:r>
        <w:t xml:space="preserve"> garantiti b’ipoteki fuq proprjetà immobbli u </w:t>
      </w:r>
      <w:proofErr w:type="spellStart"/>
      <w:r>
        <w:t>skoperturi</w:t>
      </w:r>
      <w:proofErr w:type="spellEnd"/>
      <w:r>
        <w:t xml:space="preserve"> ADC).</w:t>
      </w:r>
    </w:p>
    <w:p w14:paraId="6C69589B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59</w:t>
      </w:r>
      <w:r>
        <w:fldChar w:fldCharType="end"/>
      </w:r>
      <w:r>
        <w:t>.</w:t>
      </w:r>
      <w:r>
        <w:tab/>
        <w:t>L-Artikolu 112 tar-Regolament (UE) Nru 575/2013 ma jipprovdix kriterji għad-</w:t>
      </w:r>
      <w:proofErr w:type="spellStart"/>
      <w:r>
        <w:t>diżassoċjazzjoni</w:t>
      </w:r>
      <w:proofErr w:type="spellEnd"/>
      <w:r>
        <w:t xml:space="preserve"> tal-klassijiet tal-</w:t>
      </w:r>
      <w:proofErr w:type="spellStart"/>
      <w:r>
        <w:t>iskoperturi</w:t>
      </w:r>
      <w:proofErr w:type="spellEnd"/>
      <w:r>
        <w:t xml:space="preserve">. Dan jista’ jimplika li </w:t>
      </w:r>
      <w:proofErr w:type="spellStart"/>
      <w:r>
        <w:t>skopertura</w:t>
      </w:r>
      <w:proofErr w:type="spellEnd"/>
      <w:r>
        <w:t xml:space="preserve"> waħda tista’ potenzjalment tkun ikklassifikata fi klassijiet tal-</w:t>
      </w:r>
      <w:proofErr w:type="spellStart"/>
      <w:r>
        <w:t>iskoperturi</w:t>
      </w:r>
      <w:proofErr w:type="spellEnd"/>
      <w:r>
        <w:t xml:space="preserve"> differenti jekk ma tkun ipprovduta ebda </w:t>
      </w:r>
      <w:proofErr w:type="spellStart"/>
      <w:r>
        <w:t>prijoritizzazzjoni</w:t>
      </w:r>
      <w:proofErr w:type="spellEnd"/>
      <w:r>
        <w:t xml:space="preserve"> fil-kriterji ta’ valutazzjoni għall-klassifikazzjoni. L-aktar każ ovvju jirriżulta bejn </w:t>
      </w:r>
      <w:proofErr w:type="spellStart"/>
      <w:r>
        <w:t>skoperturi</w:t>
      </w:r>
      <w:proofErr w:type="spellEnd"/>
      <w:r>
        <w:t xml:space="preserve"> għal istituzzjonijiet u korporazzjonijiet b’valutazzjoni tal-kreditu ta’ terminu qasir (l-Artikolu 112, il-punt (n), tar-Regolament (UE) Nru 575/2013) u </w:t>
      </w:r>
      <w:proofErr w:type="spellStart"/>
      <w:r>
        <w:t>skoperturi</w:t>
      </w:r>
      <w:proofErr w:type="spellEnd"/>
      <w:r>
        <w:t xml:space="preserve"> għal istituzzjonijiet (l-Artikolu 112, il-punt (f), tar-Regolament (UE) Nru 575/2013)/</w:t>
      </w:r>
      <w:proofErr w:type="spellStart"/>
      <w:r>
        <w:t>skoperturi</w:t>
      </w:r>
      <w:proofErr w:type="spellEnd"/>
      <w:r>
        <w:t xml:space="preserve"> għal impriżi (l-Artikolu 112, il-punt (g), tar-Regolament (UE) Nru 575/2013). F’dak il-każ, huwa ċar li hemm </w:t>
      </w:r>
      <w:proofErr w:type="spellStart"/>
      <w:r>
        <w:t>prijoritizzazzjoni</w:t>
      </w:r>
      <w:proofErr w:type="spellEnd"/>
      <w:r>
        <w:t xml:space="preserve"> </w:t>
      </w:r>
      <w:proofErr w:type="spellStart"/>
      <w:r>
        <w:t>impliċita</w:t>
      </w:r>
      <w:proofErr w:type="spellEnd"/>
      <w:r>
        <w:t xml:space="preserve"> f’dak ir-Regolament billi l-ewwel għandu jiġi </w:t>
      </w:r>
      <w:proofErr w:type="spellStart"/>
      <w:r>
        <w:t>vvalutat</w:t>
      </w:r>
      <w:proofErr w:type="spellEnd"/>
      <w:r>
        <w:t xml:space="preserve"> jekk ċerta </w:t>
      </w:r>
      <w:proofErr w:type="spellStart"/>
      <w:r>
        <w:t>skopertura</w:t>
      </w:r>
      <w:proofErr w:type="spellEnd"/>
      <w:r>
        <w:t xml:space="preserve"> hijiex adattata sabiex tiġi assenjata għal </w:t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b’Terminu</w:t>
      </w:r>
      <w:proofErr w:type="spellEnd"/>
      <w:r>
        <w:t xml:space="preserve"> Qasir għal istituzzjonijiet u korporattivi u wara biss jiġi </w:t>
      </w:r>
      <w:proofErr w:type="spellStart"/>
      <w:r>
        <w:t>vvalutat</w:t>
      </w:r>
      <w:proofErr w:type="spellEnd"/>
      <w:r>
        <w:t xml:space="preserve"> jekk jaqbilx sabiex jiġi assenjat għal </w:t>
      </w:r>
      <w:proofErr w:type="spellStart"/>
      <w:r>
        <w:t>skoperturi</w:t>
      </w:r>
      <w:proofErr w:type="spellEnd"/>
      <w:r>
        <w:t xml:space="preserve"> għal istituzzjonijiet u </w:t>
      </w:r>
      <w:proofErr w:type="spellStart"/>
      <w:r>
        <w:t>skoperturi</w:t>
      </w:r>
      <w:proofErr w:type="spellEnd"/>
      <w:r>
        <w:t xml:space="preserve"> għal impriżi. Inkella, ovvjament, għall-klassi ta’ </w:t>
      </w:r>
      <w:proofErr w:type="spellStart"/>
      <w:r>
        <w:t>skoperturi</w:t>
      </w:r>
      <w:proofErr w:type="spellEnd"/>
      <w:r>
        <w:t xml:space="preserve"> msemmija fl-Artikolu 112, il-punt (n) tar-Regolament (UE) Nru 575/2013 qatt ma għandha tiġi assenjata </w:t>
      </w:r>
      <w:proofErr w:type="spellStart"/>
      <w:r>
        <w:t>skopertura</w:t>
      </w:r>
      <w:proofErr w:type="spellEnd"/>
      <w:r>
        <w:t>. L-eżempju pprovdut huwa wieħed mill-iktar eżempji ovvji iżda mhuwiex l-</w:t>
      </w:r>
      <w:r>
        <w:lastRenderedPageBreak/>
        <w:t>uniku wieħed. Ta’ min jinnota li l-kriterji użati għat-twaqqif tal-klassijiet tal-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bl-Approċċ</w:t>
      </w:r>
      <w:proofErr w:type="spellEnd"/>
      <w:r>
        <w:t xml:space="preserve"> </w:t>
      </w:r>
      <w:proofErr w:type="spellStart"/>
      <w:r>
        <w:t>Standardizzat</w:t>
      </w:r>
      <w:proofErr w:type="spellEnd"/>
      <w:r>
        <w:t xml:space="preserve"> huma differenti (</w:t>
      </w:r>
      <w:proofErr w:type="spellStart"/>
      <w:r>
        <w:t>kategorizzazzjoni</w:t>
      </w:r>
      <w:proofErr w:type="spellEnd"/>
      <w:r>
        <w:t xml:space="preserve"> istituzzjonali, terminu ta’ </w:t>
      </w:r>
      <w:proofErr w:type="spellStart"/>
      <w:r>
        <w:t>skopertura</w:t>
      </w:r>
      <w:proofErr w:type="spellEnd"/>
      <w:r>
        <w:t xml:space="preserve">, status skadut, eċċ.) u din hija r-raġuni sottostanti għal </w:t>
      </w:r>
      <w:proofErr w:type="spellStart"/>
      <w:r>
        <w:t>raggruppamenti</w:t>
      </w:r>
      <w:proofErr w:type="spellEnd"/>
      <w:r>
        <w:t xml:space="preserve"> mhux </w:t>
      </w:r>
      <w:proofErr w:type="spellStart"/>
      <w:r>
        <w:t>diżassoċjati</w:t>
      </w:r>
      <w:proofErr w:type="spellEnd"/>
      <w:r>
        <w:t>.</w:t>
      </w:r>
    </w:p>
    <w:p w14:paraId="207918D0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60</w:t>
      </w:r>
      <w:r>
        <w:fldChar w:fldCharType="end"/>
      </w:r>
      <w:r>
        <w:t>.</w:t>
      </w:r>
      <w:r>
        <w:tab/>
        <w:t xml:space="preserve">Għal </w:t>
      </w:r>
      <w:proofErr w:type="spellStart"/>
      <w:r>
        <w:t>rapportar</w:t>
      </w:r>
      <w:proofErr w:type="spellEnd"/>
      <w:r>
        <w:t xml:space="preserve"> </w:t>
      </w:r>
      <w:proofErr w:type="spellStart"/>
      <w:r>
        <w:t>omoġenu</w:t>
      </w:r>
      <w:proofErr w:type="spellEnd"/>
      <w:r>
        <w:t xml:space="preserve"> u paragunabbli, hemm bżonn li jiġu speċifikati kriterji ta’ valutazzjoni tal-</w:t>
      </w:r>
      <w:proofErr w:type="spellStart"/>
      <w:r>
        <w:t>prijoritizzazzjoni</w:t>
      </w:r>
      <w:proofErr w:type="spellEnd"/>
      <w:r>
        <w:t xml:space="preserve"> </w:t>
      </w:r>
      <w:proofErr w:type="spellStart"/>
      <w:r>
        <w:t>għall-assenjament</w:t>
      </w:r>
      <w:proofErr w:type="spellEnd"/>
      <w:r>
        <w:t xml:space="preserve"> ta’ fattur ta’ qabel il-konverżjoni tal-</w:t>
      </w:r>
      <w:proofErr w:type="spellStart"/>
      <w:r>
        <w:t>iskopertura</w:t>
      </w:r>
      <w:proofErr w:type="spellEnd"/>
      <w:r>
        <w:t xml:space="preserve"> Oriġinali skont il-klassijiet tal-</w:t>
      </w:r>
      <w:proofErr w:type="spellStart"/>
      <w:r>
        <w:t>iskoperturi</w:t>
      </w:r>
      <w:proofErr w:type="spellEnd"/>
      <w:r>
        <w:t>, mingħajr ħsara għat-trattament speċifiku (</w:t>
      </w:r>
      <w:proofErr w:type="spellStart"/>
      <w:r>
        <w:t>ponderazzjoni</w:t>
      </w:r>
      <w:proofErr w:type="spellEnd"/>
      <w:r>
        <w:t xml:space="preserve"> tar-riskju) li kull </w:t>
      </w:r>
      <w:proofErr w:type="spellStart"/>
      <w:r>
        <w:t>skopertura</w:t>
      </w:r>
      <w:proofErr w:type="spellEnd"/>
      <w:r>
        <w:t xml:space="preserve"> speċifika għandha tirċievi fil-klassi tal-</w:t>
      </w:r>
      <w:proofErr w:type="spellStart"/>
      <w:r>
        <w:t>iskoperturi</w:t>
      </w:r>
      <w:proofErr w:type="spellEnd"/>
      <w:r>
        <w:t xml:space="preserve"> assenjata. Il-kriterji ta’ </w:t>
      </w:r>
      <w:proofErr w:type="spellStart"/>
      <w:r>
        <w:t>prijoritizzazzjoni</w:t>
      </w:r>
      <w:proofErr w:type="spellEnd"/>
      <w:r>
        <w:t xml:space="preserve"> ppreżentati hawn taħt bl-użu ta’ skema </w:t>
      </w:r>
      <w:proofErr w:type="spellStart"/>
      <w:r>
        <w:t>ġerarkika</w:t>
      </w:r>
      <w:proofErr w:type="spellEnd"/>
      <w:r>
        <w:t xml:space="preserve"> tad-deċiżjonijiet huma </w:t>
      </w:r>
      <w:proofErr w:type="spellStart"/>
      <w:r>
        <w:t>bbażati</w:t>
      </w:r>
      <w:proofErr w:type="spellEnd"/>
      <w:r>
        <w:t xml:space="preserve"> fuq il-valutazzjoni tal-kundizzjonijiet stabbiliti b’mod espliċitu fir-Regolament (UE) Nru 575/2013 sabiex </w:t>
      </w:r>
      <w:proofErr w:type="spellStart"/>
      <w:r>
        <w:t>skopertura</w:t>
      </w:r>
      <w:proofErr w:type="spellEnd"/>
      <w:r>
        <w:t xml:space="preserve"> tkun adattata għal ċerta klassi tal-</w:t>
      </w:r>
      <w:proofErr w:type="spellStart"/>
      <w:r>
        <w:t>iskoperturi</w:t>
      </w:r>
      <w:proofErr w:type="spellEnd"/>
      <w:r>
        <w:t xml:space="preserve"> u, jekk inhu l-każ, fuq kwalunkwe deċiżjoni min-naħa tal-istituzzjonijiet ta’ </w:t>
      </w:r>
      <w:proofErr w:type="spellStart"/>
      <w:r>
        <w:t>rapportar</w:t>
      </w:r>
      <w:proofErr w:type="spellEnd"/>
      <w:r>
        <w:t xml:space="preserve"> jew </w:t>
      </w:r>
      <w:proofErr w:type="spellStart"/>
      <w:r>
        <w:t>is-superviżur</w:t>
      </w:r>
      <w:proofErr w:type="spellEnd"/>
      <w:r>
        <w:t xml:space="preserve"> dwar l-</w:t>
      </w:r>
      <w:proofErr w:type="spellStart"/>
      <w:r>
        <w:t>applikabbiltà</w:t>
      </w:r>
      <w:proofErr w:type="spellEnd"/>
      <w:r>
        <w:t xml:space="preserve"> ta’ ċerti klassijiet tal-</w:t>
      </w:r>
      <w:proofErr w:type="spellStart"/>
      <w:r>
        <w:t>iskoperturi</w:t>
      </w:r>
      <w:proofErr w:type="spellEnd"/>
      <w:r>
        <w:t xml:space="preserve">. Għaldaqstant, l-eżitu tal-proċess ta’ </w:t>
      </w:r>
      <w:proofErr w:type="spellStart"/>
      <w:r>
        <w:t>assenjar</w:t>
      </w:r>
      <w:proofErr w:type="spellEnd"/>
      <w:r>
        <w:t xml:space="preserve"> tal-</w:t>
      </w:r>
      <w:proofErr w:type="spellStart"/>
      <w:r>
        <w:t>iskopertura</w:t>
      </w:r>
      <w:proofErr w:type="spellEnd"/>
      <w:r>
        <w:t xml:space="preserve"> għal skopijiet ta’ </w:t>
      </w:r>
      <w:proofErr w:type="spellStart"/>
      <w:r>
        <w:t>rapportar</w:t>
      </w:r>
      <w:proofErr w:type="spellEnd"/>
      <w:r>
        <w:t xml:space="preserve"> għandu jkun konformi mad-dispożizzjonijiet tar-Regolament (UE)Nru 575/2013. Dan ma </w:t>
      </w:r>
      <w:proofErr w:type="spellStart"/>
      <w:r>
        <w:t>jipprojbix</w:t>
      </w:r>
      <w:proofErr w:type="spellEnd"/>
      <w:r>
        <w:t xml:space="preserve"> lill-istituzzjonijiet milli japplikaw proċeduri ta’ </w:t>
      </w:r>
      <w:proofErr w:type="spellStart"/>
      <w:r>
        <w:t>assenjar</w:t>
      </w:r>
      <w:proofErr w:type="spellEnd"/>
      <w:r>
        <w:t xml:space="preserve"> interni oħrajn li jistgħu jkunu wkoll konsistenti mad-dispożizzjonijiet relevanti kollha tar-Regolament (UE) Nru 575/2013 u l-interpretazzjonijiet tiegħu maħruġin mill-</w:t>
      </w:r>
      <w:proofErr w:type="spellStart"/>
      <w:r>
        <w:t>fora</w:t>
      </w:r>
      <w:proofErr w:type="spellEnd"/>
      <w:r>
        <w:t xml:space="preserve"> xierqa.</w:t>
      </w:r>
    </w:p>
    <w:p w14:paraId="60B9A99E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61</w:t>
      </w:r>
      <w:r>
        <w:fldChar w:fldCharType="end"/>
      </w:r>
      <w:r>
        <w:t>.</w:t>
      </w:r>
      <w:r>
        <w:tab/>
        <w:t>Klassi tal-</w:t>
      </w:r>
      <w:proofErr w:type="spellStart"/>
      <w:r>
        <w:t>iskoperturi</w:t>
      </w:r>
      <w:proofErr w:type="spellEnd"/>
      <w:r>
        <w:t xml:space="preserve"> għandha tingħata prijorità fuq oħrajn fil-klassifikazzjoni tal-valutazzjoni fil-ġerarkija tad-deċiżjonijiet (jiġifieri l-ewwel għandu jiġi </w:t>
      </w:r>
      <w:proofErr w:type="spellStart"/>
      <w:r>
        <w:t>vvalutat</w:t>
      </w:r>
      <w:proofErr w:type="spellEnd"/>
      <w:r>
        <w:t xml:space="preserve"> jekk </w:t>
      </w:r>
      <w:proofErr w:type="spellStart"/>
      <w:r>
        <w:t>skopertura</w:t>
      </w:r>
      <w:proofErr w:type="spellEnd"/>
      <w:r>
        <w:t xml:space="preserve"> tistax tiġi assenjata għal klassi ta’ </w:t>
      </w:r>
      <w:proofErr w:type="spellStart"/>
      <w:r>
        <w:t>skoperturi</w:t>
      </w:r>
      <w:proofErr w:type="spellEnd"/>
      <w:r>
        <w:t xml:space="preserve">, mingħajr ħsara għall-eżitu tal-valutazzjoni) jekk le potenzjalment ma tiġi assenjata l-ebda </w:t>
      </w:r>
      <w:proofErr w:type="spellStart"/>
      <w:r>
        <w:t>skopertura</w:t>
      </w:r>
      <w:proofErr w:type="spellEnd"/>
      <w:r>
        <w:t xml:space="preserve"> lilha. Dak ikun il-każ fejn fin-nuqqas ta’ kriterji ta’ </w:t>
      </w:r>
      <w:proofErr w:type="spellStart"/>
      <w:r>
        <w:t>prijoritizzazzjoni</w:t>
      </w:r>
      <w:proofErr w:type="spellEnd"/>
      <w:r>
        <w:t>, klassi tal-</w:t>
      </w:r>
      <w:proofErr w:type="spellStart"/>
      <w:r>
        <w:t>iskoperturi</w:t>
      </w:r>
      <w:proofErr w:type="spellEnd"/>
      <w:r>
        <w:t xml:space="preserve"> minnhom tkun </w:t>
      </w:r>
      <w:proofErr w:type="spellStart"/>
      <w:r>
        <w:t>subsett</w:t>
      </w:r>
      <w:proofErr w:type="spellEnd"/>
      <w:r>
        <w:t xml:space="preserve"> ta’ oħrajn. Għalhekk, il-kriterji murija b’mod grafiku fil-ġerarkija tad-deċiżjonijiet li ġejja taħdem bi proċess </w:t>
      </w:r>
      <w:proofErr w:type="spellStart"/>
      <w:r>
        <w:t>sekwenzjali</w:t>
      </w:r>
      <w:proofErr w:type="spellEnd"/>
      <w:r>
        <w:t>.</w:t>
      </w:r>
    </w:p>
    <w:p w14:paraId="4DAD0C3B" w14:textId="77777777" w:rsidR="00F23615" w:rsidRPr="002A677E" w:rsidRDefault="00F23615" w:rsidP="00C9468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62</w:t>
      </w:r>
      <w:r>
        <w:fldChar w:fldCharType="end"/>
      </w:r>
      <w:r>
        <w:t>.</w:t>
      </w:r>
      <w:r>
        <w:tab/>
        <w:t>F’dan l-isfond, il-klassifikazzjoni tal-valutazzjoni fil-ġerarkija tad-deċiżjonijiet imsemmija hawn taħt għandha ssegwi l-ordni li ġejja:</w:t>
      </w:r>
    </w:p>
    <w:p w14:paraId="02BB1A9D" w14:textId="4E02BBA4" w:rsidR="00F23615" w:rsidRDefault="00033BC3" w:rsidP="007F1637">
      <w:pPr>
        <w:pStyle w:val="InstructionsText"/>
      </w:pPr>
      <w:r>
        <w:t xml:space="preserve">1. Pożizzjonijiet ta’ </w:t>
      </w:r>
      <w:proofErr w:type="spellStart"/>
      <w:r>
        <w:t>titolizzazzjoni</w:t>
      </w:r>
      <w:proofErr w:type="spellEnd"/>
      <w:r>
        <w:t>;</w:t>
      </w:r>
    </w:p>
    <w:p w14:paraId="24C057DA" w14:textId="6545BA90" w:rsidR="00550CB5" w:rsidRPr="002A677E" w:rsidRDefault="00033BC3" w:rsidP="007F1637">
      <w:pPr>
        <w:pStyle w:val="InstructionsText"/>
      </w:pPr>
      <w:r>
        <w:t xml:space="preserve">2. </w:t>
      </w:r>
      <w:proofErr w:type="spellStart"/>
      <w:r>
        <w:t>Skoperturi</w:t>
      </w:r>
      <w:proofErr w:type="spellEnd"/>
      <w:r>
        <w:t xml:space="preserve"> fil-forma ta’ unitajiet jew azzjonijiet f’impriżi ta’ investiment kollettiv (‘</w:t>
      </w:r>
      <w:proofErr w:type="spellStart"/>
      <w:r>
        <w:t>CIUs</w:t>
      </w:r>
      <w:proofErr w:type="spellEnd"/>
      <w:r>
        <w:t>’)</w:t>
      </w:r>
    </w:p>
    <w:p w14:paraId="05AE4761" w14:textId="06214F49" w:rsidR="00F23615" w:rsidRPr="002A677E" w:rsidRDefault="00CB22F5" w:rsidP="007F1637">
      <w:pPr>
        <w:pStyle w:val="InstructionsText"/>
      </w:pPr>
      <w:r>
        <w:t xml:space="preserve">3. </w:t>
      </w:r>
      <w:proofErr w:type="spellStart"/>
      <w:r>
        <w:t>Skoperturi</w:t>
      </w:r>
      <w:proofErr w:type="spellEnd"/>
      <w:r>
        <w:t xml:space="preserve"> tal-</w:t>
      </w:r>
      <w:proofErr w:type="spellStart"/>
      <w:r>
        <w:t>ekwità</w:t>
      </w:r>
      <w:proofErr w:type="spellEnd"/>
    </w:p>
    <w:p w14:paraId="09F50911" w14:textId="46EB5D97" w:rsidR="00F23615" w:rsidRDefault="00CB22F5" w:rsidP="007F1637">
      <w:pPr>
        <w:pStyle w:val="InstructionsText"/>
      </w:pPr>
      <w:r>
        <w:t xml:space="preserve">4. </w:t>
      </w:r>
      <w:proofErr w:type="spellStart"/>
      <w:r>
        <w:t>Skoperturi</w:t>
      </w:r>
      <w:proofErr w:type="spellEnd"/>
      <w:r>
        <w:t xml:space="preserve"> f’</w:t>
      </w:r>
      <w:proofErr w:type="spellStart"/>
      <w:r>
        <w:t>inadempjenza</w:t>
      </w:r>
      <w:proofErr w:type="spellEnd"/>
      <w:r>
        <w:t>;</w:t>
      </w:r>
    </w:p>
    <w:p w14:paraId="186986D4" w14:textId="4E723AED" w:rsidR="00F23615" w:rsidRPr="002A677E" w:rsidRDefault="00CB22F5" w:rsidP="007F1637">
      <w:pPr>
        <w:pStyle w:val="InstructionsText"/>
      </w:pPr>
      <w:r>
        <w:t xml:space="preserve">5. </w:t>
      </w:r>
      <w:proofErr w:type="spellStart"/>
      <w:r>
        <w:t>Skoperturi</w:t>
      </w:r>
      <w:proofErr w:type="spellEnd"/>
      <w:r>
        <w:t xml:space="preserve"> ta' dejn </w:t>
      </w:r>
      <w:proofErr w:type="spellStart"/>
      <w:r>
        <w:t>subordinat</w:t>
      </w:r>
      <w:proofErr w:type="spellEnd"/>
    </w:p>
    <w:p w14:paraId="23662897" w14:textId="4520F65A" w:rsidR="00F23615" w:rsidRPr="002A677E" w:rsidRDefault="00CB22F5" w:rsidP="007F1637">
      <w:pPr>
        <w:pStyle w:val="InstructionsText"/>
      </w:pPr>
      <w:r>
        <w:t xml:space="preserve">6.  </w:t>
      </w:r>
      <w:proofErr w:type="spellStart"/>
      <w:r>
        <w:t>Skoperturi</w:t>
      </w:r>
      <w:proofErr w:type="spellEnd"/>
      <w:r>
        <w:t xml:space="preserve"> fil-forma ta’ bonds koperti (klassijiet tal-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diżassoċjati</w:t>
      </w:r>
      <w:proofErr w:type="spellEnd"/>
      <w:r>
        <w:t>);</w:t>
      </w:r>
    </w:p>
    <w:p w14:paraId="212FFDD4" w14:textId="1C97C2D9" w:rsidR="00F23615" w:rsidRPr="002A677E" w:rsidRDefault="00CB22F5" w:rsidP="007F1637">
      <w:pPr>
        <w:pStyle w:val="InstructionsText"/>
      </w:pPr>
      <w:r>
        <w:t xml:space="preserve">7. </w:t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ggarantiti</w:t>
      </w:r>
      <w:proofErr w:type="spellEnd"/>
      <w:r>
        <w:t xml:space="preserve"> b'ipoteki fuq proprjetà immobbli u </w:t>
      </w:r>
      <w:proofErr w:type="spellStart"/>
      <w:r>
        <w:t>skoperturi</w:t>
      </w:r>
      <w:proofErr w:type="spellEnd"/>
      <w:r>
        <w:t xml:space="preserve"> ADC;</w:t>
      </w:r>
    </w:p>
    <w:p w14:paraId="492960BE" w14:textId="051AC4BE" w:rsidR="00F23615" w:rsidRPr="002A677E" w:rsidRDefault="00CB22F5" w:rsidP="007F1637">
      <w:pPr>
        <w:pStyle w:val="InstructionsText"/>
      </w:pPr>
      <w:r>
        <w:t xml:space="preserve">8. </w:t>
      </w:r>
      <w:proofErr w:type="spellStart"/>
      <w:r>
        <w:t>Entrati</w:t>
      </w:r>
      <w:proofErr w:type="spellEnd"/>
      <w:r>
        <w:t xml:space="preserve"> oħrajn;</w:t>
      </w:r>
    </w:p>
    <w:p w14:paraId="537131BD" w14:textId="2172811A" w:rsidR="00F23615" w:rsidRPr="002A677E" w:rsidRDefault="00CB22F5" w:rsidP="007F1637">
      <w:pPr>
        <w:pStyle w:val="InstructionsText"/>
      </w:pPr>
      <w:r>
        <w:t xml:space="preserve">9. </w:t>
      </w:r>
      <w:proofErr w:type="spellStart"/>
      <w:r>
        <w:t>Skoperturi</w:t>
      </w:r>
      <w:proofErr w:type="spellEnd"/>
      <w:r>
        <w:t xml:space="preserve"> għal istituzzjonijiet u impriżi b’valutazzjoni tal-kreditu ta’ terminu qasir;</w:t>
      </w:r>
    </w:p>
    <w:p w14:paraId="388DFBE6" w14:textId="40CF7ED6" w:rsidR="00F23615" w:rsidRPr="002A677E" w:rsidRDefault="00CB22F5" w:rsidP="007F1637">
      <w:pPr>
        <w:pStyle w:val="InstructionsText"/>
      </w:pPr>
      <w:r>
        <w:t>10. Il-klassijiet tal-</w:t>
      </w:r>
      <w:proofErr w:type="spellStart"/>
      <w:r>
        <w:t>iskoperturi</w:t>
      </w:r>
      <w:proofErr w:type="spellEnd"/>
      <w:r>
        <w:t xml:space="preserve"> kollha l-oħrajn (klassijiet tal-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diżassoċjati</w:t>
      </w:r>
      <w:proofErr w:type="spellEnd"/>
      <w:r>
        <w:t>) li jinkludu L-</w:t>
      </w:r>
      <w:proofErr w:type="spellStart"/>
      <w:r>
        <w:t>iskoperturi</w:t>
      </w:r>
      <w:proofErr w:type="spellEnd"/>
      <w:r>
        <w:t xml:space="preserve"> għal gvernijiet ċentrali jew banek ċentrali; L-</w:t>
      </w:r>
      <w:proofErr w:type="spellStart"/>
      <w:r>
        <w:t>iskoperturi</w:t>
      </w:r>
      <w:proofErr w:type="spellEnd"/>
      <w:r>
        <w:t xml:space="preserve"> għal gvernijiet reġjonali jew awtoritajiet lokali; L-</w:t>
      </w:r>
      <w:proofErr w:type="spellStart"/>
      <w:r>
        <w:t>iskoperturi</w:t>
      </w:r>
      <w:proofErr w:type="spellEnd"/>
      <w:r>
        <w:t xml:space="preserve"> għal entitajiet tas-settur pubbliku; L-</w:t>
      </w:r>
      <w:proofErr w:type="spellStart"/>
      <w:r>
        <w:t>iskoperturi</w:t>
      </w:r>
      <w:proofErr w:type="spellEnd"/>
      <w:r>
        <w:t xml:space="preserve"> għal banek multilaterali tal-iżvilupp; L-</w:t>
      </w:r>
      <w:proofErr w:type="spellStart"/>
      <w:r>
        <w:t>iskoperturi</w:t>
      </w:r>
      <w:proofErr w:type="spellEnd"/>
      <w:r>
        <w:t xml:space="preserve"> għal organizzazzjonijiet </w:t>
      </w:r>
      <w:r>
        <w:lastRenderedPageBreak/>
        <w:t>internazzjonali; L-</w:t>
      </w:r>
      <w:proofErr w:type="spellStart"/>
      <w:r>
        <w:t>iskoperturi</w:t>
      </w:r>
      <w:proofErr w:type="spellEnd"/>
      <w:r>
        <w:t xml:space="preserve"> għal istituzzjonijiet; L-</w:t>
      </w:r>
      <w:proofErr w:type="spellStart"/>
      <w:r>
        <w:t>iskoperturi</w:t>
      </w:r>
      <w:proofErr w:type="spellEnd"/>
      <w:r>
        <w:t xml:space="preserve"> għal impriżi u L-</w:t>
      </w:r>
      <w:proofErr w:type="spellStart"/>
      <w:r>
        <w:t>iskoperturi</w:t>
      </w:r>
      <w:proofErr w:type="spellEnd"/>
      <w:r>
        <w:t xml:space="preserve"> fil-livell tal-konsumatur.</w:t>
      </w:r>
    </w:p>
    <w:p w14:paraId="3A057109" w14:textId="34E02BBA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63</w:t>
      </w:r>
      <w:r>
        <w:fldChar w:fldCharType="end"/>
      </w:r>
      <w:r>
        <w:t>.</w:t>
      </w:r>
      <w:r>
        <w:tab/>
        <w:t xml:space="preserve">Fil-każ ta’ </w:t>
      </w:r>
      <w:proofErr w:type="spellStart"/>
      <w:r>
        <w:t>skoperturi</w:t>
      </w:r>
      <w:proofErr w:type="spellEnd"/>
      <w:r>
        <w:t xml:space="preserve"> fil-forma ta’ unitajiet jew ishma f’impriżi ta’ investiment kollettiv u meta jintuża l-</w:t>
      </w:r>
      <w:proofErr w:type="spellStart"/>
      <w:r>
        <w:t>approċċ</w:t>
      </w:r>
      <w:proofErr w:type="spellEnd"/>
      <w:r>
        <w:t xml:space="preserve"> ta’ trasparenza jew l-</w:t>
      </w:r>
      <w:proofErr w:type="spellStart"/>
      <w:r>
        <w:t>approċċ</w:t>
      </w:r>
      <w:proofErr w:type="spellEnd"/>
      <w:r>
        <w:t xml:space="preserve"> ibbażat fuq il-mandat (l-Artikolu 132a, il-punti (1) u (2) tar-Regolament (UE) Nru 575/2013), l-individwu sottostanti (fil-każ tal-</w:t>
      </w:r>
      <w:proofErr w:type="spellStart"/>
      <w:r>
        <w:t>approċċ</w:t>
      </w:r>
      <w:proofErr w:type="spellEnd"/>
      <w:r>
        <w:t xml:space="preserve"> ta’ trasparenza) u l-grupp individwali (fil-każ tal-</w:t>
      </w:r>
      <w:proofErr w:type="spellStart"/>
      <w:r>
        <w:t>approċċ</w:t>
      </w:r>
      <w:proofErr w:type="spellEnd"/>
      <w:r>
        <w:t xml:space="preserve"> ibbażat fuq il-mandat) ta’ </w:t>
      </w:r>
      <w:proofErr w:type="spellStart"/>
      <w:r>
        <w:t>skoperturi</w:t>
      </w:r>
      <w:proofErr w:type="spellEnd"/>
      <w:r>
        <w:t xml:space="preserve"> għandhom jiġu </w:t>
      </w:r>
      <w:proofErr w:type="spellStart"/>
      <w:r>
        <w:t>kkunsidrati</w:t>
      </w:r>
      <w:proofErr w:type="spellEnd"/>
      <w:r>
        <w:t xml:space="preserve"> u </w:t>
      </w:r>
      <w:proofErr w:type="spellStart"/>
      <w:r>
        <w:t>kklassifikati</w:t>
      </w:r>
      <w:proofErr w:type="spellEnd"/>
      <w:r>
        <w:t xml:space="preserve"> fil-linja tal-</w:t>
      </w:r>
      <w:proofErr w:type="spellStart"/>
      <w:r>
        <w:t>ponderazzjoni</w:t>
      </w:r>
      <w:proofErr w:type="spellEnd"/>
      <w:r>
        <w:t xml:space="preserve"> tar-riskju korrispondenti tagħhom skont it-trattament tagħhom meta jitqies li l-ġerarkija tad-deċiżjonijiet (mingħajr in-numru 2) hija rilevanti għall-assenjazzjoni tal-</w:t>
      </w:r>
      <w:proofErr w:type="spellStart"/>
      <w:r>
        <w:t>ponderazzjoni</w:t>
      </w:r>
      <w:proofErr w:type="spellEnd"/>
      <w:r>
        <w:t xml:space="preserve"> tar-riskju korrispondenti. Madankollu, l-</w:t>
      </w:r>
      <w:proofErr w:type="spellStart"/>
      <w:r>
        <w:t>iskoperturi</w:t>
      </w:r>
      <w:proofErr w:type="spellEnd"/>
      <w:r>
        <w:t xml:space="preserve"> individwali kollha għandhom ikunu klassifikati fi ħdan il-klassi tal-</w:t>
      </w:r>
      <w:proofErr w:type="spellStart"/>
      <w:r>
        <w:t>iskoperturi</w:t>
      </w:r>
      <w:proofErr w:type="spellEnd"/>
      <w:r>
        <w:t xml:space="preserve"> fil-forma ta’ unitajiet jew ishma f’impriżi ta’ investiment kollettiv (‘</w:t>
      </w:r>
      <w:proofErr w:type="spellStart"/>
      <w:r>
        <w:t>CIUs</w:t>
      </w:r>
      <w:proofErr w:type="spellEnd"/>
      <w:r>
        <w:t>’).</w:t>
      </w:r>
    </w:p>
    <w:p w14:paraId="7DCE2EDF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64</w:t>
      </w:r>
      <w:r>
        <w:fldChar w:fldCharType="end"/>
      </w:r>
      <w:r>
        <w:t>.</w:t>
      </w:r>
      <w:r>
        <w:tab/>
        <w:t xml:space="preserve"> Derivattivi ta’ kreditu “n-</w:t>
      </w:r>
      <w:proofErr w:type="spellStart"/>
      <w:r>
        <w:t>eżmu</w:t>
      </w:r>
      <w:proofErr w:type="spellEnd"/>
      <w:r>
        <w:t xml:space="preserve">” </w:t>
      </w:r>
      <w:proofErr w:type="spellStart"/>
      <w:r>
        <w:t>inadempjenti</w:t>
      </w:r>
      <w:proofErr w:type="spellEnd"/>
      <w:r>
        <w:t xml:space="preserve">, kif speċifikat fl-Artikolu 134(6) tar-Regolament (UE) Nru 575/2013, li huma klassifikati, għandhom ikunu klassifikati direttament bħala pożizzjonijiet ta’ </w:t>
      </w:r>
      <w:proofErr w:type="spellStart"/>
      <w:r>
        <w:t>titolizzazzjoni</w:t>
      </w:r>
      <w:proofErr w:type="spellEnd"/>
      <w:r>
        <w:t xml:space="preserve">. Jekk ma jkunux klassifikati, għandhom ikunu </w:t>
      </w:r>
      <w:proofErr w:type="spellStart"/>
      <w:r>
        <w:t>kkunsidrati</w:t>
      </w:r>
      <w:proofErr w:type="spellEnd"/>
      <w:r>
        <w:t xml:space="preserve"> fil-klassi tal-</w:t>
      </w:r>
      <w:proofErr w:type="spellStart"/>
      <w:r>
        <w:t>iskoperturi</w:t>
      </w:r>
      <w:proofErr w:type="spellEnd"/>
      <w:r>
        <w:t xml:space="preserve"> ‘</w:t>
      </w:r>
      <w:proofErr w:type="spellStart"/>
      <w:r>
        <w:t>Entrati</w:t>
      </w:r>
      <w:proofErr w:type="spellEnd"/>
      <w:r>
        <w:t xml:space="preserve"> oħrajn’. F’dan l-aħħar każ, l-ammont nominali tal-kuntratt għandu jiġi rapportat bħala l-Fatturi ta’ qabel il-konverżjoni tal-</w:t>
      </w:r>
      <w:proofErr w:type="spellStart"/>
      <w:r>
        <w:t>iskopertura</w:t>
      </w:r>
      <w:proofErr w:type="spellEnd"/>
      <w:r>
        <w:t xml:space="preserve"> oriġinali fil-linja għal “</w:t>
      </w:r>
      <w:proofErr w:type="spellStart"/>
      <w:r>
        <w:t>Ponderazzjonijiet</w:t>
      </w:r>
      <w:proofErr w:type="spellEnd"/>
      <w:r>
        <w:t xml:space="preserve"> tar-riskju oħrajn” (il-</w:t>
      </w:r>
      <w:proofErr w:type="spellStart"/>
      <w:r>
        <w:t>ponderazzjoni</w:t>
      </w:r>
      <w:proofErr w:type="spellEnd"/>
      <w:r>
        <w:t xml:space="preserve"> tar-riskju użata għandha tkun dik speċifikata mis-somma indikata skont l-Artikolu 134(6) tar-Regolament (UE) Nru 575/2013. </w:t>
      </w:r>
    </w:p>
    <w:p w14:paraId="69E92196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65</w:t>
      </w:r>
      <w:r>
        <w:fldChar w:fldCharType="end"/>
      </w:r>
      <w:r>
        <w:t>.</w:t>
      </w:r>
      <w:r>
        <w:tab/>
        <w:t>Fit-tieni pass, bħala konsegwenza tat-</w:t>
      </w:r>
      <w:proofErr w:type="spellStart"/>
      <w:r>
        <w:t>tekniki</w:t>
      </w:r>
      <w:proofErr w:type="spellEnd"/>
      <w:r>
        <w:t xml:space="preserve"> tal-mitigazzjoni tar-riskju ta’ kreditu bl-effetti tas-sostituzzjoni, l-</w:t>
      </w:r>
      <w:proofErr w:type="spellStart"/>
      <w:r>
        <w:t>iskoperturi</w:t>
      </w:r>
      <w:proofErr w:type="spellEnd"/>
      <w:r>
        <w:t xml:space="preserve"> għandhom jerġgħu jiġu allokati fil-klassi tal-</w:t>
      </w:r>
      <w:proofErr w:type="spellStart"/>
      <w:r>
        <w:t>iskoperturi</w:t>
      </w:r>
      <w:proofErr w:type="spellEnd"/>
      <w:r>
        <w:t xml:space="preserve"> tal-fornitur tal-protezzjoni.</w:t>
      </w:r>
    </w:p>
    <w:p w14:paraId="2FBA6C02" w14:textId="77777777" w:rsidR="00F23615" w:rsidRPr="002A677E" w:rsidRDefault="00F23615" w:rsidP="007F1637">
      <w:pPr>
        <w:pStyle w:val="InstructionsText"/>
      </w:pPr>
      <w:r>
        <w:br w:type="page"/>
      </w:r>
      <w:r>
        <w:lastRenderedPageBreak/>
        <w:t xml:space="preserve">ĠERARKIJA TAD-DEĊIŻJONIJIET DWAR KIF JIĠU ASSENJATI L-FATTURI TA’ QABEL IL-KONVERŻJONI TAL-ISKOPERTURA ORIĠINALI GĦALL-KLASSIJIET TAL-ISKOPERTURI TAL-APPROĊĊ STANDARDIZZAT F’KONFORMITÀ MAR-REGOLAMENT (UE) NRU 575/2013 </w:t>
      </w:r>
    </w:p>
    <w:p w14:paraId="1DCE4D83" w14:textId="77777777" w:rsidR="00F23615" w:rsidRPr="002A677E" w:rsidRDefault="00F23615" w:rsidP="007F1637">
      <w:pPr>
        <w:pStyle w:val="InstructionsText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1390"/>
        <w:gridCol w:w="3942"/>
      </w:tblGrid>
      <w:tr w:rsidR="00F23615" w:rsidRPr="002A677E" w14:paraId="6B8EB776" w14:textId="77777777" w:rsidTr="00250AFD">
        <w:tc>
          <w:tcPr>
            <w:tcW w:w="3651" w:type="dxa"/>
            <w:shd w:val="clear" w:color="auto" w:fill="auto"/>
          </w:tcPr>
          <w:p w14:paraId="0E806AB1" w14:textId="77777777" w:rsidR="00F23615" w:rsidRPr="002A677E" w:rsidRDefault="00F23615" w:rsidP="00822842">
            <w:pPr>
              <w:spacing w:before="0" w:after="0"/>
              <w:jc w:val="left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Skopertura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oriġinarja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qabel l-applikazzjoni tal-fatturi ta’ konverżjoni</w:t>
            </w:r>
          </w:p>
        </w:tc>
        <w:tc>
          <w:tcPr>
            <w:tcW w:w="1390" w:type="dxa"/>
            <w:shd w:val="clear" w:color="auto" w:fill="auto"/>
          </w:tcPr>
          <w:p w14:paraId="6F89C271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12F56775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2B20FF33" w14:textId="77777777" w:rsidTr="00250AFD">
        <w:tc>
          <w:tcPr>
            <w:tcW w:w="3651" w:type="dxa"/>
            <w:shd w:val="clear" w:color="auto" w:fill="auto"/>
          </w:tcPr>
          <w:p w14:paraId="5D212067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(m),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5AE4F70B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77B925EF" wp14:editId="14F13E22">
                  <wp:extent cx="371475" cy="276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E642DB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489F8793" w14:textId="77777777" w:rsidR="00F23615" w:rsidRPr="002A677E" w:rsidRDefault="00F23615" w:rsidP="007F1637">
            <w:pPr>
              <w:pStyle w:val="InstructionsText"/>
            </w:pPr>
            <w:r>
              <w:t xml:space="preserve">Pożizzjonijiet ta’ </w:t>
            </w:r>
            <w:proofErr w:type="spellStart"/>
            <w:r>
              <w:t>titolizzazzjoni</w:t>
            </w:r>
            <w:proofErr w:type="spellEnd"/>
          </w:p>
        </w:tc>
      </w:tr>
      <w:tr w:rsidR="00F23615" w:rsidRPr="002A677E" w14:paraId="558B319A" w14:textId="77777777" w:rsidTr="00250AFD">
        <w:tc>
          <w:tcPr>
            <w:tcW w:w="3651" w:type="dxa"/>
            <w:shd w:val="clear" w:color="auto" w:fill="auto"/>
          </w:tcPr>
          <w:p w14:paraId="2BEB177A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05E95F05" wp14:editId="64EEECED">
                  <wp:extent cx="819150" cy="352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075E3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47E78C1C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18F6F7C0" w14:textId="77777777" w:rsidR="00F23615" w:rsidRPr="002A677E" w:rsidRDefault="00F23615" w:rsidP="007F1637">
            <w:pPr>
              <w:pStyle w:val="InstructionsText"/>
            </w:pPr>
          </w:p>
        </w:tc>
      </w:tr>
      <w:tr w:rsidR="00250AFD" w:rsidRPr="002A677E" w14:paraId="562A762B" w14:textId="77777777" w:rsidTr="00250AFD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88B9" w14:textId="2D697A55" w:rsidR="00250AFD" w:rsidRPr="002A677E" w:rsidRDefault="00250AFD" w:rsidP="007F1637">
            <w:pPr>
              <w:pStyle w:val="InstructionsText"/>
            </w:pPr>
            <w:r>
              <w:t>Hija xierqa li tiġi assenjata fil-klassijiet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(o), tar-Regolament (UE) Nru 575/2013?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D475" w14:textId="77777777" w:rsidR="00250AFD" w:rsidRPr="002A677E" w:rsidRDefault="00250AFD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360426C3" wp14:editId="584FEA32">
                  <wp:extent cx="371475" cy="276225"/>
                  <wp:effectExtent l="0" t="0" r="9525" b="9525"/>
                  <wp:docPr id="1421772819" name="Picture 1421772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4A6FA3" w14:textId="77777777" w:rsidR="00250AFD" w:rsidRPr="002A677E" w:rsidRDefault="00250AFD" w:rsidP="007F1637">
            <w:pPr>
              <w:pStyle w:val="InstructionsText"/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F9A" w14:textId="77777777" w:rsidR="00250AFD" w:rsidRPr="002A677E" w:rsidRDefault="00250AFD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fil-forma ta’ unitajiet jew ishma f’impriżi ta’ investiment kollettiv (CIU)</w:t>
            </w:r>
          </w:p>
          <w:p w14:paraId="4C14D489" w14:textId="6F0CAD4E" w:rsidR="00250AFD" w:rsidRPr="002A677E" w:rsidRDefault="00250AFD" w:rsidP="007F1637">
            <w:pPr>
              <w:pStyle w:val="InstructionsText"/>
            </w:pPr>
          </w:p>
        </w:tc>
      </w:tr>
      <w:tr w:rsidR="00250AFD" w:rsidRPr="002A677E" w14:paraId="4536627A" w14:textId="77777777" w:rsidTr="00250AFD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A8DF" w14:textId="77777777" w:rsidR="00250AFD" w:rsidRPr="002A677E" w:rsidRDefault="00250AFD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526CAD3F" wp14:editId="2E3F3C4E">
                  <wp:extent cx="819150" cy="352425"/>
                  <wp:effectExtent l="0" t="0" r="0" b="9525"/>
                  <wp:docPr id="1936100747" name="Picture 1936100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C37A5" w14:textId="77777777" w:rsidR="00250AFD" w:rsidRPr="002A677E" w:rsidRDefault="00250AFD" w:rsidP="007F1637">
            <w:pPr>
              <w:pStyle w:val="InstructionsText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9D78" w14:textId="77777777" w:rsidR="00250AFD" w:rsidRPr="002A677E" w:rsidRDefault="00250AFD" w:rsidP="007F1637">
            <w:pPr>
              <w:pStyle w:val="InstructionsText"/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C6FB" w14:textId="77777777" w:rsidR="00250AFD" w:rsidRPr="002A677E" w:rsidRDefault="00250AFD" w:rsidP="007F1637">
            <w:pPr>
              <w:pStyle w:val="InstructionsText"/>
            </w:pPr>
          </w:p>
        </w:tc>
      </w:tr>
      <w:tr w:rsidR="00F23615" w:rsidRPr="002A677E" w14:paraId="7DBA6E63" w14:textId="77777777" w:rsidTr="00250AFD">
        <w:tc>
          <w:tcPr>
            <w:tcW w:w="3651" w:type="dxa"/>
            <w:shd w:val="clear" w:color="auto" w:fill="auto"/>
          </w:tcPr>
          <w:p w14:paraId="6B130F33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(p),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553AFDF4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63806122" wp14:editId="4F1B3243">
                  <wp:extent cx="371475" cy="2762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D5F2B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0EA8D32F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ta’ </w:t>
            </w:r>
            <w:proofErr w:type="spellStart"/>
            <w:r>
              <w:t>ekwità</w:t>
            </w:r>
            <w:proofErr w:type="spellEnd"/>
            <w:r>
              <w:t xml:space="preserve"> (ara wkoll l-Artikolu 133 tar-Regolament (UE) Nru. 575/2013)</w:t>
            </w:r>
          </w:p>
        </w:tc>
      </w:tr>
      <w:tr w:rsidR="00F23615" w:rsidRPr="002A677E" w14:paraId="45BEC564" w14:textId="77777777" w:rsidTr="00250AFD">
        <w:tc>
          <w:tcPr>
            <w:tcW w:w="3651" w:type="dxa"/>
            <w:shd w:val="clear" w:color="auto" w:fill="auto"/>
          </w:tcPr>
          <w:p w14:paraId="7429D4A2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6164172B" wp14:editId="57D9BCDD">
                  <wp:extent cx="819150" cy="3524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CF30AF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3E8B575B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02A3173A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4472AA91" w14:textId="77777777" w:rsidTr="00250AFD">
        <w:tc>
          <w:tcPr>
            <w:tcW w:w="3651" w:type="dxa"/>
            <w:shd w:val="clear" w:color="auto" w:fill="auto"/>
          </w:tcPr>
          <w:p w14:paraId="42A76572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(j),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2AEBA846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572F47DF" wp14:editId="4BE50AD5">
                  <wp:extent cx="371475" cy="2762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34173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6B129F35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f’</w:t>
            </w:r>
            <w:proofErr w:type="spellStart"/>
            <w:r>
              <w:t>inadempjenza</w:t>
            </w:r>
            <w:proofErr w:type="spellEnd"/>
          </w:p>
        </w:tc>
      </w:tr>
      <w:tr w:rsidR="00F23615" w:rsidRPr="002A677E" w14:paraId="630C1CD2" w14:textId="77777777" w:rsidTr="00250AFD">
        <w:tc>
          <w:tcPr>
            <w:tcW w:w="3651" w:type="dxa"/>
            <w:shd w:val="clear" w:color="auto" w:fill="auto"/>
          </w:tcPr>
          <w:p w14:paraId="7E064F51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2CDD5889" wp14:editId="429A3A5D">
                  <wp:extent cx="819150" cy="3524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1DE40A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3CC23929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0217B875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3C16C444" w14:textId="77777777" w:rsidTr="00250AFD">
        <w:tc>
          <w:tcPr>
            <w:tcW w:w="3651" w:type="dxa"/>
            <w:shd w:val="clear" w:color="auto" w:fill="auto"/>
          </w:tcPr>
          <w:p w14:paraId="62BA8698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(k), tar-</w:t>
            </w:r>
            <w:r>
              <w:lastRenderedPageBreak/>
              <w:t>Regolament (UE) Nru 575/2013?</w:t>
            </w:r>
          </w:p>
        </w:tc>
        <w:tc>
          <w:tcPr>
            <w:tcW w:w="1390" w:type="dxa"/>
            <w:shd w:val="clear" w:color="auto" w:fill="auto"/>
          </w:tcPr>
          <w:p w14:paraId="28CA720D" w14:textId="77777777" w:rsidR="00F23615" w:rsidRPr="002A677E" w:rsidRDefault="00F23615" w:rsidP="007F1637">
            <w:pPr>
              <w:pStyle w:val="InstructionsText"/>
            </w:pPr>
            <w:r>
              <w:lastRenderedPageBreak/>
              <w:t xml:space="preserve">IVA </w:t>
            </w:r>
            <w:r>
              <w:rPr>
                <w:noProof/>
              </w:rPr>
              <w:drawing>
                <wp:inline distT="0" distB="0" distL="0" distR="0" wp14:anchorId="31BDDD46" wp14:editId="5BDE97F3">
                  <wp:extent cx="371475" cy="276225"/>
                  <wp:effectExtent l="0" t="0" r="9525" b="9525"/>
                  <wp:docPr id="674480425" name="Picture 674480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627B9" w14:textId="77777777" w:rsidR="00F23615" w:rsidRPr="002A677E" w:rsidRDefault="00F23615" w:rsidP="007F1637">
            <w:pPr>
              <w:pStyle w:val="InstructionsText"/>
            </w:pPr>
          </w:p>
          <w:p w14:paraId="2AAEDD98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1177CD97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lastRenderedPageBreak/>
              <w:t>Skoperturi</w:t>
            </w:r>
            <w:proofErr w:type="spellEnd"/>
            <w:r>
              <w:t xml:space="preserve"> ta' dejn </w:t>
            </w:r>
            <w:proofErr w:type="spellStart"/>
            <w:r>
              <w:t>subordinat</w:t>
            </w:r>
            <w:proofErr w:type="spellEnd"/>
          </w:p>
        </w:tc>
      </w:tr>
      <w:tr w:rsidR="00F23615" w:rsidRPr="002A677E" w14:paraId="29B2D92B" w14:textId="77777777" w:rsidTr="00250AFD">
        <w:tc>
          <w:tcPr>
            <w:tcW w:w="3651" w:type="dxa"/>
            <w:shd w:val="clear" w:color="auto" w:fill="auto"/>
          </w:tcPr>
          <w:p w14:paraId="50743733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05783719" wp14:editId="6FE66A2F">
                  <wp:extent cx="819150" cy="352425"/>
                  <wp:effectExtent l="0" t="0" r="0" b="9525"/>
                  <wp:docPr id="2129117301" name="Picture 2129117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7678D8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7D06BDB9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06A95873" w14:textId="77777777" w:rsidR="00F23615" w:rsidRPr="002A677E" w:rsidRDefault="00F23615" w:rsidP="007F1637">
            <w:pPr>
              <w:pStyle w:val="InstructionsText"/>
            </w:pPr>
          </w:p>
        </w:tc>
      </w:tr>
      <w:tr w:rsidR="001F67EF" w:rsidRPr="002A677E" w14:paraId="6B8878C3" w14:textId="77777777" w:rsidTr="001F67EF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66C0" w14:textId="77777777" w:rsidR="001F67EF" w:rsidRPr="002A677E" w:rsidRDefault="001F67EF" w:rsidP="007F1637">
            <w:pPr>
              <w:pStyle w:val="InstructionsText"/>
            </w:pPr>
            <w:r>
              <w:t>Hija xierqa li tiġi assenjata fil-klassijiet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(l), tar-Regolament (UE) Nru 575/2013?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AE0A" w14:textId="77777777" w:rsidR="001F67EF" w:rsidRPr="002A677E" w:rsidRDefault="001F67EF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6D8DD430" wp14:editId="75122AD9">
                  <wp:extent cx="371475" cy="276225"/>
                  <wp:effectExtent l="0" t="0" r="9525" b="9525"/>
                  <wp:docPr id="17" name="Picture 1421772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448AC1" w14:textId="77777777" w:rsidR="001F67EF" w:rsidRPr="002A677E" w:rsidRDefault="001F67EF" w:rsidP="007F1637">
            <w:pPr>
              <w:pStyle w:val="InstructionsText"/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CEC8" w14:textId="77777777" w:rsidR="001F67EF" w:rsidRPr="002A677E" w:rsidRDefault="001F67EF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fil-forma ta’ bonds koperti (ara wkoll l-Artikolu 129 tar-Regolament (UE) Nru 575/2013)</w:t>
            </w:r>
          </w:p>
        </w:tc>
      </w:tr>
      <w:tr w:rsidR="009213DF" w:rsidRPr="002A677E" w14:paraId="687150EB" w14:textId="77777777" w:rsidTr="009213DF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A8D3" w14:textId="77777777" w:rsidR="009213DF" w:rsidRPr="002A677E" w:rsidRDefault="009213DF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5E3A24E1" wp14:editId="77A5BFF3">
                  <wp:extent cx="819150" cy="352425"/>
                  <wp:effectExtent l="0" t="0" r="0" b="9525"/>
                  <wp:docPr id="1468957834" name="Picture 1468957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DC8775" w14:textId="77777777" w:rsidR="009213DF" w:rsidRPr="002A677E" w:rsidRDefault="009213DF" w:rsidP="007F1637">
            <w:pPr>
              <w:pStyle w:val="InstructionsText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876B" w14:textId="77777777" w:rsidR="009213DF" w:rsidRPr="002A677E" w:rsidRDefault="009213DF" w:rsidP="007F1637">
            <w:pPr>
              <w:pStyle w:val="InstructionsText"/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EDA3" w14:textId="77777777" w:rsidR="009213DF" w:rsidRPr="002A677E" w:rsidRDefault="009213DF" w:rsidP="007F1637">
            <w:pPr>
              <w:pStyle w:val="InstructionsText"/>
            </w:pPr>
          </w:p>
        </w:tc>
      </w:tr>
      <w:tr w:rsidR="00F23615" w:rsidRPr="002A677E" w14:paraId="7C8090C0" w14:textId="77777777" w:rsidTr="00250AFD">
        <w:tc>
          <w:tcPr>
            <w:tcW w:w="3651" w:type="dxa"/>
            <w:shd w:val="clear" w:color="auto" w:fill="auto"/>
          </w:tcPr>
          <w:p w14:paraId="7596D830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(i),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36F0902A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2BF23DA4" wp14:editId="07339599">
                  <wp:extent cx="371475" cy="2762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D7764C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75E20FAF" w14:textId="48E57DDC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garantiti b’ipoteki fuq proprjetà immobbli u </w:t>
            </w:r>
            <w:proofErr w:type="spellStart"/>
            <w:r>
              <w:t>skoperturi</w:t>
            </w:r>
            <w:proofErr w:type="spellEnd"/>
            <w:r>
              <w:t xml:space="preserve"> ADC (ara wkoll l-Artikolu 124 u l-Artikolu 126a tar-Regolament (UE) Nru 575/2013)</w:t>
            </w:r>
          </w:p>
        </w:tc>
      </w:tr>
      <w:tr w:rsidR="00F23615" w:rsidRPr="002A677E" w14:paraId="486DDFB0" w14:textId="77777777" w:rsidTr="00250AFD">
        <w:tc>
          <w:tcPr>
            <w:tcW w:w="3651" w:type="dxa"/>
            <w:shd w:val="clear" w:color="auto" w:fill="auto"/>
          </w:tcPr>
          <w:p w14:paraId="6B3E1068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60FEB9F7" wp14:editId="27311917">
                  <wp:extent cx="819150" cy="3524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84CF5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247D317E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71E0641F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31783BBA" w14:textId="77777777" w:rsidTr="00250AFD">
        <w:tc>
          <w:tcPr>
            <w:tcW w:w="3651" w:type="dxa"/>
            <w:shd w:val="clear" w:color="auto" w:fill="auto"/>
          </w:tcPr>
          <w:p w14:paraId="3A2B4877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(q),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2987DBCB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219C5176" wp14:editId="04EDE800">
                  <wp:extent cx="371475" cy="2762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07B710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2F06C31F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Entrati</w:t>
            </w:r>
            <w:proofErr w:type="spellEnd"/>
            <w:r>
              <w:t xml:space="preserve"> oħrajn</w:t>
            </w:r>
          </w:p>
        </w:tc>
      </w:tr>
      <w:tr w:rsidR="00F23615" w:rsidRPr="002A677E" w14:paraId="0A552DE7" w14:textId="77777777" w:rsidTr="00250AFD">
        <w:tc>
          <w:tcPr>
            <w:tcW w:w="3651" w:type="dxa"/>
            <w:shd w:val="clear" w:color="auto" w:fill="auto"/>
          </w:tcPr>
          <w:p w14:paraId="6C9822A3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35E9EA18" wp14:editId="69C666FE">
                  <wp:extent cx="819150" cy="3524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BFC7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774AF2CE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1151CDE9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7C57D085" w14:textId="77777777" w:rsidTr="00250AFD">
        <w:tc>
          <w:tcPr>
            <w:tcW w:w="3651" w:type="dxa"/>
            <w:shd w:val="clear" w:color="auto" w:fill="auto"/>
          </w:tcPr>
          <w:p w14:paraId="00CEAA9F" w14:textId="77777777" w:rsidR="00F23615" w:rsidRPr="002A677E" w:rsidRDefault="00F23615" w:rsidP="007F1637">
            <w:pPr>
              <w:pStyle w:val="InstructionsText"/>
            </w:pPr>
            <w:r>
              <w:t>Hija xierqa li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tal-Artikolu 112, il-punt (n), tar-Regolament (UE) Nru 575/2013?</w:t>
            </w:r>
          </w:p>
        </w:tc>
        <w:tc>
          <w:tcPr>
            <w:tcW w:w="1390" w:type="dxa"/>
            <w:shd w:val="clear" w:color="auto" w:fill="auto"/>
          </w:tcPr>
          <w:p w14:paraId="137455FA" w14:textId="77777777" w:rsidR="00F23615" w:rsidRPr="002A677E" w:rsidRDefault="00F23615" w:rsidP="007F1637">
            <w:pPr>
              <w:pStyle w:val="InstructionsText"/>
            </w:pPr>
            <w:r>
              <w:t xml:space="preserve">IVA </w:t>
            </w:r>
            <w:r>
              <w:rPr>
                <w:noProof/>
              </w:rPr>
              <w:drawing>
                <wp:inline distT="0" distB="0" distL="0" distR="0" wp14:anchorId="7B6A1B07" wp14:editId="309BC5F1">
                  <wp:extent cx="371475" cy="2762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1324D8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067973B0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istituzzjonijiet u impriżi b’valutazzjoni tal-kreditu ta’ terminu qasir</w:t>
            </w:r>
          </w:p>
        </w:tc>
      </w:tr>
      <w:tr w:rsidR="00F23615" w:rsidRPr="002A677E" w14:paraId="0F06E1A3" w14:textId="77777777" w:rsidTr="00250AFD">
        <w:tc>
          <w:tcPr>
            <w:tcW w:w="3651" w:type="dxa"/>
            <w:shd w:val="clear" w:color="auto" w:fill="auto"/>
          </w:tcPr>
          <w:p w14:paraId="4FE77740" w14:textId="77777777" w:rsidR="00F23615" w:rsidRPr="002A677E" w:rsidRDefault="00F23615" w:rsidP="007F1637">
            <w:pPr>
              <w:pStyle w:val="InstructionsText"/>
            </w:pPr>
            <w:r>
              <w:t xml:space="preserve">LE </w:t>
            </w:r>
            <w:r>
              <w:rPr>
                <w:noProof/>
              </w:rPr>
              <w:drawing>
                <wp:inline distT="0" distB="0" distL="0" distR="0" wp14:anchorId="630585B1" wp14:editId="65E6BAA7">
                  <wp:extent cx="819150" cy="35242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D6B2AE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1390" w:type="dxa"/>
            <w:shd w:val="clear" w:color="auto" w:fill="auto"/>
          </w:tcPr>
          <w:p w14:paraId="3091B4A6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3942" w:type="dxa"/>
            <w:shd w:val="clear" w:color="auto" w:fill="auto"/>
          </w:tcPr>
          <w:p w14:paraId="60CC0C75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099A2CA4" w14:textId="77777777" w:rsidTr="00250AFD">
        <w:tc>
          <w:tcPr>
            <w:tcW w:w="8983" w:type="dxa"/>
            <w:gridSpan w:val="3"/>
            <w:shd w:val="clear" w:color="auto" w:fill="auto"/>
          </w:tcPr>
          <w:p w14:paraId="160AEABB" w14:textId="77777777" w:rsidR="00F23615" w:rsidRPr="002A677E" w:rsidRDefault="00F23615" w:rsidP="007F1637">
            <w:pPr>
              <w:pStyle w:val="InstructionsText"/>
            </w:pPr>
            <w:r>
              <w:t xml:space="preserve">Il-klassijiet ta’ </w:t>
            </w:r>
            <w:proofErr w:type="spellStart"/>
            <w:r>
              <w:t>skoperturi</w:t>
            </w:r>
            <w:proofErr w:type="spellEnd"/>
            <w:r>
              <w:t xml:space="preserve"> ta’ hawn taħt huma </w:t>
            </w:r>
            <w:proofErr w:type="spellStart"/>
            <w:r>
              <w:t>diżassoċjati</w:t>
            </w:r>
            <w:proofErr w:type="spellEnd"/>
            <w:r>
              <w:t xml:space="preserve"> minn xulxin. Għaldaqstant, l-</w:t>
            </w:r>
            <w:proofErr w:type="spellStart"/>
            <w:r>
              <w:t>assenjar</w:t>
            </w:r>
            <w:proofErr w:type="spellEnd"/>
            <w:r>
              <w:t xml:space="preserve"> għal waħda minnhom ikun faċli.</w:t>
            </w:r>
          </w:p>
          <w:p w14:paraId="3BDBCA78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gvernijiet ċentrali jew għal banek ċentrali</w:t>
            </w:r>
          </w:p>
          <w:p w14:paraId="79F342D2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lastRenderedPageBreak/>
              <w:t>Skoperturi</w:t>
            </w:r>
            <w:proofErr w:type="spellEnd"/>
            <w:r>
              <w:t xml:space="preserve"> għal gvernijiet reġjonali jew għal awtoritajiet lokali</w:t>
            </w:r>
          </w:p>
          <w:p w14:paraId="04575B58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entitajiet tas-settur pubbliku</w:t>
            </w:r>
          </w:p>
          <w:p w14:paraId="2657E58F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banek multilaterali ta’ żvilupp</w:t>
            </w:r>
          </w:p>
          <w:p w14:paraId="150E6755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organizzazzjonijiet internazzjonali</w:t>
            </w:r>
          </w:p>
          <w:p w14:paraId="649EED30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istituzzjonijiet</w:t>
            </w:r>
          </w:p>
          <w:p w14:paraId="3FFE24F4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għal impriżi (</w:t>
            </w:r>
            <w:r>
              <w:rPr>
                <w:rStyle w:val="cf01"/>
                <w:rFonts w:ascii="Times New Roman" w:hAnsi="Times New Roman"/>
                <w:sz w:val="24"/>
              </w:rPr>
              <w:t xml:space="preserve">għal finijiet ta’ </w:t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din il-klassi tal-</w:t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iskoperturi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ġiet </w:t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diżaggregata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f’żewġ klassijiet ta’ </w:t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sottoskoperturi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(“Impriżi – Oħrajn” u “Impriżi – Self speċjalizzat” kif definit</w:t>
            </w:r>
            <w:r>
              <w:t xml:space="preserve"> fl-Artikolu 122a tar-Regolament (UE) Nru 575/2013)</w:t>
            </w:r>
            <w:r>
              <w:rPr>
                <w:rStyle w:val="cf01"/>
                <w:rFonts w:ascii="Times New Roman" w:hAnsi="Times New Roman"/>
                <w:sz w:val="24"/>
              </w:rPr>
              <w:t>.</w:t>
            </w:r>
          </w:p>
          <w:p w14:paraId="13DC684E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fil-livell ta’ konsumatur</w:t>
            </w:r>
          </w:p>
        </w:tc>
      </w:tr>
    </w:tbl>
    <w:p w14:paraId="7AAF3ACF" w14:textId="77777777" w:rsidR="00F23615" w:rsidRPr="002A677E" w:rsidRDefault="00F23615" w:rsidP="00F23615">
      <w:pPr>
        <w:spacing w:before="0" w:after="0"/>
        <w:jc w:val="left"/>
        <w:rPr>
          <w:rFonts w:ascii="Times New Roman" w:hAnsi="Times New Roman"/>
          <w:bCs/>
          <w:sz w:val="24"/>
        </w:rPr>
      </w:pPr>
      <w:r>
        <w:lastRenderedPageBreak/>
        <w:br w:type="page"/>
      </w:r>
    </w:p>
    <w:p w14:paraId="2F700FFC" w14:textId="77777777" w:rsidR="00F23615" w:rsidRPr="002A677E" w:rsidRDefault="00F23615" w:rsidP="007F1637">
      <w:pPr>
        <w:pStyle w:val="InstructionsText"/>
      </w:pPr>
    </w:p>
    <w:p w14:paraId="792208E4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72" w:name="_Toc262568031"/>
      <w:bookmarkStart w:id="73" w:name="_Toc264038429"/>
      <w:bookmarkStart w:id="74" w:name="_Toc292456208"/>
      <w:bookmarkStart w:id="75" w:name="_Toc295829859"/>
      <w:bookmarkStart w:id="76" w:name="_Toc310415023"/>
      <w:bookmarkStart w:id="77" w:name="_Toc360188352"/>
      <w:bookmarkStart w:id="78" w:name="_Toc473560901"/>
      <w:bookmarkStart w:id="79" w:name="_Toc151714389"/>
      <w:r>
        <w:rPr>
          <w:rFonts w:ascii="Times New Roman" w:hAnsi="Times New Roman"/>
          <w:sz w:val="24"/>
          <w:u w:val="none"/>
        </w:rPr>
        <w:t>3.2.4.</w:t>
      </w:r>
      <w:r>
        <w:rPr>
          <w:rFonts w:ascii="Times New Roman" w:hAnsi="Times New Roman"/>
          <w:sz w:val="24"/>
          <w:u w:val="none"/>
        </w:rPr>
        <w:tab/>
      </w:r>
      <w:proofErr w:type="spellStart"/>
      <w:r>
        <w:t>Kjarifiki</w:t>
      </w:r>
      <w:proofErr w:type="spellEnd"/>
      <w:r>
        <w:t xml:space="preserve"> dwar l-ambitu ta’ xi klassijiet tal-</w:t>
      </w:r>
      <w:proofErr w:type="spellStart"/>
      <w:r>
        <w:t>iskoperturi</w:t>
      </w:r>
      <w:proofErr w:type="spellEnd"/>
      <w:r>
        <w:t xml:space="preserve"> speċifiċi msemmija fl-Artikolu 112</w:t>
      </w:r>
      <w:bookmarkEnd w:id="72"/>
      <w:bookmarkEnd w:id="73"/>
      <w:bookmarkEnd w:id="74"/>
      <w:bookmarkEnd w:id="75"/>
      <w:bookmarkEnd w:id="76"/>
      <w:bookmarkEnd w:id="77"/>
      <w:bookmarkEnd w:id="78"/>
      <w:r>
        <w:t>tar-Regolament (UE) Nru 575/2013</w:t>
      </w:r>
      <w:bookmarkEnd w:id="79"/>
    </w:p>
    <w:p w14:paraId="29BC0492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80" w:name="_Toc360188353"/>
      <w:bookmarkStart w:id="81" w:name="_Toc473560902"/>
      <w:bookmarkStart w:id="82" w:name="_Toc151714390"/>
      <w:r>
        <w:rPr>
          <w:rFonts w:ascii="Times New Roman" w:hAnsi="Times New Roman"/>
          <w:sz w:val="24"/>
          <w:u w:val="none"/>
        </w:rPr>
        <w:t>3.2.4,1.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Klassi tal-</w:t>
      </w:r>
      <w:proofErr w:type="spellStart"/>
      <w:r>
        <w:rPr>
          <w:rFonts w:ascii="Times New Roman" w:hAnsi="Times New Roman"/>
          <w:sz w:val="24"/>
        </w:rPr>
        <w:t>Iskoperturi</w:t>
      </w:r>
      <w:proofErr w:type="spellEnd"/>
      <w:r>
        <w:rPr>
          <w:rFonts w:ascii="Times New Roman" w:hAnsi="Times New Roman"/>
          <w:sz w:val="24"/>
        </w:rPr>
        <w:t xml:space="preserve"> ‘Istituzzjonijiet’</w:t>
      </w:r>
      <w:bookmarkEnd w:id="80"/>
      <w:bookmarkEnd w:id="81"/>
      <w:bookmarkEnd w:id="82"/>
    </w:p>
    <w:p w14:paraId="2D0824B0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66</w:t>
      </w:r>
      <w:r>
        <w:fldChar w:fldCharType="end"/>
      </w:r>
      <w:r>
        <w:t>.</w:t>
      </w:r>
      <w:r>
        <w:tab/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intragrupp</w:t>
      </w:r>
      <w:proofErr w:type="spellEnd"/>
      <w:r>
        <w:t xml:space="preserve"> imsemmija fl-Artikolu 113, il-</w:t>
      </w:r>
      <w:proofErr w:type="spellStart"/>
      <w:r>
        <w:t>paragrafi</w:t>
      </w:r>
      <w:proofErr w:type="spellEnd"/>
      <w:r>
        <w:t xml:space="preserve"> 6 u 7 tar-Regolament (UE) Nru 575/2013 għandhom ikunu rapportati kif ġej:</w:t>
      </w:r>
    </w:p>
    <w:p w14:paraId="2C745100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67</w:t>
      </w:r>
      <w:r>
        <w:fldChar w:fldCharType="end"/>
      </w:r>
      <w:r>
        <w:t>.</w:t>
      </w:r>
      <w:r>
        <w:tab/>
      </w:r>
      <w:proofErr w:type="spellStart"/>
      <w:r>
        <w:t>Skoperturi</w:t>
      </w:r>
      <w:proofErr w:type="spellEnd"/>
      <w:r>
        <w:t xml:space="preserve"> li jissodisfaw ir-rekwiżiti tal-Artikolu 113 (7) tar-Regolament (UE) Nru 575/2013 għandhom jiġu rapportati fil-klassijiet tal-</w:t>
      </w:r>
      <w:proofErr w:type="spellStart"/>
      <w:r>
        <w:t>iskoperturi</w:t>
      </w:r>
      <w:proofErr w:type="spellEnd"/>
      <w:r>
        <w:t xml:space="preserve"> rispettivi meta jkunu rapportati jekk ma kienx hemm </w:t>
      </w:r>
      <w:proofErr w:type="spellStart"/>
      <w:r>
        <w:t>skoperturi</w:t>
      </w:r>
      <w:proofErr w:type="spellEnd"/>
      <w:r>
        <w:t xml:space="preserve"> </w:t>
      </w:r>
      <w:proofErr w:type="spellStart"/>
      <w:r>
        <w:t>intragrupp</w:t>
      </w:r>
      <w:proofErr w:type="spellEnd"/>
      <w:r>
        <w:t>.</w:t>
      </w:r>
    </w:p>
    <w:p w14:paraId="05543768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68</w:t>
      </w:r>
      <w:r>
        <w:fldChar w:fldCharType="end"/>
      </w:r>
      <w:r>
        <w:t>.</w:t>
      </w:r>
      <w:r>
        <w:tab/>
        <w:t>Skont l-Artikolu 113, il-</w:t>
      </w:r>
      <w:proofErr w:type="spellStart"/>
      <w:r>
        <w:t>paragrafi</w:t>
      </w:r>
      <w:proofErr w:type="spellEnd"/>
      <w:r>
        <w:t xml:space="preserve"> 6 u 7 tar-Regolament (UE) Nru 575/2013 istituzzjoni </w:t>
      </w:r>
      <w:proofErr w:type="spellStart"/>
      <w:r>
        <w:t>tista</w:t>
      </w:r>
      <w:proofErr w:type="spellEnd"/>
      <w:r>
        <w:t xml:space="preserve">’, soġġetta għall-approvazzjoni minn qabel mill-awtoritajiet kompetenti, tiddeċiedi li ma tapplikax ir-rekwiżiti tal-paragrafu 1 ta’ dan l-Artikolu </w:t>
      </w:r>
      <w:proofErr w:type="spellStart"/>
      <w:r>
        <w:t>għall-iskoperturi</w:t>
      </w:r>
      <w:proofErr w:type="spellEnd"/>
      <w:r>
        <w:t xml:space="preserve"> ta’ dik l-istituzzjoni għal </w:t>
      </w:r>
      <w:proofErr w:type="spellStart"/>
      <w:r>
        <w:t>kontroparti</w:t>
      </w:r>
      <w:proofErr w:type="spellEnd"/>
      <w:r>
        <w:t xml:space="preserve"> li tkun l-impriża omm tagħha, is-sussidjarja tagħha, sussidjarja tal-impriża omm tagħha jew impriża marbuta b’relazzjoni skont it-tifsira tal-Artikolu 12(1) tad-Direttiva 83/349/KEE. Dak ifisser li l-kontropartijiet </w:t>
      </w:r>
      <w:proofErr w:type="spellStart"/>
      <w:r>
        <w:t>intragrupp</w:t>
      </w:r>
      <w:proofErr w:type="spellEnd"/>
      <w:r>
        <w:t xml:space="preserve"> mhux bilfors huma istituzzjonijiet iżda anki impriżi li huma assenjati fi klassijiet ta’ </w:t>
      </w:r>
      <w:proofErr w:type="spellStart"/>
      <w:r>
        <w:t>skoperturi</w:t>
      </w:r>
      <w:proofErr w:type="spellEnd"/>
      <w:r>
        <w:t xml:space="preserve"> oħrajn, eż. impriżi ta’ servizzi anċillari jew impriżi skont it-tifsira tal-Artikolu 12 (1) tad-Direttiva tal-Kunsill 83/349/KEE</w:t>
      </w:r>
      <w:r w:rsidRPr="002A677E">
        <w:footnoteReference w:id="1"/>
      </w:r>
      <w:r>
        <w:t>. Għaldaqstant, 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intragrupp</w:t>
      </w:r>
      <w:proofErr w:type="spellEnd"/>
      <w:r>
        <w:t xml:space="preserve"> għandhom ikunu rapportati fil-klassi tal-</w:t>
      </w:r>
      <w:proofErr w:type="spellStart"/>
      <w:r>
        <w:t>iskoperturi</w:t>
      </w:r>
      <w:proofErr w:type="spellEnd"/>
      <w:r>
        <w:t xml:space="preserve"> korrispondenti.</w:t>
      </w:r>
    </w:p>
    <w:p w14:paraId="0ADE526C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83" w:name="_Toc360188354"/>
      <w:bookmarkStart w:id="84" w:name="_Toc473560903"/>
      <w:bookmarkStart w:id="85" w:name="_Toc151714391"/>
      <w:r>
        <w:rPr>
          <w:rFonts w:ascii="Times New Roman" w:hAnsi="Times New Roman"/>
          <w:sz w:val="24"/>
          <w:u w:val="none"/>
        </w:rPr>
        <w:t>3.2.4,2.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Klassi ta’ </w:t>
      </w: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‘Bonds Koperti’</w:t>
      </w:r>
      <w:bookmarkEnd w:id="83"/>
      <w:bookmarkEnd w:id="84"/>
      <w:bookmarkEnd w:id="85"/>
    </w:p>
    <w:p w14:paraId="0E0CB136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69</w:t>
      </w:r>
      <w:r>
        <w:fldChar w:fldCharType="end"/>
      </w:r>
      <w:r>
        <w:t>.</w:t>
      </w:r>
      <w:r>
        <w:tab/>
      </w:r>
      <w:proofErr w:type="spellStart"/>
      <w:r>
        <w:t>Skoperturi</w:t>
      </w:r>
      <w:proofErr w:type="spellEnd"/>
      <w:r>
        <w:t xml:space="preserve"> SA għandhom jiġu assenjati għall-klassi ta’ </w:t>
      </w:r>
      <w:proofErr w:type="spellStart"/>
      <w:r>
        <w:t>skoperturi</w:t>
      </w:r>
      <w:proofErr w:type="spellEnd"/>
      <w:r>
        <w:t xml:space="preserve"> ‘bonds koperti’ kif ġej:</w:t>
      </w:r>
    </w:p>
    <w:p w14:paraId="17F70C08" w14:textId="77777777" w:rsidR="00F23615" w:rsidRPr="002A677E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70</w:t>
      </w:r>
      <w:r>
        <w:fldChar w:fldCharType="end"/>
      </w:r>
      <w:r>
        <w:t>.</w:t>
      </w:r>
      <w:r>
        <w:tab/>
        <w:t>Bonds imsemmija fl-Artikolu 52(4) tad-Direttiva 2009/65/KE tal-Parlament Ewropew u tal-Kunsill</w:t>
      </w:r>
      <w:r w:rsidRPr="002A677E">
        <w:footnoteReference w:id="2"/>
      </w:r>
      <w:r>
        <w:t xml:space="preserve"> għandhom jissodisfaw ir-rekwiżiti tal-Artikolu 129, il-</w:t>
      </w:r>
      <w:proofErr w:type="spellStart"/>
      <w:r>
        <w:t>paragrafi</w:t>
      </w:r>
      <w:proofErr w:type="spellEnd"/>
      <w:r>
        <w:t xml:space="preserve"> 1 u 2 tar-Regolament (UE) Nru 575/2013 sabiex jiġu </w:t>
      </w:r>
      <w:proofErr w:type="spellStart"/>
      <w:r>
        <w:t>kklassifikati</w:t>
      </w:r>
      <w:proofErr w:type="spellEnd"/>
      <w:r>
        <w:t xml:space="preserve"> fil-klassi ta’ </w:t>
      </w:r>
      <w:proofErr w:type="spellStart"/>
      <w:r>
        <w:t>skoperturi</w:t>
      </w:r>
      <w:proofErr w:type="spellEnd"/>
      <w:r>
        <w:t xml:space="preserve"> “Bonds Koperti”. L-</w:t>
      </w:r>
      <w:proofErr w:type="spellStart"/>
      <w:r>
        <w:t>ilħiq</w:t>
      </w:r>
      <w:proofErr w:type="spellEnd"/>
      <w:r>
        <w:t xml:space="preserve"> ta’ dawk ir-rekwiżiti jrid jiġi verifikat f’kull każ. Minkejja dan, bonds imsemmija fl-Artikolu 52(4) tad-Direttiva 2009/65/KE u maħruġin qabel il-31 ta’ Diċembru 2007 għandhom jiġu assenjati wkoll fil-klassi ta’ </w:t>
      </w:r>
      <w:proofErr w:type="spellStart"/>
      <w:r>
        <w:t>skoperturi</w:t>
      </w:r>
      <w:proofErr w:type="spellEnd"/>
      <w:r>
        <w:t xml:space="preserve"> “Bonds koperti” skont l-Artikolu 129(6) tar-Regolament (UE) Nru 575/2013.</w:t>
      </w:r>
    </w:p>
    <w:p w14:paraId="7B955735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86" w:name="_Toc360188355"/>
      <w:bookmarkStart w:id="87" w:name="_Toc473560904"/>
      <w:bookmarkStart w:id="88" w:name="_Toc151714392"/>
      <w:r>
        <w:rPr>
          <w:rFonts w:ascii="Times New Roman" w:hAnsi="Times New Roman"/>
          <w:sz w:val="24"/>
          <w:u w:val="none"/>
        </w:rPr>
        <w:t>3.2.4,3.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Klassi tal-</w:t>
      </w:r>
      <w:proofErr w:type="spellStart"/>
      <w:r>
        <w:rPr>
          <w:rFonts w:ascii="Times New Roman" w:hAnsi="Times New Roman"/>
          <w:sz w:val="24"/>
        </w:rPr>
        <w:t>iskoperturi</w:t>
      </w:r>
      <w:proofErr w:type="spellEnd"/>
      <w:r>
        <w:rPr>
          <w:rFonts w:ascii="Times New Roman" w:hAnsi="Times New Roman"/>
          <w:sz w:val="24"/>
        </w:rPr>
        <w:t xml:space="preserve"> ‘Impriżi ta’ Investiment Kollettiv’</w:t>
      </w:r>
      <w:bookmarkEnd w:id="86"/>
      <w:bookmarkEnd w:id="87"/>
      <w:bookmarkEnd w:id="88"/>
    </w:p>
    <w:p w14:paraId="2B3F9753" w14:textId="77777777" w:rsidR="00F23615" w:rsidRDefault="00F23615" w:rsidP="007F1637">
      <w:pPr>
        <w:pStyle w:val="InstructionsText2"/>
      </w:pPr>
      <w:r>
        <w:fldChar w:fldCharType="begin"/>
      </w:r>
      <w:r>
        <w:instrText>seq paragraphs</w:instrText>
      </w:r>
      <w:r>
        <w:fldChar w:fldCharType="separate"/>
      </w:r>
      <w:r>
        <w:t>71</w:t>
      </w:r>
      <w:r>
        <w:fldChar w:fldCharType="end"/>
      </w:r>
      <w:r>
        <w:t>.</w:t>
      </w:r>
      <w:r>
        <w:tab/>
        <w:t xml:space="preserve">Meta tintuża l-possibbiltà msemmija fl-Artikolu 132a (2) tar-Regolament (UE) Nru 575/2013, </w:t>
      </w:r>
      <w:proofErr w:type="spellStart"/>
      <w:r>
        <w:t>skoperturi</w:t>
      </w:r>
      <w:proofErr w:type="spellEnd"/>
      <w:r>
        <w:t xml:space="preserve"> fil-forma ta’ unitajiet jew ishma f’</w:t>
      </w:r>
      <w:proofErr w:type="spellStart"/>
      <w:r>
        <w:t>CIUs</w:t>
      </w:r>
      <w:proofErr w:type="spellEnd"/>
      <w:r>
        <w:t xml:space="preserve"> għandhom jiġu rapportati bħala </w:t>
      </w:r>
      <w:proofErr w:type="spellStart"/>
      <w:r>
        <w:t>entrati</w:t>
      </w:r>
      <w:proofErr w:type="spellEnd"/>
      <w:r>
        <w:t xml:space="preserve"> tal-karta bilanċjali f’</w:t>
      </w:r>
      <w:proofErr w:type="spellStart"/>
      <w:r>
        <w:t>konformità</w:t>
      </w:r>
      <w:proofErr w:type="spellEnd"/>
      <w:r>
        <w:t xml:space="preserve"> mal-ewwel sentenza fl-Artikolu 111(1) tar-Regolament (UE) Nru 575/2013. </w:t>
      </w:r>
    </w:p>
    <w:p w14:paraId="419D036C" w14:textId="77777777" w:rsidR="00F23615" w:rsidRPr="007A4181" w:rsidRDefault="00F23615" w:rsidP="007F1637">
      <w:pPr>
        <w:pStyle w:val="InstructionsText2"/>
        <w:rPr>
          <w:rFonts w:eastAsia="Arial"/>
        </w:rPr>
      </w:pPr>
      <w:r>
        <w:lastRenderedPageBreak/>
        <w:t>3.2.4.4 Klassi tal-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ggarantiti</w:t>
      </w:r>
      <w:proofErr w:type="spellEnd"/>
      <w:r>
        <w:t xml:space="preserve"> b'ipoteki fuq proprjetà immobbli u </w:t>
      </w:r>
      <w:proofErr w:type="spellStart"/>
      <w:r>
        <w:t>skoperturi</w:t>
      </w:r>
      <w:proofErr w:type="spellEnd"/>
      <w:r>
        <w:t xml:space="preserve"> ADC”</w:t>
      </w:r>
    </w:p>
    <w:p w14:paraId="3F992FE2" w14:textId="77777777" w:rsidR="00F23615" w:rsidRDefault="00F23615" w:rsidP="007F1637">
      <w:pPr>
        <w:pStyle w:val="InstructionsText2"/>
        <w:rPr>
          <w:noProof/>
        </w:rPr>
      </w:pPr>
      <w:r>
        <w:t xml:space="preserve">71a. Għall-finijiet ta’ </w:t>
      </w:r>
      <w:proofErr w:type="spellStart"/>
      <w:r>
        <w:t>rapportar</w:t>
      </w:r>
      <w:proofErr w:type="spellEnd"/>
      <w:r>
        <w:t>, il-klassi tal-</w:t>
      </w:r>
      <w:proofErr w:type="spellStart"/>
      <w:r>
        <w:t>iskoperturi</w:t>
      </w:r>
      <w:proofErr w:type="spellEnd"/>
      <w:r>
        <w:t xml:space="preserve"> msemmija fl-Artikolu 112(i) tar-Regolament (UE) Nru 575/2013 hija </w:t>
      </w:r>
      <w:proofErr w:type="spellStart"/>
      <w:r>
        <w:t>diżaggregata</w:t>
      </w:r>
      <w:proofErr w:type="spellEnd"/>
      <w:r>
        <w:t xml:space="preserve"> fi klassijiet ta’ </w:t>
      </w:r>
      <w:proofErr w:type="spellStart"/>
      <w:r>
        <w:t>sottoskoperturi</w:t>
      </w:r>
      <w:proofErr w:type="spellEnd"/>
      <w:r>
        <w:t>:</w:t>
      </w:r>
    </w:p>
    <w:p w14:paraId="72CECF49" w14:textId="77777777" w:rsidR="00F23615" w:rsidRDefault="00F23615" w:rsidP="007F1637">
      <w:pPr>
        <w:pStyle w:val="InstructionsText2"/>
        <w:rPr>
          <w:rFonts w:eastAsia="Arial"/>
        </w:rPr>
      </w:pPr>
      <w:r>
        <w:t xml:space="preserve">a. </w:t>
      </w:r>
      <w:proofErr w:type="spellStart"/>
      <w:r>
        <w:t>Iggarantiti</w:t>
      </w:r>
      <w:proofErr w:type="spellEnd"/>
      <w:r>
        <w:t xml:space="preserve"> b’ipoteki fuq proprjetà immobbli residenzjali — mhux IPRE (garantiti):</w:t>
      </w:r>
    </w:p>
    <w:p w14:paraId="02F309BA" w14:textId="638687A2" w:rsidR="00F23615" w:rsidRPr="000A5B47" w:rsidRDefault="00F23615" w:rsidP="00F23615">
      <w:pPr>
        <w:pStyle w:val="ListParagraph"/>
        <w:numPr>
          <w:ilvl w:val="0"/>
          <w:numId w:val="29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mhux IPRE trattati f’</w:t>
      </w:r>
      <w:proofErr w:type="spellStart"/>
      <w:r>
        <w:rPr>
          <w:rFonts w:ascii="Times New Roman" w:hAnsi="Times New Roman"/>
          <w:sz w:val="24"/>
        </w:rPr>
        <w:t>konformità</w:t>
      </w:r>
      <w:proofErr w:type="spellEnd"/>
      <w:r>
        <w:rPr>
          <w:rFonts w:ascii="Times New Roman" w:hAnsi="Times New Roman"/>
          <w:sz w:val="24"/>
        </w:rPr>
        <w:t xml:space="preserve"> mal-Artikolu 125(1), għajr l-aħħar </w:t>
      </w:r>
      <w:proofErr w:type="spellStart"/>
      <w:r>
        <w:rPr>
          <w:rFonts w:ascii="Times New Roman" w:hAnsi="Times New Roman"/>
          <w:sz w:val="24"/>
        </w:rPr>
        <w:t>subparagrafu</w:t>
      </w:r>
      <w:proofErr w:type="spellEnd"/>
      <w:r>
        <w:rPr>
          <w:rFonts w:ascii="Times New Roman" w:hAnsi="Times New Roman"/>
          <w:sz w:val="24"/>
        </w:rPr>
        <w:t xml:space="preserve">, </w:t>
      </w:r>
      <w:r>
        <w:rPr>
          <w:rStyle w:val="ui-provider"/>
          <w:rFonts w:ascii="Times New Roman" w:hAnsi="Times New Roman"/>
          <w:sz w:val="24"/>
        </w:rPr>
        <w:t>tar-Regolament (UE) Nru 575/2013;</w:t>
      </w:r>
    </w:p>
    <w:p w14:paraId="7DDFD6DA" w14:textId="4AA69B21" w:rsidR="00F23615" w:rsidRPr="00ED4738" w:rsidRDefault="00F23615" w:rsidP="00F23615">
      <w:pPr>
        <w:spacing w:before="0" w:after="0"/>
        <w:ind w:left="993"/>
        <w:jc w:val="left"/>
        <w:rPr>
          <w:rFonts w:ascii="Times New Roman" w:hAnsi="Times New Roman"/>
          <w:sz w:val="24"/>
        </w:rPr>
      </w:pPr>
    </w:p>
    <w:p w14:paraId="246F484E" w14:textId="77777777" w:rsidR="00B3753C" w:rsidRDefault="00F23615" w:rsidP="007F1637">
      <w:pPr>
        <w:pStyle w:val="InstructionsText2"/>
        <w:rPr>
          <w:rFonts w:eastAsia="Arial"/>
        </w:rPr>
      </w:pPr>
      <w:r>
        <w:t xml:space="preserve">b. </w:t>
      </w:r>
      <w:proofErr w:type="spellStart"/>
      <w:r>
        <w:t>Iggarantiti</w:t>
      </w:r>
      <w:proofErr w:type="spellEnd"/>
      <w:r>
        <w:t xml:space="preserve"> b’ipoteki fuq proprjetà immobbli residenzjali – mhux IPRE (mhux garantiti): </w:t>
      </w:r>
    </w:p>
    <w:p w14:paraId="0F4272FE" w14:textId="3B0E4D42" w:rsidR="00F23615" w:rsidRDefault="00F23615" w:rsidP="00B3753C">
      <w:pPr>
        <w:pStyle w:val="ListParagraph"/>
        <w:numPr>
          <w:ilvl w:val="0"/>
          <w:numId w:val="29"/>
        </w:numPr>
        <w:spacing w:before="0" w:after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L-Artikolu 125(1), l-aħħar </w:t>
      </w:r>
      <w:proofErr w:type="spellStart"/>
      <w:r>
        <w:rPr>
          <w:rFonts w:ascii="Times New Roman" w:hAnsi="Times New Roman"/>
          <w:sz w:val="24"/>
        </w:rPr>
        <w:t>subparagrafu</w:t>
      </w:r>
      <w:proofErr w:type="spellEnd"/>
      <w:r>
        <w:rPr>
          <w:rFonts w:ascii="Times New Roman" w:hAnsi="Times New Roman"/>
          <w:sz w:val="24"/>
        </w:rPr>
        <w:t>, tar-Regolament (UE) 575/2013.</w:t>
      </w:r>
    </w:p>
    <w:p w14:paraId="6D68E136" w14:textId="77777777" w:rsidR="00B3753C" w:rsidRPr="00B3753C" w:rsidRDefault="00B3753C" w:rsidP="00B3753C">
      <w:pPr>
        <w:pStyle w:val="ListParagraph"/>
        <w:spacing w:before="0" w:after="0"/>
        <w:ind w:left="1713"/>
        <w:jc w:val="left"/>
        <w:rPr>
          <w:rFonts w:ascii="Times New Roman" w:hAnsi="Times New Roman"/>
          <w:sz w:val="24"/>
        </w:rPr>
      </w:pPr>
    </w:p>
    <w:p w14:paraId="196B4193" w14:textId="337ED6DD" w:rsidR="00B3753C" w:rsidRDefault="00B3753C" w:rsidP="007F1637">
      <w:pPr>
        <w:pStyle w:val="InstructionsText2"/>
        <w:rPr>
          <w:rFonts w:eastAsia="Arial"/>
        </w:rPr>
      </w:pPr>
      <w:r>
        <w:t xml:space="preserve">c. </w:t>
      </w:r>
      <w:proofErr w:type="spellStart"/>
      <w:r>
        <w:t>Iggarantiti</w:t>
      </w:r>
      <w:proofErr w:type="spellEnd"/>
      <w:r>
        <w:t xml:space="preserve"> b’ipoteki fuq proprjetà immobbli residenzjali – Oħra - mhux IPRE</w:t>
      </w:r>
    </w:p>
    <w:p w14:paraId="0A960655" w14:textId="47366B9C" w:rsidR="00500245" w:rsidRPr="00500245" w:rsidRDefault="00500245" w:rsidP="00500245">
      <w:pPr>
        <w:pStyle w:val="ListParagraph"/>
        <w:numPr>
          <w:ilvl w:val="0"/>
          <w:numId w:val="29"/>
        </w:numPr>
        <w:spacing w:before="0" w:after="0"/>
        <w:jc w:val="left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li ma jissodisfawx il-kundizzjonijiet fl-Artikolu 124(3), jew kwalunkwe parti ta’ </w:t>
      </w:r>
      <w:proofErr w:type="spellStart"/>
      <w:r>
        <w:rPr>
          <w:rFonts w:ascii="Times New Roman" w:hAnsi="Times New Roman"/>
          <w:sz w:val="24"/>
        </w:rPr>
        <w:t>skopertura</w:t>
      </w:r>
      <w:proofErr w:type="spellEnd"/>
      <w:r>
        <w:rPr>
          <w:rFonts w:ascii="Times New Roman" w:hAnsi="Times New Roman"/>
          <w:sz w:val="24"/>
        </w:rPr>
        <w:t xml:space="preserve"> mhux ADC li taqbeż l-ammont nominali tar-rahan tal-proprjetà, imsemmija fl-Artikolu 124(1), il-punt (a) tar-Regolament (UE) Nru 575/2013</w:t>
      </w:r>
    </w:p>
    <w:p w14:paraId="5CCBECF0" w14:textId="6508AFF4" w:rsidR="00B3753C" w:rsidRDefault="00B3753C" w:rsidP="007F1637">
      <w:pPr>
        <w:pStyle w:val="InstructionsText2"/>
        <w:rPr>
          <w:rFonts w:eastAsia="Arial"/>
        </w:rPr>
      </w:pPr>
      <w:r>
        <w:t xml:space="preserve">d. </w:t>
      </w:r>
      <w:proofErr w:type="spellStart"/>
      <w:r>
        <w:t>Iggarantiti</w:t>
      </w:r>
      <w:proofErr w:type="spellEnd"/>
      <w:r>
        <w:t xml:space="preserve"> b’ipoteki fuq proprjetà immobbli residenzjali – IPRE: </w:t>
      </w:r>
    </w:p>
    <w:p w14:paraId="03422F40" w14:textId="7B468E3E" w:rsidR="00F23615" w:rsidRPr="00B3753C" w:rsidRDefault="00F23615" w:rsidP="00B3753C">
      <w:pPr>
        <w:pStyle w:val="ListParagraph"/>
        <w:numPr>
          <w:ilvl w:val="0"/>
          <w:numId w:val="29"/>
        </w:numPr>
        <w:spacing w:before="0" w:after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L-Artikolu 125(2) tar-Regolament (UE) Nru 575/2013</w:t>
      </w:r>
    </w:p>
    <w:p w14:paraId="6BC20263" w14:textId="77777777" w:rsidR="00B3753C" w:rsidRPr="00ED4738" w:rsidRDefault="00B3753C" w:rsidP="00B3753C">
      <w:pPr>
        <w:pStyle w:val="ListParagraph"/>
        <w:numPr>
          <w:ilvl w:val="0"/>
          <w:numId w:val="29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IPRE li jissodisfaw kwalunkwe waħda mill-kundizzjonijiet stabbiliti fl-Artikolu 124(2), il-punt (a)(</w:t>
      </w:r>
      <w:proofErr w:type="spellStart"/>
      <w:r>
        <w:rPr>
          <w:rFonts w:ascii="Times New Roman" w:hAnsi="Times New Roman"/>
          <w:sz w:val="24"/>
        </w:rPr>
        <w:t>ii</w:t>
      </w:r>
      <w:proofErr w:type="spellEnd"/>
      <w:r>
        <w:rPr>
          <w:rFonts w:ascii="Times New Roman" w:hAnsi="Times New Roman"/>
          <w:sz w:val="24"/>
        </w:rPr>
        <w:t xml:space="preserve">), il-punti (1) sa (4) </w:t>
      </w:r>
      <w:r>
        <w:rPr>
          <w:rStyle w:val="ui-provider"/>
          <w:rFonts w:ascii="Times New Roman" w:hAnsi="Times New Roman"/>
          <w:sz w:val="24"/>
        </w:rPr>
        <w:t>tar-Regolament (UE) 575/2013;</w:t>
      </w:r>
    </w:p>
    <w:p w14:paraId="0CE27472" w14:textId="77777777" w:rsidR="00B3753C" w:rsidRPr="000A5B47" w:rsidRDefault="00B3753C" w:rsidP="00B3753C">
      <w:pPr>
        <w:pStyle w:val="ListParagraph"/>
        <w:numPr>
          <w:ilvl w:val="0"/>
          <w:numId w:val="29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Style w:val="ui-provider"/>
          <w:rFonts w:ascii="Times New Roman" w:hAnsi="Times New Roman"/>
          <w:sz w:val="24"/>
        </w:rPr>
        <w:t>Skoperturi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IPRE fejn tapplika d-deroga stabbilita fit-tieni </w:t>
      </w:r>
      <w:proofErr w:type="spellStart"/>
      <w:r>
        <w:rPr>
          <w:rStyle w:val="ui-provider"/>
          <w:rFonts w:ascii="Times New Roman" w:hAnsi="Times New Roman"/>
          <w:sz w:val="24"/>
        </w:rPr>
        <w:t>subparagrafu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tal-Artikolu 125(2) tar-Regolament (UE) 575/2013.</w:t>
      </w:r>
    </w:p>
    <w:p w14:paraId="5B3B7532" w14:textId="77777777" w:rsidR="00B3753C" w:rsidRDefault="00B3753C" w:rsidP="007F1637">
      <w:pPr>
        <w:pStyle w:val="InstructionsText2"/>
        <w:rPr>
          <w:rFonts w:eastAsia="Arial"/>
        </w:rPr>
      </w:pPr>
    </w:p>
    <w:p w14:paraId="7B9B4208" w14:textId="0540736B" w:rsidR="00B3753C" w:rsidRDefault="00B3753C" w:rsidP="007F1637">
      <w:pPr>
        <w:pStyle w:val="InstructionsText2"/>
        <w:rPr>
          <w:rFonts w:eastAsia="Arial"/>
        </w:rPr>
      </w:pPr>
      <w:r>
        <w:t xml:space="preserve">e. </w:t>
      </w:r>
      <w:proofErr w:type="spellStart"/>
      <w:r>
        <w:t>Iggarantiti</w:t>
      </w:r>
      <w:proofErr w:type="spellEnd"/>
      <w:r>
        <w:t xml:space="preserve"> b’ipoteki fuq proprjetà immobbli residenzjali – Oħra – IPRE</w:t>
      </w:r>
    </w:p>
    <w:p w14:paraId="05F0A0F4" w14:textId="5B438252" w:rsidR="00500245" w:rsidRDefault="00500245" w:rsidP="00500245">
      <w:pPr>
        <w:pStyle w:val="ListParagraph"/>
        <w:numPr>
          <w:ilvl w:val="0"/>
          <w:numId w:val="29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Style w:val="ui-provider"/>
          <w:rFonts w:ascii="Times New Roman" w:hAnsi="Times New Roman"/>
          <w:sz w:val="24"/>
        </w:rPr>
        <w:t>Skoperturi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li ma jissodisfawx il-kundizzjonijiet fl-Artikolu 124(3), jew kwalunkwe parti ta’ </w:t>
      </w:r>
      <w:proofErr w:type="spellStart"/>
      <w:r>
        <w:rPr>
          <w:rStyle w:val="ui-provider"/>
          <w:rFonts w:ascii="Times New Roman" w:hAnsi="Times New Roman"/>
          <w:sz w:val="24"/>
        </w:rPr>
        <w:t>skopertura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mhux ADC li taqbeż l-ammont nominali tar-rahan tal-proprjetà, imsemmija fl-Artikolu 124(1), il-punt (b) tar-Regolament (UE) Nru 575/2013</w:t>
      </w:r>
    </w:p>
    <w:p w14:paraId="3CB44974" w14:textId="77777777" w:rsidR="00500245" w:rsidRPr="00500245" w:rsidRDefault="00500245" w:rsidP="00500245">
      <w:pPr>
        <w:pStyle w:val="ListParagraph"/>
        <w:spacing w:before="0" w:after="0"/>
        <w:ind w:left="1713"/>
        <w:jc w:val="left"/>
        <w:rPr>
          <w:rStyle w:val="ui-provider"/>
          <w:rFonts w:ascii="Times New Roman" w:hAnsi="Times New Roman"/>
          <w:sz w:val="24"/>
        </w:rPr>
      </w:pPr>
    </w:p>
    <w:p w14:paraId="1D1B6DD6" w14:textId="608A9FEB" w:rsidR="00F23615" w:rsidRPr="000059B8" w:rsidRDefault="00500245" w:rsidP="007F1637">
      <w:pPr>
        <w:pStyle w:val="InstructionsText2"/>
        <w:rPr>
          <w:rFonts w:eastAsia="Arial"/>
        </w:rPr>
      </w:pPr>
      <w:r>
        <w:t xml:space="preserve">f. </w:t>
      </w:r>
      <w:proofErr w:type="spellStart"/>
      <w:r>
        <w:t>Iggarantiti</w:t>
      </w:r>
      <w:proofErr w:type="spellEnd"/>
      <w:r>
        <w:t xml:space="preserve"> b’ipoteki fuq proprjetà immobbli kummerċjali – mhux IPRE (garantiti)</w:t>
      </w:r>
    </w:p>
    <w:p w14:paraId="40517E71" w14:textId="0A931684" w:rsidR="00F23615" w:rsidRPr="001E6A9E" w:rsidRDefault="00F23615" w:rsidP="00F23615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Skoperturi</w:t>
      </w:r>
      <w:proofErr w:type="spellEnd"/>
      <w:r>
        <w:rPr>
          <w:rFonts w:ascii="Times New Roman" w:hAnsi="Times New Roman"/>
          <w:sz w:val="24"/>
        </w:rPr>
        <w:t xml:space="preserve"> mhux IPRE trattati f’</w:t>
      </w:r>
      <w:proofErr w:type="spellStart"/>
      <w:r>
        <w:rPr>
          <w:rFonts w:ascii="Times New Roman" w:hAnsi="Times New Roman"/>
          <w:sz w:val="24"/>
        </w:rPr>
        <w:t>konformità</w:t>
      </w:r>
      <w:proofErr w:type="spellEnd"/>
      <w:r>
        <w:rPr>
          <w:rFonts w:ascii="Times New Roman" w:hAnsi="Times New Roman"/>
          <w:sz w:val="24"/>
        </w:rPr>
        <w:t xml:space="preserve"> mal-Artikolu 126(1), għajr l-aħħar </w:t>
      </w:r>
      <w:proofErr w:type="spellStart"/>
      <w:r>
        <w:rPr>
          <w:rFonts w:ascii="Times New Roman" w:hAnsi="Times New Roman"/>
          <w:sz w:val="24"/>
        </w:rPr>
        <w:t>subparagrafu</w:t>
      </w:r>
      <w:proofErr w:type="spellEnd"/>
      <w:r>
        <w:rPr>
          <w:rFonts w:ascii="Times New Roman" w:hAnsi="Times New Roman"/>
          <w:sz w:val="24"/>
        </w:rPr>
        <w:t xml:space="preserve">, </w:t>
      </w:r>
      <w:r>
        <w:rPr>
          <w:rStyle w:val="ui-provider"/>
          <w:rFonts w:ascii="Times New Roman" w:hAnsi="Times New Roman"/>
          <w:sz w:val="24"/>
        </w:rPr>
        <w:t>tar-Regolament (UE) Nru 575/2013;</w:t>
      </w:r>
    </w:p>
    <w:p w14:paraId="09C73421" w14:textId="77777777" w:rsidR="00F23615" w:rsidRPr="00ED4738" w:rsidRDefault="00F23615" w:rsidP="00F23615">
      <w:pPr>
        <w:pStyle w:val="ListParagraph"/>
        <w:spacing w:before="0" w:after="0"/>
        <w:ind w:left="1713"/>
        <w:jc w:val="left"/>
        <w:rPr>
          <w:rFonts w:ascii="Times New Roman" w:hAnsi="Times New Roman"/>
          <w:sz w:val="24"/>
        </w:rPr>
      </w:pPr>
    </w:p>
    <w:p w14:paraId="772CCA15" w14:textId="11C8E603" w:rsidR="00500245" w:rsidRDefault="00500245" w:rsidP="007F1637">
      <w:pPr>
        <w:pStyle w:val="InstructionsText2"/>
        <w:rPr>
          <w:noProof/>
        </w:rPr>
      </w:pPr>
      <w:r>
        <w:t xml:space="preserve">g. </w:t>
      </w:r>
      <w:proofErr w:type="spellStart"/>
      <w:r>
        <w:t>Iggarantiti</w:t>
      </w:r>
      <w:proofErr w:type="spellEnd"/>
      <w:r>
        <w:t xml:space="preserve"> b’ipoteki fuq proprjetà immobbli kummerċjali – mhux IPRE (mhux garantiti): </w:t>
      </w:r>
    </w:p>
    <w:p w14:paraId="3A278651" w14:textId="16FA61BB" w:rsidR="00F23615" w:rsidRDefault="00F23615" w:rsidP="00500245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r>
        <w:rPr>
          <w:rStyle w:val="ui-provider"/>
          <w:rFonts w:ascii="Times New Roman" w:hAnsi="Times New Roman"/>
          <w:sz w:val="24"/>
        </w:rPr>
        <w:t xml:space="preserve">L-Artikolu 126(1), l-aħħar </w:t>
      </w:r>
      <w:proofErr w:type="spellStart"/>
      <w:r>
        <w:rPr>
          <w:rStyle w:val="ui-provider"/>
          <w:rFonts w:ascii="Times New Roman" w:hAnsi="Times New Roman"/>
          <w:sz w:val="24"/>
        </w:rPr>
        <w:t>subparagrafu</w:t>
      </w:r>
      <w:proofErr w:type="spellEnd"/>
      <w:r>
        <w:rPr>
          <w:rStyle w:val="ui-provider"/>
          <w:rFonts w:ascii="Times New Roman" w:hAnsi="Times New Roman"/>
          <w:sz w:val="24"/>
        </w:rPr>
        <w:t>, tar-Regolament (UE) 575/2013.</w:t>
      </w:r>
    </w:p>
    <w:p w14:paraId="1A45B507" w14:textId="77777777" w:rsidR="00500245" w:rsidRPr="00500245" w:rsidRDefault="00500245" w:rsidP="00500245">
      <w:pPr>
        <w:pStyle w:val="ListParagraph"/>
        <w:spacing w:before="0" w:after="0"/>
        <w:ind w:left="1713"/>
        <w:jc w:val="left"/>
        <w:rPr>
          <w:rStyle w:val="ui-provider"/>
          <w:rFonts w:ascii="Times New Roman" w:hAnsi="Times New Roman"/>
          <w:sz w:val="24"/>
        </w:rPr>
      </w:pPr>
    </w:p>
    <w:p w14:paraId="2C6D9834" w14:textId="20F4A742" w:rsidR="00500245" w:rsidRDefault="00500245" w:rsidP="007F1637">
      <w:pPr>
        <w:pStyle w:val="InstructionsText2"/>
        <w:rPr>
          <w:noProof/>
        </w:rPr>
      </w:pPr>
      <w:r>
        <w:t xml:space="preserve">h. </w:t>
      </w:r>
      <w:proofErr w:type="spellStart"/>
      <w:r>
        <w:t>Iggarantiti</w:t>
      </w:r>
      <w:proofErr w:type="spellEnd"/>
      <w:r>
        <w:t xml:space="preserve"> b’ipoteki fuq proprjetà immobbli kummerċjali – Oħra – mhux IPRE: </w:t>
      </w:r>
    </w:p>
    <w:p w14:paraId="67F2ED51" w14:textId="5EE1FDA1" w:rsidR="00500245" w:rsidRDefault="00500245" w:rsidP="00500245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Style w:val="ui-provider"/>
          <w:rFonts w:ascii="Times New Roman" w:hAnsi="Times New Roman"/>
          <w:sz w:val="24"/>
        </w:rPr>
        <w:t>Skoperturi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li ma jissodisfawx il-kundizzjonijiet fl-Artikolu 124(3), jew kwalunkwe parti ta’ </w:t>
      </w:r>
      <w:proofErr w:type="spellStart"/>
      <w:r>
        <w:rPr>
          <w:rStyle w:val="ui-provider"/>
          <w:rFonts w:ascii="Times New Roman" w:hAnsi="Times New Roman"/>
          <w:sz w:val="24"/>
        </w:rPr>
        <w:t>skopertura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mhux ADC li taqbeż l-ammont nominali </w:t>
      </w:r>
      <w:r>
        <w:rPr>
          <w:rStyle w:val="ui-provider"/>
          <w:rFonts w:ascii="Times New Roman" w:hAnsi="Times New Roman"/>
          <w:sz w:val="24"/>
        </w:rPr>
        <w:lastRenderedPageBreak/>
        <w:t>tar-rahan tal-proprjetà, imsemmija fl-Artikolu 124(1), il-punt (a) tar-Regolament (UE) Nru 575/2013</w:t>
      </w:r>
    </w:p>
    <w:p w14:paraId="32583B7B" w14:textId="77777777" w:rsidR="00500245" w:rsidRPr="00500245" w:rsidRDefault="00500245" w:rsidP="00500245">
      <w:pPr>
        <w:pStyle w:val="ListParagraph"/>
        <w:spacing w:before="0" w:after="0"/>
        <w:ind w:left="1713"/>
        <w:jc w:val="left"/>
        <w:rPr>
          <w:rStyle w:val="ui-provider"/>
          <w:rFonts w:ascii="Times New Roman" w:hAnsi="Times New Roman"/>
          <w:sz w:val="24"/>
        </w:rPr>
      </w:pPr>
    </w:p>
    <w:p w14:paraId="753B4AC4" w14:textId="0A2FCBA8" w:rsidR="00500245" w:rsidRDefault="00500245" w:rsidP="007F1637">
      <w:pPr>
        <w:pStyle w:val="InstructionsText2"/>
        <w:rPr>
          <w:noProof/>
        </w:rPr>
      </w:pPr>
      <w:r>
        <w:t xml:space="preserve">i. </w:t>
      </w:r>
      <w:proofErr w:type="spellStart"/>
      <w:r>
        <w:t>Iggarantiti</w:t>
      </w:r>
      <w:proofErr w:type="spellEnd"/>
      <w:r>
        <w:t xml:space="preserve"> b’ipoteki fuq proprjetà immobbli kummerċjali — IPRE: </w:t>
      </w:r>
    </w:p>
    <w:p w14:paraId="1958B156" w14:textId="0402A9DE" w:rsidR="00F23615" w:rsidRPr="00500245" w:rsidRDefault="00F23615" w:rsidP="00500245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r>
        <w:rPr>
          <w:rStyle w:val="ui-provider"/>
          <w:rFonts w:ascii="Times New Roman" w:hAnsi="Times New Roman"/>
          <w:sz w:val="24"/>
        </w:rPr>
        <w:t>L-Artikolu 126(2) tar-Regolament (UE) Nru 575/2013</w:t>
      </w:r>
    </w:p>
    <w:p w14:paraId="3E4ACCF8" w14:textId="77777777" w:rsidR="00500245" w:rsidRDefault="00500245" w:rsidP="00500245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Style w:val="ui-provider"/>
          <w:rFonts w:ascii="Times New Roman" w:hAnsi="Times New Roman"/>
          <w:sz w:val="24"/>
        </w:rPr>
        <w:t>Skoperturi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IPRE fejn tapplika d-deroga stabbilita fit-tieni </w:t>
      </w:r>
      <w:proofErr w:type="spellStart"/>
      <w:r>
        <w:rPr>
          <w:rStyle w:val="ui-provider"/>
          <w:rFonts w:ascii="Times New Roman" w:hAnsi="Times New Roman"/>
          <w:sz w:val="24"/>
        </w:rPr>
        <w:t>subparagrafu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tal-Artikolu 126(2) tar-Regolament (UE) 575/2013. </w:t>
      </w:r>
    </w:p>
    <w:p w14:paraId="5638DD76" w14:textId="77777777" w:rsidR="00500245" w:rsidRPr="00B0527F" w:rsidRDefault="00500245" w:rsidP="00B0527F">
      <w:pPr>
        <w:spacing w:before="0" w:after="0"/>
        <w:jc w:val="left"/>
        <w:rPr>
          <w:rStyle w:val="ui-provider"/>
          <w:rFonts w:ascii="Times New Roman" w:hAnsi="Times New Roman"/>
          <w:sz w:val="24"/>
        </w:rPr>
      </w:pPr>
    </w:p>
    <w:p w14:paraId="6E30361B" w14:textId="76C43E47" w:rsidR="00B0527F" w:rsidRDefault="00B0527F" w:rsidP="007F1637">
      <w:pPr>
        <w:pStyle w:val="InstructionsText2"/>
        <w:rPr>
          <w:noProof/>
        </w:rPr>
      </w:pPr>
      <w:r>
        <w:t xml:space="preserve">j. </w:t>
      </w:r>
      <w:proofErr w:type="spellStart"/>
      <w:r>
        <w:t>Iggarantiti</w:t>
      </w:r>
      <w:proofErr w:type="spellEnd"/>
      <w:r>
        <w:t xml:space="preserve"> b’ipoteki fuq proprjetà immobbli kummerċjali – Oħra – IPRE: </w:t>
      </w:r>
    </w:p>
    <w:p w14:paraId="32E7BA69" w14:textId="6DB259E9" w:rsidR="00F23615" w:rsidRDefault="00F23615" w:rsidP="00B0527F">
      <w:pPr>
        <w:pStyle w:val="ListParagraph"/>
        <w:numPr>
          <w:ilvl w:val="0"/>
          <w:numId w:val="30"/>
        </w:numPr>
        <w:spacing w:before="0" w:after="0"/>
        <w:jc w:val="left"/>
        <w:rPr>
          <w:rStyle w:val="ui-provider"/>
          <w:rFonts w:ascii="Times New Roman" w:hAnsi="Times New Roman"/>
          <w:sz w:val="24"/>
        </w:rPr>
      </w:pPr>
      <w:proofErr w:type="spellStart"/>
      <w:r>
        <w:rPr>
          <w:rStyle w:val="ui-provider"/>
          <w:rFonts w:ascii="Times New Roman" w:hAnsi="Times New Roman"/>
          <w:sz w:val="24"/>
        </w:rPr>
        <w:t>Skoperturi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li ma jissodisfawx il-kundizzjonijiet fl-Artikolu 124(3), jew kwalunkwe parti ta’ </w:t>
      </w:r>
      <w:proofErr w:type="spellStart"/>
      <w:r>
        <w:rPr>
          <w:rStyle w:val="ui-provider"/>
          <w:rFonts w:ascii="Times New Roman" w:hAnsi="Times New Roman"/>
          <w:sz w:val="24"/>
        </w:rPr>
        <w:t>skopertura</w:t>
      </w:r>
      <w:proofErr w:type="spellEnd"/>
      <w:r>
        <w:rPr>
          <w:rStyle w:val="ui-provider"/>
          <w:rFonts w:ascii="Times New Roman" w:hAnsi="Times New Roman"/>
          <w:sz w:val="24"/>
        </w:rPr>
        <w:t xml:space="preserve"> mhux ADC li taqbeż l-ammont nominali tar-rahan tal-proprjetà, imsemmija fl-Artikolu 124(1), il-punt (b) tar-Regolament (UE) Nru 575/2013.</w:t>
      </w:r>
    </w:p>
    <w:p w14:paraId="7E8B521B" w14:textId="77777777" w:rsidR="00B0527F" w:rsidRPr="00B0527F" w:rsidRDefault="00B0527F" w:rsidP="00B0527F">
      <w:pPr>
        <w:pStyle w:val="ListParagraph"/>
        <w:spacing w:before="0" w:after="0"/>
        <w:ind w:left="1713"/>
        <w:jc w:val="left"/>
        <w:rPr>
          <w:rStyle w:val="ui-provider"/>
          <w:rFonts w:ascii="Times New Roman" w:hAnsi="Times New Roman"/>
          <w:sz w:val="24"/>
        </w:rPr>
      </w:pPr>
    </w:p>
    <w:p w14:paraId="7EE71480" w14:textId="2CB9A744" w:rsidR="00F23615" w:rsidRPr="00386B14" w:rsidRDefault="00B0527F" w:rsidP="007F1637">
      <w:pPr>
        <w:pStyle w:val="InstructionsText2"/>
        <w:rPr>
          <w:noProof/>
        </w:rPr>
      </w:pPr>
      <w:r>
        <w:t xml:space="preserve">k. </w:t>
      </w:r>
      <w:proofErr w:type="spellStart"/>
      <w:r>
        <w:t>Skoperturi</w:t>
      </w:r>
      <w:proofErr w:type="spellEnd"/>
      <w:r>
        <w:t xml:space="preserve"> għall-akkwist ta' art, għall-iżvilupp u għall-kostruzzjoni (ADC): L-Artikolu 126 a tar-Regolament (UE) Nru 575/2013</w:t>
      </w:r>
    </w:p>
    <w:p w14:paraId="6358724F" w14:textId="77777777" w:rsidR="00F23615" w:rsidRPr="007A4181" w:rsidRDefault="00F23615" w:rsidP="007F1637">
      <w:pPr>
        <w:pStyle w:val="InstructionsText2"/>
        <w:rPr>
          <w:rFonts w:eastAsia="Arial"/>
        </w:rPr>
      </w:pPr>
      <w:r>
        <w:t xml:space="preserve">3.2.4.5 Klassi ta’ </w:t>
      </w:r>
      <w:proofErr w:type="spellStart"/>
      <w:r>
        <w:t>skoperturi</w:t>
      </w:r>
      <w:proofErr w:type="spellEnd"/>
      <w:r>
        <w:t xml:space="preserve"> “Impriżi”</w:t>
      </w:r>
    </w:p>
    <w:p w14:paraId="1712D861" w14:textId="1DDA8512" w:rsidR="0040488F" w:rsidRPr="007A4181" w:rsidRDefault="00F23615" w:rsidP="0040488F">
      <w:pPr>
        <w:pStyle w:val="InstructionsText2"/>
        <w:rPr>
          <w:rFonts w:eastAsia="Arial"/>
        </w:rPr>
      </w:pPr>
      <w:r>
        <w:t xml:space="preserve">71b. Għal finijiet ta’ </w:t>
      </w:r>
      <w:proofErr w:type="spellStart"/>
      <w:r>
        <w:t>rapportar</w:t>
      </w:r>
      <w:proofErr w:type="spellEnd"/>
      <w:r>
        <w:t xml:space="preserve"> din il-klassi tal-</w:t>
      </w:r>
      <w:proofErr w:type="spellStart"/>
      <w:r>
        <w:t>iskoperturi</w:t>
      </w:r>
      <w:proofErr w:type="spellEnd"/>
      <w:r>
        <w:t xml:space="preserve"> ġiet </w:t>
      </w:r>
      <w:proofErr w:type="spellStart"/>
      <w:r>
        <w:t>diżaggregata</w:t>
      </w:r>
      <w:proofErr w:type="spellEnd"/>
      <w:r>
        <w:t xml:space="preserve"> f’żewġ klassijiet ta’ </w:t>
      </w:r>
      <w:proofErr w:type="spellStart"/>
      <w:r>
        <w:t>sottoskoperturi</w:t>
      </w:r>
      <w:proofErr w:type="spellEnd"/>
      <w:r>
        <w:t xml:space="preserve"> (“Impriżi – Oħrajn” u “Impriżi – Self speċjalizzat” kif definit fl-Artikolu 122a tar-Regolament (UE) Nru 575/2013). 3.2.4.6 Klassi tal-</w:t>
      </w:r>
      <w:proofErr w:type="spellStart"/>
      <w:r>
        <w:t>iskoperturi</w:t>
      </w:r>
      <w:proofErr w:type="spellEnd"/>
      <w:r>
        <w:t xml:space="preserve"> “</w:t>
      </w:r>
      <w:proofErr w:type="spellStart"/>
      <w:r>
        <w:t>Ekwità</w:t>
      </w:r>
      <w:proofErr w:type="spellEnd"/>
      <w:r>
        <w:t>”</w:t>
      </w:r>
    </w:p>
    <w:p w14:paraId="7AD48646" w14:textId="251F29C2" w:rsidR="00F23615" w:rsidRPr="002A677E" w:rsidRDefault="0040488F" w:rsidP="0040488F">
      <w:pPr>
        <w:pStyle w:val="InstructionsText2"/>
      </w:pPr>
      <w:r>
        <w:t xml:space="preserve">71c. Għall-finijiet ta’ </w:t>
      </w:r>
      <w:proofErr w:type="spellStart"/>
      <w:r>
        <w:t>rapportar</w:t>
      </w:r>
      <w:proofErr w:type="spellEnd"/>
      <w:r>
        <w:t xml:space="preserve"> din il-klassi tal-</w:t>
      </w:r>
      <w:proofErr w:type="spellStart"/>
      <w:r>
        <w:t>iskoperturi</w:t>
      </w:r>
      <w:proofErr w:type="spellEnd"/>
      <w:r>
        <w:t xml:space="preserve"> għandha tinkludi </w:t>
      </w:r>
      <w:proofErr w:type="spellStart"/>
      <w:r>
        <w:t>skoperturi</w:t>
      </w:r>
      <w:proofErr w:type="spellEnd"/>
      <w:r>
        <w:t xml:space="preserve"> kif definiti fl-Artikolu 133 tar-Regolament (UE) Nru 575/2013). </w:t>
      </w:r>
      <w:proofErr w:type="spellStart"/>
      <w:r>
        <w:t>Skoperturi</w:t>
      </w:r>
      <w:proofErr w:type="spellEnd"/>
      <w:r>
        <w:t xml:space="preserve"> tal-</w:t>
      </w:r>
      <w:proofErr w:type="spellStart"/>
      <w:r>
        <w:t>ekwità</w:t>
      </w:r>
      <w:proofErr w:type="spellEnd"/>
      <w:r>
        <w:t xml:space="preserve"> soġġetti għall-Artikolu 495(1), il-punt (a), l-Artikolu 495(2) u l-Artikolu 495a(3) tar-Regolament (UE) Nru 575/2013 għandhom jiġu </w:t>
      </w:r>
      <w:proofErr w:type="spellStart"/>
      <w:r>
        <w:t>rrapportati</w:t>
      </w:r>
      <w:proofErr w:type="spellEnd"/>
      <w:r>
        <w:t xml:space="preserve"> wkoll f’din il-klassi tal-</w:t>
      </w:r>
      <w:proofErr w:type="spellStart"/>
      <w:r>
        <w:t>iskoperturi</w:t>
      </w:r>
      <w:proofErr w:type="spellEnd"/>
      <w:r>
        <w:t>. Ir-ringiela 0280 “</w:t>
      </w:r>
      <w:proofErr w:type="spellStart"/>
      <w:r>
        <w:t>Ponderazzjonijiet</w:t>
      </w:r>
      <w:proofErr w:type="spellEnd"/>
      <w:r>
        <w:t xml:space="preserve"> tar-riskju oħrajn” għandha tintuża biex jiġu </w:t>
      </w:r>
      <w:proofErr w:type="spellStart"/>
      <w:r>
        <w:t>rrapportati</w:t>
      </w:r>
      <w:proofErr w:type="spellEnd"/>
      <w:r>
        <w:t xml:space="preserve"> dawk l-</w:t>
      </w:r>
      <w:proofErr w:type="spellStart"/>
      <w:r>
        <w:t>iskoperturi</w:t>
      </w:r>
      <w:proofErr w:type="spellEnd"/>
      <w:r>
        <w:t xml:space="preserve"> mhux soġġetti </w:t>
      </w:r>
      <w:proofErr w:type="spellStart"/>
      <w:r>
        <w:t>għall-ponderazzjonijiet</w:t>
      </w:r>
      <w:proofErr w:type="spellEnd"/>
      <w:r>
        <w:t xml:space="preserve"> tar-riskju elenkati fil-formola.</w:t>
      </w:r>
    </w:p>
    <w:p w14:paraId="46302E54" w14:textId="77777777" w:rsidR="00F23615" w:rsidRPr="002A677E" w:rsidRDefault="00F23615" w:rsidP="00F2361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89" w:name="_Toc262568032"/>
      <w:bookmarkStart w:id="90" w:name="_Toc264038430"/>
      <w:bookmarkStart w:id="91" w:name="_Toc292456209"/>
      <w:bookmarkStart w:id="92" w:name="_Toc295829860"/>
      <w:bookmarkStart w:id="93" w:name="_Toc310415024"/>
      <w:bookmarkStart w:id="94" w:name="_Toc360188356"/>
      <w:bookmarkStart w:id="95" w:name="_Toc473560905"/>
      <w:bookmarkStart w:id="96" w:name="_Toc151714393"/>
      <w:r>
        <w:rPr>
          <w:rFonts w:ascii="Times New Roman" w:hAnsi="Times New Roman"/>
          <w:sz w:val="24"/>
          <w:u w:val="none"/>
        </w:rPr>
        <w:t>3.2.5.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F23615" w:rsidRPr="002A677E" w14:paraId="3BA52D01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416E32F1" w14:textId="77777777" w:rsidR="00F23615" w:rsidRPr="002A677E" w:rsidRDefault="00F23615" w:rsidP="007F1637">
            <w:pPr>
              <w:pStyle w:val="InstructionsText"/>
            </w:pPr>
            <w:r>
              <w:t>Kolonni</w:t>
            </w:r>
          </w:p>
        </w:tc>
      </w:tr>
      <w:tr w:rsidR="00F23615" w:rsidRPr="002A677E" w14:paraId="3D1446FB" w14:textId="77777777" w:rsidTr="00822842">
        <w:tc>
          <w:tcPr>
            <w:tcW w:w="1188" w:type="dxa"/>
          </w:tcPr>
          <w:p w14:paraId="4ABC56F4" w14:textId="77777777" w:rsidR="00F23615" w:rsidRPr="002A677E" w:rsidRDefault="00F23615" w:rsidP="007F1637">
            <w:pPr>
              <w:pStyle w:val="InstructionsText"/>
            </w:pPr>
            <w:r>
              <w:t>0010</w:t>
            </w:r>
          </w:p>
        </w:tc>
        <w:tc>
          <w:tcPr>
            <w:tcW w:w="8640" w:type="dxa"/>
          </w:tcPr>
          <w:p w14:paraId="3660B571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SKOPERTURA ORIĠINARJA QABEL IL-FATTURI TA’ KONVERŻJONI</w:t>
            </w:r>
          </w:p>
          <w:p w14:paraId="371D91FC" w14:textId="77777777" w:rsidR="00F23615" w:rsidRPr="002A677E" w:rsidRDefault="00F23615" w:rsidP="007F1637">
            <w:pPr>
              <w:pStyle w:val="InstructionsText"/>
            </w:pPr>
            <w:r>
              <w:t>Il-valur tal-</w:t>
            </w:r>
            <w:proofErr w:type="spellStart"/>
            <w:r>
              <w:t>iskopertura</w:t>
            </w:r>
            <w:proofErr w:type="spellEnd"/>
            <w:r>
              <w:t xml:space="preserve"> </w:t>
            </w:r>
            <w:proofErr w:type="spellStart"/>
            <w:r>
              <w:t>kkalkolat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mal-Artikolu 111 tar-Regolament (UE) Nru 575/2013 bla ma jitqiesu l-aġġustamenti tal-valur u d-dispożizzjonijiet, it-tnaqqis, il-fatturi tal-konverżjoni u l-effett tat-</w:t>
            </w:r>
            <w:proofErr w:type="spellStart"/>
            <w:r>
              <w:t>tekniki</w:t>
            </w:r>
            <w:proofErr w:type="spellEnd"/>
            <w:r>
              <w:t xml:space="preserve"> ta’ mitigazzjoni tar-riskju ta’ kreditu bil-kwalifiki li ġejjin mill-Artikolu 111(2) tar-Regolament (UE) Nru 575/2013:</w:t>
            </w:r>
          </w:p>
          <w:p w14:paraId="04763389" w14:textId="77777777" w:rsidR="00F23615" w:rsidRPr="002A677E" w:rsidRDefault="00F23615" w:rsidP="007F1637">
            <w:pPr>
              <w:pStyle w:val="InstructionsText"/>
            </w:pPr>
            <w:r>
              <w:t xml:space="preserve">Għal strumenti derivattivi, tranżazzjonijiet ta’ </w:t>
            </w:r>
            <w:proofErr w:type="spellStart"/>
            <w:r>
              <w:t>riakkwist</w:t>
            </w:r>
            <w:proofErr w:type="spellEnd"/>
            <w:r>
              <w:t xml:space="preserve">, tranżazzjonijiet ta’ għoti jew teħid b’self ta’ titoli jew ta’ </w:t>
            </w:r>
            <w:proofErr w:type="spellStart"/>
            <w:r>
              <w:t>komoditajiet</w:t>
            </w:r>
            <w:proofErr w:type="spellEnd"/>
            <w:r>
              <w:t>, tranżazzjonijiet ta’ saldu fit-tul u tranżazzjonijiet ta’ self b’marġini soġġetti għal riskju ta’ kreditu tal-</w:t>
            </w:r>
            <w:proofErr w:type="spellStart"/>
            <w:r>
              <w:t>kontroparti</w:t>
            </w:r>
            <w:proofErr w:type="spellEnd"/>
            <w:r>
              <w:t xml:space="preserve"> (il-Parti Tlieta, it-Titolu II, il-Kapitolu 4 jew il-Kapitolu 6 tar-Regolament (UE) Nru 575/2013) l-</w:t>
            </w:r>
            <w:proofErr w:type="spellStart"/>
            <w:r>
              <w:t>iskopertura</w:t>
            </w:r>
            <w:proofErr w:type="spellEnd"/>
            <w:r>
              <w:t xml:space="preserve"> oriġinali għandha tikkorrispondi għall-Valur tal-</w:t>
            </w:r>
            <w:proofErr w:type="spellStart"/>
            <w:r>
              <w:t>Iskopertura</w:t>
            </w:r>
            <w:proofErr w:type="spellEnd"/>
            <w:r>
              <w:t xml:space="preserve"> għar-Riskju ta’ Kreditu tal-</w:t>
            </w:r>
            <w:proofErr w:type="spellStart"/>
            <w:r>
              <w:t>Kontroparti</w:t>
            </w:r>
            <w:proofErr w:type="spellEnd"/>
            <w:r>
              <w:t xml:space="preserve"> (ara l-istruzzjonijiet għall-kolonna 0210). </w:t>
            </w:r>
          </w:p>
          <w:p w14:paraId="45A3D115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Il-valuri tal-</w:t>
            </w:r>
            <w:proofErr w:type="spellStart"/>
            <w:r>
              <w:t>iskoperturi</w:t>
            </w:r>
            <w:proofErr w:type="spellEnd"/>
            <w:r>
              <w:t xml:space="preserve"> għal </w:t>
            </w:r>
            <w:proofErr w:type="spellStart"/>
            <w:r>
              <w:t>lokazzjonijiet</w:t>
            </w:r>
            <w:proofErr w:type="spellEnd"/>
            <w:r>
              <w:t xml:space="preserve"> għandhom ikunu soġġetti għall-Artikolu 134(7) tar-Regolament (UE) Nru 575/2013. B’mod partikolari, il-valur </w:t>
            </w:r>
            <w:proofErr w:type="spellStart"/>
            <w:r>
              <w:t>residwu</w:t>
            </w:r>
            <w:proofErr w:type="spellEnd"/>
            <w:r>
              <w:t xml:space="preserve"> għandu jiġi inkluż fil-valur </w:t>
            </w:r>
            <w:proofErr w:type="spellStart"/>
            <w:r>
              <w:t>kontabilistiku</w:t>
            </w:r>
            <w:proofErr w:type="spellEnd"/>
            <w:r>
              <w:t xml:space="preserve"> tiegħu (jiġifieri l-valur </w:t>
            </w:r>
            <w:proofErr w:type="spellStart"/>
            <w:r>
              <w:t>residwu</w:t>
            </w:r>
            <w:proofErr w:type="spellEnd"/>
            <w:r>
              <w:t xml:space="preserve"> stmat </w:t>
            </w:r>
            <w:proofErr w:type="spellStart"/>
            <w:r>
              <w:t>skontat</w:t>
            </w:r>
            <w:proofErr w:type="spellEnd"/>
            <w:r>
              <w:t xml:space="preserve"> fi tmiem it-terminu tal-lokazzjoni).</w:t>
            </w:r>
          </w:p>
          <w:p w14:paraId="3898E2F4" w14:textId="77777777" w:rsidR="00F23615" w:rsidRPr="002A677E" w:rsidRDefault="00F23615" w:rsidP="007F1637">
            <w:pPr>
              <w:pStyle w:val="InstructionsText"/>
            </w:pPr>
            <w:r>
              <w:t xml:space="preserve">Fil-każ ta’ </w:t>
            </w:r>
            <w:proofErr w:type="spellStart"/>
            <w:r>
              <w:t>netting</w:t>
            </w:r>
            <w:proofErr w:type="spellEnd"/>
            <w:r>
              <w:t xml:space="preserve"> tal-karta bilanċjali kif stabbilit fl-Artikolu 219 tar-Regolament (UE) Nru 575/2013, il-valuri tal-</w:t>
            </w:r>
            <w:proofErr w:type="spellStart"/>
            <w:r>
              <w:t>iskopertura</w:t>
            </w:r>
            <w:proofErr w:type="spellEnd"/>
            <w:r>
              <w:t xml:space="preserve"> għandhom jiġu rapportati b’kunsiderazzjoni tal-ammont tal-</w:t>
            </w:r>
            <w:proofErr w:type="spellStart"/>
            <w:r>
              <w:t>kollateral</w:t>
            </w:r>
            <w:proofErr w:type="spellEnd"/>
            <w:r>
              <w:t xml:space="preserve"> fi flus </w:t>
            </w:r>
            <w:proofErr w:type="spellStart"/>
            <w:r>
              <w:t>riċevut</w:t>
            </w:r>
            <w:proofErr w:type="spellEnd"/>
            <w:r>
              <w:t>.</w:t>
            </w:r>
          </w:p>
          <w:p w14:paraId="5C4779B0" w14:textId="042C5AEB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66ADD203" w14:textId="77777777" w:rsidTr="00822842">
        <w:tc>
          <w:tcPr>
            <w:tcW w:w="1188" w:type="dxa"/>
          </w:tcPr>
          <w:p w14:paraId="4DF3D031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640" w:type="dxa"/>
          </w:tcPr>
          <w:p w14:paraId="1D86CCCE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Aġġustamenti tal-valur u dispożizzjonijiet assoċjati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oriġinali</w:t>
            </w:r>
          </w:p>
          <w:p w14:paraId="576BCEFB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L-Artikoli 24 u 111 tar-Regolament (UE) Nru 575/2013</w:t>
            </w:r>
          </w:p>
          <w:p w14:paraId="5DF04C59" w14:textId="77777777" w:rsidR="00F23615" w:rsidRPr="002A677E" w:rsidRDefault="00F23615" w:rsidP="007F1637">
            <w:pPr>
              <w:pStyle w:val="InstructionsText"/>
            </w:pPr>
            <w:r>
              <w:t>Aġġustamenti tal-valur u dispożizzjonijiet għal telf ta’ kreditu (aġġustamenti għar-riskju ta’ kreditu f’</w:t>
            </w:r>
            <w:proofErr w:type="spellStart"/>
            <w:r>
              <w:t>konformità</w:t>
            </w:r>
            <w:proofErr w:type="spellEnd"/>
            <w:r>
              <w:t xml:space="preserve"> mal-Artikolu 110) magħmula f’</w:t>
            </w:r>
            <w:proofErr w:type="spellStart"/>
            <w:r>
              <w:t>konformità</w:t>
            </w:r>
            <w:proofErr w:type="spellEnd"/>
            <w:r>
              <w:t xml:space="preserve"> mal-qafas </w:t>
            </w:r>
            <w:proofErr w:type="spellStart"/>
            <w:r>
              <w:t>kontabilistiku</w:t>
            </w:r>
            <w:proofErr w:type="spellEnd"/>
            <w:r>
              <w:t xml:space="preserve"> li għalih hija soġġetta l-</w:t>
            </w:r>
            <w:proofErr w:type="spellStart"/>
            <w:r>
              <w:t>entità</w:t>
            </w:r>
            <w:proofErr w:type="spellEnd"/>
            <w:r>
              <w:t xml:space="preserve"> tar-</w:t>
            </w:r>
            <w:proofErr w:type="spellStart"/>
            <w:r>
              <w:t>rapportar</w:t>
            </w:r>
            <w:proofErr w:type="spellEnd"/>
            <w:r>
              <w:t xml:space="preserve">, kif ukoll aġġustamenti tal-valur </w:t>
            </w:r>
            <w:proofErr w:type="spellStart"/>
            <w:r>
              <w:t>prudenzjali</w:t>
            </w:r>
            <w:proofErr w:type="spellEnd"/>
            <w:r>
              <w:t xml:space="preserve"> (aġġustamenti tal-valur addizzjonali f’</w:t>
            </w:r>
            <w:proofErr w:type="spellStart"/>
            <w:r>
              <w:t>konformità</w:t>
            </w:r>
            <w:proofErr w:type="spellEnd"/>
            <w:r>
              <w:t xml:space="preserve"> mal-Artikolu 34 u 105, ammonti mnaqqsa f’</w:t>
            </w:r>
            <w:proofErr w:type="spellStart"/>
            <w:r>
              <w:t>konformità</w:t>
            </w:r>
            <w:proofErr w:type="spellEnd"/>
            <w:r>
              <w:t xml:space="preserve"> mal-Artikolu 36(1), il-punt (m) u tnaqqis ieħor ta’ fondi proprji relatat </w:t>
            </w:r>
            <w:proofErr w:type="spellStart"/>
            <w:r>
              <w:t>mal-entrata</w:t>
            </w:r>
            <w:proofErr w:type="spellEnd"/>
            <w:r>
              <w:t xml:space="preserve"> tal-assi).</w:t>
            </w:r>
          </w:p>
        </w:tc>
      </w:tr>
      <w:tr w:rsidR="00F23615" w:rsidRPr="002A677E" w14:paraId="21DF5167" w14:textId="77777777" w:rsidTr="00822842">
        <w:tc>
          <w:tcPr>
            <w:tcW w:w="1188" w:type="dxa"/>
          </w:tcPr>
          <w:p w14:paraId="355EBB92" w14:textId="77777777" w:rsidR="00F23615" w:rsidRPr="002A677E" w:rsidRDefault="00F23615" w:rsidP="007F1637">
            <w:pPr>
              <w:pStyle w:val="InstructionsText"/>
            </w:pPr>
            <w:r>
              <w:t>0040</w:t>
            </w:r>
          </w:p>
        </w:tc>
        <w:tc>
          <w:tcPr>
            <w:tcW w:w="8640" w:type="dxa"/>
          </w:tcPr>
          <w:p w14:paraId="0E4E9AE5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netta mill-aġġustamenti tal-valur u dispożizzjonijiet</w:t>
            </w:r>
          </w:p>
          <w:p w14:paraId="78990846" w14:textId="77777777" w:rsidR="00F23615" w:rsidRPr="002A677E" w:rsidRDefault="00F23615" w:rsidP="007F1637">
            <w:pPr>
              <w:pStyle w:val="InstructionsText"/>
            </w:pPr>
            <w:r>
              <w:t>It-total tal-kolonni 0010 u 0030</w:t>
            </w:r>
          </w:p>
        </w:tc>
      </w:tr>
      <w:tr w:rsidR="00F23615" w:rsidRPr="002A677E" w14:paraId="4C8C6237" w14:textId="77777777" w:rsidTr="00822842">
        <w:tc>
          <w:tcPr>
            <w:tcW w:w="1188" w:type="dxa"/>
          </w:tcPr>
          <w:p w14:paraId="0F42AC85" w14:textId="77777777" w:rsidR="00F23615" w:rsidRPr="002A677E" w:rsidRDefault="00F23615" w:rsidP="007F1637">
            <w:pPr>
              <w:pStyle w:val="InstructionsText"/>
            </w:pPr>
            <w:r>
              <w:t>0050-0100</w:t>
            </w:r>
          </w:p>
        </w:tc>
        <w:tc>
          <w:tcPr>
            <w:tcW w:w="8640" w:type="dxa"/>
          </w:tcPr>
          <w:p w14:paraId="0BE12477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TEKNIKI TA’ MITIGAZZJONI TAR-RISKJU TA’ KREDITU (CRM) B’EFFETTI TA’ SOSTITUZZJONI FUQ L-ISKOPERTURA</w:t>
            </w:r>
          </w:p>
          <w:p w14:paraId="57409AE8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Tekniki</w:t>
            </w:r>
            <w:proofErr w:type="spellEnd"/>
            <w:r>
              <w:t xml:space="preserve"> ta’ mitigazzjoni tar-riskju ta’ kreditu kif definit fl-Artikolu 4(1), il-punt (57) tar-Regolament (UE) Nru 575/2013 li jnaqqsu r-riskju ta’ kreditu ta’ </w:t>
            </w:r>
            <w:proofErr w:type="spellStart"/>
            <w:r>
              <w:t>skopertura</w:t>
            </w:r>
            <w:proofErr w:type="spellEnd"/>
            <w:r>
              <w:t xml:space="preserve"> jew </w:t>
            </w:r>
            <w:proofErr w:type="spellStart"/>
            <w:r>
              <w:t>skoperturi</w:t>
            </w:r>
            <w:proofErr w:type="spellEnd"/>
            <w:r>
              <w:t xml:space="preserve"> permezz tas-sostituzzjoni ta’ </w:t>
            </w:r>
            <w:proofErr w:type="spellStart"/>
            <w:r>
              <w:t>skoperturi</w:t>
            </w:r>
            <w:proofErr w:type="spellEnd"/>
            <w:r>
              <w:t xml:space="preserve"> kif deskritt hawn taħt fis-“Sostituzzjoni tal-</w:t>
            </w:r>
            <w:proofErr w:type="spellStart"/>
            <w:r>
              <w:t>iskopertura</w:t>
            </w:r>
            <w:proofErr w:type="spellEnd"/>
            <w:r>
              <w:t xml:space="preserve"> minħabba CRM”.</w:t>
            </w:r>
          </w:p>
          <w:p w14:paraId="6483A087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Kollateral</w:t>
            </w:r>
            <w:proofErr w:type="spellEnd"/>
            <w:r>
              <w:t xml:space="preserve"> li għandu effett fuq il-valur tal-</w:t>
            </w:r>
            <w:proofErr w:type="spellStart"/>
            <w:r>
              <w:t>iskopertura</w:t>
            </w:r>
            <w:proofErr w:type="spellEnd"/>
            <w:r>
              <w:t xml:space="preserve"> (eż. jekk jintuża għal </w:t>
            </w:r>
            <w:proofErr w:type="spellStart"/>
            <w:r>
              <w:t>tekniki</w:t>
            </w:r>
            <w:proofErr w:type="spellEnd"/>
            <w:r>
              <w:t xml:space="preserve"> ta’ mitigazzjoni tar-riskju ta’ kreditu bl-effetti tas-sostituzzjoni fuq l-</w:t>
            </w:r>
            <w:proofErr w:type="spellStart"/>
            <w:r>
              <w:t>iskopertura</w:t>
            </w:r>
            <w:proofErr w:type="spellEnd"/>
            <w:r>
              <w:t>) għandu jkun limitat għall-valur tal-</w:t>
            </w:r>
            <w:proofErr w:type="spellStart"/>
            <w:r>
              <w:t>iskopertura</w:t>
            </w:r>
            <w:proofErr w:type="spellEnd"/>
            <w:r>
              <w:t>.</w:t>
            </w:r>
          </w:p>
          <w:p w14:paraId="28B24A9D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Entrati</w:t>
            </w:r>
            <w:proofErr w:type="spellEnd"/>
            <w:r>
              <w:t xml:space="preserve"> li għandhom jiġu rapportati hawnhekk:</w:t>
            </w:r>
          </w:p>
          <w:p w14:paraId="5AE52E45" w14:textId="77777777" w:rsidR="00F23615" w:rsidRPr="002A677E" w:rsidRDefault="00F23615" w:rsidP="007F1637">
            <w:pPr>
              <w:pStyle w:val="InstructionsText"/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</w:r>
            <w:proofErr w:type="spellStart"/>
            <w:r>
              <w:t>kollateral</w:t>
            </w:r>
            <w:proofErr w:type="spellEnd"/>
            <w:r>
              <w:t>, inkorporat f’</w:t>
            </w:r>
            <w:proofErr w:type="spellStart"/>
            <w:r>
              <w:t>konformità</w:t>
            </w:r>
            <w:proofErr w:type="spellEnd"/>
            <w:r>
              <w:t xml:space="preserve"> mal-Metodu </w:t>
            </w:r>
            <w:proofErr w:type="spellStart"/>
            <w:r>
              <w:t>Simplifikat</w:t>
            </w:r>
            <w:proofErr w:type="spellEnd"/>
            <w:r>
              <w:t xml:space="preserve"> tal-</w:t>
            </w:r>
            <w:proofErr w:type="spellStart"/>
            <w:r>
              <w:t>Kollateral</w:t>
            </w:r>
            <w:proofErr w:type="spellEnd"/>
            <w:r>
              <w:t xml:space="preserve"> Finanzjarju;</w:t>
            </w:r>
          </w:p>
          <w:p w14:paraId="252CE09D" w14:textId="77777777" w:rsidR="00F23615" w:rsidRPr="002A677E" w:rsidRDefault="00F23615" w:rsidP="007F1637">
            <w:pPr>
              <w:pStyle w:val="InstructionsText"/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</w:r>
            <w:r>
              <w:t xml:space="preserve">protezzjoni ta’ kreditu mhux </w:t>
            </w:r>
            <w:proofErr w:type="spellStart"/>
            <w:r>
              <w:t>iffinanzjata</w:t>
            </w:r>
            <w:proofErr w:type="spellEnd"/>
            <w:r>
              <w:t xml:space="preserve"> eliġibbli.</w:t>
            </w:r>
          </w:p>
          <w:p w14:paraId="45B1AED1" w14:textId="77777777" w:rsidR="00F23615" w:rsidRPr="002A677E" w:rsidRDefault="00F23615" w:rsidP="007F1637">
            <w:pPr>
              <w:pStyle w:val="InstructionsText"/>
            </w:pPr>
            <w:r>
              <w:t>Ara wkoll l-istruzzjonijiet tal-punt 3.1.1.</w:t>
            </w:r>
          </w:p>
        </w:tc>
      </w:tr>
      <w:tr w:rsidR="00F23615" w:rsidRPr="002A677E" w14:paraId="3CC1B8A3" w14:textId="77777777" w:rsidTr="00822842">
        <w:tc>
          <w:tcPr>
            <w:tcW w:w="1188" w:type="dxa"/>
          </w:tcPr>
          <w:p w14:paraId="40A0AD19" w14:textId="77777777" w:rsidR="00F23615" w:rsidRPr="002A677E" w:rsidRDefault="00F23615" w:rsidP="007F1637">
            <w:pPr>
              <w:pStyle w:val="InstructionsText"/>
            </w:pPr>
            <w:r>
              <w:t>0050-0060</w:t>
            </w:r>
          </w:p>
        </w:tc>
        <w:tc>
          <w:tcPr>
            <w:tcW w:w="8640" w:type="dxa"/>
          </w:tcPr>
          <w:p w14:paraId="6F1D7F1B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Protezzjoni ta’ kreditu mhux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iffinanzjata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: valuri aġġustati (G</w:t>
            </w:r>
            <w:r>
              <w:rPr>
                <w:rStyle w:val="InstructionsTabelleberschrift"/>
                <w:rFonts w:ascii="Times New Roman" w:hAnsi="Times New Roman"/>
                <w:sz w:val="24"/>
                <w:vertAlign w:val="subscript"/>
              </w:rPr>
              <w:t>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59A225A5" w14:textId="77777777" w:rsidR="00F23615" w:rsidRPr="002A677E" w:rsidRDefault="00F23615" w:rsidP="007F1637">
            <w:pPr>
              <w:pStyle w:val="InstructionsText"/>
            </w:pPr>
            <w:r>
              <w:t>L-Artikolu 235 tar-Regolament (UE) Nru 575/2013</w:t>
            </w:r>
          </w:p>
          <w:p w14:paraId="3C8B0814" w14:textId="77777777" w:rsidR="00F23615" w:rsidRPr="002A677E" w:rsidRDefault="00F23615" w:rsidP="007F1637">
            <w:pPr>
              <w:pStyle w:val="InstructionsText"/>
            </w:pPr>
            <w:r>
              <w:t>L-Artikolu 239(3) tar-Regolament (UE) Nru 575/2013 fih il-formula għall-kalkolu tal-valur aġġustat G</w:t>
            </w:r>
            <w:r>
              <w:rPr>
                <w:vertAlign w:val="subscript"/>
              </w:rPr>
              <w:t>A</w:t>
            </w:r>
            <w:r>
              <w:t xml:space="preserve"> ta’ protezzjoni ta’ kreditu mhux </w:t>
            </w:r>
            <w:proofErr w:type="spellStart"/>
            <w:r>
              <w:t>iffinanzjata</w:t>
            </w:r>
            <w:proofErr w:type="spellEnd"/>
            <w:r>
              <w:t>.</w:t>
            </w:r>
          </w:p>
        </w:tc>
      </w:tr>
      <w:tr w:rsidR="00F23615" w:rsidRPr="002A677E" w14:paraId="0CC21D94" w14:textId="77777777" w:rsidTr="00822842">
        <w:tc>
          <w:tcPr>
            <w:tcW w:w="1188" w:type="dxa"/>
          </w:tcPr>
          <w:p w14:paraId="6ED52917" w14:textId="77777777" w:rsidR="00F23615" w:rsidRPr="002A677E" w:rsidRDefault="00F23615" w:rsidP="007F1637">
            <w:pPr>
              <w:pStyle w:val="InstructionsText"/>
            </w:pPr>
            <w:r>
              <w:t>0050</w:t>
            </w:r>
          </w:p>
        </w:tc>
        <w:tc>
          <w:tcPr>
            <w:tcW w:w="8640" w:type="dxa"/>
          </w:tcPr>
          <w:p w14:paraId="02965C6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</w:t>
            </w:r>
          </w:p>
          <w:p w14:paraId="5D64B237" w14:textId="77777777" w:rsidR="00F23615" w:rsidRPr="002A677E" w:rsidRDefault="00F23615" w:rsidP="007F1637">
            <w:pPr>
              <w:pStyle w:val="InstructionsText"/>
            </w:pPr>
            <w:r>
              <w:t>L-Artikolu 203 tar-Regolament (UE) Nru 575/2013</w:t>
            </w:r>
          </w:p>
          <w:p w14:paraId="7B15C20B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 xml:space="preserve">Protezzjoni ta’ Kreditu Mhux </w:t>
            </w:r>
            <w:proofErr w:type="spellStart"/>
            <w:r>
              <w:t>Iffinanzjata</w:t>
            </w:r>
            <w:proofErr w:type="spellEnd"/>
            <w:r>
              <w:t xml:space="preserve"> kif definit fl-Artikolu 4(1), il-punt (59) tar-Regolament (UE) Nru 575/2013 li ma tinkludix Derivattivi ta’ Kreditu.</w:t>
            </w:r>
          </w:p>
        </w:tc>
      </w:tr>
      <w:tr w:rsidR="00F23615" w:rsidRPr="002A677E" w14:paraId="25A7AB6C" w14:textId="77777777" w:rsidTr="00822842">
        <w:tc>
          <w:tcPr>
            <w:tcW w:w="1188" w:type="dxa"/>
          </w:tcPr>
          <w:p w14:paraId="0DF57ABB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0060</w:t>
            </w:r>
          </w:p>
        </w:tc>
        <w:tc>
          <w:tcPr>
            <w:tcW w:w="8640" w:type="dxa"/>
          </w:tcPr>
          <w:p w14:paraId="1D7201B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ta’ kreditu</w:t>
            </w:r>
          </w:p>
          <w:p w14:paraId="39B9BD80" w14:textId="77777777" w:rsidR="00F23615" w:rsidRPr="002A677E" w:rsidRDefault="00F23615" w:rsidP="007F1637">
            <w:pPr>
              <w:pStyle w:val="InstructionsText"/>
              <w:rPr>
                <w:b/>
                <w:bCs/>
              </w:rPr>
            </w:pPr>
            <w:r>
              <w:t>L-Artikolu 204 tar-Regolament (UE) Nru 575/2013</w:t>
            </w:r>
          </w:p>
        </w:tc>
      </w:tr>
      <w:tr w:rsidR="00F23615" w:rsidRPr="002A677E" w14:paraId="1415BD8B" w14:textId="77777777" w:rsidTr="00822842">
        <w:tc>
          <w:tcPr>
            <w:tcW w:w="1188" w:type="dxa"/>
          </w:tcPr>
          <w:p w14:paraId="2C68127F" w14:textId="77777777" w:rsidR="00F23615" w:rsidRPr="002A677E" w:rsidRDefault="00F23615" w:rsidP="007F1637">
            <w:pPr>
              <w:pStyle w:val="InstructionsText"/>
            </w:pPr>
            <w:r>
              <w:t>0070 - 0080</w:t>
            </w:r>
          </w:p>
          <w:p w14:paraId="2F9A57D2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8640" w:type="dxa"/>
          </w:tcPr>
          <w:p w14:paraId="4F27EA48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Protezzjoni ta’ kreditu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ffinanzjata</w:t>
            </w:r>
            <w:proofErr w:type="spellEnd"/>
          </w:p>
          <w:p w14:paraId="4953A193" w14:textId="77777777" w:rsidR="00F23615" w:rsidRPr="002A677E" w:rsidRDefault="00F23615" w:rsidP="007F1637">
            <w:pPr>
              <w:pStyle w:val="InstructionsText"/>
            </w:pPr>
            <w:r>
              <w:t xml:space="preserve">Dawn il-kolonni jirreferu għall-protezzjoni ta’ kreditu </w:t>
            </w:r>
            <w:proofErr w:type="spellStart"/>
            <w:r>
              <w:t>ffinanzjata</w:t>
            </w:r>
            <w:proofErr w:type="spellEnd"/>
            <w:r>
              <w:t xml:space="preserve"> kif definit fl-Artikolu 4(1), il-punt (58) tar-Regolament (UE) Nru 575/2013 u soġġett għar-regoli stipulati fl-Artikoli 196, 197 u 200 ta’ dak ir-Regolament. L-ammonti ma għandhomx jinkludu </w:t>
            </w:r>
            <w:proofErr w:type="spellStart"/>
            <w:r>
              <w:t>ftehimiet</w:t>
            </w:r>
            <w:proofErr w:type="spellEnd"/>
            <w:r>
              <w:t xml:space="preserve"> prinċipali ta’ </w:t>
            </w:r>
            <w:proofErr w:type="spellStart"/>
            <w:r>
              <w:t>netting</w:t>
            </w:r>
            <w:proofErr w:type="spellEnd"/>
            <w:r>
              <w:t xml:space="preserve"> (diġà inklużi fil-fatturi ta’ qabel il-konverżjoni tal-</w:t>
            </w:r>
            <w:proofErr w:type="spellStart"/>
            <w:r>
              <w:t>Iskopertura</w:t>
            </w:r>
            <w:proofErr w:type="spellEnd"/>
            <w:r>
              <w:t xml:space="preserve"> Oriġinali).</w:t>
            </w:r>
          </w:p>
          <w:p w14:paraId="286A60F1" w14:textId="77777777" w:rsidR="00F23615" w:rsidRPr="002A677E" w:rsidRDefault="00F23615" w:rsidP="007F1637">
            <w:pPr>
              <w:pStyle w:val="InstructionsText"/>
            </w:pPr>
            <w:r>
              <w:t xml:space="preserve">Investimenti f’noti marbuta ma’ kreditu kif imsemmija fl-Artikolu 218 tar-Regolament (UE) Nru. 575/2013 u pożizzjonijiet fuq il-karta bilanċjali ta’ </w:t>
            </w:r>
            <w:proofErr w:type="spellStart"/>
            <w:r>
              <w:t>netting</w:t>
            </w:r>
            <w:proofErr w:type="spellEnd"/>
            <w:r>
              <w:t xml:space="preserve"> li jirriżultaw minn </w:t>
            </w:r>
            <w:proofErr w:type="spellStart"/>
            <w:r>
              <w:t>ftehimiet</w:t>
            </w:r>
            <w:proofErr w:type="spellEnd"/>
            <w:r>
              <w:t xml:space="preserve"> ta’ </w:t>
            </w:r>
            <w:proofErr w:type="spellStart"/>
            <w:r>
              <w:t>netting</w:t>
            </w:r>
            <w:proofErr w:type="spellEnd"/>
            <w:r>
              <w:t xml:space="preserve"> eliġibbli fuq il-karta bilanċjali kif imsemmija fl-Artikoli 195 u 219 tar-Regolament (UE) Nru 575/2013 għandhom ikunu trattati bħala </w:t>
            </w:r>
            <w:proofErr w:type="spellStart"/>
            <w:r>
              <w:t>kollateral</w:t>
            </w:r>
            <w:proofErr w:type="spellEnd"/>
            <w:r>
              <w:t xml:space="preserve"> fi flus.</w:t>
            </w:r>
          </w:p>
        </w:tc>
      </w:tr>
      <w:tr w:rsidR="00F23615" w:rsidRPr="002A677E" w14:paraId="5F902509" w14:textId="77777777" w:rsidTr="00822842">
        <w:tc>
          <w:tcPr>
            <w:tcW w:w="1188" w:type="dxa"/>
          </w:tcPr>
          <w:p w14:paraId="2115359F" w14:textId="77777777" w:rsidR="00F23615" w:rsidRPr="002A677E" w:rsidRDefault="00F23615" w:rsidP="007F1637">
            <w:pPr>
              <w:pStyle w:val="InstructionsText"/>
            </w:pPr>
            <w:r>
              <w:t>0070</w:t>
            </w:r>
          </w:p>
        </w:tc>
        <w:tc>
          <w:tcPr>
            <w:tcW w:w="8640" w:type="dxa"/>
          </w:tcPr>
          <w:p w14:paraId="45B6CA1C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Kollateral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finanzjarju: metodu sempliċi</w:t>
            </w:r>
          </w:p>
          <w:p w14:paraId="10747A9A" w14:textId="77777777" w:rsidR="00F23615" w:rsidRPr="002A677E" w:rsidRDefault="00F23615" w:rsidP="007F1637">
            <w:pPr>
              <w:pStyle w:val="InstructionsText"/>
            </w:pPr>
            <w:r>
              <w:t>L-Artikolu 222, il-</w:t>
            </w:r>
            <w:proofErr w:type="spellStart"/>
            <w:r>
              <w:t>paragrafi</w:t>
            </w:r>
            <w:proofErr w:type="spellEnd"/>
            <w:r>
              <w:t xml:space="preserve"> 1 u 2 tar-Regolament (UE) Nru 575/2013.</w:t>
            </w:r>
          </w:p>
        </w:tc>
      </w:tr>
      <w:tr w:rsidR="00F23615" w:rsidRPr="002A677E" w14:paraId="2615EA11" w14:textId="77777777" w:rsidTr="00822842">
        <w:tc>
          <w:tcPr>
            <w:tcW w:w="1188" w:type="dxa"/>
          </w:tcPr>
          <w:p w14:paraId="37E9A1DD" w14:textId="77777777" w:rsidR="00F23615" w:rsidRPr="002A677E" w:rsidRDefault="00F23615" w:rsidP="007F1637">
            <w:pPr>
              <w:pStyle w:val="InstructionsText"/>
            </w:pPr>
            <w:r>
              <w:t>0080</w:t>
            </w:r>
          </w:p>
        </w:tc>
        <w:tc>
          <w:tcPr>
            <w:tcW w:w="8640" w:type="dxa"/>
          </w:tcPr>
          <w:p w14:paraId="18F35BBA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Protezzjoni ta’ kreditu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ffinanzjata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</w:t>
            </w:r>
          </w:p>
          <w:p w14:paraId="4B12AA23" w14:textId="77777777" w:rsidR="00F23615" w:rsidRPr="002A677E" w:rsidRDefault="00F23615" w:rsidP="007F1637">
            <w:pPr>
              <w:pStyle w:val="InstructionsText"/>
            </w:pPr>
            <w:r>
              <w:t>L-Artikolu 232 tar-Regolament (UE) Nru 575/2013.</w:t>
            </w:r>
          </w:p>
        </w:tc>
      </w:tr>
      <w:tr w:rsidR="00F23615" w:rsidRPr="002A677E" w14:paraId="6ED9C022" w14:textId="77777777" w:rsidTr="00822842">
        <w:tc>
          <w:tcPr>
            <w:tcW w:w="1188" w:type="dxa"/>
          </w:tcPr>
          <w:p w14:paraId="31C1507D" w14:textId="77777777" w:rsidR="00F23615" w:rsidRPr="002A677E" w:rsidRDefault="00F23615" w:rsidP="007F1637">
            <w:pPr>
              <w:pStyle w:val="InstructionsText"/>
            </w:pPr>
            <w:r>
              <w:t>0090-0100</w:t>
            </w:r>
          </w:p>
        </w:tc>
        <w:tc>
          <w:tcPr>
            <w:tcW w:w="8640" w:type="dxa"/>
          </w:tcPr>
          <w:p w14:paraId="60399BBB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SOSTITUZZJONI TAL-ISKOPERTURA DOVUTA GĦAS-CRM</w:t>
            </w:r>
          </w:p>
          <w:p w14:paraId="1D184A59" w14:textId="34A8AF35" w:rsidR="00F23615" w:rsidRPr="002A677E" w:rsidRDefault="00F23615" w:rsidP="007F1637">
            <w:pPr>
              <w:pStyle w:val="InstructionsText"/>
            </w:pPr>
            <w:r>
              <w:t>L-Artikolu 222(3), l-Artikolu 235, il-</w:t>
            </w:r>
            <w:proofErr w:type="spellStart"/>
            <w:r>
              <w:t>paragrafi</w:t>
            </w:r>
            <w:proofErr w:type="spellEnd"/>
            <w:r>
              <w:t xml:space="preserve"> 1 u 2 u l-Artikolu 235a tar-Regolament (UE) Nru 575/2013</w:t>
            </w:r>
          </w:p>
          <w:p w14:paraId="47E90402" w14:textId="384CB872" w:rsidR="00F23615" w:rsidRPr="002A677E" w:rsidRDefault="00F23615" w:rsidP="007F1637">
            <w:pPr>
              <w:pStyle w:val="InstructionsText"/>
            </w:pPr>
            <w:r>
              <w:t>Il-</w:t>
            </w:r>
            <w:proofErr w:type="spellStart"/>
            <w:r>
              <w:t>flussi</w:t>
            </w:r>
            <w:proofErr w:type="spellEnd"/>
            <w:r>
              <w:t xml:space="preserve"> ’l barra għandhom jikkorrispondu għall-parti koperta G</w:t>
            </w:r>
            <w:r>
              <w:rPr>
                <w:vertAlign w:val="subscript"/>
              </w:rPr>
              <w:t>A</w:t>
            </w:r>
            <w:r>
              <w:t xml:space="preserve"> tal-</w:t>
            </w:r>
            <w:proofErr w:type="spellStart"/>
            <w:r>
              <w:t>Iskopertura</w:t>
            </w:r>
            <w:proofErr w:type="spellEnd"/>
            <w:r>
              <w:t xml:space="preserve"> netta mill-aġġustamenti tal-valur u dispożizzjonijiet li titnaqqas mill-klassi tal-</w:t>
            </w:r>
            <w:proofErr w:type="spellStart"/>
            <w:r>
              <w:t>iskoperturi</w:t>
            </w:r>
            <w:proofErr w:type="spellEnd"/>
            <w:r>
              <w:t xml:space="preserve"> tal-</w:t>
            </w:r>
            <w:proofErr w:type="spellStart"/>
            <w:r>
              <w:t>obbligant</w:t>
            </w:r>
            <w:proofErr w:type="spellEnd"/>
            <w:r>
              <w:t xml:space="preserve"> u sussegwentement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tal-fornitur tal-protezzjoni. Dak l-ammont għandu jitqies bħala influss fil-klassi tal-</w:t>
            </w:r>
            <w:proofErr w:type="spellStart"/>
            <w:r>
              <w:t>iskoperturi</w:t>
            </w:r>
            <w:proofErr w:type="spellEnd"/>
            <w:r>
              <w:t xml:space="preserve"> tal-fornitur tal-protezzjoni.</w:t>
            </w:r>
          </w:p>
          <w:p w14:paraId="514BAC19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 xml:space="preserve">Influssi u </w:t>
            </w:r>
            <w:proofErr w:type="spellStart"/>
            <w:r>
              <w:t>flussi</w:t>
            </w:r>
            <w:proofErr w:type="spellEnd"/>
            <w:r>
              <w:t xml:space="preserve"> ta’ ħruġ fl-istess klassijiet tal-</w:t>
            </w:r>
            <w:proofErr w:type="spellStart"/>
            <w:r>
              <w:t>iskoperturi</w:t>
            </w:r>
            <w:proofErr w:type="spellEnd"/>
            <w:r>
              <w:t xml:space="preserve"> għandhom jiġu rapportati wkoll.</w:t>
            </w:r>
          </w:p>
          <w:p w14:paraId="5F162015" w14:textId="77777777" w:rsidR="00F23615" w:rsidRPr="002A677E" w:rsidRDefault="00F23615" w:rsidP="007F1637">
            <w:pPr>
              <w:pStyle w:val="InstructionsText"/>
            </w:pPr>
            <w:r>
              <w:t xml:space="preserve">Għandhom jitqiesu </w:t>
            </w:r>
            <w:proofErr w:type="spellStart"/>
            <w:r>
              <w:t>skoperturi</w:t>
            </w:r>
            <w:proofErr w:type="spellEnd"/>
            <w:r>
              <w:t xml:space="preserve"> li ġejjin minn influssi u </w:t>
            </w:r>
            <w:proofErr w:type="spellStart"/>
            <w:r>
              <w:t>flussi</w:t>
            </w:r>
            <w:proofErr w:type="spellEnd"/>
            <w:r>
              <w:t xml:space="preserve"> ta’ ħruġ possibbli minn u lejn formoli oħrajn.</w:t>
            </w:r>
          </w:p>
        </w:tc>
      </w:tr>
      <w:tr w:rsidR="00F23615" w:rsidRPr="002A677E" w14:paraId="40A46855" w14:textId="77777777" w:rsidTr="00822842">
        <w:tc>
          <w:tcPr>
            <w:tcW w:w="1188" w:type="dxa"/>
          </w:tcPr>
          <w:p w14:paraId="32ACD7E1" w14:textId="77777777" w:rsidR="00F23615" w:rsidRPr="002A677E" w:rsidRDefault="00F23615" w:rsidP="007F1637">
            <w:pPr>
              <w:pStyle w:val="InstructionsText"/>
            </w:pPr>
            <w:r>
              <w:t>0110</w:t>
            </w:r>
          </w:p>
        </w:tc>
        <w:tc>
          <w:tcPr>
            <w:tcW w:w="8640" w:type="dxa"/>
          </w:tcPr>
          <w:p w14:paraId="2BE2B293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SKOPERTURA NETTA WARA LI S-SOSTITUZZJONI CRM TAFFETTWA L-FATTURI TA’ QABEL IL-KONVERŻJONI</w:t>
            </w:r>
          </w:p>
          <w:p w14:paraId="32E97118" w14:textId="77777777" w:rsidR="00F23615" w:rsidRPr="002A677E" w:rsidRDefault="00F23615" w:rsidP="007F1637">
            <w:pPr>
              <w:pStyle w:val="InstructionsText"/>
            </w:pPr>
            <w:r>
              <w:t>L-ammont tal-</w:t>
            </w:r>
            <w:proofErr w:type="spellStart"/>
            <w:r>
              <w:t>iskopertura</w:t>
            </w:r>
            <w:proofErr w:type="spellEnd"/>
            <w:r>
              <w:t xml:space="preserve"> netta mill-aġġustamenti tal-valur wara li jitqiesu l-</w:t>
            </w:r>
            <w:proofErr w:type="spellStart"/>
            <w:r>
              <w:t>flussi</w:t>
            </w:r>
            <w:proofErr w:type="spellEnd"/>
            <w:r>
              <w:t xml:space="preserve"> ta’ ħruġ u l-influssi dovuti għat-TEKNIKI TA’ MITIGAZZJONI TAR-RISKJU TA’ KREDITU (CRM) B’EFFETTI TA’ SOSTITUZZJONI FUQ L-ISKOPERTURA</w:t>
            </w:r>
          </w:p>
        </w:tc>
      </w:tr>
      <w:tr w:rsidR="00F23615" w:rsidRPr="002A677E" w14:paraId="4347974B" w14:textId="77777777" w:rsidTr="00822842">
        <w:tc>
          <w:tcPr>
            <w:tcW w:w="1188" w:type="dxa"/>
          </w:tcPr>
          <w:p w14:paraId="7E434AB5" w14:textId="77777777" w:rsidR="00F23615" w:rsidRPr="002A677E" w:rsidRDefault="00F23615" w:rsidP="007F1637">
            <w:pPr>
              <w:pStyle w:val="InstructionsText"/>
            </w:pPr>
            <w:r>
              <w:t>0120-0140</w:t>
            </w:r>
          </w:p>
        </w:tc>
        <w:tc>
          <w:tcPr>
            <w:tcW w:w="8640" w:type="dxa"/>
          </w:tcPr>
          <w:p w14:paraId="76960D0B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TEKNIKI TAL-MITIGAZZJONI TAR-RISKJU TAL-KREDITU LI JAFFETTWAW L-AMMONT TAL-ISKOPERTURA. PROTEZZJONI TA’ KREDITU FINANZJATA, METODU KOMPRENSIV TA’ KOLLATERAL FINANZJARJU</w:t>
            </w:r>
          </w:p>
          <w:p w14:paraId="757F529C" w14:textId="77777777" w:rsidR="00F23615" w:rsidRPr="002A677E" w:rsidRDefault="00F23615" w:rsidP="007F1637">
            <w:pPr>
              <w:pStyle w:val="InstructionsText"/>
            </w:pPr>
            <w:r>
              <w:t>L-Artikoli minn 223 sa 228 tar-Regolament (UE) Nru 575/2013. Dawn jinkludu wkoll noti marbuta ma’ kreditu (l-Artikolu 218 tar-Regolament (UE) Nru 575/2013)</w:t>
            </w:r>
          </w:p>
          <w:p w14:paraId="30910F01" w14:textId="77777777" w:rsidR="00F23615" w:rsidRPr="002A677E" w:rsidRDefault="00F23615" w:rsidP="007F1637">
            <w:pPr>
              <w:pStyle w:val="InstructionsText"/>
            </w:pPr>
            <w:r>
              <w:t xml:space="preserve">Noti marbuta ma’ kreditu kif imsemmi fl-Artikolu 218 tar-Regolament (UE) Nru 575/2013 u pożizzjonijiet fuq il-karta bilanċjali ta’ </w:t>
            </w:r>
            <w:proofErr w:type="spellStart"/>
            <w:r>
              <w:t>netting</w:t>
            </w:r>
            <w:proofErr w:type="spellEnd"/>
            <w:r>
              <w:t xml:space="preserve"> li jirriżultaw minn </w:t>
            </w:r>
            <w:proofErr w:type="spellStart"/>
            <w:r>
              <w:lastRenderedPageBreak/>
              <w:t>ftehimiet</w:t>
            </w:r>
            <w:proofErr w:type="spellEnd"/>
            <w:r>
              <w:t xml:space="preserve"> ta’ </w:t>
            </w:r>
            <w:proofErr w:type="spellStart"/>
            <w:r>
              <w:t>netting</w:t>
            </w:r>
            <w:proofErr w:type="spellEnd"/>
            <w:r>
              <w:t xml:space="preserve"> eliġibbli fuq il-karta bilanċjali kif imsemmi fl-Artikolu 219 ta’ dak ir-Regolament għandhom ikunu trattati bħala </w:t>
            </w:r>
            <w:proofErr w:type="spellStart"/>
            <w:r>
              <w:t>kollateral</w:t>
            </w:r>
            <w:proofErr w:type="spellEnd"/>
            <w:r>
              <w:t xml:space="preserve"> fi flus.</w:t>
            </w:r>
          </w:p>
          <w:p w14:paraId="47F9553B" w14:textId="77777777" w:rsidR="00F23615" w:rsidRPr="002A677E" w:rsidRDefault="00F23615" w:rsidP="007F1637">
            <w:pPr>
              <w:pStyle w:val="InstructionsText"/>
            </w:pPr>
            <w:r>
              <w:t>L-effett tal-</w:t>
            </w:r>
            <w:proofErr w:type="spellStart"/>
            <w:r>
              <w:t>kollateralizzazzjoni</w:t>
            </w:r>
            <w:proofErr w:type="spellEnd"/>
            <w:r>
              <w:t xml:space="preserve"> tal-Metodu Komprensiv tal-</w:t>
            </w:r>
            <w:proofErr w:type="spellStart"/>
            <w:r>
              <w:t>Kollateral</w:t>
            </w:r>
            <w:proofErr w:type="spellEnd"/>
            <w:r>
              <w:t xml:space="preserve"> Finanzjarju applikat għal </w:t>
            </w:r>
            <w:proofErr w:type="spellStart"/>
            <w:r>
              <w:t>skopertura</w:t>
            </w:r>
            <w:proofErr w:type="spellEnd"/>
            <w:r>
              <w:t>, li hija garantita b’</w:t>
            </w:r>
            <w:proofErr w:type="spellStart"/>
            <w:r>
              <w:t>kollateral</w:t>
            </w:r>
            <w:proofErr w:type="spellEnd"/>
            <w:r>
              <w:t xml:space="preserve"> finanzjarju eliġibbli, għandu jkun ikkalkolat f’</w:t>
            </w:r>
            <w:proofErr w:type="spellStart"/>
            <w:r>
              <w:t>konformità</w:t>
            </w:r>
            <w:proofErr w:type="spellEnd"/>
            <w:r>
              <w:t xml:space="preserve"> mal-Artikoli minn 223 sa 228 tar-Regolament (UE) Nru 575/2013. </w:t>
            </w:r>
          </w:p>
        </w:tc>
      </w:tr>
      <w:tr w:rsidR="00F23615" w:rsidRPr="002A677E" w14:paraId="5A614A8A" w14:textId="77777777" w:rsidTr="00822842">
        <w:tc>
          <w:tcPr>
            <w:tcW w:w="1188" w:type="dxa"/>
          </w:tcPr>
          <w:p w14:paraId="2C83F070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0120</w:t>
            </w:r>
          </w:p>
        </w:tc>
        <w:tc>
          <w:tcPr>
            <w:tcW w:w="8640" w:type="dxa"/>
          </w:tcPr>
          <w:p w14:paraId="5CABCA8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Aġġustament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volatilità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għall-iskopertura</w:t>
            </w:r>
            <w:proofErr w:type="spellEnd"/>
          </w:p>
          <w:p w14:paraId="4584C48D" w14:textId="77777777" w:rsidR="00F23615" w:rsidRPr="002A677E" w:rsidRDefault="00F23615" w:rsidP="007F1637">
            <w:pPr>
              <w:pStyle w:val="InstructionsText"/>
            </w:pPr>
            <w:r>
              <w:t>L-Artikolu 223, il-</w:t>
            </w:r>
            <w:proofErr w:type="spellStart"/>
            <w:r>
              <w:t>paragrafi</w:t>
            </w:r>
            <w:proofErr w:type="spellEnd"/>
            <w:r>
              <w:t xml:space="preserve"> 2 u 3 tar-Regolament (UE) Nru 575/2013.</w:t>
            </w:r>
          </w:p>
          <w:p w14:paraId="11754192" w14:textId="77777777" w:rsidR="00F23615" w:rsidRPr="002A677E" w:rsidRDefault="00F23615" w:rsidP="007F1637">
            <w:pPr>
              <w:pStyle w:val="InstructionsText"/>
            </w:pPr>
            <w:r>
              <w:t>L-ammont li għandu jiġi rapportat huwa l-impatt tal-aġġustament fil-</w:t>
            </w:r>
            <w:proofErr w:type="spellStart"/>
            <w:r>
              <w:t>volatilità</w:t>
            </w:r>
            <w:proofErr w:type="spellEnd"/>
            <w:r>
              <w:t xml:space="preserve"> </w:t>
            </w:r>
            <w:proofErr w:type="spellStart"/>
            <w:r>
              <w:t>għall-iskopertura</w:t>
            </w:r>
            <w:proofErr w:type="spellEnd"/>
            <w:r>
              <w:t xml:space="preserve"> (Eva-E) = E*</w:t>
            </w:r>
            <w:proofErr w:type="spellStart"/>
            <w:r>
              <w:t>He</w:t>
            </w:r>
            <w:proofErr w:type="spellEnd"/>
          </w:p>
        </w:tc>
      </w:tr>
      <w:tr w:rsidR="00F23615" w:rsidRPr="002A677E" w14:paraId="52BFA5A8" w14:textId="77777777" w:rsidTr="00822842">
        <w:tc>
          <w:tcPr>
            <w:tcW w:w="1188" w:type="dxa"/>
          </w:tcPr>
          <w:p w14:paraId="61757B6E" w14:textId="77777777" w:rsidR="00F23615" w:rsidRPr="002A677E" w:rsidRDefault="00F23615" w:rsidP="007F1637">
            <w:pPr>
              <w:pStyle w:val="InstructionsText"/>
            </w:pPr>
            <w:r>
              <w:t>0130</w:t>
            </w:r>
          </w:p>
        </w:tc>
        <w:tc>
          <w:tcPr>
            <w:tcW w:w="8640" w:type="dxa"/>
          </w:tcPr>
          <w:p w14:paraId="730D08FE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Valur aġġustat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kollateral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finanzjarju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Cvam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561EF6E7" w14:textId="77777777" w:rsidR="00F23615" w:rsidRPr="002A677E" w:rsidRDefault="00F23615" w:rsidP="007F1637">
            <w:pPr>
              <w:pStyle w:val="InstructionsText"/>
            </w:pPr>
            <w:r>
              <w:t>L-Artikolu 239(2) tar-Regolament (UE) Nru 575/2013.</w:t>
            </w:r>
          </w:p>
          <w:p w14:paraId="7CF2D4DB" w14:textId="77777777" w:rsidR="00F23615" w:rsidRPr="002A677E" w:rsidRDefault="00F23615" w:rsidP="007F1637">
            <w:pPr>
              <w:pStyle w:val="InstructionsText"/>
            </w:pPr>
            <w:r>
              <w:t>Għall-operazzjonijiet tal-</w:t>
            </w:r>
            <w:proofErr w:type="spellStart"/>
            <w:r>
              <w:t>portafoll</w:t>
            </w:r>
            <w:proofErr w:type="spellEnd"/>
            <w:r>
              <w:t xml:space="preserve"> tan-negozjar, għandhom jiġu inklużi </w:t>
            </w:r>
            <w:proofErr w:type="spellStart"/>
            <w:r>
              <w:t>kollateral</w:t>
            </w:r>
            <w:proofErr w:type="spellEnd"/>
            <w:r>
              <w:t xml:space="preserve"> finanzjarju u </w:t>
            </w:r>
            <w:proofErr w:type="spellStart"/>
            <w:r>
              <w:t>komoditajiet</w:t>
            </w:r>
            <w:proofErr w:type="spellEnd"/>
            <w:r>
              <w:t xml:space="preserve"> eliġibbli </w:t>
            </w:r>
            <w:proofErr w:type="spellStart"/>
            <w:r>
              <w:t>għall-iskoperturi</w:t>
            </w:r>
            <w:proofErr w:type="spellEnd"/>
            <w:r>
              <w:t xml:space="preserve"> tal-</w:t>
            </w:r>
            <w:proofErr w:type="spellStart"/>
            <w:r>
              <w:t>portafoll</w:t>
            </w:r>
            <w:proofErr w:type="spellEnd"/>
            <w:r>
              <w:t xml:space="preserve"> tan-negozjar f’</w:t>
            </w:r>
            <w:proofErr w:type="spellStart"/>
            <w:r>
              <w:t>konformità</w:t>
            </w:r>
            <w:proofErr w:type="spellEnd"/>
            <w:r>
              <w:t xml:space="preserve"> mal-Artikolu 299(2), il-punti minn (c) sa (f) tar-Regolament (UE) Nru575/2013. </w:t>
            </w:r>
          </w:p>
          <w:p w14:paraId="0ADCC6B4" w14:textId="77777777" w:rsidR="00F23615" w:rsidRPr="002A677E" w:rsidRDefault="00F23615" w:rsidP="007F1637">
            <w:pPr>
              <w:pStyle w:val="InstructionsText"/>
            </w:pPr>
            <w:r>
              <w:t xml:space="preserve">L-ammont li għandu jiġi rapportat jikkorrispondi għal </w:t>
            </w:r>
            <w:proofErr w:type="spellStart"/>
            <w:r>
              <w:t>Cvam</w:t>
            </w:r>
            <w:proofErr w:type="spellEnd"/>
            <w:r>
              <w:t xml:space="preserve"> = C*(1-Hc-Hfx)*(t-t*)/(T-t*). Għal definizzjoni ta’ C, </w:t>
            </w:r>
            <w:proofErr w:type="spellStart"/>
            <w:r>
              <w:t>Hc</w:t>
            </w:r>
            <w:proofErr w:type="spellEnd"/>
            <w:r>
              <w:t xml:space="preserve">, </w:t>
            </w:r>
            <w:proofErr w:type="spellStart"/>
            <w:r>
              <w:t>Hfx</w:t>
            </w:r>
            <w:proofErr w:type="spellEnd"/>
            <w:r>
              <w:t>, t, T u t * ara l-Parti Tlieta, it-Titolu II, il-Kapitolu 4, it-Taqsimiet 4 u 5 tar-Regolament (UE) Nru 575/2013.</w:t>
            </w:r>
          </w:p>
        </w:tc>
      </w:tr>
      <w:tr w:rsidR="00F23615" w:rsidRPr="002A677E" w14:paraId="08E2FF0F" w14:textId="77777777" w:rsidTr="00822842">
        <w:tc>
          <w:tcPr>
            <w:tcW w:w="1188" w:type="dxa"/>
          </w:tcPr>
          <w:p w14:paraId="1D42F5B3" w14:textId="77777777" w:rsidR="00F23615" w:rsidRPr="002A677E" w:rsidRDefault="00F23615" w:rsidP="007F1637">
            <w:pPr>
              <w:pStyle w:val="InstructionsText"/>
            </w:pPr>
            <w:r>
              <w:t>0140</w:t>
            </w:r>
          </w:p>
        </w:tc>
        <w:tc>
          <w:tcPr>
            <w:tcW w:w="8640" w:type="dxa"/>
          </w:tcPr>
          <w:p w14:paraId="2CD89B6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Li minnhom: 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għall-volatilità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</w:p>
          <w:p w14:paraId="0CCFCF23" w14:textId="77777777" w:rsidR="00F23615" w:rsidRPr="002A677E" w:rsidRDefault="00F23615" w:rsidP="007F1637">
            <w:pPr>
              <w:pStyle w:val="InstructionsText"/>
            </w:pPr>
            <w:r>
              <w:t xml:space="preserve">L-Artikolu 223(1) tar-Regolament (UE) Nru 575/2013 u l-Artikolu 239(2) ta’ dak ir-Regolament. </w:t>
            </w:r>
          </w:p>
          <w:p w14:paraId="1B4A3514" w14:textId="77777777" w:rsidR="00F23615" w:rsidRPr="002A677E" w:rsidRDefault="00F23615" w:rsidP="007F1637">
            <w:pPr>
              <w:pStyle w:val="InstructionsText"/>
            </w:pPr>
            <w:r>
              <w:t>L-ammont li għandu jiġi rapportat huwa l-impatt konġunt tal-aġġustamenti fil-</w:t>
            </w:r>
            <w:proofErr w:type="spellStart"/>
            <w:r>
              <w:t>volatilità</w:t>
            </w:r>
            <w:proofErr w:type="spellEnd"/>
            <w:r>
              <w:t xml:space="preserve"> u l-</w:t>
            </w:r>
            <w:proofErr w:type="spellStart"/>
            <w:r>
              <w:t>maturità</w:t>
            </w:r>
            <w:proofErr w:type="spellEnd"/>
            <w:r>
              <w:t xml:space="preserve"> (</w:t>
            </w:r>
            <w:proofErr w:type="spellStart"/>
            <w:r>
              <w:t>Cvam</w:t>
            </w:r>
            <w:proofErr w:type="spellEnd"/>
            <w:r>
              <w:t>-C) = C*[(1-Hc-Hfx)*(t-t*)/(T-t*)-1], meta l-impatt tal-aġġustament fil-</w:t>
            </w:r>
            <w:proofErr w:type="spellStart"/>
            <w:r>
              <w:t>volatilità</w:t>
            </w:r>
            <w:proofErr w:type="spellEnd"/>
            <w:r>
              <w:t xml:space="preserve"> jkun (</w:t>
            </w:r>
            <w:proofErr w:type="spellStart"/>
            <w:r>
              <w:t>Cva</w:t>
            </w:r>
            <w:proofErr w:type="spellEnd"/>
            <w:r>
              <w:t>-C) = C*[(1-Hc-Hfx)-1] u l-impatt tal-aġġustament fil-</w:t>
            </w:r>
            <w:proofErr w:type="spellStart"/>
            <w:r>
              <w:t>maturità</w:t>
            </w:r>
            <w:proofErr w:type="spellEnd"/>
            <w:r>
              <w:t xml:space="preserve"> jkun (</w:t>
            </w:r>
            <w:proofErr w:type="spellStart"/>
            <w:r>
              <w:t>Cvam-Cva</w:t>
            </w:r>
            <w:proofErr w:type="spellEnd"/>
            <w:r>
              <w:t>) = C*(1-Hc-Hfx)*[(t-t*)/(T-t*)-1]</w:t>
            </w:r>
          </w:p>
        </w:tc>
      </w:tr>
      <w:tr w:rsidR="00F23615" w:rsidRPr="002A677E" w14:paraId="414DC79C" w14:textId="77777777" w:rsidTr="00822842">
        <w:tc>
          <w:tcPr>
            <w:tcW w:w="1188" w:type="dxa"/>
          </w:tcPr>
          <w:p w14:paraId="075F9E2C" w14:textId="77777777" w:rsidR="00F23615" w:rsidRPr="002A677E" w:rsidRDefault="00F23615" w:rsidP="007F1637">
            <w:pPr>
              <w:pStyle w:val="InstructionsText"/>
            </w:pPr>
            <w:r>
              <w:t>0150</w:t>
            </w:r>
          </w:p>
        </w:tc>
        <w:tc>
          <w:tcPr>
            <w:tcW w:w="8640" w:type="dxa"/>
          </w:tcPr>
          <w:p w14:paraId="7A43A88A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totalment aġġustat (E*)</w:t>
            </w:r>
          </w:p>
          <w:p w14:paraId="10A5BCEF" w14:textId="77777777" w:rsidR="00F23615" w:rsidRPr="001235ED" w:rsidRDefault="00F23615" w:rsidP="007F1637">
            <w:pPr>
              <w:pStyle w:val="InstructionsText"/>
              <w:rPr>
                <w:b/>
              </w:rPr>
            </w:pPr>
            <w:r>
              <w:t>L-Artikolu 220(4), l-Artikolu 223 minn (2) sa (5) u l-Artikolu 228(1) tar-Regolament (UE) Nru 575/2013.</w:t>
            </w:r>
          </w:p>
        </w:tc>
      </w:tr>
      <w:tr w:rsidR="00F23615" w:rsidRPr="002A677E" w14:paraId="4A5E12A5" w14:textId="77777777" w:rsidTr="00822842">
        <w:tc>
          <w:tcPr>
            <w:tcW w:w="1188" w:type="dxa"/>
          </w:tcPr>
          <w:p w14:paraId="5FEF7AA5" w14:textId="724CB75E" w:rsidR="00F23615" w:rsidRPr="002A677E" w:rsidRDefault="00F23615" w:rsidP="007F1637">
            <w:pPr>
              <w:pStyle w:val="InstructionsText"/>
            </w:pPr>
            <w:r>
              <w:t>0160-0195</w:t>
            </w:r>
          </w:p>
        </w:tc>
        <w:tc>
          <w:tcPr>
            <w:tcW w:w="8640" w:type="dxa"/>
          </w:tcPr>
          <w:p w14:paraId="0140F70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tal-valur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totalment aġġustata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ma jidhrux fil-karta bilanċjali skont il-fatturi ta’ konverżjoni</w:t>
            </w:r>
          </w:p>
          <w:p w14:paraId="34511D96" w14:textId="5F674B3D" w:rsidR="00F23615" w:rsidRPr="002A677E" w:rsidRDefault="00F23615" w:rsidP="007F1637">
            <w:pPr>
              <w:pStyle w:val="InstructionsText"/>
            </w:pPr>
            <w:r>
              <w:t xml:space="preserve">L-Artikolu 111, l-Artikolu 495d (Arranġamenti </w:t>
            </w:r>
            <w:proofErr w:type="spellStart"/>
            <w:r>
              <w:t>tranżizzjonali</w:t>
            </w:r>
            <w:proofErr w:type="spellEnd"/>
            <w:r>
              <w:t xml:space="preserve"> </w:t>
            </w:r>
            <w:proofErr w:type="spellStart"/>
            <w:r>
              <w:t>għall-UCCs</w:t>
            </w:r>
            <w:proofErr w:type="spellEnd"/>
            <w:r>
              <w:t>), u l-Artikolu 4(1), il-punt (56) tar-Regolament (UE) Nru 575/2013. Ara wkoll l-Artikoli 222(3) u 228(1) tar-Regolament (UE) Nru 575/2013.</w:t>
            </w:r>
          </w:p>
          <w:p w14:paraId="26E8C1C3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Iċ-ċifri rapportati għandhom ikunu l-valuri tal-</w:t>
            </w:r>
            <w:proofErr w:type="spellStart"/>
            <w:r>
              <w:t>iskopertura</w:t>
            </w:r>
            <w:proofErr w:type="spellEnd"/>
            <w:r>
              <w:t xml:space="preserve"> totalment aġġustati qabel l-applikazzjoni tal-fattur ta’ konverżjoni.</w:t>
            </w:r>
          </w:p>
        </w:tc>
      </w:tr>
      <w:tr w:rsidR="00F23615" w:rsidRPr="002A677E" w14:paraId="7F59AA6D" w14:textId="77777777" w:rsidTr="00822842">
        <w:tc>
          <w:tcPr>
            <w:tcW w:w="1188" w:type="dxa"/>
          </w:tcPr>
          <w:p w14:paraId="15FE1A00" w14:textId="77777777" w:rsidR="00F23615" w:rsidRPr="002A677E" w:rsidRDefault="00F23615" w:rsidP="007F1637">
            <w:pPr>
              <w:pStyle w:val="InstructionsText"/>
            </w:pPr>
            <w:r>
              <w:t>0200</w:t>
            </w:r>
          </w:p>
        </w:tc>
        <w:tc>
          <w:tcPr>
            <w:tcW w:w="8640" w:type="dxa"/>
          </w:tcPr>
          <w:p w14:paraId="503829E5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</w:p>
          <w:p w14:paraId="15AC235D" w14:textId="77777777" w:rsidR="00F23615" w:rsidRPr="002A677E" w:rsidRDefault="00F23615" w:rsidP="007F1637">
            <w:pPr>
              <w:pStyle w:val="InstructionsText"/>
            </w:pPr>
            <w:r>
              <w:t>L-Artikolu 111 tar-Regolament (UE) Nru 575/2013 u l-Parti Tlieta, it-Titolu II, il-Kapitolu 4, it-Taqsima 4 ta’ dak ir-Regolament.</w:t>
            </w:r>
          </w:p>
          <w:p w14:paraId="07D57337" w14:textId="77777777" w:rsidR="00F23615" w:rsidRPr="002A677E" w:rsidRDefault="00F23615" w:rsidP="007F1637">
            <w:pPr>
              <w:pStyle w:val="InstructionsText"/>
            </w:pPr>
            <w:r>
              <w:t>Il-valur tal-</w:t>
            </w:r>
            <w:proofErr w:type="spellStart"/>
            <w:r>
              <w:t>iskopertura</w:t>
            </w:r>
            <w:proofErr w:type="spellEnd"/>
            <w:r>
              <w:t xml:space="preserve"> wara li jitqiesu l-aġġustamenti tal-valur, il-</w:t>
            </w:r>
            <w:proofErr w:type="spellStart"/>
            <w:r>
              <w:t>mitiganti</w:t>
            </w:r>
            <w:proofErr w:type="spellEnd"/>
            <w:r>
              <w:t xml:space="preserve"> tar-riskju ta’ kreditu kollha u l-fatturi ta’ konverżjoni tal-kreditu li għandu jiġi assenjat </w:t>
            </w:r>
            <w:proofErr w:type="spellStart"/>
            <w:r>
              <w:t>għall-</w:t>
            </w:r>
            <w:r>
              <w:lastRenderedPageBreak/>
              <w:t>ponderazzjonijiet</w:t>
            </w:r>
            <w:proofErr w:type="spellEnd"/>
            <w:r>
              <w:t xml:space="preserve"> tar-riskju f’</w:t>
            </w:r>
            <w:proofErr w:type="spellStart"/>
            <w:r>
              <w:t>konformità</w:t>
            </w:r>
            <w:proofErr w:type="spellEnd"/>
            <w:r>
              <w:t xml:space="preserve"> mal-Artikolu 113 u l-Parti Tlieta, it-Titolu II, il-Kapitolu 2, it-Taqsima 2 tar-Regolament (UE) Nru 575/2013.</w:t>
            </w:r>
          </w:p>
          <w:p w14:paraId="22B1C2F3" w14:textId="77777777" w:rsidR="00F23615" w:rsidRPr="002A677E" w:rsidRDefault="00F23615" w:rsidP="007F1637">
            <w:pPr>
              <w:pStyle w:val="InstructionsText"/>
            </w:pPr>
            <w:r>
              <w:t>Valuri tal-</w:t>
            </w:r>
            <w:proofErr w:type="spellStart"/>
            <w:r>
              <w:t>iskoperturi</w:t>
            </w:r>
            <w:proofErr w:type="spellEnd"/>
            <w:r>
              <w:t xml:space="preserve"> għal </w:t>
            </w:r>
            <w:proofErr w:type="spellStart"/>
            <w:r>
              <w:t>lokazzjonijiet</w:t>
            </w:r>
            <w:proofErr w:type="spellEnd"/>
            <w:r>
              <w:t xml:space="preserve"> huma soġġetti għall-Artikolu 134(7) tar-Regolament (UE) Nru 575/2013. B’mod partikolari, il-valur </w:t>
            </w:r>
            <w:proofErr w:type="spellStart"/>
            <w:r>
              <w:t>residwu</w:t>
            </w:r>
            <w:proofErr w:type="spellEnd"/>
            <w:r>
              <w:t xml:space="preserve"> għandu jiġi inkluż fil-valur </w:t>
            </w:r>
            <w:proofErr w:type="spellStart"/>
            <w:r>
              <w:t>residwu</w:t>
            </w:r>
            <w:proofErr w:type="spellEnd"/>
            <w:r>
              <w:t xml:space="preserve"> </w:t>
            </w:r>
            <w:proofErr w:type="spellStart"/>
            <w:r>
              <w:t>skontat</w:t>
            </w:r>
            <w:proofErr w:type="spellEnd"/>
            <w:r>
              <w:t xml:space="preserve"> tiegħu wara li jitqiesu l-aġġustamenti tal-valur, il-</w:t>
            </w:r>
            <w:proofErr w:type="spellStart"/>
            <w:r>
              <w:t>mitiganti</w:t>
            </w:r>
            <w:proofErr w:type="spellEnd"/>
            <w:r>
              <w:t xml:space="preserve"> tar-riskju ta’ kreditu kollha u l-fatturi ta’ konverżjoni tal-kreditu.</w:t>
            </w:r>
          </w:p>
          <w:p w14:paraId="1890A013" w14:textId="77777777" w:rsidR="00F23615" w:rsidRPr="002A677E" w:rsidRDefault="00F23615" w:rsidP="007F1637">
            <w:pPr>
              <w:pStyle w:val="InstructionsText"/>
            </w:pPr>
            <w:r>
              <w:t>Il-valuri tal-</w:t>
            </w:r>
            <w:proofErr w:type="spellStart"/>
            <w:r>
              <w:t>iskoperturi</w:t>
            </w:r>
            <w:proofErr w:type="spellEnd"/>
            <w:r>
              <w:t xml:space="preserve"> għall-operazzjonijiet </w:t>
            </w:r>
            <w:proofErr w:type="spellStart"/>
            <w:r>
              <w:t>tas</w:t>
            </w:r>
            <w:proofErr w:type="spellEnd"/>
            <w:r>
              <w:t>-CCR għandhom ikunu l-istess bħal dawk rapportati fil-kolonna 0210.</w:t>
            </w:r>
          </w:p>
        </w:tc>
      </w:tr>
      <w:tr w:rsidR="00F23615" w:rsidRPr="002A677E" w14:paraId="51ED29B4" w14:textId="77777777" w:rsidTr="00822842">
        <w:tc>
          <w:tcPr>
            <w:tcW w:w="1188" w:type="dxa"/>
          </w:tcPr>
          <w:p w14:paraId="2DEC1A46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0210</w:t>
            </w:r>
          </w:p>
        </w:tc>
        <w:tc>
          <w:tcPr>
            <w:tcW w:w="8640" w:type="dxa"/>
          </w:tcPr>
          <w:p w14:paraId="55B8C0E0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Li jirriżultaw minn Riskju tal-Kreditu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Kontroparti</w:t>
            </w:r>
            <w:proofErr w:type="spellEnd"/>
          </w:p>
          <w:p w14:paraId="2BCC3C39" w14:textId="77777777" w:rsidR="00F23615" w:rsidRPr="002A677E" w:rsidRDefault="00F23615" w:rsidP="00822842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</w:t>
            </w:r>
            <w:proofErr w:type="spellStart"/>
            <w:r>
              <w:rPr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 operazzjonijiet </w:t>
            </w:r>
            <w:proofErr w:type="spellStart"/>
            <w:r>
              <w:rPr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sz w:val="24"/>
              </w:rPr>
              <w:t>-CCR ikkalkolat f’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mal-metodi stabbiliti fil-Parti Tlieta, it-Titolu II, il-Kapitolu 4 u l-Kapitolu 6 tar-Regolament (UE) Nru 575/2013, li huwa l-ammont rilevanti għall-kalkolu tal-ammonti ta’ </w:t>
            </w:r>
            <w:proofErr w:type="spellStart"/>
            <w:r>
              <w:rPr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għar-riskju, jiġifieri li jkunu applikaw </w:t>
            </w:r>
            <w:proofErr w:type="spellStart"/>
            <w:r>
              <w:rPr>
                <w:rFonts w:ascii="Times New Roman" w:hAnsi="Times New Roman"/>
                <w:sz w:val="24"/>
              </w:rPr>
              <w:t>tekniki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CRM kif applikabbli f’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mal-Parti Tlieta, it-Titolu II, il-Kapitolu 4 u l-Kapitolu 6 tar-Regolament (UE) Nru 575/2013 u b’kunsiderazzjoni tat-tnaqqis tat-telf ta’ CVA </w:t>
            </w:r>
            <w:proofErr w:type="spellStart"/>
            <w:r>
              <w:rPr>
                <w:rFonts w:ascii="Times New Roman" w:hAnsi="Times New Roman"/>
                <w:sz w:val="24"/>
              </w:rPr>
              <w:t>mġarrab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kif imsemmi fl-Artikolu 273(6) ta’ dak ir-Regolament. </w:t>
            </w:r>
          </w:p>
          <w:p w14:paraId="552F314B" w14:textId="77777777" w:rsidR="00F23615" w:rsidRPr="002A677E" w:rsidRDefault="00F23615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</w:t>
            </w:r>
            <w:proofErr w:type="spellStart"/>
            <w:r>
              <w:rPr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 tranżazzjonijiet fejn ġie identifikat riskju speċifiku ta’ </w:t>
            </w:r>
            <w:proofErr w:type="spellStart"/>
            <w:r>
              <w:rPr>
                <w:rFonts w:ascii="Times New Roman" w:hAnsi="Times New Roman"/>
                <w:sz w:val="24"/>
              </w:rPr>
              <w:t>korrelazzjoni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negattiva jrid jiġi determinat f’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mal-Artikolu 291 tar-Regolament (UE) Nru 575/2013.</w:t>
            </w:r>
          </w:p>
          <w:p w14:paraId="0E82FB3E" w14:textId="77777777" w:rsidR="00F23615" w:rsidRPr="002A677E" w:rsidRDefault="00F23615" w:rsidP="007F1637">
            <w:pPr>
              <w:pStyle w:val="InstructionsText"/>
            </w:pPr>
            <w:r>
              <w:t xml:space="preserve">Għal każijiet fejn jintuża aktar minn </w:t>
            </w:r>
            <w:proofErr w:type="spellStart"/>
            <w:r>
              <w:t>approċċ</w:t>
            </w:r>
            <w:proofErr w:type="spellEnd"/>
            <w:r>
              <w:t xml:space="preserve"> wieħed </w:t>
            </w:r>
            <w:proofErr w:type="spellStart"/>
            <w:r>
              <w:t>tas</w:t>
            </w:r>
            <w:proofErr w:type="spellEnd"/>
            <w:r>
              <w:t xml:space="preserve">-CCR għal </w:t>
            </w:r>
            <w:proofErr w:type="spellStart"/>
            <w:r>
              <w:t>kontroparti</w:t>
            </w:r>
            <w:proofErr w:type="spellEnd"/>
            <w:r>
              <w:t xml:space="preserve"> waħda, it-telf </w:t>
            </w:r>
            <w:proofErr w:type="spellStart"/>
            <w:r>
              <w:t>tas</w:t>
            </w:r>
            <w:proofErr w:type="spellEnd"/>
            <w:r>
              <w:t xml:space="preserve">-CVA </w:t>
            </w:r>
            <w:proofErr w:type="spellStart"/>
            <w:r>
              <w:t>mġarrab</w:t>
            </w:r>
            <w:proofErr w:type="spellEnd"/>
            <w:r>
              <w:t>, li jitnaqqas fil-livell tal-</w:t>
            </w:r>
            <w:proofErr w:type="spellStart"/>
            <w:r>
              <w:t>kontroparti</w:t>
            </w:r>
            <w:proofErr w:type="spellEnd"/>
            <w:r>
              <w:t>, għandu jiġi assenjat għall-valur tal-</w:t>
            </w:r>
            <w:proofErr w:type="spellStart"/>
            <w:r>
              <w:t>iskopertura</w:t>
            </w:r>
            <w:proofErr w:type="spellEnd"/>
            <w:r>
              <w:t xml:space="preserve"> tas-settijiet </w:t>
            </w:r>
            <w:proofErr w:type="spellStart"/>
            <w:r>
              <w:t>tan-netting</w:t>
            </w:r>
            <w:proofErr w:type="spellEnd"/>
            <w:r>
              <w:t xml:space="preserve"> differenti fir-ringieli 0090 - 0130 li jirriflettu l-proporzjon tal-valur tal-</w:t>
            </w:r>
            <w:proofErr w:type="spellStart"/>
            <w:r>
              <w:t>iskopertura</w:t>
            </w:r>
            <w:proofErr w:type="spellEnd"/>
            <w:r>
              <w:t xml:space="preserve"> wara s-CRM tas-settijiet </w:t>
            </w:r>
            <w:proofErr w:type="spellStart"/>
            <w:r>
              <w:t>tan-netting</w:t>
            </w:r>
            <w:proofErr w:type="spellEnd"/>
            <w:r>
              <w:t xml:space="preserve"> rispettivi għall-valur tal-</w:t>
            </w:r>
            <w:proofErr w:type="spellStart"/>
            <w:r>
              <w:t>iskopertura</w:t>
            </w:r>
            <w:proofErr w:type="spellEnd"/>
            <w:r>
              <w:t xml:space="preserve"> totali wara s-CRM tal-</w:t>
            </w:r>
            <w:proofErr w:type="spellStart"/>
            <w:r>
              <w:t>kontroparti</w:t>
            </w:r>
            <w:proofErr w:type="spellEnd"/>
            <w:r>
              <w:t>. Għal dan il-għan, għandu jintuża l-valur tal-</w:t>
            </w:r>
            <w:proofErr w:type="spellStart"/>
            <w:r>
              <w:t>iskopertura</w:t>
            </w:r>
            <w:proofErr w:type="spellEnd"/>
            <w:r>
              <w:t xml:space="preserve"> wara s-CRM skont l-istruzzjonijiet għall-kolonna 0160 tal-formola C 34.02.</w:t>
            </w:r>
          </w:p>
        </w:tc>
      </w:tr>
      <w:tr w:rsidR="00F23615" w:rsidRPr="002A677E" w14:paraId="6C6C0776" w14:textId="77777777" w:rsidTr="00822842">
        <w:tc>
          <w:tcPr>
            <w:tcW w:w="1188" w:type="dxa"/>
          </w:tcPr>
          <w:p w14:paraId="1265B05E" w14:textId="77777777" w:rsidR="00F23615" w:rsidRPr="002A677E" w:rsidRDefault="00F23615" w:rsidP="007F1637">
            <w:pPr>
              <w:pStyle w:val="InstructionsText"/>
            </w:pPr>
            <w:r>
              <w:t>0211</w:t>
            </w:r>
          </w:p>
        </w:tc>
        <w:tc>
          <w:tcPr>
            <w:tcW w:w="8640" w:type="dxa"/>
          </w:tcPr>
          <w:p w14:paraId="622BAEA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Li jirriżultaw mir-Riskju tal-Kreditu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esklużi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kklerjati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permezz ta’ CCP</w:t>
            </w:r>
          </w:p>
          <w:p w14:paraId="40D953AE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</w:t>
            </w:r>
            <w:proofErr w:type="spellStart"/>
            <w:r>
              <w:t>iskoperturi</w:t>
            </w:r>
            <w:proofErr w:type="spellEnd"/>
            <w:r>
              <w:t xml:space="preserve"> rapportati fil-kolonna 0210 minbarra dawk li ġejjin minn kuntratti u tranżazzjonijiet elenkati fl-Artikolu 301(1) tar-Regolament (UE) Nru 575/2013 sakemm ikunu pendenti ma’ </w:t>
            </w:r>
            <w:proofErr w:type="spellStart"/>
            <w:r>
              <w:t>kontroparti</w:t>
            </w:r>
            <w:proofErr w:type="spellEnd"/>
            <w:r>
              <w:t xml:space="preserve"> ċentrali (CCP), inklużi tranżazzjonijiet relatati </w:t>
            </w:r>
            <w:proofErr w:type="spellStart"/>
            <w:r>
              <w:t>mas</w:t>
            </w:r>
            <w:proofErr w:type="spellEnd"/>
            <w:r>
              <w:t>-CCP definiti fil-punt (2) tal-Artikolu 300 ta’ dak ir-Regolament.</w:t>
            </w:r>
          </w:p>
        </w:tc>
      </w:tr>
      <w:tr w:rsidR="00F23615" w:rsidRPr="002A677E" w14:paraId="0D76C92B" w14:textId="77777777" w:rsidTr="00822842">
        <w:tc>
          <w:tcPr>
            <w:tcW w:w="1188" w:type="dxa"/>
          </w:tcPr>
          <w:p w14:paraId="07671E20" w14:textId="77777777" w:rsidR="00F23615" w:rsidRPr="002A677E" w:rsidRDefault="00F23615" w:rsidP="007F1637">
            <w:pPr>
              <w:pStyle w:val="InstructionsText"/>
            </w:pPr>
            <w:r>
              <w:t>0215</w:t>
            </w:r>
          </w:p>
        </w:tc>
        <w:tc>
          <w:tcPr>
            <w:tcW w:w="8640" w:type="dxa"/>
          </w:tcPr>
          <w:p w14:paraId="19FB669A" w14:textId="4BD14A8E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qabel il-fatturi ta’ appoġġ u qabel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ispariġġ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-FX</w:t>
            </w:r>
          </w:p>
          <w:p w14:paraId="5C9BE587" w14:textId="77777777" w:rsidR="00F23615" w:rsidRPr="002A677E" w:rsidRDefault="00F23615" w:rsidP="007F1637">
            <w:pPr>
              <w:pStyle w:val="InstructionsText"/>
            </w:pPr>
            <w:r>
              <w:t>L-Artikolu 113, il-</w:t>
            </w:r>
            <w:proofErr w:type="spellStart"/>
            <w:r>
              <w:t>paragrafi</w:t>
            </w:r>
            <w:proofErr w:type="spellEnd"/>
            <w:r>
              <w:t xml:space="preserve"> minn 1 sa 5 tar-Regolament (UE) Nru 575/2013, bla ma jitqiesu l-fatturi ta’ appoġġ tal-</w:t>
            </w:r>
            <w:proofErr w:type="spellStart"/>
            <w:r>
              <w:t>SMEs</w:t>
            </w:r>
            <w:proofErr w:type="spellEnd"/>
            <w:r>
              <w:t xml:space="preserve"> u l-infrastruttura stabbiliti fl-Artikolu 501 u l-Artikolu 501a ta’ dak ir-Regolament</w:t>
            </w:r>
          </w:p>
          <w:p w14:paraId="63C16619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L-ammont tal-</w:t>
            </w:r>
            <w:proofErr w:type="spellStart"/>
            <w:r>
              <w:t>iskopertura</w:t>
            </w:r>
            <w:proofErr w:type="spellEnd"/>
            <w:r>
              <w:t xml:space="preserve"> </w:t>
            </w:r>
            <w:proofErr w:type="spellStart"/>
            <w:r>
              <w:t>ponderat</w:t>
            </w:r>
            <w:proofErr w:type="spellEnd"/>
            <w:r>
              <w:t xml:space="preserve"> għar-riskju tal-valur </w:t>
            </w:r>
            <w:proofErr w:type="spellStart"/>
            <w:r>
              <w:t>residwu</w:t>
            </w:r>
            <w:proofErr w:type="spellEnd"/>
            <w:r>
              <w:t xml:space="preserve"> tal-assi tal-lokazzjoni għandu jkun soġġett għas-sentenza 5 tal-Artikolu 134(7) u għandu jiġi </w:t>
            </w:r>
            <w:proofErr w:type="spellStart"/>
            <w:r>
              <w:t>kkalkolat</w:t>
            </w:r>
            <w:proofErr w:type="spellEnd"/>
            <w:r>
              <w:t xml:space="preserve"> skont il-formula ‘1/t * 100 % * valur </w:t>
            </w:r>
            <w:proofErr w:type="spellStart"/>
            <w:r>
              <w:t>residwu</w:t>
            </w:r>
            <w:proofErr w:type="spellEnd"/>
            <w:r>
              <w:t xml:space="preserve">’. B’mod partikolari, il-valur </w:t>
            </w:r>
            <w:proofErr w:type="spellStart"/>
            <w:r>
              <w:t>residwu</w:t>
            </w:r>
            <w:proofErr w:type="spellEnd"/>
            <w:r>
              <w:t xml:space="preserve"> huwa l-valur </w:t>
            </w:r>
            <w:proofErr w:type="spellStart"/>
            <w:r>
              <w:t>residwu</w:t>
            </w:r>
            <w:proofErr w:type="spellEnd"/>
            <w:r>
              <w:t xml:space="preserve"> stmat mingħajr skont fi tmiem it-terminu tal-lokazzjoni li jiġi </w:t>
            </w:r>
            <w:proofErr w:type="spellStart"/>
            <w:r>
              <w:t>vvalutat</w:t>
            </w:r>
            <w:proofErr w:type="spellEnd"/>
            <w:r>
              <w:t xml:space="preserve"> mill-ġdid perjodikament biex tiġi żgurata l-</w:t>
            </w:r>
            <w:proofErr w:type="spellStart"/>
            <w:r>
              <w:t>adegwatezza</w:t>
            </w:r>
            <w:proofErr w:type="spellEnd"/>
            <w:r>
              <w:t xml:space="preserve"> kontinwa.</w:t>
            </w:r>
          </w:p>
        </w:tc>
      </w:tr>
      <w:tr w:rsidR="00F23615" w:rsidRPr="002A677E" w14:paraId="23FC0101" w14:textId="77777777" w:rsidTr="00822842">
        <w:tc>
          <w:tcPr>
            <w:tcW w:w="1188" w:type="dxa"/>
          </w:tcPr>
          <w:p w14:paraId="2110224E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0216</w:t>
            </w:r>
          </w:p>
        </w:tc>
        <w:tc>
          <w:tcPr>
            <w:tcW w:w="8640" w:type="dxa"/>
          </w:tcPr>
          <w:p w14:paraId="0300E03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Aġġustament fl-ammont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dovut għall-fattur ta’ appoġġ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SMEs</w:t>
            </w:r>
            <w:proofErr w:type="spellEnd"/>
          </w:p>
          <w:p w14:paraId="53A60AD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Tnaqqis tad-differenza tal-ammonti tal-</w:t>
            </w:r>
            <w:proofErr w:type="spellStart"/>
            <w:r>
              <w:t>iskoperturi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għal </w:t>
            </w:r>
            <w:proofErr w:type="spellStart"/>
            <w:r>
              <w:t>skoperturi</w:t>
            </w:r>
            <w:proofErr w:type="spellEnd"/>
            <w:r>
              <w:t xml:space="preserve"> mhux </w:t>
            </w:r>
            <w:proofErr w:type="spellStart"/>
            <w:r>
              <w:t>inadempjenti</w:t>
            </w:r>
            <w:proofErr w:type="spellEnd"/>
            <w:r>
              <w:t xml:space="preserve"> għal SME (RWEA), li huma </w:t>
            </w:r>
            <w:proofErr w:type="spellStart"/>
            <w:r>
              <w:t>kkalkolati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mal-Parti Tlieta, it-Titolu II, il-Kapitolu 2 tar-Regolament (UE) Nru 575/2013, kif applikabbli u RWEA* f’</w:t>
            </w:r>
            <w:proofErr w:type="spellStart"/>
            <w:r>
              <w:t>konformità</w:t>
            </w:r>
            <w:proofErr w:type="spellEnd"/>
            <w:r>
              <w:t xml:space="preserve"> mal-Artikolu 501, il-punt (1) ta’ dak ir-Regolament</w:t>
            </w:r>
          </w:p>
        </w:tc>
      </w:tr>
      <w:tr w:rsidR="00F23615" w:rsidRPr="002A677E" w14:paraId="10E746B5" w14:textId="77777777" w:rsidTr="00822842">
        <w:tc>
          <w:tcPr>
            <w:tcW w:w="1188" w:type="dxa"/>
          </w:tcPr>
          <w:p w14:paraId="15BF54BD" w14:textId="77777777" w:rsidR="00F23615" w:rsidRPr="002A677E" w:rsidRDefault="00F23615" w:rsidP="007F1637">
            <w:pPr>
              <w:pStyle w:val="InstructionsText"/>
            </w:pPr>
            <w:r>
              <w:t>0217</w:t>
            </w:r>
          </w:p>
        </w:tc>
        <w:tc>
          <w:tcPr>
            <w:tcW w:w="8640" w:type="dxa"/>
          </w:tcPr>
          <w:p w14:paraId="6822942D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Aġġustament għall-ammont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dovut għall-fattur ta’ appoġġ tal-infrastruttura</w:t>
            </w:r>
          </w:p>
          <w:p w14:paraId="119B610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Tnaqqis tad-differenza tal-ammonti tal-</w:t>
            </w:r>
            <w:proofErr w:type="spellStart"/>
            <w:r>
              <w:t>iskopertura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</w:t>
            </w:r>
            <w:proofErr w:type="spellStart"/>
            <w:r>
              <w:t>kkalkolati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mal-Parti Tlieta, it-Titolu II tar-Regolament (UE) Nru 575/2013 u l-RWEA aġġustati għar-riskju ta’ kreditu għal </w:t>
            </w:r>
            <w:proofErr w:type="spellStart"/>
            <w:r>
              <w:t>skoperturi</w:t>
            </w:r>
            <w:proofErr w:type="spellEnd"/>
            <w:r>
              <w:t xml:space="preserve"> għal entitajiet li joperaw jew jiffinanzjaw strutturi fiżiċi jew faċilitajiet, sistemi u networks li jipprovdu jew </w:t>
            </w:r>
            <w:proofErr w:type="spellStart"/>
            <w:r>
              <w:t>jappoġġaw</w:t>
            </w:r>
            <w:proofErr w:type="spellEnd"/>
            <w:r>
              <w:t xml:space="preserve"> servizzi pubbliċi essenzjali f’</w:t>
            </w:r>
            <w:proofErr w:type="spellStart"/>
            <w:r>
              <w:t>konformità</w:t>
            </w:r>
            <w:proofErr w:type="spellEnd"/>
            <w:r>
              <w:t xml:space="preserve"> mal-Artikolu 501a ta’ dak ir-Regolament.</w:t>
            </w:r>
          </w:p>
        </w:tc>
      </w:tr>
      <w:tr w:rsidR="00F23615" w:rsidRPr="002A677E" w14:paraId="041AD2FA" w14:textId="77777777" w:rsidTr="00822842">
        <w:tc>
          <w:tcPr>
            <w:tcW w:w="1188" w:type="dxa"/>
          </w:tcPr>
          <w:p w14:paraId="13904175" w14:textId="77777777" w:rsidR="00F23615" w:rsidRPr="002A677E" w:rsidRDefault="00F23615" w:rsidP="007F1637">
            <w:pPr>
              <w:pStyle w:val="InstructionsText"/>
            </w:pPr>
            <w:r>
              <w:t>0220</w:t>
            </w:r>
          </w:p>
        </w:tc>
        <w:tc>
          <w:tcPr>
            <w:tcW w:w="8640" w:type="dxa"/>
          </w:tcPr>
          <w:p w14:paraId="202BE5B8" w14:textId="57C8E323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wara l-fatturi ta’ appoġġ u wara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ispariġġ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-FX</w:t>
            </w:r>
          </w:p>
          <w:p w14:paraId="4F1890DF" w14:textId="77777777" w:rsidR="00F23615" w:rsidRPr="002A677E" w:rsidRDefault="00F23615" w:rsidP="007F1637">
            <w:pPr>
              <w:pStyle w:val="InstructionsText"/>
            </w:pPr>
            <w:r>
              <w:t>L-Artikolu 113, il-</w:t>
            </w:r>
            <w:proofErr w:type="spellStart"/>
            <w:r>
              <w:t>paragrafi</w:t>
            </w:r>
            <w:proofErr w:type="spellEnd"/>
            <w:r>
              <w:t xml:space="preserve"> minn 1 sa 5 tar-Regolament (UE) Nru 575/2013, bla ma jitqiesu l-fatturi ta’ appoġġ tal-</w:t>
            </w:r>
            <w:proofErr w:type="spellStart"/>
            <w:r>
              <w:t>SMEs</w:t>
            </w:r>
            <w:proofErr w:type="spellEnd"/>
            <w:r>
              <w:t xml:space="preserve"> u l-infrastruttura stabbiliti fl-Artikolu 501 u l-Artikolu 501a ta’ dak ir-Regolament </w:t>
            </w:r>
          </w:p>
          <w:p w14:paraId="7D5F7D82" w14:textId="77777777" w:rsidR="00F23615" w:rsidRDefault="00F23615" w:rsidP="007F1637">
            <w:pPr>
              <w:pStyle w:val="InstructionsText"/>
            </w:pPr>
            <w:r>
              <w:t>L-ammont tal-</w:t>
            </w:r>
            <w:proofErr w:type="spellStart"/>
            <w:r>
              <w:t>iskopertura</w:t>
            </w:r>
            <w:proofErr w:type="spellEnd"/>
            <w:r>
              <w:t xml:space="preserve"> </w:t>
            </w:r>
            <w:proofErr w:type="spellStart"/>
            <w:r>
              <w:t>ponderat</w:t>
            </w:r>
            <w:proofErr w:type="spellEnd"/>
            <w:r>
              <w:t xml:space="preserve"> għar-riskju tal-valur </w:t>
            </w:r>
            <w:proofErr w:type="spellStart"/>
            <w:r>
              <w:t>residwu</w:t>
            </w:r>
            <w:proofErr w:type="spellEnd"/>
            <w:r>
              <w:t xml:space="preserve"> tal-assi tal-lokazzjoni huwa soġġett għas-sentenza 5 tal-Artikolu 134(7) u għandu jiġi </w:t>
            </w:r>
            <w:proofErr w:type="spellStart"/>
            <w:r>
              <w:t>kkalkolat</w:t>
            </w:r>
            <w:proofErr w:type="spellEnd"/>
            <w:r>
              <w:t xml:space="preserve"> skont il-formula ‘1/t * 100 % * valur </w:t>
            </w:r>
            <w:proofErr w:type="spellStart"/>
            <w:r>
              <w:t>residwu</w:t>
            </w:r>
            <w:proofErr w:type="spellEnd"/>
            <w:r>
              <w:t xml:space="preserve">’. B’mod partikolari, il-valur </w:t>
            </w:r>
            <w:proofErr w:type="spellStart"/>
            <w:r>
              <w:t>residwu</w:t>
            </w:r>
            <w:proofErr w:type="spellEnd"/>
            <w:r>
              <w:t xml:space="preserve"> huwa l-valur </w:t>
            </w:r>
            <w:proofErr w:type="spellStart"/>
            <w:r>
              <w:t>residwu</w:t>
            </w:r>
            <w:proofErr w:type="spellEnd"/>
            <w:r>
              <w:t xml:space="preserve"> stmat mingħajr skont fi tmiem it-terminu tal-lokazzjoni li jiġi </w:t>
            </w:r>
            <w:proofErr w:type="spellStart"/>
            <w:r>
              <w:t>vvalutat</w:t>
            </w:r>
            <w:proofErr w:type="spellEnd"/>
            <w:r>
              <w:t xml:space="preserve"> mill-ġdid perjodikament biex tiġi żgurata l-</w:t>
            </w:r>
            <w:proofErr w:type="spellStart"/>
            <w:r>
              <w:t>adegwatezza</w:t>
            </w:r>
            <w:proofErr w:type="spellEnd"/>
            <w:r>
              <w:t xml:space="preserve"> kontinwa.</w:t>
            </w:r>
          </w:p>
          <w:p w14:paraId="7C7A8A5B" w14:textId="1003B1BF" w:rsidR="0075629F" w:rsidRPr="0075629F" w:rsidRDefault="0075629F" w:rsidP="007F1637">
            <w:pPr>
              <w:pStyle w:val="InstructionsText"/>
            </w:pPr>
            <w:r>
              <w:t xml:space="preserve">Fil-każ ta’ </w:t>
            </w:r>
            <w:proofErr w:type="spellStart"/>
            <w:r>
              <w:t>spariġġ</w:t>
            </w:r>
            <w:proofErr w:type="spellEnd"/>
            <w:r>
              <w:t xml:space="preserve"> fil-muniti, l-impatt għandu jiġi rifless </w:t>
            </w:r>
            <w:proofErr w:type="spellStart"/>
            <w:r>
              <w:t>fl</w:t>
            </w:r>
            <w:proofErr w:type="spellEnd"/>
            <w:r>
              <w:t xml:space="preserve">-RWEA </w:t>
            </w:r>
            <w:proofErr w:type="spellStart"/>
            <w:r>
              <w:t>rrapportata</w:t>
            </w:r>
            <w:proofErr w:type="spellEnd"/>
            <w:r>
              <w:t xml:space="preserve"> f’din il-kolonna. </w:t>
            </w:r>
          </w:p>
        </w:tc>
      </w:tr>
      <w:tr w:rsidR="00F23615" w:rsidRPr="002A677E" w14:paraId="14FFE455" w14:textId="77777777" w:rsidTr="00822842">
        <w:tc>
          <w:tcPr>
            <w:tcW w:w="1188" w:type="dxa"/>
            <w:shd w:val="clear" w:color="auto" w:fill="auto"/>
          </w:tcPr>
          <w:p w14:paraId="141C757F" w14:textId="77777777" w:rsidR="00F23615" w:rsidRPr="002A677E" w:rsidRDefault="00F23615" w:rsidP="007F1637">
            <w:pPr>
              <w:pStyle w:val="InstructionsText"/>
            </w:pPr>
            <w:r>
              <w:t>0230</w:t>
            </w:r>
          </w:p>
        </w:tc>
        <w:tc>
          <w:tcPr>
            <w:tcW w:w="8640" w:type="dxa"/>
            <w:shd w:val="clear" w:color="auto" w:fill="auto"/>
          </w:tcPr>
          <w:p w14:paraId="22D45737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b’valutazzjoni tal-kreditu minn ECAI nominata</w:t>
            </w:r>
          </w:p>
          <w:p w14:paraId="472296CC" w14:textId="77777777" w:rsidR="00F23615" w:rsidRPr="002A677E" w:rsidRDefault="00F23615" w:rsidP="007F1637">
            <w:pPr>
              <w:pStyle w:val="InstructionsText"/>
            </w:pPr>
            <w:r>
              <w:t>L-Artikolu 112, il-punti minn (a) sa (d), (f), (g), (l), (n), (o) u (q) tar-Regolament (UE) Nru 575/2013</w:t>
            </w:r>
          </w:p>
        </w:tc>
      </w:tr>
      <w:tr w:rsidR="00F23615" w:rsidRPr="002A677E" w14:paraId="2FA59B6A" w14:textId="77777777" w:rsidTr="00822842">
        <w:tc>
          <w:tcPr>
            <w:tcW w:w="1188" w:type="dxa"/>
            <w:shd w:val="clear" w:color="auto" w:fill="auto"/>
          </w:tcPr>
          <w:p w14:paraId="3E4A64FD" w14:textId="77777777" w:rsidR="00F23615" w:rsidRPr="002A677E" w:rsidRDefault="00F23615" w:rsidP="007F1637">
            <w:pPr>
              <w:pStyle w:val="InstructionsText"/>
            </w:pPr>
            <w:r>
              <w:t>0241</w:t>
            </w:r>
          </w:p>
        </w:tc>
        <w:tc>
          <w:tcPr>
            <w:tcW w:w="8640" w:type="dxa"/>
            <w:shd w:val="clear" w:color="auto" w:fill="auto"/>
          </w:tcPr>
          <w:p w14:paraId="47110564" w14:textId="77777777" w:rsidR="00F23615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TA’ MEMORANDUM: RWEA RELATAT MAL-IMPATT TAL-APPLIKAZZJONI TA’ DISPOŻIZZJONIJIET TRANŻIZZJONALI FUQ IS-CCF GĦAL IMPENJI KANĊELLABBLI MINGĦAJR KUNDIZZJONIJIET</w:t>
            </w:r>
          </w:p>
          <w:p w14:paraId="7308B21B" w14:textId="77777777" w:rsidR="00F23615" w:rsidRPr="006B6F04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 495d tar-Regolament (UE) Nru 575/2013. Id-differenza bejn l-RWEA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kkalkulat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mingħajr l-applikazzjoni tad-dispożizzjonijiet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l-RWEA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kkalkulat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japplika d-dispożizzjonijiet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għandha tiġi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rrapportata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</w:tbl>
    <w:p w14:paraId="7F47F0AB" w14:textId="77777777" w:rsidR="00F23615" w:rsidRPr="002A677E" w:rsidRDefault="00F23615" w:rsidP="007F1637">
      <w:pPr>
        <w:pStyle w:val="InstructionsText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701"/>
      </w:tblGrid>
      <w:tr w:rsidR="00F23615" w:rsidRPr="002A677E" w14:paraId="0BB433E6" w14:textId="77777777" w:rsidTr="00822842">
        <w:tc>
          <w:tcPr>
            <w:tcW w:w="1188" w:type="dxa"/>
            <w:shd w:val="clear" w:color="auto" w:fill="CCCCCC"/>
          </w:tcPr>
          <w:p w14:paraId="05E8D50C" w14:textId="77777777" w:rsidR="00F23615" w:rsidRPr="002A677E" w:rsidRDefault="00F23615" w:rsidP="007F1637">
            <w:pPr>
              <w:pStyle w:val="InstructionsText"/>
            </w:pPr>
            <w:r>
              <w:t>Ringieli</w:t>
            </w:r>
          </w:p>
        </w:tc>
        <w:tc>
          <w:tcPr>
            <w:tcW w:w="8701" w:type="dxa"/>
            <w:shd w:val="clear" w:color="auto" w:fill="CCCCCC"/>
          </w:tcPr>
          <w:p w14:paraId="5041E9D3" w14:textId="77777777" w:rsidR="00F23615" w:rsidRPr="002A677E" w:rsidRDefault="00F23615" w:rsidP="007F1637">
            <w:pPr>
              <w:pStyle w:val="InstructionsText"/>
            </w:pPr>
            <w:r>
              <w:t>Struzzjonijiet</w:t>
            </w:r>
          </w:p>
        </w:tc>
      </w:tr>
      <w:tr w:rsidR="00F23615" w:rsidRPr="002A677E" w14:paraId="58B7EBB0" w14:textId="77777777" w:rsidTr="00822842">
        <w:tc>
          <w:tcPr>
            <w:tcW w:w="1188" w:type="dxa"/>
          </w:tcPr>
          <w:p w14:paraId="1B37B5C8" w14:textId="77777777" w:rsidR="00F23615" w:rsidRPr="002A677E" w:rsidRDefault="00F23615" w:rsidP="007F1637">
            <w:pPr>
              <w:pStyle w:val="InstructionsText"/>
            </w:pPr>
            <w:r>
              <w:t>0010</w:t>
            </w:r>
          </w:p>
        </w:tc>
        <w:tc>
          <w:tcPr>
            <w:tcW w:w="8701" w:type="dxa"/>
          </w:tcPr>
          <w:p w14:paraId="4345681D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totali</w:t>
            </w:r>
          </w:p>
        </w:tc>
      </w:tr>
      <w:tr w:rsidR="00F23615" w:rsidRPr="002A677E" w14:paraId="7D1F72BF" w14:textId="77777777" w:rsidTr="00822842">
        <w:tc>
          <w:tcPr>
            <w:tcW w:w="1188" w:type="dxa"/>
          </w:tcPr>
          <w:p w14:paraId="22D99FE6" w14:textId="77777777" w:rsidR="00F23615" w:rsidRPr="002A677E" w:rsidRDefault="00F23615" w:rsidP="007F1637">
            <w:pPr>
              <w:pStyle w:val="InstructionsText"/>
            </w:pPr>
            <w:r>
              <w:t>0011</w:t>
            </w:r>
          </w:p>
        </w:tc>
        <w:tc>
          <w:tcPr>
            <w:tcW w:w="8701" w:type="dxa"/>
          </w:tcPr>
          <w:p w14:paraId="11D7EFAF" w14:textId="77777777" w:rsidR="00F23615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 banek ċentrali</w:t>
            </w:r>
          </w:p>
          <w:p w14:paraId="2412B7BC" w14:textId="3C56A483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L-Artikolu 112(a)</w:t>
            </w:r>
            <w:r>
              <w:t xml:space="preserve"> tar-Regolament (UE) Nru 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 </w:t>
            </w:r>
          </w:p>
        </w:tc>
      </w:tr>
      <w:tr w:rsidR="00F23615" w:rsidRPr="002A677E" w14:paraId="35B6859E" w14:textId="77777777" w:rsidTr="00822842">
        <w:tc>
          <w:tcPr>
            <w:tcW w:w="1188" w:type="dxa"/>
          </w:tcPr>
          <w:p w14:paraId="3A820638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0015</w:t>
            </w:r>
          </w:p>
        </w:tc>
        <w:tc>
          <w:tcPr>
            <w:tcW w:w="8701" w:type="dxa"/>
          </w:tcPr>
          <w:p w14:paraId="29355D80" w14:textId="78D6FCB1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inadempjenza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klassijiet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” u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”</w:t>
            </w:r>
          </w:p>
          <w:p w14:paraId="7F50B217" w14:textId="77777777" w:rsidR="00F23615" w:rsidRPr="002A677E" w:rsidRDefault="00F23615" w:rsidP="007F1637">
            <w:pPr>
              <w:pStyle w:val="InstructionsText"/>
            </w:pPr>
            <w:r>
              <w:t>L-Artikolu 127 tar-Regolament (UE) Nru 575/2013</w:t>
            </w:r>
          </w:p>
          <w:p w14:paraId="55CD1E35" w14:textId="74EF7CBF" w:rsidR="00F23615" w:rsidRPr="002A677E" w:rsidRDefault="00F23615" w:rsidP="007F1637">
            <w:pPr>
              <w:pStyle w:val="InstructionsText"/>
            </w:pPr>
            <w:r>
              <w:t xml:space="preserve">Din ir-ringiela għandha tiġi </w:t>
            </w:r>
            <w:proofErr w:type="spellStart"/>
            <w:r>
              <w:t>rrapportata</w:t>
            </w:r>
            <w:proofErr w:type="spellEnd"/>
            <w:r>
              <w:t xml:space="preserve"> biss fil-klassijiet tal-</w:t>
            </w:r>
            <w:proofErr w:type="spellStart"/>
            <w:r>
              <w:t>iskoperturi</w:t>
            </w:r>
            <w:proofErr w:type="spellEnd"/>
            <w:r>
              <w:t xml:space="preserve"> “</w:t>
            </w:r>
            <w:proofErr w:type="spellStart"/>
            <w:r>
              <w:t>Skoperturi</w:t>
            </w:r>
            <w:proofErr w:type="spellEnd"/>
            <w:r>
              <w:t xml:space="preserve"> fil-forma ta’ unitajiet jew azzjonijiet f’impriżi ta’ investiment kollettiv” (“</w:t>
            </w:r>
            <w:proofErr w:type="spellStart"/>
            <w:r>
              <w:t>CIUs</w:t>
            </w:r>
            <w:proofErr w:type="spellEnd"/>
            <w:r>
              <w:t>”) u “</w:t>
            </w:r>
            <w:proofErr w:type="spellStart"/>
            <w:r>
              <w:t>Skoperturi</w:t>
            </w:r>
            <w:proofErr w:type="spellEnd"/>
            <w:r>
              <w:t xml:space="preserve"> tal-</w:t>
            </w:r>
            <w:proofErr w:type="spellStart"/>
            <w:r>
              <w:t>ekwità</w:t>
            </w:r>
            <w:proofErr w:type="spellEnd"/>
            <w:r>
              <w:t>”.</w:t>
            </w:r>
          </w:p>
          <w:p w14:paraId="390CA8DA" w14:textId="19A488F7" w:rsidR="00F23615" w:rsidRPr="002A677E" w:rsidRDefault="00F23615" w:rsidP="007F1637">
            <w:pPr>
              <w:pStyle w:val="InstructionsText"/>
            </w:pPr>
            <w:proofErr w:type="spellStart"/>
            <w:r>
              <w:t>Skopertura</w:t>
            </w:r>
            <w:proofErr w:type="spellEnd"/>
            <w:r>
              <w:t xml:space="preserve"> li hija elenkata fl-Artikolu 112(o) tar-Regolament (UE) Nru 575/2013 għandha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“</w:t>
            </w:r>
            <w:proofErr w:type="spellStart"/>
            <w:r>
              <w:t>CIUs</w:t>
            </w:r>
            <w:proofErr w:type="spellEnd"/>
            <w:r>
              <w:t xml:space="preserve">”, filwaqt li </w:t>
            </w:r>
            <w:proofErr w:type="spellStart"/>
            <w:r>
              <w:t>skopertura</w:t>
            </w:r>
            <w:proofErr w:type="spellEnd"/>
            <w:r>
              <w:t xml:space="preserve"> li hija elenkata fl-Artikolu 133 tar-Regolament (UE) Nru 575/2013 għandha tiġi assenjata fil-klassi tal-</w:t>
            </w:r>
            <w:proofErr w:type="spellStart"/>
            <w:r>
              <w:t>iskoperturi</w:t>
            </w:r>
            <w:proofErr w:type="spellEnd"/>
            <w:r>
              <w:t xml:space="preserve"> “</w:t>
            </w:r>
            <w:proofErr w:type="spellStart"/>
            <w:r>
              <w:t>Skoperturi</w:t>
            </w:r>
            <w:proofErr w:type="spellEnd"/>
            <w:r>
              <w:t xml:space="preserve"> tal-</w:t>
            </w:r>
            <w:proofErr w:type="spellStart"/>
            <w:r>
              <w:t>ekwità</w:t>
            </w:r>
            <w:proofErr w:type="spellEnd"/>
            <w:r>
              <w:t xml:space="preserve">”. Konsegwentement, ma għandha ssir l-ebda allokazzjoni oħra, anki f’każ ta’ </w:t>
            </w:r>
            <w:proofErr w:type="spellStart"/>
            <w:r>
              <w:t>skopertura</w:t>
            </w:r>
            <w:proofErr w:type="spellEnd"/>
            <w:r>
              <w:t xml:space="preserve"> f’</w:t>
            </w:r>
            <w:proofErr w:type="spellStart"/>
            <w:r>
              <w:t>inadempjenza</w:t>
            </w:r>
            <w:proofErr w:type="spellEnd"/>
            <w:r>
              <w:t xml:space="preserve"> kif imsemmi fl-Artikolu 127 tar-Regolament (UE) Nru 575/2013.</w:t>
            </w:r>
          </w:p>
        </w:tc>
      </w:tr>
      <w:tr w:rsidR="00F23615" w:rsidRPr="002A677E" w14:paraId="5A88C883" w14:textId="77777777" w:rsidTr="00822842">
        <w:tc>
          <w:tcPr>
            <w:tcW w:w="1188" w:type="dxa"/>
            <w:shd w:val="clear" w:color="auto" w:fill="auto"/>
          </w:tcPr>
          <w:p w14:paraId="3630D0BF" w14:textId="77777777" w:rsidR="00F23615" w:rsidRPr="002A677E" w:rsidRDefault="00F23615" w:rsidP="007F1637">
            <w:pPr>
              <w:pStyle w:val="InstructionsText"/>
            </w:pPr>
            <w:r>
              <w:t>0020</w:t>
            </w:r>
          </w:p>
        </w:tc>
        <w:tc>
          <w:tcPr>
            <w:tcW w:w="8701" w:type="dxa"/>
            <w:shd w:val="clear" w:color="auto" w:fill="auto"/>
          </w:tcPr>
          <w:p w14:paraId="09C4FAC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SME</w:t>
            </w:r>
          </w:p>
          <w:p w14:paraId="64D500B3" w14:textId="77777777" w:rsidR="00F23615" w:rsidRPr="002A677E" w:rsidRDefault="00F23615" w:rsidP="007F1637">
            <w:pPr>
              <w:pStyle w:val="InstructionsText"/>
            </w:pPr>
            <w:r>
              <w:t>L-Artikolu 5(8) tar-Regolament (UE) Nru 575/2013. L-</w:t>
            </w:r>
            <w:proofErr w:type="spellStart"/>
            <w:r>
              <w:t>iskoperturi</w:t>
            </w:r>
            <w:proofErr w:type="spellEnd"/>
            <w:r>
              <w:t xml:space="preserve"> kollha għal SME għandhom ikunu </w:t>
            </w:r>
            <w:proofErr w:type="spellStart"/>
            <w:r>
              <w:t>rrapportati</w:t>
            </w:r>
            <w:proofErr w:type="spellEnd"/>
            <w:r>
              <w:t xml:space="preserve"> hawn. </w:t>
            </w:r>
          </w:p>
        </w:tc>
      </w:tr>
      <w:tr w:rsidR="00F23615" w:rsidRPr="002A677E" w14:paraId="700D3119" w14:textId="77777777" w:rsidTr="00822842">
        <w:tc>
          <w:tcPr>
            <w:tcW w:w="1188" w:type="dxa"/>
            <w:shd w:val="clear" w:color="auto" w:fill="auto"/>
          </w:tcPr>
          <w:p w14:paraId="4C814299" w14:textId="77777777" w:rsidR="00F23615" w:rsidRPr="002A677E" w:rsidRDefault="00F23615" w:rsidP="007F1637">
            <w:pPr>
              <w:pStyle w:val="InstructionsText"/>
            </w:pPr>
            <w:r>
              <w:t>0030</w:t>
            </w:r>
          </w:p>
        </w:tc>
        <w:tc>
          <w:tcPr>
            <w:tcW w:w="8701" w:type="dxa"/>
            <w:shd w:val="clear" w:color="auto" w:fill="auto"/>
          </w:tcPr>
          <w:p w14:paraId="15E4CED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soġġetti għall-fattur ta’ appoġġ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SMEs</w:t>
            </w:r>
            <w:proofErr w:type="spellEnd"/>
          </w:p>
          <w:p w14:paraId="05DFA6C3" w14:textId="77777777" w:rsidR="00F23615" w:rsidRPr="002A677E" w:rsidRDefault="00F23615" w:rsidP="007F1637">
            <w:pPr>
              <w:pStyle w:val="InstructionsText"/>
            </w:pPr>
            <w:r>
              <w:t>Huma biss l-</w:t>
            </w:r>
            <w:proofErr w:type="spellStart"/>
            <w:r>
              <w:t>iskoperturi</w:t>
            </w:r>
            <w:proofErr w:type="spellEnd"/>
            <w:r>
              <w:t xml:space="preserve"> li jissodisfaw ir-rekwiżiti tal-Artikolu 501 tar-Regolament (UE) Nru 575/2013 li għandhom jiġu rapportati hawn. </w:t>
            </w:r>
          </w:p>
        </w:tc>
      </w:tr>
      <w:tr w:rsidR="00F23615" w:rsidRPr="002A677E" w14:paraId="37367155" w14:textId="77777777" w:rsidTr="00822842">
        <w:tc>
          <w:tcPr>
            <w:tcW w:w="1188" w:type="dxa"/>
            <w:shd w:val="clear" w:color="auto" w:fill="auto"/>
          </w:tcPr>
          <w:p w14:paraId="45217701" w14:textId="77777777" w:rsidR="00F23615" w:rsidRPr="002A677E" w:rsidRDefault="00F23615" w:rsidP="007F1637">
            <w:pPr>
              <w:pStyle w:val="InstructionsText"/>
            </w:pPr>
            <w:r>
              <w:t>0035</w:t>
            </w:r>
          </w:p>
        </w:tc>
        <w:tc>
          <w:tcPr>
            <w:tcW w:w="8701" w:type="dxa"/>
            <w:shd w:val="clear" w:color="auto" w:fill="auto"/>
          </w:tcPr>
          <w:p w14:paraId="2FDF42F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soġġetti għall-fattur ta’ appoġġ tal-infrastruttura</w:t>
            </w:r>
          </w:p>
          <w:p w14:paraId="2319FE1D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Huma biss l-</w:t>
            </w:r>
            <w:proofErr w:type="spellStart"/>
            <w:r>
              <w:t>iskoperturi</w:t>
            </w:r>
            <w:proofErr w:type="spellEnd"/>
            <w:r>
              <w:t xml:space="preserve"> li jissodisfaw ir-rekwiżiti tal-Artikolu 501a tar-Regolament (UE) Nru 575/2013 li għandhom jiġu rapportati hawn.</w:t>
            </w:r>
          </w:p>
        </w:tc>
      </w:tr>
      <w:tr w:rsidR="00F23615" w:rsidRPr="002A677E" w14:paraId="4FE03970" w14:textId="77777777" w:rsidTr="00822842">
        <w:tc>
          <w:tcPr>
            <w:tcW w:w="1188" w:type="dxa"/>
            <w:shd w:val="clear" w:color="auto" w:fill="auto"/>
          </w:tcPr>
          <w:p w14:paraId="3AA30077" w14:textId="77777777" w:rsidR="00F23615" w:rsidRPr="002A677E" w:rsidRDefault="00F23615" w:rsidP="007F1637">
            <w:pPr>
              <w:pStyle w:val="InstructionsText"/>
            </w:pPr>
            <w:r>
              <w:t>0050</w:t>
            </w:r>
          </w:p>
        </w:tc>
        <w:tc>
          <w:tcPr>
            <w:tcW w:w="8701" w:type="dxa"/>
            <w:shd w:val="clear" w:color="auto" w:fill="auto"/>
          </w:tcPr>
          <w:p w14:paraId="1A55A063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bl-użu parzjali permanenti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</w:p>
          <w:p w14:paraId="61F6B08F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li għalihom ġie applikat l-</w:t>
            </w:r>
            <w:proofErr w:type="spellStart"/>
            <w:r>
              <w:t>Approċċ</w:t>
            </w:r>
            <w:proofErr w:type="spellEnd"/>
            <w:r>
              <w:t xml:space="preserve"> </w:t>
            </w:r>
            <w:proofErr w:type="spellStart"/>
            <w:r>
              <w:t>Standardizzat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mal-Artikolu 150(1) tar-Regolament (UE) Nru 575/2013</w:t>
            </w:r>
          </w:p>
        </w:tc>
      </w:tr>
      <w:tr w:rsidR="00F23615" w:rsidRPr="002A677E" w14:paraId="6CE6A2BA" w14:textId="77777777" w:rsidTr="00822842">
        <w:tc>
          <w:tcPr>
            <w:tcW w:w="1188" w:type="dxa"/>
            <w:shd w:val="clear" w:color="auto" w:fill="auto"/>
          </w:tcPr>
          <w:p w14:paraId="68084F35" w14:textId="77777777" w:rsidR="00F23615" w:rsidRPr="002A677E" w:rsidRDefault="00F23615" w:rsidP="007F1637">
            <w:pPr>
              <w:pStyle w:val="InstructionsText"/>
            </w:pPr>
            <w:r>
              <w:t>0060</w:t>
            </w:r>
          </w:p>
        </w:tc>
        <w:tc>
          <w:tcPr>
            <w:tcW w:w="8701" w:type="dxa"/>
            <w:shd w:val="clear" w:color="auto" w:fill="auto"/>
          </w:tcPr>
          <w:p w14:paraId="21D3961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bl-Approċċ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b’permess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superviżorju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qabel għat-twettiq ta’ implimentazzjoni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sekwenzjali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tal-IRB</w:t>
            </w:r>
          </w:p>
          <w:p w14:paraId="4D310701" w14:textId="77777777" w:rsidR="00F23615" w:rsidRPr="002A677E" w:rsidRDefault="00F23615" w:rsidP="007F1637">
            <w:pPr>
              <w:pStyle w:val="InstructionsText"/>
            </w:pPr>
            <w:r>
              <w:t xml:space="preserve">L-Artikolu 148(1) tar-Regolament (UE) Nru 575/2013 </w:t>
            </w:r>
          </w:p>
        </w:tc>
      </w:tr>
      <w:tr w:rsidR="001F384F" w:rsidRPr="002A677E" w14:paraId="13726225" w14:textId="77777777" w:rsidTr="00822842">
        <w:tc>
          <w:tcPr>
            <w:tcW w:w="1188" w:type="dxa"/>
            <w:shd w:val="clear" w:color="auto" w:fill="auto"/>
          </w:tcPr>
          <w:p w14:paraId="4A1C5414" w14:textId="5FECCE20" w:rsidR="001F384F" w:rsidRPr="002A677E" w:rsidRDefault="001F384F" w:rsidP="007F1637">
            <w:pPr>
              <w:pStyle w:val="InstructionsText"/>
            </w:pPr>
            <w:r>
              <w:t>0061</w:t>
            </w:r>
          </w:p>
        </w:tc>
        <w:tc>
          <w:tcPr>
            <w:tcW w:w="8701" w:type="dxa"/>
            <w:shd w:val="clear" w:color="auto" w:fill="auto"/>
          </w:tcPr>
          <w:p w14:paraId="1159F62E" w14:textId="77777777" w:rsid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tal-IPRE li jissodisfaw kwalunkwe waħda mill-kundizzjonijiet stabbiliti fl-Artikolu 124(2), il-punt (a)(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), il-punti minn (1) sa (4) tar-Regolament (UE) 575/2013</w:t>
            </w:r>
          </w:p>
          <w:p w14:paraId="3BD27229" w14:textId="76E51B9C" w:rsidR="001F384F" w:rsidRP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Rapportati biss fil-klassi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tas-sottoskoperturi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b’ipoteki fuq proprjetà immobbli residenzjali - IPRE”.</w:t>
            </w:r>
          </w:p>
        </w:tc>
      </w:tr>
      <w:tr w:rsidR="001F384F" w:rsidRPr="002A677E" w14:paraId="49228042" w14:textId="77777777" w:rsidTr="00822842">
        <w:tc>
          <w:tcPr>
            <w:tcW w:w="1188" w:type="dxa"/>
            <w:shd w:val="clear" w:color="auto" w:fill="auto"/>
          </w:tcPr>
          <w:p w14:paraId="35B8B28A" w14:textId="3BF6BF6F" w:rsidR="001F384F" w:rsidRPr="002A677E" w:rsidRDefault="001F384F" w:rsidP="007F1637">
            <w:pPr>
              <w:pStyle w:val="InstructionsText"/>
            </w:pPr>
            <w:r>
              <w:t>0062</w:t>
            </w:r>
          </w:p>
        </w:tc>
        <w:tc>
          <w:tcPr>
            <w:tcW w:w="8701" w:type="dxa"/>
            <w:shd w:val="clear" w:color="auto" w:fill="auto"/>
          </w:tcPr>
          <w:p w14:paraId="4C3EDF42" w14:textId="77777777" w:rsid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tal-IPRE fejn tapplika d-deroga stabbilita fit-tieni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subparagrafu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tal-Artikolu 125(2) tar-Regolament (UE) 575/2013</w:t>
            </w:r>
          </w:p>
          <w:p w14:paraId="09A63A98" w14:textId="029F6B69" w:rsidR="001F384F" w:rsidRP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Rapportati biss fil-klassi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tas-sottoskoperturi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b’ipoteki fuq proprjetà immobbli residenzjali - IPRE”.</w:t>
            </w:r>
          </w:p>
        </w:tc>
      </w:tr>
      <w:tr w:rsidR="001F384F" w:rsidRPr="002A677E" w14:paraId="132ECB03" w14:textId="77777777" w:rsidTr="00822842">
        <w:tc>
          <w:tcPr>
            <w:tcW w:w="1188" w:type="dxa"/>
            <w:shd w:val="clear" w:color="auto" w:fill="auto"/>
          </w:tcPr>
          <w:p w14:paraId="13E25D1C" w14:textId="267C2FDD" w:rsidR="001F384F" w:rsidRPr="002A677E" w:rsidRDefault="001F384F" w:rsidP="007F1637">
            <w:pPr>
              <w:pStyle w:val="InstructionsText"/>
            </w:pPr>
            <w:r>
              <w:t>0063</w:t>
            </w:r>
          </w:p>
        </w:tc>
        <w:tc>
          <w:tcPr>
            <w:tcW w:w="8701" w:type="dxa"/>
            <w:shd w:val="clear" w:color="auto" w:fill="auto"/>
          </w:tcPr>
          <w:p w14:paraId="409121ED" w14:textId="77777777" w:rsid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tal-IPRE fejn tapplika d-deroga stabbilita fit-tieni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subparagrafu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tal-Artikolu 126(2) tar-Regolament (UE) 575/2013</w:t>
            </w:r>
          </w:p>
          <w:p w14:paraId="6E1ABF6E" w14:textId="2331209F" w:rsidR="001F384F" w:rsidRPr="001F384F" w:rsidRDefault="001F384F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Rapportati biss fil-klassi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tas-sottoskoperturi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b’ipoteki fuq proprjetà immobbli kummerċjali - IPRE”.</w:t>
            </w:r>
          </w:p>
        </w:tc>
      </w:tr>
      <w:tr w:rsidR="0075089B" w:rsidRPr="002A677E" w14:paraId="4C1FFB2F" w14:textId="77777777" w:rsidTr="00822842">
        <w:tc>
          <w:tcPr>
            <w:tcW w:w="1188" w:type="dxa"/>
            <w:shd w:val="clear" w:color="auto" w:fill="auto"/>
          </w:tcPr>
          <w:p w14:paraId="17C109A0" w14:textId="6BF03BEB" w:rsidR="0075089B" w:rsidRDefault="0075089B" w:rsidP="007F1637">
            <w:pPr>
              <w:pStyle w:val="InstructionsText"/>
            </w:pPr>
            <w:r>
              <w:t>0064</w:t>
            </w:r>
          </w:p>
        </w:tc>
        <w:tc>
          <w:tcPr>
            <w:tcW w:w="8701" w:type="dxa"/>
            <w:shd w:val="clear" w:color="auto" w:fill="auto"/>
          </w:tcPr>
          <w:p w14:paraId="608D667C" w14:textId="0E445EE4" w:rsidR="0075089B" w:rsidRDefault="0075089B" w:rsidP="0075089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skont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IRB</w:t>
            </w:r>
          </w:p>
          <w:p w14:paraId="639AFE70" w14:textId="0E2EF4D5" w:rsidR="0075089B" w:rsidRPr="001F384F" w:rsidRDefault="0075089B" w:rsidP="0075089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Irrapportati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biss fil-klassi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tas-sottoskoperturi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“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”.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soġġetti għal Artikolu 495(1), il-punt (a), u l-Artikolu 495(2)</w:t>
            </w:r>
            <w:r>
              <w:t xml:space="preserve"> tar-Regolament (UE) Nru 575/2013.</w:t>
            </w:r>
          </w:p>
        </w:tc>
      </w:tr>
      <w:tr w:rsidR="00F23615" w:rsidRPr="002A677E" w14:paraId="1BCB14C5" w14:textId="77777777" w:rsidTr="00822842">
        <w:tc>
          <w:tcPr>
            <w:tcW w:w="1188" w:type="dxa"/>
          </w:tcPr>
          <w:p w14:paraId="66FDB2F4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0070-0130</w:t>
            </w:r>
          </w:p>
        </w:tc>
        <w:tc>
          <w:tcPr>
            <w:tcW w:w="8701" w:type="dxa"/>
          </w:tcPr>
          <w:p w14:paraId="2DC71E5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TAL-ISKOPERTURI TOTALI SKONT IT-TIPI TA’ SKOPERTURI</w:t>
            </w:r>
          </w:p>
          <w:p w14:paraId="4AE4F349" w14:textId="77777777" w:rsidR="00F23615" w:rsidRPr="002A677E" w:rsidRDefault="00F23615" w:rsidP="007F1637">
            <w:pPr>
              <w:pStyle w:val="InstructionsText"/>
            </w:pPr>
            <w:r>
              <w:t>Il-pożizzjonijiet tal-“</w:t>
            </w:r>
            <w:proofErr w:type="spellStart"/>
            <w:r>
              <w:t>portafoll</w:t>
            </w:r>
            <w:proofErr w:type="spellEnd"/>
            <w:r>
              <w:t xml:space="preserve"> bankarju” tal-istituzzjoni ta’ </w:t>
            </w:r>
            <w:proofErr w:type="spellStart"/>
            <w:r>
              <w:t>rapportar</w:t>
            </w:r>
            <w:proofErr w:type="spellEnd"/>
            <w:r>
              <w:t xml:space="preserve"> għandhom ikunu </w:t>
            </w:r>
            <w:proofErr w:type="spellStart"/>
            <w:r>
              <w:t>diżaggregati</w:t>
            </w:r>
            <w:proofErr w:type="spellEnd"/>
            <w:r>
              <w:t xml:space="preserve">, billi jiġu segwiti l-kriterji pprovduti hawn taħt, fi </w:t>
            </w:r>
            <w:proofErr w:type="spellStart"/>
            <w:r>
              <w:t>skoperturi</w:t>
            </w:r>
            <w:proofErr w:type="spellEnd"/>
            <w:r>
              <w:t xml:space="preserve"> tal-karta bilanċjali soġġetti għal riskju ta’ kreditu, </w:t>
            </w:r>
            <w:proofErr w:type="spellStart"/>
            <w:r>
              <w:t>skoperturi</w:t>
            </w:r>
            <w:proofErr w:type="spellEnd"/>
            <w:r>
              <w:t xml:space="preserve"> barra l-karta bilanċjali soġġetti għal riskju ta’ kreditu u </w:t>
            </w:r>
            <w:proofErr w:type="spellStart"/>
            <w:r>
              <w:t>skoperturi</w:t>
            </w:r>
            <w:proofErr w:type="spellEnd"/>
            <w:r>
              <w:t xml:space="preserve"> soġġetti għal riskju tal-kreditu tal-</w:t>
            </w:r>
            <w:proofErr w:type="spellStart"/>
            <w:r>
              <w:t>kontroparti</w:t>
            </w:r>
            <w:proofErr w:type="spellEnd"/>
            <w:r>
              <w:t xml:space="preserve">. </w:t>
            </w:r>
          </w:p>
          <w:p w14:paraId="4C560A04" w14:textId="50442689" w:rsidR="00F23615" w:rsidRPr="002A677E" w:rsidRDefault="00F23615" w:rsidP="007F1637">
            <w:pPr>
              <w:pStyle w:val="InstructionsText"/>
            </w:pPr>
            <w:r>
              <w:t>L-</w:t>
            </w:r>
            <w:proofErr w:type="spellStart"/>
            <w:r>
              <w:t>iskoperturi</w:t>
            </w:r>
            <w:proofErr w:type="spellEnd"/>
            <w:r>
              <w:t xml:space="preserve"> għar-riskju ta’ kreditu tal-</w:t>
            </w:r>
            <w:proofErr w:type="spellStart"/>
            <w:r>
              <w:t>kontroparti</w:t>
            </w:r>
            <w:proofErr w:type="spellEnd"/>
            <w:r>
              <w:t xml:space="preserve"> li jirriżultaw min-negozju tal-</w:t>
            </w:r>
            <w:proofErr w:type="spellStart"/>
            <w:r>
              <w:t>portafoll</w:t>
            </w:r>
            <w:proofErr w:type="spellEnd"/>
            <w:r>
              <w:t xml:space="preserve"> tan-negozjar tal-istituzzjoni kif imsemmi fl-Artikolu 92(4), il-punt (f) u l-Artikolu 299(2) tar-Regolament (UE) Nru 575/2013 għandhom jiġu assenjati </w:t>
            </w:r>
            <w:proofErr w:type="spellStart"/>
            <w:r>
              <w:t>għall-iskoperturi</w:t>
            </w:r>
            <w:proofErr w:type="spellEnd"/>
            <w:r>
              <w:t xml:space="preserve"> soġġetti għar-riskju tal-kreditu tal-</w:t>
            </w:r>
            <w:proofErr w:type="spellStart"/>
            <w:r>
              <w:t>kontroparti</w:t>
            </w:r>
            <w:proofErr w:type="spellEnd"/>
            <w:r>
              <w:t xml:space="preserve">. L-istituzzjonijiet li japplikaw l-Artikolu 94(1) tar-Regolament (UE) Nru 575/2013 </w:t>
            </w:r>
            <w:proofErr w:type="spellStart"/>
            <w:r>
              <w:t>jiddiżaggregaw</w:t>
            </w:r>
            <w:proofErr w:type="spellEnd"/>
            <w:r>
              <w:t xml:space="preserve"> ukoll il-pożizzjonijiet tal-“</w:t>
            </w:r>
            <w:proofErr w:type="spellStart"/>
            <w:r>
              <w:t>portafoll</w:t>
            </w:r>
            <w:proofErr w:type="spellEnd"/>
            <w:r>
              <w:t xml:space="preserve"> tan-negozjar” tagħhom imsemmija fl-Artikolu 92(4), il-punt (b) ta’ dak ir-Regolament billi jsegwu l-kriterji pprovduti hawn taħt ukoll, fi </w:t>
            </w:r>
            <w:proofErr w:type="spellStart"/>
            <w:r>
              <w:t>skoperturi</w:t>
            </w:r>
            <w:proofErr w:type="spellEnd"/>
            <w:r>
              <w:t xml:space="preserve"> tal-karta bilanċjali soġġetti għal riskju ta’ kreditu, </w:t>
            </w:r>
            <w:proofErr w:type="spellStart"/>
            <w:r>
              <w:t>skoperturi</w:t>
            </w:r>
            <w:proofErr w:type="spellEnd"/>
            <w:r>
              <w:t xml:space="preserve"> barra l-karta bilanċjali soġġetti għal riskju ta’ kreditu u </w:t>
            </w:r>
            <w:proofErr w:type="spellStart"/>
            <w:r>
              <w:t>skoperturi</w:t>
            </w:r>
            <w:proofErr w:type="spellEnd"/>
            <w:r>
              <w:t xml:space="preserve"> soġġetti għal riskju tal-kreditu tal-</w:t>
            </w:r>
            <w:proofErr w:type="spellStart"/>
            <w:r>
              <w:t>kontroparti</w:t>
            </w:r>
            <w:proofErr w:type="spellEnd"/>
            <w:r>
              <w:t>.</w:t>
            </w:r>
          </w:p>
        </w:tc>
      </w:tr>
      <w:tr w:rsidR="00F23615" w:rsidRPr="002A677E" w14:paraId="6B89A74C" w14:textId="77777777" w:rsidTr="00822842">
        <w:tc>
          <w:tcPr>
            <w:tcW w:w="1188" w:type="dxa"/>
          </w:tcPr>
          <w:p w14:paraId="58E890D2" w14:textId="77777777" w:rsidR="00F23615" w:rsidRPr="002A677E" w:rsidRDefault="00F23615" w:rsidP="007F1637">
            <w:pPr>
              <w:pStyle w:val="InstructionsText"/>
            </w:pPr>
            <w:r>
              <w:t>0070</w:t>
            </w:r>
          </w:p>
        </w:tc>
        <w:tc>
          <w:tcPr>
            <w:tcW w:w="8701" w:type="dxa"/>
          </w:tcPr>
          <w:p w14:paraId="6D08BE8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fil-karta bilanċjali soġġetti għal riskju tal-kreditu </w:t>
            </w:r>
          </w:p>
          <w:p w14:paraId="03820CA6" w14:textId="77777777" w:rsidR="00F23615" w:rsidRPr="002A677E" w:rsidRDefault="00F23615" w:rsidP="007F1637">
            <w:pPr>
              <w:pStyle w:val="InstructionsText"/>
            </w:pPr>
            <w:r>
              <w:t>Assi msemmijin fl-Artikolu 24 tar-Regolament (UE) Nru 575/2013 mhux inklużi f’xi kategorija oħra.</w:t>
            </w:r>
          </w:p>
          <w:p w14:paraId="2F2BFA6C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li huma soġġetti għal riskju tal-kreditu tal-</w:t>
            </w:r>
            <w:proofErr w:type="spellStart"/>
            <w:r>
              <w:t>kontroparti</w:t>
            </w:r>
            <w:proofErr w:type="spellEnd"/>
            <w:r>
              <w:t xml:space="preserve"> għandhom jiġu rapportati fir-ringieli 0090 – 0130, u għaldaqstant ma għandhomx jiġu rapportati f’din ir-ringiela.</w:t>
            </w:r>
          </w:p>
          <w:p w14:paraId="4532CAF7" w14:textId="77777777" w:rsidR="00F23615" w:rsidRPr="002A677E" w:rsidRDefault="00F23615" w:rsidP="007F1637">
            <w:pPr>
              <w:pStyle w:val="InstructionsText"/>
            </w:pPr>
            <w:r>
              <w:t xml:space="preserve">Konsenji bla ħlas kif imsemmi fl-Artikolu 379(1) tar-Regolament (UE) Nru 575/2013 (jekk ma jitnaqqsux) ma </w:t>
            </w:r>
            <w:proofErr w:type="spellStart"/>
            <w:r>
              <w:t>jikkostitwux</w:t>
            </w:r>
            <w:proofErr w:type="spellEnd"/>
            <w:r>
              <w:t xml:space="preserve"> </w:t>
            </w:r>
            <w:proofErr w:type="spellStart"/>
            <w:r>
              <w:t>entrata</w:t>
            </w:r>
            <w:proofErr w:type="spellEnd"/>
            <w:r>
              <w:t xml:space="preserve"> tal-karta bilanċjali, iżda xorta għandhom ikunu rapportati f’din ir-ringiela.</w:t>
            </w:r>
          </w:p>
          <w:p w14:paraId="48A13561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63156C35" w14:textId="77777777" w:rsidTr="00822842">
        <w:tc>
          <w:tcPr>
            <w:tcW w:w="1188" w:type="dxa"/>
          </w:tcPr>
          <w:p w14:paraId="1AE3FF61" w14:textId="77777777" w:rsidR="00F23615" w:rsidRPr="002A677E" w:rsidRDefault="00F23615" w:rsidP="007F1637">
            <w:pPr>
              <w:pStyle w:val="InstructionsText"/>
            </w:pPr>
            <w:r>
              <w:t>0080</w:t>
            </w:r>
          </w:p>
        </w:tc>
        <w:tc>
          <w:tcPr>
            <w:tcW w:w="8701" w:type="dxa"/>
          </w:tcPr>
          <w:p w14:paraId="37C8EDF4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mhux fil-karta bilanċjali soġġetti għal riskju tal-kreditu</w:t>
            </w:r>
          </w:p>
          <w:p w14:paraId="325D6895" w14:textId="77777777" w:rsidR="00F23615" w:rsidRPr="002A677E" w:rsidRDefault="00F23615" w:rsidP="007F1637">
            <w:pPr>
              <w:pStyle w:val="InstructionsText"/>
            </w:pPr>
            <w:r>
              <w:t>Il-pożizzjonijiet il ma jidhrux fil-karta bilanċjali jinvolvu l-</w:t>
            </w:r>
            <w:proofErr w:type="spellStart"/>
            <w:r>
              <w:t>entrati</w:t>
            </w:r>
            <w:proofErr w:type="spellEnd"/>
            <w:r>
              <w:t xml:space="preserve"> elenkati fl-Anness I tar-Regolament (UE) Nru 575/2013.</w:t>
            </w:r>
          </w:p>
          <w:p w14:paraId="4481E5C9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li huma soġġetti għal riskju tal-kreditu tal-</w:t>
            </w:r>
            <w:proofErr w:type="spellStart"/>
            <w:r>
              <w:t>kontroparti</w:t>
            </w:r>
            <w:proofErr w:type="spellEnd"/>
            <w:r>
              <w:t xml:space="preserve"> għandhom jiġu rapportati fir-ringieli 0090 – 0130, u għaldaqstant ma għandhomx jiġu rapportati f’din ir-ringiela.</w:t>
            </w:r>
          </w:p>
          <w:p w14:paraId="465918B3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04B36C1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DA5" w14:textId="77777777" w:rsidR="00F23615" w:rsidRPr="002A677E" w:rsidRDefault="00F23615" w:rsidP="007F1637">
            <w:pPr>
              <w:pStyle w:val="InstructionsText"/>
            </w:pPr>
            <w:r>
              <w:t>0090-0130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2E77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/ Tranżazzjonijiet soġġetti għal riskju tal-kreditu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kontroparti</w:t>
            </w:r>
            <w:proofErr w:type="spellEnd"/>
          </w:p>
          <w:p w14:paraId="4A9657CF" w14:textId="77777777" w:rsidR="00F23615" w:rsidRPr="002A677E" w:rsidRDefault="00F23615" w:rsidP="007F1637">
            <w:pPr>
              <w:pStyle w:val="InstructionsText"/>
            </w:pPr>
            <w:r>
              <w:t>Tranżazzjonijiet soġġetti għal riskju tal-kreditu tal-</w:t>
            </w:r>
            <w:proofErr w:type="spellStart"/>
            <w:r>
              <w:t>kontroparti</w:t>
            </w:r>
            <w:proofErr w:type="spellEnd"/>
            <w:r>
              <w:t xml:space="preserve">, jiġifieri strumenti derivattivi, tranżazzjonijiet ta’ </w:t>
            </w:r>
            <w:proofErr w:type="spellStart"/>
            <w:r>
              <w:t>riakkwist</w:t>
            </w:r>
            <w:proofErr w:type="spellEnd"/>
            <w:r>
              <w:t xml:space="preserve">, tranżazzjonijiet ta’ għoti jew teħid b’self ta’ titoli jew ta’ </w:t>
            </w:r>
            <w:proofErr w:type="spellStart"/>
            <w:r>
              <w:t>komoditajiet</w:t>
            </w:r>
            <w:proofErr w:type="spellEnd"/>
            <w:r>
              <w:t>, tranżazzjonijiet ta’ saldu twil u tranżazzjonijiet ta’ self b’marġini.</w:t>
            </w:r>
          </w:p>
        </w:tc>
      </w:tr>
      <w:tr w:rsidR="00F23615" w:rsidRPr="002A677E" w14:paraId="55E9158E" w14:textId="77777777" w:rsidTr="00822842">
        <w:tc>
          <w:tcPr>
            <w:tcW w:w="1188" w:type="dxa"/>
          </w:tcPr>
          <w:p w14:paraId="7246FB5B" w14:textId="77777777" w:rsidR="00F23615" w:rsidRPr="002A677E" w:rsidRDefault="00F23615" w:rsidP="007F1637">
            <w:pPr>
              <w:pStyle w:val="InstructionsText"/>
            </w:pPr>
            <w:r>
              <w:t>0090</w:t>
            </w:r>
          </w:p>
        </w:tc>
        <w:tc>
          <w:tcPr>
            <w:tcW w:w="8701" w:type="dxa"/>
          </w:tcPr>
          <w:p w14:paraId="2825D110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Settijiet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tan-netting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Tranżazzjonijiet ta’ Finanzjament tat-Titoli</w:t>
            </w:r>
          </w:p>
          <w:p w14:paraId="4DD22828" w14:textId="77777777" w:rsidR="00F23615" w:rsidRPr="002A677E" w:rsidRDefault="00F23615" w:rsidP="007F1637">
            <w:pPr>
              <w:pStyle w:val="InstructionsText"/>
            </w:pPr>
            <w:r>
              <w:lastRenderedPageBreak/>
              <w:t xml:space="preserve">Settijiet </w:t>
            </w:r>
            <w:proofErr w:type="spellStart"/>
            <w:r>
              <w:t>tan-netting</w:t>
            </w:r>
            <w:proofErr w:type="spellEnd"/>
            <w:r>
              <w:t xml:space="preserve"> li fihom biss </w:t>
            </w:r>
            <w:proofErr w:type="spellStart"/>
            <w:r>
              <w:t>SFTs</w:t>
            </w:r>
            <w:proofErr w:type="spellEnd"/>
            <w:r>
              <w:t xml:space="preserve"> (</w:t>
            </w:r>
            <w:proofErr w:type="spellStart"/>
            <w:r>
              <w:t>Securities</w:t>
            </w:r>
            <w:proofErr w:type="spellEnd"/>
            <w:r>
              <w:t xml:space="preserve"> </w:t>
            </w:r>
            <w:proofErr w:type="spellStart"/>
            <w:r>
              <w:t>Financing</w:t>
            </w:r>
            <w:proofErr w:type="spellEnd"/>
            <w:r>
              <w:t xml:space="preserve"> </w:t>
            </w:r>
            <w:proofErr w:type="spellStart"/>
            <w:r>
              <w:t>Transactions</w:t>
            </w:r>
            <w:proofErr w:type="spellEnd"/>
            <w:r>
              <w:t>), kif definit fl-Artikolu 4(1), il-punt (139), tar-Regolament (UE) 575/2013.</w:t>
            </w:r>
          </w:p>
          <w:p w14:paraId="125B5C1A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SFTs</w:t>
            </w:r>
            <w:proofErr w:type="spellEnd"/>
            <w:r>
              <w:t xml:space="preserve">, li huma inklużi f’sett ta’ </w:t>
            </w:r>
            <w:proofErr w:type="spellStart"/>
            <w:r>
              <w:t>netting</w:t>
            </w:r>
            <w:proofErr w:type="spellEnd"/>
            <w:r>
              <w:t xml:space="preserve"> bejn prodotti differenti u b’hekk huma </w:t>
            </w:r>
            <w:proofErr w:type="spellStart"/>
            <w:r>
              <w:t>rrapportati</w:t>
            </w:r>
            <w:proofErr w:type="spellEnd"/>
            <w:r>
              <w:t xml:space="preserve"> fir-ringiela 0130 ma għandhomx jiġu rapportati f’din ir-ringiela.</w:t>
            </w:r>
          </w:p>
        </w:tc>
      </w:tr>
      <w:tr w:rsidR="00F23615" w:rsidRPr="002A677E" w14:paraId="77870B49" w14:textId="77777777" w:rsidTr="00822842">
        <w:tc>
          <w:tcPr>
            <w:tcW w:w="1188" w:type="dxa"/>
          </w:tcPr>
          <w:p w14:paraId="69ECC6B2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0100</w:t>
            </w:r>
          </w:p>
        </w:tc>
        <w:tc>
          <w:tcPr>
            <w:tcW w:w="8701" w:type="dxa"/>
          </w:tcPr>
          <w:p w14:paraId="3B8F79E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ikklerjati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ċentralment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permezz ta' QCCP</w:t>
            </w:r>
          </w:p>
          <w:p w14:paraId="0A44413A" w14:textId="77777777" w:rsidR="00F23615" w:rsidRPr="002A677E" w:rsidRDefault="00F23615" w:rsidP="007F1637">
            <w:pPr>
              <w:pStyle w:val="InstructionsText"/>
            </w:pPr>
            <w:r>
              <w:t xml:space="preserve">Kuntratti u tranżazzjonijiet elenkati fl-Artikolu 301(1) tar-Regolament (UE) Nru 575/2013 sakemm ikunu pendenti ma’ </w:t>
            </w:r>
            <w:proofErr w:type="spellStart"/>
            <w:r>
              <w:t>kontroparti</w:t>
            </w:r>
            <w:proofErr w:type="spellEnd"/>
            <w:r>
              <w:t xml:space="preserve"> ċentrali </w:t>
            </w:r>
            <w:proofErr w:type="spellStart"/>
            <w:r>
              <w:t>kwalifikanti</w:t>
            </w:r>
            <w:proofErr w:type="spellEnd"/>
            <w:r>
              <w:t xml:space="preserve"> (</w:t>
            </w:r>
            <w:proofErr w:type="spellStart"/>
            <w:r>
              <w:t>qualifying</w:t>
            </w:r>
            <w:proofErr w:type="spellEnd"/>
            <w:r>
              <w:t xml:space="preserve"> central </w:t>
            </w:r>
            <w:proofErr w:type="spellStart"/>
            <w:r>
              <w:t>counterparty</w:t>
            </w:r>
            <w:proofErr w:type="spellEnd"/>
            <w:r>
              <w:t xml:space="preserve">, QCCP) kif definit fl-Artikolu 4(1), il-punt (88) ta’ dak ir-Regolament, inklużi tranżazzjonijiet relatati </w:t>
            </w:r>
            <w:proofErr w:type="spellStart"/>
            <w:r>
              <w:t>mal</w:t>
            </w:r>
            <w:proofErr w:type="spellEnd"/>
            <w:r>
              <w:t xml:space="preserve">-QCCP, li għalihom l-ammonti ta’ </w:t>
            </w:r>
            <w:proofErr w:type="spellStart"/>
            <w:r>
              <w:t>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huma </w:t>
            </w:r>
            <w:proofErr w:type="spellStart"/>
            <w:r>
              <w:t>kkalkolati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mal-Parti Tlieta, it-Titolu II, il-Kapitolu 6, it-Taqsima 9 ta’ dak ir-Regolament. Tranżazzjoni relatata </w:t>
            </w:r>
            <w:proofErr w:type="spellStart"/>
            <w:r>
              <w:t>mal</w:t>
            </w:r>
            <w:proofErr w:type="spellEnd"/>
            <w:r>
              <w:t xml:space="preserve">-QCCP għandha l-istess tifsira bħal tranżazzjoni relatata </w:t>
            </w:r>
            <w:proofErr w:type="spellStart"/>
            <w:r>
              <w:t>mas</w:t>
            </w:r>
            <w:proofErr w:type="spellEnd"/>
            <w:r>
              <w:t>-CCP fl-Artikolu 300(2) tar-Regolament (UE) Nru 575/2013, meta s-CCP tkun QCCP.</w:t>
            </w:r>
          </w:p>
        </w:tc>
      </w:tr>
      <w:tr w:rsidR="00F23615" w:rsidRPr="002A677E" w14:paraId="07912D74" w14:textId="77777777" w:rsidTr="00822842">
        <w:tc>
          <w:tcPr>
            <w:tcW w:w="1188" w:type="dxa"/>
          </w:tcPr>
          <w:p w14:paraId="12C8D8B9" w14:textId="77777777" w:rsidR="00F23615" w:rsidRPr="002A677E" w:rsidRDefault="00F23615" w:rsidP="007F1637">
            <w:pPr>
              <w:pStyle w:val="InstructionsText"/>
            </w:pPr>
            <w:r>
              <w:t>0110</w:t>
            </w:r>
          </w:p>
        </w:tc>
        <w:tc>
          <w:tcPr>
            <w:tcW w:w="8701" w:type="dxa"/>
          </w:tcPr>
          <w:p w14:paraId="3E2EE59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Settijiet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Derivattivi u Tranżazzjonijiet ta’ Saldu Twil</w:t>
            </w:r>
          </w:p>
          <w:p w14:paraId="282A5DB2" w14:textId="77777777" w:rsidR="00F23615" w:rsidRPr="002A677E" w:rsidRDefault="00F23615" w:rsidP="007F1637">
            <w:pPr>
              <w:pStyle w:val="InstructionsText"/>
            </w:pPr>
            <w:r>
              <w:t xml:space="preserve">Settijiet ta’ </w:t>
            </w:r>
            <w:proofErr w:type="spellStart"/>
            <w:r>
              <w:t>netting</w:t>
            </w:r>
            <w:proofErr w:type="spellEnd"/>
            <w:r>
              <w:t xml:space="preserve"> li fihom biss derivattivi elenkati fl-Anness II tar-Regolament (UE) Nru 575/2013 u tranżazzjonijiet ta’ saldu twil kif definit fl-Artikolu 272(2) ta’ dak ir-Regolament.</w:t>
            </w:r>
          </w:p>
          <w:p w14:paraId="7C5943F6" w14:textId="77777777" w:rsidR="00F23615" w:rsidRPr="002A677E" w:rsidRDefault="00F23615" w:rsidP="007F1637">
            <w:pPr>
              <w:pStyle w:val="InstructionsText"/>
            </w:pPr>
            <w:r>
              <w:t xml:space="preserve">Derivattivi u Tranżazzjonijiet ta’ Saldu Twil li huma inklużi f’sett ta’ </w:t>
            </w:r>
            <w:proofErr w:type="spellStart"/>
            <w:r>
              <w:t>Netting</w:t>
            </w:r>
            <w:proofErr w:type="spellEnd"/>
            <w:r>
              <w:t xml:space="preserve"> Bejn Prodotti Differenti kuntrattwali u għaldaqstant rapportati fir-ringiela 0130, ma għandhomx jiġu rapportati f’din ir-ringiela.</w:t>
            </w:r>
          </w:p>
        </w:tc>
      </w:tr>
      <w:tr w:rsidR="00F23615" w:rsidRPr="002A677E" w14:paraId="4F970BD7" w14:textId="77777777" w:rsidTr="00822842">
        <w:tc>
          <w:tcPr>
            <w:tcW w:w="1188" w:type="dxa"/>
          </w:tcPr>
          <w:p w14:paraId="678982FF" w14:textId="77777777" w:rsidR="00F23615" w:rsidRPr="002A677E" w:rsidRDefault="00F23615" w:rsidP="007F1637">
            <w:pPr>
              <w:pStyle w:val="InstructionsText"/>
            </w:pPr>
            <w:r>
              <w:t>0120</w:t>
            </w:r>
          </w:p>
        </w:tc>
        <w:tc>
          <w:tcPr>
            <w:tcW w:w="8701" w:type="dxa"/>
          </w:tcPr>
          <w:p w14:paraId="217351E5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ikklerjati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ċentralment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permezz ta' QCCP</w:t>
            </w:r>
          </w:p>
          <w:p w14:paraId="60198F30" w14:textId="77777777" w:rsidR="00F23615" w:rsidRPr="002A677E" w:rsidRDefault="00F23615" w:rsidP="007F1637">
            <w:pPr>
              <w:pStyle w:val="InstructionsText"/>
            </w:pPr>
            <w:r>
              <w:t>Ara l-istruzzjonijiet għar-ringiela 0100.</w:t>
            </w:r>
          </w:p>
        </w:tc>
      </w:tr>
      <w:tr w:rsidR="00F23615" w:rsidRPr="002A677E" w14:paraId="1F067D32" w14:textId="77777777" w:rsidTr="00822842">
        <w:tc>
          <w:tcPr>
            <w:tcW w:w="1188" w:type="dxa"/>
          </w:tcPr>
          <w:p w14:paraId="70AE040E" w14:textId="77777777" w:rsidR="00F23615" w:rsidRPr="002A677E" w:rsidRDefault="00F23615" w:rsidP="007F1637">
            <w:pPr>
              <w:pStyle w:val="InstructionsText"/>
            </w:pPr>
            <w:r>
              <w:t>0130</w:t>
            </w:r>
          </w:p>
        </w:tc>
        <w:tc>
          <w:tcPr>
            <w:tcW w:w="8701" w:type="dxa"/>
          </w:tcPr>
          <w:p w14:paraId="5EDE7BD4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Minn settijiet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Kuntrattwali Bejn Prodotti Differenti</w:t>
            </w:r>
          </w:p>
          <w:p w14:paraId="18415FD7" w14:textId="77777777" w:rsidR="00F23615" w:rsidRPr="002A677E" w:rsidRDefault="00F23615" w:rsidP="007F1637">
            <w:pPr>
              <w:pStyle w:val="InstructionsText"/>
            </w:pPr>
            <w:r>
              <w:t xml:space="preserve">Settijiet ta’ </w:t>
            </w:r>
            <w:proofErr w:type="spellStart"/>
            <w:r>
              <w:t>netting</w:t>
            </w:r>
            <w:proofErr w:type="spellEnd"/>
            <w:r>
              <w:t xml:space="preserve"> li fihom tranżazzjonijiet ta’ kategoriji ta’ prodotti differenti (l-Artikolu 272(11) tar-Regolament (UE) Nru 575/2013), jiġifieri derivattivi u </w:t>
            </w:r>
            <w:proofErr w:type="spellStart"/>
            <w:r>
              <w:t>SFTs</w:t>
            </w:r>
            <w:proofErr w:type="spellEnd"/>
            <w:r>
              <w:t xml:space="preserve">, li għalihom jeżisti ftehim ta’ </w:t>
            </w:r>
            <w:proofErr w:type="spellStart"/>
            <w:r>
              <w:t>netting</w:t>
            </w:r>
            <w:proofErr w:type="spellEnd"/>
            <w:r>
              <w:t xml:space="preserve"> kuntrattwali bejn prodotti differenti kif definit fl-Artikolu 272(25) tar-Regolament (UE) Nru 575/2013.</w:t>
            </w:r>
          </w:p>
        </w:tc>
      </w:tr>
      <w:tr w:rsidR="00F23615" w:rsidRPr="002A677E" w14:paraId="2CB6964C" w14:textId="77777777" w:rsidTr="00822842">
        <w:tc>
          <w:tcPr>
            <w:tcW w:w="1188" w:type="dxa"/>
          </w:tcPr>
          <w:p w14:paraId="56FDA295" w14:textId="77777777" w:rsidR="00F23615" w:rsidRPr="002A677E" w:rsidRDefault="00F23615" w:rsidP="007F1637">
            <w:pPr>
              <w:pStyle w:val="InstructionsText"/>
            </w:pPr>
            <w:r>
              <w:t>0140-0280</w:t>
            </w:r>
          </w:p>
        </w:tc>
        <w:tc>
          <w:tcPr>
            <w:tcW w:w="8701" w:type="dxa"/>
          </w:tcPr>
          <w:p w14:paraId="5B53098A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TA’ SKOPERTURI SKONT IL-PONDERAZZJONIJIET TAR-RISKJU</w:t>
            </w:r>
          </w:p>
          <w:p w14:paraId="1BA1E40D" w14:textId="77777777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3607F2A2" w14:textId="77777777" w:rsidTr="00822842">
        <w:tc>
          <w:tcPr>
            <w:tcW w:w="1188" w:type="dxa"/>
            <w:shd w:val="clear" w:color="auto" w:fill="auto"/>
          </w:tcPr>
          <w:p w14:paraId="73B0B7B3" w14:textId="77777777" w:rsidR="00F23615" w:rsidRPr="002A677E" w:rsidRDefault="00F23615" w:rsidP="007F1637">
            <w:pPr>
              <w:pStyle w:val="InstructionsText"/>
            </w:pPr>
            <w:r>
              <w:t>0140</w:t>
            </w:r>
          </w:p>
        </w:tc>
        <w:tc>
          <w:tcPr>
            <w:tcW w:w="8701" w:type="dxa"/>
            <w:shd w:val="clear" w:color="auto" w:fill="auto"/>
          </w:tcPr>
          <w:p w14:paraId="5D8442EA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0 %</w:t>
            </w:r>
          </w:p>
        </w:tc>
      </w:tr>
      <w:tr w:rsidR="00F23615" w:rsidRPr="002A677E" w14:paraId="0D143EC2" w14:textId="77777777" w:rsidTr="00822842">
        <w:tc>
          <w:tcPr>
            <w:tcW w:w="1188" w:type="dxa"/>
            <w:shd w:val="clear" w:color="auto" w:fill="auto"/>
          </w:tcPr>
          <w:p w14:paraId="69F412B5" w14:textId="77777777" w:rsidR="00F23615" w:rsidRPr="002A677E" w:rsidRDefault="00F23615" w:rsidP="007F1637">
            <w:pPr>
              <w:pStyle w:val="InstructionsText"/>
            </w:pPr>
            <w:r>
              <w:t>0150</w:t>
            </w:r>
          </w:p>
        </w:tc>
        <w:tc>
          <w:tcPr>
            <w:tcW w:w="8701" w:type="dxa"/>
            <w:shd w:val="clear" w:color="auto" w:fill="auto"/>
          </w:tcPr>
          <w:p w14:paraId="537E8C2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2 %</w:t>
            </w:r>
          </w:p>
          <w:p w14:paraId="38D2E126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L-Artikolu 306(1) tar-Regolament (UE) Nru 575/2013</w:t>
            </w:r>
          </w:p>
        </w:tc>
      </w:tr>
      <w:tr w:rsidR="00F23615" w:rsidRPr="002A677E" w14:paraId="6B4EF3B2" w14:textId="77777777" w:rsidTr="00822842">
        <w:tc>
          <w:tcPr>
            <w:tcW w:w="1188" w:type="dxa"/>
            <w:shd w:val="clear" w:color="auto" w:fill="auto"/>
          </w:tcPr>
          <w:p w14:paraId="5CB844AF" w14:textId="77777777" w:rsidR="00F23615" w:rsidRPr="002A677E" w:rsidRDefault="00F23615" w:rsidP="007F1637">
            <w:pPr>
              <w:pStyle w:val="InstructionsText"/>
            </w:pPr>
            <w:r>
              <w:t>0160</w:t>
            </w:r>
          </w:p>
        </w:tc>
        <w:tc>
          <w:tcPr>
            <w:tcW w:w="8701" w:type="dxa"/>
            <w:shd w:val="clear" w:color="auto" w:fill="auto"/>
          </w:tcPr>
          <w:p w14:paraId="242FCDDC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4 %</w:t>
            </w:r>
          </w:p>
          <w:p w14:paraId="58F9340E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L-Artikolu 305(3) tar-Regolament (UE) Nru 575/2013</w:t>
            </w:r>
          </w:p>
        </w:tc>
      </w:tr>
      <w:tr w:rsidR="00F23615" w:rsidRPr="002A677E" w14:paraId="3A75A3D5" w14:textId="77777777" w:rsidTr="00822842">
        <w:tc>
          <w:tcPr>
            <w:tcW w:w="1188" w:type="dxa"/>
            <w:shd w:val="clear" w:color="auto" w:fill="auto"/>
          </w:tcPr>
          <w:p w14:paraId="4EE7E21C" w14:textId="77777777" w:rsidR="00F23615" w:rsidRPr="002A677E" w:rsidRDefault="00F23615" w:rsidP="007F1637">
            <w:pPr>
              <w:pStyle w:val="InstructionsText"/>
            </w:pPr>
            <w:r>
              <w:t>0170</w:t>
            </w:r>
          </w:p>
        </w:tc>
        <w:tc>
          <w:tcPr>
            <w:tcW w:w="8701" w:type="dxa"/>
            <w:shd w:val="clear" w:color="auto" w:fill="auto"/>
          </w:tcPr>
          <w:p w14:paraId="30DA1C1F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10 %</w:t>
            </w:r>
          </w:p>
        </w:tc>
      </w:tr>
      <w:tr w:rsidR="00F23615" w:rsidRPr="002A677E" w14:paraId="66A97F70" w14:textId="77777777" w:rsidTr="00822842">
        <w:tc>
          <w:tcPr>
            <w:tcW w:w="1188" w:type="dxa"/>
            <w:shd w:val="clear" w:color="auto" w:fill="auto"/>
          </w:tcPr>
          <w:p w14:paraId="4E1B02A9" w14:textId="77777777" w:rsidR="00F23615" w:rsidRPr="002A677E" w:rsidRDefault="00F23615" w:rsidP="007F1637">
            <w:pPr>
              <w:pStyle w:val="InstructionsText"/>
            </w:pPr>
            <w:r>
              <w:t>0180</w:t>
            </w:r>
          </w:p>
        </w:tc>
        <w:tc>
          <w:tcPr>
            <w:tcW w:w="8701" w:type="dxa"/>
            <w:shd w:val="clear" w:color="auto" w:fill="auto"/>
          </w:tcPr>
          <w:p w14:paraId="7D41F6E4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20 %</w:t>
            </w:r>
          </w:p>
        </w:tc>
      </w:tr>
      <w:tr w:rsidR="00F23615" w:rsidRPr="002A677E" w14:paraId="644178B1" w14:textId="77777777" w:rsidTr="00822842">
        <w:tc>
          <w:tcPr>
            <w:tcW w:w="1188" w:type="dxa"/>
            <w:shd w:val="clear" w:color="auto" w:fill="auto"/>
          </w:tcPr>
          <w:p w14:paraId="0F8ADA36" w14:textId="77777777" w:rsidR="00F23615" w:rsidRPr="002A677E" w:rsidRDefault="00F23615" w:rsidP="007F1637">
            <w:pPr>
              <w:pStyle w:val="InstructionsText"/>
            </w:pPr>
            <w:r>
              <w:t>0185</w:t>
            </w:r>
          </w:p>
        </w:tc>
        <w:tc>
          <w:tcPr>
            <w:tcW w:w="8701" w:type="dxa"/>
            <w:shd w:val="clear" w:color="auto" w:fill="auto"/>
          </w:tcPr>
          <w:p w14:paraId="5CE1FA0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30 %</w:t>
            </w:r>
          </w:p>
        </w:tc>
      </w:tr>
      <w:tr w:rsidR="00F23615" w:rsidRPr="002A677E" w14:paraId="40E6192A" w14:textId="77777777" w:rsidTr="00822842">
        <w:tc>
          <w:tcPr>
            <w:tcW w:w="1188" w:type="dxa"/>
            <w:shd w:val="clear" w:color="auto" w:fill="auto"/>
          </w:tcPr>
          <w:p w14:paraId="3EC00733" w14:textId="77777777" w:rsidR="00F23615" w:rsidRPr="002A677E" w:rsidRDefault="00F23615" w:rsidP="007F1637">
            <w:pPr>
              <w:pStyle w:val="InstructionsText"/>
            </w:pPr>
            <w:r>
              <w:t>0190</w:t>
            </w:r>
          </w:p>
        </w:tc>
        <w:tc>
          <w:tcPr>
            <w:tcW w:w="8701" w:type="dxa"/>
            <w:shd w:val="clear" w:color="auto" w:fill="auto"/>
          </w:tcPr>
          <w:p w14:paraId="67E114C1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35 %</w:t>
            </w:r>
          </w:p>
        </w:tc>
      </w:tr>
      <w:tr w:rsidR="00F23615" w:rsidRPr="002A677E" w14:paraId="1411A688" w14:textId="77777777" w:rsidTr="00822842">
        <w:tc>
          <w:tcPr>
            <w:tcW w:w="1188" w:type="dxa"/>
            <w:shd w:val="clear" w:color="auto" w:fill="auto"/>
          </w:tcPr>
          <w:p w14:paraId="56602D0F" w14:textId="77777777" w:rsidR="00F23615" w:rsidRPr="002A677E" w:rsidRDefault="00F23615" w:rsidP="007F1637">
            <w:pPr>
              <w:pStyle w:val="InstructionsText"/>
            </w:pPr>
            <w:r>
              <w:t>0195</w:t>
            </w:r>
          </w:p>
        </w:tc>
        <w:tc>
          <w:tcPr>
            <w:tcW w:w="8701" w:type="dxa"/>
            <w:shd w:val="clear" w:color="auto" w:fill="auto"/>
          </w:tcPr>
          <w:p w14:paraId="42AD794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40 %</w:t>
            </w:r>
          </w:p>
        </w:tc>
      </w:tr>
      <w:tr w:rsidR="00F23615" w:rsidRPr="002A677E" w14:paraId="1F98A06E" w14:textId="77777777" w:rsidTr="00822842">
        <w:tc>
          <w:tcPr>
            <w:tcW w:w="1188" w:type="dxa"/>
            <w:shd w:val="clear" w:color="auto" w:fill="auto"/>
          </w:tcPr>
          <w:p w14:paraId="042E62D0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0196</w:t>
            </w:r>
          </w:p>
        </w:tc>
        <w:tc>
          <w:tcPr>
            <w:tcW w:w="8701" w:type="dxa"/>
            <w:shd w:val="clear" w:color="auto" w:fill="auto"/>
          </w:tcPr>
          <w:p w14:paraId="029169E8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45 %</w:t>
            </w:r>
          </w:p>
        </w:tc>
      </w:tr>
      <w:tr w:rsidR="00F23615" w:rsidRPr="002A677E" w14:paraId="1F93ADA0" w14:textId="77777777" w:rsidTr="00822842">
        <w:tc>
          <w:tcPr>
            <w:tcW w:w="1188" w:type="dxa"/>
            <w:shd w:val="clear" w:color="auto" w:fill="auto"/>
          </w:tcPr>
          <w:p w14:paraId="3D4F69D0" w14:textId="77777777" w:rsidR="00F23615" w:rsidRPr="002A677E" w:rsidRDefault="00F23615" w:rsidP="007F1637">
            <w:pPr>
              <w:pStyle w:val="InstructionsText"/>
            </w:pPr>
            <w:r>
              <w:t>0200</w:t>
            </w:r>
          </w:p>
        </w:tc>
        <w:tc>
          <w:tcPr>
            <w:tcW w:w="8701" w:type="dxa"/>
            <w:shd w:val="clear" w:color="auto" w:fill="auto"/>
          </w:tcPr>
          <w:p w14:paraId="2A9B36D7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50 %</w:t>
            </w:r>
          </w:p>
        </w:tc>
      </w:tr>
      <w:tr w:rsidR="00F23615" w:rsidRPr="002A677E" w14:paraId="4BBD0531" w14:textId="77777777" w:rsidTr="00822842">
        <w:tc>
          <w:tcPr>
            <w:tcW w:w="1188" w:type="dxa"/>
            <w:shd w:val="clear" w:color="auto" w:fill="auto"/>
          </w:tcPr>
          <w:p w14:paraId="7F788C97" w14:textId="77777777" w:rsidR="00F23615" w:rsidRPr="002A677E" w:rsidRDefault="00F23615" w:rsidP="007F1637">
            <w:pPr>
              <w:pStyle w:val="InstructionsText"/>
            </w:pPr>
            <w:r>
              <w:t>0205</w:t>
            </w:r>
          </w:p>
        </w:tc>
        <w:tc>
          <w:tcPr>
            <w:tcW w:w="8701" w:type="dxa"/>
            <w:shd w:val="clear" w:color="auto" w:fill="auto"/>
          </w:tcPr>
          <w:p w14:paraId="4EB6894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60 %</w:t>
            </w:r>
          </w:p>
        </w:tc>
      </w:tr>
      <w:tr w:rsidR="00F23615" w:rsidRPr="002A677E" w14:paraId="35B50861" w14:textId="77777777" w:rsidTr="00822842">
        <w:tc>
          <w:tcPr>
            <w:tcW w:w="1188" w:type="dxa"/>
            <w:shd w:val="clear" w:color="auto" w:fill="auto"/>
          </w:tcPr>
          <w:p w14:paraId="2D7CFC92" w14:textId="77777777" w:rsidR="00F23615" w:rsidRPr="002A677E" w:rsidRDefault="00F23615" w:rsidP="007F1637">
            <w:pPr>
              <w:pStyle w:val="InstructionsText"/>
            </w:pPr>
            <w:r>
              <w:t>0210</w:t>
            </w:r>
          </w:p>
        </w:tc>
        <w:tc>
          <w:tcPr>
            <w:tcW w:w="8701" w:type="dxa"/>
            <w:shd w:val="clear" w:color="auto" w:fill="auto"/>
          </w:tcPr>
          <w:p w14:paraId="2EF249BA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70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</w:p>
          <w:p w14:paraId="2003327F" w14:textId="77777777" w:rsidR="00F23615" w:rsidRPr="002A677E" w:rsidRDefault="00F23615" w:rsidP="007F1637">
            <w:pPr>
              <w:pStyle w:val="InstructionsText"/>
            </w:pPr>
            <w:r>
              <w:t>L-Artikolu 232(3)(c) tar-Regolament (UE) 575/2013.</w:t>
            </w:r>
          </w:p>
        </w:tc>
      </w:tr>
      <w:tr w:rsidR="00F23615" w:rsidRPr="002A677E" w14:paraId="4CD0BDD3" w14:textId="77777777" w:rsidTr="00822842">
        <w:tc>
          <w:tcPr>
            <w:tcW w:w="1188" w:type="dxa"/>
            <w:shd w:val="clear" w:color="auto" w:fill="auto"/>
          </w:tcPr>
          <w:p w14:paraId="7D0F4DB2" w14:textId="77777777" w:rsidR="00F23615" w:rsidRPr="002A677E" w:rsidRDefault="00F23615" w:rsidP="007F1637">
            <w:pPr>
              <w:pStyle w:val="InstructionsText"/>
            </w:pPr>
            <w:r>
              <w:t>0220</w:t>
            </w:r>
          </w:p>
        </w:tc>
        <w:tc>
          <w:tcPr>
            <w:tcW w:w="8701" w:type="dxa"/>
            <w:shd w:val="clear" w:color="auto" w:fill="auto"/>
          </w:tcPr>
          <w:p w14:paraId="4F24AB69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75 %</w:t>
            </w:r>
          </w:p>
        </w:tc>
      </w:tr>
      <w:tr w:rsidR="00F23615" w:rsidRPr="002A677E" w14:paraId="64869C85" w14:textId="77777777" w:rsidTr="00822842">
        <w:tc>
          <w:tcPr>
            <w:tcW w:w="1188" w:type="dxa"/>
            <w:shd w:val="clear" w:color="auto" w:fill="auto"/>
          </w:tcPr>
          <w:p w14:paraId="7F0F29F4" w14:textId="77777777" w:rsidR="00F23615" w:rsidRPr="002A677E" w:rsidRDefault="00F23615" w:rsidP="007F1637">
            <w:pPr>
              <w:pStyle w:val="InstructionsText"/>
            </w:pPr>
            <w:r>
              <w:t>0225</w:t>
            </w:r>
          </w:p>
        </w:tc>
        <w:tc>
          <w:tcPr>
            <w:tcW w:w="8701" w:type="dxa"/>
            <w:shd w:val="clear" w:color="auto" w:fill="auto"/>
          </w:tcPr>
          <w:p w14:paraId="03C981D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80 %</w:t>
            </w:r>
          </w:p>
        </w:tc>
      </w:tr>
      <w:tr w:rsidR="00F23615" w:rsidRPr="002A677E" w14:paraId="550A5748" w14:textId="77777777" w:rsidTr="00822842">
        <w:tc>
          <w:tcPr>
            <w:tcW w:w="1188" w:type="dxa"/>
            <w:shd w:val="clear" w:color="auto" w:fill="auto"/>
          </w:tcPr>
          <w:p w14:paraId="1B2F99D9" w14:textId="77777777" w:rsidR="00F23615" w:rsidRPr="002A677E" w:rsidRDefault="00F23615" w:rsidP="007F1637">
            <w:pPr>
              <w:pStyle w:val="InstructionsText"/>
            </w:pPr>
            <w:r>
              <w:t>0226</w:t>
            </w:r>
          </w:p>
        </w:tc>
        <w:tc>
          <w:tcPr>
            <w:tcW w:w="8701" w:type="dxa"/>
            <w:shd w:val="clear" w:color="auto" w:fill="auto"/>
          </w:tcPr>
          <w:p w14:paraId="0C2DD328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90 %</w:t>
            </w:r>
          </w:p>
        </w:tc>
      </w:tr>
      <w:tr w:rsidR="00F23615" w:rsidRPr="002A677E" w14:paraId="3DB553FA" w14:textId="77777777" w:rsidTr="00822842">
        <w:tc>
          <w:tcPr>
            <w:tcW w:w="1188" w:type="dxa"/>
            <w:shd w:val="clear" w:color="auto" w:fill="auto"/>
          </w:tcPr>
          <w:p w14:paraId="08C35660" w14:textId="77777777" w:rsidR="00F23615" w:rsidRPr="002A677E" w:rsidRDefault="00F23615" w:rsidP="007F1637">
            <w:pPr>
              <w:pStyle w:val="InstructionsText"/>
            </w:pPr>
            <w:r>
              <w:t>0230</w:t>
            </w:r>
          </w:p>
        </w:tc>
        <w:tc>
          <w:tcPr>
            <w:tcW w:w="8701" w:type="dxa"/>
            <w:shd w:val="clear" w:color="auto" w:fill="auto"/>
          </w:tcPr>
          <w:p w14:paraId="48D565F5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100 %</w:t>
            </w:r>
          </w:p>
        </w:tc>
      </w:tr>
      <w:tr w:rsidR="00F23615" w:rsidRPr="002A677E" w14:paraId="295415F7" w14:textId="77777777" w:rsidTr="00822842">
        <w:tc>
          <w:tcPr>
            <w:tcW w:w="1188" w:type="dxa"/>
            <w:shd w:val="clear" w:color="auto" w:fill="auto"/>
          </w:tcPr>
          <w:p w14:paraId="70636DD7" w14:textId="77777777" w:rsidR="00F23615" w:rsidRPr="002A677E" w:rsidRDefault="00F23615" w:rsidP="007F1637">
            <w:pPr>
              <w:pStyle w:val="InstructionsText"/>
            </w:pPr>
            <w:r>
              <w:t>0231</w:t>
            </w:r>
          </w:p>
        </w:tc>
        <w:tc>
          <w:tcPr>
            <w:tcW w:w="8701" w:type="dxa"/>
            <w:shd w:val="clear" w:color="auto" w:fill="auto"/>
          </w:tcPr>
          <w:p w14:paraId="3179D10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105 %</w:t>
            </w:r>
          </w:p>
        </w:tc>
      </w:tr>
      <w:tr w:rsidR="00F23615" w:rsidRPr="002A677E" w14:paraId="2A27EBEC" w14:textId="77777777" w:rsidTr="00822842">
        <w:tc>
          <w:tcPr>
            <w:tcW w:w="1188" w:type="dxa"/>
            <w:shd w:val="clear" w:color="auto" w:fill="auto"/>
          </w:tcPr>
          <w:p w14:paraId="19DB6F36" w14:textId="77777777" w:rsidR="00F23615" w:rsidRPr="002A677E" w:rsidRDefault="00F23615" w:rsidP="007F1637">
            <w:pPr>
              <w:pStyle w:val="InstructionsText"/>
            </w:pPr>
            <w:r>
              <w:t>0232</w:t>
            </w:r>
          </w:p>
        </w:tc>
        <w:tc>
          <w:tcPr>
            <w:tcW w:w="8701" w:type="dxa"/>
            <w:shd w:val="clear" w:color="auto" w:fill="auto"/>
          </w:tcPr>
          <w:p w14:paraId="1246333A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110 %</w:t>
            </w:r>
          </w:p>
        </w:tc>
      </w:tr>
      <w:tr w:rsidR="00F23615" w:rsidRPr="002A677E" w14:paraId="1DDBC65A" w14:textId="77777777" w:rsidTr="00822842">
        <w:tc>
          <w:tcPr>
            <w:tcW w:w="1188" w:type="dxa"/>
            <w:shd w:val="clear" w:color="auto" w:fill="auto"/>
          </w:tcPr>
          <w:p w14:paraId="58928AE2" w14:textId="77777777" w:rsidR="00F23615" w:rsidRPr="002A677E" w:rsidRDefault="00F23615" w:rsidP="007F1637">
            <w:pPr>
              <w:pStyle w:val="InstructionsText"/>
            </w:pPr>
            <w:r>
              <w:t>0235</w:t>
            </w:r>
          </w:p>
        </w:tc>
        <w:tc>
          <w:tcPr>
            <w:tcW w:w="8701" w:type="dxa"/>
            <w:shd w:val="clear" w:color="auto" w:fill="auto"/>
          </w:tcPr>
          <w:p w14:paraId="08E6EB41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130 %</w:t>
            </w:r>
          </w:p>
        </w:tc>
      </w:tr>
      <w:tr w:rsidR="00F23615" w:rsidRPr="002A677E" w14:paraId="103E89B1" w14:textId="77777777" w:rsidTr="00822842">
        <w:tc>
          <w:tcPr>
            <w:tcW w:w="1188" w:type="dxa"/>
            <w:shd w:val="clear" w:color="auto" w:fill="auto"/>
          </w:tcPr>
          <w:p w14:paraId="135524D8" w14:textId="77777777" w:rsidR="00F23615" w:rsidRPr="002A677E" w:rsidRDefault="00F23615" w:rsidP="007F1637">
            <w:pPr>
              <w:pStyle w:val="InstructionsText"/>
            </w:pPr>
            <w:r>
              <w:t>0240</w:t>
            </w:r>
          </w:p>
        </w:tc>
        <w:tc>
          <w:tcPr>
            <w:tcW w:w="8701" w:type="dxa"/>
            <w:shd w:val="clear" w:color="auto" w:fill="auto"/>
          </w:tcPr>
          <w:p w14:paraId="44732425" w14:textId="77777777" w:rsidR="00F23615" w:rsidRPr="002A677E" w:rsidRDefault="00F23615" w:rsidP="007F1637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150 %</w:t>
            </w:r>
          </w:p>
        </w:tc>
      </w:tr>
      <w:tr w:rsidR="00F23615" w:rsidRPr="002A677E" w14:paraId="3EB9885D" w14:textId="77777777" w:rsidTr="00822842">
        <w:tc>
          <w:tcPr>
            <w:tcW w:w="1188" w:type="dxa"/>
            <w:shd w:val="clear" w:color="auto" w:fill="auto"/>
          </w:tcPr>
          <w:p w14:paraId="4A351481" w14:textId="77777777" w:rsidR="00F23615" w:rsidRPr="002A677E" w:rsidRDefault="00F23615" w:rsidP="007F1637">
            <w:pPr>
              <w:pStyle w:val="InstructionsText"/>
            </w:pPr>
            <w:r>
              <w:t>0250</w:t>
            </w:r>
          </w:p>
        </w:tc>
        <w:tc>
          <w:tcPr>
            <w:tcW w:w="8701" w:type="dxa"/>
            <w:shd w:val="clear" w:color="auto" w:fill="auto"/>
          </w:tcPr>
          <w:p w14:paraId="71608475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250 %</w:t>
            </w:r>
          </w:p>
          <w:p w14:paraId="1EC6766A" w14:textId="77777777" w:rsidR="00F23615" w:rsidRPr="002A677E" w:rsidRDefault="00F23615" w:rsidP="007F1637">
            <w:pPr>
              <w:pStyle w:val="InstructionsText"/>
            </w:pPr>
            <w:r>
              <w:t>L-Artikoli 133(2) u 48(4) tar-Regolament (UE) Nru 575/2013</w:t>
            </w:r>
          </w:p>
        </w:tc>
      </w:tr>
      <w:tr w:rsidR="00F23615" w:rsidRPr="002A677E" w14:paraId="1BCE17AC" w14:textId="77777777" w:rsidTr="00822842">
        <w:tc>
          <w:tcPr>
            <w:tcW w:w="1188" w:type="dxa"/>
            <w:shd w:val="clear" w:color="auto" w:fill="auto"/>
          </w:tcPr>
          <w:p w14:paraId="6EB1390A" w14:textId="77777777" w:rsidR="00F23615" w:rsidRPr="002A677E" w:rsidRDefault="00F23615" w:rsidP="007F1637">
            <w:pPr>
              <w:pStyle w:val="InstructionsText"/>
            </w:pPr>
            <w:r>
              <w:t>0260</w:t>
            </w:r>
          </w:p>
        </w:tc>
        <w:tc>
          <w:tcPr>
            <w:tcW w:w="8701" w:type="dxa"/>
            <w:shd w:val="clear" w:color="auto" w:fill="auto"/>
          </w:tcPr>
          <w:p w14:paraId="1FE62BF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370 %</w:t>
            </w:r>
          </w:p>
          <w:p w14:paraId="5C3296BF" w14:textId="7777777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L-Artikolu 471 tar-Regolament (UE) Nru 575/2013</w:t>
            </w:r>
          </w:p>
        </w:tc>
      </w:tr>
      <w:tr w:rsidR="00F23615" w:rsidRPr="002A677E" w14:paraId="5B3A0788" w14:textId="77777777" w:rsidTr="00822842">
        <w:tc>
          <w:tcPr>
            <w:tcW w:w="1188" w:type="dxa"/>
            <w:shd w:val="clear" w:color="auto" w:fill="auto"/>
          </w:tcPr>
          <w:p w14:paraId="4C6EE5BE" w14:textId="77777777" w:rsidR="00F23615" w:rsidRPr="002A677E" w:rsidRDefault="00F23615" w:rsidP="007F1637">
            <w:pPr>
              <w:pStyle w:val="InstructionsText"/>
            </w:pPr>
            <w:r>
              <w:t>0265</w:t>
            </w:r>
          </w:p>
        </w:tc>
        <w:tc>
          <w:tcPr>
            <w:tcW w:w="8701" w:type="dxa"/>
            <w:shd w:val="clear" w:color="auto" w:fill="auto"/>
          </w:tcPr>
          <w:p w14:paraId="5570961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400 %</w:t>
            </w:r>
          </w:p>
        </w:tc>
      </w:tr>
      <w:tr w:rsidR="00F23615" w:rsidRPr="002A677E" w14:paraId="0DA3D6DF" w14:textId="77777777" w:rsidTr="00822842">
        <w:tc>
          <w:tcPr>
            <w:tcW w:w="1188" w:type="dxa"/>
            <w:shd w:val="clear" w:color="auto" w:fill="auto"/>
          </w:tcPr>
          <w:p w14:paraId="5C3FC1D3" w14:textId="77777777" w:rsidR="00F23615" w:rsidRPr="002A677E" w:rsidRDefault="00F23615" w:rsidP="007F1637">
            <w:pPr>
              <w:pStyle w:val="InstructionsText"/>
            </w:pPr>
            <w:r>
              <w:t>0270</w:t>
            </w:r>
          </w:p>
        </w:tc>
        <w:tc>
          <w:tcPr>
            <w:tcW w:w="8701" w:type="dxa"/>
            <w:shd w:val="clear" w:color="auto" w:fill="auto"/>
          </w:tcPr>
          <w:p w14:paraId="14FB9831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1 250 %</w:t>
            </w:r>
          </w:p>
          <w:p w14:paraId="130A4FCB" w14:textId="6187353A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L-Artikolu 89(3) u l-Artikolu 379 tar-Regolament (UE) Nru 575/2013</w:t>
            </w:r>
          </w:p>
        </w:tc>
      </w:tr>
      <w:tr w:rsidR="00F23615" w:rsidRPr="002A677E" w14:paraId="792C5BD8" w14:textId="77777777" w:rsidTr="00822842">
        <w:tc>
          <w:tcPr>
            <w:tcW w:w="1188" w:type="dxa"/>
            <w:shd w:val="clear" w:color="auto" w:fill="auto"/>
          </w:tcPr>
          <w:p w14:paraId="6176DE5C" w14:textId="77777777" w:rsidR="00F23615" w:rsidRPr="002A677E" w:rsidRDefault="00F23615" w:rsidP="007F1637">
            <w:pPr>
              <w:pStyle w:val="InstructionsText"/>
            </w:pPr>
            <w:r>
              <w:t>0280</w:t>
            </w:r>
          </w:p>
        </w:tc>
        <w:tc>
          <w:tcPr>
            <w:tcW w:w="8701" w:type="dxa"/>
            <w:shd w:val="clear" w:color="auto" w:fill="auto"/>
          </w:tcPr>
          <w:p w14:paraId="283D55DA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oħrajn</w:t>
            </w:r>
          </w:p>
          <w:p w14:paraId="54134B49" w14:textId="77777777" w:rsidR="00F23615" w:rsidRPr="002A677E" w:rsidRDefault="00F23615" w:rsidP="007F1637">
            <w:pPr>
              <w:pStyle w:val="InstructionsText"/>
            </w:pPr>
            <w:r>
              <w:t>Din ir-ringiela mhijiex disponibbli għal klassijiet tal-</w:t>
            </w:r>
            <w:proofErr w:type="spellStart"/>
            <w:r>
              <w:t>iskoperturi</w:t>
            </w:r>
            <w:proofErr w:type="spellEnd"/>
            <w:r>
              <w:t xml:space="preserve"> Governattivi, Impriżi, Istituzzjonijiet u Livell tal-Konsumatur.</w:t>
            </w:r>
          </w:p>
          <w:p w14:paraId="033C071D" w14:textId="77777777" w:rsidR="00F23615" w:rsidRPr="002A677E" w:rsidRDefault="00F23615" w:rsidP="007F1637">
            <w:pPr>
              <w:pStyle w:val="InstructionsText"/>
            </w:pPr>
          </w:p>
          <w:p w14:paraId="30E9A3FA" w14:textId="77777777" w:rsidR="00F23615" w:rsidRPr="002A677E" w:rsidRDefault="00F23615" w:rsidP="007F1637">
            <w:pPr>
              <w:pStyle w:val="InstructionsText"/>
            </w:pPr>
            <w:r>
              <w:t>Għar-</w:t>
            </w:r>
            <w:proofErr w:type="spellStart"/>
            <w:r>
              <w:t>rapportar</w:t>
            </w:r>
            <w:proofErr w:type="spellEnd"/>
            <w:r>
              <w:t xml:space="preserve"> ta’ dawk l-</w:t>
            </w:r>
            <w:proofErr w:type="spellStart"/>
            <w:r>
              <w:t>iskoperturi</w:t>
            </w:r>
            <w:proofErr w:type="spellEnd"/>
            <w:r>
              <w:t xml:space="preserve"> mhux soġġetti </w:t>
            </w:r>
            <w:proofErr w:type="spellStart"/>
            <w:r>
              <w:t>għall-ponderazzjonijiet</w:t>
            </w:r>
            <w:proofErr w:type="spellEnd"/>
            <w:r>
              <w:t xml:space="preserve"> tar-riskju elenkati fil-formola.</w:t>
            </w:r>
          </w:p>
          <w:p w14:paraId="0E446965" w14:textId="77777777" w:rsidR="00F23615" w:rsidRPr="002A677E" w:rsidRDefault="00F23615" w:rsidP="007F1637">
            <w:pPr>
              <w:pStyle w:val="InstructionsText"/>
            </w:pPr>
            <w:r>
              <w:t>L-Artikolu 113, il-</w:t>
            </w:r>
            <w:proofErr w:type="spellStart"/>
            <w:r>
              <w:t>paragrafi</w:t>
            </w:r>
            <w:proofErr w:type="spellEnd"/>
            <w:r>
              <w:t xml:space="preserve"> minn 1 sa 5 tar-Regolament (UE) Nru 575/2013. </w:t>
            </w:r>
          </w:p>
          <w:p w14:paraId="718BFB50" w14:textId="77777777" w:rsidR="00F23615" w:rsidRPr="002A677E" w:rsidRDefault="00F23615" w:rsidP="007F1637">
            <w:pPr>
              <w:pStyle w:val="InstructionsText"/>
            </w:pPr>
          </w:p>
          <w:p w14:paraId="22353209" w14:textId="77777777" w:rsidR="00F23615" w:rsidRPr="002A677E" w:rsidRDefault="00F23615" w:rsidP="007F1637">
            <w:pPr>
              <w:pStyle w:val="InstructionsText"/>
            </w:pPr>
            <w:r>
              <w:t>Derivattivi ta’ kreditu n-</w:t>
            </w:r>
            <w:proofErr w:type="spellStart"/>
            <w:r>
              <w:t>eżmu</w:t>
            </w:r>
            <w:proofErr w:type="spellEnd"/>
            <w:r>
              <w:t xml:space="preserve"> </w:t>
            </w:r>
            <w:proofErr w:type="spellStart"/>
            <w:r>
              <w:t>inadempjenti</w:t>
            </w:r>
            <w:proofErr w:type="spellEnd"/>
            <w:r>
              <w:t xml:space="preserve"> mhux klassifikati skont l-</w:t>
            </w:r>
            <w:proofErr w:type="spellStart"/>
            <w:r>
              <w:t>Approċċ</w:t>
            </w:r>
            <w:proofErr w:type="spellEnd"/>
            <w:r>
              <w:t xml:space="preserve"> </w:t>
            </w:r>
            <w:proofErr w:type="spellStart"/>
            <w:r>
              <w:t>Standardizzat</w:t>
            </w:r>
            <w:proofErr w:type="spellEnd"/>
            <w:r>
              <w:t xml:space="preserve"> (l-Artikolu 134(6) tar-Regolament (UE) Nru 575/2013) għandhom jiġu rapportati f’din ir-ringiela taħt il-klassi ta’ </w:t>
            </w:r>
            <w:proofErr w:type="spellStart"/>
            <w:r>
              <w:t>skoperturi</w:t>
            </w:r>
            <w:proofErr w:type="spellEnd"/>
            <w:r>
              <w:t xml:space="preserve"> “</w:t>
            </w:r>
            <w:proofErr w:type="spellStart"/>
            <w:r>
              <w:t>Entrati</w:t>
            </w:r>
            <w:proofErr w:type="spellEnd"/>
            <w:r>
              <w:t xml:space="preserve"> oħrajn”.</w:t>
            </w:r>
          </w:p>
          <w:p w14:paraId="6DCD546A" w14:textId="5952C24E" w:rsidR="00F23615" w:rsidRPr="002A677E" w:rsidRDefault="00F23615" w:rsidP="007F1637">
            <w:pPr>
              <w:pStyle w:val="InstructionsText"/>
            </w:pPr>
          </w:p>
        </w:tc>
      </w:tr>
      <w:tr w:rsidR="00F23615" w:rsidRPr="002A677E" w14:paraId="606C7139" w14:textId="77777777" w:rsidTr="00822842">
        <w:tc>
          <w:tcPr>
            <w:tcW w:w="1188" w:type="dxa"/>
            <w:shd w:val="clear" w:color="auto" w:fill="auto"/>
          </w:tcPr>
          <w:p w14:paraId="35CC58B1" w14:textId="77777777" w:rsidR="00F23615" w:rsidRPr="002A677E" w:rsidRDefault="00F23615" w:rsidP="007F1637">
            <w:pPr>
              <w:pStyle w:val="InstructionsText"/>
            </w:pPr>
            <w:r>
              <w:t>0281-0284</w:t>
            </w:r>
          </w:p>
        </w:tc>
        <w:tc>
          <w:tcPr>
            <w:tcW w:w="8701" w:type="dxa"/>
            <w:shd w:val="clear" w:color="auto" w:fill="auto"/>
          </w:tcPr>
          <w:p w14:paraId="7B735570" w14:textId="7459EE6E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TAL-ISKOPERTURI TOTALI SKONT L-APPROĊĊ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12A1B369" w14:textId="27E41CB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Dawn ir-ringieli għandhom jiġu rapportati biss għall-klassi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Impriżi ta’ investiment kollettiv (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CIUs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mal-Artikoli 132, 132a, 132b u 132c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23615" w:rsidRPr="002A677E" w14:paraId="2ABE8CF1" w14:textId="77777777" w:rsidTr="00822842">
        <w:tc>
          <w:tcPr>
            <w:tcW w:w="1188" w:type="dxa"/>
            <w:shd w:val="clear" w:color="auto" w:fill="auto"/>
          </w:tcPr>
          <w:p w14:paraId="3B408CBF" w14:textId="77777777" w:rsidR="00F23615" w:rsidRPr="002A677E" w:rsidRDefault="00F23615" w:rsidP="007F1637">
            <w:pPr>
              <w:pStyle w:val="InstructionsText"/>
            </w:pPr>
            <w:r>
              <w:lastRenderedPageBreak/>
              <w:t>0281</w:t>
            </w:r>
          </w:p>
        </w:tc>
        <w:tc>
          <w:tcPr>
            <w:tcW w:w="8701" w:type="dxa"/>
            <w:shd w:val="clear" w:color="auto" w:fill="auto"/>
          </w:tcPr>
          <w:p w14:paraId="36644A9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taċ-ċar kristall</w:t>
            </w:r>
          </w:p>
          <w:p w14:paraId="408E361B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132a(1) tar-Regolament (UE) Nru 575/2013.</w:t>
            </w:r>
          </w:p>
        </w:tc>
      </w:tr>
      <w:tr w:rsidR="00F23615" w:rsidRPr="002A677E" w14:paraId="3A80C4EC" w14:textId="77777777" w:rsidTr="00822842">
        <w:tc>
          <w:tcPr>
            <w:tcW w:w="1188" w:type="dxa"/>
            <w:shd w:val="clear" w:color="auto" w:fill="auto"/>
          </w:tcPr>
          <w:p w14:paraId="6B31B8F0" w14:textId="77777777" w:rsidR="00F23615" w:rsidRPr="002A677E" w:rsidRDefault="00F23615" w:rsidP="007F1637">
            <w:pPr>
              <w:pStyle w:val="InstructionsText"/>
            </w:pPr>
            <w:r>
              <w:t>0282</w:t>
            </w:r>
          </w:p>
        </w:tc>
        <w:tc>
          <w:tcPr>
            <w:tcW w:w="8701" w:type="dxa"/>
            <w:shd w:val="clear" w:color="auto" w:fill="auto"/>
          </w:tcPr>
          <w:p w14:paraId="6D90C2A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ibbażat fuq mandat</w:t>
            </w:r>
          </w:p>
          <w:p w14:paraId="6588570F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 132 a(2) tar-Regolament (UE) Nru 575/2013.</w:t>
            </w:r>
          </w:p>
        </w:tc>
      </w:tr>
      <w:tr w:rsidR="00F23615" w:rsidRPr="002A677E" w14:paraId="09AEE8E7" w14:textId="77777777" w:rsidTr="00822842">
        <w:tc>
          <w:tcPr>
            <w:tcW w:w="1188" w:type="dxa"/>
            <w:shd w:val="clear" w:color="auto" w:fill="auto"/>
          </w:tcPr>
          <w:p w14:paraId="790F6FD7" w14:textId="77777777" w:rsidR="00F23615" w:rsidRPr="002A677E" w:rsidRDefault="00F23615" w:rsidP="007F1637">
            <w:pPr>
              <w:pStyle w:val="InstructionsText"/>
            </w:pPr>
            <w:r>
              <w:t>0283</w:t>
            </w:r>
          </w:p>
        </w:tc>
        <w:tc>
          <w:tcPr>
            <w:tcW w:w="8701" w:type="dxa"/>
            <w:shd w:val="clear" w:color="auto" w:fill="auto"/>
          </w:tcPr>
          <w:p w14:paraId="604290B3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riżerva</w:t>
            </w:r>
          </w:p>
          <w:p w14:paraId="74B61E22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 132(2) tar-Regolament (UE) Nru 575/2013.</w:t>
            </w:r>
          </w:p>
        </w:tc>
      </w:tr>
      <w:tr w:rsidR="00F23615" w:rsidRPr="002A677E" w14:paraId="6462C164" w14:textId="77777777" w:rsidTr="00822842">
        <w:tc>
          <w:tcPr>
            <w:tcW w:w="1188" w:type="dxa"/>
            <w:shd w:val="clear" w:color="auto" w:fill="auto"/>
          </w:tcPr>
          <w:p w14:paraId="1629A4C9" w14:textId="27002600" w:rsidR="00F23615" w:rsidRPr="002A677E" w:rsidRDefault="00F23615" w:rsidP="007F1637">
            <w:pPr>
              <w:pStyle w:val="InstructionsText"/>
            </w:pPr>
            <w:r>
              <w:t>0290-0330</w:t>
            </w:r>
          </w:p>
        </w:tc>
        <w:tc>
          <w:tcPr>
            <w:tcW w:w="8701" w:type="dxa"/>
            <w:shd w:val="clear" w:color="auto" w:fill="auto"/>
          </w:tcPr>
          <w:p w14:paraId="56A375B4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</w:t>
            </w:r>
          </w:p>
          <w:p w14:paraId="57E76D8E" w14:textId="366DE9B0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>Għar-ringieli minn 0290 sa 0330, ara wkoll l-ispjegazzjoni tal-iskop tal-</w:t>
            </w:r>
            <w:proofErr w:type="spellStart"/>
            <w:r>
              <w:t>entrati</w:t>
            </w:r>
            <w:proofErr w:type="spellEnd"/>
            <w:r>
              <w:t xml:space="preserve"> fil-memorandum fit-taqsima ġenerali </w:t>
            </w:r>
            <w:proofErr w:type="spellStart"/>
            <w:r>
              <w:t>tas</w:t>
            </w:r>
            <w:proofErr w:type="spellEnd"/>
            <w:r>
              <w:t>-CR SA.</w:t>
            </w:r>
          </w:p>
        </w:tc>
      </w:tr>
      <w:tr w:rsidR="00F23615" w:rsidRPr="002A677E" w14:paraId="1E1A9B55" w14:textId="77777777" w:rsidTr="00822842">
        <w:tc>
          <w:tcPr>
            <w:tcW w:w="1188" w:type="dxa"/>
            <w:shd w:val="clear" w:color="auto" w:fill="auto"/>
          </w:tcPr>
          <w:p w14:paraId="3BA20D3E" w14:textId="77777777" w:rsidR="00F23615" w:rsidRPr="002A677E" w:rsidRDefault="00F23615" w:rsidP="007F1637">
            <w:pPr>
              <w:pStyle w:val="InstructionsText"/>
            </w:pPr>
            <w:r>
              <w:t>0290</w:t>
            </w:r>
          </w:p>
          <w:p w14:paraId="52E2DD49" w14:textId="77777777" w:rsidR="00F23615" w:rsidRPr="002A677E" w:rsidRDefault="00F23615" w:rsidP="007F1637">
            <w:pPr>
              <w:pStyle w:val="InstructionsText"/>
            </w:pPr>
          </w:p>
        </w:tc>
        <w:tc>
          <w:tcPr>
            <w:tcW w:w="8701" w:type="dxa"/>
            <w:shd w:val="clear" w:color="auto" w:fill="auto"/>
          </w:tcPr>
          <w:p w14:paraId="64502A96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garantiti b’ipoteki fuq proprjetà immobbli kummerċjali</w:t>
            </w:r>
          </w:p>
          <w:p w14:paraId="727E9A00" w14:textId="7EFE2DF5" w:rsidR="00F23615" w:rsidRPr="002A677E" w:rsidRDefault="00F23615" w:rsidP="007F1637">
            <w:pPr>
              <w:pStyle w:val="InstructionsText"/>
            </w:pPr>
            <w:r>
              <w:t xml:space="preserve">L-Artikolu 112, il-punt (i), tar-Regolament (UE) 575/2013. Ara wkoll l-ispjegazzjonijiet fit-taqsima 3.2.4.4 </w:t>
            </w:r>
            <w:proofErr w:type="spellStart"/>
            <w:r>
              <w:t>tas</w:t>
            </w:r>
            <w:proofErr w:type="spellEnd"/>
            <w:r>
              <w:t>-CR SA.</w:t>
            </w:r>
          </w:p>
          <w:p w14:paraId="7DE6E636" w14:textId="6A75709B" w:rsidR="00F23615" w:rsidRPr="002A677E" w:rsidRDefault="00F23615" w:rsidP="007F1637">
            <w:pPr>
              <w:pStyle w:val="InstructionsText"/>
            </w:pPr>
            <w:r>
              <w:t xml:space="preserve">Din hija </w:t>
            </w:r>
            <w:proofErr w:type="spellStart"/>
            <w:r>
              <w:t>entrata</w:t>
            </w:r>
            <w:proofErr w:type="spellEnd"/>
            <w:r>
              <w:t xml:space="preserve"> ta’ memorandum biss. Indipendentement mill-kalkolu tal-ammonti ta’ </w:t>
            </w:r>
            <w:proofErr w:type="spellStart"/>
            <w:r>
              <w:t>skopertura</w:t>
            </w:r>
            <w:proofErr w:type="spellEnd"/>
            <w:r>
              <w:t xml:space="preserve"> għar-riskju ta’ </w:t>
            </w:r>
            <w:proofErr w:type="spellStart"/>
            <w:r>
              <w:t>skoperturi</w:t>
            </w:r>
            <w:proofErr w:type="spellEnd"/>
            <w:r>
              <w:t xml:space="preserve"> garantiti bi proprjetà immobbli kummerċjali kif imsemmi fl-Artikoli 124 u 126 tar-Regolament (UE) Nru 575/2013, l-</w:t>
            </w:r>
            <w:proofErr w:type="spellStart"/>
            <w:r>
              <w:t>iskoperturi</w:t>
            </w:r>
            <w:proofErr w:type="spellEnd"/>
            <w:r>
              <w:t xml:space="preserve"> għandhom ikunu </w:t>
            </w:r>
            <w:proofErr w:type="spellStart"/>
            <w:r>
              <w:t>diżaggregati</w:t>
            </w:r>
            <w:proofErr w:type="spellEnd"/>
            <w:r>
              <w:t xml:space="preserve"> u rapportati f’din ir-ringiela jekk l-</w:t>
            </w:r>
            <w:proofErr w:type="spellStart"/>
            <w:r>
              <w:t>iskoperturi</w:t>
            </w:r>
            <w:proofErr w:type="spellEnd"/>
            <w:r>
              <w:t xml:space="preserve"> jkunu garantiti bi proprjetà immobbli kummerċjali.</w:t>
            </w:r>
          </w:p>
        </w:tc>
      </w:tr>
      <w:tr w:rsidR="00F23615" w:rsidRPr="002A677E" w14:paraId="1FCAC4AB" w14:textId="77777777" w:rsidTr="00822842">
        <w:tc>
          <w:tcPr>
            <w:tcW w:w="1188" w:type="dxa"/>
            <w:shd w:val="clear" w:color="auto" w:fill="auto"/>
          </w:tcPr>
          <w:p w14:paraId="7DC5CD23" w14:textId="77777777" w:rsidR="00F23615" w:rsidRPr="002A677E" w:rsidRDefault="00F23615" w:rsidP="007F1637">
            <w:pPr>
              <w:pStyle w:val="InstructionsText"/>
            </w:pPr>
            <w:r>
              <w:t>0300</w:t>
            </w:r>
          </w:p>
        </w:tc>
        <w:tc>
          <w:tcPr>
            <w:tcW w:w="8701" w:type="dxa"/>
            <w:shd w:val="clear" w:color="auto" w:fill="auto"/>
          </w:tcPr>
          <w:p w14:paraId="285BBFF0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inadempjenza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100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</w:p>
          <w:p w14:paraId="62DF165A" w14:textId="77777777" w:rsidR="00F23615" w:rsidRPr="002A677E" w:rsidRDefault="00F23615" w:rsidP="007F1637">
            <w:pPr>
              <w:pStyle w:val="InstructionsText"/>
            </w:pPr>
            <w:r>
              <w:t>L-Artikolu 112, il-punt (j), tar-Regolament (UE) Nru 575/2013</w:t>
            </w:r>
          </w:p>
          <w:p w14:paraId="2369756E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inklużi fil-klassi tal-</w:t>
            </w:r>
            <w:proofErr w:type="spellStart"/>
            <w:r>
              <w:t>iskoperturi</w:t>
            </w:r>
            <w:proofErr w:type="spellEnd"/>
            <w:r>
              <w:t xml:space="preserve"> ‘</w:t>
            </w:r>
            <w:proofErr w:type="spellStart"/>
            <w:r>
              <w:t>skoperturi</w:t>
            </w:r>
            <w:proofErr w:type="spellEnd"/>
            <w:r>
              <w:t xml:space="preserve"> f’</w:t>
            </w:r>
            <w:proofErr w:type="spellStart"/>
            <w:r>
              <w:t>inadempjenza</w:t>
            </w:r>
            <w:proofErr w:type="spellEnd"/>
            <w:r>
              <w:t xml:space="preserve">’ li għandhom ikunu inklużi f’din il-klassi ta’ </w:t>
            </w:r>
            <w:proofErr w:type="spellStart"/>
            <w:r>
              <w:t>skoperturi</w:t>
            </w:r>
            <w:proofErr w:type="spellEnd"/>
            <w:r>
              <w:t xml:space="preserve"> kieku ma kinux f’</w:t>
            </w:r>
            <w:proofErr w:type="spellStart"/>
            <w:r>
              <w:t>inadempjenza</w:t>
            </w:r>
            <w:proofErr w:type="spellEnd"/>
            <w:r>
              <w:t>.</w:t>
            </w:r>
          </w:p>
        </w:tc>
      </w:tr>
      <w:tr w:rsidR="00F23615" w:rsidRPr="002A677E" w14:paraId="5D8E1D81" w14:textId="77777777" w:rsidTr="00822842">
        <w:tc>
          <w:tcPr>
            <w:tcW w:w="1188" w:type="dxa"/>
            <w:shd w:val="clear" w:color="auto" w:fill="auto"/>
          </w:tcPr>
          <w:p w14:paraId="40E7A771" w14:textId="77777777" w:rsidR="00F23615" w:rsidRPr="002A677E" w:rsidRDefault="00F23615" w:rsidP="007F1637">
            <w:pPr>
              <w:pStyle w:val="InstructionsText"/>
            </w:pPr>
            <w:r>
              <w:t>0310</w:t>
            </w:r>
          </w:p>
        </w:tc>
        <w:tc>
          <w:tcPr>
            <w:tcW w:w="8701" w:type="dxa"/>
            <w:shd w:val="clear" w:color="auto" w:fill="auto"/>
          </w:tcPr>
          <w:p w14:paraId="120F734B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garantiti b’ipoteki fuq proprjetà residenzjali </w:t>
            </w:r>
          </w:p>
          <w:p w14:paraId="75C6C488" w14:textId="01FAD7F0" w:rsidR="00F23615" w:rsidRPr="002A677E" w:rsidRDefault="00F23615" w:rsidP="007F1637">
            <w:pPr>
              <w:pStyle w:val="InstructionsText"/>
            </w:pPr>
            <w:r>
              <w:t xml:space="preserve">L-Artikolu 112, il-punt (i), tar-Regolament (UE) 575/2013. Ara wkoll l-ispjegazzjonijiet fit-taqsima 3.2.4.4 </w:t>
            </w:r>
            <w:proofErr w:type="spellStart"/>
            <w:r>
              <w:t>tas</w:t>
            </w:r>
            <w:proofErr w:type="spellEnd"/>
            <w:r>
              <w:t>-CR SA.</w:t>
            </w:r>
          </w:p>
          <w:p w14:paraId="656E8FC3" w14:textId="2AB9A727" w:rsidR="00F23615" w:rsidRPr="002A677E" w:rsidRDefault="00F23615" w:rsidP="007F1637">
            <w:pPr>
              <w:pStyle w:val="InstructionsText"/>
              <w:rPr>
                <w:b/>
              </w:rPr>
            </w:pPr>
            <w:r>
              <w:t xml:space="preserve">Din hija </w:t>
            </w:r>
            <w:proofErr w:type="spellStart"/>
            <w:r>
              <w:t>entrata</w:t>
            </w:r>
            <w:proofErr w:type="spellEnd"/>
            <w:r>
              <w:t xml:space="preserve"> ta’ memorandum biss. Indipendentement mill-kalkolu tal-ammonti ta’ </w:t>
            </w:r>
            <w:proofErr w:type="spellStart"/>
            <w:r>
              <w:t>skopertura</w:t>
            </w:r>
            <w:proofErr w:type="spellEnd"/>
            <w:r>
              <w:t xml:space="preserve"> ta’ riskju ta’ </w:t>
            </w:r>
            <w:proofErr w:type="spellStart"/>
            <w:r>
              <w:t>skoperturi</w:t>
            </w:r>
            <w:proofErr w:type="spellEnd"/>
            <w:r>
              <w:t xml:space="preserve"> garantiti b’ipoteki fuq proprjetà residenzjali f’</w:t>
            </w:r>
            <w:proofErr w:type="spellStart"/>
            <w:r>
              <w:t>konformità</w:t>
            </w:r>
            <w:proofErr w:type="spellEnd"/>
            <w:r>
              <w:t xml:space="preserve"> mal-Artikolu 124 u 125 tar-Regolament (UE) Nru 575/2013, l-</w:t>
            </w:r>
            <w:proofErr w:type="spellStart"/>
            <w:r>
              <w:t>iskoperturi</w:t>
            </w:r>
            <w:proofErr w:type="spellEnd"/>
            <w:r>
              <w:t xml:space="preserve"> għandhom ikunu </w:t>
            </w:r>
            <w:proofErr w:type="spellStart"/>
            <w:r>
              <w:t>diżaggregati</w:t>
            </w:r>
            <w:proofErr w:type="spellEnd"/>
            <w:r>
              <w:t xml:space="preserve"> u rapportati f’din ir-ringiela jekk l-</w:t>
            </w:r>
            <w:proofErr w:type="spellStart"/>
            <w:r>
              <w:t>iskoperturi</w:t>
            </w:r>
            <w:proofErr w:type="spellEnd"/>
            <w:r>
              <w:t xml:space="preserve"> jkunu garantiti bi proprjetà residenzjali.</w:t>
            </w:r>
          </w:p>
        </w:tc>
      </w:tr>
      <w:tr w:rsidR="00F23615" w:rsidRPr="002A677E" w14:paraId="3F4E1B57" w14:textId="77777777" w:rsidTr="00822842">
        <w:tc>
          <w:tcPr>
            <w:tcW w:w="1188" w:type="dxa"/>
            <w:shd w:val="clear" w:color="auto" w:fill="auto"/>
          </w:tcPr>
          <w:p w14:paraId="300ECCC2" w14:textId="77777777" w:rsidR="00F23615" w:rsidRPr="002A677E" w:rsidRDefault="00F23615" w:rsidP="007F1637">
            <w:pPr>
              <w:pStyle w:val="InstructionsText"/>
            </w:pPr>
            <w:r>
              <w:t>0320</w:t>
            </w:r>
          </w:p>
        </w:tc>
        <w:tc>
          <w:tcPr>
            <w:tcW w:w="8701" w:type="dxa"/>
            <w:shd w:val="clear" w:color="auto" w:fill="auto"/>
          </w:tcPr>
          <w:p w14:paraId="42D201B9" w14:textId="77777777" w:rsidR="00F23615" w:rsidRPr="002A677E" w:rsidRDefault="00F23615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inadempjenza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150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% </w:t>
            </w:r>
          </w:p>
          <w:p w14:paraId="0D98E87B" w14:textId="77777777" w:rsidR="00F23615" w:rsidRPr="002A677E" w:rsidRDefault="00F23615" w:rsidP="007F1637">
            <w:pPr>
              <w:pStyle w:val="InstructionsText"/>
            </w:pPr>
            <w:r>
              <w:t>L-Artikolu 112, il-punt (j), tar-Regolament (UE) Nru 575/2013</w:t>
            </w:r>
          </w:p>
          <w:p w14:paraId="3E1B7B18" w14:textId="77777777" w:rsidR="00F23615" w:rsidRPr="002A677E" w:rsidRDefault="00F23615" w:rsidP="007F1637">
            <w:pPr>
              <w:pStyle w:val="InstructionsText"/>
            </w:pPr>
            <w:proofErr w:type="spellStart"/>
            <w:r>
              <w:t>Skoperturi</w:t>
            </w:r>
            <w:proofErr w:type="spellEnd"/>
            <w:r>
              <w:t xml:space="preserve"> inklużi fil-klassi tal-</w:t>
            </w:r>
            <w:proofErr w:type="spellStart"/>
            <w:r>
              <w:t>iskoperturi</w:t>
            </w:r>
            <w:proofErr w:type="spellEnd"/>
            <w:r>
              <w:t xml:space="preserve"> ‘</w:t>
            </w:r>
            <w:proofErr w:type="spellStart"/>
            <w:r>
              <w:t>skoperturi</w:t>
            </w:r>
            <w:proofErr w:type="spellEnd"/>
            <w:r>
              <w:t xml:space="preserve"> f’</w:t>
            </w:r>
            <w:proofErr w:type="spellStart"/>
            <w:r>
              <w:t>inadempjenza</w:t>
            </w:r>
            <w:proofErr w:type="spellEnd"/>
            <w:r>
              <w:t xml:space="preserve">’ li għandhom ikunu inklużi f’din il-klassi ta’ </w:t>
            </w:r>
            <w:proofErr w:type="spellStart"/>
            <w:r>
              <w:t>skoperturi</w:t>
            </w:r>
            <w:proofErr w:type="spellEnd"/>
            <w:r>
              <w:t xml:space="preserve"> kieku ma kinux f’</w:t>
            </w:r>
            <w:proofErr w:type="spellStart"/>
            <w:r>
              <w:t>inadempjenza</w:t>
            </w:r>
            <w:proofErr w:type="spellEnd"/>
            <w:r>
              <w:t>.</w:t>
            </w:r>
          </w:p>
        </w:tc>
      </w:tr>
      <w:tr w:rsidR="00330019" w:rsidRPr="002A677E" w14:paraId="39F36C86" w14:textId="77777777" w:rsidTr="00822842">
        <w:tc>
          <w:tcPr>
            <w:tcW w:w="1188" w:type="dxa"/>
            <w:shd w:val="clear" w:color="auto" w:fill="auto"/>
          </w:tcPr>
          <w:p w14:paraId="0C1FCDF3" w14:textId="69C25088" w:rsidR="00330019" w:rsidRPr="002A677E" w:rsidRDefault="00330019" w:rsidP="007F1637">
            <w:pPr>
              <w:pStyle w:val="InstructionsText"/>
            </w:pPr>
            <w:r>
              <w:t>0330</w:t>
            </w:r>
          </w:p>
        </w:tc>
        <w:tc>
          <w:tcPr>
            <w:tcW w:w="8701" w:type="dxa"/>
            <w:shd w:val="clear" w:color="auto" w:fill="auto"/>
          </w:tcPr>
          <w:p w14:paraId="3A33A0EB" w14:textId="77777777" w:rsidR="00330019" w:rsidRDefault="00330019" w:rsidP="007F163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Akkwist, żvilupp u kostruzzjoni (ADC,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Acquisition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development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construction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FEF311D" w14:textId="77777777" w:rsidR="000E5805" w:rsidRPr="00EE1F34" w:rsidRDefault="000E5805" w:rsidP="000E5805">
            <w:pPr>
              <w:pStyle w:val="InstructionsText"/>
            </w:pPr>
            <w:r>
              <w:t xml:space="preserve">L-Artikolu 112, il-punt (i), tar-Regolament (UE) 575/2013. Ara wkoll l-ispjegazzjonijiet fit-taqsima 3.2.4.4 </w:t>
            </w:r>
            <w:proofErr w:type="spellStart"/>
            <w:r>
              <w:t>tas</w:t>
            </w:r>
            <w:proofErr w:type="spellEnd"/>
            <w:r>
              <w:t>-CR SA.</w:t>
            </w:r>
          </w:p>
          <w:p w14:paraId="3B2C9F98" w14:textId="63FB39B8" w:rsidR="007F1637" w:rsidRPr="000E5805" w:rsidRDefault="000E5805" w:rsidP="000E580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lastRenderedPageBreak/>
              <w:t xml:space="preserve">Din hija </w:t>
            </w:r>
            <w:proofErr w:type="spellStart"/>
            <w:r>
              <w:t>entrata</w:t>
            </w:r>
            <w:proofErr w:type="spellEnd"/>
            <w:r>
              <w:t xml:space="preserve"> ta’ memorandum biss. Indipendentement mill-kalkolu tal-ammonti ta’ </w:t>
            </w:r>
            <w:proofErr w:type="spellStart"/>
            <w:r>
              <w:t>skoperturi</w:t>
            </w:r>
            <w:proofErr w:type="spellEnd"/>
            <w:r>
              <w:t xml:space="preserve"> ta’ riskju ta’ </w:t>
            </w:r>
            <w:proofErr w:type="spellStart"/>
            <w:r>
              <w:t>skoperturi</w:t>
            </w:r>
            <w:proofErr w:type="spellEnd"/>
            <w:r>
              <w:t xml:space="preserve"> ADC f’</w:t>
            </w:r>
            <w:proofErr w:type="spellStart"/>
            <w:r>
              <w:t>konformità</w:t>
            </w:r>
            <w:proofErr w:type="spellEnd"/>
            <w:r>
              <w:t xml:space="preserve"> mal-Artikolu 126a tar-Regolament (UE) Nru 575/2013, l-</w:t>
            </w:r>
            <w:proofErr w:type="spellStart"/>
            <w:r>
              <w:t>iskoperturi</w:t>
            </w:r>
            <w:proofErr w:type="spellEnd"/>
            <w:r>
              <w:t xml:space="preserve"> għandhom ikunu </w:t>
            </w:r>
            <w:proofErr w:type="spellStart"/>
            <w:r>
              <w:t>diżaggregati</w:t>
            </w:r>
            <w:proofErr w:type="spellEnd"/>
            <w:r>
              <w:t xml:space="preserve"> u rapportati f’din ir-ringiela jekk l-</w:t>
            </w:r>
            <w:proofErr w:type="spellStart"/>
            <w:r>
              <w:t>iskoperturi</w:t>
            </w:r>
            <w:proofErr w:type="spellEnd"/>
            <w:r>
              <w:t xml:space="preserve"> jkunu </w:t>
            </w:r>
            <w:proofErr w:type="spellStart"/>
            <w:r>
              <w:t>skoperturi</w:t>
            </w:r>
            <w:proofErr w:type="spellEnd"/>
            <w:r>
              <w:t xml:space="preserve"> ADC.</w:t>
            </w:r>
          </w:p>
        </w:tc>
      </w:tr>
    </w:tbl>
    <w:p w14:paraId="3FE60E23" w14:textId="77777777" w:rsidR="00F23615" w:rsidRPr="002A677E" w:rsidRDefault="00F23615" w:rsidP="00F23615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18AD7594" w14:textId="77777777" w:rsidR="00F23615" w:rsidRDefault="00F23615"/>
    <w:p w14:paraId="61E171DA" w14:textId="77777777" w:rsidR="00F23615" w:rsidRDefault="00F23615"/>
    <w:sectPr w:rsidR="00F23615">
      <w:headerReference w:type="even" r:id="rId12"/>
      <w:head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F0937" w14:textId="77777777" w:rsidR="005A7C8D" w:rsidRDefault="005A7C8D" w:rsidP="00E26A90">
      <w:pPr>
        <w:spacing w:after="0"/>
      </w:pPr>
      <w:r>
        <w:separator/>
      </w:r>
    </w:p>
  </w:endnote>
  <w:endnote w:type="continuationSeparator" w:id="0">
    <w:p w14:paraId="26948846" w14:textId="77777777" w:rsidR="005A7C8D" w:rsidRDefault="005A7C8D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33FA" w14:textId="77777777" w:rsidR="005A7C8D" w:rsidRDefault="005A7C8D" w:rsidP="00E26A90">
      <w:pPr>
        <w:spacing w:after="0"/>
      </w:pPr>
      <w:r>
        <w:separator/>
      </w:r>
    </w:p>
  </w:footnote>
  <w:footnote w:type="continuationSeparator" w:id="0">
    <w:p w14:paraId="6E5BAB0B" w14:textId="77777777" w:rsidR="005A7C8D" w:rsidRDefault="005A7C8D" w:rsidP="00E26A90">
      <w:pPr>
        <w:spacing w:after="0"/>
      </w:pPr>
      <w:r>
        <w:continuationSeparator/>
      </w:r>
    </w:p>
  </w:footnote>
  <w:footnote w:id="1">
    <w:p w14:paraId="5F939353" w14:textId="77777777" w:rsidR="00F23615" w:rsidRPr="005B592F" w:rsidRDefault="00F23615" w:rsidP="00F23615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t>Is-Seba’ Direttiva tal-Kunsill 83/349/KEE tat-13 ta’ Ġunju 1983 ibbażata fuq l-Artikolu 54(3)(g) tat-Trattat dwar il-kontijiet konsolidati (ĠU L 193, 18.7.1983, p. 1).</w:t>
      </w:r>
    </w:p>
  </w:footnote>
  <w:footnote w:id="2">
    <w:p w14:paraId="3B87BE41" w14:textId="77777777" w:rsidR="00F23615" w:rsidRPr="005B592F" w:rsidRDefault="00F23615" w:rsidP="00F23615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ab/>
      </w:r>
      <w:r>
        <w:t>Direttiva 2009/65/KE tal-Parlament Ewropew u tal-Kunsill tat-13 ta’ Lulju 2009 dwar il-koordinazzjoni ta’ liġijiet, regolamenti u dispożizzjonijiet amministrattivi fir-rigward tal-impriżi ta’ investiment kollettiv f’titoli trasferibbli (UCITS) (ĠU L 302, 17.11.2009, p. 32).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1408DD58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AB16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6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7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21"/>
  </w:num>
  <w:num w:numId="3" w16cid:durableId="286200695">
    <w:abstractNumId w:val="29"/>
  </w:num>
  <w:num w:numId="4" w16cid:durableId="487287975">
    <w:abstractNumId w:val="16"/>
  </w:num>
  <w:num w:numId="5" w16cid:durableId="1754350949">
    <w:abstractNumId w:val="24"/>
  </w:num>
  <w:num w:numId="6" w16cid:durableId="1507597667">
    <w:abstractNumId w:val="13"/>
  </w:num>
  <w:num w:numId="7" w16cid:durableId="139271283">
    <w:abstractNumId w:val="28"/>
  </w:num>
  <w:num w:numId="8" w16cid:durableId="763764270">
    <w:abstractNumId w:val="6"/>
  </w:num>
  <w:num w:numId="9" w16cid:durableId="1561986968">
    <w:abstractNumId w:val="22"/>
  </w:num>
  <w:num w:numId="10" w16cid:durableId="1349260748">
    <w:abstractNumId w:val="11"/>
  </w:num>
  <w:num w:numId="11" w16cid:durableId="1097991330">
    <w:abstractNumId w:val="18"/>
  </w:num>
  <w:num w:numId="12" w16cid:durableId="858469680">
    <w:abstractNumId w:val="7"/>
  </w:num>
  <w:num w:numId="13" w16cid:durableId="1485394352">
    <w:abstractNumId w:val="23"/>
  </w:num>
  <w:num w:numId="14" w16cid:durableId="881021889">
    <w:abstractNumId w:val="20"/>
  </w:num>
  <w:num w:numId="15" w16cid:durableId="1923681300">
    <w:abstractNumId w:val="10"/>
  </w:num>
  <w:num w:numId="16" w16cid:durableId="211188018">
    <w:abstractNumId w:val="17"/>
  </w:num>
  <w:num w:numId="17" w16cid:durableId="373817584">
    <w:abstractNumId w:val="9"/>
  </w:num>
  <w:num w:numId="18" w16cid:durableId="1615165847">
    <w:abstractNumId w:val="25"/>
  </w:num>
  <w:num w:numId="19" w16cid:durableId="429467310">
    <w:abstractNumId w:val="5"/>
  </w:num>
  <w:num w:numId="20" w16cid:durableId="1079792157">
    <w:abstractNumId w:val="14"/>
  </w:num>
  <w:num w:numId="21" w16cid:durableId="1333265662">
    <w:abstractNumId w:val="2"/>
  </w:num>
  <w:num w:numId="22" w16cid:durableId="737484550">
    <w:abstractNumId w:val="12"/>
  </w:num>
  <w:num w:numId="23" w16cid:durableId="309210531">
    <w:abstractNumId w:val="27"/>
  </w:num>
  <w:num w:numId="24" w16cid:durableId="166527561">
    <w:abstractNumId w:val="1"/>
  </w:num>
  <w:num w:numId="25" w16cid:durableId="1544101633">
    <w:abstractNumId w:val="26"/>
  </w:num>
  <w:num w:numId="26" w16cid:durableId="44380249">
    <w:abstractNumId w:val="19"/>
  </w:num>
  <w:num w:numId="27" w16cid:durableId="1838038624">
    <w:abstractNumId w:val="0"/>
  </w:num>
  <w:num w:numId="28" w16cid:durableId="1856265522">
    <w:abstractNumId w:val="8"/>
  </w:num>
  <w:num w:numId="29" w16cid:durableId="1626156895">
    <w:abstractNumId w:val="4"/>
  </w:num>
  <w:num w:numId="30" w16cid:durableId="954292358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23A3"/>
    <w:rsid w:val="00033BC3"/>
    <w:rsid w:val="000349B4"/>
    <w:rsid w:val="0003531A"/>
    <w:rsid w:val="000355DE"/>
    <w:rsid w:val="000741D0"/>
    <w:rsid w:val="000E5805"/>
    <w:rsid w:val="000F0534"/>
    <w:rsid w:val="00110959"/>
    <w:rsid w:val="001149A8"/>
    <w:rsid w:val="00146D07"/>
    <w:rsid w:val="00167A85"/>
    <w:rsid w:val="001C1942"/>
    <w:rsid w:val="001E7166"/>
    <w:rsid w:val="001F384F"/>
    <w:rsid w:val="001F67EF"/>
    <w:rsid w:val="002113D8"/>
    <w:rsid w:val="00250AFD"/>
    <w:rsid w:val="002B0673"/>
    <w:rsid w:val="00323F56"/>
    <w:rsid w:val="00330019"/>
    <w:rsid w:val="00330984"/>
    <w:rsid w:val="00330C7C"/>
    <w:rsid w:val="00382943"/>
    <w:rsid w:val="0040488F"/>
    <w:rsid w:val="004557AE"/>
    <w:rsid w:val="00482CA6"/>
    <w:rsid w:val="004A509E"/>
    <w:rsid w:val="00500245"/>
    <w:rsid w:val="00527DC8"/>
    <w:rsid w:val="005318F0"/>
    <w:rsid w:val="00550CB5"/>
    <w:rsid w:val="0059380B"/>
    <w:rsid w:val="005A7C8D"/>
    <w:rsid w:val="006051C4"/>
    <w:rsid w:val="00606738"/>
    <w:rsid w:val="00631623"/>
    <w:rsid w:val="00737546"/>
    <w:rsid w:val="0075089B"/>
    <w:rsid w:val="0075629F"/>
    <w:rsid w:val="007563E3"/>
    <w:rsid w:val="007B3DCC"/>
    <w:rsid w:val="007C591A"/>
    <w:rsid w:val="007E0C01"/>
    <w:rsid w:val="007F1637"/>
    <w:rsid w:val="00842B5C"/>
    <w:rsid w:val="0085281D"/>
    <w:rsid w:val="008729F3"/>
    <w:rsid w:val="008815F9"/>
    <w:rsid w:val="008C21BB"/>
    <w:rsid w:val="008D1D18"/>
    <w:rsid w:val="00907962"/>
    <w:rsid w:val="00921332"/>
    <w:rsid w:val="009213DF"/>
    <w:rsid w:val="00963347"/>
    <w:rsid w:val="009C7EE9"/>
    <w:rsid w:val="009F76BD"/>
    <w:rsid w:val="00A50D0F"/>
    <w:rsid w:val="00A6002C"/>
    <w:rsid w:val="00A87F60"/>
    <w:rsid w:val="00AA0189"/>
    <w:rsid w:val="00AB2952"/>
    <w:rsid w:val="00AD581F"/>
    <w:rsid w:val="00B0527F"/>
    <w:rsid w:val="00B244CF"/>
    <w:rsid w:val="00B3753C"/>
    <w:rsid w:val="00B63205"/>
    <w:rsid w:val="00B71F25"/>
    <w:rsid w:val="00B95898"/>
    <w:rsid w:val="00BF1F06"/>
    <w:rsid w:val="00BF5C7E"/>
    <w:rsid w:val="00C00EFD"/>
    <w:rsid w:val="00C10CEF"/>
    <w:rsid w:val="00C37641"/>
    <w:rsid w:val="00C44481"/>
    <w:rsid w:val="00C5407F"/>
    <w:rsid w:val="00C80BBC"/>
    <w:rsid w:val="00C94687"/>
    <w:rsid w:val="00CB22F5"/>
    <w:rsid w:val="00D01970"/>
    <w:rsid w:val="00E26A90"/>
    <w:rsid w:val="00E91AF6"/>
    <w:rsid w:val="00E91E08"/>
    <w:rsid w:val="00E9314D"/>
    <w:rsid w:val="00EA751D"/>
    <w:rsid w:val="00EE26D0"/>
    <w:rsid w:val="00EF07A1"/>
    <w:rsid w:val="00EF5266"/>
    <w:rsid w:val="00F23615"/>
    <w:rsid w:val="00F306D2"/>
    <w:rsid w:val="00F4666A"/>
    <w:rsid w:val="00F64188"/>
    <w:rsid w:val="00F913B8"/>
    <w:rsid w:val="00FA65FC"/>
    <w:rsid w:val="00FB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615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F2361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2361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F2361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23615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F2361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F2361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F2361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F2361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F2361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F23615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F23615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F2361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F23615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F23615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F23615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F23615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F23615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F23615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F2361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F2361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F2361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F2361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F2361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F23615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F23615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F2361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F2361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23615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F2361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F2361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F2361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F2361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F23615"/>
    <w:pPr>
      <w:spacing w:line="312" w:lineRule="auto"/>
      <w:ind w:left="1701" w:hanging="567"/>
    </w:pPr>
  </w:style>
  <w:style w:type="character" w:styleId="Hyperlink">
    <w:name w:val="Hyperlink"/>
    <w:uiPriority w:val="99"/>
    <w:rsid w:val="00F23615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F2361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F2361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F2361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F2361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F23615"/>
    <w:pPr>
      <w:numPr>
        <w:numId w:val="12"/>
      </w:numPr>
    </w:pPr>
  </w:style>
  <w:style w:type="character" w:styleId="PageNumber">
    <w:name w:val="page number"/>
    <w:uiPriority w:val="99"/>
    <w:rsid w:val="00F2361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F23615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F2361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F2361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2361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F2361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2361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2361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F2361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F2361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F2361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F2361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F23615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F2361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F2361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F23615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F2361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F23615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F236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23615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3615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F23615"/>
    <w:rPr>
      <w:b/>
      <w:bCs/>
    </w:rPr>
  </w:style>
  <w:style w:type="character" w:styleId="FollowedHyperlink">
    <w:name w:val="FollowedHyperlink"/>
    <w:uiPriority w:val="99"/>
    <w:rsid w:val="00F23615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F23615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23615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23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23615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F236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23615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F23615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F23615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F23615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F23615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F23615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23615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7F1637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F23615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F23615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F23615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F23615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23615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F23615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F23615"/>
    <w:pPr>
      <w:ind w:left="720"/>
    </w:pPr>
  </w:style>
  <w:style w:type="paragraph" w:customStyle="1" w:styleId="Prrafodelista2">
    <w:name w:val="Párrafo de lista2"/>
    <w:basedOn w:val="Normal"/>
    <w:uiPriority w:val="99"/>
    <w:rsid w:val="00F23615"/>
    <w:pPr>
      <w:ind w:left="708"/>
    </w:pPr>
  </w:style>
  <w:style w:type="paragraph" w:styleId="PlainText">
    <w:name w:val="Plain Text"/>
    <w:basedOn w:val="Normal"/>
    <w:link w:val="PlainTextChar"/>
    <w:uiPriority w:val="99"/>
    <w:rsid w:val="00F23615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23615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F23615"/>
    <w:pPr>
      <w:ind w:left="708"/>
    </w:pPr>
  </w:style>
  <w:style w:type="character" w:customStyle="1" w:styleId="InstructionsTextChar">
    <w:name w:val="Instructions Text Char"/>
    <w:link w:val="InstructionsText"/>
    <w:locked/>
    <w:rsid w:val="007F1637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F23615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F23615"/>
    <w:pPr>
      <w:ind w:left="708"/>
    </w:pPr>
  </w:style>
  <w:style w:type="character" w:styleId="PlaceholderText">
    <w:name w:val="Placeholder Text"/>
    <w:uiPriority w:val="99"/>
    <w:semiHidden/>
    <w:rsid w:val="00F23615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F23615"/>
    <w:pPr>
      <w:spacing w:after="240"/>
    </w:pPr>
  </w:style>
  <w:style w:type="character" w:customStyle="1" w:styleId="Instructionsberschrift3Char">
    <w:name w:val="Instructions Überschrift 3 Char"/>
    <w:locked/>
    <w:rsid w:val="00F23615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23615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F23615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3615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F23615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23615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F23615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F23615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F23615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F23615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F23615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F23615"/>
    <w:pPr>
      <w:numPr>
        <w:numId w:val="6"/>
      </w:numPr>
    </w:pPr>
  </w:style>
  <w:style w:type="numbering" w:customStyle="1" w:styleId="Formatvorlage3">
    <w:name w:val="Formatvorlage3"/>
    <w:uiPriority w:val="99"/>
    <w:rsid w:val="00F23615"/>
    <w:pPr>
      <w:numPr>
        <w:numId w:val="16"/>
      </w:numPr>
    </w:pPr>
  </w:style>
  <w:style w:type="numbering" w:customStyle="1" w:styleId="Formatvorlage1">
    <w:name w:val="Formatvorlage1"/>
    <w:uiPriority w:val="99"/>
    <w:rsid w:val="00F23615"/>
    <w:pPr>
      <w:numPr>
        <w:numId w:val="5"/>
      </w:numPr>
    </w:pPr>
  </w:style>
  <w:style w:type="numbering" w:customStyle="1" w:styleId="Formatvorlage4">
    <w:name w:val="Formatvorlage4"/>
    <w:uiPriority w:val="99"/>
    <w:rsid w:val="00F23615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F23615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F23615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F23615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F2361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F23615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F23615"/>
    <w:pPr>
      <w:ind w:left="708"/>
    </w:pPr>
  </w:style>
  <w:style w:type="character" w:customStyle="1" w:styleId="Platzhaltertext1">
    <w:name w:val="Platzhaltertext1"/>
    <w:uiPriority w:val="99"/>
    <w:semiHidden/>
    <w:rsid w:val="00F23615"/>
    <w:rPr>
      <w:color w:val="808080"/>
    </w:rPr>
  </w:style>
  <w:style w:type="paragraph" w:customStyle="1" w:styleId="Default">
    <w:name w:val="Default"/>
    <w:rsid w:val="00F23615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F23615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23615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F23615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F23615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F23615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F23615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F23615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F23615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F23615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F23615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F23615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F23615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F23615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F23615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F23615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23615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F23615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F23615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F23615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F23615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F23615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F23615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F23615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F23615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23615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F23615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23615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23615"/>
  </w:style>
  <w:style w:type="paragraph" w:customStyle="1" w:styleId="Numberedtitlelevel4">
    <w:name w:val="Numbered title level 4"/>
    <w:basedOn w:val="Titlelevel4"/>
    <w:qFormat/>
    <w:rsid w:val="00F23615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F23615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23615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F23615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F23615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F23615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23615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23615"/>
    <w:rPr>
      <w:bCs/>
      <w:lang w:eastAsia="en-GB"/>
    </w:rPr>
  </w:style>
  <w:style w:type="paragraph" w:styleId="ListBullet">
    <w:name w:val="List Bullet"/>
    <w:basedOn w:val="Normal"/>
    <w:semiHidden/>
    <w:qFormat/>
    <w:rsid w:val="00F23615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F23615"/>
    <w:pPr>
      <w:numPr>
        <w:numId w:val="26"/>
      </w:numPr>
    </w:pPr>
  </w:style>
  <w:style w:type="character" w:customStyle="1" w:styleId="Marker">
    <w:name w:val="Marker"/>
    <w:rsid w:val="00F23615"/>
    <w:rPr>
      <w:color w:val="0000FF"/>
      <w:shd w:val="clear" w:color="auto" w:fill="auto"/>
    </w:rPr>
  </w:style>
  <w:style w:type="character" w:customStyle="1" w:styleId="Marker2">
    <w:name w:val="Marker2"/>
    <w:rsid w:val="00F23615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23615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F23615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F23615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F23615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23615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23615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F23615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23615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23615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F23615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F23615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F23615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23615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F23615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F23615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F23615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23615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361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23615"/>
    <w:rPr>
      <w:color w:val="2B579A"/>
      <w:shd w:val="clear" w:color="auto" w:fill="E1DFDD"/>
    </w:rPr>
  </w:style>
  <w:style w:type="paragraph" w:customStyle="1" w:styleId="pf0">
    <w:name w:val="pf0"/>
    <w:basedOn w:val="Normal"/>
    <w:rsid w:val="00F23615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F23615"/>
  </w:style>
  <w:style w:type="character" w:customStyle="1" w:styleId="cf01">
    <w:name w:val="cf01"/>
    <w:basedOn w:val="DefaultParagraphFont"/>
    <w:rsid w:val="00F2361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F2361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F23615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F23615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F23615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3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1FF2E-95A8-41C0-9B08-E0294FEEA37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AA184AB3-26BA-4A99-BA33-8D4BCE7DD435}"/>
</file>

<file path=customXml/itemProps3.xml><?xml version="1.0" encoding="utf-8"?>
<ds:datastoreItem xmlns:ds="http://schemas.openxmlformats.org/officeDocument/2006/customXml" ds:itemID="{5A1ABAF2-5A48-48D7-B568-84F05BF1A4B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6252</Words>
  <Characters>46453</Characters>
  <Application>Microsoft Office Word</Application>
  <DocSecurity>0</DocSecurity>
  <Lines>1032</Lines>
  <Paragraphs>497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2024-06-19T18:01:00Z</dcterms:created>
  <dcterms:modified xsi:type="dcterms:W3CDTF">2025-01-06T13:47:00Z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2025-01-06T13:47:39Z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871782a2-9cab-4fca-b330-1177742d84ea</vt:lpwstr>
  </property>
  <property fmtid="{D5CDD505-2E9C-101B-9397-08002B2CF9AE}" pid="10" name="MSIP_Label_6bd9ddd1-4d20-43f6-abfa-fc3c07406f94_ContentBits">
    <vt:lpwstr>0</vt:lpwstr>
  </property>
</Properties>
</file>