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SL</w:t>
      </w:r>
    </w:p>
    <w:p w14:paraId="24333E7A" w14:textId="068FF302" w:rsidR="008D696E" w:rsidRDefault="008D696E" w:rsidP="00A33695">
      <w:pPr>
        <w:jc w:val="center"/>
        <w:rPr>
          <w:rFonts w:ascii="Times New Roman" w:hAnsi="Times New Roman"/>
          <w:sz w:val="24"/>
        </w:rPr>
      </w:pPr>
      <w:r>
        <w:rPr>
          <w:rFonts w:ascii="Times New Roman" w:hAnsi="Times New Roman"/>
          <w:sz w:val="24"/>
        </w:rPr>
        <w:t>PRILOGA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„PRILOGA XI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NAVODILA ZA POROČANJE O ZAHTEVI ZA FAKTOR K RtM NA PODLAGI K-NPR</w:t>
      </w:r>
    </w:p>
    <w:p w14:paraId="3DEB94EC" w14:textId="77777777" w:rsidR="00783881" w:rsidRPr="00696301" w:rsidRDefault="002648B0" w:rsidP="00487A02">
      <w:pPr>
        <w:pStyle w:val="InstructionsText"/>
      </w:pPr>
      <w:r>
        <w:t>Kazalo</w:t>
      </w:r>
    </w:p>
    <w:p w14:paraId="734965D4" w14:textId="778F3DAF" w:rsidR="00D470B7" w:rsidRDefault="00745369">
      <w:pPr>
        <w:pStyle w:val="TOC2"/>
        <w:rPr>
          <w:rFonts w:asciiTheme="minorHAnsi" w:eastAsiaTheme="minorEastAsia" w:hAnsiTheme="minorHAnsi" w:cstheme="minorBidi"/>
          <w:b w:val="0"/>
          <w:smallCaps w:val="0"/>
          <w:kern w:val="2"/>
          <w:sz w:val="24"/>
          <w:szCs w:val="24"/>
          <w:lang w:val="de-DE" w:eastAsia="de-D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747748" w:history="1">
        <w:r w:rsidR="00D470B7" w:rsidRPr="003D3A07">
          <w:rPr>
            <w:rStyle w:val="Hyperlink"/>
            <w:rFonts w:ascii="Times New Roman" w:hAnsi="Times New Roman"/>
          </w:rPr>
          <w:t>DEL I: SPLOŠNA NAVODILA</w:t>
        </w:r>
        <w:r w:rsidR="00D470B7">
          <w:rPr>
            <w:webHidden/>
          </w:rPr>
          <w:tab/>
        </w:r>
        <w:r w:rsidR="00D470B7">
          <w:rPr>
            <w:webHidden/>
          </w:rPr>
          <w:fldChar w:fldCharType="begin"/>
        </w:r>
        <w:r w:rsidR="00D470B7">
          <w:rPr>
            <w:webHidden/>
          </w:rPr>
          <w:instrText xml:space="preserve"> PAGEREF _Toc210747748 \h </w:instrText>
        </w:r>
        <w:r w:rsidR="00D470B7">
          <w:rPr>
            <w:webHidden/>
          </w:rPr>
        </w:r>
        <w:r w:rsidR="00D470B7">
          <w:rPr>
            <w:webHidden/>
          </w:rPr>
          <w:fldChar w:fldCharType="separate"/>
        </w:r>
        <w:r w:rsidR="00D470B7">
          <w:rPr>
            <w:webHidden/>
          </w:rPr>
          <w:t>2</w:t>
        </w:r>
        <w:r w:rsidR="00D470B7">
          <w:rPr>
            <w:webHidden/>
          </w:rPr>
          <w:fldChar w:fldCharType="end"/>
        </w:r>
      </w:hyperlink>
    </w:p>
    <w:p w14:paraId="61D471DF" w14:textId="1CE7924B"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49" w:history="1">
        <w:r w:rsidRPr="003D3A07">
          <w:rPr>
            <w:rStyle w:val="Hyperlink"/>
            <w:rFonts w:ascii="Times New Roman" w:hAnsi="Times New Roman"/>
          </w:rPr>
          <w:t>1.</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DOGOVORI</w:t>
        </w:r>
        <w:r>
          <w:rPr>
            <w:webHidden/>
          </w:rPr>
          <w:tab/>
        </w:r>
        <w:r>
          <w:rPr>
            <w:webHidden/>
          </w:rPr>
          <w:fldChar w:fldCharType="begin"/>
        </w:r>
        <w:r>
          <w:rPr>
            <w:webHidden/>
          </w:rPr>
          <w:instrText xml:space="preserve"> PAGEREF _Toc210747749 \h </w:instrText>
        </w:r>
        <w:r>
          <w:rPr>
            <w:webHidden/>
          </w:rPr>
        </w:r>
        <w:r>
          <w:rPr>
            <w:webHidden/>
          </w:rPr>
          <w:fldChar w:fldCharType="separate"/>
        </w:r>
        <w:r>
          <w:rPr>
            <w:webHidden/>
          </w:rPr>
          <w:t>2</w:t>
        </w:r>
        <w:r>
          <w:rPr>
            <w:webHidden/>
          </w:rPr>
          <w:fldChar w:fldCharType="end"/>
        </w:r>
      </w:hyperlink>
    </w:p>
    <w:p w14:paraId="2E215B98" w14:textId="7CEB9DAA"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50" w:history="1">
        <w:r w:rsidRPr="003D3A07">
          <w:rPr>
            <w:rStyle w:val="Hyperlink"/>
            <w:rFonts w:ascii="Times New Roman" w:hAnsi="Times New Roman"/>
          </w:rPr>
          <w:t>1.1</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Dogovor glede oštevilčenja</w:t>
        </w:r>
        <w:r>
          <w:rPr>
            <w:webHidden/>
          </w:rPr>
          <w:tab/>
        </w:r>
        <w:r>
          <w:rPr>
            <w:webHidden/>
          </w:rPr>
          <w:fldChar w:fldCharType="begin"/>
        </w:r>
        <w:r>
          <w:rPr>
            <w:webHidden/>
          </w:rPr>
          <w:instrText xml:space="preserve"> PAGEREF _Toc210747750 \h </w:instrText>
        </w:r>
        <w:r>
          <w:rPr>
            <w:webHidden/>
          </w:rPr>
        </w:r>
        <w:r>
          <w:rPr>
            <w:webHidden/>
          </w:rPr>
          <w:fldChar w:fldCharType="separate"/>
        </w:r>
        <w:r>
          <w:rPr>
            <w:webHidden/>
          </w:rPr>
          <w:t>2</w:t>
        </w:r>
        <w:r>
          <w:rPr>
            <w:webHidden/>
          </w:rPr>
          <w:fldChar w:fldCharType="end"/>
        </w:r>
      </w:hyperlink>
    </w:p>
    <w:p w14:paraId="50C3990E" w14:textId="48693370"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51" w:history="1">
        <w:r w:rsidRPr="003D3A07">
          <w:rPr>
            <w:rStyle w:val="Hyperlink"/>
            <w:rFonts w:ascii="Times New Roman" w:hAnsi="Times New Roman"/>
          </w:rPr>
          <w:t>1.2</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Dogovor glede predznaka</w:t>
        </w:r>
        <w:r>
          <w:rPr>
            <w:webHidden/>
          </w:rPr>
          <w:tab/>
        </w:r>
        <w:r>
          <w:rPr>
            <w:webHidden/>
          </w:rPr>
          <w:fldChar w:fldCharType="begin"/>
        </w:r>
        <w:r>
          <w:rPr>
            <w:webHidden/>
          </w:rPr>
          <w:instrText xml:space="preserve"> PAGEREF _Toc210747751 \h </w:instrText>
        </w:r>
        <w:r>
          <w:rPr>
            <w:webHidden/>
          </w:rPr>
        </w:r>
        <w:r>
          <w:rPr>
            <w:webHidden/>
          </w:rPr>
          <w:fldChar w:fldCharType="separate"/>
        </w:r>
        <w:r>
          <w:rPr>
            <w:webHidden/>
          </w:rPr>
          <w:t>2</w:t>
        </w:r>
        <w:r>
          <w:rPr>
            <w:webHidden/>
          </w:rPr>
          <w:fldChar w:fldCharType="end"/>
        </w:r>
      </w:hyperlink>
    </w:p>
    <w:p w14:paraId="7AD388D2" w14:textId="256E51BA"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52" w:history="1">
        <w:r w:rsidRPr="003D3A07">
          <w:rPr>
            <w:rStyle w:val="Hyperlink"/>
            <w:rFonts w:ascii="Times New Roman" w:hAnsi="Times New Roman"/>
          </w:rPr>
          <w:t>1.3</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Sklici na Uredbo (EU) št. 575/2013</w:t>
        </w:r>
        <w:r>
          <w:rPr>
            <w:webHidden/>
          </w:rPr>
          <w:tab/>
        </w:r>
        <w:r>
          <w:rPr>
            <w:webHidden/>
          </w:rPr>
          <w:fldChar w:fldCharType="begin"/>
        </w:r>
        <w:r>
          <w:rPr>
            <w:webHidden/>
          </w:rPr>
          <w:instrText xml:space="preserve"> PAGEREF _Toc210747752 \h </w:instrText>
        </w:r>
        <w:r>
          <w:rPr>
            <w:webHidden/>
          </w:rPr>
        </w:r>
        <w:r>
          <w:rPr>
            <w:webHidden/>
          </w:rPr>
          <w:fldChar w:fldCharType="separate"/>
        </w:r>
        <w:r>
          <w:rPr>
            <w:webHidden/>
          </w:rPr>
          <w:t>2</w:t>
        </w:r>
        <w:r>
          <w:rPr>
            <w:webHidden/>
          </w:rPr>
          <w:fldChar w:fldCharType="end"/>
        </w:r>
      </w:hyperlink>
    </w:p>
    <w:p w14:paraId="2034DF38" w14:textId="1C435F91"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53" w:history="1">
        <w:r w:rsidRPr="003D3A07">
          <w:rPr>
            <w:rStyle w:val="Hyperlink"/>
            <w:rFonts w:ascii="Times New Roman" w:hAnsi="Times New Roman"/>
          </w:rPr>
          <w:t>DEL II: NAVODILA V ZVEZI S PREDLOGAMI: PREDLOGE ZA TRŽNO TVEGANJE</w:t>
        </w:r>
        <w:r>
          <w:rPr>
            <w:webHidden/>
          </w:rPr>
          <w:tab/>
        </w:r>
        <w:r>
          <w:rPr>
            <w:webHidden/>
          </w:rPr>
          <w:fldChar w:fldCharType="begin"/>
        </w:r>
        <w:r>
          <w:rPr>
            <w:webHidden/>
          </w:rPr>
          <w:instrText xml:space="preserve"> PAGEREF _Toc210747753 \h </w:instrText>
        </w:r>
        <w:r>
          <w:rPr>
            <w:webHidden/>
          </w:rPr>
        </w:r>
        <w:r>
          <w:rPr>
            <w:webHidden/>
          </w:rPr>
          <w:fldChar w:fldCharType="separate"/>
        </w:r>
        <w:r>
          <w:rPr>
            <w:webHidden/>
          </w:rPr>
          <w:t>3</w:t>
        </w:r>
        <w:r>
          <w:rPr>
            <w:webHidden/>
          </w:rPr>
          <w:fldChar w:fldCharType="end"/>
        </w:r>
      </w:hyperlink>
    </w:p>
    <w:p w14:paraId="276435CC" w14:textId="640014B3"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54" w:history="1">
        <w:r w:rsidRPr="003D3A07">
          <w:rPr>
            <w:rStyle w:val="Hyperlink"/>
            <w:rFonts w:ascii="Times New Roman" w:hAnsi="Times New Roman"/>
          </w:rPr>
          <w:t>1.</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Splošne opombe</w:t>
        </w:r>
        <w:r>
          <w:rPr>
            <w:webHidden/>
          </w:rPr>
          <w:tab/>
        </w:r>
        <w:r>
          <w:rPr>
            <w:webHidden/>
          </w:rPr>
          <w:fldChar w:fldCharType="begin"/>
        </w:r>
        <w:r>
          <w:rPr>
            <w:webHidden/>
          </w:rPr>
          <w:instrText xml:space="preserve"> PAGEREF _Toc210747754 \h </w:instrText>
        </w:r>
        <w:r>
          <w:rPr>
            <w:webHidden/>
          </w:rPr>
        </w:r>
        <w:r>
          <w:rPr>
            <w:webHidden/>
          </w:rPr>
          <w:fldChar w:fldCharType="separate"/>
        </w:r>
        <w:r>
          <w:rPr>
            <w:webHidden/>
          </w:rPr>
          <w:t>3</w:t>
        </w:r>
        <w:r>
          <w:rPr>
            <w:webHidden/>
          </w:rPr>
          <w:fldChar w:fldCharType="end"/>
        </w:r>
      </w:hyperlink>
    </w:p>
    <w:p w14:paraId="4A708D67" w14:textId="7C236E29"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55" w:history="1">
        <w:r w:rsidRPr="003D3A07">
          <w:rPr>
            <w:rStyle w:val="Hyperlink"/>
            <w:rFonts w:ascii="Times New Roman" w:hAnsi="Times New Roman"/>
          </w:rPr>
          <w:t>2.</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C 18.00 – Tržno tveganje: Standardizirani pristop za pozicijska tveganja v dolžniških instrumentih, s katerimi se trguje na borzi (MKR SA TDI)</w:t>
        </w:r>
        <w:r>
          <w:rPr>
            <w:webHidden/>
          </w:rPr>
          <w:tab/>
        </w:r>
        <w:r>
          <w:rPr>
            <w:webHidden/>
          </w:rPr>
          <w:fldChar w:fldCharType="begin"/>
        </w:r>
        <w:r>
          <w:rPr>
            <w:webHidden/>
          </w:rPr>
          <w:instrText xml:space="preserve"> PAGEREF _Toc210747755 \h </w:instrText>
        </w:r>
        <w:r>
          <w:rPr>
            <w:webHidden/>
          </w:rPr>
        </w:r>
        <w:r>
          <w:rPr>
            <w:webHidden/>
          </w:rPr>
          <w:fldChar w:fldCharType="separate"/>
        </w:r>
        <w:r>
          <w:rPr>
            <w:webHidden/>
          </w:rPr>
          <w:t>3</w:t>
        </w:r>
        <w:r>
          <w:rPr>
            <w:webHidden/>
          </w:rPr>
          <w:fldChar w:fldCharType="end"/>
        </w:r>
      </w:hyperlink>
    </w:p>
    <w:p w14:paraId="5AED8E65" w14:textId="54FA1C1D"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56" w:history="1">
        <w:r w:rsidRPr="003D3A07">
          <w:rPr>
            <w:rStyle w:val="Hyperlink"/>
            <w:rFonts w:ascii="Times New Roman" w:hAnsi="Times New Roman"/>
          </w:rPr>
          <w:t>2.1</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Splošne opombe</w:t>
        </w:r>
        <w:r>
          <w:rPr>
            <w:webHidden/>
          </w:rPr>
          <w:tab/>
        </w:r>
        <w:r>
          <w:rPr>
            <w:webHidden/>
          </w:rPr>
          <w:fldChar w:fldCharType="begin"/>
        </w:r>
        <w:r>
          <w:rPr>
            <w:webHidden/>
          </w:rPr>
          <w:instrText xml:space="preserve"> PAGEREF _Toc210747756 \h </w:instrText>
        </w:r>
        <w:r>
          <w:rPr>
            <w:webHidden/>
          </w:rPr>
        </w:r>
        <w:r>
          <w:rPr>
            <w:webHidden/>
          </w:rPr>
          <w:fldChar w:fldCharType="separate"/>
        </w:r>
        <w:r>
          <w:rPr>
            <w:webHidden/>
          </w:rPr>
          <w:t>3</w:t>
        </w:r>
        <w:r>
          <w:rPr>
            <w:webHidden/>
          </w:rPr>
          <w:fldChar w:fldCharType="end"/>
        </w:r>
      </w:hyperlink>
    </w:p>
    <w:p w14:paraId="667C9AB2" w14:textId="1DCFF5F1"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57" w:history="1">
        <w:r w:rsidRPr="003D3A07">
          <w:rPr>
            <w:rStyle w:val="Hyperlink"/>
            <w:rFonts w:ascii="Times New Roman" w:hAnsi="Times New Roman"/>
          </w:rPr>
          <w:t>2.2</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Navodila za posamezne pozicije</w:t>
        </w:r>
        <w:r>
          <w:rPr>
            <w:webHidden/>
          </w:rPr>
          <w:tab/>
        </w:r>
        <w:r>
          <w:rPr>
            <w:webHidden/>
          </w:rPr>
          <w:fldChar w:fldCharType="begin"/>
        </w:r>
        <w:r>
          <w:rPr>
            <w:webHidden/>
          </w:rPr>
          <w:instrText xml:space="preserve"> PAGEREF _Toc210747757 \h </w:instrText>
        </w:r>
        <w:r>
          <w:rPr>
            <w:webHidden/>
          </w:rPr>
        </w:r>
        <w:r>
          <w:rPr>
            <w:webHidden/>
          </w:rPr>
          <w:fldChar w:fldCharType="separate"/>
        </w:r>
        <w:r>
          <w:rPr>
            <w:webHidden/>
          </w:rPr>
          <w:t>4</w:t>
        </w:r>
        <w:r>
          <w:rPr>
            <w:webHidden/>
          </w:rPr>
          <w:fldChar w:fldCharType="end"/>
        </w:r>
      </w:hyperlink>
    </w:p>
    <w:p w14:paraId="55478EFB" w14:textId="380EB0C5"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58" w:history="1">
        <w:r w:rsidRPr="003D3A07">
          <w:rPr>
            <w:rStyle w:val="Hyperlink"/>
            <w:rFonts w:ascii="Times New Roman" w:hAnsi="Times New Roman"/>
          </w:rPr>
          <w:t>3.</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C 19.00 – TRŽNO TVEGANJE: STANDARDIZIRANI PRISTOP ZA POSEBNO TVEGANJE V LISTINJENJIH (MKR SA SEC)</w:t>
        </w:r>
        <w:r>
          <w:rPr>
            <w:webHidden/>
          </w:rPr>
          <w:tab/>
        </w:r>
        <w:r>
          <w:rPr>
            <w:webHidden/>
          </w:rPr>
          <w:fldChar w:fldCharType="begin"/>
        </w:r>
        <w:r>
          <w:rPr>
            <w:webHidden/>
          </w:rPr>
          <w:instrText xml:space="preserve"> PAGEREF _Toc210747758 \h </w:instrText>
        </w:r>
        <w:r>
          <w:rPr>
            <w:webHidden/>
          </w:rPr>
        </w:r>
        <w:r>
          <w:rPr>
            <w:webHidden/>
          </w:rPr>
          <w:fldChar w:fldCharType="separate"/>
        </w:r>
        <w:r>
          <w:rPr>
            <w:webHidden/>
          </w:rPr>
          <w:t>6</w:t>
        </w:r>
        <w:r>
          <w:rPr>
            <w:webHidden/>
          </w:rPr>
          <w:fldChar w:fldCharType="end"/>
        </w:r>
      </w:hyperlink>
    </w:p>
    <w:p w14:paraId="354517BD" w14:textId="649D2B37"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59" w:history="1">
        <w:r w:rsidRPr="003D3A07">
          <w:rPr>
            <w:rStyle w:val="Hyperlink"/>
            <w:rFonts w:ascii="Times New Roman" w:hAnsi="Times New Roman"/>
          </w:rPr>
          <w:t>3.1</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Splošne opombe</w:t>
        </w:r>
        <w:r>
          <w:rPr>
            <w:webHidden/>
          </w:rPr>
          <w:tab/>
        </w:r>
        <w:r>
          <w:rPr>
            <w:webHidden/>
          </w:rPr>
          <w:fldChar w:fldCharType="begin"/>
        </w:r>
        <w:r>
          <w:rPr>
            <w:webHidden/>
          </w:rPr>
          <w:instrText xml:space="preserve"> PAGEREF _Toc210747759 \h </w:instrText>
        </w:r>
        <w:r>
          <w:rPr>
            <w:webHidden/>
          </w:rPr>
        </w:r>
        <w:r>
          <w:rPr>
            <w:webHidden/>
          </w:rPr>
          <w:fldChar w:fldCharType="separate"/>
        </w:r>
        <w:r>
          <w:rPr>
            <w:webHidden/>
          </w:rPr>
          <w:t>6</w:t>
        </w:r>
        <w:r>
          <w:rPr>
            <w:webHidden/>
          </w:rPr>
          <w:fldChar w:fldCharType="end"/>
        </w:r>
      </w:hyperlink>
    </w:p>
    <w:p w14:paraId="36AC7E5C" w14:textId="7446AB0A"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60" w:history="1">
        <w:r w:rsidRPr="003D3A07">
          <w:rPr>
            <w:rStyle w:val="Hyperlink"/>
            <w:rFonts w:ascii="Times New Roman" w:hAnsi="Times New Roman"/>
          </w:rPr>
          <w:t>3.2</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Navodila za posamezne pozicije</w:t>
        </w:r>
        <w:r>
          <w:rPr>
            <w:webHidden/>
          </w:rPr>
          <w:tab/>
        </w:r>
        <w:r>
          <w:rPr>
            <w:webHidden/>
          </w:rPr>
          <w:fldChar w:fldCharType="begin"/>
        </w:r>
        <w:r>
          <w:rPr>
            <w:webHidden/>
          </w:rPr>
          <w:instrText xml:space="preserve"> PAGEREF _Toc210747760 \h </w:instrText>
        </w:r>
        <w:r>
          <w:rPr>
            <w:webHidden/>
          </w:rPr>
        </w:r>
        <w:r>
          <w:rPr>
            <w:webHidden/>
          </w:rPr>
          <w:fldChar w:fldCharType="separate"/>
        </w:r>
        <w:r>
          <w:rPr>
            <w:webHidden/>
          </w:rPr>
          <w:t>6</w:t>
        </w:r>
        <w:r>
          <w:rPr>
            <w:webHidden/>
          </w:rPr>
          <w:fldChar w:fldCharType="end"/>
        </w:r>
      </w:hyperlink>
    </w:p>
    <w:p w14:paraId="12785AF4" w14:textId="0491C9FF"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61" w:history="1">
        <w:r w:rsidRPr="003D3A07">
          <w:rPr>
            <w:rStyle w:val="Hyperlink"/>
            <w:rFonts w:ascii="Times New Roman" w:hAnsi="Times New Roman"/>
          </w:rPr>
          <w:t>4.</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C 20.00 – TRŽNO TVEGANJE: STANDARDIZIRANI PRISTOP ZA POSEBNO TVEGANJE V TRGOVALNEM PORTFELJU S KORELACIJO (MKR SA CTP)</w:t>
        </w:r>
        <w:r>
          <w:rPr>
            <w:webHidden/>
          </w:rPr>
          <w:tab/>
        </w:r>
        <w:r>
          <w:rPr>
            <w:webHidden/>
          </w:rPr>
          <w:fldChar w:fldCharType="begin"/>
        </w:r>
        <w:r>
          <w:rPr>
            <w:webHidden/>
          </w:rPr>
          <w:instrText xml:space="preserve"> PAGEREF _Toc210747761 \h </w:instrText>
        </w:r>
        <w:r>
          <w:rPr>
            <w:webHidden/>
          </w:rPr>
        </w:r>
        <w:r>
          <w:rPr>
            <w:webHidden/>
          </w:rPr>
          <w:fldChar w:fldCharType="separate"/>
        </w:r>
        <w:r>
          <w:rPr>
            <w:webHidden/>
          </w:rPr>
          <w:t>8</w:t>
        </w:r>
        <w:r>
          <w:rPr>
            <w:webHidden/>
          </w:rPr>
          <w:fldChar w:fldCharType="end"/>
        </w:r>
      </w:hyperlink>
    </w:p>
    <w:p w14:paraId="2E45F9B7" w14:textId="6481956B"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62" w:history="1">
        <w:r w:rsidRPr="003D3A07">
          <w:rPr>
            <w:rStyle w:val="Hyperlink"/>
            <w:rFonts w:ascii="Times New Roman" w:hAnsi="Times New Roman"/>
          </w:rPr>
          <w:t>4.1</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Splošne opombe</w:t>
        </w:r>
        <w:r>
          <w:rPr>
            <w:webHidden/>
          </w:rPr>
          <w:tab/>
        </w:r>
        <w:r>
          <w:rPr>
            <w:webHidden/>
          </w:rPr>
          <w:fldChar w:fldCharType="begin"/>
        </w:r>
        <w:r>
          <w:rPr>
            <w:webHidden/>
          </w:rPr>
          <w:instrText xml:space="preserve"> PAGEREF _Toc210747762 \h </w:instrText>
        </w:r>
        <w:r>
          <w:rPr>
            <w:webHidden/>
          </w:rPr>
        </w:r>
        <w:r>
          <w:rPr>
            <w:webHidden/>
          </w:rPr>
          <w:fldChar w:fldCharType="separate"/>
        </w:r>
        <w:r>
          <w:rPr>
            <w:webHidden/>
          </w:rPr>
          <w:t>8</w:t>
        </w:r>
        <w:r>
          <w:rPr>
            <w:webHidden/>
          </w:rPr>
          <w:fldChar w:fldCharType="end"/>
        </w:r>
      </w:hyperlink>
    </w:p>
    <w:p w14:paraId="4D89A85D" w14:textId="1C59B0A5"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63" w:history="1">
        <w:r w:rsidRPr="003D3A07">
          <w:rPr>
            <w:rStyle w:val="Hyperlink"/>
            <w:rFonts w:ascii="Times New Roman" w:hAnsi="Times New Roman"/>
          </w:rPr>
          <w:t>4.2</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Navodila za posamezne pozicije</w:t>
        </w:r>
        <w:r>
          <w:rPr>
            <w:webHidden/>
          </w:rPr>
          <w:tab/>
        </w:r>
        <w:r>
          <w:rPr>
            <w:webHidden/>
          </w:rPr>
          <w:fldChar w:fldCharType="begin"/>
        </w:r>
        <w:r>
          <w:rPr>
            <w:webHidden/>
          </w:rPr>
          <w:instrText xml:space="preserve"> PAGEREF _Toc210747763 \h </w:instrText>
        </w:r>
        <w:r>
          <w:rPr>
            <w:webHidden/>
          </w:rPr>
        </w:r>
        <w:r>
          <w:rPr>
            <w:webHidden/>
          </w:rPr>
          <w:fldChar w:fldCharType="separate"/>
        </w:r>
        <w:r>
          <w:rPr>
            <w:webHidden/>
          </w:rPr>
          <w:t>9</w:t>
        </w:r>
        <w:r>
          <w:rPr>
            <w:webHidden/>
          </w:rPr>
          <w:fldChar w:fldCharType="end"/>
        </w:r>
      </w:hyperlink>
    </w:p>
    <w:p w14:paraId="350CCB2E" w14:textId="1734BF40"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64" w:history="1">
        <w:r w:rsidRPr="003D3A07">
          <w:rPr>
            <w:rStyle w:val="Hyperlink"/>
            <w:rFonts w:ascii="Times New Roman" w:hAnsi="Times New Roman"/>
          </w:rPr>
          <w:t>5.</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C 21.00 – Tržno tveganje: Standardizirani pristop za pozicijsko tveganje v lastniških finančnih instrumentih (MKR SA EQU)</w:t>
        </w:r>
        <w:r>
          <w:rPr>
            <w:webHidden/>
          </w:rPr>
          <w:tab/>
        </w:r>
        <w:r>
          <w:rPr>
            <w:webHidden/>
          </w:rPr>
          <w:fldChar w:fldCharType="begin"/>
        </w:r>
        <w:r>
          <w:rPr>
            <w:webHidden/>
          </w:rPr>
          <w:instrText xml:space="preserve"> PAGEREF _Toc210747764 \h </w:instrText>
        </w:r>
        <w:r>
          <w:rPr>
            <w:webHidden/>
          </w:rPr>
        </w:r>
        <w:r>
          <w:rPr>
            <w:webHidden/>
          </w:rPr>
          <w:fldChar w:fldCharType="separate"/>
        </w:r>
        <w:r>
          <w:rPr>
            <w:webHidden/>
          </w:rPr>
          <w:t>11</w:t>
        </w:r>
        <w:r>
          <w:rPr>
            <w:webHidden/>
          </w:rPr>
          <w:fldChar w:fldCharType="end"/>
        </w:r>
      </w:hyperlink>
    </w:p>
    <w:p w14:paraId="46DB83EB" w14:textId="57082E9B"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65" w:history="1">
        <w:r w:rsidRPr="003D3A07">
          <w:rPr>
            <w:rStyle w:val="Hyperlink"/>
            <w:rFonts w:ascii="Times New Roman" w:hAnsi="Times New Roman"/>
          </w:rPr>
          <w:t>5.1</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Splošne opombe</w:t>
        </w:r>
        <w:r>
          <w:rPr>
            <w:webHidden/>
          </w:rPr>
          <w:tab/>
        </w:r>
        <w:r>
          <w:rPr>
            <w:webHidden/>
          </w:rPr>
          <w:fldChar w:fldCharType="begin"/>
        </w:r>
        <w:r>
          <w:rPr>
            <w:webHidden/>
          </w:rPr>
          <w:instrText xml:space="preserve"> PAGEREF _Toc210747765 \h </w:instrText>
        </w:r>
        <w:r>
          <w:rPr>
            <w:webHidden/>
          </w:rPr>
        </w:r>
        <w:r>
          <w:rPr>
            <w:webHidden/>
          </w:rPr>
          <w:fldChar w:fldCharType="separate"/>
        </w:r>
        <w:r>
          <w:rPr>
            <w:webHidden/>
          </w:rPr>
          <w:t>11</w:t>
        </w:r>
        <w:r>
          <w:rPr>
            <w:webHidden/>
          </w:rPr>
          <w:fldChar w:fldCharType="end"/>
        </w:r>
      </w:hyperlink>
    </w:p>
    <w:p w14:paraId="6E60B0E6" w14:textId="34D562FE"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66" w:history="1">
        <w:r w:rsidRPr="003D3A07">
          <w:rPr>
            <w:rStyle w:val="Hyperlink"/>
            <w:rFonts w:ascii="Times New Roman" w:hAnsi="Times New Roman"/>
          </w:rPr>
          <w:t>5.2</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Navodila za posamezne pozicije</w:t>
        </w:r>
        <w:r>
          <w:rPr>
            <w:webHidden/>
          </w:rPr>
          <w:tab/>
        </w:r>
        <w:r>
          <w:rPr>
            <w:webHidden/>
          </w:rPr>
          <w:fldChar w:fldCharType="begin"/>
        </w:r>
        <w:r>
          <w:rPr>
            <w:webHidden/>
          </w:rPr>
          <w:instrText xml:space="preserve"> PAGEREF _Toc210747766 \h </w:instrText>
        </w:r>
        <w:r>
          <w:rPr>
            <w:webHidden/>
          </w:rPr>
        </w:r>
        <w:r>
          <w:rPr>
            <w:webHidden/>
          </w:rPr>
          <w:fldChar w:fldCharType="separate"/>
        </w:r>
        <w:r>
          <w:rPr>
            <w:webHidden/>
          </w:rPr>
          <w:t>12</w:t>
        </w:r>
        <w:r>
          <w:rPr>
            <w:webHidden/>
          </w:rPr>
          <w:fldChar w:fldCharType="end"/>
        </w:r>
      </w:hyperlink>
    </w:p>
    <w:p w14:paraId="0E6F624A" w14:textId="7D23E513"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67" w:history="1">
        <w:r w:rsidRPr="003D3A07">
          <w:rPr>
            <w:rStyle w:val="Hyperlink"/>
            <w:rFonts w:ascii="Times New Roman" w:hAnsi="Times New Roman"/>
          </w:rPr>
          <w:t>6.</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C 22.00 – Tržno tveganje: Standardizirani pristopi za valutno tveganje (MKR SA FX)</w:t>
        </w:r>
        <w:r>
          <w:rPr>
            <w:webHidden/>
          </w:rPr>
          <w:tab/>
        </w:r>
        <w:r>
          <w:rPr>
            <w:webHidden/>
          </w:rPr>
          <w:fldChar w:fldCharType="begin"/>
        </w:r>
        <w:r>
          <w:rPr>
            <w:webHidden/>
          </w:rPr>
          <w:instrText xml:space="preserve"> PAGEREF _Toc210747767 \h </w:instrText>
        </w:r>
        <w:r>
          <w:rPr>
            <w:webHidden/>
          </w:rPr>
        </w:r>
        <w:r>
          <w:rPr>
            <w:webHidden/>
          </w:rPr>
          <w:fldChar w:fldCharType="separate"/>
        </w:r>
        <w:r>
          <w:rPr>
            <w:webHidden/>
          </w:rPr>
          <w:t>14</w:t>
        </w:r>
        <w:r>
          <w:rPr>
            <w:webHidden/>
          </w:rPr>
          <w:fldChar w:fldCharType="end"/>
        </w:r>
      </w:hyperlink>
    </w:p>
    <w:p w14:paraId="621A78BD" w14:textId="1FE2CBA7"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68" w:history="1">
        <w:r w:rsidRPr="003D3A07">
          <w:rPr>
            <w:rStyle w:val="Hyperlink"/>
            <w:rFonts w:ascii="Times New Roman" w:hAnsi="Times New Roman"/>
          </w:rPr>
          <w:t>6.1</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Splošne opombe</w:t>
        </w:r>
        <w:r>
          <w:rPr>
            <w:webHidden/>
          </w:rPr>
          <w:tab/>
        </w:r>
        <w:r>
          <w:rPr>
            <w:webHidden/>
          </w:rPr>
          <w:fldChar w:fldCharType="begin"/>
        </w:r>
        <w:r>
          <w:rPr>
            <w:webHidden/>
          </w:rPr>
          <w:instrText xml:space="preserve"> PAGEREF _Toc210747768 \h </w:instrText>
        </w:r>
        <w:r>
          <w:rPr>
            <w:webHidden/>
          </w:rPr>
        </w:r>
        <w:r>
          <w:rPr>
            <w:webHidden/>
          </w:rPr>
          <w:fldChar w:fldCharType="separate"/>
        </w:r>
        <w:r>
          <w:rPr>
            <w:webHidden/>
          </w:rPr>
          <w:t>14</w:t>
        </w:r>
        <w:r>
          <w:rPr>
            <w:webHidden/>
          </w:rPr>
          <w:fldChar w:fldCharType="end"/>
        </w:r>
      </w:hyperlink>
    </w:p>
    <w:p w14:paraId="2C96CBEB" w14:textId="029489CA"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69" w:history="1">
        <w:r w:rsidRPr="003D3A07">
          <w:rPr>
            <w:rStyle w:val="Hyperlink"/>
            <w:rFonts w:ascii="Times New Roman" w:hAnsi="Times New Roman"/>
          </w:rPr>
          <w:t>6.2</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Navodila za posamezne pozicije</w:t>
        </w:r>
        <w:r>
          <w:rPr>
            <w:webHidden/>
          </w:rPr>
          <w:tab/>
        </w:r>
        <w:r>
          <w:rPr>
            <w:webHidden/>
          </w:rPr>
          <w:fldChar w:fldCharType="begin"/>
        </w:r>
        <w:r>
          <w:rPr>
            <w:webHidden/>
          </w:rPr>
          <w:instrText xml:space="preserve"> PAGEREF _Toc210747769 \h </w:instrText>
        </w:r>
        <w:r>
          <w:rPr>
            <w:webHidden/>
          </w:rPr>
        </w:r>
        <w:r>
          <w:rPr>
            <w:webHidden/>
          </w:rPr>
          <w:fldChar w:fldCharType="separate"/>
        </w:r>
        <w:r>
          <w:rPr>
            <w:webHidden/>
          </w:rPr>
          <w:t>14</w:t>
        </w:r>
        <w:r>
          <w:rPr>
            <w:webHidden/>
          </w:rPr>
          <w:fldChar w:fldCharType="end"/>
        </w:r>
      </w:hyperlink>
    </w:p>
    <w:p w14:paraId="3019C75F" w14:textId="4FCAA9C7"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70" w:history="1">
        <w:r w:rsidRPr="003D3A07">
          <w:rPr>
            <w:rStyle w:val="Hyperlink"/>
            <w:rFonts w:ascii="Times New Roman" w:hAnsi="Times New Roman"/>
          </w:rPr>
          <w:t>7.</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C 23.00 – Tržno tveganje: Standardizirani pristopi za blago (MKR SA COM)</w:t>
        </w:r>
        <w:r>
          <w:rPr>
            <w:webHidden/>
          </w:rPr>
          <w:tab/>
        </w:r>
        <w:r>
          <w:rPr>
            <w:webHidden/>
          </w:rPr>
          <w:fldChar w:fldCharType="begin"/>
        </w:r>
        <w:r>
          <w:rPr>
            <w:webHidden/>
          </w:rPr>
          <w:instrText xml:space="preserve"> PAGEREF _Toc210747770 \h </w:instrText>
        </w:r>
        <w:r>
          <w:rPr>
            <w:webHidden/>
          </w:rPr>
        </w:r>
        <w:r>
          <w:rPr>
            <w:webHidden/>
          </w:rPr>
          <w:fldChar w:fldCharType="separate"/>
        </w:r>
        <w:r>
          <w:rPr>
            <w:webHidden/>
          </w:rPr>
          <w:t>17</w:t>
        </w:r>
        <w:r>
          <w:rPr>
            <w:webHidden/>
          </w:rPr>
          <w:fldChar w:fldCharType="end"/>
        </w:r>
      </w:hyperlink>
    </w:p>
    <w:p w14:paraId="6802488C" w14:textId="589D29A0"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71" w:history="1">
        <w:r w:rsidRPr="003D3A07">
          <w:rPr>
            <w:rStyle w:val="Hyperlink"/>
            <w:rFonts w:ascii="Times New Roman" w:hAnsi="Times New Roman"/>
          </w:rPr>
          <w:t>7.1</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Splošne opombe</w:t>
        </w:r>
        <w:r>
          <w:rPr>
            <w:webHidden/>
          </w:rPr>
          <w:tab/>
        </w:r>
        <w:r>
          <w:rPr>
            <w:webHidden/>
          </w:rPr>
          <w:fldChar w:fldCharType="begin"/>
        </w:r>
        <w:r>
          <w:rPr>
            <w:webHidden/>
          </w:rPr>
          <w:instrText xml:space="preserve"> PAGEREF _Toc210747771 \h </w:instrText>
        </w:r>
        <w:r>
          <w:rPr>
            <w:webHidden/>
          </w:rPr>
        </w:r>
        <w:r>
          <w:rPr>
            <w:webHidden/>
          </w:rPr>
          <w:fldChar w:fldCharType="separate"/>
        </w:r>
        <w:r>
          <w:rPr>
            <w:webHidden/>
          </w:rPr>
          <w:t>17</w:t>
        </w:r>
        <w:r>
          <w:rPr>
            <w:webHidden/>
          </w:rPr>
          <w:fldChar w:fldCharType="end"/>
        </w:r>
      </w:hyperlink>
    </w:p>
    <w:p w14:paraId="3AA6162D" w14:textId="4588C001"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72" w:history="1">
        <w:r w:rsidRPr="003D3A07">
          <w:rPr>
            <w:rStyle w:val="Hyperlink"/>
            <w:rFonts w:ascii="Times New Roman" w:hAnsi="Times New Roman"/>
          </w:rPr>
          <w:t>7.2</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Navodila za posamezne pozicije</w:t>
        </w:r>
        <w:r>
          <w:rPr>
            <w:webHidden/>
          </w:rPr>
          <w:tab/>
        </w:r>
        <w:r>
          <w:rPr>
            <w:webHidden/>
          </w:rPr>
          <w:fldChar w:fldCharType="begin"/>
        </w:r>
        <w:r>
          <w:rPr>
            <w:webHidden/>
          </w:rPr>
          <w:instrText xml:space="preserve"> PAGEREF _Toc210747772 \h </w:instrText>
        </w:r>
        <w:r>
          <w:rPr>
            <w:webHidden/>
          </w:rPr>
        </w:r>
        <w:r>
          <w:rPr>
            <w:webHidden/>
          </w:rPr>
          <w:fldChar w:fldCharType="separate"/>
        </w:r>
        <w:r>
          <w:rPr>
            <w:webHidden/>
          </w:rPr>
          <w:t>17</w:t>
        </w:r>
        <w:r>
          <w:rPr>
            <w:webHidden/>
          </w:rPr>
          <w:fldChar w:fldCharType="end"/>
        </w:r>
      </w:hyperlink>
    </w:p>
    <w:p w14:paraId="10AD84BB" w14:textId="36EE4398"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73" w:history="1">
        <w:r w:rsidRPr="003D3A07">
          <w:rPr>
            <w:rStyle w:val="Hyperlink"/>
            <w:rFonts w:ascii="Times New Roman" w:hAnsi="Times New Roman"/>
          </w:rPr>
          <w:t>8.</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C 24.00 – Notranji modeli za tržna tveganja (MKR IM)</w:t>
        </w:r>
        <w:r>
          <w:rPr>
            <w:webHidden/>
          </w:rPr>
          <w:tab/>
        </w:r>
        <w:r>
          <w:rPr>
            <w:webHidden/>
          </w:rPr>
          <w:fldChar w:fldCharType="begin"/>
        </w:r>
        <w:r>
          <w:rPr>
            <w:webHidden/>
          </w:rPr>
          <w:instrText xml:space="preserve"> PAGEREF _Toc210747773 \h </w:instrText>
        </w:r>
        <w:r>
          <w:rPr>
            <w:webHidden/>
          </w:rPr>
        </w:r>
        <w:r>
          <w:rPr>
            <w:webHidden/>
          </w:rPr>
          <w:fldChar w:fldCharType="separate"/>
        </w:r>
        <w:r>
          <w:rPr>
            <w:webHidden/>
          </w:rPr>
          <w:t>18</w:t>
        </w:r>
        <w:r>
          <w:rPr>
            <w:webHidden/>
          </w:rPr>
          <w:fldChar w:fldCharType="end"/>
        </w:r>
      </w:hyperlink>
    </w:p>
    <w:p w14:paraId="6BC9BF3D" w14:textId="3AA4580D"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74" w:history="1">
        <w:r w:rsidRPr="003D3A07">
          <w:rPr>
            <w:rStyle w:val="Hyperlink"/>
            <w:rFonts w:ascii="Times New Roman" w:hAnsi="Times New Roman"/>
          </w:rPr>
          <w:t>8.1</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Splošne opombe</w:t>
        </w:r>
        <w:r>
          <w:rPr>
            <w:webHidden/>
          </w:rPr>
          <w:tab/>
        </w:r>
        <w:r>
          <w:rPr>
            <w:webHidden/>
          </w:rPr>
          <w:fldChar w:fldCharType="begin"/>
        </w:r>
        <w:r>
          <w:rPr>
            <w:webHidden/>
          </w:rPr>
          <w:instrText xml:space="preserve"> PAGEREF _Toc210747774 \h </w:instrText>
        </w:r>
        <w:r>
          <w:rPr>
            <w:webHidden/>
          </w:rPr>
        </w:r>
        <w:r>
          <w:rPr>
            <w:webHidden/>
          </w:rPr>
          <w:fldChar w:fldCharType="separate"/>
        </w:r>
        <w:r>
          <w:rPr>
            <w:webHidden/>
          </w:rPr>
          <w:t>18</w:t>
        </w:r>
        <w:r>
          <w:rPr>
            <w:webHidden/>
          </w:rPr>
          <w:fldChar w:fldCharType="end"/>
        </w:r>
      </w:hyperlink>
    </w:p>
    <w:p w14:paraId="35BA880A" w14:textId="459A6AED" w:rsidR="00D470B7" w:rsidRDefault="00D470B7">
      <w:pPr>
        <w:pStyle w:val="TOC2"/>
        <w:rPr>
          <w:rFonts w:asciiTheme="minorHAnsi" w:eastAsiaTheme="minorEastAsia" w:hAnsiTheme="minorHAnsi" w:cstheme="minorBidi"/>
          <w:b w:val="0"/>
          <w:smallCaps w:val="0"/>
          <w:kern w:val="2"/>
          <w:sz w:val="24"/>
          <w:szCs w:val="24"/>
          <w:lang w:val="de-DE" w:eastAsia="de-DE"/>
          <w14:ligatures w14:val="standardContextual"/>
        </w:rPr>
      </w:pPr>
      <w:hyperlink w:anchor="_Toc210747775" w:history="1">
        <w:r w:rsidRPr="003D3A07">
          <w:rPr>
            <w:rStyle w:val="Hyperlink"/>
            <w:rFonts w:ascii="Times New Roman" w:hAnsi="Times New Roman"/>
          </w:rPr>
          <w:t>8.2</w:t>
        </w:r>
        <w:r>
          <w:rPr>
            <w:rFonts w:asciiTheme="minorHAnsi" w:eastAsiaTheme="minorEastAsia" w:hAnsiTheme="minorHAnsi" w:cstheme="minorBidi"/>
            <w:b w:val="0"/>
            <w:smallCaps w:val="0"/>
            <w:kern w:val="2"/>
            <w:sz w:val="24"/>
            <w:szCs w:val="24"/>
            <w:lang w:val="de-DE" w:eastAsia="de-DE"/>
            <w14:ligatures w14:val="standardContextual"/>
          </w:rPr>
          <w:tab/>
        </w:r>
        <w:r w:rsidRPr="003D3A07">
          <w:rPr>
            <w:rStyle w:val="Hyperlink"/>
            <w:rFonts w:ascii="Times New Roman" w:hAnsi="Times New Roman"/>
          </w:rPr>
          <w:t>Navodila za posamezne pozicije</w:t>
        </w:r>
        <w:r>
          <w:rPr>
            <w:webHidden/>
          </w:rPr>
          <w:tab/>
        </w:r>
        <w:r>
          <w:rPr>
            <w:webHidden/>
          </w:rPr>
          <w:fldChar w:fldCharType="begin"/>
        </w:r>
        <w:r>
          <w:rPr>
            <w:webHidden/>
          </w:rPr>
          <w:instrText xml:space="preserve"> PAGEREF _Toc210747775 \h </w:instrText>
        </w:r>
        <w:r>
          <w:rPr>
            <w:webHidden/>
          </w:rPr>
        </w:r>
        <w:r>
          <w:rPr>
            <w:webHidden/>
          </w:rPr>
          <w:fldChar w:fldCharType="separate"/>
        </w:r>
        <w:r>
          <w:rPr>
            <w:webHidden/>
          </w:rPr>
          <w:t>19</w:t>
        </w:r>
        <w:r>
          <w:rPr>
            <w:webHidden/>
          </w:rPr>
          <w:fldChar w:fldCharType="end"/>
        </w:r>
      </w:hyperlink>
    </w:p>
    <w:p w14:paraId="4325A1DC" w14:textId="5001AB4B"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747748"/>
      <w:r>
        <w:rPr>
          <w:rFonts w:ascii="Times New Roman" w:hAnsi="Times New Roman"/>
        </w:rPr>
        <w:lastRenderedPageBreak/>
        <w:t>DEL I:</w:t>
      </w:r>
      <w:bookmarkEnd w:id="2"/>
      <w:r>
        <w:rPr>
          <w:rFonts w:ascii="Times New Roman" w:hAnsi="Times New Roman"/>
        </w:rPr>
        <w:t xml:space="preserve"> SPLOŠNA NAVODILA</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747749"/>
      <w:r>
        <w:rPr>
          <w:rFonts w:ascii="Times New Roman" w:hAnsi="Times New Roman"/>
          <w:sz w:val="24"/>
          <w:u w:val="none"/>
        </w:rPr>
        <w:t>1.</w:t>
      </w:r>
      <w:r w:rsidRPr="00D470B7">
        <w:rPr>
          <w:u w:val="none"/>
        </w:rPr>
        <w:tab/>
      </w:r>
      <w:r>
        <w:rPr>
          <w:rFonts w:ascii="Times New Roman" w:hAnsi="Times New Roman"/>
          <w:sz w:val="24"/>
          <w:u w:val="none"/>
        </w:rPr>
        <w:t>DOGOVORI</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64038399"/>
      <w:bookmarkStart w:id="12" w:name="_Toc294018834"/>
      <w:bookmarkStart w:id="13" w:name="_Toc210747750"/>
      <w:r>
        <w:rPr>
          <w:rFonts w:ascii="Times New Roman" w:hAnsi="Times New Roman"/>
          <w:sz w:val="24"/>
          <w:u w:val="none"/>
        </w:rPr>
        <w:t>1.1</w:t>
      </w:r>
      <w:r w:rsidRPr="00D470B7">
        <w:rPr>
          <w:u w:val="none"/>
        </w:rPr>
        <w:tab/>
      </w:r>
      <w:r>
        <w:rPr>
          <w:rFonts w:ascii="Times New Roman" w:hAnsi="Times New Roman"/>
          <w:sz w:val="24"/>
          <w:u w:val="none"/>
        </w:rPr>
        <w:t>Dogovor glede oštevilčenja</w:t>
      </w:r>
      <w:bookmarkEnd w:id="9"/>
      <w:bookmarkEnd w:id="10"/>
      <w:bookmarkEnd w:id="13"/>
    </w:p>
    <w:p w14:paraId="07DD29A3" w14:textId="3ADB010A" w:rsidR="002648B0" w:rsidRPr="002D60D7" w:rsidRDefault="002648B0" w:rsidP="00E172EA">
      <w:pPr>
        <w:pStyle w:val="InstructionsText2"/>
        <w:numPr>
          <w:ilvl w:val="0"/>
          <w:numId w:val="29"/>
        </w:numPr>
        <w:suppressAutoHyphens/>
      </w:pPr>
      <w:r>
        <w:t>Pri sklicevanju na stolpce, vrstice in celice predlog se v dokumentu upošteva dogovor glede označevanja iz točk 2 do 5. Te številčne kode se obsežno uporabljajo v validacijskih pravilih.</w:t>
      </w:r>
    </w:p>
    <w:p w14:paraId="4A930757" w14:textId="35786EEA" w:rsidR="005643EA" w:rsidRPr="002D60D7" w:rsidRDefault="002648B0" w:rsidP="00E172EA">
      <w:pPr>
        <w:pStyle w:val="InstructionsText2"/>
        <w:numPr>
          <w:ilvl w:val="0"/>
          <w:numId w:val="29"/>
        </w:numPr>
        <w:suppressAutoHyphens/>
      </w:pPr>
      <w:r>
        <w:t>V navodilih se uporablja naslednji splošni zapis: {predloga; vrstica; stolpec}.</w:t>
      </w:r>
    </w:p>
    <w:p w14:paraId="058D6622" w14:textId="0D8EC818" w:rsidR="002648B0" w:rsidRPr="002D60D7" w:rsidRDefault="002648B0" w:rsidP="00E172EA">
      <w:pPr>
        <w:pStyle w:val="InstructionsText2"/>
        <w:numPr>
          <w:ilvl w:val="0"/>
          <w:numId w:val="29"/>
        </w:numPr>
        <w:suppressAutoHyphens/>
      </w:pPr>
      <w:r>
        <w:t>V primeru validacije znotraj predloge, pri kateri se uporabijo samo podatkovne točke zadevne predloge, v zapisih predloga ni navedena: {vrstica; stolpec}.</w:t>
      </w:r>
    </w:p>
    <w:p w14:paraId="1C93CB72" w14:textId="27E06172" w:rsidR="005643EA" w:rsidRPr="002D60D7" w:rsidRDefault="002648B0" w:rsidP="00E172EA">
      <w:pPr>
        <w:pStyle w:val="InstructionsText2"/>
        <w:numPr>
          <w:ilvl w:val="0"/>
          <w:numId w:val="29"/>
        </w:numPr>
        <w:suppressAutoHyphens/>
      </w:pPr>
      <w:r>
        <w:t>V primeru predlog, ki imajo le en stolpec, so navedene le vrstice: {predloga; vrstica}.</w:t>
      </w:r>
    </w:p>
    <w:p w14:paraId="6CF08484" w14:textId="337CEEA0" w:rsidR="002648B0" w:rsidRPr="002D60D7" w:rsidRDefault="002648B0" w:rsidP="00E172EA">
      <w:pPr>
        <w:pStyle w:val="InstructionsText2"/>
        <w:numPr>
          <w:ilvl w:val="0"/>
          <w:numId w:val="29"/>
        </w:numPr>
        <w:suppressAutoHyphens/>
      </w:pPr>
      <w:r>
        <w:t>Če je validacija opravljena za predhodno navedene vrstice ali stolpce, se to označi z zvezdico.</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747751"/>
      <w:r>
        <w:rPr>
          <w:rFonts w:ascii="Times New Roman" w:hAnsi="Times New Roman"/>
          <w:sz w:val="24"/>
          <w:u w:val="none"/>
        </w:rPr>
        <w:t>1.2</w:t>
      </w:r>
      <w:r w:rsidRPr="00D470B7">
        <w:rPr>
          <w:u w:val="none"/>
        </w:rPr>
        <w:tab/>
      </w:r>
      <w:r>
        <w:rPr>
          <w:rFonts w:ascii="Times New Roman" w:hAnsi="Times New Roman"/>
          <w:sz w:val="24"/>
          <w:u w:val="none"/>
        </w:rPr>
        <w:t>Dogovor glede predznaka</w:t>
      </w:r>
      <w:bookmarkEnd w:id="11"/>
      <w:bookmarkEnd w:id="12"/>
      <w:bookmarkEnd w:id="14"/>
      <w:bookmarkEnd w:id="15"/>
      <w:bookmarkEnd w:id="16"/>
    </w:p>
    <w:p w14:paraId="67BDF5E2" w14:textId="769DF459" w:rsidR="002648B0" w:rsidRDefault="002648B0" w:rsidP="00E172EA">
      <w:pPr>
        <w:pStyle w:val="InstructionsText2"/>
        <w:numPr>
          <w:ilvl w:val="0"/>
          <w:numId w:val="29"/>
        </w:numPr>
        <w:suppressAutoHyphens/>
      </w:pPr>
      <w:r>
        <w:t>Vsak znesek, ki povečuje kapital ali kapitalske zahteve, se poroča kot pozitivna vrednost. Na drugi strani se vsak znesek, ki zmanjšuje skupni kapital ali kapitalske zahteve, poroča kot negativna vrednost. Če je pred postavko negativen predznak (–), se za zadevno postavko ne poroča nobena pozitivna vrednost.</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747752"/>
      <w:r>
        <w:rPr>
          <w:rFonts w:ascii="Times New Roman" w:hAnsi="Times New Roman"/>
          <w:sz w:val="24"/>
          <w:u w:val="none"/>
        </w:rPr>
        <w:t>1.3</w:t>
      </w:r>
      <w:r w:rsidRPr="00D470B7">
        <w:rPr>
          <w:u w:val="none"/>
        </w:rPr>
        <w:tab/>
      </w:r>
      <w:r>
        <w:rPr>
          <w:rFonts w:ascii="Times New Roman" w:hAnsi="Times New Roman"/>
          <w:sz w:val="24"/>
          <w:u w:val="none"/>
        </w:rPr>
        <w:t>Sklici na Uredbo (EU) št. 575/2013</w:t>
      </w:r>
      <w:bookmarkEnd w:id="17"/>
    </w:p>
    <w:p w14:paraId="59845808" w14:textId="11AE211B" w:rsidR="00843119" w:rsidRPr="002D60D7" w:rsidRDefault="00843119" w:rsidP="00E172EA">
      <w:pPr>
        <w:pStyle w:val="InstructionsText2"/>
        <w:numPr>
          <w:ilvl w:val="0"/>
          <w:numId w:val="29"/>
        </w:numPr>
        <w:suppressAutoHyphens/>
      </w:pPr>
      <w:r>
        <w:t xml:space="preserve">Vsi sklici na člene 325 do 377 Uredbe (EU) št. 575/2013 se razumejo kot sklici na različico navedene uredbe z dne 26. junija 2019.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747753"/>
      <w:r>
        <w:rPr>
          <w:rFonts w:ascii="Times New Roman" w:hAnsi="Times New Roman"/>
        </w:rPr>
        <w:t>DEL II: NAVODILA V ZVEZI S PREDLOGAMI</w:t>
      </w:r>
      <w:bookmarkEnd w:id="18"/>
      <w:bookmarkEnd w:id="19"/>
      <w:r>
        <w:rPr>
          <w:rFonts w:ascii="Times New Roman" w:hAnsi="Times New Roman"/>
        </w:rPr>
        <w:t>: PREDLOGE ZA TRŽNO TVEGANJE</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747754"/>
      <w:r>
        <w:rPr>
          <w:rFonts w:ascii="Times New Roman" w:hAnsi="Times New Roman"/>
          <w:sz w:val="24"/>
          <w:u w:val="none"/>
        </w:rPr>
        <w:t>1.</w:t>
      </w:r>
      <w:r w:rsidRPr="00D470B7">
        <w:rPr>
          <w:u w:val="none"/>
        </w:rPr>
        <w:tab/>
      </w:r>
      <w:bookmarkEnd w:id="21"/>
      <w:bookmarkEnd w:id="22"/>
      <w:bookmarkEnd w:id="23"/>
      <w:bookmarkEnd w:id="24"/>
      <w:bookmarkEnd w:id="25"/>
      <w:bookmarkEnd w:id="26"/>
      <w:r>
        <w:rPr>
          <w:rFonts w:ascii="Times New Roman" w:hAnsi="Times New Roman"/>
          <w:sz w:val="24"/>
        </w:rPr>
        <w:t>Splošne opombe</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Ta navodila se nanašajo na predloge za poročanje o izračunu kapitalskih zahtev v skladu s standardiziranim pristopom za valutno tveganje (MKR SA FX), blagovno tveganje (MKR SA COM), obrestno tveganje (MKR SA TDI, MKR SA SEC, MKR SA CTP) in tveganje lastniških finančnih instrumentov (MKR SA EQU). Poleg tega so v ta del vključena tudi navodila za predlogo za poročanje o izračunu kapitalskih zahtev v skladu s pristopom na podlagi notranjih modelov (MKR IM). </w:t>
      </w:r>
    </w:p>
    <w:p w14:paraId="43A205D1" w14:textId="5DC446A2" w:rsidR="000B0B09" w:rsidRPr="002D60D7" w:rsidRDefault="000B0B09" w:rsidP="00E172EA">
      <w:pPr>
        <w:pStyle w:val="InstructionsText2"/>
        <w:numPr>
          <w:ilvl w:val="0"/>
          <w:numId w:val="29"/>
        </w:numPr>
        <w:suppressAutoHyphens/>
      </w:pPr>
      <w:r>
        <w:t xml:space="preserve">Pozicijsko tveganje za dolžniški instrument ali lastniški instrument, s katerim se trguje na borzi (ali izveden dolžniški ali lastniški finančni instrument), se lahko za izračun zahtevanega kapitala za navedeno pozicijsko tveganje razdeli na dva sestavna dela. Prvi del zajema njegovo posebno tveganje, tj. tveganje spremembe cene zadevnega instrumenta zaradi dejavnikov, ki so povezani z njegovim izdajateljem ali, v primeru izvedenega finančnega instrumenta, z izdajateljem osnovnega instrumenta. Drugi sestavni del zajema splošno tveganje, tj. tveganje spremembe cene instrumenta zaradi spremembe ravni obrestnih mer (v primeru dolžniškega instrumenta ali izvedenega dolžniškega finančnega instrumenta, s katerima se trguje na borzi) ali obsežen cenovni premik na trgu lastniških instrumentov, ki ni povezan z nobenimi posebnimi značilnostmi posameznih vrednostnih papirjev (v primeru lastniškega instrumenta ali izvedenega lastniškega finančnega instrumenta). </w:t>
      </w:r>
      <w:bookmarkEnd w:id="28"/>
      <w:r>
        <w:t xml:space="preserve">Splošna obravnava posebnih instrumentov in postopkov pobota je določena v členih 326 do 333 Uredbe (EU) št. 575/2013.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747755"/>
      <w:r>
        <w:rPr>
          <w:rFonts w:ascii="Times New Roman" w:hAnsi="Times New Roman"/>
          <w:sz w:val="24"/>
          <w:u w:val="none"/>
        </w:rPr>
        <w:t>2.</w:t>
      </w:r>
      <w:r w:rsidRPr="00D470B7">
        <w:rPr>
          <w:u w:val="none"/>
        </w:rPr>
        <w:tab/>
      </w:r>
      <w:r>
        <w:rPr>
          <w:rFonts w:ascii="Times New Roman" w:hAnsi="Times New Roman"/>
          <w:sz w:val="24"/>
        </w:rPr>
        <w:t>C 18.00 – Tržno tveganje: Standardizirani pristop za pozicijska tveganja v dolžniških instrumentih, s katerimi se trguje na borzi</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747756"/>
      <w:r>
        <w:rPr>
          <w:rFonts w:ascii="Times New Roman" w:hAnsi="Times New Roman"/>
          <w:sz w:val="24"/>
          <w:u w:val="none"/>
        </w:rPr>
        <w:t>2.1</w:t>
      </w:r>
      <w:r w:rsidRPr="00D470B7">
        <w:rPr>
          <w:u w:val="none"/>
        </w:rPr>
        <w:tab/>
      </w:r>
      <w:r>
        <w:rPr>
          <w:rFonts w:ascii="Times New Roman" w:hAnsi="Times New Roman"/>
          <w:sz w:val="24"/>
        </w:rPr>
        <w:t>Splošne opombe</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Ta predloga zajema pozicije in povezane kapitalske zahteve za pozicijska tveganja glede dolžniških instrumentov, s katerimi se trguje na borzi, v skladu s standardiziranim pristopom (člen 325(2), točka (a), Uredbe (EU) št. 575/2013). Različna razpoložljiva tveganja in metode iz Uredbe (EU) št. 575/2013 so obravnavani po vrsticah. Posebno tveganje, povezano z izpostavljenostmi, vključenimi v MKR SA SEC in MKR SA CTP, se poroča samo v predlogi s skupnimi zneski MKR SA TDI. Kapitalske zahteve, ki se poročajo v teh predlogah, se prenesejo v celico {0325;0060} (listinjenja) oziroma {0330;0060} (CTP).</w:t>
      </w:r>
    </w:p>
    <w:p w14:paraId="7C8420A5" w14:textId="3BAA75DB" w:rsidR="000B0B09" w:rsidRPr="002D60D7" w:rsidRDefault="000B0B09" w:rsidP="00E172EA">
      <w:pPr>
        <w:pStyle w:val="InstructionsText2"/>
        <w:numPr>
          <w:ilvl w:val="0"/>
          <w:numId w:val="29"/>
        </w:numPr>
        <w:suppressAutoHyphens/>
      </w:pPr>
      <w:r>
        <w:t xml:space="preserve">Predloga se izpolni ločeno za „Skupaj“ z vnaprej določenim seznamom naslednjih valut: </w:t>
      </w:r>
      <w:bookmarkStart w:id="44" w:name="OLE_LINK1"/>
      <w:r>
        <w:t xml:space="preserve">EUR, ALL, BGN, CZK, DKK, EGP, GBP, HUF, ISK, JPY, MKD, NOK, PLN, RON, RUB, RSD, SEK, CHF, TRY, UAH, USD </w:t>
      </w:r>
      <w:bookmarkEnd w:id="44"/>
      <w:r>
        <w:t xml:space="preserve">in eno preostalo predlogo za vse druge valute.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747757"/>
      <w:r>
        <w:rPr>
          <w:rFonts w:ascii="Times New Roman" w:hAnsi="Times New Roman"/>
          <w:sz w:val="24"/>
          <w:u w:val="none"/>
        </w:rPr>
        <w:lastRenderedPageBreak/>
        <w:t>2.2</w:t>
      </w:r>
      <w:r w:rsidRPr="00D470B7">
        <w:rPr>
          <w:u w:val="none"/>
        </w:rPr>
        <w:tab/>
      </w:r>
      <w:r>
        <w:rPr>
          <w:rFonts w:ascii="Times New Roman" w:hAnsi="Times New Roman"/>
          <w:sz w:val="24"/>
        </w:rPr>
        <w:t>Navodila za posamezne pozicije</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Stolpci</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VSE POZICIJE (DOLGE IN KRATKE)</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Člen 102 in člen 105(1) Uredbe (EU) št. 575/2013. To so bruto pozicije, ki niso pobotane z instrumenti in ki ne zajemajo pozicij, ki so bile že prenesene na tretje osebe ali so se te zavezale k njihovemu odkupu, iz člena 345(1), prvi pododstavek, drugi stavek, Uredbe (EU) št. 575/2013. Za razlikovanje med dolgimi in kratkimi pozicijami, ki se uporablja tudi za te bruto pozicije, glej člen 328(2) navedene uredbe.</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POZICIJE (DOLGE IN KRATKE)</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Členi 327 do 329 in člen 334 Uredbe (EU) št. 575/2013. Za razlikovanje med dolgimi in kratkimi pozicijami glej člen 328(2) navedene uredbe.</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POZICIJE, KI SO PREDMET KAPITALSKE ZAHTEVE</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Tiste neto pozicije, ki v skladu z različnimi pristopi iz dela 3, naslov IV, poglavje 2, Uredbe (EU) št. 575/2013 prejmejo kapitalsko zahtevo.</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KAPITALSKE ZAHTEVE</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Kapitalska zahteva za katero koli zadevno pozicijo v skladu z delom 3, naslov IV, poglavje 2, Uredbe (EU) št. 575/2013.</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ZNESEK SKUPNE IZPOSTAVLJENOSTI TVEGANJU</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Člen 92(6), točka (b), Uredbe (EU) št. 575/2013. Rezultat množenja kapitalskih zahtev z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Vrstice</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DOLŽNIŠKI INSTRUMENTI, S KATERIMI SE TRGUJE NA BORZI, V TRGOVALNI KNJIGI</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Pozicije v dolžniških instrumentih, s katerimi se trguje na borzi, v trgovalni knjigi in njihove ustrezne kapitalske zahteve za pozicijsko tveganje v skladu s členom 92(4), točka (b)(i), Uredbe (EU) št. 575/2013 ter delom 3, poglavje 2, naslov IV, navedene uredbe se sporočajo glede na kategorijo tveganja, zapadlost in uporabljeni pristop.</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SPLOŠNO TVEGANJE.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Izvedeni finančni instrumenti</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Izvedeni finančni instrumenti, vključeni v izračun obrestnega tveganja pozicij v trgovalni knjigi, pri čemer se po potrebi upoštevajo členi 328 do 331 Uredbe (EU) št. 575/2013.</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Druga sredstva in obveznosti</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Instrumenti, ki niso izvedeni finančni instrumenti, vključeni v izračun obrestnega tveganja pozicij v trgovalni knjigi.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PRISTOP NA PODLAGI ZAPADLOSTI</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t>Pozicije v dolžniških instrumentih, s katerimi se trguje na borzi, za katere se uporablja pristop na podlagi zapadlosti iz člena 339(1) do (8) Uredbe (EU) št. 575/2013, in ustrezne kapitalske zahteve, izračunane v skladu s členom 339(9) navedene uredbe. Pozicija se razdeli glede na skupine 1, 2 in 3, te skupine pa se razdelijo glede na zapadlost instrumentov.</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SPLOŠNO TVEGANJE. PRISTOP NA PODLAGI TRAJANJA</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Pozicije v dolžniških instrumentih, s katerimi se trguje na borzi, za katere se uporablja pristop na podlagi trajanja iz člena 340(1) do (6) Uredbe (EU) št. 575/2013, in ustrezne kapitalske zahteve, izračunane v skladu s členom 340(7) navedene uredbe. Pozicija se razdeli glede na skupine 1, 2 in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POSEBNO TVEGANJE</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Vsota zneskov iz vrstic 0251, 0325 in 0330.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Pozicije v dolžniških instrumentih, s katerimi se trguje na borzi, za katere se uporabljajo kapitalske zahteve za posebno tveganje, in njihove ustrezne kapitalske zahteve v skladu s členom 92(3), točka (b), členom 335, členom 336(1), (2) in (3) ter členoma 337 in 338 Uredbe (EU) št. 575/2013. Upoštevati je treba tudi zadnji stavek člena 327(1) navedene uredbe.</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Kapitalske zahteve za dolžniške instrumente, ki niso pozicije v listinjenju</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Vsota zneskov iz vrstic 260 do 321.</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 xml:space="preserve">Kapitalske zahteve kreditnih izvedenih finančnih instrumentov na podlagi n-tega neplačila, ki nimajo zunanje bonitetne ocene, se izračunajo s seštevkom uteži tveganja referenčnih subjektov (člen 332(1), točka (e), in člen 332(1), drugi pododstavek, Uredbe (EU) št. 575/2013 – „vpogled“). Kreditni izvedeni finančni instrumenti na podlagi n-tega neplačila, ki imajo zunanjo bonitetno oceno (člen 332(1), tretji pododstavek, Uredbe (EU) št. 575/2013), se poročajo ločeno v vrstici 321.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Poročanje pozicij, za katere se uporablja člen 336(3) Uredbe (EU) št. 575/2013: Obveznice, ki izpolnjujejo pogoje za utež tveganja 10 % v netrgovalni knjigi v skladu s členom 129(3) navedene uredbe (krite obveznice) so predmet posebne obravnave. Posebne kapitalske zahteve predstavljajo polovico odstotka druge kategorije iz člena 336, razpredelnica 1, Uredbe (EU) št. 575/2013. Navedene postavke se razporedijo v vrstice 0280–0300 glede na preostali čas do končne zapadlosti.</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Če je splošno tveganje pozicij iz naslova obrestne mere varovano s kreditnim izvedenim finančnim instrumentom, se uporabljata člena 346 in 347 Uredbe (EU) št. 575/2013.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Kapitalske zahteve za instrumente v listinjenju</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Skupne kapitalske zahteve, sporočene v stolpcu 0601 predloge MKR SA SEC. Te skupne kapitalske zahteve se poročajo le na skupni ravni v predlogi MKR SA TDI.</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Kapitalske zahteve za trgovalni portfelj s korelacijo</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lastRenderedPageBreak/>
              <w:t>Skupne kapitalske zahteve, sporočene v stolpcu 0450 predloge MKR SA CTP. Te skupne kapitalske zahteve se poročajo le na skupni ravni v predlogi MKR SA TDI.</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DODATNE ZAHTEVE ZA OPCIJE (NE-DELTA TVEGANJA)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Člen 329(3) Uredbe (EU) št. 575/2013.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Dodatne zahteve za opcije, povezane s tveganji, ki niso delta tveganja, se poročajo razčlenjene po metodi, ki se uporablja za njihov izračun.</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747758"/>
      <w:r>
        <w:rPr>
          <w:rFonts w:ascii="Times New Roman" w:hAnsi="Times New Roman"/>
          <w:sz w:val="24"/>
          <w:u w:val="none"/>
        </w:rPr>
        <w:t>3.</w:t>
      </w:r>
      <w:r w:rsidRPr="00D470B7">
        <w:rPr>
          <w:u w:val="none"/>
        </w:rPr>
        <w:tab/>
      </w:r>
      <w:r>
        <w:rPr>
          <w:rFonts w:ascii="Times New Roman" w:hAnsi="Times New Roman"/>
          <w:sz w:val="24"/>
        </w:rPr>
        <w:t>C 19.00 – TRŽNO TVEGANJE: STANDARDIZIRANI PRISTOP ZA POSEBNO TVEGANJE V LISTINJENJIH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747759"/>
      <w:r>
        <w:rPr>
          <w:rFonts w:ascii="Times New Roman" w:hAnsi="Times New Roman"/>
          <w:sz w:val="24"/>
          <w:u w:val="none"/>
        </w:rPr>
        <w:t>3.1</w:t>
      </w:r>
      <w:r w:rsidRPr="00D470B7">
        <w:rPr>
          <w:u w:val="none"/>
        </w:rPr>
        <w:tab/>
      </w:r>
      <w:r>
        <w:rPr>
          <w:rFonts w:ascii="Times New Roman" w:hAnsi="Times New Roman"/>
          <w:sz w:val="24"/>
        </w:rPr>
        <w:t>Splošne opombe</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V tej predlogi se navedejo informacije o pozicijah (vse/neto in dolge/kratke) ter povezanih kapitalskih zahtevah za posebno tveganje pozicijskega tveganja v listinjenjih/</w:t>
      </w:r>
      <w:proofErr w:type="spellStart"/>
      <w:r>
        <w:t>relistinjenjih</w:t>
      </w:r>
      <w:proofErr w:type="spellEnd"/>
      <w:r>
        <w:t xml:space="preserve"> v trgovalni knjigi (neprimernih za trgovalni portfelj s korelacijo) v skladu s standardiziranim pristopom. </w:t>
      </w:r>
    </w:p>
    <w:p w14:paraId="2729DF95" w14:textId="1BA228E4" w:rsidR="00FC6275" w:rsidRPr="002D60D7" w:rsidRDefault="00FC6275" w:rsidP="00E172EA">
      <w:pPr>
        <w:pStyle w:val="InstructionsText2"/>
        <w:numPr>
          <w:ilvl w:val="0"/>
          <w:numId w:val="29"/>
        </w:numPr>
        <w:suppressAutoHyphens/>
      </w:pPr>
      <w:r>
        <w:t xml:space="preserve">Predloga MKR SA SEC predstavlja kapitalske zahteve le za posebno tveganje pozicij v listinjenju v skladu s členom 335 Uredbe (EU) št. 575/2013 v povezavi s členom 337 navedene uredbe. Če so pozicije v listinjenju trgovalne knjige varovane s kreditnimi izvedenimi finančnimi instrumenti, se uporabljata člena 346 in 347 Uredbe (EU) št. 575/2013. Za vse pozicije trgovalne knjige se uporablja le ena predloga ne glede na pristop, ki ga investicijska podjetja uporabijo za določanje uteži tveganja za vsako pozicijo v skladu z delom 3, naslov II, poglavje 5, Uredbe (EU) št. 575/2013. O kapitalskih zahtevah splošnega tveganja teh pozicij se poroča v predlogi MKR SA TDI ali MKR IM. </w:t>
      </w:r>
    </w:p>
    <w:p w14:paraId="0C732A14" w14:textId="3FF74494" w:rsidR="00FC6275" w:rsidRPr="002D60D7" w:rsidRDefault="00FC6275" w:rsidP="00E172EA">
      <w:pPr>
        <w:pStyle w:val="InstructionsText2"/>
        <w:numPr>
          <w:ilvl w:val="0"/>
          <w:numId w:val="29"/>
        </w:numPr>
        <w:suppressAutoHyphens/>
      </w:pPr>
      <w:r>
        <w:t>Pozicije, ki se jim dodeli utež tveganja 1 250 %, se lahko alternativno odbijejo od navadnega lastniškega temeljnega kapitala (glej člen 244(1), točka (b), člen 245(1), točka (b), in člen 253 Uredbe (EU) št. 575/2013). Navedene pozicije se poročajo v tej predlogi, tudi če institucija izkoristi možnost odbitka.</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747760"/>
      <w:r>
        <w:rPr>
          <w:rFonts w:ascii="Times New Roman" w:hAnsi="Times New Roman"/>
          <w:sz w:val="24"/>
          <w:u w:val="none"/>
        </w:rPr>
        <w:t>3.2</w:t>
      </w:r>
      <w:r w:rsidRPr="00D470B7">
        <w:rPr>
          <w:u w:val="none"/>
        </w:rPr>
        <w:tab/>
      </w:r>
      <w:r>
        <w:rPr>
          <w:rFonts w:ascii="Times New Roman" w:hAnsi="Times New Roman"/>
          <w:sz w:val="24"/>
        </w:rPr>
        <w:t>Navodila za posamezne pozicije</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Stolpci</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VSE POZICIJE (DOLGE IN KRATKE)</w:t>
            </w:r>
          </w:p>
          <w:p w14:paraId="503F4241" w14:textId="0DAFF941" w:rsidR="00C55547" w:rsidRPr="002D60D7" w:rsidRDefault="00C55547" w:rsidP="004C445F">
            <w:pPr>
              <w:suppressAutoHyphens/>
              <w:rPr>
                <w:rFonts w:ascii="Times New Roman" w:hAnsi="Times New Roman"/>
                <w:sz w:val="24"/>
              </w:rPr>
            </w:pPr>
            <w:r>
              <w:rPr>
                <w:rFonts w:ascii="Times New Roman" w:hAnsi="Times New Roman"/>
                <w:sz w:val="24"/>
              </w:rPr>
              <w:t xml:space="preserve">Člen </w:t>
            </w:r>
            <w:r>
              <w:rPr>
                <w:rStyle w:val="InstructionsTabelleText"/>
                <w:rFonts w:ascii="Times New Roman" w:hAnsi="Times New Roman"/>
                <w:sz w:val="24"/>
              </w:rPr>
              <w:t>102 in člen 105(1)</w:t>
            </w:r>
            <w:r>
              <w:rPr>
                <w:rFonts w:ascii="Times New Roman" w:hAnsi="Times New Roman"/>
                <w:sz w:val="24"/>
              </w:rPr>
              <w:t xml:space="preserve"> Uredbe (EU) št. 575/2013 </w:t>
            </w:r>
            <w:r>
              <w:rPr>
                <w:rStyle w:val="InstructionsTabelleText"/>
                <w:rFonts w:ascii="Times New Roman" w:hAnsi="Times New Roman"/>
                <w:sz w:val="24"/>
              </w:rPr>
              <w:t>v povezavi s členom 337 navedene uredbe</w:t>
            </w:r>
            <w:r>
              <w:rPr>
                <w:rFonts w:ascii="Times New Roman" w:hAnsi="Times New Roman"/>
                <w:sz w:val="24"/>
              </w:rPr>
              <w:t xml:space="preserve"> (</w:t>
            </w:r>
            <w:r>
              <w:rPr>
                <w:rStyle w:val="InstructionsTabelleText"/>
                <w:rFonts w:ascii="Times New Roman" w:hAnsi="Times New Roman"/>
                <w:sz w:val="24"/>
              </w:rPr>
              <w:t>pozicije v listinjenju</w:t>
            </w:r>
            <w:r>
              <w:rPr>
                <w:rFonts w:ascii="Times New Roman" w:hAnsi="Times New Roman"/>
                <w:sz w:val="24"/>
              </w:rPr>
              <w:t>).</w:t>
            </w:r>
            <w:r>
              <w:rPr>
                <w:rStyle w:val="InstructionsTabelleText"/>
                <w:rFonts w:ascii="Times New Roman" w:hAnsi="Times New Roman"/>
                <w:sz w:val="24"/>
              </w:rPr>
              <w:t xml:space="preserve"> Za razlikovanje med dolgimi in kratkimi pozicijami, ki se uporablja tudi za te bruto pozicije, glej člen 328(2)</w:t>
            </w:r>
            <w:r>
              <w:rPr>
                <w:rFonts w:ascii="Times New Roman" w:hAnsi="Times New Roman"/>
                <w:sz w:val="24"/>
              </w:rPr>
              <w:t xml:space="preserve"> navedene uredbe</w:t>
            </w:r>
            <w:r>
              <w:rPr>
                <w:rStyle w:val="InstructionsTabelleText"/>
                <w:rFonts w:ascii="Times New Roman" w:hAnsi="Times New Roman"/>
                <w:sz w:val="24"/>
              </w:rPr>
              <w:t xml:space="preserve">.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POZICIJE, ODBITE OD KAPITALA</w:t>
            </w:r>
            <w:r>
              <w:rPr>
                <w:rFonts w:ascii="Times New Roman" w:hAnsi="Times New Roman"/>
                <w:b/>
                <w:sz w:val="24"/>
                <w:u w:val="single"/>
              </w:rPr>
              <w:t xml:space="preserve"> (DOLGE IN KRATKE)</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Člen 244(1), točka (b), člen 245(1), točka (b), in člen 253</w:t>
            </w:r>
            <w:r>
              <w:rPr>
                <w:rFonts w:ascii="Times New Roman" w:hAnsi="Times New Roman"/>
                <w:sz w:val="24"/>
              </w:rPr>
              <w:t xml:space="preserve"> Uredbe (EU) št.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NETO POZICIJE</w:t>
            </w:r>
            <w:r>
              <w:rPr>
                <w:rFonts w:ascii="Times New Roman" w:hAnsi="Times New Roman"/>
                <w:b/>
                <w:sz w:val="24"/>
                <w:u w:val="single"/>
              </w:rPr>
              <w:t xml:space="preserve"> (DOLGE IN KRATKE)</w:t>
            </w:r>
          </w:p>
          <w:p w14:paraId="54C14D76" w14:textId="32F9EC29"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Členi </w:t>
            </w:r>
            <w:r>
              <w:rPr>
                <w:rStyle w:val="InstructionsTabelleText"/>
                <w:rFonts w:ascii="Times New Roman" w:hAnsi="Times New Roman"/>
                <w:sz w:val="24"/>
              </w:rPr>
              <w:t>327, 328, 329 in 334</w:t>
            </w:r>
            <w:r>
              <w:rPr>
                <w:rFonts w:ascii="Times New Roman" w:hAnsi="Times New Roman"/>
                <w:sz w:val="24"/>
              </w:rPr>
              <w:t xml:space="preserve"> Uredbe (EU) št. 575/2013</w:t>
            </w:r>
            <w:r>
              <w:rPr>
                <w:rStyle w:val="InstructionsTabelleText"/>
                <w:rFonts w:ascii="Times New Roman" w:hAnsi="Times New Roman"/>
                <w:sz w:val="24"/>
              </w:rPr>
              <w:t>. Za razlikovanje med dolgimi in kratkimi pozicijami glej člen 328(2)</w:t>
            </w:r>
            <w:r>
              <w:rPr>
                <w:rFonts w:ascii="Times New Roman" w:hAnsi="Times New Roman"/>
                <w:sz w:val="24"/>
              </w:rPr>
              <w:t xml:space="preserve"> navedene uredbe</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RAZČLENITEV NETO POZICIJ GLEDE NA UTEŽI TVEGANJA</w:t>
            </w:r>
          </w:p>
          <w:p w14:paraId="3ECFC065" w14:textId="41D71775"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Členi 259 do 262, člen 263, razpredelnici 1 in 2, člen 264, razpredelnici 3 in 4, in člen 266</w:t>
            </w:r>
            <w:r>
              <w:rPr>
                <w:rFonts w:ascii="Times New Roman" w:hAnsi="Times New Roman"/>
                <w:sz w:val="24"/>
              </w:rPr>
              <w:t xml:space="preserve"> Uredbe (EU) št. 575/2013</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Razčlenitev se izvede ločeno za dolge in kratke pozicije.</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RAZČLENITEV NETO POZICIJ GLEDE NA PRISTOPE</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Člen </w:t>
            </w:r>
            <w:r>
              <w:rPr>
                <w:rStyle w:val="InstructionsTabelleText"/>
                <w:rFonts w:ascii="Times New Roman" w:hAnsi="Times New Roman"/>
                <w:sz w:val="24"/>
              </w:rPr>
              <w:t>254</w:t>
            </w:r>
            <w:r>
              <w:rPr>
                <w:rFonts w:ascii="Times New Roman" w:hAnsi="Times New Roman"/>
                <w:sz w:val="24"/>
              </w:rPr>
              <w:t xml:space="preserve"> Uredbe (EU) št. 575/2013.</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Člena 259 in 260</w:t>
            </w:r>
            <w:r>
              <w:rPr>
                <w:rFonts w:ascii="Times New Roman" w:hAnsi="Times New Roman"/>
                <w:sz w:val="24"/>
              </w:rPr>
              <w:t xml:space="preserve"> Uredbe (EU) št.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Člena 261 in 262</w:t>
            </w:r>
            <w:r>
              <w:rPr>
                <w:rFonts w:ascii="Times New Roman" w:hAnsi="Times New Roman"/>
                <w:sz w:val="24"/>
              </w:rPr>
              <w:t xml:space="preserve"> Uredbe (EU) št.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Člena 263 in 264</w:t>
            </w:r>
            <w:r>
              <w:rPr>
                <w:rFonts w:ascii="Times New Roman" w:hAnsi="Times New Roman"/>
                <w:sz w:val="24"/>
              </w:rPr>
              <w:t xml:space="preserve"> Uredbe (EU) št.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PRISTOP NOTRANJEGA OCENJEVANJA</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Člena 254 in 265 ter člen 266(5)</w:t>
            </w:r>
            <w:r>
              <w:rPr>
                <w:rFonts w:ascii="Times New Roman" w:hAnsi="Times New Roman"/>
                <w:sz w:val="24"/>
              </w:rPr>
              <w:t xml:space="preserve"> Uredbe (EU) št. 575/2013</w:t>
            </w:r>
            <w:r>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POSEBNA OBRAVNAVA ZA NADREJENE TRANŠE KVALIFICIRANIH LISTINJENJ NEDONOSNIH IZPOSTAVLJENOSTI</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Člen 269a(3) Uredbe (EU) št. 575/2013.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DRUGO (UT = 1 250</w:t>
            </w:r>
            <w:r>
              <w:t> </w:t>
            </w:r>
            <w:r>
              <w:rPr>
                <w:rFonts w:ascii="Times New Roman" w:hAnsi="Times New Roman"/>
                <w:b/>
                <w:sz w:val="24"/>
                <w:u w:val="single"/>
              </w:rPr>
              <w:t>%)</w:t>
            </w:r>
          </w:p>
          <w:p w14:paraId="1684F52F" w14:textId="43F3FE5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Člen 254(7)</w:t>
            </w:r>
            <w:r>
              <w:rPr>
                <w:rFonts w:ascii="Times New Roman" w:hAnsi="Times New Roman"/>
                <w:sz w:val="24"/>
              </w:rPr>
              <w:t xml:space="preserve"> Uredbe (EU) št.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SKUPNI UČINEK (PRILAGODITEV) ZARADI KRŠITVE POGLAVJA 2 UREDBE (EU) 2017/2402</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Člen 270a</w:t>
            </w:r>
            <w:r>
              <w:rPr>
                <w:rFonts w:ascii="Times New Roman" w:hAnsi="Times New Roman"/>
                <w:sz w:val="24"/>
              </w:rPr>
              <w:t xml:space="preserve"> Uredbe (EU) št.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PRED UVEDBO OMEJITVE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Člen 337 Uredbe (EU) št. 575/2013, pri čemer se ne upošteva diskrecijska pravica iz člena 335 navedene uredbe, ki instituciji omogoča omejitev produkta uteži in neto pozicije na raven največje možne izgube, povezane s tveganjem neplačila.</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PO UVEDBI OMEJITVE / SKUPNE KAPITALSKE ZAHTEVE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 xml:space="preserve">Člen 337 Uredbe (EU) št. 575/2013 ob </w:t>
            </w:r>
            <w:r>
              <w:rPr>
                <w:rStyle w:val="InstructionsTabelleText"/>
                <w:rFonts w:ascii="Times New Roman" w:hAnsi="Times New Roman"/>
                <w:sz w:val="24"/>
              </w:rPr>
              <w:t>upoštevanju</w:t>
            </w:r>
            <w:r>
              <w:rPr>
                <w:rFonts w:ascii="Times New Roman" w:hAnsi="Times New Roman"/>
                <w:sz w:val="24"/>
              </w:rPr>
              <w:t xml:space="preserve"> diskrecijske pravice iz člena 335 navedene uredbe.</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Vrstice</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SKUPNI ZNESEK IZPOSTAVLJENOSTI</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 xml:space="preserve">Skupni znesek neporavnanih listinjenj in </w:t>
            </w:r>
            <w:proofErr w:type="spellStart"/>
            <w:r>
              <w:rPr>
                <w:rStyle w:val="InstructionsTabelleText"/>
                <w:rFonts w:ascii="Times New Roman" w:hAnsi="Times New Roman"/>
                <w:sz w:val="24"/>
              </w:rPr>
              <w:t>relistinjenj</w:t>
            </w:r>
            <w:proofErr w:type="spellEnd"/>
            <w:r>
              <w:rPr>
                <w:rStyle w:val="InstructionsTabelleText"/>
                <w:rFonts w:ascii="Times New Roman" w:hAnsi="Times New Roman"/>
                <w:sz w:val="24"/>
              </w:rPr>
              <w:t xml:space="preserve"> (v trgovalni knjigi), ki ga sporoči institucija v vlogi originatorja, investitorja ali sponzorja.</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in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POZICIJE V LISTINJENJU</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Člen 4(1), točka 62, Uredbe (EU) št.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in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POZICIJE V RELISTINJENJU</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Člen 4(1), točka 64, Uredbe (EU) št.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in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OD TEGA: IZPOLNJENI POGOJI ZA DIFERENCIRANO KAPITALSKO OBRAVNAVO</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Skupni znesek pozicij v listinjenju, ki ustrezajo merilom iz člena 243 ali člena 270 Uredbe (EU) št. 575/2013 in tako izpolnjujejo pogoje za diferencirano kapitalsko obravnavo.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ORIGINATOR</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Člen 4(1), točka 13, Uredbe (EU) št.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INVESTITOR</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Kreditna institucija, ki ima pozicijo v listinjenju v poslu listinjenja, pri katerem ni originator, sponzor ali prvotni kreditodajalec.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SPONZOR</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Člen 4(1), točka 14, Uredbe (EU) št. 575/2013</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Sponzor, ki listini tudi svoja lastna sredstva, v vrsticah originatorja navede informacije glede lastnih listinjenih sredstev.</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747761"/>
      <w:r>
        <w:rPr>
          <w:rFonts w:ascii="Times New Roman" w:hAnsi="Times New Roman"/>
          <w:sz w:val="24"/>
          <w:u w:val="none"/>
        </w:rPr>
        <w:t>4.</w:t>
      </w:r>
      <w:r w:rsidRPr="00D470B7">
        <w:rPr>
          <w:u w:val="none"/>
        </w:rPr>
        <w:tab/>
      </w:r>
      <w:r>
        <w:rPr>
          <w:rFonts w:ascii="Times New Roman" w:hAnsi="Times New Roman"/>
          <w:sz w:val="24"/>
        </w:rPr>
        <w:t>C 20.00 – TRŽNO TVEGANJE: STANDARDIZIRANI PRISTOP ZA POSEBNO TVEGANJE V TRGOVALNEM PORTFELJU S KORELACIJO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747762"/>
      <w:r>
        <w:rPr>
          <w:rFonts w:ascii="Times New Roman" w:hAnsi="Times New Roman"/>
          <w:sz w:val="24"/>
          <w:u w:val="none"/>
        </w:rPr>
        <w:t>4.1</w:t>
      </w:r>
      <w:r w:rsidRPr="00D470B7">
        <w:rPr>
          <w:u w:val="none"/>
        </w:rPr>
        <w:tab/>
      </w:r>
      <w:r>
        <w:rPr>
          <w:rFonts w:ascii="Times New Roman" w:hAnsi="Times New Roman"/>
          <w:sz w:val="24"/>
        </w:rPr>
        <w:t>Splošne opombe</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V tej predlogi se navedejo informacije o pozicijah trgovalnega portfelja s korelacijo (CTP) (vključno z listinjenji, kreditnimi izvedenimi finančnimi instrumenti na podlagi n-tega neplačila in drugimi pozicijami CTP, vključenimi v skladu s členom 338(3) Uredbe (EU) št. 575/2013) in ustreznih kapitalskih zahtevah v okviru standardiziranega pristopa.</w:t>
      </w:r>
    </w:p>
    <w:p w14:paraId="7D9D9B10" w14:textId="1F1EFDEB" w:rsidR="00C55547" w:rsidRPr="002D60D7" w:rsidRDefault="00C55547" w:rsidP="00E172EA">
      <w:pPr>
        <w:pStyle w:val="InstructionsText2"/>
        <w:numPr>
          <w:ilvl w:val="0"/>
          <w:numId w:val="29"/>
        </w:numPr>
        <w:suppressAutoHyphens/>
      </w:pPr>
      <w:r>
        <w:t xml:space="preserve">Predloga MKR SA CTP predstavlja kapitalske zahteve le za posebno tveganje pozicij, dodeljenih trgovalnemu portfelju s korelacijo v skladu s členom 335 Uredbe (EU) št. 575/2013 v povezavi s členom 338(2) in (3) navedene uredbe. Če so pozicije CTP trgovalne knjige varovane s kreditnimi izvedenimi finančnimi instrumenti, se uporabljata člena 346 in 347 Uredbe (EU) št. 575/2013. Za vse pozicije CTP trgovalne knjige se uporablja le ena predloga ne glede na pristop, </w:t>
      </w:r>
      <w:r>
        <w:lastRenderedPageBreak/>
        <w:t>ki ga investicijska podjetja uporabijo za določanje uteži tveganja za vsako pozicijo v skladu z delom 3, naslov II, poglavje 5, Uredbe (EU) št. 575/2013. O kapitalskih zahtevah za splošno tveganje teh pozicij se poroča v predlogi MKR SA TDI ali MKR IM.</w:t>
      </w:r>
    </w:p>
    <w:p w14:paraId="2252BE4F" w14:textId="4513CABA" w:rsidR="00C55547" w:rsidRPr="002D60D7" w:rsidRDefault="00C55547" w:rsidP="00E172EA">
      <w:pPr>
        <w:pStyle w:val="InstructionsText2"/>
        <w:numPr>
          <w:ilvl w:val="0"/>
          <w:numId w:val="29"/>
        </w:numPr>
        <w:suppressAutoHyphens/>
      </w:pPr>
      <w:r>
        <w:t xml:space="preserve">Ta predloga ločuje pozicije v listinjenju, kreditne izvedene finančne instrumente na podlagi n-tega neplačila in druge pozicije CTP. Pozicije v listinjenju se vedno poročajo v vrsticah 0030, 0060 ali 0090 (odvisno od vloge institucije v listinjenju). Kreditni izvedeni finančni instrumenti na podlagi n-tega neplačila se vedno poročajo v vrstici 0110. „Druge pozicije CTP“ so pozicije, ki niso pozicije v listinjenju ali kreditni izvedeni finančni instrumenti na podlagi n-tega neplačila (glej člen 338(3) Uredbe (EU) št. 575/2013), ampak so izrecno „povezane“ z eno od teh dveh pozicij (zaradi namena varovanja pred tveganjem). </w:t>
      </w:r>
    </w:p>
    <w:p w14:paraId="5B5B9C2A" w14:textId="127C8328" w:rsidR="00C55547" w:rsidRPr="002D60D7" w:rsidRDefault="00C55547" w:rsidP="00E172EA">
      <w:pPr>
        <w:pStyle w:val="InstructionsText2"/>
        <w:numPr>
          <w:ilvl w:val="0"/>
          <w:numId w:val="29"/>
        </w:numPr>
        <w:suppressAutoHyphens/>
      </w:pPr>
      <w:r>
        <w:t>Pozicije, ki se jim dodeli utež tveganja 1 250 %, se lahko alternativno odbijejo od navadnega lastniškega temeljnega kapitala (glej člen 244(1), točka (b), člen 245(1), točka (b), in člen 253 Uredbe (EU) št. 575/2013). Navedene pozicije se poročajo v tej predlogi, tudi če institucija izkoristi možnost odbitka.</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747763"/>
      <w:r>
        <w:rPr>
          <w:rFonts w:ascii="Times New Roman" w:hAnsi="Times New Roman"/>
          <w:sz w:val="24"/>
          <w:u w:val="none"/>
        </w:rPr>
        <w:t>4.2</w:t>
      </w:r>
      <w:r w:rsidRPr="00D470B7">
        <w:rPr>
          <w:u w:val="none"/>
        </w:rPr>
        <w:tab/>
      </w:r>
      <w:r>
        <w:rPr>
          <w:rFonts w:ascii="Times New Roman" w:hAnsi="Times New Roman"/>
          <w:sz w:val="24"/>
        </w:rPr>
        <w:t>Navodila za posamezne pozicije</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Stolpci</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VSE POZICIJE (DOLGE IN KRATKE)</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Člen 102 in člen 105(1) Uredbe (EU) št. 575/2013 v povezavi s členom 338(2) in (3) navedene uredbe (pozicije, dodeljene trgovalnemu portfelju s korelacijo).</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Za razlikovanje med dolgimi in kratkimi pozicijami, ki se uporablja tudi za te bruto pozicije, glej člen 328(2) Uredbe (EU) št. 575/2013.</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POZICIJE, ODBITE OD KAPITALA (DOLGE IN KRATKE)</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Člen 253 Uredbe (EU) št. 575/2013.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NETO POZICIJE (DOLGE IN KRATKE)</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Členi 327, 328, 329 in 334 Uredbe (EU) št. 575/2013.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Za razlikovanje med dolgimi in kratkimi pozicijami glej člen 328(2) navedene uredbe.</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RAZČLENITEV NETO POZICIJ GLEDE NA UTEŽI TVEGANJA</w:t>
            </w:r>
          </w:p>
          <w:p w14:paraId="691F4414" w14:textId="75A08501"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Členi 259 do 262, člen 263, razpredelnici 1 in 2, člen 264, razpredelnici 3 in 4, in člen 266</w:t>
            </w:r>
            <w:r>
              <w:rPr>
                <w:rFonts w:ascii="Times New Roman" w:hAnsi="Times New Roman"/>
                <w:sz w:val="24"/>
              </w:rPr>
              <w:t xml:space="preserve"> Uredbe (EU) št.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RAZČLENITEV NETO POZICIJ GLEDE NA PRISTOPE</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Člen 254</w:t>
            </w:r>
            <w:r>
              <w:rPr>
                <w:rFonts w:ascii="Times New Roman" w:hAnsi="Times New Roman"/>
                <w:sz w:val="24"/>
              </w:rPr>
              <w:t xml:space="preserve"> Uredbe (EU) št. 575/2013.</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Člena 259 in 260</w:t>
            </w:r>
            <w:r>
              <w:rPr>
                <w:rFonts w:ascii="Times New Roman" w:hAnsi="Times New Roman"/>
                <w:sz w:val="24"/>
              </w:rPr>
              <w:t xml:space="preserve"> Uredbe (EU) št.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lastRenderedPageBreak/>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Člena 261 in 262</w:t>
            </w:r>
            <w:r>
              <w:rPr>
                <w:rFonts w:ascii="Times New Roman" w:hAnsi="Times New Roman"/>
                <w:sz w:val="24"/>
              </w:rPr>
              <w:t xml:space="preserve"> Uredbe (EU) št.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Člena 263 in 264</w:t>
            </w:r>
            <w:r>
              <w:rPr>
                <w:rFonts w:ascii="Times New Roman" w:hAnsi="Times New Roman"/>
                <w:sz w:val="24"/>
              </w:rPr>
              <w:t xml:space="preserve"> Uredbe (EU) št.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PRISTOP NOTRANJEGA OCENJEVANJA</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Člena 254 in 265 ter člen 266(5)</w:t>
            </w:r>
            <w:r>
              <w:rPr>
                <w:rFonts w:ascii="Times New Roman" w:hAnsi="Times New Roman"/>
                <w:sz w:val="24"/>
              </w:rPr>
              <w:t xml:space="preserve"> Uredbe (EU) št.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POSEBNA OBRAVNAVA ZA NADREJENE TRANŠE KVALIFICIRANIH LISTINJENJ NEDONOSNIH IZPOSTAVLJENOSTI</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Člen </w:t>
            </w:r>
            <w:r>
              <w:rPr>
                <w:rStyle w:val="InstructionsTabelleText"/>
                <w:rFonts w:ascii="Times New Roman" w:hAnsi="Times New Roman"/>
                <w:sz w:val="24"/>
              </w:rPr>
              <w:t>269a(3)</w:t>
            </w:r>
            <w:r>
              <w:rPr>
                <w:rFonts w:ascii="Times New Roman" w:hAnsi="Times New Roman"/>
                <w:sz w:val="24"/>
              </w:rPr>
              <w:t xml:space="preserve"> Uredbe (EU) št.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DRUGO (UT = 1 250</w:t>
            </w:r>
            <w:r>
              <w:t> </w:t>
            </w:r>
            <w:r>
              <w:rPr>
                <w:rFonts w:ascii="Times New Roman" w:hAnsi="Times New Roman"/>
                <w:b/>
                <w:sz w:val="24"/>
                <w:u w:val="single"/>
              </w:rPr>
              <w:t>%)</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Člen 254(7)</w:t>
            </w:r>
            <w:r>
              <w:rPr>
                <w:rFonts w:ascii="Times New Roman" w:hAnsi="Times New Roman"/>
                <w:sz w:val="24"/>
              </w:rPr>
              <w:t xml:space="preserve"> Uredbe (EU) št.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PRED UVEDBO OMEJITVE – TEHTANE NETO DOLGE/KRATKE POZICIJE</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Člen 338 Uredbe (EU) št. 575/2013 brez upoštevanja diskrecijske pravice iz člena 335 navedene uredbe.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 UVEDBI OMEJITVE – TEHTANE NETO DOLGE/KRATKE POZICIJE</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Člen 338 Uredbe (EU) št. 575/2013 ob upoštevanju diskrecijske pravice iz člena 335 navedene uredbe.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SKUPNE KAPITALSKE ZAHTEVE</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Kapitalska zahteva se določi kot večja izmed</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zahteve za posebno tveganje, ki bi se uporabila le za neto dolge pozicije (stolpec 0430),</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ali (b) zahteve za posebno tveganje, ki bi se uporabila le za neto kratke pozicije (stolpec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059"/>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Vrstice</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SKUPNI ZNESEK IZPOSTAVLJENOSTI</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Skupni znesek neporavnanih pozicij (v trgovalnem portfelju s korelacijo), ki ga sporoči institucija v vlogi originatorja, investitorja ali sponzorja.</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ORIGINATOR</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Člen 4(1), točka 13, Uredbe (EU) št. 575/2013.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INVESTITOR</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Kreditna institucija, ki ima pozicijo v listinjenju v poslu listinjenja, pri katerem ni originator, sponzor ali prvotni kreditodajalec.</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SPONZOR</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Člen 4(1), točka 14, Uredbe (EU) št. 575/2013.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Sponzor, ki listini tudi svoja lastna sredstva, v vrsticah originatorja navede informacije glede lastnih listinjenih sredstev.</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 0060 in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POZICIJE V LISTINJENJU</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Trgovalni portfelj s korelacijo zajema listinjenja, kreditne izvedene finančne instrumente na podlagi n-tega neplačila in morebitne druge pozicije varovanja, ki izpolnjujejo merila iz člena 338(2) in (3) Uredbe (EU) št. 575/2013.</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Izvedeni finančni instrumenti za izpostavljenosti v listinjenju, ki zagotavljajo sorazmeren delež, in pozicije, ki varujejo pozicije CTP, so vključeni v vrstico „Druge pozicije CTP“.</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KREDITNI IZVEDENI FINANČNI INSTRUMENTI NA PODLAGI N-TEGA NEPLAČILA</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Tu se poročajo kreditni izvedeni finančni instrumenti na podlagi n-tega neplačila, ki so zavarovani s kreditnimi izvedenimi finančnimi instrumenti na podlagi n-tega neplačila v skladu s členom 347 Uredbe (EU) št. 575/2013.</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Originator, investitor in sponzor pozicije ne ustrezajo kreditnim izvedenim finančnim instrumentom na podlagi n-tega neplačila. Zato se za kreditne izvedene finančne instrumente na podlagi n-tega neplačila ne zagotovi razčlenitev kot za pozicije v listinjenju.</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in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DRUGE POZICIJE CTP</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Vključene so naslednje pozicije: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izvedeni finančni instrumenti za izpostavljenosti v listinjenju, ki zagotavljajo sorazmeren delež, in pozicije, ki varujejo pozicije CTP;</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pozicije CTP, ki so zavarovane s kreditnimi izvedenimi finančnimi instrumenti v skladu s členom 346 Uredbe (EU) št. 575/2013;</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druge pozicije, ki izpolnjujejo člen 338(3) Uredbe (EU) št. 575/2013.</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747764"/>
      <w:r>
        <w:rPr>
          <w:rFonts w:ascii="Times New Roman" w:hAnsi="Times New Roman"/>
          <w:sz w:val="24"/>
          <w:u w:val="none"/>
        </w:rPr>
        <w:t>5.</w:t>
      </w:r>
      <w:r w:rsidRPr="00D470B7">
        <w:rPr>
          <w:u w:val="none"/>
        </w:rPr>
        <w:tab/>
      </w:r>
      <w:r>
        <w:rPr>
          <w:rFonts w:ascii="Times New Roman" w:hAnsi="Times New Roman"/>
          <w:sz w:val="24"/>
        </w:rPr>
        <w:t>C 21.00 – Tržno tveganje: Standardizirani pristop za pozicijsko tveganje v lastniških finančnih instrumentih</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747765"/>
      <w:r>
        <w:rPr>
          <w:rFonts w:ascii="Times New Roman" w:hAnsi="Times New Roman"/>
          <w:sz w:val="24"/>
          <w:u w:val="none"/>
        </w:rPr>
        <w:t>5.1</w:t>
      </w:r>
      <w:r w:rsidRPr="00D470B7">
        <w:rPr>
          <w:u w:val="none"/>
        </w:rPr>
        <w:tab/>
      </w:r>
      <w:r>
        <w:rPr>
          <w:rFonts w:ascii="Times New Roman" w:hAnsi="Times New Roman"/>
          <w:sz w:val="24"/>
        </w:rPr>
        <w:t>Splošne opombe</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V tej predlogi se navedejo informacije o pozicijah in ustreznih kapitalskih zahtevah za pozicijsko tveganje v lastniškem kapitalu v trgovalni knjigi, obravnavano v okviru standardiziranega pristopa.</w:t>
      </w:r>
    </w:p>
    <w:p w14:paraId="3AF5EC7C" w14:textId="570FEDBA" w:rsidR="00B828CC" w:rsidRPr="002D60D7" w:rsidRDefault="000B0B09" w:rsidP="00E172EA">
      <w:pPr>
        <w:pStyle w:val="InstructionsText2"/>
        <w:numPr>
          <w:ilvl w:val="0"/>
          <w:numId w:val="29"/>
        </w:numPr>
        <w:suppressAutoHyphens/>
      </w:pPr>
      <w:r>
        <w:lastRenderedPageBreak/>
        <w:t>Ta predloga se izpolni ločeno za „Skupaj“ s statičnim, vnaprej določenim seznamom naslednjih trgov: Bolgarija, Češka republika, Danska, Egipt, Madžarska, Islandija, Lihtenštajn, Norveška, Poljska, Romunija, Švedska, Združeno kraljestvo, Albanija, Japonska, Nekdanja jugoslovanska republika Makedonija, Ruska federacija, Srbija, Švica, Turčija, Ukrajina, Združene države Amerike, euroobmočje, vključno s še eno predlogo za vse druge trge. Za namen te zahteve glede poročanja se izraz „trg“ razume kot „država“ (razen za države, ki spadajo v euroobmočje, glej Delegirano uredbo Komisije (EU) št. 525/2014</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747766"/>
      <w:r>
        <w:rPr>
          <w:rFonts w:ascii="Times New Roman" w:hAnsi="Times New Roman"/>
          <w:sz w:val="24"/>
          <w:u w:val="none"/>
        </w:rPr>
        <w:t>5.2</w:t>
      </w:r>
      <w:r w:rsidRPr="00D470B7">
        <w:rPr>
          <w:u w:val="none"/>
        </w:rPr>
        <w:tab/>
      </w:r>
      <w:r>
        <w:rPr>
          <w:rFonts w:ascii="Times New Roman" w:hAnsi="Times New Roman"/>
          <w:sz w:val="24"/>
        </w:rPr>
        <w:t>Navodila za posamezne pozicije</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Stolpci</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VSE POZICIJE (DOLGE IN KRATKE)</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Člen 102 in člen 105(1) Uredbe (EU) št. 575/2013.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To so bruto pozicije, ki niso pobotane z instrumenti in ki ne zajemajo pozicij, ki so bile že prenesene na tretje osebe ali so se te zavezale k njihovemu odkupu, kot je navedeno v členu 345(1), prvi pododstavek, drugi stavek, navedene uredbe.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POZICIJE (DOLGE IN KRATKE)</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Členi 327, 329, 332, 341 in 345 Uredbe (EU) št. 575/2013.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POZICIJE, KI SO PREDMET KAPITALSKE ZAHTEVE</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Tiste neto pozicije, ki v skladu z različnimi pristopi iz dela 3, naslov IV, poglavje 2, Uredbe (EU) št. 575/2013 prejmejo kapitalsko zahtevo. Kapitalska zahteva se izračuna za vsak nacionalni trg ločeno. Pozicije v terminskih pogodbah na delniške indekse iz člena 344(4), drugi stavek, Uredbe (EU) št. 575/2013 se ne vključijo v ta stolpec.</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KAPITALSKE ZAHTEVE</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Kapitalska zahteva v skladu z delom 3, naslov IV, poglavje 2, Uredbe (EU) št. 575/2013 za katero koli zadevno pozicijo.</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ZNESEK SKUPNE IZPOSTAVLJENOSTI TVEGANJU</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Člen 92(6), točka (b), Uredbe (EU) št. 575/2013.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Rezultat množenja kapitalskih zahtev z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8058"/>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Vrstice</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LASTNIŠKI INSTRUMENTI V TRGOVALNI KNJIGI</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lastRenderedPageBreak/>
              <w:t>Kapitalske zahteve za pozicijsko tveganje iz člena 92(3), točka (b)(i), Uredbe (EU) št. 575/2013 in dela 3, naslov IV, poglavje 2, oddelek 3, navedene uredbe.</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SPLOŠNO TVEGANJE</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Pozicije v lastniških instrumentih, ki so predmet splošnega tveganja (člen 343 Uredbe (EU) št. 575/2013), in njihove ustrezne kapitalske zahteve v skladu z delom 3, naslov IV, poglavje 2, oddelek 3, navedene uredbe.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Obe razčlenitvi (vrstici 0021/0022 in vrstici 0030/0040) sta razčlenitvi v zvezi z vsemi pozicijami, ki so predmet splošnega tveganja.</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V vrsticah 0021 in 0022 je treba navesti informacije o razčlenitvi po instrumentih.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Le razčlenitev v vrsticah 0030 in 0040 se uporablja kot podlaga za izračun kapitalskih zahtev.</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Izvedeni finančni instrumenti</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Izvedeni finančni instrumenti, vključeni v izračun tveganja lastniških finančnih instrumentov pozicij v trgovalni knjigi, pri čemer se po potrebi upoštevata člena 329 in 332 Uredbe (EU) št. 575/2013.</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Druga sredstva in obveznosti</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Instrumenti, ki niso izvedeni finančni instrumenti, vključeni v izračun tveganja lastniških finančnih instrumentov pozicij v trgovalni knjigi.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Splošno razpršene terminske pogodbe na delniške indekse, s katerimi se trguje na borzi in so predmet posameznega pristopa</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Splošno razpršene terminske pogodbe na delniške indekse, s katerimi se trguje na borzi in so predmet posameznega pristopa, v skladu z Izvedbeno uredbo Komisije (EU) št. 945/2014</w:t>
            </w:r>
            <w:r>
              <w:rPr>
                <w:rStyle w:val="FootnoteReference"/>
              </w:rPr>
              <w:footnoteReference w:id="3"/>
            </w:r>
            <w:r>
              <w:rPr>
                <w:rFonts w:ascii="Times New Roman" w:hAnsi="Times New Roman"/>
                <w:sz w:val="24"/>
              </w:rPr>
              <w:t>.</w:t>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Te pozicije so predmet izključno splošnega tveganja, zato v skladu s tem ne poročajo v vrstici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Lastniški instrumenti, ki niso splošno razpršene terminske pogodbe na delniške indekse, s katerimi se trguje na borzi</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Druge pozicije v lastniških instrumentih, ki so predmet posebnega tveganja, in ustrezne kapitalske zahteve v skladu s členom 343 Uredbe (EU) št. 575/2013, vključno s pozicijami v terminskih pogodbah na delniške indekse, obravnavanimi v skladu s členom 344(3) navedene uredbe.</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POSEBNO TVEGANJE</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Pozicije v lastniških instrumentih, ki so predmet posebnega tveganja, in ustrezne kapitalske zahteve v skladu s členom 342 Uredbe (EU) št. 575/2013, brez pozicij v terminskih pogodbah na delniške indekse, obravnavanih v skladu s členom 344(4), drugi stavek, navedene uredbe.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DODATNE ZAHTEVE ZA OPCIJE (NE-DELTA TVEGANJA)</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Člen 329(2) in (3) Uredbe (EU) št. 575/2013.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Dodatne zahteve za opcije, povezane s tveganji, ki niso delta tveganja, se poročajo po metodi, ki se uporablja za njihov izračun.</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747767"/>
      <w:r>
        <w:rPr>
          <w:rFonts w:ascii="Times New Roman" w:hAnsi="Times New Roman"/>
          <w:sz w:val="24"/>
          <w:u w:val="none"/>
        </w:rPr>
        <w:t>6.</w:t>
      </w:r>
      <w:r w:rsidRPr="00D470B7">
        <w:rPr>
          <w:u w:val="none"/>
        </w:rPr>
        <w:tab/>
      </w:r>
      <w:r>
        <w:rPr>
          <w:rFonts w:ascii="Times New Roman" w:hAnsi="Times New Roman"/>
          <w:sz w:val="24"/>
        </w:rPr>
        <w:t>C 22.00 – Tržno tveganje: Standardizirani pristopi za valutno tveganje</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747768"/>
      <w:r>
        <w:rPr>
          <w:rFonts w:ascii="Times New Roman" w:hAnsi="Times New Roman"/>
          <w:sz w:val="24"/>
          <w:u w:val="none"/>
        </w:rPr>
        <w:t>6.1</w:t>
      </w:r>
      <w:r w:rsidRPr="00D470B7">
        <w:rPr>
          <w:u w:val="none"/>
        </w:rPr>
        <w:tab/>
      </w:r>
      <w:r>
        <w:rPr>
          <w:rFonts w:ascii="Times New Roman" w:hAnsi="Times New Roman"/>
          <w:sz w:val="24"/>
        </w:rPr>
        <w:t>Splošne opombe</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Investicijska podjetja poročajo informacije o pozicijah v vsaki valuti (vključena valuta poročanja) in ustreznih kapitalskih zahtevah za valutno tveganje, obravnavano po standardiziranem pristopu. Pozicija se izračuna za vsako valuto (vključno z EUR), zlato in pozicije v KNP.</w:t>
      </w:r>
    </w:p>
    <w:p w14:paraId="39EF826C" w14:textId="60814CC7" w:rsidR="000B0B09" w:rsidRPr="002D60D7" w:rsidRDefault="00B31D8A" w:rsidP="00E172EA">
      <w:pPr>
        <w:pStyle w:val="InstructionsText2"/>
        <w:numPr>
          <w:ilvl w:val="0"/>
          <w:numId w:val="29"/>
        </w:numPr>
        <w:suppressAutoHyphens/>
      </w:pPr>
      <w:r>
        <w:t>Vrstice 0100 do 0470 te predloge se poročajo, kadar imajo investicijska podjetja dovoljenje za izvajanje dejavnosti 3 ali 6 iz Priloge I, oddelek A, k Direktivi 2014/65/EU Evropskega parlamenta in Sveta</w:t>
      </w:r>
      <w:r>
        <w:rPr>
          <w:rStyle w:val="FootnoteReference"/>
        </w:rPr>
        <w:footnoteReference w:id="4"/>
      </w:r>
      <w:r>
        <w:t>, tudi če tem investicijskim podjetjem ni treba izračunati kapitalskih zahtev za valutno tveganje v skladu s členom 351 Uredbe (EU) št. 575/2013. V teh pojasnjevalnih postavkah so vse pozicije v valuti poročanja vključene v vrstice 0100 do 0470 ne glede na to, ali se upoštevajo za namene člena 354 Uredbe (EU) št. 575/2013. Vrstice 0130 do 0470 pojasnjevalnih postavk predloge se izpolnijo ločeno za vse valute držav članic Unije, valute GBP, USD, CHF, JPY, RUB, TRY, AUD, CAD, RSD, ALL, UAH, MKD, EGP, ARS, BRL, MXN, HKD, ICK, TWD, NZD, NOK, SGD, KRW in CNY ter vse druge valute.</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747769"/>
      <w:r>
        <w:rPr>
          <w:rFonts w:ascii="Times New Roman" w:hAnsi="Times New Roman"/>
          <w:sz w:val="24"/>
          <w:u w:val="none"/>
        </w:rPr>
        <w:t>6.2</w:t>
      </w:r>
      <w:r w:rsidRPr="00D470B7">
        <w:rPr>
          <w:u w:val="none"/>
        </w:rPr>
        <w:tab/>
      </w:r>
      <w:r>
        <w:rPr>
          <w:rFonts w:ascii="Times New Roman" w:hAnsi="Times New Roman"/>
          <w:sz w:val="24"/>
        </w:rPr>
        <w:t>Navodila za posamezne pozicije</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Stolpci</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VSE POZICIJE (DOLGE IN KRATKE)</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Bruto pozicije zaradi sredstev, zneskov, ki se prejmejo, in podobnih postavk iz člena 352(1) Uredbe (EU) št. 575/2013.</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V skladu s členom 352(2) Uredbe (EU) št. 575/2013 in ob dovoljenju pristojnih organov se pozicije, prevzete za varovanje pred negativnim učinkom deviznega tečaja na njihove količnike v skladu s členom 92(1) navedene uredbe, in pozicije, povezane s postavkami, ki so pri izračunu kapitala že odbite, ne poročajo.</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POZICIJE (DOLGE IN KRATKE)</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Člen 352(3), člen 352(4), prva dva stavka, in člen 353 Uredbe (EU) št. 575/2013.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Neto pozicije se izračunajo za vsako valuto v skladu s členom 352(1) navedene uredbe. Posledično se lahko hkrati poročajo tako dolge kot kratke pozicije.</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POZICIJE, KI SO PREDMET KAPITALSKE ZAHTEVE</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Člen 352(4), tretji stavek, ter člena 353 in 354 Uredbe (EU) št. 575/2013.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POZICIJE, KI SO PREDMET KAPITALSKE ZAHTEVE (DOLGE IN KRATKE)</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Dolge in kratke neto pozicije za vsako valuto se izračunajo z odštetjem vsote kratkih pozicij od vsote dolgih pozicij.</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Prištejejo se dolge neto pozicije za vsako dejavnost v valuti, da se dobi dolga neto pozicija v tej valuti.</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Prištejejo se kratke neto pozicije za vsako dejavnost v valuti, da se dobi kratka neto pozicija v tej valuti.</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Neizravnane pozicije v valutah, v katerih se ne poroča, se prištejejo pozicijam, ki so predmet kapitalskih zahtev za druge valute (vrstica 030) v stolpcu 060 ali 070, odvisno od njihove kratke ali dolge ureditve.</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POZICIJE, KI SO PREDMET KAPITALSKE ZAHTEVE (IZRAVNANE)</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Izravnane pozicije za tesno korelirane valute.</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KAPITALSKE ZAHTEVE</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Kapitalska zahteva za katero koli zadevno pozicijo v skladu z delom 3, naslov IV, poglavje 3, Uredbe (EU) št. 575/2013.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ZNESEK SKUPNE IZPOSTAVLJENOSTI TVEGANJU</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Člen 92(6), točka (b), Uredbe (EU) št. 575/2013.</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Rezultat množenja kapitalskih zahtev z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Vrstice</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SKUPAJ POZICIJE</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Vse pozicije v valutah, v katerih se ne poroča, in tiste pozicije v valutah poročanja, ki se upoštevajo za namene člena 354 Uredbe (EU) št. 575/2013, ter njihove ustrezne kapitalske zahteve za valutno tveganje iz člena 92(3), točka (c)(i), navedene uredbe, ob upoštevanju člena 352(2) in (4) Uredbe (EU) št. 575/2013 (za pretvorbo v valuto poročanja).</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TESNO KORELIRANE VALUTE</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Pozicije in njihove ustrezne kapitalske zahteve za tesno povezane valute iz člena 354 Uredbe (EU) št.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Tesno korelirane valute: </w:t>
            </w:r>
            <w:r>
              <w:rPr>
                <w:rFonts w:ascii="Times New Roman" w:hAnsi="Times New Roman"/>
                <w:b/>
                <w:i/>
                <w:sz w:val="24"/>
                <w:u w:val="single"/>
              </w:rPr>
              <w:t>od tega:</w:t>
            </w:r>
            <w:r>
              <w:rPr>
                <w:rFonts w:ascii="Times New Roman" w:hAnsi="Times New Roman"/>
                <w:b/>
                <w:sz w:val="24"/>
                <w:u w:val="single"/>
              </w:rPr>
              <w:t xml:space="preserve"> valuta poročanja</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Pozicije v valutah poročanja, ki prispevajo k izračunu kapitalskih zahtev v skladu s členom 354 Uredbe (EU) št. 575/2013.</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VSE DRUGE VALUTE (vključno s pozicijami v KNP v tujih valutah, obravnavanimi kot druge valute)</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Pozicije in njihove ustrezne kapitalske zahteve za valute, ki so predmet splošnega postopka, iz člena 351 ter člena 352(2) in (4) Uredbe (EU) št. 575/2013.</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Poročanje o KNP, obravnavanih kot ločene valute, v skladu s členom 353 Uredbe (EU) št. 575/2013:</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Na voljo sta dve različni obravnavi KNP, obravnavanih kot ločene valute za izračun kapitalskih zahtev:</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spremenjena zlata metoda, če smer naložbe KNP ni na voljo (ti KNP se dodajo skupni neto poziciji institucije v tuji valuti);</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če je smer naložbe KNP na voljo, se KNP dodajo skupni odprti poziciji v tuji valuti (dolga ali kratka, odvisno od smeri KNP).</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Pri poročanju o teh KNP se upošteva izračun kapitalskih zahtev.</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ZLATO</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Pozicije in njihove ustrezne kapitalske zahteve za valute, ki so predmet splošnega postopka, iz člena 351 ter člena 352(2) in (4) Uredbe (EU) št. 575/2013.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DODATNE ZAHTEVE ZA OPCIJE (NE-DELTA TVEGANJA)</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Člen 352(5) in (6) Uredbe (EU) št. 575/2013.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Dodatne zahteve za opcije, povezane s tveganji, ki niso delta tveganja, se poročajo razčlenjene po metodi, ki se uporablja za njihov izračun.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Razčlenitev skupnih pozicij (vključena valuta poročanja) glede na vrste izpostavljenosti</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Skupne pozicije se razčlenijo na izvedene finančne instrumente, druga sredstva in obveznosti ter zunajbilančne postavke.</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Druga sredstva in obveznosti razen zunajbilančnih postavk in izvedenih finančnih instrumentov</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Pozicije, ki niso vključene v vrstico 0110 ali 0120, se vključijo v to vrstico.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Zunajbilančne postavke</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Postavke iz področja uporabe člena 352 Uredbe (EU) št. 575/2013 ne glede na valuto, v kateri so denominirane, vključene v Prilogo I k navedeni uredbi, razen postavk, vključenih kot posli financiranja z vrednostnimi papirji in posli z dolgim rokom poravnave ali iz pogodbenega pobota med različnimi kategorijami produktov.</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Izvedeni finančni instrumenti</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Dodatne prilagoditve vrednosti za koncentracije pozicij, izračunane v skladu s členom 352 Uredbe (EU) št. 575/2013.</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POJASNJEVALNE POSTAVKE: VALUTNE POZICIJE</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Pojasnjevalne postavke predloge se izpolnijo ločeno za vse valute držav članic Unije in za GBP, USD, CHF, JPY, RUB, TRY, AUD, CAD, RSD, ALL, UAH, MKD, EGP, ARS, BRL, MXN, HKD, ICK, TWD, NZD, NOK, SGD, KRW, CNY ter vse druge valute.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V vrstico 0470 se vključijo pozicije v zlatu in pozicije v KNP, obravnavane kot ločena valuta v skladu s členom 353(3) Uredbe (EU) št. 575/2013.</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747770"/>
      <w:r>
        <w:rPr>
          <w:rFonts w:ascii="Times New Roman" w:hAnsi="Times New Roman"/>
          <w:sz w:val="24"/>
          <w:u w:val="none"/>
        </w:rPr>
        <w:t>7.</w:t>
      </w:r>
      <w:r w:rsidRPr="00D470B7">
        <w:rPr>
          <w:u w:val="none"/>
        </w:rPr>
        <w:tab/>
      </w:r>
      <w:r>
        <w:rPr>
          <w:rFonts w:ascii="Times New Roman" w:hAnsi="Times New Roman"/>
          <w:sz w:val="24"/>
        </w:rPr>
        <w:t>C 23.00 – Tržno tveganje: Standardizirani pristopi za blago</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747771"/>
      <w:r>
        <w:rPr>
          <w:rFonts w:ascii="Times New Roman" w:hAnsi="Times New Roman"/>
          <w:sz w:val="24"/>
          <w:u w:val="none"/>
        </w:rPr>
        <w:t>7.1</w:t>
      </w:r>
      <w:r w:rsidRPr="00D470B7">
        <w:rPr>
          <w:u w:val="none"/>
        </w:rPr>
        <w:tab/>
      </w:r>
      <w:r>
        <w:rPr>
          <w:rFonts w:ascii="Times New Roman" w:hAnsi="Times New Roman"/>
          <w:sz w:val="24"/>
        </w:rPr>
        <w:t>Splošne opombe</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V tej predlogi se navedejo informacije o pozicijah v blagu in ustreznih kapitalskih zahtevah, obravnavanih v okviru standardiziranega pristopa.</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747772"/>
      <w:r>
        <w:rPr>
          <w:rFonts w:ascii="Times New Roman" w:hAnsi="Times New Roman"/>
          <w:sz w:val="24"/>
          <w:u w:val="none"/>
        </w:rPr>
        <w:t>7.2</w:t>
      </w:r>
      <w:r w:rsidRPr="00D470B7">
        <w:rPr>
          <w:u w:val="none"/>
        </w:rPr>
        <w:tab/>
      </w:r>
      <w:r>
        <w:rPr>
          <w:rFonts w:ascii="Times New Roman" w:hAnsi="Times New Roman"/>
          <w:sz w:val="24"/>
        </w:rPr>
        <w:t>Navodila za posamezne pozicije</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Stolpci</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VSE POZICIJE (DOLGE IN KRATKE)</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Bruto dolge/kratke pozicije, ki so obravnavane kot pozicije v enakem blagu, v skladu s členom 357(4) Uredbe (EU) št. 575/2013 (glej tudi člen 359(1) navedene uredbe).</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NETO POZICIJE (DOLGE IN KRATKE)</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V skladu s členom 357(3) Uredbe (EU) št. 575/2013.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POZICIJE, KI SO PREDMET KAPITALSKE ZAHTEVE</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Tiste neto pozicije, ki v skladu z različnimi pristopi iz dela 3, naslov IV, poglavje 4, Uredbe (EU) št. 575/2013 prejmejo kapitalsko zahtevo.</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KAPITALSKE ZAHTEVE</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Kapitalska zahteva, izračunana v skladu z delom 3, naslov IV, poglavje 4, Uredbe (EU) št. 575/2013, za katero koli zadevno pozicijo.</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ZNESEK SKUPNE IZPOSTAVLJENOSTI TVEGANJU</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Člen 92(6), točka (b), Uredbe (EU) št. 575/2013.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lastRenderedPageBreak/>
              <w:t>Rezultat množenja kapitalskih zahtev z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Vrstice</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SKUPAJ POZICIJE V BLAGU</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Pozicije v blagu in njihove ustrezne kapitalske zahteve za tržno tveganje, izračunane v skladu s členom 92(4), točka (c), Uredbe (EU) št. 575/2013 ter delom 3, naslov IV, poglavje 4, navedene uredbe.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POZICIJE GLEDE NA KATEGORIJO BLAGA</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Za namene poročanja se blago združi v štiri skupine blaga iz člena 361, razpredelnica 2, Uredbe (EU) št. 575/2013.</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PRISTOP LESTVICE ZAPADLOSTI</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Pozicije v blagu, ki so predmet pristopa lestvice zapadlosti iz člena 359 Uredbe (EU) št. 575/2013.</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RAZŠIRJENI PRISTOP LESTVICE ZAPADLOSTI</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Pozicije v blagu, ki so predmet razširjenega pristopa lestvice zapadlosti iz člena 361 Uredbe (EU) št. 575/2013.</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POENOSTAVLJENI PRISTOP</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Pozicije v blagu, ki so predmet poenostavljenega pristopa iz člena 360 Uredbe (EU) št. 575/2013.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DODATNE ZAHTEVE ZA OPCIJE (NE-DELTA TVEGANJA)</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Člen 358(4) Uredbe (EU) št. 575/2013.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Dodatne zahteve za opcije, povezane s tveganji, ki niso delta tveganja, se poročajo po metodi, ki se uporablja za njihov izračun.</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747773"/>
      <w:r w:rsidRPr="00D470B7">
        <w:rPr>
          <w:rFonts w:ascii="Times New Roman" w:hAnsi="Times New Roman"/>
          <w:sz w:val="24"/>
        </w:rPr>
        <w:t>8.</w:t>
      </w:r>
      <w:r w:rsidRPr="00D470B7">
        <w:tab/>
      </w:r>
      <w:r>
        <w:rPr>
          <w:rFonts w:ascii="Times New Roman" w:hAnsi="Times New Roman"/>
          <w:sz w:val="24"/>
        </w:rPr>
        <w:t>C 24.00 – Notranji modeli za tržna tveganja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747774"/>
      <w:r>
        <w:rPr>
          <w:rFonts w:ascii="Times New Roman" w:hAnsi="Times New Roman"/>
          <w:sz w:val="24"/>
          <w:u w:val="none"/>
        </w:rPr>
        <w:t>8.1</w:t>
      </w:r>
      <w:r w:rsidRPr="00D470B7">
        <w:rPr>
          <w:u w:val="none"/>
        </w:rPr>
        <w:tab/>
      </w:r>
      <w:r>
        <w:rPr>
          <w:rFonts w:ascii="Times New Roman" w:hAnsi="Times New Roman"/>
          <w:sz w:val="24"/>
        </w:rPr>
        <w:t>Splošne opombe</w:t>
      </w:r>
      <w:bookmarkEnd w:id="159"/>
      <w:bookmarkEnd w:id="160"/>
    </w:p>
    <w:p w14:paraId="2B3D1454" w14:textId="708078C0" w:rsidR="005970B6" w:rsidRPr="002D60D7" w:rsidRDefault="005970B6" w:rsidP="00E172EA">
      <w:pPr>
        <w:pStyle w:val="InstructionsText2"/>
        <w:numPr>
          <w:ilvl w:val="0"/>
          <w:numId w:val="29"/>
        </w:numPr>
        <w:suppressAutoHyphens/>
      </w:pPr>
      <w:r>
        <w:t>Ta predloga vsebuje razčlenitev zneskov tvegane vrednosti (</w:t>
      </w:r>
      <w:proofErr w:type="spellStart"/>
      <w:r>
        <w:t>VaR</w:t>
      </w:r>
      <w:proofErr w:type="spellEnd"/>
      <w:r>
        <w:t>) in stresne tvegane vrednosti (</w:t>
      </w:r>
      <w:proofErr w:type="spellStart"/>
      <w:r>
        <w:t>sVaR</w:t>
      </w:r>
      <w:proofErr w:type="spellEnd"/>
      <w:r>
        <w:t>) glede na različna tržna tveganja (dolžniški instrument, lastniški instrument, tuja valuta, blago) in druge informacije, pomembne za izračun kapitalskih zahtev.</w:t>
      </w:r>
    </w:p>
    <w:p w14:paraId="6141A6DE" w14:textId="106A2D11" w:rsidR="005970B6" w:rsidRDefault="005970B6" w:rsidP="00E172EA">
      <w:pPr>
        <w:pStyle w:val="InstructionsText2"/>
        <w:numPr>
          <w:ilvl w:val="0"/>
          <w:numId w:val="29"/>
        </w:numPr>
        <w:suppressAutoHyphens/>
      </w:pPr>
      <w:r>
        <w:lastRenderedPageBreak/>
        <w:t xml:space="preserve">Običajno je to, ali se lahko zneske za splošno in posebno tveganje določi in poroča ločeno ali samo kot skupen znesek, odvisno od strukture modela investicijskih podjetij. To velja tudi za razčlenitev tvegane vrednosti/stresne tvegane vrednosti v kategorije tveganja (obrestno tveganje, tveganje lastniških finančnih instrumentov, valutno tveganje in blagovno tveganje). Instituciji ni treba poročati teh razčlenitev, če ta institucija dokaže, da bi bilo poročanje teh zneskov pretirano obremenjujoče.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747775"/>
      <w:r>
        <w:rPr>
          <w:rFonts w:ascii="Times New Roman" w:hAnsi="Times New Roman"/>
          <w:sz w:val="24"/>
          <w:u w:val="none"/>
        </w:rPr>
        <w:t>8.2</w:t>
      </w:r>
      <w:r w:rsidRPr="00D470B7">
        <w:rPr>
          <w:u w:val="none"/>
        </w:rPr>
        <w:tab/>
      </w:r>
      <w:r>
        <w:rPr>
          <w:rFonts w:ascii="Times New Roman" w:hAnsi="Times New Roman"/>
          <w:sz w:val="24"/>
        </w:rPr>
        <w:t>Navodila za posamezne pozicije</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Stolpci</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Tvegana vrednost (</w:t>
            </w:r>
            <w:proofErr w:type="spellStart"/>
            <w:r>
              <w:rPr>
                <w:rFonts w:ascii="Times New Roman" w:hAnsi="Times New Roman"/>
                <w:b/>
                <w:sz w:val="24"/>
                <w:u w:val="single"/>
              </w:rPr>
              <w:t>VaR</w:t>
            </w:r>
            <w:proofErr w:type="spellEnd"/>
            <w:r>
              <w:rPr>
                <w:rFonts w:ascii="Times New Roman" w:hAnsi="Times New Roman"/>
                <w:b/>
                <w:sz w:val="24"/>
                <w:u w:val="single"/>
              </w:rPr>
              <w:t>)</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proofErr w:type="spellStart"/>
            <w:r>
              <w:rPr>
                <w:rFonts w:ascii="Times New Roman" w:hAnsi="Times New Roman"/>
                <w:sz w:val="24"/>
              </w:rPr>
              <w:t>VaR</w:t>
            </w:r>
            <w:proofErr w:type="spellEnd"/>
            <w:r>
              <w:rPr>
                <w:rFonts w:ascii="Times New Roman" w:hAnsi="Times New Roman"/>
                <w:sz w:val="24"/>
              </w:rPr>
              <w:t xml:space="preserve"> pomeni največjo možno izgubo, ki bi izhajala iz spremembe cene z določeno verjetnostjo v določenem časovnem obdobju.</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Multiplikacijski faktor (mc) x povprečje </w:t>
            </w:r>
            <w:proofErr w:type="spellStart"/>
            <w:r>
              <w:rPr>
                <w:rFonts w:ascii="Times New Roman" w:hAnsi="Times New Roman"/>
                <w:b/>
                <w:sz w:val="24"/>
                <w:u w:val="single"/>
              </w:rPr>
              <w:t>VaR</w:t>
            </w:r>
            <w:proofErr w:type="spellEnd"/>
            <w:r>
              <w:rPr>
                <w:rFonts w:ascii="Times New Roman" w:hAnsi="Times New Roman"/>
                <w:b/>
                <w:sz w:val="24"/>
                <w:u w:val="single"/>
              </w:rPr>
              <w:t xml:space="preserve"> za preteklih 60 delovnih dni (</w:t>
            </w:r>
            <w:proofErr w:type="spellStart"/>
            <w:r>
              <w:rPr>
                <w:rFonts w:ascii="Times New Roman" w:hAnsi="Times New Roman"/>
                <w:b/>
                <w:sz w:val="24"/>
                <w:u w:val="single"/>
              </w:rPr>
              <w:t>VaRavg</w:t>
            </w:r>
            <w:proofErr w:type="spellEnd"/>
            <w:r>
              <w:rPr>
                <w:rFonts w:ascii="Times New Roman" w:hAnsi="Times New Roman"/>
                <w:b/>
                <w:sz w:val="24"/>
                <w:u w:val="single"/>
              </w:rPr>
              <w:t>)</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Člen 364(1), točka (a)(ii), in člen 365(1) Uredbe (EU) št. 575/2013.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proofErr w:type="spellStart"/>
            <w:r>
              <w:rPr>
                <w:rFonts w:ascii="Times New Roman" w:hAnsi="Times New Roman"/>
                <w:b/>
                <w:sz w:val="24"/>
                <w:u w:val="single"/>
              </w:rPr>
              <w:t>VaR</w:t>
            </w:r>
            <w:proofErr w:type="spellEnd"/>
            <w:r>
              <w:rPr>
                <w:rFonts w:ascii="Times New Roman" w:hAnsi="Times New Roman"/>
                <w:b/>
                <w:sz w:val="24"/>
                <w:u w:val="single"/>
              </w:rPr>
              <w:t xml:space="preserve"> prejšnjega dne (</w:t>
            </w:r>
            <w:proofErr w:type="spellStart"/>
            <w:r>
              <w:rPr>
                <w:rFonts w:ascii="Times New Roman" w:hAnsi="Times New Roman"/>
                <w:b/>
                <w:sz w:val="24"/>
                <w:u w:val="single"/>
              </w:rPr>
              <w:t>VaRt</w:t>
            </w:r>
            <w:proofErr w:type="spellEnd"/>
            <w:r>
              <w:rPr>
                <w:rFonts w:ascii="Times New Roman" w:hAnsi="Times New Roman"/>
                <w:b/>
                <w:sz w:val="24"/>
                <w:u w:val="single"/>
              </w:rPr>
              <w: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Člen 364(1), točka (a)(i), in člen 365(1) Uredbe (EU) št. 575/2013.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Stresna tvegana vrednost (</w:t>
            </w:r>
            <w:proofErr w:type="spellStart"/>
            <w:r>
              <w:rPr>
                <w:rFonts w:ascii="Times New Roman" w:hAnsi="Times New Roman"/>
                <w:b/>
                <w:sz w:val="24"/>
                <w:u w:val="single"/>
              </w:rPr>
              <w:t>SVaR</w:t>
            </w:r>
            <w:proofErr w:type="spellEnd"/>
            <w:r>
              <w:rPr>
                <w:rFonts w:ascii="Times New Roman" w:hAnsi="Times New Roman"/>
                <w:b/>
                <w:sz w:val="24"/>
                <w:u w:val="single"/>
              </w:rPr>
              <w:t>)</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proofErr w:type="spellStart"/>
            <w:r>
              <w:rPr>
                <w:rFonts w:ascii="Times New Roman" w:hAnsi="Times New Roman"/>
                <w:sz w:val="24"/>
              </w:rPr>
              <w:t>SVaR</w:t>
            </w:r>
            <w:proofErr w:type="spellEnd"/>
            <w:r>
              <w:rPr>
                <w:rFonts w:ascii="Times New Roman" w:hAnsi="Times New Roman"/>
                <w:sz w:val="24"/>
              </w:rPr>
              <w:t xml:space="preserve"> pomeni največjo možno izgubo, ki bi izhajala iz spremembe cene z določeno verjetnostjo v določenem časovnem obdobju, pri čemer se pridobi z uporabo vhodnih podatkov, umerjenih na pretekle podatke iz neprekinjenega 12-mesečnega obdobja finančnega stresa, ki zadeva portfelj institucije.</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Multiplikacijski faktor (ms) x povprečje </w:t>
            </w:r>
            <w:proofErr w:type="spellStart"/>
            <w:r>
              <w:rPr>
                <w:rFonts w:ascii="Times New Roman" w:hAnsi="Times New Roman"/>
                <w:b/>
                <w:sz w:val="24"/>
                <w:u w:val="single"/>
              </w:rPr>
              <w:t>SVaR</w:t>
            </w:r>
            <w:proofErr w:type="spellEnd"/>
            <w:r>
              <w:rPr>
                <w:rFonts w:ascii="Times New Roman" w:hAnsi="Times New Roman"/>
                <w:b/>
                <w:sz w:val="24"/>
                <w:u w:val="single"/>
              </w:rPr>
              <w:t xml:space="preserve"> za preteklih 60 delovnih dni (</w:t>
            </w:r>
            <w:proofErr w:type="spellStart"/>
            <w:r>
              <w:rPr>
                <w:rFonts w:ascii="Times New Roman" w:hAnsi="Times New Roman"/>
                <w:b/>
                <w:sz w:val="24"/>
                <w:u w:val="single"/>
              </w:rPr>
              <w:t>SVaRavg</w:t>
            </w:r>
            <w:proofErr w:type="spellEnd"/>
            <w:r>
              <w:rPr>
                <w:rFonts w:ascii="Times New Roman" w:hAnsi="Times New Roman"/>
                <w:b/>
                <w:sz w:val="24"/>
                <w:u w:val="single"/>
              </w:rPr>
              <w:t>)</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Člen 364(1), točka (b)(ii), in člen 365(1) Uredbe (EU) št. 575/2013.</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Zadnji razpoložljivi </w:t>
            </w:r>
            <w:proofErr w:type="spellStart"/>
            <w:r>
              <w:rPr>
                <w:rFonts w:ascii="Times New Roman" w:hAnsi="Times New Roman"/>
                <w:b/>
                <w:sz w:val="24"/>
                <w:u w:val="single"/>
              </w:rPr>
              <w:t>SVaR</w:t>
            </w:r>
            <w:proofErr w:type="spellEnd"/>
            <w:r>
              <w:rPr>
                <w:rFonts w:ascii="Times New Roman" w:hAnsi="Times New Roman"/>
                <w:b/>
                <w:sz w:val="24"/>
                <w:u w:val="single"/>
              </w:rPr>
              <w:t xml:space="preserve">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Člen 364(1), točka (b)(i), in člen 365(1) Uredbe (EU) št. 575/2013.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KAPITALSKE ZAHTEVE ZA PRESEŽNO TVEGANJE NEPLAČILA IN MIGRACIJE</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Kapitalske zahteve za presežno tveganje neplačila in migracije pomenijo največjo možno izgubo, ki bi izhajala iz spremembe cene, povezane s tveganji neplačila in migracije, izračunanimi v skladu s členom 364(2), točka (b), v povezavi z delom 3, naslov IV, poglavje 5, oddelek 4, Uredbe (EU) št. 575/2013.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Povprečna vrednost 12-ih tednov</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Člen 364(2), točka (b)(ii), v povezavi z delom 3, naslov IV, poglavje 5, oddelek 4, Uredbe (EU) št.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Zadnja vrednost</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Člen 364(2), točka (b)(i), v povezavi z delom 3, naslov IV, poglavje 5, oddelek 4, Uredbe (EU) št.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KAPITALSKA ZAHTEVA ZA VSA CENOVNA TVEGANJA V TRGOVALNEM PORTFELJU S KORELACIJO</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SPODNJA MEJA</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Člen 364(3), točka (c), Uredbe (EU) št. 575/2013.</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8 % kapitalske zahteve, ki bi se izračunala v skladu s členom 338(1) Uredbe (EU) št. 575/2013 za vse pozicije v kapitalski zahtevi „za vsa cenovna tveganja“.</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POVPREČNA VREDNOST 12-IH TEDNOV IN ZADNJA VREDNOST</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Člen 364(3), točka (b), Uredbe (EU) št.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ZADNJA VREDNOST</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Člen 364(3), točka (a), Uredbe (EU) št.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KAPITALSKE ZAHTEVE</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Kapitalske zahteve iz člena 364 Uredbe (EU) št. 575/2013 o vseh dejavnikih tveganja ob upoštevanju učinka korelacije, če je to ustrezno, s presežnim tveganjem neplačila in migracije ter vsemi cenovnimi tveganji za CTP, vendar brez kapitalskih zahtev listinjenja za listinjenje in kreditni izvedeni finančni instrument na podlagi n-tega neplačila v skladu s členom 364(2) navedene uredbe.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ZNESEK SKUPNE IZPOSTAVLJENOSTI TVEGANJU</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Člen 92(6), točka (b), Uredbe (EU) št. 575/2013.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Rezultat množenja kapitalskih zahtev z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Število preseganj (v zadnjih 250 delovnih dneh)</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Iz člena 366 Uredbe (EU) št. 575/2013.</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 xml:space="preserve">Sporoči se število preseganj, na podlagi katerih se določi </w:t>
            </w:r>
            <w:proofErr w:type="spellStart"/>
            <w:r>
              <w:rPr>
                <w:rFonts w:ascii="Times New Roman" w:hAnsi="Times New Roman"/>
                <w:sz w:val="24"/>
              </w:rPr>
              <w:t>prištevek</w:t>
            </w:r>
            <w:proofErr w:type="spellEnd"/>
            <w:r>
              <w:rPr>
                <w:rFonts w:ascii="Times New Roman" w:hAnsi="Times New Roman"/>
                <w:sz w:val="24"/>
              </w:rPr>
              <w:t xml:space="preserve">. Če je investicijskim podjetjem dovoljeno, da iz izračuna </w:t>
            </w:r>
            <w:proofErr w:type="spellStart"/>
            <w:r>
              <w:rPr>
                <w:rFonts w:ascii="Times New Roman" w:hAnsi="Times New Roman"/>
                <w:sz w:val="24"/>
              </w:rPr>
              <w:t>prištevka</w:t>
            </w:r>
            <w:proofErr w:type="spellEnd"/>
            <w:r>
              <w:rPr>
                <w:rFonts w:ascii="Times New Roman" w:hAnsi="Times New Roman"/>
                <w:sz w:val="24"/>
              </w:rPr>
              <w:t xml:space="preserve"> v skladu s členom 500c Uredbe (EU) št. 575/2013 izključijo nekatera preseganja, se od števila preseganj, sporočenih v tem stolpcu, odštejejo ta izključena preseganja.</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 xml:space="preserve">Multiplikacijski faktor </w:t>
            </w:r>
            <w:proofErr w:type="spellStart"/>
            <w:r>
              <w:rPr>
                <w:rFonts w:ascii="Times New Roman" w:hAnsi="Times New Roman"/>
                <w:b/>
                <w:sz w:val="24"/>
                <w:u w:val="single"/>
              </w:rPr>
              <w:t>VaR</w:t>
            </w:r>
            <w:proofErr w:type="spellEnd"/>
            <w:r>
              <w:rPr>
                <w:rFonts w:ascii="Times New Roman" w:hAnsi="Times New Roman"/>
                <w:b/>
                <w:sz w:val="24"/>
                <w:u w:val="single"/>
              </w:rPr>
              <w:t xml:space="preserve"> (mc) in multiplikacijski faktor </w:t>
            </w:r>
            <w:proofErr w:type="spellStart"/>
            <w:r>
              <w:rPr>
                <w:rFonts w:ascii="Times New Roman" w:hAnsi="Times New Roman"/>
                <w:b/>
                <w:sz w:val="24"/>
                <w:u w:val="single"/>
              </w:rPr>
              <w:t>SVaR</w:t>
            </w:r>
            <w:proofErr w:type="spellEnd"/>
            <w:r>
              <w:rPr>
                <w:rFonts w:ascii="Times New Roman" w:hAnsi="Times New Roman"/>
                <w:b/>
                <w:sz w:val="24"/>
                <w:u w:val="single"/>
              </w:rPr>
              <w:t xml:space="preserve">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Kot je navedeno v členu 366 Uredbe (EU) št. 575/2013.</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 xml:space="preserve">Poročata se </w:t>
            </w:r>
            <w:proofErr w:type="spellStart"/>
            <w:r>
              <w:rPr>
                <w:rFonts w:ascii="Times New Roman" w:hAnsi="Times New Roman"/>
                <w:sz w:val="24"/>
              </w:rPr>
              <w:t>multiplikacijska</w:t>
            </w:r>
            <w:proofErr w:type="spellEnd"/>
            <w:r>
              <w:rPr>
                <w:rFonts w:ascii="Times New Roman" w:hAnsi="Times New Roman"/>
                <w:sz w:val="24"/>
              </w:rPr>
              <w:t xml:space="preserve"> faktorja, ki se dejansko uporabljata za izračun kapitalskih zahtev; kadar je ustrezno, po uporabi člena 500c Uredbe (EU) št. 575/2013.</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PREDVIDENA ZAHTEVA ZA SPODNJI PRAG TRGOVALNEGA POTFELJA S KORELACIJO – TEHTANE NETO DOLGE/KRATKE POZICIJE PO UPORABI OMEJITVE</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Pri sporočenem znesku, ki se uporablja kot podlaga za izračun kapitalske zahteve za spodnji prag za vsa cenovna tveganja v skladu s členom 364(3), točka (c), Uredbe (EU) št. 575/2013, se upošteva diskrecijska pravica iz člena 335 navedene uredbe, ki določa, da lahko institucija omeji produkt uteži in neto pozicije na raven največje možne izgube, povezane s tveganjem neplačila.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Vrstice</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SKUPAJ POZICIJE</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Ustreza delu pozicijskega, valutnega in blagovnega tveganja iz člena 363(1) Uredbe (EU) št. 575/2013 v zvezi s faktorji tveganja iz člena 367(2) navedene uredbe.</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Pri stolpcih 0030 do 0060 (tvegana vrednost in stresna tvegana vrednost) zneski v vrstici s skupno vrednostjo niso enakovredni razčlenitvi zneskov za tvegano vrednost/stresno tvegano vrednost zadevnih komponent tveganja.</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DOLŽNIŠKI INSTRUMENTI, S KATERIMI SE TRGUJE NA BORZI</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Ustreza delu pozicijskega tveganja iz člena 363(1) Uredbe (EU) št. 575/2013 v zvezi s faktorji obrestnega tveganja iz člena 367(2), točka (a), navedene uredbe.</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SPLOŠNO TVEGANJE</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Sestavni del, ki predstavlja splošno tveganje, iz člena 362 Uredbe (EU) št. 575/2013.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POSEBNO TVEGANJE</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Sestavni del, ki predstavlja posebno tveganje, iz člena 362 Uredbe (EU) št. 575/2013.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TVEGANJE V LASTNIŠKIH FINANČNIH INSTRUMENTIH</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Ustreza delu pozicijskega tveganja iz člena 363(1) Uredbe (EU) št. 575/2013 v zvezi s faktorji tveganja lastniških finančnih instrumentov iz člena 367(2), točka (c), navedene uredbe.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LASTNIŠKI FINANČNI INSTRUMENTI – SPLOŠNO TVEGANJE</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Sestavni del, ki predstavlja splošno tveganje, iz člena 362 Uredbe (EU) št.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LASTNIŠKI FINANČNI INSTRUMENTI – POSEBNO TVEGANJE</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Sestavni del, ki predstavlja posebno tveganje, iz člena 362 Uredbe (EU) št. 575/2013.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VALUTNO TVEGANJE</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lastRenderedPageBreak/>
              <w:t>Člen 363(1) in člen 367(2), točka (b), Uredbe (EU) št.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BLAGOVNO TVEGANJE</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Člen 363(1) in člen 367(2), točka (d), Uredbe (EU) št. 575/2013.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SKUPNA VREDNOST SPLOŠNEGA TVEGANJA</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Tržno tveganje, ki ga povzročajo splošna tržna gibanja dolžniških instrumentov, s katerimi se trguje na borzi, lastniških finančnih instrumentov, valut in blaga. Tvegana vrednost za splošno tveganje vseh faktorjev tveganja (po potrebi ob upoštevanju učinkov korelacije).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SKUPNA VREDNOST POSEBNEGA TVEGANJA</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Posebno tveganje dolžniških instrumentov, s katerimi se trguje na borzi, in lastniških finančnih instrumentov. Tvegana vrednost za posebno tveganje lastniških finančnih instrumentov in dolžniških instrumentov, s katerimi se trguje na borzi, v trgovalni knjigi (po potrebi ob upoštevanju učinkov korelacije).</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Delegirana uredba Komisije (EU) št. 525/2014 z dne 12. marca 2014 o dopolnitvi Uredbe (EU) št. 575/2013 Evropskega parlamenta in Sveta v zvezi z regulativnimi tehničnimi standardi za opredelitev trga (UL L 148, 20.5.2014, str. 15, 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Izvedbena uredba Komisije (EU) št. 945/2014 z dne 4. septembra 2014 o določitvi izvedbenih tehničnih standardov v zvezi z zadevnimi ustrezno razpršenimi indeksi v skladu z Uredbo (EU) št. 575/2013 Evropskega parlamenta in Sveta (UL L 265, 5.9.2014, str.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ab/>
        <w:t xml:space="preserve">Direktiva 2014/65/EU </w:t>
      </w:r>
      <w:bookmarkStart w:id="129" w:name="_Hlk204078738"/>
      <w:r>
        <w:t>Evropskega parlamenta in Sveta</w:t>
      </w:r>
      <w:bookmarkEnd w:id="129"/>
      <w:r>
        <w:t xml:space="preserve"> z dne 15. maja 2014 o trgih finančnih instrumentov ter spremembi Direktive 2002/92/ES in Direktive 2011/61/EU (UL L 173, 12.6.2014, str.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4BC4"/>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5E3"/>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0B7"/>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sl-SI"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sl-SI"/>
    </w:rPr>
  </w:style>
  <w:style w:type="character" w:customStyle="1" w:styleId="Heading2Char">
    <w:name w:val="Heading 2 Char"/>
    <w:link w:val="Heading2"/>
    <w:uiPriority w:val="99"/>
    <w:locked/>
    <w:rsid w:val="00EC5046"/>
    <w:rPr>
      <w:rFonts w:ascii="Verdana" w:hAnsi="Verdana" w:cs="Times New Roman"/>
      <w:b/>
      <w:sz w:val="24"/>
      <w:szCs w:val="24"/>
      <w:u w:val="single"/>
      <w:lang w:val="sl-SI"/>
    </w:rPr>
  </w:style>
  <w:style w:type="character" w:customStyle="1" w:styleId="Heading3Char">
    <w:name w:val="Heading 3 Char"/>
    <w:aliases w:val="Title 2 Char"/>
    <w:uiPriority w:val="99"/>
    <w:locked/>
    <w:rsid w:val="00884FEB"/>
    <w:rPr>
      <w:rFonts w:cs="Times New Roman"/>
      <w:sz w:val="24"/>
      <w:szCs w:val="24"/>
      <w:lang w:val="sl-SI"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sl-SI"/>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sl-SI"/>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sl-SI"/>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sl-SI"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sl-SI"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sl-SI"/>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sl-SI"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sl-SI"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sl-SI"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sl-SI"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2.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4.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6214</Words>
  <Characters>36981</Characters>
  <Application>Microsoft Office Word</Application>
  <DocSecurity>0</DocSecurity>
  <Lines>1087</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VOLAVSEK Andrej (DGT)</cp:lastModifiedBy>
  <cp:revision>9</cp:revision>
  <dcterms:created xsi:type="dcterms:W3CDTF">2025-10-06T12:40:00Z</dcterms:created>
  <dcterms:modified xsi:type="dcterms:W3CDTF">2025-10-07T14:47:00Z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