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A83C" w14:textId="0B721961" w:rsidR="009E7D0C" w:rsidRPr="00207412" w:rsidRDefault="009E7D0C" w:rsidP="0076375E">
      <w:pPr>
        <w:jc w:val="center"/>
        <w:rPr>
          <w:rFonts w:ascii="Times New Roman" w:hAnsi="Times New Roman"/>
          <w:sz w:val="24"/>
        </w:rPr>
      </w:pPr>
      <w:bookmarkStart w:id="0" w:name="_Toc262568021"/>
      <w:bookmarkStart w:id="1" w:name="_Toc295829847"/>
      <w:r w:rsidRPr="00207412">
        <w:rPr>
          <w:rFonts w:ascii="Times New Roman" w:hAnsi="Times New Roman"/>
          <w:sz w:val="24"/>
        </w:rPr>
        <w:t>SK</w:t>
      </w:r>
    </w:p>
    <w:p w14:paraId="24333E7A" w14:textId="068FF302" w:rsidR="008D696E" w:rsidRPr="00207412" w:rsidRDefault="008D696E" w:rsidP="00A33695">
      <w:pPr>
        <w:jc w:val="center"/>
        <w:rPr>
          <w:rFonts w:ascii="Times New Roman" w:hAnsi="Times New Roman"/>
          <w:sz w:val="24"/>
        </w:rPr>
      </w:pPr>
      <w:r w:rsidRPr="00207412">
        <w:rPr>
          <w:rFonts w:ascii="Times New Roman" w:hAnsi="Times New Roman"/>
          <w:sz w:val="24"/>
        </w:rPr>
        <w:t>PRÍLOHA II</w:t>
      </w:r>
    </w:p>
    <w:p w14:paraId="15D7BAA7" w14:textId="77777777" w:rsidR="00207412" w:rsidRDefault="008D696E" w:rsidP="00A33695">
      <w:pPr>
        <w:jc w:val="center"/>
        <w:rPr>
          <w:rFonts w:ascii="Times New Roman" w:hAnsi="Times New Roman"/>
          <w:sz w:val="24"/>
        </w:rPr>
      </w:pPr>
      <w:r w:rsidRPr="00207412">
        <w:rPr>
          <w:rFonts w:ascii="Times New Roman" w:hAnsi="Times New Roman"/>
          <w:sz w:val="24"/>
        </w:rPr>
        <w:t>„PRÍLOHA XI</w:t>
      </w:r>
    </w:p>
    <w:p w14:paraId="2C40683C" w14:textId="068E22BF" w:rsidR="00436204" w:rsidRPr="00207412" w:rsidRDefault="00D11E4C" w:rsidP="004E7DCF">
      <w:pPr>
        <w:jc w:val="center"/>
        <w:rPr>
          <w:rFonts w:ascii="Times New Roman" w:hAnsi="Times New Roman"/>
          <w:b/>
          <w:sz w:val="24"/>
        </w:rPr>
      </w:pPr>
      <w:r w:rsidRPr="00207412">
        <w:rPr>
          <w:rFonts w:ascii="Times New Roman" w:hAnsi="Times New Roman"/>
          <w:b/>
          <w:sz w:val="24"/>
        </w:rPr>
        <w:t>POKYNY PRE PREDKLADANIE SPRÁV</w:t>
      </w:r>
      <w:r w:rsidR="00207412">
        <w:rPr>
          <w:rFonts w:ascii="Times New Roman" w:hAnsi="Times New Roman"/>
          <w:b/>
          <w:sz w:val="24"/>
        </w:rPr>
        <w:t xml:space="preserve"> O </w:t>
      </w:r>
      <w:r w:rsidRPr="00207412">
        <w:rPr>
          <w:rFonts w:ascii="Times New Roman" w:hAnsi="Times New Roman"/>
          <w:b/>
          <w:sz w:val="24"/>
        </w:rPr>
        <w:t>POŽIADAVKE NA ZÁKLADE K-FAKTORA TÝKAJÚCEHO SA RTM PODĽA K-NPR</w:t>
      </w:r>
    </w:p>
    <w:p w14:paraId="3DEB94EC" w14:textId="77777777" w:rsidR="00783881" w:rsidRPr="00207412" w:rsidRDefault="002648B0" w:rsidP="00487A02">
      <w:pPr>
        <w:pStyle w:val="InstructionsText"/>
      </w:pPr>
      <w:r w:rsidRPr="00207412">
        <w:t>Obsah</w:t>
      </w:r>
    </w:p>
    <w:p w14:paraId="5E4C1DB6" w14:textId="25F6EF2D" w:rsidR="00936F63" w:rsidRPr="00207412" w:rsidRDefault="00745369">
      <w:pPr>
        <w:pStyle w:val="TOC2"/>
        <w:rPr>
          <w:rFonts w:asciiTheme="minorHAnsi" w:eastAsiaTheme="minorEastAsia" w:hAnsiTheme="minorHAnsi" w:cstheme="minorBidi"/>
          <w:b w:val="0"/>
          <w:smallCaps w:val="0"/>
          <w:noProof w:val="0"/>
          <w:kern w:val="2"/>
          <w:sz w:val="24"/>
          <w:szCs w:val="24"/>
          <w:lang w:eastAsia="sk-SK"/>
          <w14:ligatures w14:val="standardContextual"/>
        </w:rPr>
      </w:pPr>
      <w:r w:rsidRPr="00207412">
        <w:rPr>
          <w:rFonts w:ascii="Times New Roman" w:hAnsi="Times New Roman"/>
          <w:noProof w:val="0"/>
          <w:sz w:val="24"/>
        </w:rPr>
        <w:fldChar w:fldCharType="begin"/>
      </w:r>
      <w:r w:rsidRPr="00207412">
        <w:rPr>
          <w:rFonts w:ascii="Times New Roman" w:hAnsi="Times New Roman"/>
          <w:noProof w:val="0"/>
          <w:sz w:val="24"/>
        </w:rPr>
        <w:instrText xml:space="preserve"> TOC \o "1-3" \h \z \u </w:instrText>
      </w:r>
      <w:r w:rsidRPr="00207412">
        <w:rPr>
          <w:rFonts w:ascii="Times New Roman" w:hAnsi="Times New Roman"/>
          <w:noProof w:val="0"/>
          <w:sz w:val="24"/>
        </w:rPr>
        <w:fldChar w:fldCharType="separate"/>
      </w:r>
      <w:hyperlink w:anchor="_Toc210895513" w:history="1">
        <w:r w:rsidR="00936F63" w:rsidRPr="00207412">
          <w:rPr>
            <w:rStyle w:val="Hyperlink"/>
            <w:rFonts w:ascii="Times New Roman" w:hAnsi="Times New Roman"/>
            <w:noProof w:val="0"/>
          </w:rPr>
          <w:t>ČASŤ I: VŠEOBECNÉ POKYNY</w:t>
        </w:r>
        <w:r w:rsidR="00936F63" w:rsidRPr="00207412">
          <w:rPr>
            <w:noProof w:val="0"/>
            <w:webHidden/>
          </w:rPr>
          <w:tab/>
        </w:r>
        <w:r w:rsidR="00936F63" w:rsidRPr="00207412">
          <w:rPr>
            <w:noProof w:val="0"/>
            <w:webHidden/>
          </w:rPr>
          <w:fldChar w:fldCharType="begin"/>
        </w:r>
        <w:r w:rsidR="00936F63" w:rsidRPr="00207412">
          <w:rPr>
            <w:noProof w:val="0"/>
            <w:webHidden/>
          </w:rPr>
          <w:instrText xml:space="preserve"> PAGEREF _Toc210895513 \h </w:instrText>
        </w:r>
        <w:r w:rsidR="00936F63" w:rsidRPr="00207412">
          <w:rPr>
            <w:noProof w:val="0"/>
            <w:webHidden/>
          </w:rPr>
        </w:r>
        <w:r w:rsidR="00936F63" w:rsidRPr="00207412">
          <w:rPr>
            <w:noProof w:val="0"/>
            <w:webHidden/>
          </w:rPr>
          <w:fldChar w:fldCharType="separate"/>
        </w:r>
        <w:r w:rsidR="00936F63" w:rsidRPr="00207412">
          <w:rPr>
            <w:noProof w:val="0"/>
            <w:webHidden/>
          </w:rPr>
          <w:t>2</w:t>
        </w:r>
        <w:r w:rsidR="00936F63" w:rsidRPr="00207412">
          <w:rPr>
            <w:noProof w:val="0"/>
            <w:webHidden/>
          </w:rPr>
          <w:fldChar w:fldCharType="end"/>
        </w:r>
      </w:hyperlink>
    </w:p>
    <w:p w14:paraId="291CBFF6" w14:textId="5314FF40"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14" w:history="1">
        <w:r w:rsidRPr="00207412">
          <w:rPr>
            <w:rStyle w:val="Hyperlink"/>
            <w:rFonts w:ascii="Times New Roman" w:hAnsi="Times New Roman"/>
            <w:noProof w:val="0"/>
          </w:rPr>
          <w:t>1.</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PRAVIDLÁ</w:t>
        </w:r>
        <w:r w:rsidRPr="00207412">
          <w:rPr>
            <w:noProof w:val="0"/>
            <w:webHidden/>
          </w:rPr>
          <w:tab/>
        </w:r>
        <w:r w:rsidRPr="00207412">
          <w:rPr>
            <w:noProof w:val="0"/>
            <w:webHidden/>
          </w:rPr>
          <w:fldChar w:fldCharType="begin"/>
        </w:r>
        <w:r w:rsidRPr="00207412">
          <w:rPr>
            <w:noProof w:val="0"/>
            <w:webHidden/>
          </w:rPr>
          <w:instrText xml:space="preserve"> PAGEREF _Toc210895514 \h </w:instrText>
        </w:r>
        <w:r w:rsidRPr="00207412">
          <w:rPr>
            <w:noProof w:val="0"/>
            <w:webHidden/>
          </w:rPr>
        </w:r>
        <w:r w:rsidRPr="00207412">
          <w:rPr>
            <w:noProof w:val="0"/>
            <w:webHidden/>
          </w:rPr>
          <w:fldChar w:fldCharType="separate"/>
        </w:r>
        <w:r w:rsidRPr="00207412">
          <w:rPr>
            <w:noProof w:val="0"/>
            <w:webHidden/>
          </w:rPr>
          <w:t>2</w:t>
        </w:r>
        <w:r w:rsidRPr="00207412">
          <w:rPr>
            <w:noProof w:val="0"/>
            <w:webHidden/>
          </w:rPr>
          <w:fldChar w:fldCharType="end"/>
        </w:r>
      </w:hyperlink>
    </w:p>
    <w:p w14:paraId="4EFD08F9" w14:textId="4C2F9167"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15" w:history="1">
        <w:r w:rsidRPr="00207412">
          <w:rPr>
            <w:rStyle w:val="Hyperlink"/>
            <w:rFonts w:ascii="Times New Roman" w:hAnsi="Times New Roman"/>
            <w:noProof w:val="0"/>
          </w:rPr>
          <w:t>1.1.</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Pravidlá číslovania</w:t>
        </w:r>
        <w:r w:rsidRPr="00207412">
          <w:rPr>
            <w:noProof w:val="0"/>
            <w:webHidden/>
          </w:rPr>
          <w:tab/>
        </w:r>
        <w:r w:rsidRPr="00207412">
          <w:rPr>
            <w:noProof w:val="0"/>
            <w:webHidden/>
          </w:rPr>
          <w:fldChar w:fldCharType="begin"/>
        </w:r>
        <w:r w:rsidRPr="00207412">
          <w:rPr>
            <w:noProof w:val="0"/>
            <w:webHidden/>
          </w:rPr>
          <w:instrText xml:space="preserve"> PAGEREF _Toc210895515 \h </w:instrText>
        </w:r>
        <w:r w:rsidRPr="00207412">
          <w:rPr>
            <w:noProof w:val="0"/>
            <w:webHidden/>
          </w:rPr>
        </w:r>
        <w:r w:rsidRPr="00207412">
          <w:rPr>
            <w:noProof w:val="0"/>
            <w:webHidden/>
          </w:rPr>
          <w:fldChar w:fldCharType="separate"/>
        </w:r>
        <w:r w:rsidRPr="00207412">
          <w:rPr>
            <w:noProof w:val="0"/>
            <w:webHidden/>
          </w:rPr>
          <w:t>2</w:t>
        </w:r>
        <w:r w:rsidRPr="00207412">
          <w:rPr>
            <w:noProof w:val="0"/>
            <w:webHidden/>
          </w:rPr>
          <w:fldChar w:fldCharType="end"/>
        </w:r>
      </w:hyperlink>
    </w:p>
    <w:p w14:paraId="5C4E12AB" w14:textId="5736D500"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16" w:history="1">
        <w:r w:rsidRPr="00207412">
          <w:rPr>
            <w:rStyle w:val="Hyperlink"/>
            <w:rFonts w:ascii="Times New Roman" w:hAnsi="Times New Roman"/>
            <w:noProof w:val="0"/>
          </w:rPr>
          <w:t>1.2.</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Pravidlá používania znamienok</w:t>
        </w:r>
        <w:r w:rsidRPr="00207412">
          <w:rPr>
            <w:noProof w:val="0"/>
            <w:webHidden/>
          </w:rPr>
          <w:tab/>
        </w:r>
        <w:r w:rsidRPr="00207412">
          <w:rPr>
            <w:noProof w:val="0"/>
            <w:webHidden/>
          </w:rPr>
          <w:fldChar w:fldCharType="begin"/>
        </w:r>
        <w:r w:rsidRPr="00207412">
          <w:rPr>
            <w:noProof w:val="0"/>
            <w:webHidden/>
          </w:rPr>
          <w:instrText xml:space="preserve"> PAGEREF _Toc210895516 \h </w:instrText>
        </w:r>
        <w:r w:rsidRPr="00207412">
          <w:rPr>
            <w:noProof w:val="0"/>
            <w:webHidden/>
          </w:rPr>
        </w:r>
        <w:r w:rsidRPr="00207412">
          <w:rPr>
            <w:noProof w:val="0"/>
            <w:webHidden/>
          </w:rPr>
          <w:fldChar w:fldCharType="separate"/>
        </w:r>
        <w:r w:rsidRPr="00207412">
          <w:rPr>
            <w:noProof w:val="0"/>
            <w:webHidden/>
          </w:rPr>
          <w:t>2</w:t>
        </w:r>
        <w:r w:rsidRPr="00207412">
          <w:rPr>
            <w:noProof w:val="0"/>
            <w:webHidden/>
          </w:rPr>
          <w:fldChar w:fldCharType="end"/>
        </w:r>
      </w:hyperlink>
    </w:p>
    <w:p w14:paraId="3A2F1EA3" w14:textId="3CC2BBA0"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17" w:history="1">
        <w:r w:rsidRPr="00207412">
          <w:rPr>
            <w:rStyle w:val="Hyperlink"/>
            <w:rFonts w:ascii="Times New Roman" w:hAnsi="Times New Roman"/>
            <w:noProof w:val="0"/>
          </w:rPr>
          <w:t>1.3.</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 xml:space="preserve">Odkazy na nariadenie (EÚ) </w:t>
        </w:r>
        <w:r w:rsidR="00207412">
          <w:rPr>
            <w:rStyle w:val="Hyperlink"/>
            <w:rFonts w:ascii="Times New Roman" w:hAnsi="Times New Roman"/>
            <w:noProof w:val="0"/>
          </w:rPr>
          <w:t>č. </w:t>
        </w:r>
        <w:r w:rsidRPr="00207412">
          <w:rPr>
            <w:rStyle w:val="Hyperlink"/>
            <w:rFonts w:ascii="Times New Roman" w:hAnsi="Times New Roman"/>
            <w:noProof w:val="0"/>
          </w:rPr>
          <w:t>575/2013</w:t>
        </w:r>
        <w:r w:rsidRPr="00207412">
          <w:rPr>
            <w:noProof w:val="0"/>
            <w:webHidden/>
          </w:rPr>
          <w:tab/>
        </w:r>
        <w:r w:rsidRPr="00207412">
          <w:rPr>
            <w:noProof w:val="0"/>
            <w:webHidden/>
          </w:rPr>
          <w:fldChar w:fldCharType="begin"/>
        </w:r>
        <w:r w:rsidRPr="00207412">
          <w:rPr>
            <w:noProof w:val="0"/>
            <w:webHidden/>
          </w:rPr>
          <w:instrText xml:space="preserve"> PAGEREF _Toc210895517 \h </w:instrText>
        </w:r>
        <w:r w:rsidRPr="00207412">
          <w:rPr>
            <w:noProof w:val="0"/>
            <w:webHidden/>
          </w:rPr>
        </w:r>
        <w:r w:rsidRPr="00207412">
          <w:rPr>
            <w:noProof w:val="0"/>
            <w:webHidden/>
          </w:rPr>
          <w:fldChar w:fldCharType="separate"/>
        </w:r>
        <w:r w:rsidRPr="00207412">
          <w:rPr>
            <w:noProof w:val="0"/>
            <w:webHidden/>
          </w:rPr>
          <w:t>2</w:t>
        </w:r>
        <w:r w:rsidRPr="00207412">
          <w:rPr>
            <w:noProof w:val="0"/>
            <w:webHidden/>
          </w:rPr>
          <w:fldChar w:fldCharType="end"/>
        </w:r>
      </w:hyperlink>
    </w:p>
    <w:p w14:paraId="3CB71800" w14:textId="1EC7E6D4"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18" w:history="1">
        <w:r w:rsidRPr="00207412">
          <w:rPr>
            <w:rStyle w:val="Hyperlink"/>
            <w:rFonts w:ascii="Times New Roman" w:hAnsi="Times New Roman"/>
            <w:noProof w:val="0"/>
          </w:rPr>
          <w:t>ČASŤ II: POKYNY TÝKAJÚCE SA VZOROV: VZORY PRE TRHOVÉ RIZIKO</w:t>
        </w:r>
        <w:r w:rsidRPr="00207412">
          <w:rPr>
            <w:noProof w:val="0"/>
            <w:webHidden/>
          </w:rPr>
          <w:tab/>
        </w:r>
        <w:r w:rsidRPr="00207412">
          <w:rPr>
            <w:noProof w:val="0"/>
            <w:webHidden/>
          </w:rPr>
          <w:fldChar w:fldCharType="begin"/>
        </w:r>
        <w:r w:rsidRPr="00207412">
          <w:rPr>
            <w:noProof w:val="0"/>
            <w:webHidden/>
          </w:rPr>
          <w:instrText xml:space="preserve"> PAGEREF _Toc210895518 \h </w:instrText>
        </w:r>
        <w:r w:rsidRPr="00207412">
          <w:rPr>
            <w:noProof w:val="0"/>
            <w:webHidden/>
          </w:rPr>
        </w:r>
        <w:r w:rsidRPr="00207412">
          <w:rPr>
            <w:noProof w:val="0"/>
            <w:webHidden/>
          </w:rPr>
          <w:fldChar w:fldCharType="separate"/>
        </w:r>
        <w:r w:rsidRPr="00207412">
          <w:rPr>
            <w:noProof w:val="0"/>
            <w:webHidden/>
          </w:rPr>
          <w:t>3</w:t>
        </w:r>
        <w:r w:rsidRPr="00207412">
          <w:rPr>
            <w:noProof w:val="0"/>
            <w:webHidden/>
          </w:rPr>
          <w:fldChar w:fldCharType="end"/>
        </w:r>
      </w:hyperlink>
    </w:p>
    <w:p w14:paraId="57208819" w14:textId="2DA016E8"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19" w:history="1">
        <w:r w:rsidRPr="00207412">
          <w:rPr>
            <w:rStyle w:val="Hyperlink"/>
            <w:rFonts w:ascii="Times New Roman" w:hAnsi="Times New Roman"/>
            <w:noProof w:val="0"/>
          </w:rPr>
          <w:t>1.</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Všeobecné poznámky</w:t>
        </w:r>
        <w:r w:rsidRPr="00207412">
          <w:rPr>
            <w:noProof w:val="0"/>
            <w:webHidden/>
          </w:rPr>
          <w:tab/>
        </w:r>
        <w:r w:rsidRPr="00207412">
          <w:rPr>
            <w:noProof w:val="0"/>
            <w:webHidden/>
          </w:rPr>
          <w:fldChar w:fldCharType="begin"/>
        </w:r>
        <w:r w:rsidRPr="00207412">
          <w:rPr>
            <w:noProof w:val="0"/>
            <w:webHidden/>
          </w:rPr>
          <w:instrText xml:space="preserve"> PAGEREF _Toc210895519 \h </w:instrText>
        </w:r>
        <w:r w:rsidRPr="00207412">
          <w:rPr>
            <w:noProof w:val="0"/>
            <w:webHidden/>
          </w:rPr>
        </w:r>
        <w:r w:rsidRPr="00207412">
          <w:rPr>
            <w:noProof w:val="0"/>
            <w:webHidden/>
          </w:rPr>
          <w:fldChar w:fldCharType="separate"/>
        </w:r>
        <w:r w:rsidRPr="00207412">
          <w:rPr>
            <w:noProof w:val="0"/>
            <w:webHidden/>
          </w:rPr>
          <w:t>3</w:t>
        </w:r>
        <w:r w:rsidRPr="00207412">
          <w:rPr>
            <w:noProof w:val="0"/>
            <w:webHidden/>
          </w:rPr>
          <w:fldChar w:fldCharType="end"/>
        </w:r>
      </w:hyperlink>
    </w:p>
    <w:p w14:paraId="16120798" w14:textId="7580378D"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20" w:history="1">
        <w:r w:rsidRPr="00207412">
          <w:rPr>
            <w:rStyle w:val="Hyperlink"/>
            <w:rFonts w:ascii="Times New Roman" w:hAnsi="Times New Roman"/>
            <w:noProof w:val="0"/>
          </w:rPr>
          <w:t>2.</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C 18.00 – Trhové riziko: Štandardizovaný prístup pre pozičné riziká obchodovaných dlhových nástrojov (MKR SA TDI)</w:t>
        </w:r>
        <w:r w:rsidRPr="00207412">
          <w:rPr>
            <w:noProof w:val="0"/>
            <w:webHidden/>
          </w:rPr>
          <w:tab/>
        </w:r>
        <w:r w:rsidRPr="00207412">
          <w:rPr>
            <w:noProof w:val="0"/>
            <w:webHidden/>
          </w:rPr>
          <w:fldChar w:fldCharType="begin"/>
        </w:r>
        <w:r w:rsidRPr="00207412">
          <w:rPr>
            <w:noProof w:val="0"/>
            <w:webHidden/>
          </w:rPr>
          <w:instrText xml:space="preserve"> PAGEREF _Toc210895520 \h </w:instrText>
        </w:r>
        <w:r w:rsidRPr="00207412">
          <w:rPr>
            <w:noProof w:val="0"/>
            <w:webHidden/>
          </w:rPr>
        </w:r>
        <w:r w:rsidRPr="00207412">
          <w:rPr>
            <w:noProof w:val="0"/>
            <w:webHidden/>
          </w:rPr>
          <w:fldChar w:fldCharType="separate"/>
        </w:r>
        <w:r w:rsidRPr="00207412">
          <w:rPr>
            <w:noProof w:val="0"/>
            <w:webHidden/>
          </w:rPr>
          <w:t>3</w:t>
        </w:r>
        <w:r w:rsidRPr="00207412">
          <w:rPr>
            <w:noProof w:val="0"/>
            <w:webHidden/>
          </w:rPr>
          <w:fldChar w:fldCharType="end"/>
        </w:r>
      </w:hyperlink>
    </w:p>
    <w:p w14:paraId="4CBA03E5" w14:textId="3399ABC1"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21" w:history="1">
        <w:r w:rsidRPr="00207412">
          <w:rPr>
            <w:rStyle w:val="Hyperlink"/>
            <w:rFonts w:ascii="Times New Roman" w:hAnsi="Times New Roman"/>
            <w:noProof w:val="0"/>
          </w:rPr>
          <w:t>2.1.</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Všeobecné poznámky</w:t>
        </w:r>
        <w:r w:rsidRPr="00207412">
          <w:rPr>
            <w:noProof w:val="0"/>
            <w:webHidden/>
          </w:rPr>
          <w:tab/>
        </w:r>
        <w:r w:rsidRPr="00207412">
          <w:rPr>
            <w:noProof w:val="0"/>
            <w:webHidden/>
          </w:rPr>
          <w:fldChar w:fldCharType="begin"/>
        </w:r>
        <w:r w:rsidRPr="00207412">
          <w:rPr>
            <w:noProof w:val="0"/>
            <w:webHidden/>
          </w:rPr>
          <w:instrText xml:space="preserve"> PAGEREF _Toc210895521 \h </w:instrText>
        </w:r>
        <w:r w:rsidRPr="00207412">
          <w:rPr>
            <w:noProof w:val="0"/>
            <w:webHidden/>
          </w:rPr>
        </w:r>
        <w:r w:rsidRPr="00207412">
          <w:rPr>
            <w:noProof w:val="0"/>
            <w:webHidden/>
          </w:rPr>
          <w:fldChar w:fldCharType="separate"/>
        </w:r>
        <w:r w:rsidRPr="00207412">
          <w:rPr>
            <w:noProof w:val="0"/>
            <w:webHidden/>
          </w:rPr>
          <w:t>3</w:t>
        </w:r>
        <w:r w:rsidRPr="00207412">
          <w:rPr>
            <w:noProof w:val="0"/>
            <w:webHidden/>
          </w:rPr>
          <w:fldChar w:fldCharType="end"/>
        </w:r>
      </w:hyperlink>
    </w:p>
    <w:p w14:paraId="17345271" w14:textId="061E0965"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22" w:history="1">
        <w:r w:rsidRPr="00207412">
          <w:rPr>
            <w:rStyle w:val="Hyperlink"/>
            <w:rFonts w:ascii="Times New Roman" w:hAnsi="Times New Roman"/>
            <w:noProof w:val="0"/>
          </w:rPr>
          <w:t>2.2.</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Pokyny týkajúce sa konkrétnych pozícií</w:t>
        </w:r>
        <w:r w:rsidRPr="00207412">
          <w:rPr>
            <w:noProof w:val="0"/>
            <w:webHidden/>
          </w:rPr>
          <w:tab/>
        </w:r>
        <w:r w:rsidRPr="00207412">
          <w:rPr>
            <w:noProof w:val="0"/>
            <w:webHidden/>
          </w:rPr>
          <w:fldChar w:fldCharType="begin"/>
        </w:r>
        <w:r w:rsidRPr="00207412">
          <w:rPr>
            <w:noProof w:val="0"/>
            <w:webHidden/>
          </w:rPr>
          <w:instrText xml:space="preserve"> PAGEREF _Toc210895522 \h </w:instrText>
        </w:r>
        <w:r w:rsidRPr="00207412">
          <w:rPr>
            <w:noProof w:val="0"/>
            <w:webHidden/>
          </w:rPr>
        </w:r>
        <w:r w:rsidRPr="00207412">
          <w:rPr>
            <w:noProof w:val="0"/>
            <w:webHidden/>
          </w:rPr>
          <w:fldChar w:fldCharType="separate"/>
        </w:r>
        <w:r w:rsidRPr="00207412">
          <w:rPr>
            <w:noProof w:val="0"/>
            <w:webHidden/>
          </w:rPr>
          <w:t>3</w:t>
        </w:r>
        <w:r w:rsidRPr="00207412">
          <w:rPr>
            <w:noProof w:val="0"/>
            <w:webHidden/>
          </w:rPr>
          <w:fldChar w:fldCharType="end"/>
        </w:r>
      </w:hyperlink>
    </w:p>
    <w:p w14:paraId="4D4B8241" w14:textId="3989AD94"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23" w:history="1">
        <w:r w:rsidRPr="00207412">
          <w:rPr>
            <w:rStyle w:val="Hyperlink"/>
            <w:rFonts w:ascii="Times New Roman" w:hAnsi="Times New Roman"/>
            <w:noProof w:val="0"/>
          </w:rPr>
          <w:t>3.</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C 19.00 – TRHOVÉ RIZIKO: ŠTANDARDIZOVANÝ PRÍSTUP PRE ŠPECIFICKÉ RIZIKO</w:t>
        </w:r>
        <w:r w:rsidR="00207412">
          <w:rPr>
            <w:rStyle w:val="Hyperlink"/>
            <w:rFonts w:ascii="Times New Roman" w:hAnsi="Times New Roman"/>
            <w:noProof w:val="0"/>
          </w:rPr>
          <w:t xml:space="preserve"> V </w:t>
        </w:r>
        <w:r w:rsidRPr="00207412">
          <w:rPr>
            <w:rStyle w:val="Hyperlink"/>
            <w:rFonts w:ascii="Times New Roman" w:hAnsi="Times New Roman"/>
            <w:noProof w:val="0"/>
          </w:rPr>
          <w:t>SEKURITIZÁCIÁCH (MKR SA SEC)</w:t>
        </w:r>
        <w:r w:rsidRPr="00207412">
          <w:rPr>
            <w:noProof w:val="0"/>
            <w:webHidden/>
          </w:rPr>
          <w:tab/>
        </w:r>
        <w:r w:rsidRPr="00207412">
          <w:rPr>
            <w:noProof w:val="0"/>
            <w:webHidden/>
          </w:rPr>
          <w:fldChar w:fldCharType="begin"/>
        </w:r>
        <w:r w:rsidRPr="00207412">
          <w:rPr>
            <w:noProof w:val="0"/>
            <w:webHidden/>
          </w:rPr>
          <w:instrText xml:space="preserve"> PAGEREF _Toc210895523 \h </w:instrText>
        </w:r>
        <w:r w:rsidRPr="00207412">
          <w:rPr>
            <w:noProof w:val="0"/>
            <w:webHidden/>
          </w:rPr>
        </w:r>
        <w:r w:rsidRPr="00207412">
          <w:rPr>
            <w:noProof w:val="0"/>
            <w:webHidden/>
          </w:rPr>
          <w:fldChar w:fldCharType="separate"/>
        </w:r>
        <w:r w:rsidRPr="00207412">
          <w:rPr>
            <w:noProof w:val="0"/>
            <w:webHidden/>
          </w:rPr>
          <w:t>6</w:t>
        </w:r>
        <w:r w:rsidRPr="00207412">
          <w:rPr>
            <w:noProof w:val="0"/>
            <w:webHidden/>
          </w:rPr>
          <w:fldChar w:fldCharType="end"/>
        </w:r>
      </w:hyperlink>
    </w:p>
    <w:p w14:paraId="64D0E335" w14:textId="52E3C437"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24" w:history="1">
        <w:r w:rsidRPr="00207412">
          <w:rPr>
            <w:rStyle w:val="Hyperlink"/>
            <w:rFonts w:ascii="Times New Roman" w:hAnsi="Times New Roman"/>
            <w:noProof w:val="0"/>
          </w:rPr>
          <w:t>3.1.</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Všeobecné poznámky</w:t>
        </w:r>
        <w:r w:rsidRPr="00207412">
          <w:rPr>
            <w:noProof w:val="0"/>
            <w:webHidden/>
          </w:rPr>
          <w:tab/>
        </w:r>
        <w:r w:rsidRPr="00207412">
          <w:rPr>
            <w:noProof w:val="0"/>
            <w:webHidden/>
          </w:rPr>
          <w:fldChar w:fldCharType="begin"/>
        </w:r>
        <w:r w:rsidRPr="00207412">
          <w:rPr>
            <w:noProof w:val="0"/>
            <w:webHidden/>
          </w:rPr>
          <w:instrText xml:space="preserve"> PAGEREF _Toc210895524 \h </w:instrText>
        </w:r>
        <w:r w:rsidRPr="00207412">
          <w:rPr>
            <w:noProof w:val="0"/>
            <w:webHidden/>
          </w:rPr>
        </w:r>
        <w:r w:rsidRPr="00207412">
          <w:rPr>
            <w:noProof w:val="0"/>
            <w:webHidden/>
          </w:rPr>
          <w:fldChar w:fldCharType="separate"/>
        </w:r>
        <w:r w:rsidRPr="00207412">
          <w:rPr>
            <w:noProof w:val="0"/>
            <w:webHidden/>
          </w:rPr>
          <w:t>6</w:t>
        </w:r>
        <w:r w:rsidRPr="00207412">
          <w:rPr>
            <w:noProof w:val="0"/>
            <w:webHidden/>
          </w:rPr>
          <w:fldChar w:fldCharType="end"/>
        </w:r>
      </w:hyperlink>
    </w:p>
    <w:p w14:paraId="3CA9622A" w14:textId="28C4AB80"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25" w:history="1">
        <w:r w:rsidRPr="00207412">
          <w:rPr>
            <w:rStyle w:val="Hyperlink"/>
            <w:rFonts w:ascii="Times New Roman" w:hAnsi="Times New Roman"/>
            <w:noProof w:val="0"/>
          </w:rPr>
          <w:t>3.2.</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Pokyny týkajúce sa konkrétnych pozícií</w:t>
        </w:r>
        <w:r w:rsidRPr="00207412">
          <w:rPr>
            <w:noProof w:val="0"/>
            <w:webHidden/>
          </w:rPr>
          <w:tab/>
        </w:r>
        <w:r w:rsidRPr="00207412">
          <w:rPr>
            <w:noProof w:val="0"/>
            <w:webHidden/>
          </w:rPr>
          <w:fldChar w:fldCharType="begin"/>
        </w:r>
        <w:r w:rsidRPr="00207412">
          <w:rPr>
            <w:noProof w:val="0"/>
            <w:webHidden/>
          </w:rPr>
          <w:instrText xml:space="preserve"> PAGEREF _Toc210895525 \h </w:instrText>
        </w:r>
        <w:r w:rsidRPr="00207412">
          <w:rPr>
            <w:noProof w:val="0"/>
            <w:webHidden/>
          </w:rPr>
        </w:r>
        <w:r w:rsidRPr="00207412">
          <w:rPr>
            <w:noProof w:val="0"/>
            <w:webHidden/>
          </w:rPr>
          <w:fldChar w:fldCharType="separate"/>
        </w:r>
        <w:r w:rsidRPr="00207412">
          <w:rPr>
            <w:noProof w:val="0"/>
            <w:webHidden/>
          </w:rPr>
          <w:t>6</w:t>
        </w:r>
        <w:r w:rsidRPr="00207412">
          <w:rPr>
            <w:noProof w:val="0"/>
            <w:webHidden/>
          </w:rPr>
          <w:fldChar w:fldCharType="end"/>
        </w:r>
      </w:hyperlink>
    </w:p>
    <w:p w14:paraId="4927AD0A" w14:textId="3FE1BDCF"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26" w:history="1">
        <w:r w:rsidRPr="00207412">
          <w:rPr>
            <w:rStyle w:val="Hyperlink"/>
            <w:rFonts w:ascii="Times New Roman" w:hAnsi="Times New Roman"/>
            <w:noProof w:val="0"/>
          </w:rPr>
          <w:t>4.</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C 20.00 – TRHOVÉ RIZIKO: ŠTANDARDIZOVANÝ PRÍSTUP PRE ŠPECIFICKÉ RIZIKO PRE POZÍCIE ZARADENÉ DO KORELAČNÉHO OBCHODNÉHO PORTFÓLIA (MKR SA CTP))</w:t>
        </w:r>
        <w:r w:rsidRPr="00207412">
          <w:rPr>
            <w:noProof w:val="0"/>
            <w:webHidden/>
          </w:rPr>
          <w:tab/>
        </w:r>
        <w:r w:rsidRPr="00207412">
          <w:rPr>
            <w:noProof w:val="0"/>
            <w:webHidden/>
          </w:rPr>
          <w:fldChar w:fldCharType="begin"/>
        </w:r>
        <w:r w:rsidRPr="00207412">
          <w:rPr>
            <w:noProof w:val="0"/>
            <w:webHidden/>
          </w:rPr>
          <w:instrText xml:space="preserve"> PAGEREF _Toc210895526 \h </w:instrText>
        </w:r>
        <w:r w:rsidRPr="00207412">
          <w:rPr>
            <w:noProof w:val="0"/>
            <w:webHidden/>
          </w:rPr>
        </w:r>
        <w:r w:rsidRPr="00207412">
          <w:rPr>
            <w:noProof w:val="0"/>
            <w:webHidden/>
          </w:rPr>
          <w:fldChar w:fldCharType="separate"/>
        </w:r>
        <w:r w:rsidRPr="00207412">
          <w:rPr>
            <w:noProof w:val="0"/>
            <w:webHidden/>
          </w:rPr>
          <w:t>8</w:t>
        </w:r>
        <w:r w:rsidRPr="00207412">
          <w:rPr>
            <w:noProof w:val="0"/>
            <w:webHidden/>
          </w:rPr>
          <w:fldChar w:fldCharType="end"/>
        </w:r>
      </w:hyperlink>
    </w:p>
    <w:p w14:paraId="122632ED" w14:textId="17FBE5F7"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27" w:history="1">
        <w:r w:rsidRPr="00207412">
          <w:rPr>
            <w:rStyle w:val="Hyperlink"/>
            <w:rFonts w:ascii="Times New Roman" w:hAnsi="Times New Roman"/>
            <w:noProof w:val="0"/>
          </w:rPr>
          <w:t>4.1.</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Všeobecné poznámky</w:t>
        </w:r>
        <w:r w:rsidRPr="00207412">
          <w:rPr>
            <w:noProof w:val="0"/>
            <w:webHidden/>
          </w:rPr>
          <w:tab/>
        </w:r>
        <w:r w:rsidRPr="00207412">
          <w:rPr>
            <w:noProof w:val="0"/>
            <w:webHidden/>
          </w:rPr>
          <w:fldChar w:fldCharType="begin"/>
        </w:r>
        <w:r w:rsidRPr="00207412">
          <w:rPr>
            <w:noProof w:val="0"/>
            <w:webHidden/>
          </w:rPr>
          <w:instrText xml:space="preserve"> PAGEREF _Toc210895527 \h </w:instrText>
        </w:r>
        <w:r w:rsidRPr="00207412">
          <w:rPr>
            <w:noProof w:val="0"/>
            <w:webHidden/>
          </w:rPr>
        </w:r>
        <w:r w:rsidRPr="00207412">
          <w:rPr>
            <w:noProof w:val="0"/>
            <w:webHidden/>
          </w:rPr>
          <w:fldChar w:fldCharType="separate"/>
        </w:r>
        <w:r w:rsidRPr="00207412">
          <w:rPr>
            <w:noProof w:val="0"/>
            <w:webHidden/>
          </w:rPr>
          <w:t>8</w:t>
        </w:r>
        <w:r w:rsidRPr="00207412">
          <w:rPr>
            <w:noProof w:val="0"/>
            <w:webHidden/>
          </w:rPr>
          <w:fldChar w:fldCharType="end"/>
        </w:r>
      </w:hyperlink>
    </w:p>
    <w:p w14:paraId="5E7C5CDA" w14:textId="69F3E5D6"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28" w:history="1">
        <w:r w:rsidRPr="00207412">
          <w:rPr>
            <w:rStyle w:val="Hyperlink"/>
            <w:rFonts w:ascii="Times New Roman" w:hAnsi="Times New Roman"/>
            <w:noProof w:val="0"/>
          </w:rPr>
          <w:t>4.2.</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Pokyny týkajúce sa konkrétnych pozícií</w:t>
        </w:r>
        <w:r w:rsidRPr="00207412">
          <w:rPr>
            <w:noProof w:val="0"/>
            <w:webHidden/>
          </w:rPr>
          <w:tab/>
        </w:r>
        <w:r w:rsidRPr="00207412">
          <w:rPr>
            <w:noProof w:val="0"/>
            <w:webHidden/>
          </w:rPr>
          <w:fldChar w:fldCharType="begin"/>
        </w:r>
        <w:r w:rsidRPr="00207412">
          <w:rPr>
            <w:noProof w:val="0"/>
            <w:webHidden/>
          </w:rPr>
          <w:instrText xml:space="preserve"> PAGEREF _Toc210895528 \h </w:instrText>
        </w:r>
        <w:r w:rsidRPr="00207412">
          <w:rPr>
            <w:noProof w:val="0"/>
            <w:webHidden/>
          </w:rPr>
        </w:r>
        <w:r w:rsidRPr="00207412">
          <w:rPr>
            <w:noProof w:val="0"/>
            <w:webHidden/>
          </w:rPr>
          <w:fldChar w:fldCharType="separate"/>
        </w:r>
        <w:r w:rsidRPr="00207412">
          <w:rPr>
            <w:noProof w:val="0"/>
            <w:webHidden/>
          </w:rPr>
          <w:t>9</w:t>
        </w:r>
        <w:r w:rsidRPr="00207412">
          <w:rPr>
            <w:noProof w:val="0"/>
            <w:webHidden/>
          </w:rPr>
          <w:fldChar w:fldCharType="end"/>
        </w:r>
      </w:hyperlink>
    </w:p>
    <w:p w14:paraId="6402FE38" w14:textId="194E06FD"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29" w:history="1">
        <w:r w:rsidRPr="00207412">
          <w:rPr>
            <w:rStyle w:val="Hyperlink"/>
            <w:rFonts w:ascii="Times New Roman" w:hAnsi="Times New Roman"/>
            <w:noProof w:val="0"/>
          </w:rPr>
          <w:t>5.</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C 21.00 – Trhové riziko: Štandardizovaný prístup pre pozičné riziko</w:t>
        </w:r>
        <w:r w:rsidR="00207412">
          <w:rPr>
            <w:rStyle w:val="Hyperlink"/>
            <w:rFonts w:ascii="Times New Roman" w:hAnsi="Times New Roman"/>
            <w:noProof w:val="0"/>
          </w:rPr>
          <w:t xml:space="preserve"> v </w:t>
        </w:r>
        <w:r w:rsidRPr="00207412">
          <w:rPr>
            <w:rStyle w:val="Hyperlink"/>
            <w:rFonts w:ascii="Times New Roman" w:hAnsi="Times New Roman"/>
            <w:noProof w:val="0"/>
          </w:rPr>
          <w:t>kapitálových cenných papieroch (MKR SA EQU)</w:t>
        </w:r>
        <w:r w:rsidRPr="00207412">
          <w:rPr>
            <w:noProof w:val="0"/>
            <w:webHidden/>
          </w:rPr>
          <w:tab/>
        </w:r>
        <w:r w:rsidRPr="00207412">
          <w:rPr>
            <w:noProof w:val="0"/>
            <w:webHidden/>
          </w:rPr>
          <w:fldChar w:fldCharType="begin"/>
        </w:r>
        <w:r w:rsidRPr="00207412">
          <w:rPr>
            <w:noProof w:val="0"/>
            <w:webHidden/>
          </w:rPr>
          <w:instrText xml:space="preserve"> PAGEREF _Toc210895529 \h </w:instrText>
        </w:r>
        <w:r w:rsidRPr="00207412">
          <w:rPr>
            <w:noProof w:val="0"/>
            <w:webHidden/>
          </w:rPr>
        </w:r>
        <w:r w:rsidRPr="00207412">
          <w:rPr>
            <w:noProof w:val="0"/>
            <w:webHidden/>
          </w:rPr>
          <w:fldChar w:fldCharType="separate"/>
        </w:r>
        <w:r w:rsidRPr="00207412">
          <w:rPr>
            <w:noProof w:val="0"/>
            <w:webHidden/>
          </w:rPr>
          <w:t>12</w:t>
        </w:r>
        <w:r w:rsidRPr="00207412">
          <w:rPr>
            <w:noProof w:val="0"/>
            <w:webHidden/>
          </w:rPr>
          <w:fldChar w:fldCharType="end"/>
        </w:r>
      </w:hyperlink>
    </w:p>
    <w:p w14:paraId="61DFA12E" w14:textId="4C2158B8"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30" w:history="1">
        <w:r w:rsidRPr="00207412">
          <w:rPr>
            <w:rStyle w:val="Hyperlink"/>
            <w:rFonts w:ascii="Times New Roman" w:hAnsi="Times New Roman"/>
            <w:noProof w:val="0"/>
          </w:rPr>
          <w:t>5.1.</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Všeobecné poznámky</w:t>
        </w:r>
        <w:r w:rsidRPr="00207412">
          <w:rPr>
            <w:noProof w:val="0"/>
            <w:webHidden/>
          </w:rPr>
          <w:tab/>
        </w:r>
        <w:r w:rsidRPr="00207412">
          <w:rPr>
            <w:noProof w:val="0"/>
            <w:webHidden/>
          </w:rPr>
          <w:fldChar w:fldCharType="begin"/>
        </w:r>
        <w:r w:rsidRPr="00207412">
          <w:rPr>
            <w:noProof w:val="0"/>
            <w:webHidden/>
          </w:rPr>
          <w:instrText xml:space="preserve"> PAGEREF _Toc210895530 \h </w:instrText>
        </w:r>
        <w:r w:rsidRPr="00207412">
          <w:rPr>
            <w:noProof w:val="0"/>
            <w:webHidden/>
          </w:rPr>
        </w:r>
        <w:r w:rsidRPr="00207412">
          <w:rPr>
            <w:noProof w:val="0"/>
            <w:webHidden/>
          </w:rPr>
          <w:fldChar w:fldCharType="separate"/>
        </w:r>
        <w:r w:rsidRPr="00207412">
          <w:rPr>
            <w:noProof w:val="0"/>
            <w:webHidden/>
          </w:rPr>
          <w:t>12</w:t>
        </w:r>
        <w:r w:rsidRPr="00207412">
          <w:rPr>
            <w:noProof w:val="0"/>
            <w:webHidden/>
          </w:rPr>
          <w:fldChar w:fldCharType="end"/>
        </w:r>
      </w:hyperlink>
    </w:p>
    <w:p w14:paraId="5B373EB2" w14:textId="38E2A358"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31" w:history="1">
        <w:r w:rsidRPr="00207412">
          <w:rPr>
            <w:rStyle w:val="Hyperlink"/>
            <w:rFonts w:ascii="Times New Roman" w:hAnsi="Times New Roman"/>
            <w:noProof w:val="0"/>
          </w:rPr>
          <w:t>5.2.</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Pokyny týkajúce sa konkrétnych pozícií</w:t>
        </w:r>
        <w:r w:rsidRPr="00207412">
          <w:rPr>
            <w:noProof w:val="0"/>
            <w:webHidden/>
          </w:rPr>
          <w:tab/>
        </w:r>
        <w:r w:rsidRPr="00207412">
          <w:rPr>
            <w:noProof w:val="0"/>
            <w:webHidden/>
          </w:rPr>
          <w:fldChar w:fldCharType="begin"/>
        </w:r>
        <w:r w:rsidRPr="00207412">
          <w:rPr>
            <w:noProof w:val="0"/>
            <w:webHidden/>
          </w:rPr>
          <w:instrText xml:space="preserve"> PAGEREF _Toc210895531 \h </w:instrText>
        </w:r>
        <w:r w:rsidRPr="00207412">
          <w:rPr>
            <w:noProof w:val="0"/>
            <w:webHidden/>
          </w:rPr>
        </w:r>
        <w:r w:rsidRPr="00207412">
          <w:rPr>
            <w:noProof w:val="0"/>
            <w:webHidden/>
          </w:rPr>
          <w:fldChar w:fldCharType="separate"/>
        </w:r>
        <w:r w:rsidRPr="00207412">
          <w:rPr>
            <w:noProof w:val="0"/>
            <w:webHidden/>
          </w:rPr>
          <w:t>12</w:t>
        </w:r>
        <w:r w:rsidRPr="00207412">
          <w:rPr>
            <w:noProof w:val="0"/>
            <w:webHidden/>
          </w:rPr>
          <w:fldChar w:fldCharType="end"/>
        </w:r>
      </w:hyperlink>
    </w:p>
    <w:p w14:paraId="716D1C76" w14:textId="1FCF8BAD"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32" w:history="1">
        <w:r w:rsidRPr="00207412">
          <w:rPr>
            <w:rStyle w:val="Hyperlink"/>
            <w:rFonts w:ascii="Times New Roman" w:hAnsi="Times New Roman"/>
            <w:noProof w:val="0"/>
          </w:rPr>
          <w:t>6.</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C 22.00 – Trhové riziko: Štandardizované prístupy pre devízové riziko (MKR SA FX)</w:t>
        </w:r>
        <w:r w:rsidRPr="00207412">
          <w:rPr>
            <w:noProof w:val="0"/>
            <w:webHidden/>
          </w:rPr>
          <w:tab/>
        </w:r>
        <w:r w:rsidRPr="00207412">
          <w:rPr>
            <w:noProof w:val="0"/>
            <w:webHidden/>
          </w:rPr>
          <w:fldChar w:fldCharType="begin"/>
        </w:r>
        <w:r w:rsidRPr="00207412">
          <w:rPr>
            <w:noProof w:val="0"/>
            <w:webHidden/>
          </w:rPr>
          <w:instrText xml:space="preserve"> PAGEREF _Toc210895532 \h </w:instrText>
        </w:r>
        <w:r w:rsidRPr="00207412">
          <w:rPr>
            <w:noProof w:val="0"/>
            <w:webHidden/>
          </w:rPr>
        </w:r>
        <w:r w:rsidRPr="00207412">
          <w:rPr>
            <w:noProof w:val="0"/>
            <w:webHidden/>
          </w:rPr>
          <w:fldChar w:fldCharType="separate"/>
        </w:r>
        <w:r w:rsidRPr="00207412">
          <w:rPr>
            <w:noProof w:val="0"/>
            <w:webHidden/>
          </w:rPr>
          <w:t>14</w:t>
        </w:r>
        <w:r w:rsidRPr="00207412">
          <w:rPr>
            <w:noProof w:val="0"/>
            <w:webHidden/>
          </w:rPr>
          <w:fldChar w:fldCharType="end"/>
        </w:r>
      </w:hyperlink>
    </w:p>
    <w:p w14:paraId="01E9C6FE" w14:textId="5099C942"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33" w:history="1">
        <w:r w:rsidRPr="00207412">
          <w:rPr>
            <w:rStyle w:val="Hyperlink"/>
            <w:rFonts w:ascii="Times New Roman" w:hAnsi="Times New Roman"/>
            <w:noProof w:val="0"/>
          </w:rPr>
          <w:t>6.1.</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Všeobecné poznámky</w:t>
        </w:r>
        <w:r w:rsidRPr="00207412">
          <w:rPr>
            <w:noProof w:val="0"/>
            <w:webHidden/>
          </w:rPr>
          <w:tab/>
        </w:r>
        <w:r w:rsidRPr="00207412">
          <w:rPr>
            <w:noProof w:val="0"/>
            <w:webHidden/>
          </w:rPr>
          <w:fldChar w:fldCharType="begin"/>
        </w:r>
        <w:r w:rsidRPr="00207412">
          <w:rPr>
            <w:noProof w:val="0"/>
            <w:webHidden/>
          </w:rPr>
          <w:instrText xml:space="preserve"> PAGEREF _Toc210895533 \h </w:instrText>
        </w:r>
        <w:r w:rsidRPr="00207412">
          <w:rPr>
            <w:noProof w:val="0"/>
            <w:webHidden/>
          </w:rPr>
        </w:r>
        <w:r w:rsidRPr="00207412">
          <w:rPr>
            <w:noProof w:val="0"/>
            <w:webHidden/>
          </w:rPr>
          <w:fldChar w:fldCharType="separate"/>
        </w:r>
        <w:r w:rsidRPr="00207412">
          <w:rPr>
            <w:noProof w:val="0"/>
            <w:webHidden/>
          </w:rPr>
          <w:t>14</w:t>
        </w:r>
        <w:r w:rsidRPr="00207412">
          <w:rPr>
            <w:noProof w:val="0"/>
            <w:webHidden/>
          </w:rPr>
          <w:fldChar w:fldCharType="end"/>
        </w:r>
      </w:hyperlink>
    </w:p>
    <w:p w14:paraId="0083B5F3" w14:textId="2B04ABE5"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34" w:history="1">
        <w:r w:rsidRPr="00207412">
          <w:rPr>
            <w:rStyle w:val="Hyperlink"/>
            <w:rFonts w:ascii="Times New Roman" w:hAnsi="Times New Roman"/>
            <w:noProof w:val="0"/>
          </w:rPr>
          <w:t>6.2.</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Pokyny týkajúce sa konkrétnych pozícií</w:t>
        </w:r>
        <w:r w:rsidRPr="00207412">
          <w:rPr>
            <w:noProof w:val="0"/>
            <w:webHidden/>
          </w:rPr>
          <w:tab/>
        </w:r>
        <w:r w:rsidRPr="00207412">
          <w:rPr>
            <w:noProof w:val="0"/>
            <w:webHidden/>
          </w:rPr>
          <w:fldChar w:fldCharType="begin"/>
        </w:r>
        <w:r w:rsidRPr="00207412">
          <w:rPr>
            <w:noProof w:val="0"/>
            <w:webHidden/>
          </w:rPr>
          <w:instrText xml:space="preserve"> PAGEREF _Toc210895534 \h </w:instrText>
        </w:r>
        <w:r w:rsidRPr="00207412">
          <w:rPr>
            <w:noProof w:val="0"/>
            <w:webHidden/>
          </w:rPr>
        </w:r>
        <w:r w:rsidRPr="00207412">
          <w:rPr>
            <w:noProof w:val="0"/>
            <w:webHidden/>
          </w:rPr>
          <w:fldChar w:fldCharType="separate"/>
        </w:r>
        <w:r w:rsidRPr="00207412">
          <w:rPr>
            <w:noProof w:val="0"/>
            <w:webHidden/>
          </w:rPr>
          <w:t>14</w:t>
        </w:r>
        <w:r w:rsidRPr="00207412">
          <w:rPr>
            <w:noProof w:val="0"/>
            <w:webHidden/>
          </w:rPr>
          <w:fldChar w:fldCharType="end"/>
        </w:r>
      </w:hyperlink>
    </w:p>
    <w:p w14:paraId="57E7DD2E" w14:textId="58C8C3DD"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35" w:history="1">
        <w:r w:rsidRPr="00207412">
          <w:rPr>
            <w:rStyle w:val="Hyperlink"/>
            <w:rFonts w:ascii="Times New Roman" w:hAnsi="Times New Roman"/>
            <w:noProof w:val="0"/>
          </w:rPr>
          <w:t>7.</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C 23.00 – Trhové riziko: Štandardizované prístupy pre komodity (MKR SA COM)</w:t>
        </w:r>
        <w:r w:rsidRPr="00207412">
          <w:rPr>
            <w:noProof w:val="0"/>
            <w:webHidden/>
          </w:rPr>
          <w:tab/>
        </w:r>
        <w:r w:rsidRPr="00207412">
          <w:rPr>
            <w:noProof w:val="0"/>
            <w:webHidden/>
          </w:rPr>
          <w:fldChar w:fldCharType="begin"/>
        </w:r>
        <w:r w:rsidRPr="00207412">
          <w:rPr>
            <w:noProof w:val="0"/>
            <w:webHidden/>
          </w:rPr>
          <w:instrText xml:space="preserve"> PAGEREF _Toc210895535 \h </w:instrText>
        </w:r>
        <w:r w:rsidRPr="00207412">
          <w:rPr>
            <w:noProof w:val="0"/>
            <w:webHidden/>
          </w:rPr>
        </w:r>
        <w:r w:rsidRPr="00207412">
          <w:rPr>
            <w:noProof w:val="0"/>
            <w:webHidden/>
          </w:rPr>
          <w:fldChar w:fldCharType="separate"/>
        </w:r>
        <w:r w:rsidRPr="00207412">
          <w:rPr>
            <w:noProof w:val="0"/>
            <w:webHidden/>
          </w:rPr>
          <w:t>17</w:t>
        </w:r>
        <w:r w:rsidRPr="00207412">
          <w:rPr>
            <w:noProof w:val="0"/>
            <w:webHidden/>
          </w:rPr>
          <w:fldChar w:fldCharType="end"/>
        </w:r>
      </w:hyperlink>
    </w:p>
    <w:p w14:paraId="751D1D7F" w14:textId="5716506E"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36" w:history="1">
        <w:r w:rsidRPr="00207412">
          <w:rPr>
            <w:rStyle w:val="Hyperlink"/>
            <w:rFonts w:ascii="Times New Roman" w:hAnsi="Times New Roman"/>
            <w:noProof w:val="0"/>
          </w:rPr>
          <w:t>7.1.</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Všeobecné poznámky</w:t>
        </w:r>
        <w:r w:rsidRPr="00207412">
          <w:rPr>
            <w:noProof w:val="0"/>
            <w:webHidden/>
          </w:rPr>
          <w:tab/>
        </w:r>
        <w:r w:rsidRPr="00207412">
          <w:rPr>
            <w:noProof w:val="0"/>
            <w:webHidden/>
          </w:rPr>
          <w:fldChar w:fldCharType="begin"/>
        </w:r>
        <w:r w:rsidRPr="00207412">
          <w:rPr>
            <w:noProof w:val="0"/>
            <w:webHidden/>
          </w:rPr>
          <w:instrText xml:space="preserve"> PAGEREF _Toc210895536 \h </w:instrText>
        </w:r>
        <w:r w:rsidRPr="00207412">
          <w:rPr>
            <w:noProof w:val="0"/>
            <w:webHidden/>
          </w:rPr>
        </w:r>
        <w:r w:rsidRPr="00207412">
          <w:rPr>
            <w:noProof w:val="0"/>
            <w:webHidden/>
          </w:rPr>
          <w:fldChar w:fldCharType="separate"/>
        </w:r>
        <w:r w:rsidRPr="00207412">
          <w:rPr>
            <w:noProof w:val="0"/>
            <w:webHidden/>
          </w:rPr>
          <w:t>17</w:t>
        </w:r>
        <w:r w:rsidRPr="00207412">
          <w:rPr>
            <w:noProof w:val="0"/>
            <w:webHidden/>
          </w:rPr>
          <w:fldChar w:fldCharType="end"/>
        </w:r>
      </w:hyperlink>
    </w:p>
    <w:p w14:paraId="79017E87" w14:textId="60FEB7E5"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37" w:history="1">
        <w:r w:rsidRPr="00207412">
          <w:rPr>
            <w:rStyle w:val="Hyperlink"/>
            <w:rFonts w:ascii="Times New Roman" w:hAnsi="Times New Roman"/>
            <w:noProof w:val="0"/>
          </w:rPr>
          <w:t>7.2.</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Pokyny týkajúce sa konkrétnych pozícií</w:t>
        </w:r>
        <w:r w:rsidRPr="00207412">
          <w:rPr>
            <w:noProof w:val="0"/>
            <w:webHidden/>
          </w:rPr>
          <w:tab/>
        </w:r>
        <w:r w:rsidRPr="00207412">
          <w:rPr>
            <w:noProof w:val="0"/>
            <w:webHidden/>
          </w:rPr>
          <w:fldChar w:fldCharType="begin"/>
        </w:r>
        <w:r w:rsidRPr="00207412">
          <w:rPr>
            <w:noProof w:val="0"/>
            <w:webHidden/>
          </w:rPr>
          <w:instrText xml:space="preserve"> PAGEREF _Toc210895537 \h </w:instrText>
        </w:r>
        <w:r w:rsidRPr="00207412">
          <w:rPr>
            <w:noProof w:val="0"/>
            <w:webHidden/>
          </w:rPr>
        </w:r>
        <w:r w:rsidRPr="00207412">
          <w:rPr>
            <w:noProof w:val="0"/>
            <w:webHidden/>
          </w:rPr>
          <w:fldChar w:fldCharType="separate"/>
        </w:r>
        <w:r w:rsidRPr="00207412">
          <w:rPr>
            <w:noProof w:val="0"/>
            <w:webHidden/>
          </w:rPr>
          <w:t>17</w:t>
        </w:r>
        <w:r w:rsidRPr="00207412">
          <w:rPr>
            <w:noProof w:val="0"/>
            <w:webHidden/>
          </w:rPr>
          <w:fldChar w:fldCharType="end"/>
        </w:r>
      </w:hyperlink>
    </w:p>
    <w:p w14:paraId="496008BD" w14:textId="416C286C"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38" w:history="1">
        <w:r w:rsidRPr="00207412">
          <w:rPr>
            <w:rStyle w:val="Hyperlink"/>
            <w:rFonts w:ascii="Times New Roman" w:hAnsi="Times New Roman"/>
            <w:noProof w:val="0"/>
          </w:rPr>
          <w:t>8.</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C 24.00 – Interný model trhového rizika (MKR IM)</w:t>
        </w:r>
        <w:r w:rsidRPr="00207412">
          <w:rPr>
            <w:noProof w:val="0"/>
            <w:webHidden/>
          </w:rPr>
          <w:tab/>
        </w:r>
        <w:r w:rsidRPr="00207412">
          <w:rPr>
            <w:noProof w:val="0"/>
            <w:webHidden/>
          </w:rPr>
          <w:fldChar w:fldCharType="begin"/>
        </w:r>
        <w:r w:rsidRPr="00207412">
          <w:rPr>
            <w:noProof w:val="0"/>
            <w:webHidden/>
          </w:rPr>
          <w:instrText xml:space="preserve"> PAGEREF _Toc210895538 \h </w:instrText>
        </w:r>
        <w:r w:rsidRPr="00207412">
          <w:rPr>
            <w:noProof w:val="0"/>
            <w:webHidden/>
          </w:rPr>
        </w:r>
        <w:r w:rsidRPr="00207412">
          <w:rPr>
            <w:noProof w:val="0"/>
            <w:webHidden/>
          </w:rPr>
          <w:fldChar w:fldCharType="separate"/>
        </w:r>
        <w:r w:rsidRPr="00207412">
          <w:rPr>
            <w:noProof w:val="0"/>
            <w:webHidden/>
          </w:rPr>
          <w:t>19</w:t>
        </w:r>
        <w:r w:rsidRPr="00207412">
          <w:rPr>
            <w:noProof w:val="0"/>
            <w:webHidden/>
          </w:rPr>
          <w:fldChar w:fldCharType="end"/>
        </w:r>
      </w:hyperlink>
    </w:p>
    <w:p w14:paraId="043C12B4" w14:textId="059D1313"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39" w:history="1">
        <w:r w:rsidRPr="00207412">
          <w:rPr>
            <w:rStyle w:val="Hyperlink"/>
            <w:rFonts w:ascii="Times New Roman" w:hAnsi="Times New Roman"/>
            <w:noProof w:val="0"/>
          </w:rPr>
          <w:t>8.1.</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Všeobecné poznámky</w:t>
        </w:r>
        <w:r w:rsidRPr="00207412">
          <w:rPr>
            <w:noProof w:val="0"/>
            <w:webHidden/>
          </w:rPr>
          <w:tab/>
        </w:r>
        <w:r w:rsidRPr="00207412">
          <w:rPr>
            <w:noProof w:val="0"/>
            <w:webHidden/>
          </w:rPr>
          <w:fldChar w:fldCharType="begin"/>
        </w:r>
        <w:r w:rsidRPr="00207412">
          <w:rPr>
            <w:noProof w:val="0"/>
            <w:webHidden/>
          </w:rPr>
          <w:instrText xml:space="preserve"> PAGEREF _Toc210895539 \h </w:instrText>
        </w:r>
        <w:r w:rsidRPr="00207412">
          <w:rPr>
            <w:noProof w:val="0"/>
            <w:webHidden/>
          </w:rPr>
        </w:r>
        <w:r w:rsidRPr="00207412">
          <w:rPr>
            <w:noProof w:val="0"/>
            <w:webHidden/>
          </w:rPr>
          <w:fldChar w:fldCharType="separate"/>
        </w:r>
        <w:r w:rsidRPr="00207412">
          <w:rPr>
            <w:noProof w:val="0"/>
            <w:webHidden/>
          </w:rPr>
          <w:t>19</w:t>
        </w:r>
        <w:r w:rsidRPr="00207412">
          <w:rPr>
            <w:noProof w:val="0"/>
            <w:webHidden/>
          </w:rPr>
          <w:fldChar w:fldCharType="end"/>
        </w:r>
      </w:hyperlink>
    </w:p>
    <w:p w14:paraId="0FA64747" w14:textId="57E5607A" w:rsidR="00936F63" w:rsidRPr="00207412" w:rsidRDefault="00936F63">
      <w:pPr>
        <w:pStyle w:val="TOC2"/>
        <w:rPr>
          <w:rFonts w:asciiTheme="minorHAnsi" w:eastAsiaTheme="minorEastAsia" w:hAnsiTheme="minorHAnsi" w:cstheme="minorBidi"/>
          <w:b w:val="0"/>
          <w:smallCaps w:val="0"/>
          <w:noProof w:val="0"/>
          <w:kern w:val="2"/>
          <w:sz w:val="24"/>
          <w:szCs w:val="24"/>
          <w:lang w:eastAsia="sk-SK"/>
          <w14:ligatures w14:val="standardContextual"/>
        </w:rPr>
      </w:pPr>
      <w:hyperlink w:anchor="_Toc210895540" w:history="1">
        <w:r w:rsidRPr="00207412">
          <w:rPr>
            <w:rStyle w:val="Hyperlink"/>
            <w:rFonts w:ascii="Times New Roman" w:hAnsi="Times New Roman"/>
            <w:noProof w:val="0"/>
          </w:rPr>
          <w:t>8.2.</w:t>
        </w:r>
        <w:r w:rsidRPr="00207412">
          <w:rPr>
            <w:rFonts w:asciiTheme="minorHAnsi" w:eastAsiaTheme="minorEastAsia" w:hAnsiTheme="minorHAnsi" w:cstheme="minorBidi"/>
            <w:b w:val="0"/>
            <w:smallCaps w:val="0"/>
            <w:noProof w:val="0"/>
            <w:kern w:val="2"/>
            <w:sz w:val="24"/>
            <w:szCs w:val="24"/>
            <w:lang w:eastAsia="sk-SK"/>
            <w14:ligatures w14:val="standardContextual"/>
          </w:rPr>
          <w:tab/>
        </w:r>
        <w:r w:rsidRPr="00207412">
          <w:rPr>
            <w:rStyle w:val="Hyperlink"/>
            <w:rFonts w:ascii="Times New Roman" w:hAnsi="Times New Roman"/>
            <w:noProof w:val="0"/>
          </w:rPr>
          <w:t>Pokyny týkajúce sa konkrétnych pozícií</w:t>
        </w:r>
        <w:r w:rsidRPr="00207412">
          <w:rPr>
            <w:noProof w:val="0"/>
            <w:webHidden/>
          </w:rPr>
          <w:tab/>
        </w:r>
        <w:r w:rsidRPr="00207412">
          <w:rPr>
            <w:noProof w:val="0"/>
            <w:webHidden/>
          </w:rPr>
          <w:fldChar w:fldCharType="begin"/>
        </w:r>
        <w:r w:rsidRPr="00207412">
          <w:rPr>
            <w:noProof w:val="0"/>
            <w:webHidden/>
          </w:rPr>
          <w:instrText xml:space="preserve"> PAGEREF _Toc210895540 \h </w:instrText>
        </w:r>
        <w:r w:rsidRPr="00207412">
          <w:rPr>
            <w:noProof w:val="0"/>
            <w:webHidden/>
          </w:rPr>
        </w:r>
        <w:r w:rsidRPr="00207412">
          <w:rPr>
            <w:noProof w:val="0"/>
            <w:webHidden/>
          </w:rPr>
          <w:fldChar w:fldCharType="separate"/>
        </w:r>
        <w:r w:rsidRPr="00207412">
          <w:rPr>
            <w:noProof w:val="0"/>
            <w:webHidden/>
          </w:rPr>
          <w:t>19</w:t>
        </w:r>
        <w:r w:rsidRPr="00207412">
          <w:rPr>
            <w:noProof w:val="0"/>
            <w:webHidden/>
          </w:rPr>
          <w:fldChar w:fldCharType="end"/>
        </w:r>
      </w:hyperlink>
    </w:p>
    <w:p w14:paraId="4325A1DC" w14:textId="790937FF" w:rsidR="002648B0" w:rsidRPr="00207412" w:rsidRDefault="00745369" w:rsidP="00005FFC">
      <w:pPr>
        <w:rPr>
          <w:rFonts w:ascii="Times New Roman" w:hAnsi="Times New Roman"/>
          <w:sz w:val="24"/>
        </w:rPr>
        <w:sectPr w:rsidR="002648B0" w:rsidRPr="00207412" w:rsidSect="004D441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titlePg/>
          <w:docGrid w:linePitch="360"/>
        </w:sectPr>
      </w:pPr>
      <w:r w:rsidRPr="00207412">
        <w:rPr>
          <w:rFonts w:ascii="Times New Roman" w:hAnsi="Times New Roman"/>
          <w:sz w:val="24"/>
        </w:rPr>
        <w:fldChar w:fldCharType="end"/>
      </w:r>
    </w:p>
    <w:p w14:paraId="65DEB04A" w14:textId="77777777" w:rsidR="002648B0" w:rsidRPr="00207412" w:rsidRDefault="002648B0" w:rsidP="004C445F">
      <w:pPr>
        <w:pStyle w:val="Heading2"/>
        <w:suppressAutoHyphens/>
        <w:rPr>
          <w:rFonts w:ascii="Times New Roman" w:hAnsi="Times New Roman"/>
        </w:rPr>
      </w:pPr>
      <w:bookmarkStart w:id="2" w:name="_Toc264038394"/>
      <w:bookmarkStart w:id="3" w:name="_Toc360188317"/>
      <w:bookmarkStart w:id="4" w:name="_Toc473560865"/>
      <w:bookmarkStart w:id="5" w:name="_Toc210895513"/>
      <w:r w:rsidRPr="00207412">
        <w:rPr>
          <w:rFonts w:ascii="Times New Roman" w:hAnsi="Times New Roman"/>
        </w:rPr>
        <w:lastRenderedPageBreak/>
        <w:t>ČASŤ I:</w:t>
      </w:r>
      <w:bookmarkEnd w:id="2"/>
      <w:r w:rsidRPr="00207412">
        <w:rPr>
          <w:rFonts w:ascii="Times New Roman" w:hAnsi="Times New Roman"/>
        </w:rPr>
        <w:t xml:space="preserve"> VŠEOBECNÉ POKYNY</w:t>
      </w:r>
      <w:bookmarkEnd w:id="3"/>
      <w:bookmarkEnd w:id="4"/>
      <w:bookmarkEnd w:id="5"/>
    </w:p>
    <w:p w14:paraId="2B1DE452" w14:textId="3C4AA749" w:rsidR="002648B0" w:rsidRPr="00207412"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6" w:name="_Toc360188318"/>
      <w:bookmarkStart w:id="7" w:name="_Toc473560866"/>
      <w:bookmarkStart w:id="8" w:name="_Toc210895514"/>
      <w:r w:rsidRPr="00207412">
        <w:rPr>
          <w:rFonts w:ascii="Times New Roman" w:hAnsi="Times New Roman"/>
          <w:sz w:val="24"/>
          <w:u w:val="none"/>
        </w:rPr>
        <w:t>1.</w:t>
      </w:r>
      <w:r w:rsidRPr="00207412">
        <w:rPr>
          <w:u w:val="none"/>
        </w:rPr>
        <w:tab/>
      </w:r>
      <w:r w:rsidRPr="00207412">
        <w:rPr>
          <w:rFonts w:ascii="Times New Roman" w:hAnsi="Times New Roman"/>
          <w:sz w:val="24"/>
          <w:u w:val="none"/>
        </w:rPr>
        <w:t>PRAVIDLÁ</w:t>
      </w:r>
      <w:bookmarkEnd w:id="6"/>
      <w:bookmarkEnd w:id="7"/>
      <w:bookmarkEnd w:id="8"/>
    </w:p>
    <w:p w14:paraId="691FE691" w14:textId="6FA2FF51" w:rsidR="002648B0" w:rsidRPr="00207412"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9" w:name="_Toc360188320"/>
      <w:bookmarkStart w:id="10" w:name="_Toc473560868"/>
      <w:bookmarkStart w:id="11" w:name="_Toc210895515"/>
      <w:bookmarkStart w:id="12" w:name="_Toc264038399"/>
      <w:bookmarkStart w:id="13" w:name="_Toc294018834"/>
      <w:r w:rsidRPr="00207412">
        <w:rPr>
          <w:rFonts w:ascii="Times New Roman" w:hAnsi="Times New Roman"/>
          <w:sz w:val="24"/>
          <w:u w:val="none"/>
        </w:rPr>
        <w:t>1.1.</w:t>
      </w:r>
      <w:r w:rsidRPr="00207412">
        <w:rPr>
          <w:u w:val="none"/>
        </w:rPr>
        <w:tab/>
      </w:r>
      <w:r w:rsidRPr="00207412">
        <w:rPr>
          <w:rFonts w:ascii="Times New Roman" w:hAnsi="Times New Roman"/>
          <w:sz w:val="24"/>
          <w:u w:val="none"/>
        </w:rPr>
        <w:t>Pravidlá číslovania</w:t>
      </w:r>
      <w:bookmarkEnd w:id="9"/>
      <w:bookmarkEnd w:id="10"/>
      <w:bookmarkEnd w:id="11"/>
    </w:p>
    <w:p w14:paraId="07DD29A3" w14:textId="226C6E97" w:rsidR="002648B0" w:rsidRPr="00207412" w:rsidRDefault="002648B0" w:rsidP="00E172EA">
      <w:pPr>
        <w:pStyle w:val="InstructionsText2"/>
        <w:numPr>
          <w:ilvl w:val="0"/>
          <w:numId w:val="29"/>
        </w:numPr>
        <w:suppressAutoHyphens/>
      </w:pPr>
      <w:r w:rsidRPr="00207412">
        <w:t>V dokumente sa pri odkaze na stĺpce, riadky</w:t>
      </w:r>
      <w:r w:rsidR="00207412">
        <w:t xml:space="preserve"> a </w:t>
      </w:r>
      <w:r w:rsidRPr="00207412">
        <w:t>bunky vzorov používajú pravidlá označovania stanovené</w:t>
      </w:r>
      <w:r w:rsidR="00207412">
        <w:t xml:space="preserve"> v </w:t>
      </w:r>
      <w:r w:rsidRPr="00207412">
        <w:t>bodoch 2 až 5. Vo validačných pravidlách sa uvedené číselné kódy používajú vo veľkej miere.</w:t>
      </w:r>
    </w:p>
    <w:p w14:paraId="4A930757" w14:textId="35786EEA" w:rsidR="005643EA" w:rsidRPr="00207412" w:rsidRDefault="002648B0" w:rsidP="00E172EA">
      <w:pPr>
        <w:pStyle w:val="InstructionsText2"/>
        <w:numPr>
          <w:ilvl w:val="0"/>
          <w:numId w:val="29"/>
        </w:numPr>
        <w:suppressAutoHyphens/>
      </w:pPr>
      <w:r w:rsidRPr="00207412">
        <w:t>V pokynoch sa používa tento všeobecný zápis: {vzor; riadok; stĺpec}.</w:t>
      </w:r>
    </w:p>
    <w:p w14:paraId="058D6622" w14:textId="62BC7FB2" w:rsidR="002648B0" w:rsidRPr="00207412" w:rsidRDefault="002648B0" w:rsidP="00E172EA">
      <w:pPr>
        <w:pStyle w:val="InstructionsText2"/>
        <w:numPr>
          <w:ilvl w:val="0"/>
          <w:numId w:val="29"/>
        </w:numPr>
        <w:suppressAutoHyphens/>
      </w:pPr>
      <w:r w:rsidRPr="00207412">
        <w:t>V prípade validácií</w:t>
      </w:r>
      <w:r w:rsidR="00207412">
        <w:t xml:space="preserve"> v </w:t>
      </w:r>
      <w:r w:rsidRPr="00207412">
        <w:t>rámci jediného vzoru,</w:t>
      </w:r>
      <w:r w:rsidR="00207412">
        <w:t xml:space="preserve"> v </w:t>
      </w:r>
      <w:r w:rsidRPr="00207412">
        <w:t>ktorom sa používajú len údajové body daného vzoru, zápis neodkazuje na vzor: {riadok; stĺpec}.</w:t>
      </w:r>
    </w:p>
    <w:p w14:paraId="1C93CB72" w14:textId="183CBC2C" w:rsidR="005643EA" w:rsidRPr="00207412" w:rsidRDefault="002648B0" w:rsidP="00E172EA">
      <w:pPr>
        <w:pStyle w:val="InstructionsText2"/>
        <w:numPr>
          <w:ilvl w:val="0"/>
          <w:numId w:val="29"/>
        </w:numPr>
        <w:suppressAutoHyphens/>
      </w:pPr>
      <w:r w:rsidRPr="00207412">
        <w:t>V prípade vzorov len</w:t>
      </w:r>
      <w:r w:rsidR="00207412">
        <w:t xml:space="preserve"> s </w:t>
      </w:r>
      <w:r w:rsidRPr="00207412">
        <w:t>jedným stĺpcom sa odkazuje len na riadky: {vzor; riadok}.</w:t>
      </w:r>
    </w:p>
    <w:p w14:paraId="6CF08484" w14:textId="337CEEA0" w:rsidR="002648B0" w:rsidRPr="00207412" w:rsidRDefault="002648B0" w:rsidP="00E172EA">
      <w:pPr>
        <w:pStyle w:val="InstructionsText2"/>
        <w:numPr>
          <w:ilvl w:val="0"/>
          <w:numId w:val="29"/>
        </w:numPr>
        <w:suppressAutoHyphens/>
      </w:pPr>
      <w:r w:rsidRPr="00207412">
        <w:t>Symbol hviezdičky sa používa na vyjadrenie toho, že validácia sa vykonáva pre skôr vymedzené riadky alebo stĺpce.</w:t>
      </w:r>
    </w:p>
    <w:p w14:paraId="6218AD51" w14:textId="365F36D8" w:rsidR="002648B0" w:rsidRPr="00207412"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14" w:name="_Toc360188321"/>
      <w:bookmarkStart w:id="15" w:name="_Toc473560869"/>
      <w:bookmarkStart w:id="16" w:name="_Toc210895516"/>
      <w:r w:rsidRPr="00207412">
        <w:rPr>
          <w:rFonts w:ascii="Times New Roman" w:hAnsi="Times New Roman"/>
          <w:sz w:val="24"/>
          <w:u w:val="none"/>
        </w:rPr>
        <w:t>1.2.</w:t>
      </w:r>
      <w:r w:rsidRPr="00207412">
        <w:rPr>
          <w:u w:val="none"/>
        </w:rPr>
        <w:tab/>
      </w:r>
      <w:r w:rsidRPr="00207412">
        <w:rPr>
          <w:rFonts w:ascii="Times New Roman" w:hAnsi="Times New Roman"/>
          <w:sz w:val="24"/>
          <w:u w:val="none"/>
        </w:rPr>
        <w:t>Pravidlá používania znamienok</w:t>
      </w:r>
      <w:bookmarkEnd w:id="12"/>
      <w:bookmarkEnd w:id="13"/>
      <w:bookmarkEnd w:id="14"/>
      <w:bookmarkEnd w:id="15"/>
      <w:bookmarkEnd w:id="16"/>
    </w:p>
    <w:p w14:paraId="67BDF5E2" w14:textId="769DF459" w:rsidR="002648B0" w:rsidRPr="00207412" w:rsidRDefault="002648B0" w:rsidP="00E172EA">
      <w:pPr>
        <w:pStyle w:val="InstructionsText2"/>
        <w:numPr>
          <w:ilvl w:val="0"/>
          <w:numId w:val="29"/>
        </w:numPr>
        <w:suppressAutoHyphens/>
      </w:pPr>
      <w:r w:rsidRPr="00207412">
        <w:t>Každá hodnota, ktorou sa zvyšujú vlastné zdroje alebo kapitálové požiadavky, sa vykazuje ako kladné číslo. Naopak každá hodnota, ktorou sa znižujú celkové vlastné zdroje alebo kapitálové požiadavky, sa vykazuje ako záporné číslo. Ak je pred označením položky záporné znamienko (–), pre túto položku sa neočakáva zadanie kladného čísla.</w:t>
      </w:r>
    </w:p>
    <w:p w14:paraId="21FCA11B" w14:textId="0A3FEAB8" w:rsidR="00843119" w:rsidRPr="00207412" w:rsidRDefault="00843119" w:rsidP="00843119">
      <w:pPr>
        <w:pStyle w:val="Instructionsberschrift2"/>
        <w:numPr>
          <w:ilvl w:val="0"/>
          <w:numId w:val="0"/>
        </w:numPr>
        <w:suppressAutoHyphens/>
        <w:ind w:left="357" w:hanging="357"/>
        <w:rPr>
          <w:rFonts w:ascii="Times New Roman" w:hAnsi="Times New Roman" w:cs="Times New Roman"/>
          <w:sz w:val="24"/>
          <w:u w:val="none"/>
        </w:rPr>
      </w:pPr>
      <w:bookmarkStart w:id="17" w:name="_Toc210895517"/>
      <w:r w:rsidRPr="00207412">
        <w:rPr>
          <w:rFonts w:ascii="Times New Roman" w:hAnsi="Times New Roman"/>
          <w:sz w:val="24"/>
          <w:u w:val="none"/>
        </w:rPr>
        <w:t>1.3.</w:t>
      </w:r>
      <w:r w:rsidRPr="00207412">
        <w:rPr>
          <w:u w:val="none"/>
        </w:rPr>
        <w:tab/>
      </w:r>
      <w:r w:rsidRPr="00207412">
        <w:rPr>
          <w:rFonts w:ascii="Times New Roman" w:hAnsi="Times New Roman"/>
          <w:sz w:val="24"/>
          <w:u w:val="none"/>
        </w:rPr>
        <w:t xml:space="preserve">Odkazy na nariadenie (EÚ) </w:t>
      </w:r>
      <w:r w:rsidR="00207412">
        <w:rPr>
          <w:rFonts w:ascii="Times New Roman" w:hAnsi="Times New Roman"/>
          <w:sz w:val="24"/>
          <w:u w:val="none"/>
        </w:rPr>
        <w:t>č. </w:t>
      </w:r>
      <w:r w:rsidRPr="00207412">
        <w:rPr>
          <w:rFonts w:ascii="Times New Roman" w:hAnsi="Times New Roman"/>
          <w:sz w:val="24"/>
          <w:u w:val="none"/>
        </w:rPr>
        <w:t>575/2013</w:t>
      </w:r>
      <w:bookmarkEnd w:id="17"/>
    </w:p>
    <w:p w14:paraId="2D633736" w14:textId="1A082744" w:rsidR="00207412" w:rsidRDefault="00843119" w:rsidP="00E172EA">
      <w:pPr>
        <w:pStyle w:val="InstructionsText2"/>
        <w:numPr>
          <w:ilvl w:val="0"/>
          <w:numId w:val="29"/>
        </w:numPr>
        <w:suppressAutoHyphens/>
      </w:pPr>
      <w:r w:rsidRPr="00207412">
        <w:t xml:space="preserve">Všetky odkazy na články 325 až 377 nariadenia (EÚ) </w:t>
      </w:r>
      <w:r w:rsidR="00207412">
        <w:t>č. </w:t>
      </w:r>
      <w:r w:rsidRPr="00207412">
        <w:t>575/2013 sa považujú za odkazy na uvedené nariadenie</w:t>
      </w:r>
      <w:r w:rsidR="00207412">
        <w:t xml:space="preserve"> v </w:t>
      </w:r>
      <w:r w:rsidRPr="00207412">
        <w:t>znení platnom</w:t>
      </w:r>
      <w:r w:rsidR="00207412">
        <w:t xml:space="preserve"> k </w:t>
      </w:r>
      <w:r w:rsidRPr="00207412">
        <w:t>26. júnu 2019</w:t>
      </w:r>
      <w:r w:rsidR="00207412">
        <w:t>.</w:t>
      </w:r>
    </w:p>
    <w:p w14:paraId="178F0A93" w14:textId="6C024022" w:rsidR="00843119" w:rsidRPr="00207412" w:rsidRDefault="00843119" w:rsidP="00843119">
      <w:pPr>
        <w:pStyle w:val="InstructionsText2"/>
        <w:numPr>
          <w:ilvl w:val="0"/>
          <w:numId w:val="0"/>
        </w:numPr>
        <w:suppressAutoHyphens/>
      </w:pPr>
    </w:p>
    <w:p w14:paraId="69E08A1F" w14:textId="26A864E9" w:rsidR="00304CA5" w:rsidRPr="00207412" w:rsidRDefault="00304CA5" w:rsidP="004C445F">
      <w:pPr>
        <w:pStyle w:val="InstructionsText2"/>
        <w:numPr>
          <w:ilvl w:val="0"/>
          <w:numId w:val="0"/>
        </w:numPr>
        <w:suppressAutoHyphens/>
        <w:ind w:left="1353" w:hanging="360"/>
      </w:pPr>
    </w:p>
    <w:p w14:paraId="661FC092" w14:textId="77777777" w:rsidR="00304CA5" w:rsidRPr="00207412" w:rsidRDefault="00304CA5" w:rsidP="004C445F">
      <w:pPr>
        <w:pStyle w:val="InstructionsText2"/>
        <w:numPr>
          <w:ilvl w:val="0"/>
          <w:numId w:val="0"/>
        </w:numPr>
        <w:suppressAutoHyphens/>
        <w:ind w:left="1353" w:hanging="360"/>
      </w:pPr>
    </w:p>
    <w:p w14:paraId="6B2B7DCC" w14:textId="77777777" w:rsidR="002648B0" w:rsidRPr="00207412" w:rsidRDefault="002648B0" w:rsidP="004C445F">
      <w:pPr>
        <w:pStyle w:val="InstructionsText2"/>
        <w:suppressAutoHyphens/>
        <w:sectPr w:rsidR="002648B0" w:rsidRPr="00207412" w:rsidSect="00A801A9">
          <w:endnotePr>
            <w:numFmt w:val="decimal"/>
          </w:endnotePr>
          <w:pgSz w:w="11906" w:h="16838"/>
          <w:pgMar w:top="1417" w:right="1417" w:bottom="1134" w:left="1417" w:header="708" w:footer="708" w:gutter="0"/>
          <w:cols w:space="708"/>
          <w:rtlGutter/>
          <w:docGrid w:linePitch="360"/>
        </w:sectPr>
      </w:pPr>
    </w:p>
    <w:p w14:paraId="7E85F65D" w14:textId="77777777" w:rsidR="002648B0" w:rsidRPr="00207412" w:rsidRDefault="002648B0" w:rsidP="004C445F">
      <w:pPr>
        <w:suppressAutoHyphens/>
        <w:rPr>
          <w:rFonts w:ascii="Times New Roman" w:hAnsi="Times New Roman"/>
          <w:sz w:val="24"/>
        </w:rPr>
      </w:pPr>
    </w:p>
    <w:p w14:paraId="5C0CD8F3" w14:textId="25D58192" w:rsidR="00AC6255" w:rsidRPr="00207412" w:rsidRDefault="002648B0" w:rsidP="004C445F">
      <w:pPr>
        <w:pStyle w:val="Heading2"/>
        <w:suppressAutoHyphens/>
        <w:rPr>
          <w:rStyle w:val="InstructionsTabelleText"/>
          <w:rFonts w:ascii="Times New Roman" w:hAnsi="Times New Roman"/>
          <w:sz w:val="24"/>
        </w:rPr>
      </w:pPr>
      <w:bookmarkStart w:id="18" w:name="_Toc360188322"/>
      <w:bookmarkStart w:id="19" w:name="_Toc473560870"/>
      <w:bookmarkStart w:id="20" w:name="_Toc210895518"/>
      <w:r w:rsidRPr="00207412">
        <w:rPr>
          <w:rFonts w:ascii="Times New Roman" w:hAnsi="Times New Roman"/>
        </w:rPr>
        <w:t>ČASŤ II: POKYNY TÝKAJÚCE SA VZOROV</w:t>
      </w:r>
      <w:bookmarkEnd w:id="18"/>
      <w:bookmarkEnd w:id="19"/>
      <w:r w:rsidRPr="00207412">
        <w:rPr>
          <w:rFonts w:ascii="Times New Roman" w:hAnsi="Times New Roman"/>
        </w:rPr>
        <w:t>: VZORY PRE TRHOVÉ RIZIKO</w:t>
      </w:r>
      <w:bookmarkEnd w:id="0"/>
      <w:bookmarkEnd w:id="1"/>
      <w:bookmarkEnd w:id="20"/>
    </w:p>
    <w:p w14:paraId="73EBDC1C" w14:textId="2EF76A90" w:rsidR="000B0B09" w:rsidRPr="00207412" w:rsidRDefault="00033301" w:rsidP="004C445F">
      <w:pPr>
        <w:pStyle w:val="Instructionsberschrift2"/>
        <w:numPr>
          <w:ilvl w:val="0"/>
          <w:numId w:val="0"/>
        </w:numPr>
        <w:suppressAutoHyphens/>
        <w:ind w:left="357" w:hanging="357"/>
        <w:rPr>
          <w:rFonts w:ascii="Times New Roman" w:hAnsi="Times New Roman" w:cs="Times New Roman"/>
          <w:sz w:val="24"/>
        </w:rPr>
      </w:pPr>
      <w:bookmarkStart w:id="21" w:name="_Toc295829995"/>
      <w:bookmarkStart w:id="22" w:name="_Toc262566425"/>
      <w:bookmarkStart w:id="23" w:name="_Toc308426671"/>
      <w:bookmarkStart w:id="24" w:name="_Toc310415056"/>
      <w:bookmarkStart w:id="25" w:name="_Toc360188391"/>
      <w:bookmarkStart w:id="26" w:name="_Toc473561031"/>
      <w:bookmarkStart w:id="27" w:name="_Toc210895519"/>
      <w:r w:rsidRPr="00207412">
        <w:rPr>
          <w:rFonts w:ascii="Times New Roman" w:hAnsi="Times New Roman"/>
          <w:sz w:val="24"/>
          <w:u w:val="none"/>
        </w:rPr>
        <w:t>1.</w:t>
      </w:r>
      <w:r w:rsidRPr="00207412">
        <w:rPr>
          <w:u w:val="none"/>
        </w:rPr>
        <w:tab/>
      </w:r>
      <w:bookmarkEnd w:id="21"/>
      <w:bookmarkEnd w:id="22"/>
      <w:bookmarkEnd w:id="23"/>
      <w:bookmarkEnd w:id="24"/>
      <w:bookmarkEnd w:id="25"/>
      <w:bookmarkEnd w:id="26"/>
      <w:r w:rsidRPr="00207412">
        <w:rPr>
          <w:rFonts w:ascii="Times New Roman" w:hAnsi="Times New Roman"/>
          <w:sz w:val="24"/>
        </w:rPr>
        <w:t>Všeobecné poznámky</w:t>
      </w:r>
      <w:bookmarkEnd w:id="27"/>
    </w:p>
    <w:p w14:paraId="3FA07CC9" w14:textId="0D4E650E" w:rsidR="00207412" w:rsidRDefault="000B0B09" w:rsidP="00E172EA">
      <w:pPr>
        <w:pStyle w:val="InstructionsText2"/>
        <w:numPr>
          <w:ilvl w:val="0"/>
          <w:numId w:val="29"/>
        </w:numPr>
        <w:suppressAutoHyphens/>
      </w:pPr>
      <w:bookmarkStart w:id="28" w:name="_Toc308426672"/>
      <w:r w:rsidRPr="00207412">
        <w:t>Tieto pokyny sa vzťahujú na vzory,</w:t>
      </w:r>
      <w:r w:rsidR="00207412">
        <w:t xml:space="preserve"> v </w:t>
      </w:r>
      <w:r w:rsidRPr="00207412">
        <w:t>ktorých sa vykazuje výpočet požiadaviek na vlastné zdroje</w:t>
      </w:r>
      <w:r w:rsidR="00207412">
        <w:t xml:space="preserve"> v </w:t>
      </w:r>
      <w:r w:rsidRPr="00207412">
        <w:t>súlade so štandardizovaným prístupom pre devízové riziko (MKR SA FX), komoditné riziko (MKR SA COM), úrokové riziko (MKR SA TDI, MKR SA SEC, MKR SA CTP)</w:t>
      </w:r>
      <w:r w:rsidR="00207412">
        <w:t xml:space="preserve"> a </w:t>
      </w:r>
      <w:r w:rsidRPr="00207412">
        <w:t>akciové riziko (MKR SA EQU). Okrem toho sa</w:t>
      </w:r>
      <w:r w:rsidR="00207412">
        <w:t xml:space="preserve"> v </w:t>
      </w:r>
      <w:r w:rsidRPr="00207412">
        <w:t>tejto časti uvádzajú aj pokyny pre vzor pre vykazovanie výpočtu požiadaviek na vlastné zdroje podľa prístupu interných modelov (MKR IM)</w:t>
      </w:r>
      <w:r w:rsidR="00207412">
        <w:t>.</w:t>
      </w:r>
    </w:p>
    <w:p w14:paraId="7263917E" w14:textId="54913F62" w:rsidR="00207412" w:rsidRDefault="000B0B09" w:rsidP="00E172EA">
      <w:pPr>
        <w:pStyle w:val="InstructionsText2"/>
        <w:numPr>
          <w:ilvl w:val="0"/>
          <w:numId w:val="29"/>
        </w:numPr>
        <w:suppressAutoHyphens/>
      </w:pPr>
      <w:r w:rsidRPr="00207412">
        <w:t>Pozičné riziko obchodovaných dlhových nástrojov alebo kapitálových cenných papierov (alebo dlhového alebo akciového derivátu) sa rozdeľuje na dve zložky, aby sa mohol vypočítať kapitál požadovaný na krytie tohto pozičného rizika. Prvá zložka pokrýva špecifické riziko – ide</w:t>
      </w:r>
      <w:r w:rsidR="00207412">
        <w:t xml:space="preserve"> o </w:t>
      </w:r>
      <w:r w:rsidRPr="00207412">
        <w:t>riziko zmeny ceny príslušného nástroja</w:t>
      </w:r>
      <w:r w:rsidR="00207412">
        <w:t xml:space="preserve"> v </w:t>
      </w:r>
      <w:r w:rsidRPr="00207412">
        <w:t>dôsledku skutočností spojených</w:t>
      </w:r>
      <w:r w:rsidR="00207412">
        <w:t xml:space="preserve"> s </w:t>
      </w:r>
      <w:r w:rsidRPr="00207412">
        <w:t>jeho emitentom alebo</w:t>
      </w:r>
      <w:r w:rsidR="00207412">
        <w:t xml:space="preserve"> v </w:t>
      </w:r>
      <w:r w:rsidRPr="00207412">
        <w:t>prípade derivátu</w:t>
      </w:r>
      <w:r w:rsidR="00207412">
        <w:t xml:space="preserve"> s </w:t>
      </w:r>
      <w:r w:rsidRPr="00207412">
        <w:t>emitentom podkladového nástroja. Druhá zložka pokrýva jeho všeobecné riziko – ide</w:t>
      </w:r>
      <w:r w:rsidR="00207412">
        <w:t xml:space="preserve"> o </w:t>
      </w:r>
      <w:r w:rsidRPr="00207412">
        <w:t>riziko zmeny ceny nástroja</w:t>
      </w:r>
      <w:r w:rsidR="00207412">
        <w:t xml:space="preserve"> v </w:t>
      </w:r>
      <w:r w:rsidRPr="00207412">
        <w:t>dôsledku (v prípade obchodovaného dlhového nástroja alebo dlhového derivátu) zmeny úrovne úrokových sadzieb alebo (v prípade kapitálového cenného papiera alebo akciového derivátu)</w:t>
      </w:r>
      <w:r w:rsidR="00207412">
        <w:t xml:space="preserve"> v </w:t>
      </w:r>
      <w:r w:rsidRPr="00207412">
        <w:t>dôsledku zmien na akciovom trhu zo širšieho pohľadu bez vzťahu</w:t>
      </w:r>
      <w:r w:rsidR="00207412">
        <w:t xml:space="preserve"> k </w:t>
      </w:r>
      <w:r w:rsidRPr="00207412">
        <w:t xml:space="preserve">akýmkoľvek špecifickým atribútom jednotlivých cenných papierov. </w:t>
      </w:r>
      <w:bookmarkEnd w:id="28"/>
      <w:r w:rsidRPr="00207412">
        <w:t>Všeobecné zaobchádzanie</w:t>
      </w:r>
      <w:r w:rsidR="00207412">
        <w:t xml:space="preserve"> s </w:t>
      </w:r>
      <w:r w:rsidRPr="00207412">
        <w:t>konkrétnymi nástrojmi</w:t>
      </w:r>
      <w:r w:rsidR="00207412">
        <w:t xml:space="preserve"> a </w:t>
      </w:r>
      <w:r w:rsidRPr="00207412">
        <w:t>postupmi započítavania je stanovené</w:t>
      </w:r>
      <w:r w:rsidR="00207412">
        <w:t xml:space="preserve"> v </w:t>
      </w:r>
      <w:r w:rsidRPr="00207412">
        <w:t xml:space="preserve">článkoch 326 až 333 nariadenia (EÚ) </w:t>
      </w:r>
      <w:r w:rsidR="00207412">
        <w:t>č. </w:t>
      </w:r>
      <w:r w:rsidRPr="00207412">
        <w:t>575/2013</w:t>
      </w:r>
      <w:r w:rsidR="00207412">
        <w:t>.</w:t>
      </w:r>
    </w:p>
    <w:p w14:paraId="39C5FEA4" w14:textId="417CF8DA" w:rsidR="000B0B09" w:rsidRPr="0020741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29" w:name="_Toc239157393"/>
      <w:bookmarkStart w:id="30" w:name="_Toc262566426"/>
      <w:bookmarkStart w:id="31" w:name="_Toc295829996"/>
      <w:bookmarkStart w:id="32" w:name="_Toc308426673"/>
      <w:bookmarkStart w:id="33" w:name="_Toc310415057"/>
      <w:bookmarkStart w:id="34" w:name="_Toc360188392"/>
      <w:bookmarkStart w:id="35" w:name="_Toc473561032"/>
      <w:bookmarkStart w:id="36" w:name="_Toc210895520"/>
      <w:r w:rsidRPr="00207412">
        <w:rPr>
          <w:rFonts w:ascii="Times New Roman" w:hAnsi="Times New Roman"/>
          <w:sz w:val="24"/>
          <w:u w:val="none"/>
        </w:rPr>
        <w:t>2.</w:t>
      </w:r>
      <w:r w:rsidRPr="00207412">
        <w:rPr>
          <w:u w:val="none"/>
        </w:rPr>
        <w:tab/>
      </w:r>
      <w:r w:rsidRPr="00207412">
        <w:rPr>
          <w:rFonts w:ascii="Times New Roman" w:hAnsi="Times New Roman"/>
          <w:sz w:val="24"/>
        </w:rPr>
        <w:t>C 18.00 – Trhové riziko: Štandardizovaný prístup pre pozičné riziká obchodovaných dlhových nástrojov</w:t>
      </w:r>
      <w:bookmarkEnd w:id="29"/>
      <w:bookmarkEnd w:id="30"/>
      <w:bookmarkEnd w:id="31"/>
      <w:bookmarkEnd w:id="32"/>
      <w:bookmarkEnd w:id="33"/>
      <w:bookmarkEnd w:id="34"/>
      <w:r w:rsidRPr="00207412">
        <w:rPr>
          <w:rFonts w:ascii="Times New Roman" w:hAnsi="Times New Roman"/>
          <w:sz w:val="24"/>
        </w:rPr>
        <w:t xml:space="preserve"> (MKR SA TDI)</w:t>
      </w:r>
      <w:bookmarkEnd w:id="35"/>
      <w:bookmarkEnd w:id="36"/>
    </w:p>
    <w:p w14:paraId="7BC699A3" w14:textId="51025249" w:rsidR="000B0B09" w:rsidRPr="0020741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37" w:name="_Toc262566427"/>
      <w:bookmarkStart w:id="38" w:name="_Toc295829997"/>
      <w:bookmarkStart w:id="39" w:name="_Toc308426674"/>
      <w:bookmarkStart w:id="40" w:name="_Toc310415058"/>
      <w:bookmarkStart w:id="41" w:name="_Toc360188393"/>
      <w:bookmarkStart w:id="42" w:name="_Toc473561033"/>
      <w:bookmarkStart w:id="43" w:name="_Toc210895521"/>
      <w:r w:rsidRPr="00207412">
        <w:rPr>
          <w:rFonts w:ascii="Times New Roman" w:hAnsi="Times New Roman"/>
          <w:sz w:val="24"/>
          <w:u w:val="none"/>
        </w:rPr>
        <w:t>2.1.</w:t>
      </w:r>
      <w:r w:rsidRPr="00207412">
        <w:rPr>
          <w:u w:val="none"/>
        </w:rPr>
        <w:tab/>
      </w:r>
      <w:r w:rsidRPr="00207412">
        <w:rPr>
          <w:rFonts w:ascii="Times New Roman" w:hAnsi="Times New Roman"/>
          <w:sz w:val="24"/>
        </w:rPr>
        <w:t>Všeobecné poznámky</w:t>
      </w:r>
      <w:bookmarkEnd w:id="37"/>
      <w:bookmarkEnd w:id="38"/>
      <w:bookmarkEnd w:id="39"/>
      <w:bookmarkEnd w:id="40"/>
      <w:bookmarkEnd w:id="41"/>
      <w:bookmarkEnd w:id="42"/>
      <w:bookmarkEnd w:id="43"/>
    </w:p>
    <w:p w14:paraId="0D010E09" w14:textId="73786ACD" w:rsidR="000B0B09" w:rsidRPr="00207412" w:rsidRDefault="000B0B09" w:rsidP="00E172EA">
      <w:pPr>
        <w:pStyle w:val="InstructionsText2"/>
        <w:numPr>
          <w:ilvl w:val="0"/>
          <w:numId w:val="29"/>
        </w:numPr>
        <w:suppressAutoHyphens/>
        <w:ind w:left="1349" w:hanging="357"/>
      </w:pPr>
      <w:r w:rsidRPr="00207412">
        <w:t>V tomto vzore sa uvádzajú pozície</w:t>
      </w:r>
      <w:r w:rsidR="00207412">
        <w:t xml:space="preserve"> a </w:t>
      </w:r>
      <w:r w:rsidRPr="00207412">
        <w:t>súvisiace požiadavky na vlastné zdroje pre pozičné riziká</w:t>
      </w:r>
      <w:r w:rsidR="00207412">
        <w:t xml:space="preserve"> z </w:t>
      </w:r>
      <w:r w:rsidRPr="00207412">
        <w:t>obchodovaných dlhových nástrojov</w:t>
      </w:r>
      <w:r w:rsidR="00207412">
        <w:t xml:space="preserve"> v </w:t>
      </w:r>
      <w:r w:rsidRPr="00207412">
        <w:t xml:space="preserve">rámci štandardizovaného prístupu [článok 325 ods. 2 písm. a) nariadenia (EÚ) </w:t>
      </w:r>
      <w:r w:rsidR="00207412">
        <w:t>č. </w:t>
      </w:r>
      <w:r w:rsidRPr="00207412">
        <w:t>575/2013]. Jednotlivé riziká</w:t>
      </w:r>
      <w:r w:rsidR="00207412">
        <w:t xml:space="preserve"> a </w:t>
      </w:r>
      <w:r w:rsidRPr="00207412">
        <w:t>metódy</w:t>
      </w:r>
      <w:r w:rsidR="00207412">
        <w:t xml:space="preserve"> k </w:t>
      </w:r>
      <w:r w:rsidRPr="00207412">
        <w:t xml:space="preserve">dispozícii podľa nariadenia (EÚ) </w:t>
      </w:r>
      <w:r w:rsidR="00207412">
        <w:t>č. </w:t>
      </w:r>
      <w:r w:rsidRPr="00207412">
        <w:t>575/2013 sa posudzujú podľa riadkov. Špecifické riziko spojené</w:t>
      </w:r>
      <w:r w:rsidR="00207412">
        <w:t xml:space="preserve"> s </w:t>
      </w:r>
      <w:r w:rsidRPr="00207412">
        <w:t>expozíciami zahrnutými vo vzore MKR SA SEC</w:t>
      </w:r>
      <w:r w:rsidR="00207412">
        <w:t xml:space="preserve"> a </w:t>
      </w:r>
      <w:r w:rsidRPr="00207412">
        <w:t>vo vzore MKR SA CTP sa vykazuje len vo vzore Spolu MKR SA TDI. Požiadavky na vlastné zdroje vykázané</w:t>
      </w:r>
      <w:r w:rsidR="00207412">
        <w:t xml:space="preserve"> v </w:t>
      </w:r>
      <w:r w:rsidRPr="00207412">
        <w:t>týchto vzoroch sa prenášajú do bunky {0325;0060} (sekuritizácie), resp. do bunky {0330;0060} (CTP).</w:t>
      </w:r>
    </w:p>
    <w:p w14:paraId="4E44A75B" w14:textId="0210ACC7" w:rsidR="00207412" w:rsidRDefault="000B0B09" w:rsidP="00E172EA">
      <w:pPr>
        <w:pStyle w:val="InstructionsText2"/>
        <w:numPr>
          <w:ilvl w:val="0"/>
          <w:numId w:val="29"/>
        </w:numPr>
        <w:suppressAutoHyphens/>
      </w:pPr>
      <w:r w:rsidRPr="00207412">
        <w:t>Vzor sa vypĺňa osobitne pre „Spolu“</w:t>
      </w:r>
      <w:r w:rsidR="00207412">
        <w:t xml:space="preserve"> a </w:t>
      </w:r>
      <w:r w:rsidRPr="00207412">
        <w:t xml:space="preserve">pre vopred stanovený zoznam týchto mien: </w:t>
      </w:r>
      <w:bookmarkStart w:id="44" w:name="OLE_LINK1"/>
      <w:r w:rsidRPr="00207412">
        <w:t>EUR, ALL, BGN, CZK, DKK, EGP, GBP, HUF, ISK, JPY, MKD, NOK, PLN, RON, RUB, RSD, SEK, CHF, TRY, UAH, USD</w:t>
      </w:r>
      <w:bookmarkEnd w:id="44"/>
      <w:r w:rsidR="00207412">
        <w:t xml:space="preserve"> a </w:t>
      </w:r>
      <w:r w:rsidRPr="00207412">
        <w:t>jeden vzor pre všetky ostatné meny</w:t>
      </w:r>
      <w:r w:rsidR="00207412">
        <w:t>.</w:t>
      </w:r>
    </w:p>
    <w:p w14:paraId="73E54EAD" w14:textId="01A2668C" w:rsidR="000B0B09" w:rsidRPr="0020741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45" w:name="_Toc262566428"/>
      <w:bookmarkStart w:id="46" w:name="_Toc295829998"/>
      <w:bookmarkStart w:id="47" w:name="_Toc308426675"/>
      <w:bookmarkStart w:id="48" w:name="_Toc310415059"/>
      <w:bookmarkStart w:id="49" w:name="_Toc360188394"/>
      <w:bookmarkStart w:id="50" w:name="_Toc473561034"/>
      <w:bookmarkStart w:id="51" w:name="_Toc210895522"/>
      <w:r w:rsidRPr="00207412">
        <w:rPr>
          <w:rFonts w:ascii="Times New Roman" w:hAnsi="Times New Roman"/>
          <w:sz w:val="24"/>
          <w:u w:val="none"/>
        </w:rPr>
        <w:t>2.2.</w:t>
      </w:r>
      <w:r w:rsidRPr="00207412">
        <w:rPr>
          <w:u w:val="none"/>
        </w:rPr>
        <w:tab/>
      </w:r>
      <w:r w:rsidRPr="00207412">
        <w:rPr>
          <w:rFonts w:ascii="Times New Roman" w:hAnsi="Times New Roman"/>
          <w:sz w:val="24"/>
        </w:rPr>
        <w:t>Pokyny týkajúce sa konkrétnych pozícií</w:t>
      </w:r>
      <w:bookmarkEnd w:id="45"/>
      <w:bookmarkEnd w:id="46"/>
      <w:bookmarkEnd w:id="47"/>
      <w:bookmarkEnd w:id="48"/>
      <w:bookmarkEnd w:id="49"/>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07412" w14:paraId="3B011B78" w14:textId="77777777" w:rsidTr="00672D2A">
        <w:trPr>
          <w:trHeight w:val="569"/>
        </w:trPr>
        <w:tc>
          <w:tcPr>
            <w:tcW w:w="8862" w:type="dxa"/>
            <w:gridSpan w:val="2"/>
            <w:shd w:val="clear" w:color="auto" w:fill="CCCCCC"/>
          </w:tcPr>
          <w:p w14:paraId="3F08430D" w14:textId="77777777" w:rsidR="000B0B09" w:rsidRPr="00207412" w:rsidRDefault="000B0B09" w:rsidP="004C445F">
            <w:pPr>
              <w:suppressAutoHyphens/>
              <w:autoSpaceDE w:val="0"/>
              <w:autoSpaceDN w:val="0"/>
              <w:adjustRightInd w:val="0"/>
              <w:spacing w:after="0"/>
              <w:rPr>
                <w:rFonts w:ascii="Times New Roman" w:hAnsi="Times New Roman"/>
                <w:b/>
                <w:sz w:val="24"/>
              </w:rPr>
            </w:pPr>
            <w:r w:rsidRPr="00207412">
              <w:rPr>
                <w:rFonts w:ascii="Times New Roman" w:hAnsi="Times New Roman"/>
                <w:b/>
                <w:sz w:val="24"/>
              </w:rPr>
              <w:t>Stĺpce</w:t>
            </w:r>
          </w:p>
        </w:tc>
      </w:tr>
      <w:tr w:rsidR="000B0B09" w:rsidRPr="00207412" w14:paraId="2FB66B69" w14:textId="77777777" w:rsidTr="00672D2A">
        <w:tc>
          <w:tcPr>
            <w:tcW w:w="988" w:type="dxa"/>
          </w:tcPr>
          <w:p w14:paraId="3487AAF4" w14:textId="77777777" w:rsidR="000B0B09"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lastRenderedPageBreak/>
              <w:t>0010 – 0020</w:t>
            </w:r>
          </w:p>
        </w:tc>
        <w:tc>
          <w:tcPr>
            <w:tcW w:w="7874" w:type="dxa"/>
          </w:tcPr>
          <w:p w14:paraId="53B61CBE"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VŠETKY POZÍCIE (DLHÉ A KRÁTKE)</w:t>
            </w:r>
          </w:p>
          <w:p w14:paraId="0C799784" w14:textId="03F167C2" w:rsidR="000B0B09" w:rsidRPr="00207412" w:rsidRDefault="000B0B09" w:rsidP="004C445F">
            <w:pPr>
              <w:suppressAutoHyphens/>
              <w:rPr>
                <w:rFonts w:ascii="Times New Roman" w:hAnsi="Times New Roman"/>
                <w:sz w:val="24"/>
              </w:rPr>
            </w:pPr>
            <w:r w:rsidRPr="00207412">
              <w:rPr>
                <w:rFonts w:ascii="Times New Roman" w:hAnsi="Times New Roman"/>
                <w:sz w:val="24"/>
              </w:rPr>
              <w:t>Článok 102</w:t>
            </w:r>
            <w:r w:rsidR="00207412">
              <w:rPr>
                <w:rFonts w:ascii="Times New Roman" w:hAnsi="Times New Roman"/>
                <w:sz w:val="24"/>
              </w:rPr>
              <w:t xml:space="preserve"> a </w:t>
            </w:r>
            <w:r w:rsidRPr="00207412">
              <w:rPr>
                <w:rFonts w:ascii="Times New Roman" w:hAnsi="Times New Roman"/>
                <w:sz w:val="24"/>
              </w:rPr>
              <w:t xml:space="preserve">článok 105 ods. 1 nariadenia (EÚ) </w:t>
            </w:r>
            <w:r w:rsidR="00207412">
              <w:rPr>
                <w:rFonts w:ascii="Times New Roman" w:hAnsi="Times New Roman"/>
                <w:sz w:val="24"/>
              </w:rPr>
              <w:t>č. </w:t>
            </w:r>
            <w:r w:rsidRPr="00207412">
              <w:rPr>
                <w:rFonts w:ascii="Times New Roman" w:hAnsi="Times New Roman"/>
                <w:sz w:val="24"/>
              </w:rPr>
              <w:t>575/2013. Ide</w:t>
            </w:r>
            <w:r w:rsidR="00207412">
              <w:rPr>
                <w:rFonts w:ascii="Times New Roman" w:hAnsi="Times New Roman"/>
                <w:sz w:val="24"/>
              </w:rPr>
              <w:t xml:space="preserve"> o </w:t>
            </w:r>
            <w:r w:rsidRPr="00207412">
              <w:rPr>
                <w:rFonts w:ascii="Times New Roman" w:hAnsi="Times New Roman"/>
                <w:sz w:val="24"/>
              </w:rPr>
              <w:t>hrubé pozície bez započítania nástrojov, ale bez pozícií</w:t>
            </w:r>
            <w:r w:rsidR="00207412">
              <w:rPr>
                <w:rFonts w:ascii="Times New Roman" w:hAnsi="Times New Roman"/>
                <w:sz w:val="24"/>
              </w:rPr>
              <w:t xml:space="preserve"> z </w:t>
            </w:r>
            <w:r w:rsidRPr="00207412">
              <w:rPr>
                <w:rFonts w:ascii="Times New Roman" w:hAnsi="Times New Roman"/>
                <w:sz w:val="24"/>
              </w:rPr>
              <w:t>upísania, ktoré sú upísané alebo podupísané tretími osobami</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 xml:space="preserve">článkom 345 ods. 1 prvým pododsekom druhou vetou nariadenia (EÚ) </w:t>
            </w:r>
            <w:r w:rsidR="00207412">
              <w:rPr>
                <w:rFonts w:ascii="Times New Roman" w:hAnsi="Times New Roman"/>
                <w:sz w:val="24"/>
              </w:rPr>
              <w:t>č. </w:t>
            </w:r>
            <w:r w:rsidRPr="00207412">
              <w:rPr>
                <w:rFonts w:ascii="Times New Roman" w:hAnsi="Times New Roman"/>
                <w:sz w:val="24"/>
              </w:rPr>
              <w:t>575/2013. Pokiaľ ide</w:t>
            </w:r>
            <w:r w:rsidR="00207412">
              <w:rPr>
                <w:rFonts w:ascii="Times New Roman" w:hAnsi="Times New Roman"/>
                <w:sz w:val="24"/>
              </w:rPr>
              <w:t xml:space="preserve"> o </w:t>
            </w:r>
            <w:r w:rsidRPr="00207412">
              <w:rPr>
                <w:rFonts w:ascii="Times New Roman" w:hAnsi="Times New Roman"/>
                <w:sz w:val="24"/>
              </w:rPr>
              <w:t>rozdiel medzi dlhými</w:t>
            </w:r>
            <w:r w:rsidR="00207412">
              <w:rPr>
                <w:rFonts w:ascii="Times New Roman" w:hAnsi="Times New Roman"/>
                <w:sz w:val="24"/>
              </w:rPr>
              <w:t xml:space="preserve"> a </w:t>
            </w:r>
            <w:r w:rsidRPr="00207412">
              <w:rPr>
                <w:rFonts w:ascii="Times New Roman" w:hAnsi="Times New Roman"/>
                <w:sz w:val="24"/>
              </w:rPr>
              <w:t>krátkymi pozíciami, ktorý sa uplatňuje aj na tieto hrubé pozície, pozri článok 328 ods. 2 uvedeného nariadenia.</w:t>
            </w:r>
          </w:p>
        </w:tc>
      </w:tr>
      <w:tr w:rsidR="000B0B09" w:rsidRPr="00207412" w14:paraId="05A2AFD3" w14:textId="77777777" w:rsidTr="00672D2A">
        <w:tc>
          <w:tcPr>
            <w:tcW w:w="988" w:type="dxa"/>
          </w:tcPr>
          <w:p w14:paraId="0443676D" w14:textId="77777777" w:rsidR="000B0B09"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0030 – 0040</w:t>
            </w:r>
          </w:p>
        </w:tc>
        <w:tc>
          <w:tcPr>
            <w:tcW w:w="7874" w:type="dxa"/>
          </w:tcPr>
          <w:p w14:paraId="28E370A1"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ČISTÉ POZÍCIE (DLHÉ A KRÁTKE)</w:t>
            </w:r>
          </w:p>
          <w:p w14:paraId="38649486" w14:textId="5730D250" w:rsidR="000B0B09" w:rsidRPr="00207412" w:rsidRDefault="000B0B09" w:rsidP="004C445F">
            <w:pPr>
              <w:suppressAutoHyphens/>
              <w:rPr>
                <w:rFonts w:ascii="Times New Roman" w:hAnsi="Times New Roman"/>
                <w:sz w:val="24"/>
              </w:rPr>
            </w:pPr>
            <w:r w:rsidRPr="00207412">
              <w:rPr>
                <w:rFonts w:ascii="Times New Roman" w:hAnsi="Times New Roman"/>
                <w:sz w:val="24"/>
              </w:rPr>
              <w:t>Články 327 až 329</w:t>
            </w:r>
            <w:r w:rsidR="00207412">
              <w:rPr>
                <w:rFonts w:ascii="Times New Roman" w:hAnsi="Times New Roman"/>
                <w:sz w:val="24"/>
              </w:rPr>
              <w:t xml:space="preserve"> a </w:t>
            </w:r>
            <w:r w:rsidRPr="00207412">
              <w:rPr>
                <w:rFonts w:ascii="Times New Roman" w:hAnsi="Times New Roman"/>
                <w:sz w:val="24"/>
              </w:rPr>
              <w:t xml:space="preserve">článok 334 nariadenia (EÚ) </w:t>
            </w:r>
            <w:r w:rsidR="00207412">
              <w:rPr>
                <w:rFonts w:ascii="Times New Roman" w:hAnsi="Times New Roman"/>
                <w:sz w:val="24"/>
              </w:rPr>
              <w:t>č. </w:t>
            </w:r>
            <w:r w:rsidRPr="00207412">
              <w:rPr>
                <w:rFonts w:ascii="Times New Roman" w:hAnsi="Times New Roman"/>
                <w:sz w:val="24"/>
              </w:rPr>
              <w:t>575/2013. Pokiaľ ide</w:t>
            </w:r>
            <w:r w:rsidR="00207412">
              <w:rPr>
                <w:rFonts w:ascii="Times New Roman" w:hAnsi="Times New Roman"/>
                <w:sz w:val="24"/>
              </w:rPr>
              <w:t xml:space="preserve"> o </w:t>
            </w:r>
            <w:r w:rsidRPr="00207412">
              <w:rPr>
                <w:rFonts w:ascii="Times New Roman" w:hAnsi="Times New Roman"/>
                <w:sz w:val="24"/>
              </w:rPr>
              <w:t>rozdiel medzi dlhými</w:t>
            </w:r>
            <w:r w:rsidR="00207412">
              <w:rPr>
                <w:rFonts w:ascii="Times New Roman" w:hAnsi="Times New Roman"/>
                <w:sz w:val="24"/>
              </w:rPr>
              <w:t xml:space="preserve"> a </w:t>
            </w:r>
            <w:r w:rsidRPr="00207412">
              <w:rPr>
                <w:rFonts w:ascii="Times New Roman" w:hAnsi="Times New Roman"/>
                <w:sz w:val="24"/>
              </w:rPr>
              <w:t>krátkymi pozíciami, pozri článok 328 ods. 2 uvedeného nariadenia.</w:t>
            </w:r>
          </w:p>
        </w:tc>
      </w:tr>
      <w:tr w:rsidR="000B0B09" w:rsidRPr="00207412" w14:paraId="4C7D46FF" w14:textId="77777777" w:rsidTr="00672D2A">
        <w:tc>
          <w:tcPr>
            <w:tcW w:w="988" w:type="dxa"/>
          </w:tcPr>
          <w:p w14:paraId="4D3FEEA5" w14:textId="77777777" w:rsidR="000B0B09"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0050</w:t>
            </w:r>
          </w:p>
        </w:tc>
        <w:tc>
          <w:tcPr>
            <w:tcW w:w="7874" w:type="dxa"/>
          </w:tcPr>
          <w:p w14:paraId="28B3043D"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POZÍCIE, NA KTORÉ SA VZŤAHUJE KAPITÁLOVÁ POŽIADAVKA</w:t>
            </w:r>
          </w:p>
          <w:p w14:paraId="76B658E5" w14:textId="5146D05D" w:rsidR="000B0B09" w:rsidRPr="00207412" w:rsidRDefault="000B0B09" w:rsidP="004C445F">
            <w:pPr>
              <w:suppressAutoHyphens/>
              <w:rPr>
                <w:rFonts w:ascii="Times New Roman" w:hAnsi="Times New Roman"/>
                <w:b/>
                <w:bCs/>
                <w:sz w:val="24"/>
                <w:u w:val="single"/>
              </w:rPr>
            </w:pPr>
            <w:r w:rsidRPr="00207412">
              <w:rPr>
                <w:rFonts w:ascii="Times New Roman" w:hAnsi="Times New Roman"/>
                <w:sz w:val="24"/>
              </w:rPr>
              <w:t>Ide</w:t>
            </w:r>
            <w:r w:rsidR="00207412">
              <w:rPr>
                <w:rFonts w:ascii="Times New Roman" w:hAnsi="Times New Roman"/>
                <w:sz w:val="24"/>
              </w:rPr>
              <w:t xml:space="preserve"> o </w:t>
            </w:r>
            <w:r w:rsidRPr="00207412">
              <w:rPr>
                <w:rFonts w:ascii="Times New Roman" w:hAnsi="Times New Roman"/>
                <w:sz w:val="24"/>
              </w:rPr>
              <w:t>čisté pozície, na ktoré sa podľa rôznych prístupov</w:t>
            </w:r>
            <w:r w:rsidR="00207412">
              <w:rPr>
                <w:rFonts w:ascii="Times New Roman" w:hAnsi="Times New Roman"/>
                <w:sz w:val="24"/>
              </w:rPr>
              <w:t xml:space="preserve"> v </w:t>
            </w:r>
            <w:r w:rsidRPr="00207412">
              <w:rPr>
                <w:rFonts w:ascii="Times New Roman" w:hAnsi="Times New Roman"/>
                <w:sz w:val="24"/>
              </w:rPr>
              <w:t xml:space="preserve">tretej časti hlave IV kapitole 2 nariadenia (EÚ) </w:t>
            </w:r>
            <w:r w:rsidR="00207412">
              <w:rPr>
                <w:rFonts w:ascii="Times New Roman" w:hAnsi="Times New Roman"/>
                <w:sz w:val="24"/>
              </w:rPr>
              <w:t>č. </w:t>
            </w:r>
            <w:r w:rsidRPr="00207412">
              <w:rPr>
                <w:rFonts w:ascii="Times New Roman" w:hAnsi="Times New Roman"/>
                <w:sz w:val="24"/>
              </w:rPr>
              <w:t>575/2013 vzťahuje kapitálová požiadavka.</w:t>
            </w:r>
          </w:p>
        </w:tc>
      </w:tr>
      <w:tr w:rsidR="000B0B09" w:rsidRPr="00207412" w14:paraId="017C014C" w14:textId="77777777" w:rsidTr="00672D2A">
        <w:tc>
          <w:tcPr>
            <w:tcW w:w="988" w:type="dxa"/>
          </w:tcPr>
          <w:p w14:paraId="7D197D93" w14:textId="77777777" w:rsidR="000B0B09"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0060</w:t>
            </w:r>
          </w:p>
        </w:tc>
        <w:tc>
          <w:tcPr>
            <w:tcW w:w="7874" w:type="dxa"/>
          </w:tcPr>
          <w:p w14:paraId="55F3618B" w14:textId="77777777" w:rsidR="000B0B09" w:rsidRPr="00207412"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POŽIADAVKY NA VLASTNÉ ZDROJE</w:t>
            </w:r>
          </w:p>
          <w:p w14:paraId="74F1F61F" w14:textId="398276E5" w:rsidR="000B0B09" w:rsidRPr="00207412" w:rsidRDefault="000B0B09" w:rsidP="004C445F">
            <w:pPr>
              <w:suppressAutoHyphens/>
              <w:rPr>
                <w:rFonts w:ascii="Times New Roman" w:hAnsi="Times New Roman"/>
                <w:b/>
                <w:bCs/>
                <w:sz w:val="24"/>
                <w:u w:val="single"/>
              </w:rPr>
            </w:pPr>
            <w:r w:rsidRPr="00207412">
              <w:rPr>
                <w:rFonts w:ascii="Times New Roman" w:hAnsi="Times New Roman"/>
                <w:sz w:val="24"/>
              </w:rPr>
              <w:t>Kapitálová požiadavka pre všetky relevantné pozície</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 xml:space="preserve">treťou časťou hlavou IV kapitolou 2 nariadenia (EÚ) </w:t>
            </w:r>
            <w:r w:rsidR="00207412">
              <w:rPr>
                <w:rFonts w:ascii="Times New Roman" w:hAnsi="Times New Roman"/>
                <w:sz w:val="24"/>
              </w:rPr>
              <w:t>č. </w:t>
            </w:r>
            <w:r w:rsidRPr="00207412">
              <w:rPr>
                <w:rFonts w:ascii="Times New Roman" w:hAnsi="Times New Roman"/>
                <w:sz w:val="24"/>
              </w:rPr>
              <w:t>575/2013.</w:t>
            </w:r>
          </w:p>
        </w:tc>
      </w:tr>
      <w:tr w:rsidR="000B0B09" w:rsidRPr="00207412" w14:paraId="56717AD1" w14:textId="77777777" w:rsidTr="00672D2A">
        <w:tc>
          <w:tcPr>
            <w:tcW w:w="988" w:type="dxa"/>
          </w:tcPr>
          <w:p w14:paraId="0D4A61CE" w14:textId="77777777" w:rsidR="000B0B09"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0070</w:t>
            </w:r>
          </w:p>
        </w:tc>
        <w:tc>
          <w:tcPr>
            <w:tcW w:w="7874" w:type="dxa"/>
          </w:tcPr>
          <w:p w14:paraId="7996E138" w14:textId="77777777" w:rsidR="000B0B09" w:rsidRPr="00207412"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CELKOVÁ HODNOTA RIZIKOVEJ EXPOZÍCIE</w:t>
            </w:r>
          </w:p>
          <w:p w14:paraId="2C4B0E54" w14:textId="7F2D7D6B" w:rsidR="000B0B09" w:rsidRPr="00207412" w:rsidRDefault="000B0B09" w:rsidP="004C445F">
            <w:pPr>
              <w:suppressAutoHyphens/>
              <w:rPr>
                <w:rFonts w:ascii="Times New Roman" w:hAnsi="Times New Roman"/>
                <w:b/>
                <w:bCs/>
                <w:sz w:val="24"/>
                <w:u w:val="single"/>
              </w:rPr>
            </w:pPr>
            <w:r w:rsidRPr="00207412">
              <w:rPr>
                <w:rFonts w:ascii="Times New Roman" w:hAnsi="Times New Roman"/>
                <w:sz w:val="24"/>
              </w:rPr>
              <w:t xml:space="preserve">Článok 92 ods. 6 písm. b) nariadenia (EÚ) </w:t>
            </w:r>
            <w:r w:rsidR="00207412">
              <w:rPr>
                <w:rFonts w:ascii="Times New Roman" w:hAnsi="Times New Roman"/>
                <w:sz w:val="24"/>
              </w:rPr>
              <w:t>č. </w:t>
            </w:r>
            <w:r w:rsidRPr="00207412">
              <w:rPr>
                <w:rFonts w:ascii="Times New Roman" w:hAnsi="Times New Roman"/>
                <w:sz w:val="24"/>
              </w:rPr>
              <w:t xml:space="preserve">575/2013. Výsledok vynásobenia požiadaviek na vlastné zdroje koeficientom 12,5. </w:t>
            </w:r>
          </w:p>
        </w:tc>
      </w:tr>
    </w:tbl>
    <w:p w14:paraId="5A8176A5"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nl-BE"/>
        </w:rPr>
      </w:pPr>
    </w:p>
    <w:p w14:paraId="33B18629"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07412" w14:paraId="64300D2A" w14:textId="77777777" w:rsidTr="00672D2A">
        <w:trPr>
          <w:trHeight w:val="533"/>
        </w:trPr>
        <w:tc>
          <w:tcPr>
            <w:tcW w:w="8862" w:type="dxa"/>
            <w:gridSpan w:val="2"/>
            <w:shd w:val="clear" w:color="auto" w:fill="CCCCCC"/>
          </w:tcPr>
          <w:p w14:paraId="3C74B427" w14:textId="77777777" w:rsidR="000B0B09" w:rsidRPr="00207412" w:rsidRDefault="000B0B09" w:rsidP="004C445F">
            <w:pPr>
              <w:suppressAutoHyphens/>
              <w:autoSpaceDE w:val="0"/>
              <w:autoSpaceDN w:val="0"/>
              <w:adjustRightInd w:val="0"/>
              <w:spacing w:after="0"/>
              <w:rPr>
                <w:rFonts w:ascii="Times New Roman" w:hAnsi="Times New Roman"/>
                <w:b/>
                <w:sz w:val="24"/>
              </w:rPr>
            </w:pPr>
            <w:r w:rsidRPr="00207412">
              <w:rPr>
                <w:rFonts w:ascii="Times New Roman" w:hAnsi="Times New Roman"/>
                <w:b/>
                <w:sz w:val="24"/>
              </w:rPr>
              <w:t>Riadky</w:t>
            </w:r>
          </w:p>
        </w:tc>
      </w:tr>
      <w:tr w:rsidR="000B0B09" w:rsidRPr="00207412" w14:paraId="278DCECA" w14:textId="77777777" w:rsidTr="00672D2A">
        <w:trPr>
          <w:trHeight w:val="1168"/>
        </w:trPr>
        <w:tc>
          <w:tcPr>
            <w:tcW w:w="987" w:type="dxa"/>
          </w:tcPr>
          <w:p w14:paraId="2275EBA9" w14:textId="77777777" w:rsidR="000B0B09"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0010 – 0350</w:t>
            </w:r>
          </w:p>
        </w:tc>
        <w:tc>
          <w:tcPr>
            <w:tcW w:w="7875" w:type="dxa"/>
          </w:tcPr>
          <w:p w14:paraId="20DE7F59" w14:textId="509793A6"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OBCHODOVANÉ DLHOVÉ NÁSTROJE</w:t>
            </w:r>
            <w:r w:rsidR="00207412">
              <w:rPr>
                <w:rFonts w:ascii="Times New Roman" w:hAnsi="Times New Roman"/>
                <w:b/>
                <w:sz w:val="24"/>
                <w:u w:val="single"/>
              </w:rPr>
              <w:t xml:space="preserve"> V </w:t>
            </w:r>
            <w:r w:rsidRPr="00207412">
              <w:rPr>
                <w:rFonts w:ascii="Times New Roman" w:hAnsi="Times New Roman"/>
                <w:b/>
                <w:sz w:val="24"/>
                <w:u w:val="single"/>
              </w:rPr>
              <w:t>OBCHODNEJ KNIHE</w:t>
            </w:r>
          </w:p>
          <w:p w14:paraId="12C841B7" w14:textId="76511BE3" w:rsidR="000B0B09" w:rsidRPr="00207412" w:rsidRDefault="000B0B09" w:rsidP="004C445F">
            <w:pPr>
              <w:suppressAutoHyphens/>
              <w:rPr>
                <w:rFonts w:ascii="Times New Roman" w:hAnsi="Times New Roman"/>
                <w:sz w:val="24"/>
              </w:rPr>
            </w:pPr>
            <w:r w:rsidRPr="00207412">
              <w:rPr>
                <w:rFonts w:ascii="Times New Roman" w:hAnsi="Times New Roman"/>
                <w:sz w:val="24"/>
              </w:rPr>
              <w:t>Pozície</w:t>
            </w:r>
            <w:r w:rsidR="00207412">
              <w:rPr>
                <w:rFonts w:ascii="Times New Roman" w:hAnsi="Times New Roman"/>
                <w:sz w:val="24"/>
              </w:rPr>
              <w:t xml:space="preserve"> v </w:t>
            </w:r>
            <w:r w:rsidRPr="00207412">
              <w:rPr>
                <w:rFonts w:ascii="Times New Roman" w:hAnsi="Times New Roman"/>
                <w:sz w:val="24"/>
              </w:rPr>
              <w:t>obchodovaných dlhových nástrojoch</w:t>
            </w:r>
            <w:r w:rsidR="00207412">
              <w:rPr>
                <w:rFonts w:ascii="Times New Roman" w:hAnsi="Times New Roman"/>
                <w:sz w:val="24"/>
              </w:rPr>
              <w:t xml:space="preserve"> v </w:t>
            </w:r>
            <w:r w:rsidRPr="00207412">
              <w:rPr>
                <w:rFonts w:ascii="Times New Roman" w:hAnsi="Times New Roman"/>
                <w:sz w:val="24"/>
              </w:rPr>
              <w:t>obchodnej knihe</w:t>
            </w:r>
            <w:r w:rsidR="00207412">
              <w:rPr>
                <w:rFonts w:ascii="Times New Roman" w:hAnsi="Times New Roman"/>
                <w:sz w:val="24"/>
              </w:rPr>
              <w:t xml:space="preserve"> a </w:t>
            </w:r>
            <w:r w:rsidRPr="00207412">
              <w:rPr>
                <w:rFonts w:ascii="Times New Roman" w:hAnsi="Times New Roman"/>
                <w:sz w:val="24"/>
              </w:rPr>
              <w:t>ich zodpovedajúce požiadavky na vlastné zdroje pre pozičné riziko</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 xml:space="preserve">článkom 92 ods. 4 písm. b) bodom i) nariadenia (EÚ) </w:t>
            </w:r>
            <w:r w:rsidR="00207412">
              <w:rPr>
                <w:rFonts w:ascii="Times New Roman" w:hAnsi="Times New Roman"/>
                <w:sz w:val="24"/>
              </w:rPr>
              <w:t>č. </w:t>
            </w:r>
            <w:r w:rsidRPr="00207412">
              <w:rPr>
                <w:rFonts w:ascii="Times New Roman" w:hAnsi="Times New Roman"/>
                <w:sz w:val="24"/>
              </w:rPr>
              <w:t>575/2013</w:t>
            </w:r>
            <w:r w:rsidR="00207412">
              <w:rPr>
                <w:rFonts w:ascii="Times New Roman" w:hAnsi="Times New Roman"/>
                <w:sz w:val="24"/>
              </w:rPr>
              <w:t xml:space="preserve"> a </w:t>
            </w:r>
            <w:r w:rsidRPr="00207412">
              <w:rPr>
                <w:rFonts w:ascii="Times New Roman" w:hAnsi="Times New Roman"/>
                <w:sz w:val="24"/>
              </w:rPr>
              <w:t>treťou časťou hlavou IV kapitolou 2 uvedeného nariadenia sa vykazujú</w:t>
            </w:r>
            <w:r w:rsidR="00207412">
              <w:rPr>
                <w:rFonts w:ascii="Times New Roman" w:hAnsi="Times New Roman"/>
                <w:sz w:val="24"/>
              </w:rPr>
              <w:t xml:space="preserve"> v </w:t>
            </w:r>
            <w:r w:rsidRPr="00207412">
              <w:rPr>
                <w:rFonts w:ascii="Times New Roman" w:hAnsi="Times New Roman"/>
                <w:sz w:val="24"/>
              </w:rPr>
              <w:t>závislosti od kategórie rizika, splatnosti</w:t>
            </w:r>
            <w:r w:rsidR="00207412">
              <w:rPr>
                <w:rFonts w:ascii="Times New Roman" w:hAnsi="Times New Roman"/>
                <w:sz w:val="24"/>
              </w:rPr>
              <w:t xml:space="preserve"> a </w:t>
            </w:r>
            <w:r w:rsidRPr="00207412">
              <w:rPr>
                <w:rFonts w:ascii="Times New Roman" w:hAnsi="Times New Roman"/>
                <w:sz w:val="24"/>
              </w:rPr>
              <w:t>použitého prístupu.</w:t>
            </w:r>
          </w:p>
        </w:tc>
      </w:tr>
      <w:tr w:rsidR="000B0B09" w:rsidRPr="00207412" w14:paraId="2272E4A5" w14:textId="77777777" w:rsidTr="00672D2A">
        <w:tc>
          <w:tcPr>
            <w:tcW w:w="987" w:type="dxa"/>
          </w:tcPr>
          <w:p w14:paraId="0642F5E6" w14:textId="77777777" w:rsidR="000B0B09"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0011</w:t>
            </w:r>
          </w:p>
        </w:tc>
        <w:tc>
          <w:tcPr>
            <w:tcW w:w="7875" w:type="dxa"/>
          </w:tcPr>
          <w:p w14:paraId="51E03C37" w14:textId="77777777" w:rsidR="000B0B09" w:rsidRP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b/>
                <w:sz w:val="24"/>
                <w:u w:val="single"/>
              </w:rPr>
              <w:t xml:space="preserve">VŠEOBECNÉ RIZIKO. </w:t>
            </w:r>
          </w:p>
        </w:tc>
      </w:tr>
      <w:tr w:rsidR="000B0B09" w:rsidRPr="00207412" w14:paraId="55F30C33" w14:textId="77777777" w:rsidTr="00672D2A">
        <w:tc>
          <w:tcPr>
            <w:tcW w:w="987" w:type="dxa"/>
          </w:tcPr>
          <w:p w14:paraId="2CBA5F8A" w14:textId="77777777" w:rsidR="000B0B09"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0012</w:t>
            </w:r>
          </w:p>
        </w:tc>
        <w:tc>
          <w:tcPr>
            <w:tcW w:w="7875" w:type="dxa"/>
          </w:tcPr>
          <w:p w14:paraId="04F0038F" w14:textId="77777777" w:rsidR="000B0B09" w:rsidRP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b/>
                <w:sz w:val="24"/>
                <w:u w:val="single"/>
              </w:rPr>
              <w:t>Deriváty</w:t>
            </w:r>
          </w:p>
          <w:p w14:paraId="06C530F0" w14:textId="62812CA8" w:rsidR="000B0B09" w:rsidRPr="00207412" w:rsidRDefault="000B0B09" w:rsidP="004C445F">
            <w:pPr>
              <w:suppressAutoHyphens/>
              <w:rPr>
                <w:rFonts w:ascii="Times New Roman" w:hAnsi="Times New Roman"/>
                <w:b/>
                <w:bCs/>
                <w:sz w:val="24"/>
                <w:u w:val="single"/>
              </w:rPr>
            </w:pPr>
            <w:r w:rsidRPr="00207412">
              <w:rPr>
                <w:rFonts w:ascii="Times New Roman" w:hAnsi="Times New Roman"/>
                <w:sz w:val="24"/>
              </w:rPr>
              <w:t>Deriváty zahrnuté vo výpočte úrokového rizika pozícií</w:t>
            </w:r>
            <w:r w:rsidR="00207412">
              <w:rPr>
                <w:rFonts w:ascii="Times New Roman" w:hAnsi="Times New Roman"/>
                <w:sz w:val="24"/>
              </w:rPr>
              <w:t xml:space="preserve"> v </w:t>
            </w:r>
            <w:r w:rsidRPr="00207412">
              <w:rPr>
                <w:rFonts w:ascii="Times New Roman" w:hAnsi="Times New Roman"/>
                <w:sz w:val="24"/>
              </w:rPr>
              <w:t xml:space="preserve">obchodnej knihe so zohľadnením článkov 328 až 331 nariadenia (EÚ) </w:t>
            </w:r>
            <w:r w:rsidR="00207412">
              <w:rPr>
                <w:rFonts w:ascii="Times New Roman" w:hAnsi="Times New Roman"/>
                <w:sz w:val="24"/>
              </w:rPr>
              <w:t>č. </w:t>
            </w:r>
            <w:r w:rsidRPr="00207412">
              <w:rPr>
                <w:rFonts w:ascii="Times New Roman" w:hAnsi="Times New Roman"/>
                <w:sz w:val="24"/>
              </w:rPr>
              <w:t>575/2013, ak sú uplatniteľné.</w:t>
            </w:r>
          </w:p>
        </w:tc>
      </w:tr>
      <w:tr w:rsidR="000B0B09" w:rsidRPr="00207412" w14:paraId="36851B46" w14:textId="77777777" w:rsidTr="00672D2A">
        <w:tc>
          <w:tcPr>
            <w:tcW w:w="987" w:type="dxa"/>
          </w:tcPr>
          <w:p w14:paraId="6827F663" w14:textId="77777777" w:rsidR="000B0B09"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0013</w:t>
            </w:r>
          </w:p>
        </w:tc>
        <w:tc>
          <w:tcPr>
            <w:tcW w:w="7875" w:type="dxa"/>
          </w:tcPr>
          <w:p w14:paraId="60242973" w14:textId="65D57CAB"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Ostatné aktíva</w:t>
            </w:r>
            <w:r w:rsidR="00207412">
              <w:rPr>
                <w:rFonts w:ascii="Times New Roman" w:hAnsi="Times New Roman"/>
                <w:b/>
                <w:sz w:val="24"/>
                <w:u w:val="single"/>
              </w:rPr>
              <w:t xml:space="preserve"> a </w:t>
            </w:r>
            <w:r w:rsidRPr="00207412">
              <w:rPr>
                <w:rFonts w:ascii="Times New Roman" w:hAnsi="Times New Roman"/>
                <w:b/>
                <w:sz w:val="24"/>
                <w:u w:val="single"/>
              </w:rPr>
              <w:t>záväzky</w:t>
            </w:r>
          </w:p>
          <w:p w14:paraId="665719C9" w14:textId="43E0D190" w:rsidR="000B0B09" w:rsidRPr="00207412" w:rsidRDefault="000B0B09" w:rsidP="004C445F">
            <w:pPr>
              <w:suppressAutoHyphens/>
              <w:rPr>
                <w:rFonts w:ascii="Times New Roman" w:hAnsi="Times New Roman"/>
                <w:b/>
                <w:bCs/>
                <w:sz w:val="24"/>
                <w:u w:val="single"/>
              </w:rPr>
            </w:pPr>
            <w:r w:rsidRPr="00207412">
              <w:rPr>
                <w:rFonts w:ascii="Times New Roman" w:hAnsi="Times New Roman"/>
                <w:sz w:val="24"/>
              </w:rPr>
              <w:t>Nástroje iné než deriváty zahrnuté vo výpočte úrokového rizika pozícií</w:t>
            </w:r>
            <w:r w:rsidR="00207412">
              <w:rPr>
                <w:rFonts w:ascii="Times New Roman" w:hAnsi="Times New Roman"/>
                <w:sz w:val="24"/>
              </w:rPr>
              <w:t xml:space="preserve"> v </w:t>
            </w:r>
            <w:r w:rsidRPr="00207412">
              <w:rPr>
                <w:rFonts w:ascii="Times New Roman" w:hAnsi="Times New Roman"/>
                <w:sz w:val="24"/>
              </w:rPr>
              <w:t xml:space="preserve">obchodnej knihe. </w:t>
            </w:r>
          </w:p>
        </w:tc>
      </w:tr>
      <w:tr w:rsidR="000B0B09" w:rsidRPr="00207412" w14:paraId="177EBA5C" w14:textId="77777777" w:rsidTr="00672D2A">
        <w:tc>
          <w:tcPr>
            <w:tcW w:w="987" w:type="dxa"/>
          </w:tcPr>
          <w:p w14:paraId="2B740B72" w14:textId="77777777" w:rsidR="000B0B09"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0020 – 0200</w:t>
            </w:r>
          </w:p>
        </w:tc>
        <w:tc>
          <w:tcPr>
            <w:tcW w:w="7875" w:type="dxa"/>
          </w:tcPr>
          <w:p w14:paraId="1DE7E50A"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PRÍSTUP ZALOŽENÝ NA SPLATNOSTI</w:t>
            </w:r>
          </w:p>
          <w:p w14:paraId="644A7531" w14:textId="26A18CFC" w:rsidR="000B0B09" w:rsidRPr="00207412" w:rsidRDefault="000B0B09" w:rsidP="004C445F">
            <w:pPr>
              <w:suppressAutoHyphens/>
              <w:rPr>
                <w:rFonts w:ascii="Times New Roman" w:hAnsi="Times New Roman"/>
                <w:b/>
                <w:bCs/>
                <w:sz w:val="24"/>
                <w:u w:val="single"/>
              </w:rPr>
            </w:pPr>
            <w:r w:rsidRPr="00207412">
              <w:rPr>
                <w:rFonts w:ascii="Times New Roman" w:hAnsi="Times New Roman"/>
                <w:sz w:val="24"/>
              </w:rPr>
              <w:t>Pozície</w:t>
            </w:r>
            <w:r w:rsidR="00207412">
              <w:rPr>
                <w:rFonts w:ascii="Times New Roman" w:hAnsi="Times New Roman"/>
                <w:sz w:val="24"/>
              </w:rPr>
              <w:t xml:space="preserve"> v </w:t>
            </w:r>
            <w:r w:rsidRPr="00207412">
              <w:rPr>
                <w:rFonts w:ascii="Times New Roman" w:hAnsi="Times New Roman"/>
                <w:sz w:val="24"/>
              </w:rPr>
              <w:t xml:space="preserve">obchodovaných dlhových nástrojoch, na ktoré sa uplatňuje prístup založený na splatnosti podľa článku 339 ods. 1 až 8 nariadenia (EÚ) </w:t>
            </w:r>
            <w:r w:rsidR="00207412">
              <w:rPr>
                <w:rFonts w:ascii="Times New Roman" w:hAnsi="Times New Roman"/>
                <w:sz w:val="24"/>
              </w:rPr>
              <w:t>č. </w:t>
            </w:r>
            <w:r w:rsidRPr="00207412">
              <w:rPr>
                <w:rFonts w:ascii="Times New Roman" w:hAnsi="Times New Roman"/>
                <w:sz w:val="24"/>
              </w:rPr>
              <w:t>575/2013,</w:t>
            </w:r>
            <w:r w:rsidR="00207412">
              <w:rPr>
                <w:rFonts w:ascii="Times New Roman" w:hAnsi="Times New Roman"/>
                <w:sz w:val="24"/>
              </w:rPr>
              <w:t xml:space="preserve"> a </w:t>
            </w:r>
            <w:r w:rsidRPr="00207412">
              <w:rPr>
                <w:rFonts w:ascii="Times New Roman" w:hAnsi="Times New Roman"/>
                <w:sz w:val="24"/>
              </w:rPr>
              <w:t>zodpovedajúce požiadavky na vlastné zdroje vypočítané</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 xml:space="preserve">článkom </w:t>
            </w:r>
            <w:r w:rsidRPr="00207412">
              <w:rPr>
                <w:rFonts w:ascii="Times New Roman" w:hAnsi="Times New Roman"/>
                <w:sz w:val="24"/>
              </w:rPr>
              <w:lastRenderedPageBreak/>
              <w:t>339 ods. 9 uvedeného nariadenia. Pozícia sa rozdelí podľa zón 1, 2</w:t>
            </w:r>
            <w:r w:rsidR="00207412">
              <w:rPr>
                <w:rFonts w:ascii="Times New Roman" w:hAnsi="Times New Roman"/>
                <w:sz w:val="24"/>
              </w:rPr>
              <w:t xml:space="preserve"> a </w:t>
            </w:r>
            <w:r w:rsidRPr="00207412">
              <w:rPr>
                <w:rFonts w:ascii="Times New Roman" w:hAnsi="Times New Roman"/>
                <w:sz w:val="24"/>
              </w:rPr>
              <w:t>3</w:t>
            </w:r>
            <w:r w:rsidR="00207412">
              <w:rPr>
                <w:rFonts w:ascii="Times New Roman" w:hAnsi="Times New Roman"/>
                <w:sz w:val="24"/>
              </w:rPr>
              <w:t xml:space="preserve"> a </w:t>
            </w:r>
            <w:r w:rsidRPr="00207412">
              <w:rPr>
                <w:rFonts w:ascii="Times New Roman" w:hAnsi="Times New Roman"/>
                <w:sz w:val="24"/>
              </w:rPr>
              <w:t>tieto zóny sa rozdelia podľa splatnosti nástrojov.</w:t>
            </w:r>
          </w:p>
        </w:tc>
      </w:tr>
      <w:tr w:rsidR="000B0B09" w:rsidRPr="00207412" w14:paraId="79DAC997" w14:textId="77777777" w:rsidTr="00672D2A">
        <w:tc>
          <w:tcPr>
            <w:tcW w:w="987" w:type="dxa"/>
          </w:tcPr>
          <w:p w14:paraId="73C021ED" w14:textId="77777777" w:rsidR="000B0B09"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lastRenderedPageBreak/>
              <w:t>0210 – 0240</w:t>
            </w:r>
          </w:p>
        </w:tc>
        <w:tc>
          <w:tcPr>
            <w:tcW w:w="7875" w:type="dxa"/>
          </w:tcPr>
          <w:p w14:paraId="2CE27E61" w14:textId="77777777" w:rsidR="000B0B09" w:rsidRP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b/>
                <w:sz w:val="24"/>
                <w:u w:val="single"/>
              </w:rPr>
              <w:t>VŠEOBECNÉ RIZIKO. PRÍSTUP ZALOŽENÝ NA DURÁCII</w:t>
            </w:r>
          </w:p>
          <w:p w14:paraId="08171DB1" w14:textId="0C9B012B" w:rsidR="000B0B09" w:rsidRPr="00207412" w:rsidRDefault="000B0B09" w:rsidP="004C445F">
            <w:pPr>
              <w:suppressAutoHyphens/>
              <w:rPr>
                <w:rFonts w:ascii="Times New Roman" w:hAnsi="Times New Roman"/>
                <w:b/>
                <w:bCs/>
                <w:sz w:val="24"/>
                <w:u w:val="single"/>
              </w:rPr>
            </w:pPr>
            <w:r w:rsidRPr="00207412">
              <w:rPr>
                <w:rFonts w:ascii="Times New Roman" w:hAnsi="Times New Roman"/>
                <w:sz w:val="24"/>
              </w:rPr>
              <w:t>Pozície</w:t>
            </w:r>
            <w:r w:rsidR="00207412">
              <w:rPr>
                <w:rFonts w:ascii="Times New Roman" w:hAnsi="Times New Roman"/>
                <w:sz w:val="24"/>
              </w:rPr>
              <w:t xml:space="preserve"> v </w:t>
            </w:r>
            <w:r w:rsidRPr="00207412">
              <w:rPr>
                <w:rFonts w:ascii="Times New Roman" w:hAnsi="Times New Roman"/>
                <w:sz w:val="24"/>
              </w:rPr>
              <w:t xml:space="preserve">obchodovaných dlhových nástrojoch, na ktoré sa uplatňuje prístup založený na durácii podľa článku 340 ods. 1 až 6 nariadenia (EÚ) </w:t>
            </w:r>
            <w:r w:rsidR="00207412">
              <w:rPr>
                <w:rFonts w:ascii="Times New Roman" w:hAnsi="Times New Roman"/>
                <w:sz w:val="24"/>
              </w:rPr>
              <w:t>č. </w:t>
            </w:r>
            <w:r w:rsidRPr="00207412">
              <w:rPr>
                <w:rFonts w:ascii="Times New Roman" w:hAnsi="Times New Roman"/>
                <w:sz w:val="24"/>
              </w:rPr>
              <w:t>575/2013,</w:t>
            </w:r>
            <w:r w:rsidR="00207412">
              <w:rPr>
                <w:rFonts w:ascii="Times New Roman" w:hAnsi="Times New Roman"/>
                <w:sz w:val="24"/>
              </w:rPr>
              <w:t xml:space="preserve"> a </w:t>
            </w:r>
            <w:r w:rsidRPr="00207412">
              <w:rPr>
                <w:rFonts w:ascii="Times New Roman" w:hAnsi="Times New Roman"/>
                <w:sz w:val="24"/>
              </w:rPr>
              <w:t>zodpovedajúce požiadavky na vlastné zdroje vypočítané</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článkom 340 ods. 7 uvedeného nariadenia. Pozícia sa rozdelí podľa zón 1, 2</w:t>
            </w:r>
            <w:r w:rsidR="00207412">
              <w:rPr>
                <w:rFonts w:ascii="Times New Roman" w:hAnsi="Times New Roman"/>
                <w:sz w:val="24"/>
              </w:rPr>
              <w:t xml:space="preserve"> a </w:t>
            </w:r>
            <w:r w:rsidRPr="00207412">
              <w:rPr>
                <w:rFonts w:ascii="Times New Roman" w:hAnsi="Times New Roman"/>
                <w:sz w:val="24"/>
              </w:rPr>
              <w:t>3.</w:t>
            </w:r>
          </w:p>
        </w:tc>
      </w:tr>
      <w:tr w:rsidR="000B0B09" w:rsidRPr="00207412" w14:paraId="7DD483EC" w14:textId="77777777" w:rsidTr="00672D2A">
        <w:tc>
          <w:tcPr>
            <w:tcW w:w="987" w:type="dxa"/>
          </w:tcPr>
          <w:p w14:paraId="5974B232" w14:textId="77777777" w:rsidR="000B0B09"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0250</w:t>
            </w:r>
          </w:p>
        </w:tc>
        <w:tc>
          <w:tcPr>
            <w:tcW w:w="7875" w:type="dxa"/>
          </w:tcPr>
          <w:p w14:paraId="6CE50A3E"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ŠPECIFICKÉ RIZIKO</w:t>
            </w:r>
          </w:p>
          <w:p w14:paraId="18AB04D4" w14:textId="0816D69F" w:rsidR="00207412" w:rsidRDefault="000B0B09" w:rsidP="004C445F">
            <w:pPr>
              <w:suppressAutoHyphens/>
              <w:rPr>
                <w:rFonts w:ascii="Times New Roman" w:hAnsi="Times New Roman"/>
                <w:sz w:val="24"/>
              </w:rPr>
            </w:pPr>
            <w:r w:rsidRPr="00207412">
              <w:rPr>
                <w:rFonts w:ascii="Times New Roman" w:hAnsi="Times New Roman"/>
                <w:sz w:val="24"/>
              </w:rPr>
              <w:t>Súčet hodnôt vykázaných</w:t>
            </w:r>
            <w:r w:rsidR="00207412">
              <w:rPr>
                <w:rFonts w:ascii="Times New Roman" w:hAnsi="Times New Roman"/>
                <w:sz w:val="24"/>
              </w:rPr>
              <w:t xml:space="preserve"> v </w:t>
            </w:r>
            <w:r w:rsidRPr="00207412">
              <w:rPr>
                <w:rFonts w:ascii="Times New Roman" w:hAnsi="Times New Roman"/>
                <w:sz w:val="24"/>
              </w:rPr>
              <w:t>riadkoch 0251, 0325</w:t>
            </w:r>
            <w:r w:rsidR="00207412">
              <w:rPr>
                <w:rFonts w:ascii="Times New Roman" w:hAnsi="Times New Roman"/>
                <w:sz w:val="24"/>
              </w:rPr>
              <w:t xml:space="preserve"> a </w:t>
            </w:r>
            <w:r w:rsidRPr="00207412">
              <w:rPr>
                <w:rFonts w:ascii="Times New Roman" w:hAnsi="Times New Roman"/>
                <w:sz w:val="24"/>
              </w:rPr>
              <w:t>0330</w:t>
            </w:r>
            <w:r w:rsidR="00207412">
              <w:rPr>
                <w:rFonts w:ascii="Times New Roman" w:hAnsi="Times New Roman"/>
                <w:sz w:val="24"/>
              </w:rPr>
              <w:t>.</w:t>
            </w:r>
          </w:p>
          <w:p w14:paraId="4E1E5CA2" w14:textId="5B80FB70" w:rsidR="000B0B09" w:rsidRPr="00207412" w:rsidRDefault="000B0B09" w:rsidP="004C445F">
            <w:pPr>
              <w:suppressAutoHyphens/>
              <w:rPr>
                <w:rFonts w:ascii="Times New Roman" w:hAnsi="Times New Roman"/>
                <w:b/>
                <w:bCs/>
                <w:sz w:val="24"/>
                <w:u w:val="single"/>
              </w:rPr>
            </w:pPr>
            <w:r w:rsidRPr="00207412">
              <w:rPr>
                <w:rFonts w:ascii="Times New Roman" w:hAnsi="Times New Roman"/>
                <w:sz w:val="24"/>
              </w:rPr>
              <w:t>Pozície</w:t>
            </w:r>
            <w:r w:rsidR="00207412">
              <w:rPr>
                <w:rFonts w:ascii="Times New Roman" w:hAnsi="Times New Roman"/>
                <w:sz w:val="24"/>
              </w:rPr>
              <w:t xml:space="preserve"> v </w:t>
            </w:r>
            <w:r w:rsidRPr="00207412">
              <w:rPr>
                <w:rFonts w:ascii="Times New Roman" w:hAnsi="Times New Roman"/>
                <w:sz w:val="24"/>
              </w:rPr>
              <w:t>obchodovaných dlhových nástrojoch, na ktoré sa uplatňujú kapitálové požiadavky pre špecifické riziko,</w:t>
            </w:r>
            <w:r w:rsidR="00207412">
              <w:rPr>
                <w:rFonts w:ascii="Times New Roman" w:hAnsi="Times New Roman"/>
                <w:sz w:val="24"/>
              </w:rPr>
              <w:t xml:space="preserve"> a </w:t>
            </w:r>
            <w:r w:rsidRPr="00207412">
              <w:rPr>
                <w:rFonts w:ascii="Times New Roman" w:hAnsi="Times New Roman"/>
                <w:sz w:val="24"/>
              </w:rPr>
              <w:t>ich zodpovedajúce kapitálové požiadavky</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článkom 92 ods. 3 písm. b), článkom 335, článkom 336 ods. 1, 2</w:t>
            </w:r>
            <w:r w:rsidR="00207412">
              <w:rPr>
                <w:rFonts w:ascii="Times New Roman" w:hAnsi="Times New Roman"/>
                <w:sz w:val="24"/>
              </w:rPr>
              <w:t xml:space="preserve"> a </w:t>
            </w:r>
            <w:r w:rsidRPr="00207412">
              <w:rPr>
                <w:rFonts w:ascii="Times New Roman" w:hAnsi="Times New Roman"/>
                <w:sz w:val="24"/>
              </w:rPr>
              <w:t>3</w:t>
            </w:r>
            <w:r w:rsidR="00207412">
              <w:rPr>
                <w:rFonts w:ascii="Times New Roman" w:hAnsi="Times New Roman"/>
                <w:sz w:val="24"/>
              </w:rPr>
              <w:t xml:space="preserve"> a </w:t>
            </w:r>
            <w:r w:rsidRPr="00207412">
              <w:rPr>
                <w:rFonts w:ascii="Times New Roman" w:hAnsi="Times New Roman"/>
                <w:sz w:val="24"/>
              </w:rPr>
              <w:t>článkami 337</w:t>
            </w:r>
            <w:r w:rsidR="00207412">
              <w:rPr>
                <w:rFonts w:ascii="Times New Roman" w:hAnsi="Times New Roman"/>
                <w:sz w:val="24"/>
              </w:rPr>
              <w:t xml:space="preserve"> a </w:t>
            </w:r>
            <w:r w:rsidRPr="00207412">
              <w:rPr>
                <w:rFonts w:ascii="Times New Roman" w:hAnsi="Times New Roman"/>
                <w:sz w:val="24"/>
              </w:rPr>
              <w:t xml:space="preserve">338 nariadenia (EÚ) </w:t>
            </w:r>
            <w:r w:rsidR="00207412">
              <w:rPr>
                <w:rFonts w:ascii="Times New Roman" w:hAnsi="Times New Roman"/>
                <w:sz w:val="24"/>
              </w:rPr>
              <w:t>č. </w:t>
            </w:r>
            <w:r w:rsidRPr="00207412">
              <w:rPr>
                <w:rFonts w:ascii="Times New Roman" w:hAnsi="Times New Roman"/>
                <w:sz w:val="24"/>
              </w:rPr>
              <w:t>575/2013. Upozorňujeme aj na poslednú vetu článku 327 ods. 1 uvedeného nariadenia.</w:t>
            </w:r>
          </w:p>
        </w:tc>
      </w:tr>
      <w:tr w:rsidR="000B0B09" w:rsidRPr="00207412" w14:paraId="6F8691E7" w14:textId="77777777" w:rsidTr="00672D2A">
        <w:tc>
          <w:tcPr>
            <w:tcW w:w="987" w:type="dxa"/>
          </w:tcPr>
          <w:p w14:paraId="5CD5E31A" w14:textId="77777777" w:rsidR="000B0B09"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0251 – 0321</w:t>
            </w:r>
          </w:p>
        </w:tc>
        <w:tc>
          <w:tcPr>
            <w:tcW w:w="7875" w:type="dxa"/>
          </w:tcPr>
          <w:p w14:paraId="14764BB8"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Požiadavka na vlastné zdroje pre nesekuritizačné dlhové nástroje</w:t>
            </w:r>
          </w:p>
          <w:p w14:paraId="19437B35" w14:textId="0DEEE8AA" w:rsidR="000B0B09" w:rsidRPr="00207412" w:rsidRDefault="000B0B09" w:rsidP="004C445F">
            <w:pPr>
              <w:suppressAutoHyphens/>
              <w:rPr>
                <w:rFonts w:ascii="Times New Roman" w:hAnsi="Times New Roman"/>
                <w:sz w:val="24"/>
              </w:rPr>
            </w:pPr>
            <w:r w:rsidRPr="00207412">
              <w:rPr>
                <w:rFonts w:ascii="Times New Roman" w:hAnsi="Times New Roman"/>
                <w:sz w:val="24"/>
              </w:rPr>
              <w:t>Súčet hodnôt vykázaných</w:t>
            </w:r>
            <w:r w:rsidR="00207412">
              <w:rPr>
                <w:rFonts w:ascii="Times New Roman" w:hAnsi="Times New Roman"/>
                <w:sz w:val="24"/>
              </w:rPr>
              <w:t xml:space="preserve"> v </w:t>
            </w:r>
            <w:r w:rsidRPr="00207412">
              <w:rPr>
                <w:rFonts w:ascii="Times New Roman" w:hAnsi="Times New Roman"/>
                <w:sz w:val="24"/>
              </w:rPr>
              <w:t>riadkoch 260 až 321.</w:t>
            </w:r>
          </w:p>
          <w:p w14:paraId="3436E292" w14:textId="42BFEB17" w:rsidR="00207412" w:rsidRDefault="000B0B09" w:rsidP="004C445F">
            <w:pPr>
              <w:suppressAutoHyphens/>
              <w:rPr>
                <w:rFonts w:ascii="Times New Roman" w:hAnsi="Times New Roman"/>
                <w:sz w:val="24"/>
              </w:rPr>
            </w:pPr>
            <w:r w:rsidRPr="00207412">
              <w:rPr>
                <w:rFonts w:ascii="Times New Roman" w:hAnsi="Times New Roman"/>
                <w:sz w:val="24"/>
              </w:rPr>
              <w:t>Požiadavka na vlastné zdroje pre kreditné deriváty pre n-té zlyhanie, ktoré nemajú externý rating, sa vypočítava spočítaním rizikových váh referenčných subjektov [článok 332 ods. 1 písm. e)</w:t>
            </w:r>
            <w:r w:rsidR="00207412">
              <w:rPr>
                <w:rFonts w:ascii="Times New Roman" w:hAnsi="Times New Roman"/>
                <w:sz w:val="24"/>
              </w:rPr>
              <w:t xml:space="preserve"> a </w:t>
            </w:r>
            <w:r w:rsidRPr="00207412">
              <w:rPr>
                <w:rFonts w:ascii="Times New Roman" w:hAnsi="Times New Roman"/>
                <w:sz w:val="24"/>
              </w:rPr>
              <w:t xml:space="preserve">článok 332 ods. 1 druhý pododsek nariadenia (EÚ) </w:t>
            </w:r>
            <w:r w:rsidR="00207412">
              <w:rPr>
                <w:rFonts w:ascii="Times New Roman" w:hAnsi="Times New Roman"/>
                <w:sz w:val="24"/>
              </w:rPr>
              <w:t>č. </w:t>
            </w:r>
            <w:r w:rsidRPr="00207412">
              <w:rPr>
                <w:rFonts w:ascii="Times New Roman" w:hAnsi="Times New Roman"/>
                <w:sz w:val="24"/>
              </w:rPr>
              <w:t xml:space="preserve">575/2013 – „prezretie“]. Kreditné deriváty pre n-té zlyhanie, ktoré majú externý rating [článok 332 ods. 1 tretí pododsek nariadenia (EÚ) </w:t>
            </w:r>
            <w:r w:rsidR="00207412">
              <w:rPr>
                <w:rFonts w:ascii="Times New Roman" w:hAnsi="Times New Roman"/>
                <w:sz w:val="24"/>
              </w:rPr>
              <w:t>č. </w:t>
            </w:r>
            <w:r w:rsidRPr="00207412">
              <w:rPr>
                <w:rFonts w:ascii="Times New Roman" w:hAnsi="Times New Roman"/>
                <w:sz w:val="24"/>
              </w:rPr>
              <w:t>575/2013], sa vykazujú osobitne</w:t>
            </w:r>
            <w:r w:rsidR="00207412">
              <w:rPr>
                <w:rFonts w:ascii="Times New Roman" w:hAnsi="Times New Roman"/>
                <w:sz w:val="24"/>
              </w:rPr>
              <w:t xml:space="preserve"> v </w:t>
            </w:r>
            <w:r w:rsidRPr="00207412">
              <w:rPr>
                <w:rFonts w:ascii="Times New Roman" w:hAnsi="Times New Roman"/>
                <w:sz w:val="24"/>
              </w:rPr>
              <w:t>riadku 321</w:t>
            </w:r>
            <w:r w:rsidR="00207412">
              <w:rPr>
                <w:rFonts w:ascii="Times New Roman" w:hAnsi="Times New Roman"/>
                <w:sz w:val="24"/>
              </w:rPr>
              <w:t>.</w:t>
            </w:r>
          </w:p>
          <w:p w14:paraId="7051ED04" w14:textId="5C7BEC76" w:rsidR="000B0B09" w:rsidRPr="00207412" w:rsidRDefault="000B0B09" w:rsidP="004C445F">
            <w:pPr>
              <w:suppressAutoHyphens/>
              <w:rPr>
                <w:rFonts w:ascii="Times New Roman" w:hAnsi="Times New Roman"/>
                <w:sz w:val="24"/>
              </w:rPr>
            </w:pPr>
            <w:r w:rsidRPr="00207412">
              <w:rPr>
                <w:rFonts w:ascii="Times New Roman" w:hAnsi="Times New Roman"/>
                <w:sz w:val="24"/>
              </w:rPr>
              <w:t xml:space="preserve">Vykazovanie pozícií, na ktoré sa uplatňuje článok 336 ods. 3 nariadenia (EÚ) </w:t>
            </w:r>
            <w:r w:rsidR="00207412">
              <w:rPr>
                <w:rFonts w:ascii="Times New Roman" w:hAnsi="Times New Roman"/>
                <w:sz w:val="24"/>
              </w:rPr>
              <w:t>č. </w:t>
            </w:r>
            <w:r w:rsidRPr="00207412">
              <w:rPr>
                <w:rFonts w:ascii="Times New Roman" w:hAnsi="Times New Roman"/>
                <w:sz w:val="24"/>
              </w:rPr>
              <w:t>575/2013: Pre dlhopisy, ktoré spĺňajú podmienky na 10</w:t>
            </w:r>
            <w:r w:rsidR="00207412">
              <w:rPr>
                <w:rFonts w:ascii="Times New Roman" w:hAnsi="Times New Roman"/>
                <w:sz w:val="24"/>
              </w:rPr>
              <w:t> %</w:t>
            </w:r>
            <w:r w:rsidRPr="00207412">
              <w:rPr>
                <w:rFonts w:ascii="Times New Roman" w:hAnsi="Times New Roman"/>
                <w:sz w:val="24"/>
              </w:rPr>
              <w:t xml:space="preserve"> rizikovú váhu</w:t>
            </w:r>
            <w:r w:rsidR="00207412">
              <w:rPr>
                <w:rFonts w:ascii="Times New Roman" w:hAnsi="Times New Roman"/>
                <w:sz w:val="24"/>
              </w:rPr>
              <w:t xml:space="preserve"> v </w:t>
            </w:r>
            <w:r w:rsidRPr="00207412">
              <w:rPr>
                <w:rFonts w:ascii="Times New Roman" w:hAnsi="Times New Roman"/>
                <w:sz w:val="24"/>
              </w:rPr>
              <w:t>bankovej knihe podľa článku 129 ods. 3 uvedeného nariadenia (kryté dlhopisy), existuje špeciálne zaobchádzanie. Osobitné požiadavky na vlastné zdroje sú polovicou percentuálnej miery druhej kategórie uvedenej</w:t>
            </w:r>
            <w:r w:rsidR="00207412">
              <w:rPr>
                <w:rFonts w:ascii="Times New Roman" w:hAnsi="Times New Roman"/>
                <w:sz w:val="24"/>
              </w:rPr>
              <w:t xml:space="preserve"> v </w:t>
            </w:r>
            <w:r w:rsidRPr="00207412">
              <w:rPr>
                <w:rFonts w:ascii="Times New Roman" w:hAnsi="Times New Roman"/>
                <w:sz w:val="24"/>
              </w:rPr>
              <w:t xml:space="preserve">tabuľke 1 článku 336 nariadenia (EÚ) </w:t>
            </w:r>
            <w:r w:rsidR="00207412">
              <w:rPr>
                <w:rFonts w:ascii="Times New Roman" w:hAnsi="Times New Roman"/>
                <w:sz w:val="24"/>
              </w:rPr>
              <w:t>č. </w:t>
            </w:r>
            <w:r w:rsidRPr="00207412">
              <w:rPr>
                <w:rFonts w:ascii="Times New Roman" w:hAnsi="Times New Roman"/>
                <w:sz w:val="24"/>
              </w:rPr>
              <w:t>575/2013. Uvedené pozície sa priradia riadkom 0280 – 0300 podľa zostatkového obdobia do konečnej splatnosti.</w:t>
            </w:r>
          </w:p>
          <w:p w14:paraId="11FE9AD5" w14:textId="2C875EF6" w:rsidR="000B0B09" w:rsidRPr="00207412" w:rsidRDefault="00F41508" w:rsidP="004C445F">
            <w:pPr>
              <w:suppressAutoHyphens/>
              <w:rPr>
                <w:rFonts w:ascii="Times New Roman" w:hAnsi="Times New Roman"/>
                <w:b/>
                <w:bCs/>
                <w:sz w:val="24"/>
                <w:u w:val="single"/>
              </w:rPr>
            </w:pPr>
            <w:r w:rsidRPr="00207412">
              <w:rPr>
                <w:rFonts w:ascii="Times New Roman" w:hAnsi="Times New Roman"/>
                <w:sz w:val="24"/>
              </w:rPr>
              <w:t>Keď sa všeobecné riziko úrokových pozícií hedžuje kreditným derivátom, uplatňujú sa články 346</w:t>
            </w:r>
            <w:r w:rsidR="00207412">
              <w:rPr>
                <w:rFonts w:ascii="Times New Roman" w:hAnsi="Times New Roman"/>
                <w:sz w:val="24"/>
              </w:rPr>
              <w:t xml:space="preserve"> a </w:t>
            </w:r>
            <w:r w:rsidRPr="00207412">
              <w:rPr>
                <w:rFonts w:ascii="Times New Roman" w:hAnsi="Times New Roman"/>
                <w:sz w:val="24"/>
              </w:rPr>
              <w:t xml:space="preserve">347 nariadenia (EÚ) </w:t>
            </w:r>
            <w:r w:rsidR="00207412">
              <w:rPr>
                <w:rFonts w:ascii="Times New Roman" w:hAnsi="Times New Roman"/>
                <w:sz w:val="24"/>
              </w:rPr>
              <w:t>č. </w:t>
            </w:r>
            <w:r w:rsidRPr="00207412">
              <w:rPr>
                <w:rFonts w:ascii="Times New Roman" w:hAnsi="Times New Roman"/>
                <w:sz w:val="24"/>
              </w:rPr>
              <w:t xml:space="preserve">575/2013. </w:t>
            </w:r>
          </w:p>
        </w:tc>
      </w:tr>
      <w:tr w:rsidR="000B0B09" w:rsidRPr="00207412" w14:paraId="3F2475A8" w14:textId="77777777" w:rsidTr="00672D2A">
        <w:tc>
          <w:tcPr>
            <w:tcW w:w="987" w:type="dxa"/>
          </w:tcPr>
          <w:p w14:paraId="1898316C" w14:textId="77777777" w:rsidR="000B0B09" w:rsidRPr="00207412" w:rsidDel="00F27BD6"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0325</w:t>
            </w:r>
          </w:p>
        </w:tc>
        <w:tc>
          <w:tcPr>
            <w:tcW w:w="7875" w:type="dxa"/>
          </w:tcPr>
          <w:p w14:paraId="21ACC24B"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Požiadavka na vlastné zdroje pre sekuritizačné nástroje</w:t>
            </w:r>
          </w:p>
          <w:p w14:paraId="7BA68AB7" w14:textId="3C89E7F2" w:rsidR="00722A10" w:rsidRPr="00207412" w:rsidDel="00F27BD6" w:rsidRDefault="000B0B09" w:rsidP="004C445F">
            <w:pPr>
              <w:suppressAutoHyphens/>
              <w:rPr>
                <w:rFonts w:ascii="Times New Roman" w:hAnsi="Times New Roman"/>
                <w:b/>
                <w:bCs/>
                <w:sz w:val="24"/>
                <w:u w:val="single"/>
              </w:rPr>
            </w:pPr>
            <w:r w:rsidRPr="00207412">
              <w:rPr>
                <w:rFonts w:ascii="Times New Roman" w:hAnsi="Times New Roman"/>
                <w:sz w:val="24"/>
              </w:rPr>
              <w:t>Požiadavky na celkové vlastné zdroje vykázané</w:t>
            </w:r>
            <w:r w:rsidR="00207412">
              <w:rPr>
                <w:rFonts w:ascii="Times New Roman" w:hAnsi="Times New Roman"/>
                <w:sz w:val="24"/>
              </w:rPr>
              <w:t xml:space="preserve"> v </w:t>
            </w:r>
            <w:r w:rsidRPr="00207412">
              <w:rPr>
                <w:rFonts w:ascii="Times New Roman" w:hAnsi="Times New Roman"/>
                <w:sz w:val="24"/>
              </w:rPr>
              <w:t>stĺpci 0601 vzoru MKR SA SEC. Uvedené požiadavky na celkové vlastné zdroje sa vykazujú len na celkovej úrovni vzoru MKR SA TDI.</w:t>
            </w:r>
          </w:p>
        </w:tc>
      </w:tr>
      <w:tr w:rsidR="000B0B09" w:rsidRPr="00207412" w14:paraId="55688787" w14:textId="77777777" w:rsidTr="00672D2A">
        <w:tc>
          <w:tcPr>
            <w:tcW w:w="987" w:type="dxa"/>
          </w:tcPr>
          <w:p w14:paraId="74C28C83" w14:textId="77777777" w:rsidR="000B0B09" w:rsidRPr="00207412" w:rsidDel="00F27BD6"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0330</w:t>
            </w:r>
          </w:p>
        </w:tc>
        <w:tc>
          <w:tcPr>
            <w:tcW w:w="7875" w:type="dxa"/>
          </w:tcPr>
          <w:p w14:paraId="66957FAA"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Požiadavka na vlastné zdroje pre korelačné obchodné portfólio</w:t>
            </w:r>
          </w:p>
          <w:p w14:paraId="104F8330" w14:textId="7388CF2B" w:rsidR="00722A10" w:rsidRPr="00207412" w:rsidDel="00F27BD6" w:rsidRDefault="000B0B09" w:rsidP="004C445F">
            <w:pPr>
              <w:suppressAutoHyphens/>
              <w:rPr>
                <w:rFonts w:ascii="Times New Roman" w:hAnsi="Times New Roman"/>
                <w:b/>
                <w:bCs/>
                <w:sz w:val="24"/>
                <w:u w:val="single"/>
              </w:rPr>
            </w:pPr>
            <w:r w:rsidRPr="00207412">
              <w:rPr>
                <w:rFonts w:ascii="Times New Roman" w:hAnsi="Times New Roman"/>
                <w:sz w:val="24"/>
              </w:rPr>
              <w:t>Požiadavky na celkové vlastné zdroje vykázané</w:t>
            </w:r>
            <w:r w:rsidR="00207412">
              <w:rPr>
                <w:rFonts w:ascii="Times New Roman" w:hAnsi="Times New Roman"/>
                <w:sz w:val="24"/>
              </w:rPr>
              <w:t xml:space="preserve"> v </w:t>
            </w:r>
            <w:r w:rsidRPr="00207412">
              <w:rPr>
                <w:rFonts w:ascii="Times New Roman" w:hAnsi="Times New Roman"/>
                <w:sz w:val="24"/>
              </w:rPr>
              <w:t>stĺpci 0450 vzoru MKR SA CTP. Uvedené požiadavky na celkové vlastné zdroje sa vykazujú len na celkovej úrovni vzoru MKR SA TDI.</w:t>
            </w:r>
          </w:p>
        </w:tc>
      </w:tr>
      <w:tr w:rsidR="000B0B09" w:rsidRPr="00207412" w14:paraId="230D0723" w14:textId="77777777" w:rsidTr="00672D2A">
        <w:tc>
          <w:tcPr>
            <w:tcW w:w="987" w:type="dxa"/>
          </w:tcPr>
          <w:p w14:paraId="26241DA3" w14:textId="77777777" w:rsidR="000B0B09"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0350 – 0390</w:t>
            </w:r>
          </w:p>
        </w:tc>
        <w:tc>
          <w:tcPr>
            <w:tcW w:w="7875" w:type="dxa"/>
          </w:tcPr>
          <w:p w14:paraId="68044246" w14:textId="77777777" w:rsidR="00207412" w:rsidRDefault="000B0B09" w:rsidP="004C445F">
            <w:pPr>
              <w:suppressAutoHyphens/>
              <w:autoSpaceDE w:val="0"/>
              <w:autoSpaceDN w:val="0"/>
              <w:adjustRightInd w:val="0"/>
              <w:spacing w:before="0" w:after="0"/>
              <w:rPr>
                <w:rStyle w:val="InstructionsTabelleberschrift"/>
                <w:rFonts w:ascii="Times New Roman" w:hAnsi="Times New Roman"/>
                <w:sz w:val="24"/>
              </w:rPr>
            </w:pPr>
            <w:r w:rsidRPr="00207412">
              <w:rPr>
                <w:rStyle w:val="InstructionsTabelleberschrift"/>
                <w:rFonts w:ascii="Times New Roman" w:hAnsi="Times New Roman"/>
                <w:sz w:val="24"/>
              </w:rPr>
              <w:t>DODATOČNÉ POŽIADAVKY PRE OPCIE (RIZIKÁ INÉ NEŽ DELTA)</w:t>
            </w:r>
          </w:p>
          <w:p w14:paraId="3B19069A" w14:textId="63C9A546" w:rsidR="000B0B09" w:rsidRPr="00207412" w:rsidRDefault="000B0B09" w:rsidP="004C445F">
            <w:pPr>
              <w:suppressAutoHyphens/>
              <w:rPr>
                <w:rFonts w:ascii="Times New Roman" w:hAnsi="Times New Roman"/>
                <w:sz w:val="24"/>
              </w:rPr>
            </w:pPr>
            <w:r w:rsidRPr="00207412">
              <w:rPr>
                <w:rFonts w:ascii="Times New Roman" w:hAnsi="Times New Roman"/>
                <w:sz w:val="24"/>
              </w:rPr>
              <w:t xml:space="preserve">Článok 329 ods. 3 nariadenia (EÚ) </w:t>
            </w:r>
            <w:r w:rsidR="00207412">
              <w:rPr>
                <w:rFonts w:ascii="Times New Roman" w:hAnsi="Times New Roman"/>
                <w:sz w:val="24"/>
              </w:rPr>
              <w:t>č. </w:t>
            </w:r>
            <w:r w:rsidRPr="00207412">
              <w:rPr>
                <w:rFonts w:ascii="Times New Roman" w:hAnsi="Times New Roman"/>
                <w:sz w:val="24"/>
              </w:rPr>
              <w:t>575/2013.</w:t>
            </w:r>
          </w:p>
          <w:p w14:paraId="4A1F04EE" w14:textId="7896EE8E" w:rsidR="000B0B09" w:rsidRPr="00207412" w:rsidRDefault="000B0B09" w:rsidP="004C445F">
            <w:pPr>
              <w:suppressAutoHyphens/>
              <w:rPr>
                <w:rFonts w:ascii="Times New Roman" w:hAnsi="Times New Roman"/>
                <w:bCs/>
                <w:sz w:val="24"/>
              </w:rPr>
            </w:pPr>
            <w:r w:rsidRPr="00207412">
              <w:rPr>
                <w:rFonts w:ascii="Times New Roman" w:hAnsi="Times New Roman"/>
                <w:sz w:val="24"/>
              </w:rPr>
              <w:lastRenderedPageBreak/>
              <w:t>Dodatočné požiadavky pre opcie, ktoré súvisia</w:t>
            </w:r>
            <w:r w:rsidR="00207412">
              <w:rPr>
                <w:rFonts w:ascii="Times New Roman" w:hAnsi="Times New Roman"/>
                <w:sz w:val="24"/>
              </w:rPr>
              <w:t xml:space="preserve"> s </w:t>
            </w:r>
            <w:r w:rsidRPr="00207412">
              <w:rPr>
                <w:rFonts w:ascii="Times New Roman" w:hAnsi="Times New Roman"/>
                <w:sz w:val="24"/>
              </w:rPr>
              <w:t>rizikami inými než delta, sa vykazujú</w:t>
            </w:r>
            <w:r w:rsidR="00207412">
              <w:rPr>
                <w:rFonts w:ascii="Times New Roman" w:hAnsi="Times New Roman"/>
                <w:sz w:val="24"/>
              </w:rPr>
              <w:t xml:space="preserve"> v </w:t>
            </w:r>
            <w:r w:rsidRPr="00207412">
              <w:rPr>
                <w:rFonts w:ascii="Times New Roman" w:hAnsi="Times New Roman"/>
                <w:sz w:val="24"/>
              </w:rPr>
              <w:t>rozčlenení podľa metódy použitej na ich výpočet.</w:t>
            </w:r>
          </w:p>
        </w:tc>
      </w:tr>
    </w:tbl>
    <w:p w14:paraId="45D79A0A" w14:textId="77777777" w:rsidR="000B0B09" w:rsidRPr="00207412" w:rsidRDefault="000B0B09" w:rsidP="004C445F">
      <w:pPr>
        <w:suppressAutoHyphens/>
        <w:autoSpaceDE w:val="0"/>
        <w:autoSpaceDN w:val="0"/>
        <w:adjustRightInd w:val="0"/>
        <w:spacing w:before="0" w:after="0"/>
        <w:rPr>
          <w:rFonts w:ascii="Times New Roman" w:hAnsi="Times New Roman"/>
          <w:bCs/>
          <w:sz w:val="24"/>
          <w:lang w:eastAsia="nl-BE"/>
        </w:rPr>
      </w:pPr>
    </w:p>
    <w:p w14:paraId="7B3D40AE" w14:textId="6DACF172" w:rsidR="000B0B09" w:rsidRPr="0020741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2" w:name="_Toc294172370"/>
      <w:bookmarkStart w:id="53" w:name="_Toc295829999"/>
      <w:bookmarkStart w:id="54" w:name="_Toc308426676"/>
      <w:bookmarkStart w:id="55" w:name="_Toc310415060"/>
      <w:bookmarkStart w:id="56" w:name="_Toc360188395"/>
      <w:bookmarkStart w:id="57" w:name="_Toc473561035"/>
      <w:bookmarkStart w:id="58" w:name="_Toc210895523"/>
      <w:r w:rsidRPr="00207412">
        <w:rPr>
          <w:rFonts w:ascii="Times New Roman" w:hAnsi="Times New Roman"/>
          <w:sz w:val="24"/>
          <w:u w:val="none"/>
        </w:rPr>
        <w:t>3.</w:t>
      </w:r>
      <w:r w:rsidRPr="00207412">
        <w:rPr>
          <w:u w:val="none"/>
        </w:rPr>
        <w:tab/>
      </w:r>
      <w:r w:rsidRPr="00207412">
        <w:rPr>
          <w:rFonts w:ascii="Times New Roman" w:hAnsi="Times New Roman"/>
          <w:sz w:val="24"/>
        </w:rPr>
        <w:t>C 19.00 – TRHOVÉ RIZIKO: ŠTANDARDIZOVANÝ PRÍSTUP PRE ŠPECIFICKÉ RIZIKO</w:t>
      </w:r>
      <w:r w:rsidR="00207412">
        <w:rPr>
          <w:rFonts w:ascii="Times New Roman" w:hAnsi="Times New Roman"/>
          <w:sz w:val="24"/>
        </w:rPr>
        <w:t xml:space="preserve"> V </w:t>
      </w:r>
      <w:r w:rsidRPr="00207412">
        <w:rPr>
          <w:rFonts w:ascii="Times New Roman" w:hAnsi="Times New Roman"/>
          <w:sz w:val="24"/>
        </w:rPr>
        <w:t>SEKURITIZÁCIÁCH (MKR SA SEC)</w:t>
      </w:r>
      <w:bookmarkEnd w:id="52"/>
      <w:bookmarkEnd w:id="53"/>
      <w:bookmarkEnd w:id="54"/>
      <w:bookmarkEnd w:id="55"/>
      <w:bookmarkEnd w:id="56"/>
      <w:bookmarkEnd w:id="57"/>
      <w:bookmarkEnd w:id="58"/>
    </w:p>
    <w:p w14:paraId="77E74540" w14:textId="159B56BB" w:rsidR="000B0B09" w:rsidRPr="0020741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9" w:name="_Toc294172371"/>
      <w:bookmarkStart w:id="60" w:name="_Toc295830000"/>
      <w:bookmarkStart w:id="61" w:name="_Toc308426677"/>
      <w:bookmarkStart w:id="62" w:name="_Toc310415061"/>
      <w:bookmarkStart w:id="63" w:name="_Toc360188396"/>
      <w:bookmarkStart w:id="64" w:name="_Toc473561036"/>
      <w:bookmarkStart w:id="65" w:name="_Toc210895524"/>
      <w:r w:rsidRPr="00207412">
        <w:rPr>
          <w:rFonts w:ascii="Times New Roman" w:hAnsi="Times New Roman"/>
          <w:sz w:val="24"/>
          <w:u w:val="none"/>
        </w:rPr>
        <w:t>3.1.</w:t>
      </w:r>
      <w:r w:rsidRPr="00207412">
        <w:rPr>
          <w:u w:val="none"/>
        </w:rPr>
        <w:tab/>
      </w:r>
      <w:r w:rsidRPr="00207412">
        <w:rPr>
          <w:rFonts w:ascii="Times New Roman" w:hAnsi="Times New Roman"/>
          <w:sz w:val="24"/>
        </w:rPr>
        <w:t>Všeobecné poznámky</w:t>
      </w:r>
      <w:bookmarkEnd w:id="59"/>
      <w:bookmarkEnd w:id="60"/>
      <w:bookmarkEnd w:id="61"/>
      <w:bookmarkEnd w:id="62"/>
      <w:bookmarkEnd w:id="63"/>
      <w:bookmarkEnd w:id="64"/>
      <w:bookmarkEnd w:id="65"/>
    </w:p>
    <w:p w14:paraId="3EB5E04B" w14:textId="290FF6E4" w:rsidR="00207412" w:rsidRDefault="00FC6275" w:rsidP="00E172EA">
      <w:pPr>
        <w:pStyle w:val="InstructionsText2"/>
        <w:numPr>
          <w:ilvl w:val="0"/>
          <w:numId w:val="29"/>
        </w:numPr>
        <w:suppressAutoHyphens/>
      </w:pPr>
      <w:bookmarkStart w:id="66" w:name="_Toc294172372"/>
      <w:bookmarkStart w:id="67" w:name="_Toc295830001"/>
      <w:bookmarkStart w:id="68" w:name="_Toc308426678"/>
      <w:bookmarkStart w:id="69" w:name="_Toc310415062"/>
      <w:bookmarkStart w:id="70" w:name="_Toc360188397"/>
      <w:bookmarkStart w:id="71" w:name="_Toc473561037"/>
      <w:r w:rsidRPr="00207412">
        <w:t>V tomto vzore sa požadujú informácie</w:t>
      </w:r>
      <w:r w:rsidR="00207412">
        <w:t xml:space="preserve"> o </w:t>
      </w:r>
      <w:r w:rsidRPr="00207412">
        <w:t>pozíciách (všetky/čisté</w:t>
      </w:r>
      <w:r w:rsidR="00207412">
        <w:t xml:space="preserve"> a </w:t>
      </w:r>
      <w:r w:rsidRPr="00207412">
        <w:t>dlhé/krátke)</w:t>
      </w:r>
      <w:r w:rsidR="00207412">
        <w:t xml:space="preserve"> a </w:t>
      </w:r>
      <w:r w:rsidRPr="00207412">
        <w:t>súvisiacich požiadavkách na vlastné zdroje pre zložku špecifického rizika pozičného rizika</w:t>
      </w:r>
      <w:r w:rsidR="00207412">
        <w:t xml:space="preserve"> v </w:t>
      </w:r>
      <w:r w:rsidRPr="00207412">
        <w:t>sekuritizáciách/resekuritizáciách držaných</w:t>
      </w:r>
      <w:r w:rsidR="00207412">
        <w:t xml:space="preserve"> v </w:t>
      </w:r>
      <w:r w:rsidRPr="00207412">
        <w:t>obchodnej knihe (neprípustné pre korelačné obchodné portfólio)</w:t>
      </w:r>
      <w:r w:rsidR="00207412">
        <w:t xml:space="preserve"> v </w:t>
      </w:r>
      <w:r w:rsidRPr="00207412">
        <w:t>rámci štandardizovaného prístupu</w:t>
      </w:r>
      <w:r w:rsidR="00207412">
        <w:t>.</w:t>
      </w:r>
    </w:p>
    <w:p w14:paraId="27846E65" w14:textId="727F48D3" w:rsidR="00207412" w:rsidRDefault="00FC6275" w:rsidP="00E172EA">
      <w:pPr>
        <w:pStyle w:val="InstructionsText2"/>
        <w:numPr>
          <w:ilvl w:val="0"/>
          <w:numId w:val="29"/>
        </w:numPr>
        <w:suppressAutoHyphens/>
      </w:pPr>
      <w:r w:rsidRPr="00207412">
        <w:t xml:space="preserve">Vo vzore MKR SA SEC sa požiadavka na vlastné zdroje určuje len pre špecifické riziko sekuritizačných pozícií podľa článku 335 nariadenia (EÚ) </w:t>
      </w:r>
      <w:r w:rsidR="00207412">
        <w:t>č. </w:t>
      </w:r>
      <w:r w:rsidRPr="00207412">
        <w:t>575/2013</w:t>
      </w:r>
      <w:r w:rsidR="00207412">
        <w:t xml:space="preserve"> v </w:t>
      </w:r>
      <w:r w:rsidRPr="00207412">
        <w:t>spojení</w:t>
      </w:r>
      <w:r w:rsidR="00207412">
        <w:t xml:space="preserve"> s </w:t>
      </w:r>
      <w:r w:rsidRPr="00207412">
        <w:t>článkom 337 uvedeného nariadenia. Keď sa sekuritizačné pozície obchodnej knihy hedžujú kreditnými derivátmi, uplatňujú sa články 346</w:t>
      </w:r>
      <w:r w:rsidR="00207412">
        <w:t xml:space="preserve"> a </w:t>
      </w:r>
      <w:r w:rsidRPr="00207412">
        <w:t xml:space="preserve">347 nariadenia (EÚ) </w:t>
      </w:r>
      <w:r w:rsidR="00207412">
        <w:t>č. </w:t>
      </w:r>
      <w:r w:rsidRPr="00207412">
        <w:t>575/2013. Existuje len jeden vzor pre všetky pozície obchodnej knihy bez ohľadu na prístup, ktorý investičné spoločnosti uplatňujú na určenie rizikovej váhy každej</w:t>
      </w:r>
      <w:r w:rsidR="00207412">
        <w:t xml:space="preserve"> z </w:t>
      </w:r>
      <w:r w:rsidRPr="00207412">
        <w:t>pozícií</w:t>
      </w:r>
      <w:r w:rsidR="00207412">
        <w:t xml:space="preserve"> v </w:t>
      </w:r>
      <w:r w:rsidRPr="00207412">
        <w:t>súlade</w:t>
      </w:r>
      <w:r w:rsidR="00207412">
        <w:t xml:space="preserve"> s </w:t>
      </w:r>
      <w:r w:rsidRPr="00207412">
        <w:t xml:space="preserve">treťou časťou hlavou II kapitolou 5 nariadenia (EÚ) </w:t>
      </w:r>
      <w:r w:rsidR="00207412">
        <w:t>č. </w:t>
      </w:r>
      <w:r w:rsidRPr="00207412">
        <w:t>575/2013. Požiadavky na vlastné zdroje pre všeobecné riziko týchto pozícií sa vykazujú vo vzore MKR SA TDI alebo vo vzore MKR IM</w:t>
      </w:r>
      <w:r w:rsidR="00207412">
        <w:t>.</w:t>
      </w:r>
    </w:p>
    <w:p w14:paraId="0C732A14" w14:textId="2BAA4273" w:rsidR="00FC6275" w:rsidRPr="00207412" w:rsidRDefault="00FC6275" w:rsidP="00E172EA">
      <w:pPr>
        <w:pStyle w:val="InstructionsText2"/>
        <w:numPr>
          <w:ilvl w:val="0"/>
          <w:numId w:val="29"/>
        </w:numPr>
        <w:suppressAutoHyphens/>
      </w:pPr>
      <w:r w:rsidRPr="00207412">
        <w:t>Pozície, ktoré dostanú rizikovú váhu 1 250</w:t>
      </w:r>
      <w:r w:rsidR="00207412">
        <w:t> %</w:t>
      </w:r>
      <w:r w:rsidRPr="00207412">
        <w:t>, možno alternatívne odpočítať od CET1 [pozri článok 244 ods. 1 písm. b), článok 245 ods. 1 písm. b)</w:t>
      </w:r>
      <w:r w:rsidR="00207412">
        <w:t xml:space="preserve"> a </w:t>
      </w:r>
      <w:r w:rsidRPr="00207412">
        <w:t xml:space="preserve">článok 253 nariadenia (EÚ) </w:t>
      </w:r>
      <w:r w:rsidR="00207412">
        <w:t>č. </w:t>
      </w:r>
      <w:r w:rsidRPr="00207412">
        <w:t>575/2013]. Tieto pozície sa vykazujú</w:t>
      </w:r>
      <w:r w:rsidR="00207412">
        <w:t xml:space="preserve"> v </w:t>
      </w:r>
      <w:r w:rsidRPr="00207412">
        <w:t>tomto vzore, aj keď inštitúcia využíva možnosť odpočítania.</w:t>
      </w:r>
    </w:p>
    <w:p w14:paraId="3921F7AA" w14:textId="2BCB0F95" w:rsidR="000B0B09" w:rsidRPr="0020741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2" w:name="_Toc210895525"/>
      <w:r w:rsidRPr="00207412">
        <w:rPr>
          <w:rFonts w:ascii="Times New Roman" w:hAnsi="Times New Roman"/>
          <w:sz w:val="24"/>
          <w:u w:val="none"/>
        </w:rPr>
        <w:t>3.2.</w:t>
      </w:r>
      <w:r w:rsidRPr="00207412">
        <w:rPr>
          <w:u w:val="none"/>
        </w:rPr>
        <w:tab/>
      </w:r>
      <w:r w:rsidRPr="00207412">
        <w:rPr>
          <w:rFonts w:ascii="Times New Roman" w:hAnsi="Times New Roman"/>
          <w:sz w:val="24"/>
        </w:rPr>
        <w:t>Pokyny týkajúce sa konkrétnych pozícií</w:t>
      </w:r>
      <w:bookmarkEnd w:id="66"/>
      <w:bookmarkEnd w:id="67"/>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05"/>
      </w:tblGrid>
      <w:tr w:rsidR="00C55547" w:rsidRPr="00207412" w14:paraId="5FAA1DCA" w14:textId="77777777" w:rsidTr="00E10B85">
        <w:trPr>
          <w:trHeight w:val="631"/>
        </w:trPr>
        <w:tc>
          <w:tcPr>
            <w:tcW w:w="9018" w:type="dxa"/>
            <w:gridSpan w:val="2"/>
            <w:shd w:val="clear" w:color="auto" w:fill="CCCCCC"/>
          </w:tcPr>
          <w:p w14:paraId="672709A6" w14:textId="77777777" w:rsidR="00C55547" w:rsidRPr="00207412" w:rsidRDefault="00C55547" w:rsidP="004C445F">
            <w:pPr>
              <w:suppressAutoHyphens/>
              <w:autoSpaceDE w:val="0"/>
              <w:autoSpaceDN w:val="0"/>
              <w:adjustRightInd w:val="0"/>
              <w:spacing w:after="0"/>
              <w:rPr>
                <w:rFonts w:ascii="Times New Roman" w:hAnsi="Times New Roman"/>
                <w:b/>
                <w:sz w:val="24"/>
              </w:rPr>
            </w:pPr>
            <w:r w:rsidRPr="00207412">
              <w:rPr>
                <w:rFonts w:ascii="Times New Roman" w:hAnsi="Times New Roman"/>
                <w:b/>
                <w:sz w:val="24"/>
              </w:rPr>
              <w:t>Stĺpce</w:t>
            </w:r>
          </w:p>
        </w:tc>
      </w:tr>
      <w:tr w:rsidR="00C55547" w:rsidRPr="00207412" w14:paraId="25DD94D3" w14:textId="77777777" w:rsidTr="000911FE">
        <w:tc>
          <w:tcPr>
            <w:tcW w:w="1413" w:type="dxa"/>
          </w:tcPr>
          <w:p w14:paraId="1C45AB39" w14:textId="77777777" w:rsidR="00C55547"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0010 – 0020</w:t>
            </w:r>
          </w:p>
        </w:tc>
        <w:tc>
          <w:tcPr>
            <w:tcW w:w="7605" w:type="dxa"/>
          </w:tcPr>
          <w:p w14:paraId="37C65F35" w14:textId="77777777" w:rsidR="00C55547" w:rsidRPr="00207412" w:rsidRDefault="00C55547"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VŠETKY POZÍCIE (DLHÉ A KRÁTKE)</w:t>
            </w:r>
          </w:p>
          <w:p w14:paraId="503F4241" w14:textId="1E5CEDA6" w:rsidR="00C55547" w:rsidRPr="00207412" w:rsidRDefault="00C55547" w:rsidP="004C445F">
            <w:pPr>
              <w:suppressAutoHyphens/>
              <w:rPr>
                <w:rFonts w:ascii="Times New Roman" w:hAnsi="Times New Roman"/>
                <w:sz w:val="24"/>
              </w:rPr>
            </w:pPr>
            <w:r w:rsidRPr="00207412">
              <w:rPr>
                <w:rFonts w:ascii="Times New Roman" w:hAnsi="Times New Roman"/>
                <w:sz w:val="24"/>
              </w:rPr>
              <w:t xml:space="preserve">Článok </w:t>
            </w:r>
            <w:r w:rsidRPr="00207412">
              <w:rPr>
                <w:rStyle w:val="InstructionsTabelleText"/>
                <w:rFonts w:ascii="Times New Roman" w:hAnsi="Times New Roman"/>
                <w:sz w:val="24"/>
              </w:rPr>
              <w:t>102</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článok 105 ods. 1</w:t>
            </w:r>
            <w:r w:rsidRPr="00207412">
              <w:rPr>
                <w:rFonts w:ascii="Times New Roman" w:hAnsi="Times New Roman"/>
                <w:sz w:val="24"/>
              </w:rPr>
              <w:t xml:space="preserve"> nariadenia (EÚ) </w:t>
            </w:r>
            <w:r w:rsidR="00207412">
              <w:rPr>
                <w:rFonts w:ascii="Times New Roman" w:hAnsi="Times New Roman"/>
                <w:sz w:val="24"/>
              </w:rPr>
              <w:t>č. </w:t>
            </w:r>
            <w:r w:rsidRPr="00207412">
              <w:rPr>
                <w:rFonts w:ascii="Times New Roman" w:hAnsi="Times New Roman"/>
                <w:sz w:val="24"/>
              </w:rPr>
              <w:t>575/2013</w:t>
            </w:r>
            <w:r w:rsidR="00207412">
              <w:rPr>
                <w:rFonts w:ascii="Times New Roman" w:hAnsi="Times New Roman"/>
                <w:sz w:val="24"/>
              </w:rPr>
              <w:t xml:space="preserve"> v </w:t>
            </w:r>
            <w:r w:rsidRPr="00207412">
              <w:rPr>
                <w:rStyle w:val="InstructionsTabelleText"/>
                <w:rFonts w:ascii="Times New Roman" w:hAnsi="Times New Roman"/>
                <w:sz w:val="24"/>
              </w:rPr>
              <w:t>spojení</w:t>
            </w:r>
            <w:r w:rsidR="00207412">
              <w:rPr>
                <w:rStyle w:val="InstructionsTabelleText"/>
                <w:rFonts w:ascii="Times New Roman" w:hAnsi="Times New Roman"/>
                <w:sz w:val="24"/>
              </w:rPr>
              <w:t xml:space="preserve"> s </w:t>
            </w:r>
            <w:r w:rsidRPr="00207412">
              <w:rPr>
                <w:rStyle w:val="InstructionsTabelleText"/>
                <w:rFonts w:ascii="Times New Roman" w:hAnsi="Times New Roman"/>
                <w:sz w:val="24"/>
              </w:rPr>
              <w:t>článkom 337</w:t>
            </w:r>
            <w:r w:rsidRPr="00207412">
              <w:rPr>
                <w:rFonts w:ascii="Times New Roman" w:hAnsi="Times New Roman"/>
                <w:sz w:val="24"/>
              </w:rPr>
              <w:t xml:space="preserve"> uvedeného nariadenia </w:t>
            </w:r>
            <w:r w:rsidRPr="00207412">
              <w:rPr>
                <w:rStyle w:val="InstructionsTabelleText"/>
                <w:rFonts w:ascii="Times New Roman" w:hAnsi="Times New Roman"/>
                <w:sz w:val="24"/>
              </w:rPr>
              <w:t>(sekuritizačné pozície). Pokiaľ ide</w:t>
            </w:r>
            <w:r w:rsidR="00207412">
              <w:rPr>
                <w:rStyle w:val="InstructionsTabelleText"/>
                <w:rFonts w:ascii="Times New Roman" w:hAnsi="Times New Roman"/>
                <w:sz w:val="24"/>
              </w:rPr>
              <w:t xml:space="preserve"> o </w:t>
            </w:r>
            <w:r w:rsidRPr="00207412">
              <w:rPr>
                <w:rStyle w:val="InstructionsTabelleText"/>
                <w:rFonts w:ascii="Times New Roman" w:hAnsi="Times New Roman"/>
                <w:sz w:val="24"/>
              </w:rPr>
              <w:t>rozdiel medzi dlhými</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krátkymi pozíciami, ktorý sa uplatňuje aj na tieto hrubé pozície, pozri článok 328 ods. 2</w:t>
            </w:r>
            <w:r w:rsidRPr="00207412">
              <w:rPr>
                <w:rFonts w:ascii="Times New Roman" w:hAnsi="Times New Roman"/>
                <w:sz w:val="24"/>
              </w:rPr>
              <w:t xml:space="preserve"> uvedeného nariadenia</w:t>
            </w:r>
            <w:r w:rsidRPr="00207412">
              <w:rPr>
                <w:rStyle w:val="InstructionsTabelleText"/>
                <w:rFonts w:ascii="Times New Roman" w:hAnsi="Times New Roman"/>
                <w:sz w:val="24"/>
              </w:rPr>
              <w:t xml:space="preserve">. </w:t>
            </w:r>
          </w:p>
        </w:tc>
      </w:tr>
      <w:tr w:rsidR="00C55547" w:rsidRPr="00207412" w14:paraId="22839602" w14:textId="77777777" w:rsidTr="000911FE">
        <w:tc>
          <w:tcPr>
            <w:tcW w:w="1413" w:type="dxa"/>
          </w:tcPr>
          <w:p w14:paraId="40A33AFE" w14:textId="77777777" w:rsidR="00C55547"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0030 – 0040</w:t>
            </w:r>
          </w:p>
        </w:tc>
        <w:tc>
          <w:tcPr>
            <w:tcW w:w="7605" w:type="dxa"/>
          </w:tcPr>
          <w:p w14:paraId="511B0208" w14:textId="7777777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 POZÍCIE ODPOČÍTANÉ OD VLASTNÝCH ZDROJOV</w:t>
            </w:r>
            <w:r w:rsidRPr="00207412">
              <w:rPr>
                <w:rFonts w:ascii="Times New Roman" w:hAnsi="Times New Roman"/>
                <w:sz w:val="24"/>
              </w:rPr>
              <w:t xml:space="preserve"> </w:t>
            </w:r>
            <w:r w:rsidRPr="00207412">
              <w:rPr>
                <w:rFonts w:ascii="Times New Roman" w:hAnsi="Times New Roman"/>
                <w:b/>
                <w:sz w:val="24"/>
                <w:u w:val="single"/>
              </w:rPr>
              <w:t>(DLHÉ A KRÁTKE)</w:t>
            </w:r>
          </w:p>
          <w:p w14:paraId="1429CBFE" w14:textId="503C0A35" w:rsidR="00C55547" w:rsidRPr="00207412" w:rsidRDefault="00705025" w:rsidP="004C445F">
            <w:pPr>
              <w:suppressAutoHyphens/>
              <w:rPr>
                <w:rStyle w:val="InstructionsTabelleText"/>
                <w:rFonts w:ascii="Times New Roman" w:hAnsi="Times New Roman"/>
                <w:sz w:val="24"/>
              </w:rPr>
            </w:pPr>
            <w:r w:rsidRPr="00207412">
              <w:rPr>
                <w:rStyle w:val="InstructionsTabelleText"/>
                <w:rFonts w:ascii="Times New Roman" w:hAnsi="Times New Roman"/>
                <w:sz w:val="24"/>
              </w:rPr>
              <w:t xml:space="preserve"> Článok 244 ods. 1 písm. b), článok 245 ods. 1 písm. b)</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článok 253</w:t>
            </w:r>
            <w:r w:rsidRPr="00207412">
              <w:rPr>
                <w:rFonts w:ascii="Times New Roman" w:hAnsi="Times New Roman"/>
                <w:sz w:val="24"/>
              </w:rPr>
              <w:t xml:space="preserve"> nariadenia (EÚ) </w:t>
            </w:r>
            <w:r w:rsidR="00207412">
              <w:rPr>
                <w:rFonts w:ascii="Times New Roman" w:hAnsi="Times New Roman"/>
                <w:sz w:val="24"/>
              </w:rPr>
              <w:t>č. </w:t>
            </w:r>
            <w:r w:rsidRPr="00207412">
              <w:rPr>
                <w:rFonts w:ascii="Times New Roman" w:hAnsi="Times New Roman"/>
                <w:sz w:val="24"/>
              </w:rPr>
              <w:t>575/2013</w:t>
            </w:r>
          </w:p>
        </w:tc>
      </w:tr>
      <w:tr w:rsidR="00C55547" w:rsidRPr="00207412" w14:paraId="16C58348" w14:textId="77777777" w:rsidTr="000911FE">
        <w:tc>
          <w:tcPr>
            <w:tcW w:w="1413" w:type="dxa"/>
          </w:tcPr>
          <w:p w14:paraId="2D1E9030" w14:textId="77777777" w:rsidR="00C55547"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0050 – 0060</w:t>
            </w:r>
          </w:p>
        </w:tc>
        <w:tc>
          <w:tcPr>
            <w:tcW w:w="7605" w:type="dxa"/>
          </w:tcPr>
          <w:p w14:paraId="088E4387" w14:textId="7777777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ČISTÉ POZÍCIE</w:t>
            </w:r>
            <w:r w:rsidRPr="00207412">
              <w:rPr>
                <w:rFonts w:ascii="Times New Roman" w:hAnsi="Times New Roman"/>
                <w:sz w:val="24"/>
              </w:rPr>
              <w:t xml:space="preserve"> </w:t>
            </w:r>
            <w:r w:rsidRPr="00207412">
              <w:rPr>
                <w:rFonts w:ascii="Times New Roman" w:hAnsi="Times New Roman"/>
                <w:b/>
                <w:sz w:val="24"/>
                <w:u w:val="single"/>
              </w:rPr>
              <w:t>(DLHÉ A KRÁTKE)</w:t>
            </w:r>
          </w:p>
          <w:p w14:paraId="54C14D76" w14:textId="517C756C" w:rsidR="00C55547" w:rsidRPr="00207412" w:rsidRDefault="00C55547" w:rsidP="004C445F">
            <w:pPr>
              <w:suppressAutoHyphens/>
              <w:rPr>
                <w:rStyle w:val="InstructionsTabelleText"/>
                <w:rFonts w:ascii="Times New Roman" w:hAnsi="Times New Roman"/>
                <w:sz w:val="24"/>
              </w:rPr>
            </w:pPr>
            <w:r w:rsidRPr="00207412">
              <w:rPr>
                <w:rFonts w:ascii="Times New Roman" w:hAnsi="Times New Roman"/>
                <w:sz w:val="24"/>
              </w:rPr>
              <w:lastRenderedPageBreak/>
              <w:t>Články </w:t>
            </w:r>
            <w:r w:rsidRPr="00207412">
              <w:rPr>
                <w:rStyle w:val="InstructionsTabelleText"/>
                <w:rFonts w:ascii="Times New Roman" w:hAnsi="Times New Roman"/>
                <w:sz w:val="24"/>
              </w:rPr>
              <w:t>327, 328, 329</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334</w:t>
            </w:r>
            <w:r w:rsidRPr="00207412">
              <w:rPr>
                <w:rFonts w:ascii="Times New Roman" w:hAnsi="Times New Roman"/>
                <w:sz w:val="24"/>
              </w:rPr>
              <w:t xml:space="preserve"> nariadenia (EÚ) </w:t>
            </w:r>
            <w:r w:rsidR="00207412">
              <w:rPr>
                <w:rFonts w:ascii="Times New Roman" w:hAnsi="Times New Roman"/>
                <w:sz w:val="24"/>
              </w:rPr>
              <w:t>č. </w:t>
            </w:r>
            <w:r w:rsidRPr="00207412">
              <w:rPr>
                <w:rFonts w:ascii="Times New Roman" w:hAnsi="Times New Roman"/>
                <w:sz w:val="24"/>
              </w:rPr>
              <w:t>575/2013</w:t>
            </w:r>
            <w:r w:rsidRPr="00207412">
              <w:rPr>
                <w:rStyle w:val="InstructionsTabelleText"/>
                <w:rFonts w:ascii="Times New Roman" w:hAnsi="Times New Roman"/>
                <w:sz w:val="24"/>
              </w:rPr>
              <w:t>. Pokiaľ ide</w:t>
            </w:r>
            <w:r w:rsidR="00207412">
              <w:rPr>
                <w:rStyle w:val="InstructionsTabelleText"/>
                <w:rFonts w:ascii="Times New Roman" w:hAnsi="Times New Roman"/>
                <w:sz w:val="24"/>
              </w:rPr>
              <w:t xml:space="preserve"> o </w:t>
            </w:r>
            <w:r w:rsidRPr="00207412">
              <w:rPr>
                <w:rStyle w:val="InstructionsTabelleText"/>
                <w:rFonts w:ascii="Times New Roman" w:hAnsi="Times New Roman"/>
                <w:sz w:val="24"/>
              </w:rPr>
              <w:t>rozdiel medzi dlhými</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krátkymi pozíciami, pozri článok 328 ods. 2</w:t>
            </w:r>
            <w:r w:rsidRPr="00207412">
              <w:rPr>
                <w:rFonts w:ascii="Times New Roman" w:hAnsi="Times New Roman"/>
                <w:sz w:val="24"/>
              </w:rPr>
              <w:t xml:space="preserve"> uvedeného nariadenia</w:t>
            </w:r>
            <w:r w:rsidRPr="00207412">
              <w:rPr>
                <w:rStyle w:val="InstructionsTabelleText"/>
                <w:rFonts w:ascii="Times New Roman" w:hAnsi="Times New Roman"/>
                <w:sz w:val="24"/>
              </w:rPr>
              <w:t>.</w:t>
            </w:r>
          </w:p>
        </w:tc>
      </w:tr>
      <w:tr w:rsidR="00C55547" w:rsidRPr="00207412" w14:paraId="0BDF729C" w14:textId="77777777" w:rsidTr="000911FE">
        <w:tc>
          <w:tcPr>
            <w:tcW w:w="1413" w:type="dxa"/>
          </w:tcPr>
          <w:p w14:paraId="324A2BB6" w14:textId="77777777" w:rsidR="00C55547"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lastRenderedPageBreak/>
              <w:t>0061 – 0104</w:t>
            </w:r>
          </w:p>
        </w:tc>
        <w:tc>
          <w:tcPr>
            <w:tcW w:w="7605" w:type="dxa"/>
          </w:tcPr>
          <w:p w14:paraId="627BB4B0" w14:textId="77777777" w:rsidR="00C55547" w:rsidRPr="00207412" w:rsidRDefault="00C55547"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ROZČLENENIE ČISTÝCH POZÍCIÍ PODĽA RIZIKOVÝCH VÁH</w:t>
            </w:r>
          </w:p>
          <w:p w14:paraId="2CBC2552" w14:textId="6E43F2F7" w:rsidR="00207412" w:rsidRDefault="00C55547" w:rsidP="004C445F">
            <w:pPr>
              <w:suppressAutoHyphens/>
              <w:rPr>
                <w:rStyle w:val="InstructionsTabelleText"/>
                <w:rFonts w:ascii="Times New Roman" w:hAnsi="Times New Roman"/>
                <w:sz w:val="24"/>
              </w:rPr>
            </w:pPr>
            <w:r w:rsidRPr="00207412">
              <w:rPr>
                <w:rStyle w:val="InstructionsTabelleText"/>
                <w:rFonts w:ascii="Times New Roman" w:hAnsi="Times New Roman"/>
                <w:sz w:val="24"/>
              </w:rPr>
              <w:t>Články 259 až 262, článok 263 tabuľky 1</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2, článok 264 tabuľky 3</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4</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článok 266</w:t>
            </w:r>
            <w:r w:rsidRPr="00207412">
              <w:rPr>
                <w:rFonts w:ascii="Times New Roman" w:hAnsi="Times New Roman"/>
                <w:sz w:val="24"/>
              </w:rPr>
              <w:t xml:space="preserve"> nariadenia (EÚ) </w:t>
            </w:r>
            <w:r w:rsidR="00207412">
              <w:rPr>
                <w:rFonts w:ascii="Times New Roman" w:hAnsi="Times New Roman"/>
                <w:sz w:val="24"/>
              </w:rPr>
              <w:t>č. </w:t>
            </w:r>
            <w:r w:rsidRPr="00207412">
              <w:rPr>
                <w:rFonts w:ascii="Times New Roman" w:hAnsi="Times New Roman"/>
                <w:sz w:val="24"/>
              </w:rPr>
              <w:t>575/2013</w:t>
            </w:r>
            <w:r w:rsidR="00207412">
              <w:rPr>
                <w:rStyle w:val="InstructionsTabelleText"/>
                <w:rFonts w:ascii="Times New Roman" w:hAnsi="Times New Roman"/>
                <w:sz w:val="24"/>
              </w:rPr>
              <w:t>.</w:t>
            </w:r>
          </w:p>
          <w:p w14:paraId="4314B137" w14:textId="032355BA" w:rsidR="00C55547" w:rsidRPr="00207412" w:rsidRDefault="00C55547" w:rsidP="004C445F">
            <w:pPr>
              <w:suppressAutoHyphens/>
              <w:rPr>
                <w:rStyle w:val="InstructionsTabelleText"/>
                <w:rFonts w:ascii="Times New Roman" w:hAnsi="Times New Roman"/>
                <w:sz w:val="24"/>
              </w:rPr>
            </w:pPr>
            <w:r w:rsidRPr="00207412">
              <w:rPr>
                <w:rStyle w:val="InstructionsTabelleText"/>
                <w:rFonts w:ascii="Times New Roman" w:hAnsi="Times New Roman"/>
                <w:sz w:val="24"/>
              </w:rPr>
              <w:t>Dlhé</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krátke pozície sa rozčleňujú osobitne.</w:t>
            </w:r>
          </w:p>
        </w:tc>
      </w:tr>
      <w:tr w:rsidR="00C55547" w:rsidRPr="00207412" w14:paraId="2A20E80A" w14:textId="77777777" w:rsidTr="000911FE">
        <w:tc>
          <w:tcPr>
            <w:tcW w:w="1413" w:type="dxa"/>
          </w:tcPr>
          <w:p w14:paraId="163C862B" w14:textId="77777777" w:rsidR="00C55547"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0402 – 0406</w:t>
            </w:r>
          </w:p>
        </w:tc>
        <w:tc>
          <w:tcPr>
            <w:tcW w:w="7605" w:type="dxa"/>
          </w:tcPr>
          <w:p w14:paraId="2AF3DBA4" w14:textId="77777777" w:rsidR="00C55547" w:rsidRPr="00207412" w:rsidRDefault="00C55547"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ROZČLENENIE ČISTÝCH POZÍCIÍ PODĽA PRÍSTUPOV</w:t>
            </w:r>
          </w:p>
          <w:p w14:paraId="683DE902" w14:textId="3232CE32" w:rsidR="00C55547" w:rsidRPr="00207412" w:rsidRDefault="00C55547" w:rsidP="004C445F">
            <w:pPr>
              <w:suppressAutoHyphens/>
              <w:rPr>
                <w:rFonts w:ascii="Times New Roman" w:hAnsi="Times New Roman"/>
                <w:b/>
                <w:bCs/>
                <w:sz w:val="24"/>
                <w:u w:val="single"/>
              </w:rPr>
            </w:pPr>
            <w:r w:rsidRPr="00207412">
              <w:rPr>
                <w:rFonts w:ascii="Times New Roman" w:hAnsi="Times New Roman"/>
                <w:sz w:val="24"/>
              </w:rPr>
              <w:t>Článok </w:t>
            </w:r>
            <w:r w:rsidRPr="00207412">
              <w:rPr>
                <w:rStyle w:val="InstructionsTabelleText"/>
                <w:rFonts w:ascii="Times New Roman" w:hAnsi="Times New Roman"/>
                <w:sz w:val="24"/>
              </w:rPr>
              <w:t>254</w:t>
            </w:r>
            <w:r w:rsidRPr="00207412">
              <w:rPr>
                <w:rFonts w:ascii="Times New Roman" w:hAnsi="Times New Roman"/>
                <w:sz w:val="24"/>
              </w:rPr>
              <w:t xml:space="preserve"> nariadenia (EÚ) </w:t>
            </w:r>
            <w:r w:rsidR="00207412">
              <w:rPr>
                <w:rFonts w:ascii="Times New Roman" w:hAnsi="Times New Roman"/>
                <w:sz w:val="24"/>
              </w:rPr>
              <w:t>č. </w:t>
            </w:r>
            <w:r w:rsidRPr="00207412">
              <w:rPr>
                <w:rFonts w:ascii="Times New Roman" w:hAnsi="Times New Roman"/>
                <w:sz w:val="24"/>
              </w:rPr>
              <w:t>575/2013</w:t>
            </w:r>
            <w:r w:rsidRPr="00207412">
              <w:rPr>
                <w:rStyle w:val="InstructionsTabelleText"/>
                <w:rFonts w:ascii="Times New Roman" w:hAnsi="Times New Roman"/>
                <w:sz w:val="24"/>
              </w:rPr>
              <w:t xml:space="preserve"> </w:t>
            </w:r>
          </w:p>
        </w:tc>
      </w:tr>
      <w:tr w:rsidR="00C55547" w:rsidRPr="00207412" w14:paraId="6061874B" w14:textId="77777777" w:rsidTr="000911FE">
        <w:tc>
          <w:tcPr>
            <w:tcW w:w="1413" w:type="dxa"/>
          </w:tcPr>
          <w:p w14:paraId="4B729A34" w14:textId="77777777" w:rsidR="00C55547"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0402</w:t>
            </w:r>
          </w:p>
        </w:tc>
        <w:tc>
          <w:tcPr>
            <w:tcW w:w="7605" w:type="dxa"/>
          </w:tcPr>
          <w:p w14:paraId="06929D2D" w14:textId="77777777" w:rsidR="00C55547" w:rsidRPr="00207412" w:rsidRDefault="00C55547"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SEC-IRBA</w:t>
            </w:r>
          </w:p>
          <w:p w14:paraId="41A48A7C" w14:textId="1266E5F7" w:rsidR="00C55547" w:rsidRPr="00207412" w:rsidRDefault="00C55547" w:rsidP="004C445F">
            <w:pPr>
              <w:suppressAutoHyphens/>
              <w:rPr>
                <w:rFonts w:ascii="Times New Roman" w:hAnsi="Times New Roman"/>
                <w:b/>
                <w:bCs/>
                <w:sz w:val="24"/>
                <w:u w:val="single"/>
              </w:rPr>
            </w:pPr>
            <w:r w:rsidRPr="00207412">
              <w:rPr>
                <w:rStyle w:val="InstructionsTabelleText"/>
                <w:rFonts w:ascii="Times New Roman" w:hAnsi="Times New Roman"/>
                <w:sz w:val="24"/>
              </w:rPr>
              <w:t>Články 259</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260</w:t>
            </w:r>
            <w:r w:rsidRPr="00207412">
              <w:rPr>
                <w:rFonts w:ascii="Times New Roman" w:hAnsi="Times New Roman"/>
                <w:sz w:val="24"/>
              </w:rPr>
              <w:t xml:space="preserve"> nariadenia (EÚ) </w:t>
            </w:r>
            <w:r w:rsidR="00207412">
              <w:rPr>
                <w:rFonts w:ascii="Times New Roman" w:hAnsi="Times New Roman"/>
                <w:sz w:val="24"/>
              </w:rPr>
              <w:t>č. </w:t>
            </w:r>
            <w:r w:rsidRPr="00207412">
              <w:rPr>
                <w:rFonts w:ascii="Times New Roman" w:hAnsi="Times New Roman"/>
                <w:sz w:val="24"/>
              </w:rPr>
              <w:t>575/2013</w:t>
            </w:r>
          </w:p>
        </w:tc>
      </w:tr>
      <w:tr w:rsidR="00C55547" w:rsidRPr="00207412" w14:paraId="16BB3DCB" w14:textId="77777777" w:rsidTr="000911FE">
        <w:tc>
          <w:tcPr>
            <w:tcW w:w="1413" w:type="dxa"/>
          </w:tcPr>
          <w:p w14:paraId="189036B1" w14:textId="77777777" w:rsidR="00C55547"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0403</w:t>
            </w:r>
          </w:p>
        </w:tc>
        <w:tc>
          <w:tcPr>
            <w:tcW w:w="7605" w:type="dxa"/>
          </w:tcPr>
          <w:p w14:paraId="6F8EF419" w14:textId="77777777" w:rsidR="00C55547" w:rsidRPr="00207412" w:rsidRDefault="00C55547"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SEC-SA</w:t>
            </w:r>
          </w:p>
          <w:p w14:paraId="5A374E14" w14:textId="215CF41C" w:rsidR="00C55547" w:rsidRPr="00207412" w:rsidRDefault="00C55547" w:rsidP="004C445F">
            <w:pPr>
              <w:suppressAutoHyphens/>
              <w:autoSpaceDE w:val="0"/>
              <w:autoSpaceDN w:val="0"/>
              <w:adjustRightInd w:val="0"/>
              <w:jc w:val="left"/>
              <w:rPr>
                <w:rFonts w:ascii="Times New Roman" w:hAnsi="Times New Roman"/>
                <w:b/>
                <w:bCs/>
                <w:sz w:val="24"/>
                <w:u w:val="single"/>
              </w:rPr>
            </w:pPr>
            <w:r w:rsidRPr="00207412">
              <w:rPr>
                <w:rStyle w:val="InstructionsTabelleText"/>
                <w:rFonts w:ascii="Times New Roman" w:hAnsi="Times New Roman"/>
                <w:sz w:val="24"/>
              </w:rPr>
              <w:t>Články 261</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262</w:t>
            </w:r>
            <w:r w:rsidRPr="00207412">
              <w:rPr>
                <w:rFonts w:ascii="Times New Roman" w:hAnsi="Times New Roman"/>
                <w:sz w:val="24"/>
              </w:rPr>
              <w:t xml:space="preserve"> nariadenia (EÚ) </w:t>
            </w:r>
            <w:r w:rsidR="00207412">
              <w:rPr>
                <w:rFonts w:ascii="Times New Roman" w:hAnsi="Times New Roman"/>
                <w:sz w:val="24"/>
              </w:rPr>
              <w:t>č. </w:t>
            </w:r>
            <w:r w:rsidRPr="00207412">
              <w:rPr>
                <w:rFonts w:ascii="Times New Roman" w:hAnsi="Times New Roman"/>
                <w:sz w:val="24"/>
              </w:rPr>
              <w:t>575/2013</w:t>
            </w:r>
          </w:p>
        </w:tc>
      </w:tr>
      <w:tr w:rsidR="00C55547" w:rsidRPr="00207412" w14:paraId="0B1E8511" w14:textId="77777777" w:rsidTr="000911FE">
        <w:tc>
          <w:tcPr>
            <w:tcW w:w="1413" w:type="dxa"/>
          </w:tcPr>
          <w:p w14:paraId="283E5722" w14:textId="77777777" w:rsidR="00C55547"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0404</w:t>
            </w:r>
          </w:p>
        </w:tc>
        <w:tc>
          <w:tcPr>
            <w:tcW w:w="7605" w:type="dxa"/>
          </w:tcPr>
          <w:p w14:paraId="7AA18AA4" w14:textId="77777777" w:rsidR="00C55547" w:rsidRPr="00207412" w:rsidRDefault="00C55547"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SEC-ERBA</w:t>
            </w:r>
          </w:p>
          <w:p w14:paraId="2250A6DF" w14:textId="53EFEE3D" w:rsidR="00C55547" w:rsidRPr="00207412" w:rsidRDefault="00C55547" w:rsidP="004C445F">
            <w:pPr>
              <w:suppressAutoHyphens/>
              <w:rPr>
                <w:rFonts w:ascii="Times New Roman" w:hAnsi="Times New Roman"/>
                <w:b/>
                <w:bCs/>
                <w:sz w:val="24"/>
                <w:u w:val="single"/>
              </w:rPr>
            </w:pPr>
            <w:r w:rsidRPr="00207412">
              <w:rPr>
                <w:rStyle w:val="InstructionsTabelleText"/>
                <w:rFonts w:ascii="Times New Roman" w:hAnsi="Times New Roman"/>
                <w:sz w:val="24"/>
              </w:rPr>
              <w:t>Články 263</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264</w:t>
            </w:r>
            <w:r w:rsidRPr="00207412">
              <w:rPr>
                <w:rFonts w:ascii="Times New Roman" w:hAnsi="Times New Roman"/>
                <w:sz w:val="24"/>
              </w:rPr>
              <w:t xml:space="preserve"> nariadenia (EÚ) </w:t>
            </w:r>
            <w:r w:rsidR="00207412">
              <w:rPr>
                <w:rFonts w:ascii="Times New Roman" w:hAnsi="Times New Roman"/>
                <w:sz w:val="24"/>
              </w:rPr>
              <w:t>č. </w:t>
            </w:r>
            <w:r w:rsidRPr="00207412">
              <w:rPr>
                <w:rFonts w:ascii="Times New Roman" w:hAnsi="Times New Roman"/>
                <w:sz w:val="24"/>
              </w:rPr>
              <w:t>575/2013</w:t>
            </w:r>
          </w:p>
        </w:tc>
      </w:tr>
      <w:tr w:rsidR="00C55547" w:rsidRPr="00207412" w14:paraId="76051CC7" w14:textId="77777777" w:rsidTr="000911FE">
        <w:tc>
          <w:tcPr>
            <w:tcW w:w="1413" w:type="dxa"/>
          </w:tcPr>
          <w:p w14:paraId="2CE39EAA" w14:textId="77777777" w:rsidR="00C55547"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0405</w:t>
            </w:r>
          </w:p>
        </w:tc>
        <w:tc>
          <w:tcPr>
            <w:tcW w:w="7605" w:type="dxa"/>
          </w:tcPr>
          <w:p w14:paraId="334AB028" w14:textId="77777777" w:rsidR="00C55547" w:rsidRPr="00207412" w:rsidRDefault="00C55547"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PRÍSTUP INTERNÉHO HODNOTENIA</w:t>
            </w:r>
          </w:p>
          <w:p w14:paraId="5354C48C" w14:textId="52B34BB7" w:rsidR="00C55547" w:rsidRPr="00207412" w:rsidRDefault="00C55547" w:rsidP="004C445F">
            <w:pPr>
              <w:suppressAutoHyphens/>
              <w:rPr>
                <w:rFonts w:ascii="Times New Roman" w:hAnsi="Times New Roman"/>
                <w:bCs/>
                <w:sz w:val="24"/>
                <w:u w:val="single"/>
              </w:rPr>
            </w:pPr>
            <w:r w:rsidRPr="00207412">
              <w:rPr>
                <w:rStyle w:val="InstructionsTabelleText"/>
                <w:rFonts w:ascii="Times New Roman" w:hAnsi="Times New Roman"/>
                <w:sz w:val="24"/>
              </w:rPr>
              <w:t>Články 254</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265</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článok 266 ods. 5</w:t>
            </w:r>
            <w:r w:rsidRPr="00207412">
              <w:rPr>
                <w:rFonts w:ascii="Times New Roman" w:hAnsi="Times New Roman"/>
                <w:sz w:val="24"/>
              </w:rPr>
              <w:t xml:space="preserve"> nariadenia (EÚ) </w:t>
            </w:r>
            <w:r w:rsidR="00207412">
              <w:rPr>
                <w:rFonts w:ascii="Times New Roman" w:hAnsi="Times New Roman"/>
                <w:sz w:val="24"/>
              </w:rPr>
              <w:t>č. </w:t>
            </w:r>
            <w:r w:rsidRPr="00207412">
              <w:rPr>
                <w:rFonts w:ascii="Times New Roman" w:hAnsi="Times New Roman"/>
                <w:sz w:val="24"/>
              </w:rPr>
              <w:t>575/2013</w:t>
            </w:r>
            <w:r w:rsidRPr="00207412">
              <w:rPr>
                <w:rStyle w:val="InstructionsTabelleText"/>
                <w:rFonts w:ascii="Times New Roman" w:hAnsi="Times New Roman"/>
                <w:sz w:val="24"/>
              </w:rPr>
              <w:t>.</w:t>
            </w:r>
          </w:p>
        </w:tc>
      </w:tr>
      <w:tr w:rsidR="0033476C" w:rsidRPr="00207412" w14:paraId="00803C23" w14:textId="77777777" w:rsidTr="000911FE">
        <w:tc>
          <w:tcPr>
            <w:tcW w:w="1413" w:type="dxa"/>
          </w:tcPr>
          <w:p w14:paraId="6969B7D6" w14:textId="7D0DF91C" w:rsidR="0033476C" w:rsidRPr="00207412" w:rsidRDefault="0033476C"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0900</w:t>
            </w:r>
          </w:p>
        </w:tc>
        <w:tc>
          <w:tcPr>
            <w:tcW w:w="7605" w:type="dxa"/>
          </w:tcPr>
          <w:p w14:paraId="1E2E9907" w14:textId="3152DD84" w:rsidR="0033476C" w:rsidRPr="00207412" w:rsidRDefault="0033476C" w:rsidP="004C445F">
            <w:pPr>
              <w:suppressAutoHyphens/>
              <w:spacing w:before="0" w:after="0"/>
              <w:jc w:val="left"/>
              <w:rPr>
                <w:rFonts w:ascii="Times New Roman" w:hAnsi="Times New Roman"/>
                <w:b/>
                <w:sz w:val="24"/>
                <w:u w:val="single"/>
              </w:rPr>
            </w:pPr>
            <w:r w:rsidRPr="00207412">
              <w:rPr>
                <w:rFonts w:ascii="Times New Roman" w:hAnsi="Times New Roman"/>
                <w:b/>
                <w:sz w:val="24"/>
                <w:u w:val="single"/>
              </w:rPr>
              <w:t>OSOBITNÉ ZAOBCHÁDZANIE PRE NADRIADENÉ TRANŽE KVALIFIKOVANÝCH SEKURITIZÁCIÍ PROBLÉMOVÝCH EXPOZÍCIÍ</w:t>
            </w:r>
          </w:p>
          <w:p w14:paraId="17BE744C" w14:textId="33A29F37" w:rsidR="0033476C" w:rsidRPr="00207412" w:rsidRDefault="0033476C" w:rsidP="004C445F">
            <w:pPr>
              <w:suppressAutoHyphens/>
              <w:rPr>
                <w:rFonts w:ascii="Times New Roman" w:hAnsi="Times New Roman"/>
                <w:b/>
                <w:bCs/>
                <w:sz w:val="24"/>
                <w:u w:val="single"/>
              </w:rPr>
            </w:pPr>
            <w:r w:rsidRPr="00207412">
              <w:rPr>
                <w:rFonts w:ascii="Times New Roman" w:hAnsi="Times New Roman"/>
                <w:sz w:val="24"/>
              </w:rPr>
              <w:t xml:space="preserve">Článok 269a ods. 3 nariadenia (EÚ) </w:t>
            </w:r>
            <w:r w:rsidR="00207412">
              <w:rPr>
                <w:rFonts w:ascii="Times New Roman" w:hAnsi="Times New Roman"/>
                <w:sz w:val="24"/>
              </w:rPr>
              <w:t>č. </w:t>
            </w:r>
            <w:r w:rsidRPr="00207412">
              <w:rPr>
                <w:rFonts w:ascii="Times New Roman" w:hAnsi="Times New Roman"/>
                <w:sz w:val="24"/>
              </w:rPr>
              <w:t>575/2013</w:t>
            </w:r>
          </w:p>
        </w:tc>
      </w:tr>
      <w:tr w:rsidR="00C55547" w:rsidRPr="00207412" w14:paraId="05BEB883" w14:textId="77777777" w:rsidTr="000911FE">
        <w:tc>
          <w:tcPr>
            <w:tcW w:w="1413" w:type="dxa"/>
          </w:tcPr>
          <w:p w14:paraId="3D2DEA0A" w14:textId="77777777" w:rsidR="00C55547"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0406</w:t>
            </w:r>
          </w:p>
        </w:tc>
        <w:tc>
          <w:tcPr>
            <w:tcW w:w="7605" w:type="dxa"/>
          </w:tcPr>
          <w:p w14:paraId="25786344" w14:textId="763070CA" w:rsidR="00C55547" w:rsidRPr="00207412" w:rsidRDefault="00C55547"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INÉ (RW = 1 250</w:t>
            </w:r>
            <w:r w:rsidR="00207412">
              <w:t> %</w:t>
            </w:r>
            <w:r w:rsidRPr="00207412">
              <w:rPr>
                <w:rFonts w:ascii="Times New Roman" w:hAnsi="Times New Roman"/>
                <w:b/>
                <w:sz w:val="24"/>
                <w:u w:val="single"/>
              </w:rPr>
              <w:t>)</w:t>
            </w:r>
          </w:p>
          <w:p w14:paraId="1684F52F" w14:textId="4BD078CD" w:rsidR="00C55547" w:rsidRPr="00207412" w:rsidRDefault="00C55547" w:rsidP="004C445F">
            <w:pPr>
              <w:suppressAutoHyphens/>
              <w:rPr>
                <w:rFonts w:ascii="Times New Roman" w:hAnsi="Times New Roman"/>
                <w:b/>
                <w:bCs/>
                <w:sz w:val="24"/>
                <w:u w:val="single"/>
              </w:rPr>
            </w:pPr>
            <w:r w:rsidRPr="00207412">
              <w:rPr>
                <w:rStyle w:val="InstructionsTabelleText"/>
                <w:rFonts w:ascii="Times New Roman" w:hAnsi="Times New Roman"/>
                <w:sz w:val="24"/>
              </w:rPr>
              <w:t>Článok 254 ods. 7</w:t>
            </w:r>
            <w:r w:rsidRPr="00207412">
              <w:rPr>
                <w:rFonts w:ascii="Times New Roman" w:hAnsi="Times New Roman"/>
                <w:sz w:val="24"/>
              </w:rPr>
              <w:t xml:space="preserve"> nariadenia (EÚ) </w:t>
            </w:r>
            <w:r w:rsidR="00207412">
              <w:rPr>
                <w:rFonts w:ascii="Times New Roman" w:hAnsi="Times New Roman"/>
                <w:sz w:val="24"/>
              </w:rPr>
              <w:t>č. </w:t>
            </w:r>
            <w:r w:rsidRPr="00207412">
              <w:rPr>
                <w:rFonts w:ascii="Times New Roman" w:hAnsi="Times New Roman"/>
                <w:sz w:val="24"/>
              </w:rPr>
              <w:t>575/2013</w:t>
            </w:r>
          </w:p>
        </w:tc>
      </w:tr>
      <w:tr w:rsidR="00C55547" w:rsidRPr="00207412" w14:paraId="11316298" w14:textId="77777777" w:rsidTr="000911FE">
        <w:tc>
          <w:tcPr>
            <w:tcW w:w="1413" w:type="dxa"/>
          </w:tcPr>
          <w:p w14:paraId="00B9220E" w14:textId="77777777" w:rsidR="00C55547"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0530 – 0540</w:t>
            </w:r>
          </w:p>
        </w:tc>
        <w:tc>
          <w:tcPr>
            <w:tcW w:w="7605" w:type="dxa"/>
          </w:tcPr>
          <w:p w14:paraId="595C29DB" w14:textId="524BF926" w:rsidR="00C55547" w:rsidRPr="00207412" w:rsidRDefault="00C55547"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CELKOVÝ ÚČINOK (ÚPRAVA)</w:t>
            </w:r>
            <w:r w:rsidR="00207412">
              <w:rPr>
                <w:rFonts w:ascii="Times New Roman" w:hAnsi="Times New Roman"/>
                <w:b/>
                <w:sz w:val="24"/>
                <w:u w:val="single"/>
              </w:rPr>
              <w:t xml:space="preserve"> V </w:t>
            </w:r>
            <w:r w:rsidRPr="00207412">
              <w:rPr>
                <w:rFonts w:ascii="Times New Roman" w:hAnsi="Times New Roman"/>
                <w:b/>
                <w:sz w:val="24"/>
                <w:u w:val="single"/>
              </w:rPr>
              <w:t>DÔSLEDKU PORUŠENIA KAPITOLY 2 NARIADENIA (EÚ) 2017/2402</w:t>
            </w:r>
          </w:p>
          <w:p w14:paraId="3FBEAE4C" w14:textId="688BBFF2" w:rsidR="00C55547" w:rsidRPr="00207412" w:rsidRDefault="00C55547" w:rsidP="004C445F">
            <w:pPr>
              <w:suppressAutoHyphens/>
              <w:rPr>
                <w:rFonts w:ascii="Times New Roman" w:hAnsi="Times New Roman"/>
                <w:b/>
                <w:bCs/>
                <w:sz w:val="24"/>
                <w:u w:val="single"/>
              </w:rPr>
            </w:pPr>
            <w:r w:rsidRPr="00207412">
              <w:rPr>
                <w:rStyle w:val="InstructionsTabelleText"/>
                <w:rFonts w:ascii="Times New Roman" w:hAnsi="Times New Roman"/>
                <w:sz w:val="24"/>
              </w:rPr>
              <w:t>Článok 270a</w:t>
            </w:r>
            <w:r w:rsidRPr="00207412">
              <w:rPr>
                <w:rFonts w:ascii="Times New Roman" w:hAnsi="Times New Roman"/>
                <w:sz w:val="24"/>
              </w:rPr>
              <w:t xml:space="preserve"> nariadenia (EÚ) </w:t>
            </w:r>
            <w:r w:rsidR="00207412">
              <w:rPr>
                <w:rFonts w:ascii="Times New Roman" w:hAnsi="Times New Roman"/>
                <w:sz w:val="24"/>
              </w:rPr>
              <w:t>č. </w:t>
            </w:r>
            <w:r w:rsidRPr="00207412">
              <w:rPr>
                <w:rFonts w:ascii="Times New Roman" w:hAnsi="Times New Roman"/>
                <w:sz w:val="24"/>
              </w:rPr>
              <w:t>575/2013</w:t>
            </w:r>
          </w:p>
        </w:tc>
      </w:tr>
      <w:tr w:rsidR="00C55547" w:rsidRPr="00207412" w14:paraId="2BA98A90" w14:textId="77777777" w:rsidTr="000911FE">
        <w:tc>
          <w:tcPr>
            <w:tcW w:w="1413" w:type="dxa"/>
          </w:tcPr>
          <w:p w14:paraId="2EA0118D" w14:textId="77777777" w:rsidR="00C55547"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0570</w:t>
            </w:r>
          </w:p>
        </w:tc>
        <w:tc>
          <w:tcPr>
            <w:tcW w:w="7605" w:type="dxa"/>
          </w:tcPr>
          <w:p w14:paraId="7BEEA34C" w14:textId="77777777" w:rsidR="00207412" w:rsidRDefault="00C55547" w:rsidP="004C445F">
            <w:pPr>
              <w:suppressAutoHyphens/>
              <w:autoSpaceDE w:val="0"/>
              <w:autoSpaceDN w:val="0"/>
              <w:adjustRightInd w:val="0"/>
              <w:spacing w:before="0" w:after="0"/>
              <w:rPr>
                <w:rFonts w:ascii="Times New Roman" w:hAnsi="Times New Roman"/>
                <w:b/>
                <w:sz w:val="24"/>
                <w:u w:val="single"/>
              </w:rPr>
            </w:pPr>
            <w:r w:rsidRPr="00207412">
              <w:rPr>
                <w:rFonts w:ascii="Times New Roman" w:hAnsi="Times New Roman"/>
                <w:b/>
                <w:sz w:val="24"/>
                <w:u w:val="single"/>
              </w:rPr>
              <w:t>PRED UPLATNENÍM HORNÉHO OHRANIČENIA</w:t>
            </w:r>
          </w:p>
          <w:p w14:paraId="740CD739" w14:textId="0E2FC28F" w:rsidR="00C55547" w:rsidRPr="00207412" w:rsidRDefault="00C55547" w:rsidP="004C445F">
            <w:pPr>
              <w:suppressAutoHyphens/>
              <w:rPr>
                <w:rFonts w:ascii="Times New Roman" w:hAnsi="Times New Roman"/>
                <w:bCs/>
                <w:sz w:val="24"/>
              </w:rPr>
            </w:pPr>
            <w:r w:rsidRPr="00207412">
              <w:rPr>
                <w:rFonts w:ascii="Times New Roman" w:hAnsi="Times New Roman"/>
                <w:sz w:val="24"/>
              </w:rPr>
              <w:t xml:space="preserve">Článok 337 nariadenia (EÚ) </w:t>
            </w:r>
            <w:r w:rsidR="00207412">
              <w:rPr>
                <w:rFonts w:ascii="Times New Roman" w:hAnsi="Times New Roman"/>
                <w:sz w:val="24"/>
              </w:rPr>
              <w:t>č. </w:t>
            </w:r>
            <w:r w:rsidRPr="00207412">
              <w:rPr>
                <w:rFonts w:ascii="Times New Roman" w:hAnsi="Times New Roman"/>
                <w:sz w:val="24"/>
              </w:rPr>
              <w:t>575/2013 bez zohľadnenia možnosti stanovenej</w:t>
            </w:r>
            <w:r w:rsidR="00207412">
              <w:rPr>
                <w:rFonts w:ascii="Times New Roman" w:hAnsi="Times New Roman"/>
                <w:sz w:val="24"/>
              </w:rPr>
              <w:t xml:space="preserve"> v </w:t>
            </w:r>
            <w:r w:rsidRPr="00207412">
              <w:rPr>
                <w:rFonts w:ascii="Times New Roman" w:hAnsi="Times New Roman"/>
                <w:sz w:val="24"/>
              </w:rPr>
              <w:t>článku 335 uvedeného nariadenia, ktorá inštitúcii umožňuje uplatniť horné ohraničenie na súčin váhy</w:t>
            </w:r>
            <w:r w:rsidR="00207412">
              <w:rPr>
                <w:rFonts w:ascii="Times New Roman" w:hAnsi="Times New Roman"/>
                <w:sz w:val="24"/>
              </w:rPr>
              <w:t xml:space="preserve"> a </w:t>
            </w:r>
            <w:r w:rsidRPr="00207412">
              <w:rPr>
                <w:rFonts w:ascii="Times New Roman" w:hAnsi="Times New Roman"/>
                <w:sz w:val="24"/>
              </w:rPr>
              <w:t>čistej pozície vo výške maximálnej možnej straty súvisiacej</w:t>
            </w:r>
            <w:r w:rsidR="00207412">
              <w:rPr>
                <w:rFonts w:ascii="Times New Roman" w:hAnsi="Times New Roman"/>
                <w:sz w:val="24"/>
              </w:rPr>
              <w:t xml:space="preserve"> s </w:t>
            </w:r>
            <w:r w:rsidRPr="00207412">
              <w:rPr>
                <w:rFonts w:ascii="Times New Roman" w:hAnsi="Times New Roman"/>
                <w:sz w:val="24"/>
              </w:rPr>
              <w:t>rizikom zlyhania.</w:t>
            </w:r>
          </w:p>
        </w:tc>
      </w:tr>
      <w:tr w:rsidR="00C55547" w:rsidRPr="00207412" w14:paraId="247B0FB8" w14:textId="77777777" w:rsidTr="000911FE">
        <w:tc>
          <w:tcPr>
            <w:tcW w:w="1413" w:type="dxa"/>
          </w:tcPr>
          <w:p w14:paraId="22357CAC" w14:textId="77777777" w:rsidR="00C55547" w:rsidRPr="00207412" w:rsidRDefault="00EE2CD5"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0601</w:t>
            </w:r>
          </w:p>
        </w:tc>
        <w:tc>
          <w:tcPr>
            <w:tcW w:w="7605" w:type="dxa"/>
          </w:tcPr>
          <w:p w14:paraId="2BF8E91A" w14:textId="77777777" w:rsidR="00207412" w:rsidRDefault="00C55547" w:rsidP="004C445F">
            <w:pPr>
              <w:suppressAutoHyphens/>
              <w:autoSpaceDE w:val="0"/>
              <w:autoSpaceDN w:val="0"/>
              <w:adjustRightInd w:val="0"/>
              <w:spacing w:before="0" w:after="0"/>
              <w:rPr>
                <w:rFonts w:ascii="Times New Roman" w:hAnsi="Times New Roman"/>
                <w:b/>
                <w:sz w:val="24"/>
                <w:u w:val="single"/>
              </w:rPr>
            </w:pPr>
            <w:r w:rsidRPr="00207412">
              <w:rPr>
                <w:rFonts w:ascii="Times New Roman" w:hAnsi="Times New Roman"/>
                <w:b/>
                <w:sz w:val="24"/>
                <w:u w:val="single"/>
              </w:rPr>
              <w:t>PO UPLATNENÍ HORNÉHO OHRANIČENIA/CELKOVÉ POŽIADAVKY NA VLASTNÉ ZDROJE</w:t>
            </w:r>
          </w:p>
          <w:p w14:paraId="0DE4FAED" w14:textId="29EC043D" w:rsidR="00C55547" w:rsidRPr="00207412" w:rsidRDefault="00C55547" w:rsidP="004C445F">
            <w:pPr>
              <w:suppressAutoHyphens/>
              <w:rPr>
                <w:rFonts w:ascii="Times New Roman" w:hAnsi="Times New Roman"/>
                <w:bCs/>
                <w:sz w:val="24"/>
              </w:rPr>
            </w:pPr>
            <w:r w:rsidRPr="00207412">
              <w:rPr>
                <w:rFonts w:ascii="Times New Roman" w:hAnsi="Times New Roman"/>
                <w:sz w:val="24"/>
              </w:rPr>
              <w:t xml:space="preserve">Článok 337 nariadenia (EÚ) </w:t>
            </w:r>
            <w:r w:rsidR="00207412">
              <w:rPr>
                <w:rFonts w:ascii="Times New Roman" w:hAnsi="Times New Roman"/>
                <w:sz w:val="24"/>
              </w:rPr>
              <w:t>č. </w:t>
            </w:r>
            <w:r w:rsidRPr="00207412">
              <w:rPr>
                <w:rFonts w:ascii="Times New Roman" w:hAnsi="Times New Roman"/>
                <w:sz w:val="24"/>
              </w:rPr>
              <w:t xml:space="preserve">575/2013 so </w:t>
            </w:r>
            <w:r w:rsidRPr="00207412">
              <w:rPr>
                <w:rStyle w:val="InstructionsTabelleText"/>
                <w:rFonts w:ascii="Times New Roman" w:hAnsi="Times New Roman"/>
                <w:sz w:val="24"/>
              </w:rPr>
              <w:t>zohľadnením</w:t>
            </w:r>
            <w:r w:rsidRPr="00207412">
              <w:rPr>
                <w:rFonts w:ascii="Times New Roman" w:hAnsi="Times New Roman"/>
                <w:sz w:val="24"/>
              </w:rPr>
              <w:t xml:space="preserve"> možnosti stanovenej</w:t>
            </w:r>
            <w:r w:rsidR="00207412">
              <w:rPr>
                <w:rFonts w:ascii="Times New Roman" w:hAnsi="Times New Roman"/>
                <w:sz w:val="24"/>
              </w:rPr>
              <w:t xml:space="preserve"> v </w:t>
            </w:r>
            <w:r w:rsidRPr="00207412">
              <w:rPr>
                <w:rFonts w:ascii="Times New Roman" w:hAnsi="Times New Roman"/>
                <w:sz w:val="24"/>
              </w:rPr>
              <w:t>článku 335 uvedeného nariadenia.</w:t>
            </w:r>
          </w:p>
        </w:tc>
      </w:tr>
    </w:tbl>
    <w:p w14:paraId="2016D379" w14:textId="77777777" w:rsidR="00C55547" w:rsidRPr="00207412"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537"/>
      </w:tblGrid>
      <w:tr w:rsidR="00C55547" w:rsidRPr="00207412" w14:paraId="02A9F41A" w14:textId="77777777" w:rsidTr="00E10B85">
        <w:trPr>
          <w:trHeight w:val="537"/>
        </w:trPr>
        <w:tc>
          <w:tcPr>
            <w:tcW w:w="8950" w:type="dxa"/>
            <w:gridSpan w:val="2"/>
            <w:shd w:val="clear" w:color="auto" w:fill="BFBFBF"/>
          </w:tcPr>
          <w:p w14:paraId="26BB8354" w14:textId="77777777" w:rsidR="00C55547" w:rsidRPr="00207412" w:rsidRDefault="00C55547" w:rsidP="004C445F">
            <w:pPr>
              <w:suppressAutoHyphens/>
              <w:autoSpaceDE w:val="0"/>
              <w:autoSpaceDN w:val="0"/>
              <w:adjustRightInd w:val="0"/>
              <w:spacing w:after="0"/>
              <w:rPr>
                <w:rFonts w:ascii="Times New Roman" w:hAnsi="Times New Roman"/>
                <w:b/>
                <w:sz w:val="24"/>
              </w:rPr>
            </w:pPr>
            <w:r w:rsidRPr="00207412">
              <w:rPr>
                <w:rFonts w:ascii="Times New Roman" w:hAnsi="Times New Roman"/>
                <w:b/>
                <w:sz w:val="24"/>
              </w:rPr>
              <w:t>Riadky</w:t>
            </w:r>
          </w:p>
        </w:tc>
      </w:tr>
      <w:tr w:rsidR="00C55547" w:rsidRPr="00207412" w14:paraId="32F42F75" w14:textId="77777777" w:rsidTr="000911FE">
        <w:tc>
          <w:tcPr>
            <w:tcW w:w="1413" w:type="dxa"/>
          </w:tcPr>
          <w:p w14:paraId="4D0640F7" w14:textId="77777777" w:rsidR="00C55547"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lastRenderedPageBreak/>
              <w:t>0010</w:t>
            </w:r>
          </w:p>
        </w:tc>
        <w:tc>
          <w:tcPr>
            <w:tcW w:w="7537" w:type="dxa"/>
          </w:tcPr>
          <w:p w14:paraId="03F7346E" w14:textId="77777777" w:rsidR="00C55547" w:rsidRPr="00207412" w:rsidRDefault="00C55547" w:rsidP="004C445F">
            <w:pPr>
              <w:suppressAutoHyphens/>
              <w:rPr>
                <w:rFonts w:ascii="Times New Roman" w:hAnsi="Times New Roman"/>
                <w:sz w:val="24"/>
              </w:rPr>
            </w:pPr>
            <w:r w:rsidRPr="00207412">
              <w:rPr>
                <w:rStyle w:val="InstructionsTabelleberschrift"/>
                <w:rFonts w:ascii="Times New Roman" w:hAnsi="Times New Roman"/>
                <w:sz w:val="24"/>
              </w:rPr>
              <w:t>CELKOVÉ EXPOZÍCIE</w:t>
            </w:r>
          </w:p>
          <w:p w14:paraId="3DA30B45" w14:textId="7B02A9AC" w:rsidR="00C55547" w:rsidRPr="00207412" w:rsidRDefault="00C55547" w:rsidP="004C445F">
            <w:pPr>
              <w:suppressAutoHyphens/>
              <w:autoSpaceDE w:val="0"/>
              <w:autoSpaceDN w:val="0"/>
              <w:adjustRightInd w:val="0"/>
              <w:spacing w:before="0" w:after="0"/>
              <w:rPr>
                <w:rFonts w:ascii="Times New Roman" w:hAnsi="Times New Roman"/>
                <w:sz w:val="24"/>
              </w:rPr>
            </w:pPr>
            <w:r w:rsidRPr="00207412">
              <w:rPr>
                <w:rStyle w:val="InstructionsTabelleText"/>
                <w:rFonts w:ascii="Times New Roman" w:hAnsi="Times New Roman"/>
                <w:sz w:val="24"/>
              </w:rPr>
              <w:t>Celková hodnota zostávajúcich sekuritizácií</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resekuritizácií (držaných</w:t>
            </w:r>
            <w:r w:rsidR="00207412">
              <w:rPr>
                <w:rStyle w:val="InstructionsTabelleText"/>
                <w:rFonts w:ascii="Times New Roman" w:hAnsi="Times New Roman"/>
                <w:sz w:val="24"/>
              </w:rPr>
              <w:t xml:space="preserve"> v </w:t>
            </w:r>
            <w:r w:rsidRPr="00207412">
              <w:rPr>
                <w:rStyle w:val="InstructionsTabelleText"/>
                <w:rFonts w:ascii="Times New Roman" w:hAnsi="Times New Roman"/>
                <w:sz w:val="24"/>
              </w:rPr>
              <w:t>obchodnej knihe) vykázaných inštitúciou, ktorá zohráva úlohu originátora alebo investora alebo sponzora.</w:t>
            </w:r>
          </w:p>
        </w:tc>
      </w:tr>
      <w:tr w:rsidR="00C55547" w:rsidRPr="00207412" w14:paraId="21E51D59" w14:textId="77777777" w:rsidTr="000911FE">
        <w:tc>
          <w:tcPr>
            <w:tcW w:w="1413" w:type="dxa"/>
          </w:tcPr>
          <w:p w14:paraId="5CCD69BA" w14:textId="5DCA41AE" w:rsidR="00C55547"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0040, 0070</w:t>
            </w:r>
            <w:r w:rsidR="00207412">
              <w:rPr>
                <w:rFonts w:ascii="Times New Roman" w:hAnsi="Times New Roman"/>
                <w:sz w:val="24"/>
              </w:rPr>
              <w:t xml:space="preserve"> a </w:t>
            </w:r>
            <w:r w:rsidRPr="00207412">
              <w:rPr>
                <w:rFonts w:ascii="Times New Roman" w:hAnsi="Times New Roman"/>
                <w:sz w:val="24"/>
              </w:rPr>
              <w:t>0100</w:t>
            </w:r>
          </w:p>
        </w:tc>
        <w:tc>
          <w:tcPr>
            <w:tcW w:w="7537" w:type="dxa"/>
          </w:tcPr>
          <w:p w14:paraId="4F5DF6AF" w14:textId="7777777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SEKURITIZAČNÉ POZÍCIE</w:t>
            </w:r>
          </w:p>
          <w:p w14:paraId="62CD89EA" w14:textId="58A596D4" w:rsidR="00C55547" w:rsidRPr="00207412" w:rsidRDefault="00532026" w:rsidP="004C445F">
            <w:pPr>
              <w:suppressAutoHyphens/>
              <w:autoSpaceDE w:val="0"/>
              <w:autoSpaceDN w:val="0"/>
              <w:adjustRightInd w:val="0"/>
              <w:spacing w:before="0" w:after="0"/>
              <w:rPr>
                <w:rFonts w:ascii="Times New Roman" w:hAnsi="Times New Roman"/>
                <w:bCs/>
                <w:sz w:val="24"/>
              </w:rPr>
            </w:pPr>
            <w:r w:rsidRPr="00207412">
              <w:rPr>
                <w:rFonts w:ascii="Times New Roman" w:hAnsi="Times New Roman"/>
                <w:sz w:val="24"/>
              </w:rPr>
              <w:t xml:space="preserve"> Článok 4 ods. 1 bod 62 nariadenia (EÚ) </w:t>
            </w:r>
            <w:r w:rsidR="00207412">
              <w:rPr>
                <w:rFonts w:ascii="Times New Roman" w:hAnsi="Times New Roman"/>
                <w:sz w:val="24"/>
              </w:rPr>
              <w:t>č. </w:t>
            </w:r>
            <w:r w:rsidRPr="00207412">
              <w:rPr>
                <w:rFonts w:ascii="Times New Roman" w:hAnsi="Times New Roman"/>
                <w:sz w:val="24"/>
              </w:rPr>
              <w:t>575/2013.</w:t>
            </w:r>
          </w:p>
          <w:p w14:paraId="0230B6E5" w14:textId="77777777" w:rsidR="00C55547" w:rsidRPr="00207412"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07412" w14:paraId="4D9AAB18" w14:textId="77777777" w:rsidTr="000911FE">
        <w:tc>
          <w:tcPr>
            <w:tcW w:w="1413" w:type="dxa"/>
          </w:tcPr>
          <w:p w14:paraId="6DA3B4FA" w14:textId="383E5773" w:rsidR="00C55547"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0020, 0050, 0080</w:t>
            </w:r>
            <w:r w:rsidR="00207412">
              <w:rPr>
                <w:rFonts w:ascii="Times New Roman" w:hAnsi="Times New Roman"/>
                <w:sz w:val="24"/>
              </w:rPr>
              <w:t xml:space="preserve"> a </w:t>
            </w:r>
            <w:r w:rsidRPr="00207412">
              <w:rPr>
                <w:rFonts w:ascii="Times New Roman" w:hAnsi="Times New Roman"/>
                <w:sz w:val="24"/>
              </w:rPr>
              <w:t>0110</w:t>
            </w:r>
          </w:p>
        </w:tc>
        <w:tc>
          <w:tcPr>
            <w:tcW w:w="7537" w:type="dxa"/>
          </w:tcPr>
          <w:p w14:paraId="3C62BCE7" w14:textId="7777777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RESEKURITIZAČNÉ POZÍCIE</w:t>
            </w:r>
          </w:p>
          <w:p w14:paraId="32F5BAEB" w14:textId="60BCAB04" w:rsidR="00C55547" w:rsidRPr="00207412" w:rsidRDefault="00D24331" w:rsidP="004C445F">
            <w:pPr>
              <w:suppressAutoHyphens/>
              <w:autoSpaceDE w:val="0"/>
              <w:autoSpaceDN w:val="0"/>
              <w:adjustRightInd w:val="0"/>
              <w:spacing w:before="0" w:after="0"/>
              <w:rPr>
                <w:rFonts w:ascii="Times New Roman" w:hAnsi="Times New Roman"/>
                <w:bCs/>
                <w:sz w:val="24"/>
              </w:rPr>
            </w:pPr>
            <w:r w:rsidRPr="00207412">
              <w:rPr>
                <w:rFonts w:ascii="Times New Roman" w:hAnsi="Times New Roman"/>
                <w:sz w:val="24"/>
              </w:rPr>
              <w:t xml:space="preserve">Článok 4 ods. 1 bod 64 nariadenia (EÚ) </w:t>
            </w:r>
            <w:r w:rsidR="00207412">
              <w:rPr>
                <w:rFonts w:ascii="Times New Roman" w:hAnsi="Times New Roman"/>
                <w:sz w:val="24"/>
              </w:rPr>
              <w:t>č. </w:t>
            </w:r>
            <w:r w:rsidRPr="00207412">
              <w:rPr>
                <w:rFonts w:ascii="Times New Roman" w:hAnsi="Times New Roman"/>
                <w:sz w:val="24"/>
              </w:rPr>
              <w:t>575/2013</w:t>
            </w:r>
          </w:p>
          <w:p w14:paraId="18108A69" w14:textId="77777777" w:rsidR="00C55547" w:rsidRPr="00207412"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07412" w14:paraId="651A33F7" w14:textId="77777777" w:rsidTr="000911FE">
        <w:tc>
          <w:tcPr>
            <w:tcW w:w="1413" w:type="dxa"/>
          </w:tcPr>
          <w:p w14:paraId="41A2A677" w14:textId="0454CF76" w:rsidR="00C55547"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0041, 0071</w:t>
            </w:r>
            <w:r w:rsidR="00207412">
              <w:rPr>
                <w:rFonts w:ascii="Times New Roman" w:hAnsi="Times New Roman"/>
                <w:sz w:val="24"/>
              </w:rPr>
              <w:t xml:space="preserve"> a </w:t>
            </w:r>
            <w:r w:rsidRPr="00207412">
              <w:rPr>
                <w:rFonts w:ascii="Times New Roman" w:hAnsi="Times New Roman"/>
                <w:sz w:val="24"/>
              </w:rPr>
              <w:t>0101</w:t>
            </w:r>
          </w:p>
        </w:tc>
        <w:tc>
          <w:tcPr>
            <w:tcW w:w="7537" w:type="dxa"/>
          </w:tcPr>
          <w:p w14:paraId="17D8E88B" w14:textId="1718344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Z TOHO: SPĹŇAJÚCE PODMIENKY PRE ZAOBCHÁDZANIE</w:t>
            </w:r>
            <w:r w:rsidR="00207412">
              <w:rPr>
                <w:rStyle w:val="InstructionsTabelleberschrift"/>
                <w:rFonts w:ascii="Times New Roman" w:hAnsi="Times New Roman"/>
                <w:sz w:val="24"/>
              </w:rPr>
              <w:t xml:space="preserve"> S </w:t>
            </w:r>
            <w:r w:rsidRPr="00207412">
              <w:rPr>
                <w:rStyle w:val="InstructionsTabelleberschrift"/>
                <w:rFonts w:ascii="Times New Roman" w:hAnsi="Times New Roman"/>
                <w:sz w:val="24"/>
              </w:rPr>
              <w:t>DIFERENCOVANÝM KAPITÁLOM</w:t>
            </w:r>
          </w:p>
          <w:p w14:paraId="775DD0A5" w14:textId="46A99CA7" w:rsidR="00C55547" w:rsidRPr="00207412" w:rsidRDefault="00C55547" w:rsidP="004C445F">
            <w:pPr>
              <w:suppressAutoHyphens/>
              <w:rPr>
                <w:rStyle w:val="InstructionsTabelleberschrift"/>
                <w:rFonts w:ascii="Times New Roman" w:hAnsi="Times New Roman"/>
                <w:sz w:val="24"/>
              </w:rPr>
            </w:pPr>
            <w:r w:rsidRPr="00207412">
              <w:rPr>
                <w:rFonts w:ascii="Times New Roman" w:hAnsi="Times New Roman"/>
                <w:sz w:val="24"/>
              </w:rPr>
              <w:t>Celková hodnota sekuritizačných pozícií, ktoré spĺňajú kritériá stanovené</w:t>
            </w:r>
            <w:r w:rsidR="00207412">
              <w:rPr>
                <w:rFonts w:ascii="Times New Roman" w:hAnsi="Times New Roman"/>
                <w:sz w:val="24"/>
              </w:rPr>
              <w:t xml:space="preserve"> v </w:t>
            </w:r>
            <w:r w:rsidRPr="00207412">
              <w:rPr>
                <w:rFonts w:ascii="Times New Roman" w:hAnsi="Times New Roman"/>
                <w:sz w:val="24"/>
              </w:rPr>
              <w:t>článku 243 alebo</w:t>
            </w:r>
            <w:r w:rsidR="00207412">
              <w:rPr>
                <w:rFonts w:ascii="Times New Roman" w:hAnsi="Times New Roman"/>
                <w:sz w:val="24"/>
              </w:rPr>
              <w:t xml:space="preserve"> v </w:t>
            </w:r>
            <w:r w:rsidRPr="00207412">
              <w:rPr>
                <w:rFonts w:ascii="Times New Roman" w:hAnsi="Times New Roman"/>
                <w:sz w:val="24"/>
              </w:rPr>
              <w:t xml:space="preserve">článku 270 nariadenia (EÚ) </w:t>
            </w:r>
            <w:r w:rsidR="00207412">
              <w:rPr>
                <w:rFonts w:ascii="Times New Roman" w:hAnsi="Times New Roman"/>
                <w:sz w:val="24"/>
              </w:rPr>
              <w:t>č. </w:t>
            </w:r>
            <w:r w:rsidRPr="00207412">
              <w:rPr>
                <w:rFonts w:ascii="Times New Roman" w:hAnsi="Times New Roman"/>
                <w:sz w:val="24"/>
              </w:rPr>
              <w:t>575/2013,</w:t>
            </w:r>
            <w:r w:rsidR="00207412">
              <w:rPr>
                <w:rFonts w:ascii="Times New Roman" w:hAnsi="Times New Roman"/>
                <w:sz w:val="24"/>
              </w:rPr>
              <w:t xml:space="preserve"> a </w:t>
            </w:r>
            <w:r w:rsidRPr="00207412">
              <w:rPr>
                <w:rFonts w:ascii="Times New Roman" w:hAnsi="Times New Roman"/>
                <w:sz w:val="24"/>
              </w:rPr>
              <w:t>ktoré teda spĺňajú podmienky pre zaobchádzanie</w:t>
            </w:r>
            <w:r w:rsidR="00207412">
              <w:rPr>
                <w:rFonts w:ascii="Times New Roman" w:hAnsi="Times New Roman"/>
                <w:sz w:val="24"/>
              </w:rPr>
              <w:t xml:space="preserve"> s </w:t>
            </w:r>
            <w:r w:rsidRPr="00207412">
              <w:rPr>
                <w:rFonts w:ascii="Times New Roman" w:hAnsi="Times New Roman"/>
                <w:sz w:val="24"/>
              </w:rPr>
              <w:t xml:space="preserve">diferencovaným kapitálom. </w:t>
            </w:r>
          </w:p>
        </w:tc>
      </w:tr>
      <w:tr w:rsidR="00C55547" w:rsidRPr="00207412" w14:paraId="5FAF4052" w14:textId="77777777" w:rsidTr="000911FE">
        <w:tc>
          <w:tcPr>
            <w:tcW w:w="1413" w:type="dxa"/>
          </w:tcPr>
          <w:p w14:paraId="39486578" w14:textId="77777777" w:rsidR="00C55547"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0030 – 0050</w:t>
            </w:r>
          </w:p>
        </w:tc>
        <w:tc>
          <w:tcPr>
            <w:tcW w:w="7537" w:type="dxa"/>
          </w:tcPr>
          <w:p w14:paraId="29698529" w14:textId="7777777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ORIGINÁTOR</w:t>
            </w:r>
          </w:p>
          <w:p w14:paraId="50264432" w14:textId="2E12AD8E" w:rsidR="00C55547" w:rsidRPr="00207412" w:rsidRDefault="00D24331" w:rsidP="004C445F">
            <w:pPr>
              <w:suppressAutoHyphens/>
              <w:autoSpaceDE w:val="0"/>
              <w:autoSpaceDN w:val="0"/>
              <w:adjustRightInd w:val="0"/>
              <w:spacing w:before="0" w:after="0"/>
              <w:rPr>
                <w:rFonts w:ascii="Times New Roman" w:hAnsi="Times New Roman"/>
                <w:bCs/>
                <w:sz w:val="24"/>
              </w:rPr>
            </w:pPr>
            <w:r w:rsidRPr="00207412">
              <w:rPr>
                <w:rFonts w:ascii="Times New Roman" w:hAnsi="Times New Roman"/>
                <w:sz w:val="24"/>
              </w:rPr>
              <w:t xml:space="preserve">Článok 4 ods. 1 bod 13 nariadenia (EÚ) </w:t>
            </w:r>
            <w:r w:rsidR="00207412">
              <w:rPr>
                <w:rFonts w:ascii="Times New Roman" w:hAnsi="Times New Roman"/>
                <w:sz w:val="24"/>
              </w:rPr>
              <w:t>č. </w:t>
            </w:r>
            <w:r w:rsidRPr="00207412">
              <w:rPr>
                <w:rFonts w:ascii="Times New Roman" w:hAnsi="Times New Roman"/>
                <w:sz w:val="24"/>
              </w:rPr>
              <w:t>575/2013</w:t>
            </w:r>
          </w:p>
          <w:p w14:paraId="671304E2" w14:textId="77777777" w:rsidR="00C55547" w:rsidRPr="00207412"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07412" w14:paraId="1241B5AC" w14:textId="77777777" w:rsidTr="000911FE">
        <w:tc>
          <w:tcPr>
            <w:tcW w:w="1413" w:type="dxa"/>
          </w:tcPr>
          <w:p w14:paraId="61436B0B" w14:textId="77777777" w:rsidR="00C55547"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0060 – 0080</w:t>
            </w:r>
          </w:p>
        </w:tc>
        <w:tc>
          <w:tcPr>
            <w:tcW w:w="7537" w:type="dxa"/>
          </w:tcPr>
          <w:p w14:paraId="726E7C5B" w14:textId="7777777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INVESTOR</w:t>
            </w:r>
          </w:p>
          <w:p w14:paraId="4DBCB61A" w14:textId="66DA4B38" w:rsidR="00207412" w:rsidRDefault="00C55547"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Úverová inštitúcia, ktorá drží sekuritizačnú pozíciu</w:t>
            </w:r>
            <w:r w:rsidR="00207412">
              <w:rPr>
                <w:rFonts w:ascii="Times New Roman" w:hAnsi="Times New Roman"/>
                <w:sz w:val="24"/>
              </w:rPr>
              <w:t xml:space="preserve"> v </w:t>
            </w:r>
            <w:r w:rsidRPr="00207412">
              <w:rPr>
                <w:rFonts w:ascii="Times New Roman" w:hAnsi="Times New Roman"/>
                <w:sz w:val="24"/>
              </w:rPr>
              <w:t>sekuritizačnej transakcii,</w:t>
            </w:r>
            <w:r w:rsidR="00207412">
              <w:rPr>
                <w:rFonts w:ascii="Times New Roman" w:hAnsi="Times New Roman"/>
                <w:sz w:val="24"/>
              </w:rPr>
              <w:t xml:space="preserve"> v </w:t>
            </w:r>
            <w:r w:rsidRPr="00207412">
              <w:rPr>
                <w:rFonts w:ascii="Times New Roman" w:hAnsi="Times New Roman"/>
                <w:sz w:val="24"/>
              </w:rPr>
              <w:t>ktorej nie je originátorom, sponzorom ani pôvodným veriteľom</w:t>
            </w:r>
            <w:r w:rsidR="00207412">
              <w:rPr>
                <w:rFonts w:ascii="Times New Roman" w:hAnsi="Times New Roman"/>
                <w:sz w:val="24"/>
              </w:rPr>
              <w:t>.</w:t>
            </w:r>
          </w:p>
          <w:p w14:paraId="5289F9D1" w14:textId="48F0821F" w:rsidR="00C55547" w:rsidRPr="00207412"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07412" w14:paraId="66D8A55A" w14:textId="77777777" w:rsidTr="000911FE">
        <w:tc>
          <w:tcPr>
            <w:tcW w:w="1413" w:type="dxa"/>
          </w:tcPr>
          <w:p w14:paraId="7DE34CCA" w14:textId="77777777" w:rsidR="00C55547"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0090 – 0110</w:t>
            </w:r>
          </w:p>
        </w:tc>
        <w:tc>
          <w:tcPr>
            <w:tcW w:w="7537" w:type="dxa"/>
          </w:tcPr>
          <w:p w14:paraId="1405E243" w14:textId="7777777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SPONZOR</w:t>
            </w:r>
          </w:p>
          <w:p w14:paraId="150F88AA" w14:textId="0FFD0296" w:rsidR="00207412" w:rsidRDefault="00D24331" w:rsidP="004C445F">
            <w:pPr>
              <w:suppressAutoHyphens/>
              <w:autoSpaceDE w:val="0"/>
              <w:autoSpaceDN w:val="0"/>
              <w:adjustRightInd w:val="0"/>
              <w:spacing w:before="0" w:after="0"/>
              <w:rPr>
                <w:rStyle w:val="InstructionsTabelleText"/>
                <w:rFonts w:ascii="Times New Roman" w:hAnsi="Times New Roman"/>
                <w:sz w:val="24"/>
              </w:rPr>
            </w:pPr>
            <w:r w:rsidRPr="00207412">
              <w:rPr>
                <w:rFonts w:ascii="Times New Roman" w:hAnsi="Times New Roman"/>
                <w:sz w:val="24"/>
              </w:rPr>
              <w:t xml:space="preserve">Článok 4 ods. 1 bod 14 nariadenia (EÚ) </w:t>
            </w:r>
            <w:r w:rsidR="00207412">
              <w:rPr>
                <w:rFonts w:ascii="Times New Roman" w:hAnsi="Times New Roman"/>
                <w:sz w:val="24"/>
              </w:rPr>
              <w:t>č. </w:t>
            </w:r>
            <w:r w:rsidRPr="00207412">
              <w:rPr>
                <w:rFonts w:ascii="Times New Roman" w:hAnsi="Times New Roman"/>
                <w:sz w:val="24"/>
              </w:rPr>
              <w:t>575/2013</w:t>
            </w:r>
            <w:r w:rsidR="00207412">
              <w:rPr>
                <w:rStyle w:val="InstructionsTabelleText"/>
                <w:rFonts w:ascii="Times New Roman" w:hAnsi="Times New Roman"/>
                <w:sz w:val="24"/>
              </w:rPr>
              <w:t>.</w:t>
            </w:r>
          </w:p>
          <w:p w14:paraId="036222AB" w14:textId="7E6364F3" w:rsidR="00C55547" w:rsidRPr="00207412" w:rsidRDefault="00532026" w:rsidP="004C445F">
            <w:pPr>
              <w:suppressAutoHyphens/>
              <w:autoSpaceDE w:val="0"/>
              <w:autoSpaceDN w:val="0"/>
              <w:adjustRightInd w:val="0"/>
              <w:spacing w:before="0" w:after="0"/>
              <w:rPr>
                <w:rStyle w:val="InstructionsTabelleText"/>
                <w:rFonts w:ascii="Times New Roman" w:hAnsi="Times New Roman"/>
                <w:sz w:val="24"/>
              </w:rPr>
            </w:pPr>
            <w:r w:rsidRPr="00207412">
              <w:rPr>
                <w:rStyle w:val="InstructionsTabelleText"/>
                <w:rFonts w:ascii="Times New Roman" w:hAnsi="Times New Roman"/>
                <w:sz w:val="24"/>
              </w:rPr>
              <w:t>Sponzor, ktorý zároveň sekuritizuje svoje vlastné aktíva,</w:t>
            </w:r>
            <w:r w:rsidR="00207412">
              <w:rPr>
                <w:rStyle w:val="InstructionsTabelleText"/>
                <w:rFonts w:ascii="Times New Roman" w:hAnsi="Times New Roman"/>
                <w:sz w:val="24"/>
              </w:rPr>
              <w:t xml:space="preserve"> v </w:t>
            </w:r>
            <w:r w:rsidRPr="00207412">
              <w:rPr>
                <w:rStyle w:val="InstructionsTabelleText"/>
                <w:rFonts w:ascii="Times New Roman" w:hAnsi="Times New Roman"/>
                <w:sz w:val="24"/>
              </w:rPr>
              <w:t>riadkoch originátora uvedie informácie týkajúce sa svojich vlastných sekuritizovaných aktív.</w:t>
            </w:r>
          </w:p>
        </w:tc>
      </w:tr>
    </w:tbl>
    <w:p w14:paraId="2E044F08"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nl-BE"/>
        </w:rPr>
      </w:pPr>
    </w:p>
    <w:p w14:paraId="7658B148" w14:textId="15701631" w:rsidR="000B0B09" w:rsidRPr="0020741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3" w:name="_Toc294172373"/>
      <w:bookmarkStart w:id="74" w:name="_Toc295830002"/>
      <w:bookmarkStart w:id="75" w:name="_Toc308426679"/>
      <w:bookmarkStart w:id="76" w:name="_Toc310415063"/>
      <w:bookmarkStart w:id="77" w:name="_Toc360188398"/>
      <w:bookmarkStart w:id="78" w:name="_Toc473561038"/>
      <w:bookmarkStart w:id="79" w:name="_Toc210895526"/>
      <w:r w:rsidRPr="00207412">
        <w:rPr>
          <w:rFonts w:ascii="Times New Roman" w:hAnsi="Times New Roman"/>
          <w:sz w:val="24"/>
          <w:u w:val="none"/>
        </w:rPr>
        <w:t>4.</w:t>
      </w:r>
      <w:r w:rsidRPr="00207412">
        <w:rPr>
          <w:u w:val="none"/>
        </w:rPr>
        <w:tab/>
      </w:r>
      <w:r w:rsidRPr="00207412">
        <w:rPr>
          <w:rFonts w:ascii="Times New Roman" w:hAnsi="Times New Roman"/>
          <w:sz w:val="24"/>
        </w:rPr>
        <w:t>C 20.00 – TRHOVÉ RIZIKO: ŠTANDARDIZOVANÝ PRÍSTUP PRE ŠPECIFICKÉ RIZIKO PRE POZÍCIE ZARADENÉ DO KORELAČNÉHO OBCHODNÉHO PORTFÓLIA (MKR SA CTP)</w:t>
      </w:r>
      <w:bookmarkEnd w:id="73"/>
      <w:bookmarkEnd w:id="74"/>
      <w:bookmarkEnd w:id="75"/>
      <w:bookmarkEnd w:id="76"/>
      <w:r w:rsidRPr="00207412">
        <w:rPr>
          <w:rFonts w:ascii="Times New Roman" w:hAnsi="Times New Roman"/>
          <w:sz w:val="24"/>
        </w:rPr>
        <w:t>)</w:t>
      </w:r>
      <w:bookmarkEnd w:id="77"/>
      <w:bookmarkEnd w:id="78"/>
      <w:bookmarkEnd w:id="79"/>
    </w:p>
    <w:p w14:paraId="43960D05" w14:textId="0A1B0018" w:rsidR="000B0B09" w:rsidRPr="0020741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80" w:name="_Toc294172374"/>
      <w:bookmarkStart w:id="81" w:name="_Toc295830003"/>
      <w:bookmarkStart w:id="82" w:name="_Toc308426680"/>
      <w:bookmarkStart w:id="83" w:name="_Toc310415064"/>
      <w:bookmarkStart w:id="84" w:name="_Toc360188399"/>
      <w:bookmarkStart w:id="85" w:name="_Toc473561039"/>
      <w:bookmarkStart w:id="86" w:name="_Toc210895527"/>
      <w:r w:rsidRPr="00207412">
        <w:rPr>
          <w:rFonts w:ascii="Times New Roman" w:hAnsi="Times New Roman"/>
          <w:sz w:val="24"/>
          <w:u w:val="none"/>
        </w:rPr>
        <w:t>4.1.</w:t>
      </w:r>
      <w:r w:rsidRPr="00207412">
        <w:rPr>
          <w:u w:val="none"/>
        </w:rPr>
        <w:tab/>
      </w:r>
      <w:r w:rsidRPr="00207412">
        <w:rPr>
          <w:rFonts w:ascii="Times New Roman" w:hAnsi="Times New Roman"/>
          <w:sz w:val="24"/>
        </w:rPr>
        <w:t>Všeobecné poznámky</w:t>
      </w:r>
      <w:bookmarkEnd w:id="80"/>
      <w:bookmarkEnd w:id="81"/>
      <w:bookmarkEnd w:id="82"/>
      <w:bookmarkEnd w:id="83"/>
      <w:bookmarkEnd w:id="84"/>
      <w:bookmarkEnd w:id="85"/>
      <w:bookmarkEnd w:id="86"/>
    </w:p>
    <w:p w14:paraId="6E7E4803" w14:textId="042FB922" w:rsidR="00C55547" w:rsidRPr="00207412" w:rsidRDefault="00C55547" w:rsidP="00E172EA">
      <w:pPr>
        <w:pStyle w:val="InstructionsText2"/>
        <w:numPr>
          <w:ilvl w:val="0"/>
          <w:numId w:val="29"/>
        </w:numPr>
        <w:suppressAutoHyphens/>
      </w:pPr>
      <w:bookmarkStart w:id="87" w:name="_Toc294172375"/>
      <w:bookmarkStart w:id="88" w:name="_Toc295830004"/>
      <w:bookmarkStart w:id="89" w:name="_Toc308426681"/>
      <w:bookmarkStart w:id="90" w:name="_Toc310415065"/>
      <w:bookmarkStart w:id="91" w:name="_Toc360188400"/>
      <w:bookmarkStart w:id="92" w:name="_Toc473561040"/>
      <w:r w:rsidRPr="00207412">
        <w:t>V tomto vzore sa požadujú informácie</w:t>
      </w:r>
      <w:r w:rsidR="00207412">
        <w:t xml:space="preserve"> o </w:t>
      </w:r>
      <w:r w:rsidRPr="00207412">
        <w:t>pozíciách korelačného obchodného portfólia [CTP, ktoré obsahuje sekuritizácie, kreditné deriváty pre n-té zlyhanie</w:t>
      </w:r>
      <w:r w:rsidR="00207412">
        <w:t xml:space="preserve"> a </w:t>
      </w:r>
      <w:r w:rsidRPr="00207412">
        <w:t>iné pozície korelačného obchodného portfólia zahrnuté</w:t>
      </w:r>
      <w:r w:rsidR="00207412">
        <w:t xml:space="preserve"> v </w:t>
      </w:r>
      <w:r w:rsidRPr="00207412">
        <w:t>súlade</w:t>
      </w:r>
      <w:r w:rsidR="00207412">
        <w:t xml:space="preserve"> s </w:t>
      </w:r>
      <w:r w:rsidRPr="00207412">
        <w:t xml:space="preserve">článkom 338 ods. 3 nariadenia (EÚ) </w:t>
      </w:r>
      <w:r w:rsidR="00207412">
        <w:t>č. </w:t>
      </w:r>
      <w:r w:rsidRPr="00207412">
        <w:t>575/2013]</w:t>
      </w:r>
      <w:r w:rsidR="00207412">
        <w:t xml:space="preserve"> a </w:t>
      </w:r>
      <w:r w:rsidRPr="00207412">
        <w:t>zodpovedajúcich požiadavkách na vlastné zdroje</w:t>
      </w:r>
      <w:r w:rsidR="00207412">
        <w:t xml:space="preserve"> v </w:t>
      </w:r>
      <w:r w:rsidRPr="00207412">
        <w:t>rámci štandardizovaného prístupu.</w:t>
      </w:r>
    </w:p>
    <w:p w14:paraId="7D9D9B10" w14:textId="3A1ED1AB" w:rsidR="00C55547" w:rsidRPr="00207412" w:rsidRDefault="00C55547" w:rsidP="00E172EA">
      <w:pPr>
        <w:pStyle w:val="InstructionsText2"/>
        <w:numPr>
          <w:ilvl w:val="0"/>
          <w:numId w:val="29"/>
        </w:numPr>
        <w:suppressAutoHyphens/>
      </w:pPr>
      <w:r w:rsidRPr="00207412">
        <w:t>Vo vzore MKR SA CTP sa požiadavka na vlastné zdroje určuje len pre špecifické riziko pozícií zaradených do korelačného obchodného portfólia</w:t>
      </w:r>
      <w:r w:rsidR="00207412">
        <w:t xml:space="preserve"> v </w:t>
      </w:r>
      <w:r w:rsidRPr="00207412">
        <w:t>súlade</w:t>
      </w:r>
      <w:r w:rsidR="00207412">
        <w:t xml:space="preserve"> s </w:t>
      </w:r>
      <w:r w:rsidRPr="00207412">
        <w:t xml:space="preserve">článkom 335 nariadenia (EÚ) </w:t>
      </w:r>
      <w:r w:rsidR="00207412">
        <w:t>č. </w:t>
      </w:r>
      <w:r w:rsidRPr="00207412">
        <w:t>575/2013</w:t>
      </w:r>
      <w:r w:rsidR="00207412">
        <w:t xml:space="preserve"> v </w:t>
      </w:r>
      <w:r w:rsidRPr="00207412">
        <w:t>spojení</w:t>
      </w:r>
      <w:r w:rsidR="00207412">
        <w:t xml:space="preserve"> s </w:t>
      </w:r>
      <w:r w:rsidRPr="00207412">
        <w:t>článkom 338 ods. 2</w:t>
      </w:r>
      <w:r w:rsidR="00207412">
        <w:t xml:space="preserve"> a </w:t>
      </w:r>
      <w:r w:rsidRPr="00207412">
        <w:t xml:space="preserve">3 </w:t>
      </w:r>
      <w:r w:rsidRPr="00207412">
        <w:lastRenderedPageBreak/>
        <w:t>uvedeného nariadenia. Keď sa pozície korelačného obchodného portfólia obchodnej knihy hedžujú kreditnými derivátmi, uplatňujú sa články 346</w:t>
      </w:r>
      <w:r w:rsidR="00207412">
        <w:t xml:space="preserve"> a </w:t>
      </w:r>
      <w:r w:rsidRPr="00207412">
        <w:t xml:space="preserve">347 nariadenia (EÚ) </w:t>
      </w:r>
      <w:r w:rsidR="00207412">
        <w:t>č. </w:t>
      </w:r>
      <w:r w:rsidRPr="00207412">
        <w:t>575/2013. Existuje len jeden vzor pre všetky pozície korelačného obchodného portfólia bez ohľadu na prístup, ktorý investičné spoločnosti uplatňujú na určenie rizikovej váhy každej</w:t>
      </w:r>
      <w:r w:rsidR="00207412">
        <w:t xml:space="preserve"> z </w:t>
      </w:r>
      <w:r w:rsidRPr="00207412">
        <w:t>pozícií</w:t>
      </w:r>
      <w:r w:rsidR="00207412">
        <w:t xml:space="preserve"> v </w:t>
      </w:r>
      <w:r w:rsidRPr="00207412">
        <w:t>súlade</w:t>
      </w:r>
      <w:r w:rsidR="00207412">
        <w:t xml:space="preserve"> s </w:t>
      </w:r>
      <w:r w:rsidRPr="00207412">
        <w:t xml:space="preserve">treťou časťou hlavou II kapitolou 5 nariadenia (EÚ) </w:t>
      </w:r>
      <w:r w:rsidR="00207412">
        <w:t>č. </w:t>
      </w:r>
      <w:r w:rsidRPr="00207412">
        <w:t>575/2013. Požiadavky na vlastné zdroje pre všeobecné riziko uvedených pozícií sa vykazujú vo vzore MKR SA TDI alebo vo vzore MKR IM.</w:t>
      </w:r>
    </w:p>
    <w:p w14:paraId="1CFF3C2B" w14:textId="00FF6D44" w:rsidR="00207412" w:rsidRDefault="00C55547" w:rsidP="00E172EA">
      <w:pPr>
        <w:pStyle w:val="InstructionsText2"/>
        <w:numPr>
          <w:ilvl w:val="0"/>
          <w:numId w:val="29"/>
        </w:numPr>
        <w:suppressAutoHyphens/>
      </w:pPr>
      <w:r w:rsidRPr="00207412">
        <w:t>V rámci tohto vzoru sa rozdeľujú sekuritizačné pozície, kreditné deriváty pre n-té zlyhanie</w:t>
      </w:r>
      <w:r w:rsidR="00207412">
        <w:t xml:space="preserve"> a </w:t>
      </w:r>
      <w:r w:rsidRPr="00207412">
        <w:t>iné pozície korelačného obchodného portfólia. Sekuritizačné pozície sa vykazujú vždy</w:t>
      </w:r>
      <w:r w:rsidR="00207412">
        <w:t xml:space="preserve"> v </w:t>
      </w:r>
      <w:r w:rsidRPr="00207412">
        <w:t>riadku 0030, 0060 alebo 0090 (v závislosti od úlohy inštitúcie</w:t>
      </w:r>
      <w:r w:rsidR="00207412">
        <w:t xml:space="preserve"> v </w:t>
      </w:r>
      <w:r w:rsidRPr="00207412">
        <w:t>sekuritizácii). Kreditné deriváty pre n-té zlyhanie sa vykazujú vždy</w:t>
      </w:r>
      <w:r w:rsidR="00207412">
        <w:t xml:space="preserve"> v </w:t>
      </w:r>
      <w:r w:rsidRPr="00207412">
        <w:t xml:space="preserve">riadku 0110. „Iné pozície korelačného obchodného portfólia“ sú pozície, ktoré nie sú sekuritizačnými pozíciami ani kreditnými derivátmi pre n-té zlyhanie [pozri článok 338 ods. 3 nariadenia (EÚ) </w:t>
      </w:r>
      <w:r w:rsidR="00207412">
        <w:t>č. </w:t>
      </w:r>
      <w:r w:rsidRPr="00207412">
        <w:t>575/2013], ale sú výslovne „spojené“</w:t>
      </w:r>
      <w:r w:rsidR="00207412">
        <w:t xml:space="preserve"> s </w:t>
      </w:r>
      <w:r w:rsidRPr="00207412">
        <w:t>jednou</w:t>
      </w:r>
      <w:r w:rsidR="00207412">
        <w:t xml:space="preserve"> z </w:t>
      </w:r>
      <w:r w:rsidRPr="00207412">
        <w:t>týchto dvoch pozícií (na základe zámeru hedžingu)</w:t>
      </w:r>
      <w:r w:rsidR="00207412">
        <w:t>.</w:t>
      </w:r>
    </w:p>
    <w:p w14:paraId="5B5B9C2A" w14:textId="0695A726" w:rsidR="00C55547" w:rsidRPr="00207412" w:rsidRDefault="00C55547" w:rsidP="00E172EA">
      <w:pPr>
        <w:pStyle w:val="InstructionsText2"/>
        <w:numPr>
          <w:ilvl w:val="0"/>
          <w:numId w:val="29"/>
        </w:numPr>
        <w:suppressAutoHyphens/>
      </w:pPr>
      <w:r w:rsidRPr="00207412">
        <w:t>Pozície, ktoré dostanú rizikovú váhu 1 250</w:t>
      </w:r>
      <w:r w:rsidR="00207412">
        <w:t> %</w:t>
      </w:r>
      <w:r w:rsidRPr="00207412">
        <w:t>, možno alternatívne odpočítať od CET1 [pozri článok 244 ods. 1 písm. b), článok 245 ods. 1 písm. b)</w:t>
      </w:r>
      <w:r w:rsidR="00207412">
        <w:t xml:space="preserve"> a </w:t>
      </w:r>
      <w:r w:rsidRPr="00207412">
        <w:t xml:space="preserve">článok 253 nariadenia (EÚ) </w:t>
      </w:r>
      <w:r w:rsidR="00207412">
        <w:t>č. </w:t>
      </w:r>
      <w:r w:rsidRPr="00207412">
        <w:t>575/2013]. Tieto pozície sa vykazujú</w:t>
      </w:r>
      <w:r w:rsidR="00207412">
        <w:t xml:space="preserve"> v </w:t>
      </w:r>
      <w:r w:rsidRPr="00207412">
        <w:t>tomto vzore, aj keď inštitúcia využíva možnosť odpočítania.</w:t>
      </w:r>
    </w:p>
    <w:p w14:paraId="6482CB53" w14:textId="4A90E23B" w:rsidR="000B0B09" w:rsidRPr="0020741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3" w:name="_Toc210895528"/>
      <w:r w:rsidRPr="00207412">
        <w:rPr>
          <w:rFonts w:ascii="Times New Roman" w:hAnsi="Times New Roman"/>
          <w:sz w:val="24"/>
          <w:u w:val="none"/>
        </w:rPr>
        <w:t>4.2.</w:t>
      </w:r>
      <w:r w:rsidRPr="00207412">
        <w:rPr>
          <w:u w:val="none"/>
        </w:rPr>
        <w:tab/>
      </w:r>
      <w:r w:rsidRPr="00207412">
        <w:rPr>
          <w:rFonts w:ascii="Times New Roman" w:hAnsi="Times New Roman"/>
          <w:sz w:val="24"/>
        </w:rPr>
        <w:t>Pokyny týkajúce sa konkrétnych pozícií</w:t>
      </w:r>
      <w:bookmarkEnd w:id="87"/>
      <w:bookmarkEnd w:id="88"/>
      <w:bookmarkEnd w:id="89"/>
      <w:bookmarkEnd w:id="90"/>
      <w:bookmarkEnd w:id="91"/>
      <w:bookmarkEnd w:id="92"/>
      <w:bookmarkEnd w:id="93"/>
    </w:p>
    <w:p w14:paraId="08BF27B7"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207412" w14:paraId="05BDB97B" w14:textId="77777777" w:rsidTr="00E10B85">
        <w:trPr>
          <w:trHeight w:val="602"/>
        </w:trPr>
        <w:tc>
          <w:tcPr>
            <w:tcW w:w="8890" w:type="dxa"/>
            <w:gridSpan w:val="2"/>
            <w:shd w:val="clear" w:color="auto" w:fill="CCCCCC"/>
          </w:tcPr>
          <w:p w14:paraId="286354EC" w14:textId="77777777" w:rsidR="00C55547" w:rsidRPr="00207412" w:rsidRDefault="00C55547" w:rsidP="004C445F">
            <w:pPr>
              <w:suppressAutoHyphens/>
              <w:autoSpaceDE w:val="0"/>
              <w:autoSpaceDN w:val="0"/>
              <w:adjustRightInd w:val="0"/>
              <w:spacing w:after="0"/>
              <w:rPr>
                <w:rFonts w:ascii="Times New Roman" w:hAnsi="Times New Roman"/>
                <w:b/>
                <w:sz w:val="24"/>
              </w:rPr>
            </w:pPr>
            <w:r w:rsidRPr="00207412">
              <w:rPr>
                <w:rFonts w:ascii="Times New Roman" w:hAnsi="Times New Roman"/>
                <w:b/>
                <w:sz w:val="24"/>
              </w:rPr>
              <w:t>Stĺpce</w:t>
            </w:r>
          </w:p>
        </w:tc>
      </w:tr>
      <w:tr w:rsidR="00C55547" w:rsidRPr="00207412" w14:paraId="697D3EB6" w14:textId="77777777" w:rsidTr="00E10B85">
        <w:tc>
          <w:tcPr>
            <w:tcW w:w="1016" w:type="dxa"/>
          </w:tcPr>
          <w:p w14:paraId="5A814BB2" w14:textId="77777777" w:rsidR="00C55547"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0010 – 0020</w:t>
            </w:r>
          </w:p>
        </w:tc>
        <w:tc>
          <w:tcPr>
            <w:tcW w:w="7874" w:type="dxa"/>
          </w:tcPr>
          <w:p w14:paraId="2D41C55B" w14:textId="7777777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VŠETKY POZÍCIE (DLHÉ A KRÁTKE)</w:t>
            </w:r>
          </w:p>
          <w:p w14:paraId="4F3CF7CB" w14:textId="1C064A1E" w:rsidR="005C14B0" w:rsidRPr="00207412" w:rsidRDefault="00C55547" w:rsidP="004C445F">
            <w:pPr>
              <w:suppressAutoHyphens/>
              <w:rPr>
                <w:rFonts w:ascii="Times New Roman" w:hAnsi="Times New Roman"/>
                <w:sz w:val="24"/>
              </w:rPr>
            </w:pPr>
            <w:r w:rsidRPr="00207412">
              <w:rPr>
                <w:rFonts w:ascii="Times New Roman" w:hAnsi="Times New Roman"/>
                <w:sz w:val="24"/>
              </w:rPr>
              <w:t>Článok 102</w:t>
            </w:r>
            <w:r w:rsidR="00207412">
              <w:rPr>
                <w:rFonts w:ascii="Times New Roman" w:hAnsi="Times New Roman"/>
                <w:sz w:val="24"/>
              </w:rPr>
              <w:t xml:space="preserve"> a </w:t>
            </w:r>
            <w:r w:rsidRPr="00207412">
              <w:rPr>
                <w:rFonts w:ascii="Times New Roman" w:hAnsi="Times New Roman"/>
                <w:sz w:val="24"/>
              </w:rPr>
              <w:t xml:space="preserve">článok 105 ods. 1 nariadenia (EÚ) </w:t>
            </w:r>
            <w:r w:rsidR="00207412">
              <w:rPr>
                <w:rFonts w:ascii="Times New Roman" w:hAnsi="Times New Roman"/>
                <w:sz w:val="24"/>
              </w:rPr>
              <w:t>č. </w:t>
            </w:r>
            <w:r w:rsidRPr="00207412">
              <w:rPr>
                <w:rFonts w:ascii="Times New Roman" w:hAnsi="Times New Roman"/>
                <w:sz w:val="24"/>
              </w:rPr>
              <w:t>575/2013</w:t>
            </w:r>
            <w:r w:rsidR="00207412">
              <w:rPr>
                <w:rFonts w:ascii="Times New Roman" w:hAnsi="Times New Roman"/>
                <w:sz w:val="24"/>
              </w:rPr>
              <w:t xml:space="preserve"> v </w:t>
            </w:r>
            <w:r w:rsidRPr="00207412">
              <w:rPr>
                <w:rFonts w:ascii="Times New Roman" w:hAnsi="Times New Roman"/>
                <w:sz w:val="24"/>
              </w:rPr>
              <w:t>spojení</w:t>
            </w:r>
            <w:r w:rsidR="00207412">
              <w:rPr>
                <w:rFonts w:ascii="Times New Roman" w:hAnsi="Times New Roman"/>
                <w:sz w:val="24"/>
              </w:rPr>
              <w:t xml:space="preserve"> s </w:t>
            </w:r>
            <w:r w:rsidRPr="00207412">
              <w:rPr>
                <w:rFonts w:ascii="Times New Roman" w:hAnsi="Times New Roman"/>
                <w:sz w:val="24"/>
              </w:rPr>
              <w:t>článkom 338 ods. 2</w:t>
            </w:r>
            <w:r w:rsidR="00207412">
              <w:rPr>
                <w:rFonts w:ascii="Times New Roman" w:hAnsi="Times New Roman"/>
                <w:sz w:val="24"/>
              </w:rPr>
              <w:t xml:space="preserve"> a </w:t>
            </w:r>
            <w:r w:rsidRPr="00207412">
              <w:rPr>
                <w:rFonts w:ascii="Times New Roman" w:hAnsi="Times New Roman"/>
                <w:sz w:val="24"/>
              </w:rPr>
              <w:t>3 uvedeného nariadenia (pozície zaradené do korelačného obchodného portfólia)</w:t>
            </w:r>
          </w:p>
          <w:p w14:paraId="70FB0860" w14:textId="5D9CC767" w:rsidR="00C55547" w:rsidRPr="00207412" w:rsidRDefault="00C55547" w:rsidP="004C445F">
            <w:pPr>
              <w:suppressAutoHyphens/>
              <w:rPr>
                <w:rFonts w:ascii="Times New Roman" w:hAnsi="Times New Roman"/>
                <w:sz w:val="24"/>
              </w:rPr>
            </w:pPr>
            <w:r w:rsidRPr="00207412">
              <w:rPr>
                <w:rFonts w:ascii="Times New Roman" w:hAnsi="Times New Roman"/>
                <w:sz w:val="24"/>
              </w:rPr>
              <w:t>Pokiaľ ide</w:t>
            </w:r>
            <w:r w:rsidR="00207412">
              <w:rPr>
                <w:rFonts w:ascii="Times New Roman" w:hAnsi="Times New Roman"/>
                <w:sz w:val="24"/>
              </w:rPr>
              <w:t xml:space="preserve"> o </w:t>
            </w:r>
            <w:r w:rsidRPr="00207412">
              <w:rPr>
                <w:rFonts w:ascii="Times New Roman" w:hAnsi="Times New Roman"/>
                <w:sz w:val="24"/>
              </w:rPr>
              <w:t>rozdiel medzi dlhými</w:t>
            </w:r>
            <w:r w:rsidR="00207412">
              <w:rPr>
                <w:rFonts w:ascii="Times New Roman" w:hAnsi="Times New Roman"/>
                <w:sz w:val="24"/>
              </w:rPr>
              <w:t xml:space="preserve"> a </w:t>
            </w:r>
            <w:r w:rsidRPr="00207412">
              <w:rPr>
                <w:rFonts w:ascii="Times New Roman" w:hAnsi="Times New Roman"/>
                <w:sz w:val="24"/>
              </w:rPr>
              <w:t xml:space="preserve">krátkymi pozíciami, ktorý sa uplatňuje aj na tieto hrubé pozície, pozri článok 328 ods. 2 nariadenia (EÚ) </w:t>
            </w:r>
            <w:r w:rsidR="00207412">
              <w:rPr>
                <w:rFonts w:ascii="Times New Roman" w:hAnsi="Times New Roman"/>
                <w:sz w:val="24"/>
              </w:rPr>
              <w:t>č. </w:t>
            </w:r>
            <w:r w:rsidRPr="00207412">
              <w:rPr>
                <w:rFonts w:ascii="Times New Roman" w:hAnsi="Times New Roman"/>
                <w:sz w:val="24"/>
              </w:rPr>
              <w:t>575/2013.</w:t>
            </w:r>
          </w:p>
        </w:tc>
      </w:tr>
      <w:tr w:rsidR="00C55547" w:rsidRPr="00207412" w14:paraId="3641769F" w14:textId="77777777" w:rsidTr="00E10B85">
        <w:tc>
          <w:tcPr>
            <w:tcW w:w="1016" w:type="dxa"/>
          </w:tcPr>
          <w:p w14:paraId="04DBC56E" w14:textId="77777777" w:rsidR="00C55547"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0030 – 0040</w:t>
            </w:r>
          </w:p>
        </w:tc>
        <w:tc>
          <w:tcPr>
            <w:tcW w:w="7874" w:type="dxa"/>
          </w:tcPr>
          <w:p w14:paraId="7E31C35B" w14:textId="7777777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 POZÍCIE ODPOČÍTANÉ OD VLASTNÝCH ZDROJOV (DLHÉ A KRÁTKE)</w:t>
            </w:r>
          </w:p>
          <w:p w14:paraId="56207551" w14:textId="602DAE86" w:rsidR="00C55547" w:rsidRPr="00207412" w:rsidRDefault="00C55547" w:rsidP="004C445F">
            <w:pPr>
              <w:suppressAutoHyphens/>
              <w:rPr>
                <w:rFonts w:ascii="Times New Roman" w:hAnsi="Times New Roman"/>
                <w:sz w:val="24"/>
              </w:rPr>
            </w:pPr>
            <w:r w:rsidRPr="00207412">
              <w:rPr>
                <w:rFonts w:ascii="Times New Roman" w:hAnsi="Times New Roman"/>
                <w:sz w:val="24"/>
              </w:rPr>
              <w:t xml:space="preserve">Článok 253 nariadenia (EÚ) </w:t>
            </w:r>
            <w:r w:rsidR="00207412">
              <w:rPr>
                <w:rFonts w:ascii="Times New Roman" w:hAnsi="Times New Roman"/>
                <w:sz w:val="24"/>
              </w:rPr>
              <w:t>č. </w:t>
            </w:r>
            <w:r w:rsidRPr="00207412">
              <w:rPr>
                <w:rFonts w:ascii="Times New Roman" w:hAnsi="Times New Roman"/>
                <w:sz w:val="24"/>
              </w:rPr>
              <w:t xml:space="preserve">575/2013 </w:t>
            </w:r>
          </w:p>
        </w:tc>
      </w:tr>
      <w:tr w:rsidR="00C55547" w:rsidRPr="00207412" w14:paraId="6E312180" w14:textId="77777777" w:rsidTr="00E10B85">
        <w:tc>
          <w:tcPr>
            <w:tcW w:w="1016" w:type="dxa"/>
          </w:tcPr>
          <w:p w14:paraId="08709592" w14:textId="77777777" w:rsidR="00C55547"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0050 – 0060</w:t>
            </w:r>
          </w:p>
        </w:tc>
        <w:tc>
          <w:tcPr>
            <w:tcW w:w="7874" w:type="dxa"/>
          </w:tcPr>
          <w:p w14:paraId="6226B36A" w14:textId="7777777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ČISTÉ POZÍCIE (DLHÉ A KRÁTKE)</w:t>
            </w:r>
          </w:p>
          <w:p w14:paraId="0E0F354A" w14:textId="6D0EA253" w:rsidR="00207412" w:rsidRDefault="00C55547" w:rsidP="004C445F">
            <w:pPr>
              <w:suppressAutoHyphens/>
              <w:rPr>
                <w:rFonts w:ascii="Times New Roman" w:hAnsi="Times New Roman"/>
                <w:sz w:val="24"/>
              </w:rPr>
            </w:pPr>
            <w:r w:rsidRPr="00207412">
              <w:rPr>
                <w:rFonts w:ascii="Times New Roman" w:hAnsi="Times New Roman"/>
                <w:sz w:val="24"/>
              </w:rPr>
              <w:t>Články 327, 328, 329</w:t>
            </w:r>
            <w:r w:rsidR="00207412">
              <w:rPr>
                <w:rFonts w:ascii="Times New Roman" w:hAnsi="Times New Roman"/>
                <w:sz w:val="24"/>
              </w:rPr>
              <w:t xml:space="preserve"> a </w:t>
            </w:r>
            <w:r w:rsidRPr="00207412">
              <w:rPr>
                <w:rFonts w:ascii="Times New Roman" w:hAnsi="Times New Roman"/>
                <w:sz w:val="24"/>
              </w:rPr>
              <w:t xml:space="preserve">334 nariadenia (EÚ) </w:t>
            </w:r>
            <w:r w:rsidR="00207412">
              <w:rPr>
                <w:rFonts w:ascii="Times New Roman" w:hAnsi="Times New Roman"/>
                <w:sz w:val="24"/>
              </w:rPr>
              <w:t>č. </w:t>
            </w:r>
            <w:r w:rsidRPr="00207412">
              <w:rPr>
                <w:rFonts w:ascii="Times New Roman" w:hAnsi="Times New Roman"/>
                <w:sz w:val="24"/>
              </w:rPr>
              <w:t>575/2013</w:t>
            </w:r>
          </w:p>
          <w:p w14:paraId="6C03F093" w14:textId="071364D0" w:rsidR="00C55547" w:rsidRPr="00207412" w:rsidRDefault="00C55547" w:rsidP="004C445F">
            <w:pPr>
              <w:suppressAutoHyphens/>
              <w:rPr>
                <w:rFonts w:ascii="Times New Roman" w:hAnsi="Times New Roman"/>
                <w:sz w:val="24"/>
              </w:rPr>
            </w:pPr>
            <w:r w:rsidRPr="00207412">
              <w:rPr>
                <w:rFonts w:ascii="Times New Roman" w:hAnsi="Times New Roman"/>
                <w:sz w:val="24"/>
              </w:rPr>
              <w:t>Pokiaľ ide</w:t>
            </w:r>
            <w:r w:rsidR="00207412">
              <w:rPr>
                <w:rFonts w:ascii="Times New Roman" w:hAnsi="Times New Roman"/>
                <w:sz w:val="24"/>
              </w:rPr>
              <w:t xml:space="preserve"> o </w:t>
            </w:r>
            <w:r w:rsidRPr="00207412">
              <w:rPr>
                <w:rFonts w:ascii="Times New Roman" w:hAnsi="Times New Roman"/>
                <w:sz w:val="24"/>
              </w:rPr>
              <w:t>rozdiel medzi dlhými</w:t>
            </w:r>
            <w:r w:rsidR="00207412">
              <w:rPr>
                <w:rFonts w:ascii="Times New Roman" w:hAnsi="Times New Roman"/>
                <w:sz w:val="24"/>
              </w:rPr>
              <w:t xml:space="preserve"> a </w:t>
            </w:r>
            <w:r w:rsidRPr="00207412">
              <w:rPr>
                <w:rFonts w:ascii="Times New Roman" w:hAnsi="Times New Roman"/>
                <w:sz w:val="24"/>
              </w:rPr>
              <w:t>krátkymi pozíciami, pozri článok 328 ods. 2 uvedeného nariadenia.</w:t>
            </w:r>
          </w:p>
        </w:tc>
      </w:tr>
      <w:tr w:rsidR="00C55547" w:rsidRPr="00207412" w14:paraId="6F83AB99" w14:textId="77777777" w:rsidTr="00E10B85">
        <w:tc>
          <w:tcPr>
            <w:tcW w:w="1016" w:type="dxa"/>
          </w:tcPr>
          <w:p w14:paraId="6DDF2435" w14:textId="77777777" w:rsidR="00C55547"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0071 – 0097</w:t>
            </w:r>
          </w:p>
        </w:tc>
        <w:tc>
          <w:tcPr>
            <w:tcW w:w="7874" w:type="dxa"/>
          </w:tcPr>
          <w:p w14:paraId="247CF712" w14:textId="7777777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ROZČLENENIE ČISTÝCH POZÍCIÍ PODĽA RIZIKOVÝCH VÁH</w:t>
            </w:r>
          </w:p>
          <w:p w14:paraId="691F4414" w14:textId="048E2824" w:rsidR="00C55547" w:rsidRPr="00207412" w:rsidRDefault="00133396" w:rsidP="004C445F">
            <w:pPr>
              <w:suppressAutoHyphens/>
              <w:rPr>
                <w:rFonts w:ascii="Times New Roman" w:hAnsi="Times New Roman"/>
                <w:sz w:val="24"/>
              </w:rPr>
            </w:pPr>
            <w:r w:rsidRPr="00207412">
              <w:rPr>
                <w:rStyle w:val="InstructionsTabelleText"/>
                <w:rFonts w:ascii="Times New Roman" w:hAnsi="Times New Roman"/>
                <w:sz w:val="24"/>
              </w:rPr>
              <w:t>Články 259 až 262, článok 263 tabuľky 1</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2, článok 264 tabuľky 3</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4</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článok 266</w:t>
            </w:r>
            <w:r w:rsidRPr="00207412">
              <w:rPr>
                <w:rFonts w:ascii="Times New Roman" w:hAnsi="Times New Roman"/>
                <w:sz w:val="24"/>
              </w:rPr>
              <w:t xml:space="preserve"> nariadenia (EÚ) </w:t>
            </w:r>
            <w:r w:rsidR="00207412">
              <w:rPr>
                <w:rFonts w:ascii="Times New Roman" w:hAnsi="Times New Roman"/>
                <w:sz w:val="24"/>
              </w:rPr>
              <w:t>č. </w:t>
            </w:r>
            <w:r w:rsidRPr="00207412">
              <w:rPr>
                <w:rFonts w:ascii="Times New Roman" w:hAnsi="Times New Roman"/>
                <w:sz w:val="24"/>
              </w:rPr>
              <w:t>575/2013</w:t>
            </w:r>
          </w:p>
        </w:tc>
      </w:tr>
      <w:tr w:rsidR="00C55547" w:rsidRPr="00207412" w14:paraId="495D2FD0" w14:textId="77777777" w:rsidTr="00E10B85">
        <w:tc>
          <w:tcPr>
            <w:tcW w:w="1016" w:type="dxa"/>
          </w:tcPr>
          <w:p w14:paraId="295B01D9" w14:textId="77777777" w:rsidR="00C55547" w:rsidRPr="00207412" w:rsidRDefault="002F79EA" w:rsidP="004C445F">
            <w:pPr>
              <w:suppressAutoHyphens/>
              <w:rPr>
                <w:rFonts w:ascii="Times New Roman" w:hAnsi="Times New Roman"/>
                <w:sz w:val="24"/>
              </w:rPr>
            </w:pPr>
            <w:r w:rsidRPr="00207412">
              <w:rPr>
                <w:rFonts w:ascii="Times New Roman" w:hAnsi="Times New Roman"/>
                <w:sz w:val="24"/>
              </w:rPr>
              <w:lastRenderedPageBreak/>
              <w:t>0402 – 0406</w:t>
            </w:r>
          </w:p>
        </w:tc>
        <w:tc>
          <w:tcPr>
            <w:tcW w:w="7874" w:type="dxa"/>
          </w:tcPr>
          <w:p w14:paraId="23629FA6" w14:textId="77777777" w:rsidR="00C55547" w:rsidRPr="00207412" w:rsidRDefault="00543964"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ROZČLENENIE ČISTÝCH POZÍCIÍ PODĽA PRÍSTUPOV</w:t>
            </w:r>
          </w:p>
          <w:p w14:paraId="19937787" w14:textId="7CE93618" w:rsidR="00C55547" w:rsidRPr="00207412" w:rsidRDefault="00C55547" w:rsidP="004C445F">
            <w:pPr>
              <w:suppressAutoHyphens/>
              <w:autoSpaceDE w:val="0"/>
              <w:autoSpaceDN w:val="0"/>
              <w:adjustRightInd w:val="0"/>
              <w:spacing w:before="0" w:after="0"/>
              <w:rPr>
                <w:rStyle w:val="InstructionsTabelleberschrift"/>
                <w:rFonts w:ascii="Times New Roman" w:hAnsi="Times New Roman"/>
                <w:sz w:val="24"/>
              </w:rPr>
            </w:pPr>
            <w:r w:rsidRPr="00207412">
              <w:rPr>
                <w:rStyle w:val="InstructionsTabelleText"/>
                <w:rFonts w:ascii="Times New Roman" w:hAnsi="Times New Roman"/>
                <w:sz w:val="24"/>
              </w:rPr>
              <w:t>Článok 254</w:t>
            </w:r>
            <w:r w:rsidRPr="00207412">
              <w:rPr>
                <w:rFonts w:ascii="Times New Roman" w:hAnsi="Times New Roman"/>
                <w:sz w:val="24"/>
              </w:rPr>
              <w:t xml:space="preserve"> nariadenia (EÚ) </w:t>
            </w:r>
            <w:r w:rsidR="00207412">
              <w:rPr>
                <w:rFonts w:ascii="Times New Roman" w:hAnsi="Times New Roman"/>
                <w:sz w:val="24"/>
              </w:rPr>
              <w:t>č. </w:t>
            </w:r>
            <w:r w:rsidRPr="00207412">
              <w:rPr>
                <w:rFonts w:ascii="Times New Roman" w:hAnsi="Times New Roman"/>
                <w:sz w:val="24"/>
              </w:rPr>
              <w:t>575/2013</w:t>
            </w:r>
            <w:r w:rsidRPr="00207412">
              <w:rPr>
                <w:rStyle w:val="InstructionsTabelleText"/>
                <w:rFonts w:ascii="Times New Roman" w:hAnsi="Times New Roman"/>
                <w:sz w:val="24"/>
              </w:rPr>
              <w:t xml:space="preserve"> </w:t>
            </w:r>
          </w:p>
        </w:tc>
      </w:tr>
      <w:tr w:rsidR="00C55547" w:rsidRPr="00207412" w14:paraId="18FE6247" w14:textId="77777777" w:rsidTr="00E10B85">
        <w:tc>
          <w:tcPr>
            <w:tcW w:w="1016" w:type="dxa"/>
          </w:tcPr>
          <w:p w14:paraId="17001A21" w14:textId="77777777" w:rsidR="00C55547" w:rsidRPr="00207412" w:rsidRDefault="002F79EA" w:rsidP="004C445F">
            <w:pPr>
              <w:suppressAutoHyphens/>
              <w:rPr>
                <w:rFonts w:ascii="Times New Roman" w:hAnsi="Times New Roman"/>
                <w:sz w:val="24"/>
              </w:rPr>
            </w:pPr>
            <w:r w:rsidRPr="00207412">
              <w:rPr>
                <w:rFonts w:ascii="Times New Roman" w:hAnsi="Times New Roman"/>
                <w:sz w:val="24"/>
              </w:rPr>
              <w:t>0402</w:t>
            </w:r>
          </w:p>
        </w:tc>
        <w:tc>
          <w:tcPr>
            <w:tcW w:w="7874" w:type="dxa"/>
          </w:tcPr>
          <w:p w14:paraId="79F7161D" w14:textId="77777777" w:rsidR="00C55547" w:rsidRPr="00207412" w:rsidRDefault="00C55547"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SEC-IRBA</w:t>
            </w:r>
          </w:p>
          <w:p w14:paraId="1718443C" w14:textId="706D714E" w:rsidR="00C55547" w:rsidRPr="00207412" w:rsidRDefault="00C55547" w:rsidP="004C445F">
            <w:pPr>
              <w:suppressAutoHyphens/>
              <w:autoSpaceDE w:val="0"/>
              <w:autoSpaceDN w:val="0"/>
              <w:adjustRightInd w:val="0"/>
              <w:jc w:val="left"/>
              <w:rPr>
                <w:rStyle w:val="InstructionsTabelleberschrift"/>
                <w:rFonts w:ascii="Times New Roman" w:hAnsi="Times New Roman"/>
                <w:sz w:val="24"/>
              </w:rPr>
            </w:pPr>
            <w:r w:rsidRPr="00207412">
              <w:rPr>
                <w:rStyle w:val="InstructionsTabelleText"/>
                <w:rFonts w:ascii="Times New Roman" w:hAnsi="Times New Roman"/>
                <w:sz w:val="24"/>
              </w:rPr>
              <w:t>Články 259</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260</w:t>
            </w:r>
            <w:r w:rsidRPr="00207412">
              <w:rPr>
                <w:rFonts w:ascii="Times New Roman" w:hAnsi="Times New Roman"/>
                <w:sz w:val="24"/>
              </w:rPr>
              <w:t xml:space="preserve"> nariadenia (EÚ) </w:t>
            </w:r>
            <w:r w:rsidR="00207412">
              <w:rPr>
                <w:rFonts w:ascii="Times New Roman" w:hAnsi="Times New Roman"/>
                <w:sz w:val="24"/>
              </w:rPr>
              <w:t>č. </w:t>
            </w:r>
            <w:r w:rsidRPr="00207412">
              <w:rPr>
                <w:rFonts w:ascii="Times New Roman" w:hAnsi="Times New Roman"/>
                <w:sz w:val="24"/>
              </w:rPr>
              <w:t>575/2013</w:t>
            </w:r>
          </w:p>
        </w:tc>
      </w:tr>
      <w:tr w:rsidR="00C55547" w:rsidRPr="00207412" w14:paraId="35656008" w14:textId="77777777" w:rsidTr="00E10B85">
        <w:tc>
          <w:tcPr>
            <w:tcW w:w="1016" w:type="dxa"/>
          </w:tcPr>
          <w:p w14:paraId="720D0546" w14:textId="77777777" w:rsidR="00C55547" w:rsidRPr="00207412" w:rsidRDefault="002F79EA" w:rsidP="004C445F">
            <w:pPr>
              <w:suppressAutoHyphens/>
              <w:rPr>
                <w:rFonts w:ascii="Times New Roman" w:hAnsi="Times New Roman"/>
                <w:sz w:val="24"/>
              </w:rPr>
            </w:pPr>
            <w:r w:rsidRPr="00207412">
              <w:rPr>
                <w:rFonts w:ascii="Times New Roman" w:hAnsi="Times New Roman"/>
                <w:sz w:val="24"/>
              </w:rPr>
              <w:t>0403</w:t>
            </w:r>
          </w:p>
        </w:tc>
        <w:tc>
          <w:tcPr>
            <w:tcW w:w="7874" w:type="dxa"/>
          </w:tcPr>
          <w:p w14:paraId="78903335" w14:textId="77777777" w:rsidR="00C55547" w:rsidRPr="00207412" w:rsidRDefault="00C55547"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SEC-SA</w:t>
            </w:r>
          </w:p>
          <w:p w14:paraId="4F095DEE" w14:textId="7B836C42" w:rsidR="00C55547" w:rsidRPr="00207412" w:rsidRDefault="00C55547" w:rsidP="004C445F">
            <w:pPr>
              <w:suppressAutoHyphens/>
              <w:autoSpaceDE w:val="0"/>
              <w:autoSpaceDN w:val="0"/>
              <w:adjustRightInd w:val="0"/>
              <w:jc w:val="left"/>
              <w:rPr>
                <w:rStyle w:val="InstructionsTabelleberschrift"/>
                <w:rFonts w:ascii="Times New Roman" w:hAnsi="Times New Roman"/>
                <w:sz w:val="24"/>
              </w:rPr>
            </w:pPr>
            <w:r w:rsidRPr="00207412">
              <w:rPr>
                <w:rStyle w:val="InstructionsTabelleText"/>
                <w:rFonts w:ascii="Times New Roman" w:hAnsi="Times New Roman"/>
                <w:sz w:val="24"/>
              </w:rPr>
              <w:t>Články 261</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262</w:t>
            </w:r>
            <w:r w:rsidRPr="00207412">
              <w:rPr>
                <w:rFonts w:ascii="Times New Roman" w:hAnsi="Times New Roman"/>
                <w:sz w:val="24"/>
              </w:rPr>
              <w:t xml:space="preserve"> nariadenia (EÚ) </w:t>
            </w:r>
            <w:r w:rsidR="00207412">
              <w:rPr>
                <w:rFonts w:ascii="Times New Roman" w:hAnsi="Times New Roman"/>
                <w:sz w:val="24"/>
              </w:rPr>
              <w:t>č. </w:t>
            </w:r>
            <w:r w:rsidRPr="00207412">
              <w:rPr>
                <w:rFonts w:ascii="Times New Roman" w:hAnsi="Times New Roman"/>
                <w:sz w:val="24"/>
              </w:rPr>
              <w:t>575/2013</w:t>
            </w:r>
          </w:p>
        </w:tc>
      </w:tr>
      <w:tr w:rsidR="00C55547" w:rsidRPr="00207412" w14:paraId="7B54B7CF" w14:textId="77777777" w:rsidTr="00E10B85">
        <w:tc>
          <w:tcPr>
            <w:tcW w:w="1016" w:type="dxa"/>
          </w:tcPr>
          <w:p w14:paraId="0D21F451" w14:textId="77777777" w:rsidR="00C55547" w:rsidRPr="00207412" w:rsidRDefault="002F79EA" w:rsidP="004C445F">
            <w:pPr>
              <w:suppressAutoHyphens/>
              <w:rPr>
                <w:rFonts w:ascii="Times New Roman" w:hAnsi="Times New Roman"/>
                <w:sz w:val="24"/>
              </w:rPr>
            </w:pPr>
            <w:r w:rsidRPr="00207412">
              <w:rPr>
                <w:rFonts w:ascii="Times New Roman" w:hAnsi="Times New Roman"/>
                <w:sz w:val="24"/>
              </w:rPr>
              <w:t>0404</w:t>
            </w:r>
          </w:p>
        </w:tc>
        <w:tc>
          <w:tcPr>
            <w:tcW w:w="7874" w:type="dxa"/>
          </w:tcPr>
          <w:p w14:paraId="6AA67FFF" w14:textId="77777777" w:rsidR="00C55547" w:rsidRPr="00207412" w:rsidRDefault="00C55547"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SEC-ERBA</w:t>
            </w:r>
          </w:p>
          <w:p w14:paraId="108938CD" w14:textId="6B4E0BDE" w:rsidR="00C55547" w:rsidRPr="00207412" w:rsidRDefault="00C55547" w:rsidP="004C445F">
            <w:pPr>
              <w:suppressAutoHyphens/>
              <w:autoSpaceDE w:val="0"/>
              <w:autoSpaceDN w:val="0"/>
              <w:adjustRightInd w:val="0"/>
              <w:jc w:val="left"/>
              <w:rPr>
                <w:rStyle w:val="InstructionsTabelleberschrift"/>
                <w:rFonts w:ascii="Times New Roman" w:hAnsi="Times New Roman"/>
                <w:sz w:val="24"/>
              </w:rPr>
            </w:pPr>
            <w:r w:rsidRPr="00207412">
              <w:rPr>
                <w:rStyle w:val="InstructionsTabelleText"/>
                <w:rFonts w:ascii="Times New Roman" w:hAnsi="Times New Roman"/>
                <w:sz w:val="24"/>
              </w:rPr>
              <w:t>Články 263</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264</w:t>
            </w:r>
            <w:r w:rsidRPr="00207412">
              <w:rPr>
                <w:rFonts w:ascii="Times New Roman" w:hAnsi="Times New Roman"/>
                <w:sz w:val="24"/>
              </w:rPr>
              <w:t xml:space="preserve"> nariadenia (EÚ) </w:t>
            </w:r>
            <w:r w:rsidR="00207412">
              <w:rPr>
                <w:rFonts w:ascii="Times New Roman" w:hAnsi="Times New Roman"/>
                <w:sz w:val="24"/>
              </w:rPr>
              <w:t>č. </w:t>
            </w:r>
            <w:r w:rsidRPr="00207412">
              <w:rPr>
                <w:rFonts w:ascii="Times New Roman" w:hAnsi="Times New Roman"/>
                <w:sz w:val="24"/>
              </w:rPr>
              <w:t>575/2013</w:t>
            </w:r>
          </w:p>
        </w:tc>
      </w:tr>
      <w:tr w:rsidR="00C55547" w:rsidRPr="00207412" w14:paraId="7979A32D" w14:textId="77777777" w:rsidTr="00E10B85">
        <w:tc>
          <w:tcPr>
            <w:tcW w:w="1016" w:type="dxa"/>
          </w:tcPr>
          <w:p w14:paraId="7C1C67E6" w14:textId="77777777" w:rsidR="00C55547" w:rsidRPr="00207412" w:rsidRDefault="002F79EA" w:rsidP="004C445F">
            <w:pPr>
              <w:suppressAutoHyphens/>
              <w:rPr>
                <w:rFonts w:ascii="Times New Roman" w:hAnsi="Times New Roman"/>
                <w:sz w:val="24"/>
              </w:rPr>
            </w:pPr>
            <w:r w:rsidRPr="00207412">
              <w:rPr>
                <w:rFonts w:ascii="Times New Roman" w:hAnsi="Times New Roman"/>
                <w:sz w:val="24"/>
              </w:rPr>
              <w:t>0405</w:t>
            </w:r>
          </w:p>
        </w:tc>
        <w:tc>
          <w:tcPr>
            <w:tcW w:w="7874" w:type="dxa"/>
          </w:tcPr>
          <w:p w14:paraId="68CACB61" w14:textId="77777777" w:rsidR="00C55547" w:rsidRPr="00207412" w:rsidRDefault="00C55547"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PRÍSTUP INTERNÉHO HODNOTENIA</w:t>
            </w:r>
          </w:p>
          <w:p w14:paraId="46E92693" w14:textId="6CECCEC4" w:rsidR="00C55547" w:rsidRPr="00207412" w:rsidRDefault="00C55547" w:rsidP="004C445F">
            <w:pPr>
              <w:suppressAutoHyphens/>
              <w:autoSpaceDE w:val="0"/>
              <w:autoSpaceDN w:val="0"/>
              <w:adjustRightInd w:val="0"/>
              <w:jc w:val="left"/>
              <w:rPr>
                <w:rStyle w:val="InstructionsTabelleberschrift"/>
                <w:rFonts w:ascii="Times New Roman" w:hAnsi="Times New Roman"/>
                <w:sz w:val="24"/>
              </w:rPr>
            </w:pPr>
            <w:r w:rsidRPr="00207412">
              <w:rPr>
                <w:rStyle w:val="InstructionsTabelleText"/>
                <w:rFonts w:ascii="Times New Roman" w:hAnsi="Times New Roman"/>
                <w:sz w:val="24"/>
              </w:rPr>
              <w:t>Články 254</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265</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článok 266 ods. 5</w:t>
            </w:r>
            <w:r w:rsidRPr="00207412">
              <w:rPr>
                <w:rFonts w:ascii="Times New Roman" w:hAnsi="Times New Roman"/>
                <w:sz w:val="24"/>
              </w:rPr>
              <w:t xml:space="preserve"> nariadenia (EÚ) </w:t>
            </w:r>
            <w:r w:rsidR="00207412">
              <w:rPr>
                <w:rFonts w:ascii="Times New Roman" w:hAnsi="Times New Roman"/>
                <w:sz w:val="24"/>
              </w:rPr>
              <w:t>č. </w:t>
            </w:r>
            <w:r w:rsidRPr="00207412">
              <w:rPr>
                <w:rFonts w:ascii="Times New Roman" w:hAnsi="Times New Roman"/>
                <w:sz w:val="24"/>
              </w:rPr>
              <w:t>575/2013</w:t>
            </w:r>
          </w:p>
        </w:tc>
      </w:tr>
      <w:tr w:rsidR="00A97C62" w:rsidRPr="00207412" w14:paraId="412C0D2A" w14:textId="77777777" w:rsidTr="00E10B85">
        <w:tc>
          <w:tcPr>
            <w:tcW w:w="1016" w:type="dxa"/>
          </w:tcPr>
          <w:p w14:paraId="184EAC6C" w14:textId="26696219" w:rsidR="00A97C62" w:rsidRPr="00207412" w:rsidRDefault="00A97C62" w:rsidP="004C445F">
            <w:pPr>
              <w:suppressAutoHyphens/>
              <w:rPr>
                <w:rFonts w:ascii="Times New Roman" w:hAnsi="Times New Roman"/>
                <w:sz w:val="24"/>
              </w:rPr>
            </w:pPr>
            <w:r w:rsidRPr="00207412">
              <w:rPr>
                <w:rFonts w:ascii="Times New Roman" w:hAnsi="Times New Roman"/>
                <w:sz w:val="24"/>
              </w:rPr>
              <w:t>0900</w:t>
            </w:r>
          </w:p>
        </w:tc>
        <w:tc>
          <w:tcPr>
            <w:tcW w:w="7874" w:type="dxa"/>
          </w:tcPr>
          <w:p w14:paraId="33E51780" w14:textId="77777777" w:rsidR="00A97C62" w:rsidRPr="00207412" w:rsidRDefault="00A97C62" w:rsidP="004C445F">
            <w:pPr>
              <w:suppressAutoHyphens/>
              <w:spacing w:before="0" w:after="0"/>
              <w:jc w:val="left"/>
              <w:rPr>
                <w:rFonts w:ascii="Times New Roman" w:hAnsi="Times New Roman"/>
                <w:b/>
                <w:sz w:val="24"/>
                <w:u w:val="single"/>
              </w:rPr>
            </w:pPr>
            <w:r w:rsidRPr="00207412">
              <w:rPr>
                <w:rFonts w:ascii="Times New Roman" w:hAnsi="Times New Roman"/>
                <w:b/>
                <w:sz w:val="24"/>
                <w:u w:val="single"/>
              </w:rPr>
              <w:t>OSOBITNÉ ZAOBCHÁDZANIE PRE NADRIADENÉ TRANŽE KVALIFIKOVANÝCH SEKURITIZÁCIÍ PROBLÉMOVÝCH EXPOZÍCIÍ</w:t>
            </w:r>
          </w:p>
          <w:p w14:paraId="1D397AE3" w14:textId="4EE3D102" w:rsidR="00A97C62" w:rsidRPr="00207412" w:rsidRDefault="00A97C62" w:rsidP="004C445F">
            <w:pPr>
              <w:suppressAutoHyphens/>
              <w:autoSpaceDE w:val="0"/>
              <w:autoSpaceDN w:val="0"/>
              <w:adjustRightInd w:val="0"/>
              <w:jc w:val="left"/>
              <w:rPr>
                <w:rFonts w:ascii="Times New Roman" w:hAnsi="Times New Roman"/>
                <w:b/>
                <w:bCs/>
                <w:sz w:val="24"/>
                <w:u w:val="single"/>
              </w:rPr>
            </w:pPr>
            <w:r w:rsidRPr="00207412">
              <w:rPr>
                <w:rFonts w:ascii="Times New Roman" w:hAnsi="Times New Roman"/>
                <w:sz w:val="24"/>
              </w:rPr>
              <w:t>Článok </w:t>
            </w:r>
            <w:r w:rsidRPr="00207412">
              <w:rPr>
                <w:rStyle w:val="InstructionsTabelleText"/>
                <w:rFonts w:ascii="Times New Roman" w:hAnsi="Times New Roman"/>
                <w:sz w:val="24"/>
              </w:rPr>
              <w:t>269a</w:t>
            </w:r>
            <w:r w:rsidRPr="00207412">
              <w:rPr>
                <w:rFonts w:ascii="Times New Roman" w:hAnsi="Times New Roman"/>
                <w:sz w:val="24"/>
              </w:rPr>
              <w:t xml:space="preserve"> ods. 3 nariadenia (EÚ) </w:t>
            </w:r>
            <w:r w:rsidR="00207412">
              <w:rPr>
                <w:rFonts w:ascii="Times New Roman" w:hAnsi="Times New Roman"/>
                <w:sz w:val="24"/>
              </w:rPr>
              <w:t>č. </w:t>
            </w:r>
            <w:r w:rsidRPr="00207412">
              <w:rPr>
                <w:rFonts w:ascii="Times New Roman" w:hAnsi="Times New Roman"/>
                <w:sz w:val="24"/>
              </w:rPr>
              <w:t>575/2013</w:t>
            </w:r>
          </w:p>
        </w:tc>
      </w:tr>
      <w:tr w:rsidR="00C55547" w:rsidRPr="00207412" w14:paraId="5C0D49CC" w14:textId="77777777" w:rsidTr="00E10B85">
        <w:tc>
          <w:tcPr>
            <w:tcW w:w="1016" w:type="dxa"/>
          </w:tcPr>
          <w:p w14:paraId="4A75E404" w14:textId="77777777" w:rsidR="00C55547" w:rsidRPr="00207412" w:rsidRDefault="002F79EA" w:rsidP="004C445F">
            <w:pPr>
              <w:suppressAutoHyphens/>
              <w:rPr>
                <w:rFonts w:ascii="Times New Roman" w:hAnsi="Times New Roman"/>
                <w:sz w:val="24"/>
              </w:rPr>
            </w:pPr>
            <w:r w:rsidRPr="00207412">
              <w:rPr>
                <w:rFonts w:ascii="Times New Roman" w:hAnsi="Times New Roman"/>
                <w:sz w:val="24"/>
              </w:rPr>
              <w:t>0406</w:t>
            </w:r>
          </w:p>
        </w:tc>
        <w:tc>
          <w:tcPr>
            <w:tcW w:w="7874" w:type="dxa"/>
          </w:tcPr>
          <w:p w14:paraId="27B9523C" w14:textId="64FCB195" w:rsidR="00C55547" w:rsidRPr="00207412" w:rsidRDefault="00C55547"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INÉ (RW = 1 250</w:t>
            </w:r>
            <w:r w:rsidR="00207412">
              <w:t> %</w:t>
            </w:r>
            <w:r w:rsidRPr="00207412">
              <w:rPr>
                <w:rFonts w:ascii="Times New Roman" w:hAnsi="Times New Roman"/>
                <w:b/>
                <w:sz w:val="24"/>
                <w:u w:val="single"/>
              </w:rPr>
              <w:t>)</w:t>
            </w:r>
          </w:p>
          <w:p w14:paraId="0B94870A" w14:textId="75A4FD3B" w:rsidR="00C55547" w:rsidRPr="00207412" w:rsidRDefault="00C55547" w:rsidP="004C445F">
            <w:pPr>
              <w:suppressAutoHyphens/>
              <w:autoSpaceDE w:val="0"/>
              <w:autoSpaceDN w:val="0"/>
              <w:adjustRightInd w:val="0"/>
              <w:jc w:val="left"/>
              <w:rPr>
                <w:rStyle w:val="InstructionsTabelleberschrift"/>
                <w:rFonts w:ascii="Times New Roman" w:hAnsi="Times New Roman"/>
                <w:sz w:val="24"/>
              </w:rPr>
            </w:pPr>
            <w:r w:rsidRPr="00207412">
              <w:rPr>
                <w:rStyle w:val="InstructionsTabelleText"/>
                <w:rFonts w:ascii="Times New Roman" w:hAnsi="Times New Roman"/>
                <w:sz w:val="24"/>
              </w:rPr>
              <w:t>Článok 254 ods. 7</w:t>
            </w:r>
            <w:r w:rsidRPr="00207412">
              <w:rPr>
                <w:rFonts w:ascii="Times New Roman" w:hAnsi="Times New Roman"/>
                <w:sz w:val="24"/>
              </w:rPr>
              <w:t xml:space="preserve"> nariadenia (EÚ) </w:t>
            </w:r>
            <w:r w:rsidR="00207412">
              <w:rPr>
                <w:rFonts w:ascii="Times New Roman" w:hAnsi="Times New Roman"/>
                <w:sz w:val="24"/>
              </w:rPr>
              <w:t>č. </w:t>
            </w:r>
            <w:r w:rsidRPr="00207412">
              <w:rPr>
                <w:rFonts w:ascii="Times New Roman" w:hAnsi="Times New Roman"/>
                <w:sz w:val="24"/>
              </w:rPr>
              <w:t>575/2013</w:t>
            </w:r>
          </w:p>
        </w:tc>
      </w:tr>
      <w:tr w:rsidR="00C55547" w:rsidRPr="00207412" w14:paraId="16A48520" w14:textId="77777777" w:rsidTr="00E10B85">
        <w:tc>
          <w:tcPr>
            <w:tcW w:w="1016" w:type="dxa"/>
          </w:tcPr>
          <w:p w14:paraId="04D4F5AC" w14:textId="77777777" w:rsidR="00C55547" w:rsidRPr="00207412" w:rsidRDefault="002F79EA" w:rsidP="004C445F">
            <w:pPr>
              <w:suppressAutoHyphens/>
              <w:rPr>
                <w:rFonts w:ascii="Times New Roman" w:hAnsi="Times New Roman"/>
                <w:sz w:val="24"/>
              </w:rPr>
            </w:pPr>
            <w:r w:rsidRPr="00207412">
              <w:rPr>
                <w:rFonts w:ascii="Times New Roman" w:hAnsi="Times New Roman"/>
                <w:sz w:val="24"/>
              </w:rPr>
              <w:t>0410 – 0420</w:t>
            </w:r>
          </w:p>
        </w:tc>
        <w:tc>
          <w:tcPr>
            <w:tcW w:w="7874" w:type="dxa"/>
          </w:tcPr>
          <w:p w14:paraId="78E183CC" w14:textId="7777777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PRED HORNÝM OHRANIČENÍM – VÁŽENÉ ČISTÉ DLHÉ/KRÁTKE POZÍCIE</w:t>
            </w:r>
          </w:p>
          <w:p w14:paraId="7E8A31C6" w14:textId="1E21781C" w:rsidR="00C55547" w:rsidRPr="00207412" w:rsidRDefault="00C55547" w:rsidP="004C445F">
            <w:pPr>
              <w:suppressAutoHyphens/>
              <w:rPr>
                <w:rFonts w:ascii="Times New Roman" w:hAnsi="Times New Roman"/>
                <w:sz w:val="24"/>
              </w:rPr>
            </w:pPr>
            <w:r w:rsidRPr="00207412">
              <w:rPr>
                <w:rFonts w:ascii="Times New Roman" w:hAnsi="Times New Roman"/>
                <w:sz w:val="24"/>
              </w:rPr>
              <w:t xml:space="preserve">Článok 338 nariadenia (EÚ) </w:t>
            </w:r>
            <w:r w:rsidR="00207412">
              <w:rPr>
                <w:rFonts w:ascii="Times New Roman" w:hAnsi="Times New Roman"/>
                <w:sz w:val="24"/>
              </w:rPr>
              <w:t>č. </w:t>
            </w:r>
            <w:r w:rsidRPr="00207412">
              <w:rPr>
                <w:rFonts w:ascii="Times New Roman" w:hAnsi="Times New Roman"/>
                <w:sz w:val="24"/>
              </w:rPr>
              <w:t>575/2013 bez zohľadnenia možnosti stanovenej</w:t>
            </w:r>
            <w:r w:rsidR="00207412">
              <w:rPr>
                <w:rFonts w:ascii="Times New Roman" w:hAnsi="Times New Roman"/>
                <w:sz w:val="24"/>
              </w:rPr>
              <w:t xml:space="preserve"> v </w:t>
            </w:r>
            <w:r w:rsidRPr="00207412">
              <w:rPr>
                <w:rFonts w:ascii="Times New Roman" w:hAnsi="Times New Roman"/>
                <w:sz w:val="24"/>
              </w:rPr>
              <w:t xml:space="preserve">článku 335 uvedeného nariadenia </w:t>
            </w:r>
          </w:p>
        </w:tc>
      </w:tr>
      <w:tr w:rsidR="00C55547" w:rsidRPr="00207412" w14:paraId="566ACCB3" w14:textId="77777777" w:rsidTr="00E10B85">
        <w:tc>
          <w:tcPr>
            <w:tcW w:w="1016" w:type="dxa"/>
          </w:tcPr>
          <w:p w14:paraId="4093CA68" w14:textId="77777777" w:rsidR="00C55547" w:rsidRPr="00207412" w:rsidRDefault="002F79EA" w:rsidP="004C445F">
            <w:pPr>
              <w:suppressAutoHyphens/>
              <w:rPr>
                <w:rFonts w:ascii="Times New Roman" w:hAnsi="Times New Roman"/>
                <w:sz w:val="24"/>
              </w:rPr>
            </w:pPr>
            <w:r w:rsidRPr="00207412">
              <w:rPr>
                <w:rFonts w:ascii="Times New Roman" w:hAnsi="Times New Roman"/>
                <w:sz w:val="24"/>
              </w:rPr>
              <w:t>0430 – 0440</w:t>
            </w:r>
          </w:p>
        </w:tc>
        <w:tc>
          <w:tcPr>
            <w:tcW w:w="7874" w:type="dxa"/>
          </w:tcPr>
          <w:p w14:paraId="00C8D0F3" w14:textId="7777777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PO HORNOM OHRANIČENÍ – VÁŽENÉ ČISTÉ DLHÉ/KRÁTKE POZÍCIE</w:t>
            </w:r>
          </w:p>
          <w:p w14:paraId="3304B399" w14:textId="57C73F3E" w:rsidR="00C55547" w:rsidRPr="00207412" w:rsidRDefault="00C55547" w:rsidP="004C445F">
            <w:pPr>
              <w:suppressAutoHyphens/>
              <w:rPr>
                <w:rFonts w:ascii="Times New Roman" w:hAnsi="Times New Roman"/>
                <w:sz w:val="24"/>
              </w:rPr>
            </w:pPr>
            <w:r w:rsidRPr="00207412">
              <w:rPr>
                <w:rFonts w:ascii="Times New Roman" w:hAnsi="Times New Roman"/>
                <w:sz w:val="24"/>
              </w:rPr>
              <w:t xml:space="preserve">Článok 338 nariadenia (EÚ) </w:t>
            </w:r>
            <w:r w:rsidR="00207412">
              <w:rPr>
                <w:rFonts w:ascii="Times New Roman" w:hAnsi="Times New Roman"/>
                <w:sz w:val="24"/>
              </w:rPr>
              <w:t>č. </w:t>
            </w:r>
            <w:r w:rsidRPr="00207412">
              <w:rPr>
                <w:rFonts w:ascii="Times New Roman" w:hAnsi="Times New Roman"/>
                <w:sz w:val="24"/>
              </w:rPr>
              <w:t>575/2013 so zohľadnením možnosti stanovenej</w:t>
            </w:r>
            <w:r w:rsidR="00207412">
              <w:rPr>
                <w:rFonts w:ascii="Times New Roman" w:hAnsi="Times New Roman"/>
                <w:sz w:val="24"/>
              </w:rPr>
              <w:t xml:space="preserve"> v </w:t>
            </w:r>
            <w:r w:rsidRPr="00207412">
              <w:rPr>
                <w:rFonts w:ascii="Times New Roman" w:hAnsi="Times New Roman"/>
                <w:sz w:val="24"/>
              </w:rPr>
              <w:t xml:space="preserve">článku 335 uvedeného nariadenia. </w:t>
            </w:r>
          </w:p>
        </w:tc>
      </w:tr>
      <w:tr w:rsidR="00C55547" w:rsidRPr="00207412" w14:paraId="23063B74" w14:textId="77777777" w:rsidTr="00E10B85">
        <w:tc>
          <w:tcPr>
            <w:tcW w:w="1016" w:type="dxa"/>
          </w:tcPr>
          <w:p w14:paraId="5A3BC562" w14:textId="77777777" w:rsidR="00C55547" w:rsidRPr="00207412" w:rsidRDefault="002F79EA" w:rsidP="004C445F">
            <w:pPr>
              <w:suppressAutoHyphens/>
              <w:rPr>
                <w:rFonts w:ascii="Times New Roman" w:hAnsi="Times New Roman"/>
                <w:sz w:val="24"/>
              </w:rPr>
            </w:pPr>
            <w:r w:rsidRPr="00207412">
              <w:rPr>
                <w:rFonts w:ascii="Times New Roman" w:hAnsi="Times New Roman"/>
                <w:sz w:val="24"/>
              </w:rPr>
              <w:t>0450</w:t>
            </w:r>
          </w:p>
        </w:tc>
        <w:tc>
          <w:tcPr>
            <w:tcW w:w="7874" w:type="dxa"/>
          </w:tcPr>
          <w:p w14:paraId="4210145F" w14:textId="7777777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POŽIADAVKY NA CELKOVÉ VLASTNÉ ZDROJE</w:t>
            </w:r>
          </w:p>
          <w:p w14:paraId="58A6824C" w14:textId="021AC36F" w:rsidR="00733F21" w:rsidRPr="00207412" w:rsidRDefault="00C55547" w:rsidP="004C445F">
            <w:pPr>
              <w:suppressAutoHyphens/>
              <w:rPr>
                <w:rFonts w:ascii="Times New Roman" w:hAnsi="Times New Roman"/>
                <w:sz w:val="24"/>
              </w:rPr>
            </w:pPr>
            <w:r w:rsidRPr="00207412">
              <w:rPr>
                <w:rFonts w:ascii="Times New Roman" w:hAnsi="Times New Roman"/>
                <w:sz w:val="24"/>
              </w:rPr>
              <w:t>Požiadavka na vlastné zdroje sa určuje ako väčšia</w:t>
            </w:r>
            <w:r w:rsidR="00207412">
              <w:rPr>
                <w:rFonts w:ascii="Times New Roman" w:hAnsi="Times New Roman"/>
                <w:sz w:val="24"/>
              </w:rPr>
              <w:t xml:space="preserve"> z </w:t>
            </w:r>
            <w:r w:rsidRPr="00207412">
              <w:rPr>
                <w:rFonts w:ascii="Times New Roman" w:hAnsi="Times New Roman"/>
                <w:sz w:val="24"/>
              </w:rPr>
              <w:t>týchto hodnôt:</w:t>
            </w:r>
          </w:p>
          <w:p w14:paraId="6F610485" w14:textId="33CC9A69" w:rsidR="00733F21" w:rsidRPr="00207412" w:rsidRDefault="00A92865" w:rsidP="004C445F">
            <w:pPr>
              <w:suppressAutoHyphens/>
              <w:rPr>
                <w:rFonts w:ascii="Times New Roman" w:hAnsi="Times New Roman"/>
                <w:sz w:val="24"/>
              </w:rPr>
            </w:pPr>
            <w:r w:rsidRPr="00207412">
              <w:rPr>
                <w:rFonts w:ascii="Times New Roman" w:hAnsi="Times New Roman"/>
                <w:sz w:val="24"/>
              </w:rPr>
              <w:t>a) požiadavka na krytie špecifického rizika, ktorá by sa uplatňovala len na čisté dlhé pozície (stĺpec 0430);</w:t>
            </w:r>
          </w:p>
          <w:p w14:paraId="7DEA5D32" w14:textId="370772D1" w:rsidR="00C55547" w:rsidRPr="00207412" w:rsidRDefault="00A92865" w:rsidP="004C445F">
            <w:pPr>
              <w:suppressAutoHyphens/>
              <w:rPr>
                <w:rFonts w:ascii="Times New Roman" w:hAnsi="Times New Roman"/>
                <w:sz w:val="24"/>
              </w:rPr>
            </w:pPr>
            <w:r w:rsidRPr="00207412">
              <w:rPr>
                <w:rFonts w:ascii="Times New Roman" w:hAnsi="Times New Roman"/>
                <w:sz w:val="24"/>
              </w:rPr>
              <w:t>b) požiadavka na krytie špecifického rizika, ktorá by sa uplatňovala len na čisté krátke pozície (stĺpec 0440).</w:t>
            </w:r>
          </w:p>
        </w:tc>
      </w:tr>
      <w:tr w:rsidR="00A92865" w:rsidRPr="00207412" w14:paraId="17D4431B" w14:textId="77777777" w:rsidTr="00E10B85">
        <w:tc>
          <w:tcPr>
            <w:tcW w:w="1016" w:type="dxa"/>
          </w:tcPr>
          <w:p w14:paraId="3DE8C69F" w14:textId="77777777" w:rsidR="00A92865" w:rsidRPr="00207412" w:rsidRDefault="00A92865" w:rsidP="004C445F">
            <w:pPr>
              <w:suppressAutoHyphens/>
              <w:rPr>
                <w:rFonts w:ascii="Times New Roman" w:hAnsi="Times New Roman"/>
                <w:sz w:val="24"/>
              </w:rPr>
            </w:pPr>
          </w:p>
        </w:tc>
        <w:tc>
          <w:tcPr>
            <w:tcW w:w="7874" w:type="dxa"/>
          </w:tcPr>
          <w:p w14:paraId="26189336" w14:textId="77777777" w:rsidR="00A92865" w:rsidRPr="00207412" w:rsidRDefault="00A92865" w:rsidP="004C445F">
            <w:pPr>
              <w:suppressAutoHyphens/>
              <w:rPr>
                <w:rStyle w:val="InstructionsTabelleberschrift"/>
                <w:rFonts w:ascii="Times New Roman" w:hAnsi="Times New Roman"/>
                <w:sz w:val="24"/>
              </w:rPr>
            </w:pPr>
          </w:p>
        </w:tc>
      </w:tr>
    </w:tbl>
    <w:p w14:paraId="4123A762" w14:textId="77777777" w:rsidR="00C55547" w:rsidRPr="00207412" w:rsidRDefault="00C55547" w:rsidP="004C445F">
      <w:pPr>
        <w:suppressAutoHyphens/>
        <w:autoSpaceDE w:val="0"/>
        <w:autoSpaceDN w:val="0"/>
        <w:adjustRightInd w:val="0"/>
        <w:spacing w:before="0" w:after="0"/>
        <w:rPr>
          <w:rFonts w:ascii="Times New Roman" w:hAnsi="Times New Roman"/>
          <w:sz w:val="24"/>
          <w:lang w:eastAsia="nl-BE"/>
        </w:rPr>
      </w:pPr>
    </w:p>
    <w:p w14:paraId="0FD93711" w14:textId="77777777" w:rsidR="00C55547" w:rsidRPr="00207412"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7646"/>
      </w:tblGrid>
      <w:tr w:rsidR="00C55547" w:rsidRPr="00207412" w14:paraId="0C05A0C6" w14:textId="77777777" w:rsidTr="00E10B85">
        <w:trPr>
          <w:trHeight w:val="642"/>
        </w:trPr>
        <w:tc>
          <w:tcPr>
            <w:tcW w:w="9212" w:type="dxa"/>
            <w:gridSpan w:val="2"/>
            <w:shd w:val="clear" w:color="auto" w:fill="CCCCCC"/>
          </w:tcPr>
          <w:p w14:paraId="1B224033" w14:textId="77777777" w:rsidR="00C55547" w:rsidRPr="00207412" w:rsidRDefault="00C55547" w:rsidP="004C445F">
            <w:pPr>
              <w:suppressAutoHyphens/>
              <w:autoSpaceDE w:val="0"/>
              <w:autoSpaceDN w:val="0"/>
              <w:adjustRightInd w:val="0"/>
              <w:spacing w:after="0"/>
              <w:rPr>
                <w:rFonts w:ascii="Times New Roman" w:hAnsi="Times New Roman"/>
                <w:b/>
                <w:sz w:val="24"/>
              </w:rPr>
            </w:pPr>
            <w:r w:rsidRPr="00207412">
              <w:rPr>
                <w:rFonts w:ascii="Times New Roman" w:hAnsi="Times New Roman"/>
                <w:b/>
                <w:sz w:val="24"/>
              </w:rPr>
              <w:t>Riadky</w:t>
            </w:r>
          </w:p>
        </w:tc>
      </w:tr>
      <w:tr w:rsidR="00C55547" w:rsidRPr="00207412" w14:paraId="51303CB0" w14:textId="77777777" w:rsidTr="00E10B85">
        <w:tc>
          <w:tcPr>
            <w:tcW w:w="1008" w:type="dxa"/>
          </w:tcPr>
          <w:p w14:paraId="4EF580E7" w14:textId="77777777" w:rsidR="00C55547"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0010</w:t>
            </w:r>
          </w:p>
        </w:tc>
        <w:tc>
          <w:tcPr>
            <w:tcW w:w="8204" w:type="dxa"/>
          </w:tcPr>
          <w:p w14:paraId="3B5F07DE" w14:textId="7777777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CELKOVÉ EXPOZÍCIE</w:t>
            </w:r>
          </w:p>
          <w:p w14:paraId="47BDA358" w14:textId="05274D92" w:rsidR="00C55547" w:rsidRPr="00207412" w:rsidRDefault="00C55547" w:rsidP="004C445F">
            <w:pPr>
              <w:suppressAutoHyphens/>
              <w:rPr>
                <w:rFonts w:ascii="Times New Roman" w:hAnsi="Times New Roman"/>
                <w:sz w:val="24"/>
              </w:rPr>
            </w:pPr>
            <w:r w:rsidRPr="00207412">
              <w:rPr>
                <w:rFonts w:ascii="Times New Roman" w:hAnsi="Times New Roman"/>
                <w:sz w:val="24"/>
              </w:rPr>
              <w:lastRenderedPageBreak/>
              <w:t>Celková hodnota zostávajúcich pozícií (držaných</w:t>
            </w:r>
            <w:r w:rsidR="00207412">
              <w:rPr>
                <w:rFonts w:ascii="Times New Roman" w:hAnsi="Times New Roman"/>
                <w:sz w:val="24"/>
              </w:rPr>
              <w:t xml:space="preserve"> v </w:t>
            </w:r>
            <w:r w:rsidRPr="00207412">
              <w:rPr>
                <w:rFonts w:ascii="Times New Roman" w:hAnsi="Times New Roman"/>
                <w:sz w:val="24"/>
              </w:rPr>
              <w:t>korelačnom obchodnom portfóliu) vykázaných inštitúciou, ktorá zohráva úlohu originátora, investora alebo sponzora.</w:t>
            </w:r>
          </w:p>
        </w:tc>
      </w:tr>
      <w:tr w:rsidR="00C55547" w:rsidRPr="00207412" w14:paraId="4F9E3B66" w14:textId="77777777" w:rsidTr="00E10B85">
        <w:tc>
          <w:tcPr>
            <w:tcW w:w="1008" w:type="dxa"/>
          </w:tcPr>
          <w:p w14:paraId="4294FDFC" w14:textId="77777777" w:rsidR="00C55547"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lastRenderedPageBreak/>
              <w:t>0020 – 0040</w:t>
            </w:r>
          </w:p>
        </w:tc>
        <w:tc>
          <w:tcPr>
            <w:tcW w:w="8204" w:type="dxa"/>
          </w:tcPr>
          <w:p w14:paraId="68E0826A" w14:textId="7777777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ORIGINÁTOR</w:t>
            </w:r>
          </w:p>
          <w:p w14:paraId="07F7FC7F" w14:textId="44820927" w:rsidR="00C55547" w:rsidRPr="00207412" w:rsidRDefault="00C55547" w:rsidP="004C445F">
            <w:pPr>
              <w:suppressAutoHyphens/>
              <w:rPr>
                <w:rFonts w:ascii="Times New Roman" w:hAnsi="Times New Roman"/>
                <w:sz w:val="24"/>
              </w:rPr>
            </w:pPr>
            <w:r w:rsidRPr="00207412">
              <w:rPr>
                <w:rFonts w:ascii="Times New Roman" w:hAnsi="Times New Roman"/>
                <w:sz w:val="24"/>
              </w:rPr>
              <w:t xml:space="preserve">Článok 4 ods. 1 bod 13 nariadenia (EÚ) </w:t>
            </w:r>
            <w:r w:rsidR="00207412">
              <w:rPr>
                <w:rFonts w:ascii="Times New Roman" w:hAnsi="Times New Roman"/>
                <w:sz w:val="24"/>
              </w:rPr>
              <w:t>č. </w:t>
            </w:r>
            <w:r w:rsidRPr="00207412">
              <w:rPr>
                <w:rFonts w:ascii="Times New Roman" w:hAnsi="Times New Roman"/>
                <w:sz w:val="24"/>
              </w:rPr>
              <w:t xml:space="preserve">575/2013 </w:t>
            </w:r>
          </w:p>
        </w:tc>
      </w:tr>
      <w:tr w:rsidR="00C55547" w:rsidRPr="00207412" w14:paraId="1113CFCE" w14:textId="77777777" w:rsidTr="00E10B85">
        <w:tc>
          <w:tcPr>
            <w:tcW w:w="1008" w:type="dxa"/>
          </w:tcPr>
          <w:p w14:paraId="045998CB" w14:textId="77777777" w:rsidR="00C55547"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0050 – 0070</w:t>
            </w:r>
          </w:p>
        </w:tc>
        <w:tc>
          <w:tcPr>
            <w:tcW w:w="8204" w:type="dxa"/>
          </w:tcPr>
          <w:p w14:paraId="7C4743F6" w14:textId="7777777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INVESTOR</w:t>
            </w:r>
          </w:p>
          <w:p w14:paraId="5507389D" w14:textId="365F515B" w:rsidR="00C55547" w:rsidRPr="00207412" w:rsidRDefault="00C55547" w:rsidP="004C445F">
            <w:pPr>
              <w:suppressAutoHyphens/>
              <w:rPr>
                <w:rFonts w:ascii="Times New Roman" w:hAnsi="Times New Roman"/>
                <w:sz w:val="24"/>
              </w:rPr>
            </w:pPr>
            <w:r w:rsidRPr="00207412">
              <w:rPr>
                <w:rFonts w:ascii="Times New Roman" w:hAnsi="Times New Roman"/>
                <w:sz w:val="24"/>
              </w:rPr>
              <w:t>Úverová inštitúcia, ktorá drží sekuritizačnú pozíciu</w:t>
            </w:r>
            <w:r w:rsidR="00207412">
              <w:rPr>
                <w:rFonts w:ascii="Times New Roman" w:hAnsi="Times New Roman"/>
                <w:sz w:val="24"/>
              </w:rPr>
              <w:t xml:space="preserve"> v </w:t>
            </w:r>
            <w:r w:rsidRPr="00207412">
              <w:rPr>
                <w:rFonts w:ascii="Times New Roman" w:hAnsi="Times New Roman"/>
                <w:sz w:val="24"/>
              </w:rPr>
              <w:t>sekuritizačnej transakcii,</w:t>
            </w:r>
            <w:r w:rsidR="00207412">
              <w:rPr>
                <w:rFonts w:ascii="Times New Roman" w:hAnsi="Times New Roman"/>
                <w:sz w:val="24"/>
              </w:rPr>
              <w:t xml:space="preserve"> v </w:t>
            </w:r>
            <w:r w:rsidRPr="00207412">
              <w:rPr>
                <w:rFonts w:ascii="Times New Roman" w:hAnsi="Times New Roman"/>
                <w:sz w:val="24"/>
              </w:rPr>
              <w:t>ktorej nie je originátorom, sponzorom ani pôvodným veriteľom</w:t>
            </w:r>
          </w:p>
        </w:tc>
      </w:tr>
      <w:tr w:rsidR="00C55547" w:rsidRPr="00207412" w14:paraId="3AE4557E" w14:textId="77777777" w:rsidTr="00E10B85">
        <w:tc>
          <w:tcPr>
            <w:tcW w:w="1008" w:type="dxa"/>
          </w:tcPr>
          <w:p w14:paraId="4017D379" w14:textId="77777777" w:rsidR="00C55547"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0080 – 0100</w:t>
            </w:r>
          </w:p>
        </w:tc>
        <w:tc>
          <w:tcPr>
            <w:tcW w:w="8204" w:type="dxa"/>
          </w:tcPr>
          <w:p w14:paraId="6D18A74A" w14:textId="7777777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SPONZOR</w:t>
            </w:r>
          </w:p>
          <w:p w14:paraId="4B286A72" w14:textId="37108FC6" w:rsidR="00207412" w:rsidRDefault="00E64BFE" w:rsidP="004C445F">
            <w:pPr>
              <w:suppressAutoHyphens/>
              <w:rPr>
                <w:rFonts w:ascii="Times New Roman" w:hAnsi="Times New Roman"/>
                <w:sz w:val="24"/>
              </w:rPr>
            </w:pPr>
            <w:r w:rsidRPr="00207412">
              <w:rPr>
                <w:rFonts w:ascii="Times New Roman" w:hAnsi="Times New Roman"/>
                <w:sz w:val="24"/>
              </w:rPr>
              <w:t xml:space="preserve"> Článok 4 ods. 1 bod 14 nariadenia (EÚ) </w:t>
            </w:r>
            <w:r w:rsidR="00207412">
              <w:rPr>
                <w:rFonts w:ascii="Times New Roman" w:hAnsi="Times New Roman"/>
                <w:sz w:val="24"/>
              </w:rPr>
              <w:t>č. </w:t>
            </w:r>
            <w:r w:rsidRPr="00207412">
              <w:rPr>
                <w:rFonts w:ascii="Times New Roman" w:hAnsi="Times New Roman"/>
                <w:sz w:val="24"/>
              </w:rPr>
              <w:t>575/2013</w:t>
            </w:r>
          </w:p>
          <w:p w14:paraId="7911CCA2" w14:textId="787C146C" w:rsidR="00C55547" w:rsidRPr="00207412" w:rsidRDefault="005F3BBE" w:rsidP="004C445F">
            <w:pPr>
              <w:suppressAutoHyphens/>
              <w:rPr>
                <w:rFonts w:ascii="Times New Roman" w:hAnsi="Times New Roman"/>
                <w:sz w:val="24"/>
              </w:rPr>
            </w:pPr>
            <w:r w:rsidRPr="00207412">
              <w:rPr>
                <w:rFonts w:ascii="Times New Roman" w:hAnsi="Times New Roman"/>
                <w:sz w:val="24"/>
              </w:rPr>
              <w:t>Sponzor, ktorý zároveň sekuritizuje svoje vlastné aktíva,</w:t>
            </w:r>
            <w:r w:rsidR="00207412">
              <w:rPr>
                <w:rFonts w:ascii="Times New Roman" w:hAnsi="Times New Roman"/>
                <w:sz w:val="24"/>
              </w:rPr>
              <w:t xml:space="preserve"> v </w:t>
            </w:r>
            <w:r w:rsidRPr="00207412">
              <w:rPr>
                <w:rFonts w:ascii="Times New Roman" w:hAnsi="Times New Roman"/>
                <w:sz w:val="24"/>
              </w:rPr>
              <w:t>riadkoch originátora uvedie informácie týkajúce sa svojich vlastných sekuritizovaných aktív.</w:t>
            </w:r>
          </w:p>
        </w:tc>
      </w:tr>
      <w:tr w:rsidR="00C55547" w:rsidRPr="00207412" w14:paraId="5A0251A3" w14:textId="77777777" w:rsidTr="00E10B85">
        <w:tc>
          <w:tcPr>
            <w:tcW w:w="1008" w:type="dxa"/>
          </w:tcPr>
          <w:p w14:paraId="64B09950" w14:textId="646C15D4" w:rsidR="00C55547"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0030, 0060</w:t>
            </w:r>
            <w:r w:rsidR="00207412">
              <w:rPr>
                <w:rFonts w:ascii="Times New Roman" w:hAnsi="Times New Roman"/>
                <w:sz w:val="24"/>
              </w:rPr>
              <w:t xml:space="preserve"> a </w:t>
            </w:r>
            <w:r w:rsidRPr="00207412">
              <w:rPr>
                <w:rFonts w:ascii="Times New Roman" w:hAnsi="Times New Roman"/>
                <w:sz w:val="24"/>
              </w:rPr>
              <w:t>0090</w:t>
            </w:r>
          </w:p>
        </w:tc>
        <w:tc>
          <w:tcPr>
            <w:tcW w:w="8204" w:type="dxa"/>
          </w:tcPr>
          <w:p w14:paraId="65F68A65" w14:textId="7777777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SEKURITIZAČNÉ POZÍCIE</w:t>
            </w:r>
          </w:p>
          <w:p w14:paraId="3E2839F4" w14:textId="6D786B8F" w:rsidR="00C55547" w:rsidRPr="00207412" w:rsidRDefault="00C55547" w:rsidP="004C445F">
            <w:pPr>
              <w:suppressAutoHyphens/>
              <w:rPr>
                <w:rFonts w:ascii="Times New Roman" w:hAnsi="Times New Roman"/>
                <w:sz w:val="24"/>
              </w:rPr>
            </w:pPr>
            <w:r w:rsidRPr="00207412">
              <w:rPr>
                <w:rFonts w:ascii="Times New Roman" w:hAnsi="Times New Roman"/>
                <w:sz w:val="24"/>
              </w:rPr>
              <w:t>Korelačné obchodné portfóliá tvoria sekuritizácie, kreditné deriváty pre n-té zlyhania</w:t>
            </w:r>
            <w:r w:rsidR="00207412">
              <w:rPr>
                <w:rFonts w:ascii="Times New Roman" w:hAnsi="Times New Roman"/>
                <w:sz w:val="24"/>
              </w:rPr>
              <w:t xml:space="preserve"> a </w:t>
            </w:r>
            <w:r w:rsidRPr="00207412">
              <w:rPr>
                <w:rFonts w:ascii="Times New Roman" w:hAnsi="Times New Roman"/>
                <w:sz w:val="24"/>
              </w:rPr>
              <w:t>možno iné hedžingové pozície, ktoré spĺňajú kritériá stanovené</w:t>
            </w:r>
            <w:r w:rsidR="00207412">
              <w:rPr>
                <w:rFonts w:ascii="Times New Roman" w:hAnsi="Times New Roman"/>
                <w:sz w:val="24"/>
              </w:rPr>
              <w:t xml:space="preserve"> v </w:t>
            </w:r>
            <w:r w:rsidRPr="00207412">
              <w:rPr>
                <w:rFonts w:ascii="Times New Roman" w:hAnsi="Times New Roman"/>
                <w:sz w:val="24"/>
              </w:rPr>
              <w:t>článku 338 ods. 2</w:t>
            </w:r>
            <w:r w:rsidR="00207412">
              <w:rPr>
                <w:rFonts w:ascii="Times New Roman" w:hAnsi="Times New Roman"/>
                <w:sz w:val="24"/>
              </w:rPr>
              <w:t xml:space="preserve"> a </w:t>
            </w:r>
            <w:r w:rsidRPr="00207412">
              <w:rPr>
                <w:rFonts w:ascii="Times New Roman" w:hAnsi="Times New Roman"/>
                <w:sz w:val="24"/>
              </w:rPr>
              <w:t xml:space="preserve">3 nariadenia (EÚ) </w:t>
            </w:r>
            <w:r w:rsidR="00207412">
              <w:rPr>
                <w:rFonts w:ascii="Times New Roman" w:hAnsi="Times New Roman"/>
                <w:sz w:val="24"/>
              </w:rPr>
              <w:t>č. </w:t>
            </w:r>
            <w:r w:rsidRPr="00207412">
              <w:rPr>
                <w:rFonts w:ascii="Times New Roman" w:hAnsi="Times New Roman"/>
                <w:sz w:val="24"/>
              </w:rPr>
              <w:t>575/2013.</w:t>
            </w:r>
          </w:p>
          <w:p w14:paraId="284429BF" w14:textId="77777777" w:rsidR="00C55547" w:rsidRPr="00207412" w:rsidRDefault="00C55547" w:rsidP="004C445F">
            <w:pPr>
              <w:suppressAutoHyphens/>
              <w:rPr>
                <w:rFonts w:ascii="Times New Roman" w:hAnsi="Times New Roman"/>
                <w:sz w:val="24"/>
              </w:rPr>
            </w:pPr>
            <w:r w:rsidRPr="00207412">
              <w:rPr>
                <w:rFonts w:ascii="Times New Roman" w:hAnsi="Times New Roman"/>
                <w:sz w:val="24"/>
              </w:rPr>
              <w:t>Deriváty sekuritizačných expozícií, ktoré poskytujú pomerný podiel, ako aj pozície, ktorými sa hedžujú pozície korelačného obchodného portfólia, sa začlenia do riadku „Iné pozície korelačného obchodného portfólia“.</w:t>
            </w:r>
          </w:p>
        </w:tc>
      </w:tr>
      <w:tr w:rsidR="00C55547" w:rsidRPr="00207412" w14:paraId="310FE06B" w14:textId="77777777" w:rsidTr="00E10B85">
        <w:tc>
          <w:tcPr>
            <w:tcW w:w="1008" w:type="dxa"/>
          </w:tcPr>
          <w:p w14:paraId="2602BE79" w14:textId="77777777" w:rsidR="00C55547"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0110</w:t>
            </w:r>
          </w:p>
        </w:tc>
        <w:tc>
          <w:tcPr>
            <w:tcW w:w="8204" w:type="dxa"/>
          </w:tcPr>
          <w:p w14:paraId="5251DCC8" w14:textId="7777777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KREDITNÉ DERIVÁTY PRE N-TÉ ZLYHANIE</w:t>
            </w:r>
          </w:p>
          <w:p w14:paraId="298FC0AB" w14:textId="3FA7E331" w:rsidR="00C55547" w:rsidRPr="00207412" w:rsidRDefault="00C55547" w:rsidP="004C445F">
            <w:pPr>
              <w:suppressAutoHyphens/>
              <w:rPr>
                <w:rFonts w:ascii="Times New Roman" w:hAnsi="Times New Roman"/>
                <w:sz w:val="24"/>
              </w:rPr>
            </w:pPr>
            <w:r w:rsidRPr="00207412">
              <w:rPr>
                <w:rFonts w:ascii="Times New Roman" w:hAnsi="Times New Roman"/>
                <w:sz w:val="24"/>
              </w:rPr>
              <w:t>Vykazujú sa tu kreditné deriváty pre n-té zlyhanie, ktoré sú hedžované kreditnými derivátmi pre n-té zlyhanie</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 xml:space="preserve">článkom 347 nariadenia (EÚ) </w:t>
            </w:r>
            <w:r w:rsidR="00207412">
              <w:rPr>
                <w:rFonts w:ascii="Times New Roman" w:hAnsi="Times New Roman"/>
                <w:sz w:val="24"/>
              </w:rPr>
              <w:t>č. </w:t>
            </w:r>
            <w:r w:rsidRPr="00207412">
              <w:rPr>
                <w:rFonts w:ascii="Times New Roman" w:hAnsi="Times New Roman"/>
                <w:sz w:val="24"/>
              </w:rPr>
              <w:t>575/2013.</w:t>
            </w:r>
          </w:p>
          <w:p w14:paraId="0ADF3C10" w14:textId="3B866667" w:rsidR="00C55547" w:rsidRPr="00207412" w:rsidRDefault="00C55547" w:rsidP="004C445F">
            <w:pPr>
              <w:suppressAutoHyphens/>
              <w:rPr>
                <w:rFonts w:ascii="Times New Roman" w:hAnsi="Times New Roman"/>
                <w:sz w:val="24"/>
              </w:rPr>
            </w:pPr>
            <w:r w:rsidRPr="00207412">
              <w:rPr>
                <w:rFonts w:ascii="Times New Roman" w:hAnsi="Times New Roman"/>
                <w:sz w:val="24"/>
              </w:rPr>
              <w:t>Originátor, investor</w:t>
            </w:r>
            <w:r w:rsidR="00207412">
              <w:rPr>
                <w:rFonts w:ascii="Times New Roman" w:hAnsi="Times New Roman"/>
                <w:sz w:val="24"/>
              </w:rPr>
              <w:t xml:space="preserve"> a </w:t>
            </w:r>
            <w:r w:rsidRPr="00207412">
              <w:rPr>
                <w:rFonts w:ascii="Times New Roman" w:hAnsi="Times New Roman"/>
                <w:sz w:val="24"/>
              </w:rPr>
              <w:t>sponzor pozícií sa pri kreditných derivátoch pre n-té zlyhanie nekategorizujú. Preto sa rozčlenenie sekuritizačných pozícií pre kreditné deriváty pre n-té zlyhanie neuvádza.</w:t>
            </w:r>
          </w:p>
        </w:tc>
      </w:tr>
      <w:tr w:rsidR="00C55547" w:rsidRPr="00207412" w14:paraId="3804EA7A" w14:textId="77777777" w:rsidTr="00E10B85">
        <w:tc>
          <w:tcPr>
            <w:tcW w:w="1008" w:type="dxa"/>
          </w:tcPr>
          <w:p w14:paraId="492141F6" w14:textId="34E52939" w:rsidR="00C55547"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0040, 0070, 0100</w:t>
            </w:r>
            <w:r w:rsidR="00207412">
              <w:rPr>
                <w:rFonts w:ascii="Times New Roman" w:hAnsi="Times New Roman"/>
                <w:sz w:val="24"/>
              </w:rPr>
              <w:t xml:space="preserve"> a </w:t>
            </w:r>
            <w:r w:rsidRPr="00207412">
              <w:rPr>
                <w:rFonts w:ascii="Times New Roman" w:hAnsi="Times New Roman"/>
                <w:sz w:val="24"/>
              </w:rPr>
              <w:t>0120</w:t>
            </w:r>
          </w:p>
        </w:tc>
        <w:tc>
          <w:tcPr>
            <w:tcW w:w="8204" w:type="dxa"/>
          </w:tcPr>
          <w:p w14:paraId="1BEC5316" w14:textId="77777777" w:rsidR="00C55547" w:rsidRPr="00207412" w:rsidRDefault="00C55547" w:rsidP="004C445F">
            <w:pPr>
              <w:suppressAutoHyphens/>
              <w:rPr>
                <w:rStyle w:val="InstructionsTabelleberschrift"/>
                <w:rFonts w:ascii="Times New Roman" w:hAnsi="Times New Roman"/>
                <w:sz w:val="24"/>
              </w:rPr>
            </w:pPr>
            <w:r w:rsidRPr="00207412">
              <w:rPr>
                <w:rStyle w:val="InstructionsTabelleberschrift"/>
                <w:rFonts w:ascii="Times New Roman" w:hAnsi="Times New Roman"/>
                <w:sz w:val="24"/>
              </w:rPr>
              <w:t>INÉ POZÍCIE KORELAČNÉHO OBCHODNÉHO PORTFÓLIA</w:t>
            </w:r>
          </w:p>
          <w:p w14:paraId="796009A4" w14:textId="77777777" w:rsidR="00207412" w:rsidRDefault="00C55547" w:rsidP="004C445F">
            <w:pPr>
              <w:suppressAutoHyphens/>
              <w:rPr>
                <w:rFonts w:ascii="Times New Roman" w:hAnsi="Times New Roman"/>
                <w:sz w:val="24"/>
              </w:rPr>
            </w:pPr>
            <w:r w:rsidRPr="00207412">
              <w:rPr>
                <w:rFonts w:ascii="Times New Roman" w:hAnsi="Times New Roman"/>
                <w:sz w:val="24"/>
              </w:rPr>
              <w:t>Zahrnuté sú tieto pozície</w:t>
            </w:r>
            <w:r w:rsidR="00207412">
              <w:rPr>
                <w:rFonts w:ascii="Times New Roman" w:hAnsi="Times New Roman"/>
                <w:sz w:val="24"/>
              </w:rPr>
              <w:t>:</w:t>
            </w:r>
          </w:p>
          <w:p w14:paraId="009DBFDC" w14:textId="420949C6" w:rsidR="002272E2" w:rsidRPr="00207412" w:rsidRDefault="00A92865" w:rsidP="00E172EA">
            <w:pPr>
              <w:pStyle w:val="ListParagraph"/>
              <w:numPr>
                <w:ilvl w:val="0"/>
                <w:numId w:val="31"/>
              </w:numPr>
              <w:tabs>
                <w:tab w:val="left" w:pos="720"/>
              </w:tabs>
              <w:suppressAutoHyphens/>
              <w:rPr>
                <w:rFonts w:ascii="Times New Roman" w:hAnsi="Times New Roman"/>
                <w:sz w:val="24"/>
              </w:rPr>
            </w:pPr>
            <w:r w:rsidRPr="00207412">
              <w:rPr>
                <w:rFonts w:ascii="Times New Roman" w:hAnsi="Times New Roman"/>
                <w:sz w:val="24"/>
              </w:rPr>
              <w:t>deriváty sekuritizačných expozícií, ktoré poskytujú pomerný podiel, ako aj pozície, ktorými sa hedžujú pozície korelačného obchodného portfólia;</w:t>
            </w:r>
          </w:p>
          <w:p w14:paraId="6225E087" w14:textId="3BBC06A8" w:rsidR="002272E2" w:rsidRPr="00207412" w:rsidRDefault="00C55547" w:rsidP="00E172EA">
            <w:pPr>
              <w:pStyle w:val="ListParagraph"/>
              <w:numPr>
                <w:ilvl w:val="0"/>
                <w:numId w:val="31"/>
              </w:numPr>
              <w:tabs>
                <w:tab w:val="left" w:pos="720"/>
              </w:tabs>
              <w:suppressAutoHyphens/>
              <w:rPr>
                <w:rFonts w:ascii="Times New Roman" w:hAnsi="Times New Roman"/>
                <w:sz w:val="24"/>
              </w:rPr>
            </w:pPr>
            <w:r w:rsidRPr="00207412">
              <w:rPr>
                <w:rFonts w:ascii="Times New Roman" w:hAnsi="Times New Roman"/>
                <w:sz w:val="24"/>
              </w:rPr>
              <w:t>pozície korelačného obchodného portfólia hedžované kreditnými derivátmi</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 xml:space="preserve">článkom 346 nariadenia (EÚ) </w:t>
            </w:r>
            <w:r w:rsidR="00207412">
              <w:rPr>
                <w:rFonts w:ascii="Times New Roman" w:hAnsi="Times New Roman"/>
                <w:sz w:val="24"/>
              </w:rPr>
              <w:t>č. </w:t>
            </w:r>
            <w:r w:rsidRPr="00207412">
              <w:rPr>
                <w:rFonts w:ascii="Times New Roman" w:hAnsi="Times New Roman"/>
                <w:sz w:val="24"/>
              </w:rPr>
              <w:t>575/2013;</w:t>
            </w:r>
          </w:p>
          <w:p w14:paraId="37D9C26F" w14:textId="4B1FA125" w:rsidR="00C55547" w:rsidRPr="00207412" w:rsidRDefault="00A92865" w:rsidP="00E172EA">
            <w:pPr>
              <w:pStyle w:val="ListParagraph"/>
              <w:numPr>
                <w:ilvl w:val="0"/>
                <w:numId w:val="31"/>
              </w:numPr>
              <w:tabs>
                <w:tab w:val="left" w:pos="720"/>
              </w:tabs>
              <w:suppressAutoHyphens/>
              <w:rPr>
                <w:rFonts w:ascii="Times New Roman" w:hAnsi="Times New Roman"/>
                <w:sz w:val="24"/>
              </w:rPr>
            </w:pPr>
            <w:r w:rsidRPr="00207412">
              <w:rPr>
                <w:rFonts w:ascii="Times New Roman" w:hAnsi="Times New Roman"/>
                <w:sz w:val="24"/>
              </w:rPr>
              <w:t xml:space="preserve">iné pozície, ktoré spĺňajú ustanovenia článku 338 ods. 3 nariadenia (EÚ) </w:t>
            </w:r>
            <w:r w:rsidR="00207412">
              <w:rPr>
                <w:rFonts w:ascii="Times New Roman" w:hAnsi="Times New Roman"/>
                <w:sz w:val="24"/>
              </w:rPr>
              <w:t>č. </w:t>
            </w:r>
            <w:r w:rsidRPr="00207412">
              <w:rPr>
                <w:rFonts w:ascii="Times New Roman" w:hAnsi="Times New Roman"/>
                <w:sz w:val="24"/>
              </w:rPr>
              <w:t>575/2013.</w:t>
            </w:r>
          </w:p>
        </w:tc>
      </w:tr>
    </w:tbl>
    <w:p w14:paraId="2FA40F1B"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nl-BE"/>
        </w:rPr>
      </w:pPr>
    </w:p>
    <w:p w14:paraId="43E44EE8" w14:textId="1A25232C" w:rsidR="000B0B09" w:rsidRPr="0020741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4" w:name="_Toc262566429"/>
      <w:bookmarkStart w:id="95" w:name="_Toc295830005"/>
      <w:bookmarkStart w:id="96" w:name="_Toc308426682"/>
      <w:bookmarkStart w:id="97" w:name="_Toc310415066"/>
      <w:bookmarkStart w:id="98" w:name="_Toc360188401"/>
      <w:bookmarkStart w:id="99" w:name="_Toc473561041"/>
      <w:bookmarkStart w:id="100" w:name="_Toc210895529"/>
      <w:r w:rsidRPr="00207412">
        <w:rPr>
          <w:rFonts w:ascii="Times New Roman" w:hAnsi="Times New Roman"/>
          <w:sz w:val="24"/>
          <w:u w:val="none"/>
        </w:rPr>
        <w:lastRenderedPageBreak/>
        <w:t>5.</w:t>
      </w:r>
      <w:r w:rsidRPr="00207412">
        <w:rPr>
          <w:u w:val="none"/>
        </w:rPr>
        <w:tab/>
      </w:r>
      <w:r w:rsidRPr="00207412">
        <w:rPr>
          <w:rFonts w:ascii="Times New Roman" w:hAnsi="Times New Roman"/>
          <w:sz w:val="24"/>
        </w:rPr>
        <w:t>C 21.00 – Trhové riziko: Štandardizovaný prístup pre pozičné riziko</w:t>
      </w:r>
      <w:r w:rsidR="00207412">
        <w:rPr>
          <w:rFonts w:ascii="Times New Roman" w:hAnsi="Times New Roman"/>
          <w:sz w:val="24"/>
        </w:rPr>
        <w:t xml:space="preserve"> v </w:t>
      </w:r>
      <w:r w:rsidRPr="00207412">
        <w:rPr>
          <w:rFonts w:ascii="Times New Roman" w:hAnsi="Times New Roman"/>
          <w:sz w:val="24"/>
        </w:rPr>
        <w:t>kapitálových cenných papieroch</w:t>
      </w:r>
      <w:bookmarkEnd w:id="94"/>
      <w:bookmarkEnd w:id="95"/>
      <w:bookmarkEnd w:id="96"/>
      <w:bookmarkEnd w:id="97"/>
      <w:bookmarkEnd w:id="98"/>
      <w:r w:rsidRPr="00207412">
        <w:rPr>
          <w:rFonts w:ascii="Times New Roman" w:hAnsi="Times New Roman"/>
          <w:sz w:val="24"/>
        </w:rPr>
        <w:t xml:space="preserve"> (MKR SA EQU)</w:t>
      </w:r>
      <w:bookmarkEnd w:id="99"/>
      <w:bookmarkEnd w:id="100"/>
    </w:p>
    <w:p w14:paraId="28B3FACA" w14:textId="344FF541" w:rsidR="000B0B09" w:rsidRPr="0020741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1" w:name="_Toc262566430"/>
      <w:bookmarkStart w:id="102" w:name="_Toc295830006"/>
      <w:bookmarkStart w:id="103" w:name="_Toc308426683"/>
      <w:bookmarkStart w:id="104" w:name="_Toc310415067"/>
      <w:bookmarkStart w:id="105" w:name="_Toc360188402"/>
      <w:bookmarkStart w:id="106" w:name="_Toc473561042"/>
      <w:bookmarkStart w:id="107" w:name="_Toc210895530"/>
      <w:r w:rsidRPr="00207412">
        <w:rPr>
          <w:rFonts w:ascii="Times New Roman" w:hAnsi="Times New Roman"/>
          <w:sz w:val="24"/>
          <w:u w:val="none"/>
        </w:rPr>
        <w:t>5.1.</w:t>
      </w:r>
      <w:r w:rsidRPr="00207412">
        <w:rPr>
          <w:u w:val="none"/>
        </w:rPr>
        <w:tab/>
      </w:r>
      <w:r w:rsidRPr="00207412">
        <w:rPr>
          <w:rFonts w:ascii="Times New Roman" w:hAnsi="Times New Roman"/>
          <w:sz w:val="24"/>
        </w:rPr>
        <w:t>Všeobecné poznámky</w:t>
      </w:r>
      <w:bookmarkEnd w:id="101"/>
      <w:bookmarkEnd w:id="102"/>
      <w:bookmarkEnd w:id="103"/>
      <w:bookmarkEnd w:id="104"/>
      <w:bookmarkEnd w:id="105"/>
      <w:bookmarkEnd w:id="106"/>
      <w:bookmarkEnd w:id="107"/>
    </w:p>
    <w:p w14:paraId="1BA8EF6D" w14:textId="697BF95D" w:rsidR="000B0B09" w:rsidRPr="00207412" w:rsidRDefault="000B0B09" w:rsidP="00E172EA">
      <w:pPr>
        <w:pStyle w:val="InstructionsText2"/>
        <w:numPr>
          <w:ilvl w:val="0"/>
          <w:numId w:val="29"/>
        </w:numPr>
        <w:suppressAutoHyphens/>
      </w:pPr>
      <w:r w:rsidRPr="00207412">
        <w:t>V tomto vzore sa požadujú informácie</w:t>
      </w:r>
      <w:r w:rsidR="00207412">
        <w:t xml:space="preserve"> o </w:t>
      </w:r>
      <w:r w:rsidRPr="00207412">
        <w:t>pozíciách</w:t>
      </w:r>
      <w:r w:rsidR="00207412">
        <w:t xml:space="preserve"> a </w:t>
      </w:r>
      <w:r w:rsidRPr="00207412">
        <w:t>zodpovedajúcich požiadavkách na vlastné zdroje pre pozičné riziko kapitálových cenných papierov vedených</w:t>
      </w:r>
      <w:r w:rsidR="00207412">
        <w:t xml:space="preserve"> v </w:t>
      </w:r>
      <w:r w:rsidRPr="00207412">
        <w:t>obchodnej knihe</w:t>
      </w:r>
      <w:r w:rsidR="00207412">
        <w:t xml:space="preserve"> v </w:t>
      </w:r>
      <w:r w:rsidRPr="00207412">
        <w:t>rámci štandardizovaného prístupu.</w:t>
      </w:r>
    </w:p>
    <w:p w14:paraId="3AF5EC7C" w14:textId="202ED910" w:rsidR="00B828CC" w:rsidRPr="00207412" w:rsidRDefault="000B0B09" w:rsidP="00E172EA">
      <w:pPr>
        <w:pStyle w:val="InstructionsText2"/>
        <w:numPr>
          <w:ilvl w:val="0"/>
          <w:numId w:val="29"/>
        </w:numPr>
        <w:suppressAutoHyphens/>
      </w:pPr>
      <w:r w:rsidRPr="00207412">
        <w:t>Tento vzor sa vypĺňa osobitne pre „Spolu“</w:t>
      </w:r>
      <w:r w:rsidR="00207412">
        <w:t xml:space="preserve"> a </w:t>
      </w:r>
      <w:r w:rsidRPr="00207412">
        <w:t>pre nemenný, vopred definovaný zoznam týchto trhov: Bulharsko, Česká republika, Dánsko, Egypt, Maďarsko, Island, Lichtenštajnsko, Nórsko, Poľsko, Rumunsko, Švédsko, Spojené kráľovstvo, Albánsko, Japonsko, bývalá Juhoslovanská republika Macedónsko, Ruská federácia, Srbsko, Švajčiarsko, Turecko, Ukrajina, USA, eurozóna</w:t>
      </w:r>
      <w:r w:rsidR="00207412">
        <w:t xml:space="preserve"> a </w:t>
      </w:r>
      <w:r w:rsidRPr="00207412">
        <w:t xml:space="preserve">jeden vzor pre všetky ostatné trhy. Na účely tejto požiadavky na predkladanie správ sa pod pojmom „trh“ rozumie „krajina“ [s výnimkou krajín eurozóny, pozri delegované nariadenie Komisie (EÚ) </w:t>
      </w:r>
      <w:r w:rsidR="00207412">
        <w:t>č. </w:t>
      </w:r>
      <w:r w:rsidRPr="00207412">
        <w:t>525/2014</w:t>
      </w:r>
      <w:r w:rsidRPr="00207412">
        <w:rPr>
          <w:rStyle w:val="FootnoteReference"/>
        </w:rPr>
        <w:footnoteReference w:id="2"/>
      </w:r>
      <w:r w:rsidRPr="00207412">
        <w:t>].</w:t>
      </w:r>
    </w:p>
    <w:p w14:paraId="077E1A41" w14:textId="7E9E2DA4" w:rsidR="000B0B09" w:rsidRPr="0020741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8" w:name="_Toc262566431"/>
      <w:bookmarkStart w:id="109" w:name="_Toc295830007"/>
      <w:bookmarkStart w:id="110" w:name="_Toc308426684"/>
      <w:bookmarkStart w:id="111" w:name="_Toc310415068"/>
      <w:bookmarkStart w:id="112" w:name="_Toc360188403"/>
      <w:bookmarkStart w:id="113" w:name="_Toc473561043"/>
      <w:bookmarkStart w:id="114" w:name="_Toc210895531"/>
      <w:r w:rsidRPr="00207412">
        <w:rPr>
          <w:rFonts w:ascii="Times New Roman" w:hAnsi="Times New Roman"/>
          <w:sz w:val="24"/>
          <w:u w:val="none"/>
        </w:rPr>
        <w:t>5.2.</w:t>
      </w:r>
      <w:r w:rsidRPr="00207412">
        <w:rPr>
          <w:u w:val="none"/>
        </w:rPr>
        <w:tab/>
      </w:r>
      <w:r w:rsidRPr="00207412">
        <w:rPr>
          <w:rFonts w:ascii="Times New Roman" w:hAnsi="Times New Roman"/>
          <w:sz w:val="24"/>
        </w:rPr>
        <w:t>Pokyny týkajúce sa konkrétnych pozícií</w:t>
      </w:r>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7646"/>
      </w:tblGrid>
      <w:tr w:rsidR="000B0B09" w:rsidRPr="00207412" w14:paraId="2ADAFC61" w14:textId="77777777" w:rsidTr="00672D2A">
        <w:trPr>
          <w:trHeight w:val="626"/>
        </w:trPr>
        <w:tc>
          <w:tcPr>
            <w:tcW w:w="8862" w:type="dxa"/>
            <w:gridSpan w:val="2"/>
            <w:shd w:val="clear" w:color="auto" w:fill="CCCCCC"/>
          </w:tcPr>
          <w:p w14:paraId="0BC1F4DA" w14:textId="77777777" w:rsidR="000B0B09" w:rsidRPr="00207412" w:rsidRDefault="000B0B09" w:rsidP="004C445F">
            <w:pPr>
              <w:suppressAutoHyphens/>
              <w:autoSpaceDE w:val="0"/>
              <w:autoSpaceDN w:val="0"/>
              <w:adjustRightInd w:val="0"/>
              <w:spacing w:after="0"/>
              <w:rPr>
                <w:rFonts w:ascii="Times New Roman" w:hAnsi="Times New Roman"/>
                <w:b/>
                <w:sz w:val="24"/>
              </w:rPr>
            </w:pPr>
            <w:r w:rsidRPr="00207412">
              <w:rPr>
                <w:rFonts w:ascii="Times New Roman" w:hAnsi="Times New Roman"/>
                <w:b/>
                <w:sz w:val="24"/>
              </w:rPr>
              <w:t>Stĺpce</w:t>
            </w:r>
          </w:p>
        </w:tc>
      </w:tr>
      <w:tr w:rsidR="000B0B09" w:rsidRPr="00207412" w14:paraId="1B6DCA2D" w14:textId="77777777" w:rsidTr="00672D2A">
        <w:tc>
          <w:tcPr>
            <w:tcW w:w="988" w:type="dxa"/>
          </w:tcPr>
          <w:p w14:paraId="2E10DD05"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0010 – 0020</w:t>
            </w:r>
          </w:p>
        </w:tc>
        <w:tc>
          <w:tcPr>
            <w:tcW w:w="7874" w:type="dxa"/>
          </w:tcPr>
          <w:p w14:paraId="57FBE31B" w14:textId="77777777" w:rsidR="000B0B09" w:rsidRPr="00207412" w:rsidRDefault="000B0B09" w:rsidP="004C445F">
            <w:pPr>
              <w:suppressAutoHyphens/>
              <w:autoSpaceDE w:val="0"/>
              <w:autoSpaceDN w:val="0"/>
              <w:adjustRightInd w:val="0"/>
              <w:rPr>
                <w:rFonts w:ascii="Times New Roman" w:hAnsi="Times New Roman"/>
                <w:b/>
                <w:bCs/>
                <w:sz w:val="24"/>
                <w:u w:val="single"/>
              </w:rPr>
            </w:pPr>
            <w:r w:rsidRPr="00207412">
              <w:rPr>
                <w:rFonts w:ascii="Times New Roman" w:hAnsi="Times New Roman"/>
                <w:b/>
                <w:sz w:val="24"/>
                <w:u w:val="single"/>
              </w:rPr>
              <w:t>VŠETKY POZÍCIE (DLHÉ A KRÁTKE)</w:t>
            </w:r>
          </w:p>
          <w:p w14:paraId="55621CCD" w14:textId="732711EF" w:rsidR="00207412" w:rsidRDefault="000B0B09" w:rsidP="004C445F">
            <w:pPr>
              <w:suppressAutoHyphens/>
              <w:autoSpaceDE w:val="0"/>
              <w:autoSpaceDN w:val="0"/>
              <w:adjustRightInd w:val="0"/>
              <w:spacing w:before="0"/>
              <w:rPr>
                <w:rFonts w:ascii="Times New Roman" w:hAnsi="Times New Roman"/>
                <w:sz w:val="24"/>
              </w:rPr>
            </w:pPr>
            <w:r w:rsidRPr="00207412">
              <w:rPr>
                <w:rFonts w:ascii="Times New Roman" w:hAnsi="Times New Roman"/>
                <w:sz w:val="24"/>
              </w:rPr>
              <w:t>Článok 102</w:t>
            </w:r>
            <w:r w:rsidR="00207412">
              <w:rPr>
                <w:rFonts w:ascii="Times New Roman" w:hAnsi="Times New Roman"/>
                <w:sz w:val="24"/>
              </w:rPr>
              <w:t xml:space="preserve"> a </w:t>
            </w:r>
            <w:r w:rsidRPr="00207412">
              <w:rPr>
                <w:rFonts w:ascii="Times New Roman" w:hAnsi="Times New Roman"/>
                <w:sz w:val="24"/>
              </w:rPr>
              <w:t xml:space="preserve">článok 105 ods. 1 nariadenia (EÚ) </w:t>
            </w:r>
            <w:r w:rsidR="00207412">
              <w:rPr>
                <w:rFonts w:ascii="Times New Roman" w:hAnsi="Times New Roman"/>
                <w:sz w:val="24"/>
              </w:rPr>
              <w:t>č. </w:t>
            </w:r>
            <w:r w:rsidRPr="00207412">
              <w:rPr>
                <w:rFonts w:ascii="Times New Roman" w:hAnsi="Times New Roman"/>
                <w:sz w:val="24"/>
              </w:rPr>
              <w:t>575/2013</w:t>
            </w:r>
          </w:p>
          <w:p w14:paraId="59EE061F" w14:textId="688870F4" w:rsidR="000B0B09" w:rsidRPr="00207412" w:rsidRDefault="000B0B09" w:rsidP="004C445F">
            <w:pPr>
              <w:suppressAutoHyphens/>
              <w:autoSpaceDE w:val="0"/>
              <w:autoSpaceDN w:val="0"/>
              <w:adjustRightInd w:val="0"/>
              <w:spacing w:before="0"/>
              <w:rPr>
                <w:rFonts w:ascii="Times New Roman" w:hAnsi="Times New Roman"/>
                <w:sz w:val="24"/>
              </w:rPr>
            </w:pPr>
            <w:r w:rsidRPr="00207412">
              <w:rPr>
                <w:rFonts w:ascii="Times New Roman" w:hAnsi="Times New Roman"/>
                <w:sz w:val="24"/>
              </w:rPr>
              <w:t>Ide</w:t>
            </w:r>
            <w:r w:rsidR="00207412">
              <w:rPr>
                <w:rFonts w:ascii="Times New Roman" w:hAnsi="Times New Roman"/>
                <w:sz w:val="24"/>
              </w:rPr>
              <w:t xml:space="preserve"> o </w:t>
            </w:r>
            <w:r w:rsidRPr="00207412">
              <w:rPr>
                <w:rFonts w:ascii="Times New Roman" w:hAnsi="Times New Roman"/>
                <w:sz w:val="24"/>
              </w:rPr>
              <w:t>hrubé pozície bez započítania nástrojov, ale bez pozícií</w:t>
            </w:r>
            <w:r w:rsidR="00207412">
              <w:rPr>
                <w:rFonts w:ascii="Times New Roman" w:hAnsi="Times New Roman"/>
                <w:sz w:val="24"/>
              </w:rPr>
              <w:t xml:space="preserve"> z </w:t>
            </w:r>
            <w:r w:rsidRPr="00207412">
              <w:rPr>
                <w:rFonts w:ascii="Times New Roman" w:hAnsi="Times New Roman"/>
                <w:sz w:val="24"/>
              </w:rPr>
              <w:t>upísania, ktoré sú upísané alebo podupísané tretími osobami, ako sa uvádza</w:t>
            </w:r>
            <w:r w:rsidR="00207412">
              <w:rPr>
                <w:rFonts w:ascii="Times New Roman" w:hAnsi="Times New Roman"/>
                <w:sz w:val="24"/>
              </w:rPr>
              <w:t xml:space="preserve"> v </w:t>
            </w:r>
            <w:r w:rsidRPr="00207412">
              <w:rPr>
                <w:rFonts w:ascii="Times New Roman" w:hAnsi="Times New Roman"/>
                <w:sz w:val="24"/>
              </w:rPr>
              <w:t xml:space="preserve">článku 345 ods. 1 prvom pododseku druhej vete uvedeného nariadenia. </w:t>
            </w:r>
          </w:p>
        </w:tc>
      </w:tr>
      <w:tr w:rsidR="000B0B09" w:rsidRPr="00207412" w14:paraId="518A8218" w14:textId="77777777" w:rsidTr="00672D2A">
        <w:tc>
          <w:tcPr>
            <w:tcW w:w="988" w:type="dxa"/>
          </w:tcPr>
          <w:p w14:paraId="5DF1DDF0"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 xml:space="preserve">0030 – 0040 </w:t>
            </w:r>
          </w:p>
        </w:tc>
        <w:tc>
          <w:tcPr>
            <w:tcW w:w="7874" w:type="dxa"/>
          </w:tcPr>
          <w:p w14:paraId="22DC25DE"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ČISTÉ POZÍCIE (DLHÉ A KRÁTKE)</w:t>
            </w:r>
          </w:p>
          <w:p w14:paraId="72A57BC7" w14:textId="2A9EC927" w:rsidR="000B0B09" w:rsidRPr="00207412" w:rsidRDefault="000B0B09" w:rsidP="004C445F">
            <w:pPr>
              <w:suppressAutoHyphens/>
              <w:autoSpaceDE w:val="0"/>
              <w:autoSpaceDN w:val="0"/>
              <w:adjustRightInd w:val="0"/>
              <w:rPr>
                <w:rFonts w:ascii="Times New Roman" w:hAnsi="Times New Roman"/>
                <w:sz w:val="24"/>
              </w:rPr>
            </w:pPr>
            <w:r w:rsidRPr="00207412">
              <w:rPr>
                <w:rFonts w:ascii="Times New Roman" w:hAnsi="Times New Roman"/>
                <w:sz w:val="24"/>
              </w:rPr>
              <w:t>Články 327, 329, 332, 341</w:t>
            </w:r>
            <w:r w:rsidR="00207412">
              <w:rPr>
                <w:rFonts w:ascii="Times New Roman" w:hAnsi="Times New Roman"/>
                <w:sz w:val="24"/>
              </w:rPr>
              <w:t xml:space="preserve"> a </w:t>
            </w:r>
            <w:r w:rsidRPr="00207412">
              <w:rPr>
                <w:rFonts w:ascii="Times New Roman" w:hAnsi="Times New Roman"/>
                <w:sz w:val="24"/>
              </w:rPr>
              <w:t xml:space="preserve">345 nariadenia (EÚ) </w:t>
            </w:r>
            <w:r w:rsidR="00207412">
              <w:rPr>
                <w:rFonts w:ascii="Times New Roman" w:hAnsi="Times New Roman"/>
                <w:sz w:val="24"/>
              </w:rPr>
              <w:t>č. </w:t>
            </w:r>
            <w:r w:rsidRPr="00207412">
              <w:rPr>
                <w:rFonts w:ascii="Times New Roman" w:hAnsi="Times New Roman"/>
                <w:sz w:val="24"/>
              </w:rPr>
              <w:t xml:space="preserve">575/2013. </w:t>
            </w:r>
          </w:p>
        </w:tc>
      </w:tr>
      <w:tr w:rsidR="000B0B09" w:rsidRPr="00207412" w14:paraId="1ED40A34" w14:textId="77777777" w:rsidTr="00672D2A">
        <w:tc>
          <w:tcPr>
            <w:tcW w:w="988" w:type="dxa"/>
          </w:tcPr>
          <w:p w14:paraId="49ADB5D9"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0050</w:t>
            </w:r>
          </w:p>
        </w:tc>
        <w:tc>
          <w:tcPr>
            <w:tcW w:w="7874" w:type="dxa"/>
          </w:tcPr>
          <w:p w14:paraId="28262B96" w14:textId="77777777" w:rsidR="000B0B09" w:rsidRPr="00207412" w:rsidRDefault="000B0B09" w:rsidP="004C445F">
            <w:pPr>
              <w:tabs>
                <w:tab w:val="left" w:pos="5795"/>
              </w:tabs>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POZÍCIE, NA KTORÉ SA VZŤAHUJE KAPITÁLOVÁ POŽIADAVKA</w:t>
            </w:r>
          </w:p>
          <w:p w14:paraId="5B62E698" w14:textId="24EB48B0" w:rsidR="000B0B09" w:rsidRPr="00207412" w:rsidRDefault="000B0B09" w:rsidP="004C445F">
            <w:pPr>
              <w:suppressAutoHyphens/>
              <w:autoSpaceDE w:val="0"/>
              <w:autoSpaceDN w:val="0"/>
              <w:adjustRightInd w:val="0"/>
              <w:spacing w:after="0"/>
              <w:rPr>
                <w:rFonts w:ascii="Times New Roman" w:hAnsi="Times New Roman"/>
                <w:sz w:val="24"/>
              </w:rPr>
            </w:pPr>
            <w:r w:rsidRPr="00207412">
              <w:rPr>
                <w:rFonts w:ascii="Times New Roman" w:hAnsi="Times New Roman"/>
                <w:sz w:val="24"/>
              </w:rPr>
              <w:t>Ide</w:t>
            </w:r>
            <w:r w:rsidR="00207412">
              <w:rPr>
                <w:rFonts w:ascii="Times New Roman" w:hAnsi="Times New Roman"/>
                <w:sz w:val="24"/>
              </w:rPr>
              <w:t xml:space="preserve"> o </w:t>
            </w:r>
            <w:r w:rsidRPr="00207412">
              <w:rPr>
                <w:rFonts w:ascii="Times New Roman" w:hAnsi="Times New Roman"/>
                <w:sz w:val="24"/>
              </w:rPr>
              <w:t>čisté pozície, na ktoré sa podľa rôznych prístupov</w:t>
            </w:r>
            <w:r w:rsidR="00207412">
              <w:rPr>
                <w:rFonts w:ascii="Times New Roman" w:hAnsi="Times New Roman"/>
                <w:sz w:val="24"/>
              </w:rPr>
              <w:t xml:space="preserve"> v </w:t>
            </w:r>
            <w:r w:rsidRPr="00207412">
              <w:rPr>
                <w:rFonts w:ascii="Times New Roman" w:hAnsi="Times New Roman"/>
                <w:sz w:val="24"/>
              </w:rPr>
              <w:t xml:space="preserve">tretej časti hlave IV kapitole 2 nariadenia (EÚ) </w:t>
            </w:r>
            <w:r w:rsidR="00207412">
              <w:rPr>
                <w:rFonts w:ascii="Times New Roman" w:hAnsi="Times New Roman"/>
                <w:sz w:val="24"/>
              </w:rPr>
              <w:t>č. </w:t>
            </w:r>
            <w:r w:rsidRPr="00207412">
              <w:rPr>
                <w:rFonts w:ascii="Times New Roman" w:hAnsi="Times New Roman"/>
                <w:sz w:val="24"/>
              </w:rPr>
              <w:t xml:space="preserve">575/2013 vzťahuje kapitálová požiadavka. Kapitálová požiadavka sa počíta samostatne pre každý vnútroštátny trh. Do tohto stĺpca sa podľa článku 344 ods. 4 druhej vety nariadenia (EÚ) </w:t>
            </w:r>
            <w:r w:rsidR="00207412">
              <w:rPr>
                <w:rFonts w:ascii="Times New Roman" w:hAnsi="Times New Roman"/>
                <w:sz w:val="24"/>
              </w:rPr>
              <w:t>č. </w:t>
            </w:r>
            <w:r w:rsidRPr="00207412">
              <w:rPr>
                <w:rFonts w:ascii="Times New Roman" w:hAnsi="Times New Roman"/>
                <w:sz w:val="24"/>
              </w:rPr>
              <w:t>575/2013 nezahŕňajú pozície vo futures na akciový index.</w:t>
            </w:r>
          </w:p>
          <w:p w14:paraId="7C352B88"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07412" w14:paraId="57DD60D2" w14:textId="77777777" w:rsidTr="00672D2A">
        <w:tc>
          <w:tcPr>
            <w:tcW w:w="988" w:type="dxa"/>
          </w:tcPr>
          <w:p w14:paraId="479821DD"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0060</w:t>
            </w:r>
          </w:p>
        </w:tc>
        <w:tc>
          <w:tcPr>
            <w:tcW w:w="7874" w:type="dxa"/>
          </w:tcPr>
          <w:p w14:paraId="3258053C" w14:textId="77777777" w:rsidR="000B0B09" w:rsidRPr="00207412"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POŽIADAVKY NA VLASTNÉ ZDROJE</w:t>
            </w:r>
          </w:p>
          <w:p w14:paraId="75CDA27D" w14:textId="2FC1AF23" w:rsidR="000B0B09" w:rsidRPr="00207412" w:rsidRDefault="000B0B09" w:rsidP="004C445F">
            <w:pPr>
              <w:suppressAutoHyphens/>
              <w:autoSpaceDE w:val="0"/>
              <w:autoSpaceDN w:val="0"/>
              <w:adjustRightInd w:val="0"/>
              <w:spacing w:after="0"/>
              <w:rPr>
                <w:rFonts w:ascii="Times New Roman" w:hAnsi="Times New Roman"/>
                <w:sz w:val="24"/>
              </w:rPr>
            </w:pPr>
            <w:r w:rsidRPr="00207412">
              <w:rPr>
                <w:rFonts w:ascii="Times New Roman" w:hAnsi="Times New Roman"/>
                <w:sz w:val="24"/>
              </w:rPr>
              <w:t>Požiadavka na vlastné zdroje pre všetky relevantné pozície</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 xml:space="preserve">treťou časťou hlavou IV kapitolou 2 nariadenia (EÚ) </w:t>
            </w:r>
            <w:r w:rsidR="00207412">
              <w:rPr>
                <w:rFonts w:ascii="Times New Roman" w:hAnsi="Times New Roman"/>
                <w:sz w:val="24"/>
              </w:rPr>
              <w:t>č. </w:t>
            </w:r>
            <w:r w:rsidRPr="00207412">
              <w:rPr>
                <w:rFonts w:ascii="Times New Roman" w:hAnsi="Times New Roman"/>
                <w:sz w:val="24"/>
              </w:rPr>
              <w:t>575/2013.</w:t>
            </w:r>
          </w:p>
          <w:p w14:paraId="6CDF917D" w14:textId="77777777" w:rsidR="000B0B09" w:rsidRPr="00207412"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r w:rsidR="000B0B09" w:rsidRPr="00207412" w14:paraId="62F4C373" w14:textId="77777777" w:rsidTr="00672D2A">
        <w:tc>
          <w:tcPr>
            <w:tcW w:w="988" w:type="dxa"/>
          </w:tcPr>
          <w:p w14:paraId="62D82E3B"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0070</w:t>
            </w:r>
          </w:p>
        </w:tc>
        <w:tc>
          <w:tcPr>
            <w:tcW w:w="7874" w:type="dxa"/>
          </w:tcPr>
          <w:p w14:paraId="1A727463" w14:textId="77777777" w:rsidR="000B0B09" w:rsidRPr="00207412"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CELKOVÁ HODNOTA RIZIKOVEJ EXPOZÍCIE</w:t>
            </w:r>
          </w:p>
          <w:p w14:paraId="5CC160FC" w14:textId="2ABEA3F9" w:rsidR="00207412" w:rsidRDefault="000B0B09" w:rsidP="004C445F">
            <w:pPr>
              <w:tabs>
                <w:tab w:val="left" w:pos="1665"/>
              </w:tabs>
              <w:suppressAutoHyphens/>
              <w:autoSpaceDE w:val="0"/>
              <w:autoSpaceDN w:val="0"/>
              <w:adjustRightInd w:val="0"/>
              <w:spacing w:after="0"/>
              <w:rPr>
                <w:rFonts w:ascii="Times New Roman" w:hAnsi="Times New Roman"/>
                <w:sz w:val="24"/>
              </w:rPr>
            </w:pPr>
            <w:r w:rsidRPr="00207412">
              <w:rPr>
                <w:rFonts w:ascii="Times New Roman" w:hAnsi="Times New Roman"/>
                <w:sz w:val="24"/>
              </w:rPr>
              <w:lastRenderedPageBreak/>
              <w:t xml:space="preserve">Článok 92 ods. 6 písm. b) nariadenia (EÚ) </w:t>
            </w:r>
            <w:r w:rsidR="00207412">
              <w:rPr>
                <w:rFonts w:ascii="Times New Roman" w:hAnsi="Times New Roman"/>
                <w:sz w:val="24"/>
              </w:rPr>
              <w:t>č. </w:t>
            </w:r>
            <w:r w:rsidRPr="00207412">
              <w:rPr>
                <w:rFonts w:ascii="Times New Roman" w:hAnsi="Times New Roman"/>
                <w:sz w:val="24"/>
              </w:rPr>
              <w:t>575/2013</w:t>
            </w:r>
            <w:r w:rsidR="00207412">
              <w:rPr>
                <w:rFonts w:ascii="Times New Roman" w:hAnsi="Times New Roman"/>
                <w:sz w:val="24"/>
              </w:rPr>
              <w:t>.</w:t>
            </w:r>
          </w:p>
          <w:p w14:paraId="5D42B3B3" w14:textId="50DD8197" w:rsidR="000B0B09" w:rsidRPr="00207412" w:rsidRDefault="000B0B09" w:rsidP="004C445F">
            <w:pPr>
              <w:tabs>
                <w:tab w:val="left" w:pos="1665"/>
              </w:tabs>
              <w:suppressAutoHyphens/>
              <w:autoSpaceDE w:val="0"/>
              <w:autoSpaceDN w:val="0"/>
              <w:adjustRightInd w:val="0"/>
              <w:rPr>
                <w:rFonts w:ascii="Times New Roman" w:hAnsi="Times New Roman"/>
                <w:b/>
                <w:bCs/>
                <w:sz w:val="24"/>
                <w:u w:val="single"/>
              </w:rPr>
            </w:pPr>
            <w:r w:rsidRPr="00207412">
              <w:rPr>
                <w:rFonts w:ascii="Times New Roman" w:hAnsi="Times New Roman"/>
                <w:sz w:val="24"/>
              </w:rPr>
              <w:t xml:space="preserve">Výsledok vynásobenia požiadaviek na vlastné zdroje koeficientom 12,5. </w:t>
            </w:r>
          </w:p>
        </w:tc>
      </w:tr>
    </w:tbl>
    <w:p w14:paraId="62FB026B"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7646"/>
      </w:tblGrid>
      <w:tr w:rsidR="000B0B09" w:rsidRPr="00207412" w14:paraId="4775591D" w14:textId="77777777" w:rsidTr="00672D2A">
        <w:trPr>
          <w:trHeight w:val="662"/>
        </w:trPr>
        <w:tc>
          <w:tcPr>
            <w:tcW w:w="9212" w:type="dxa"/>
            <w:gridSpan w:val="2"/>
            <w:shd w:val="clear" w:color="auto" w:fill="CCCCCC"/>
          </w:tcPr>
          <w:p w14:paraId="5298B570" w14:textId="77777777" w:rsidR="000B0B09" w:rsidRPr="00207412" w:rsidRDefault="000B0B09" w:rsidP="004C445F">
            <w:pPr>
              <w:suppressAutoHyphens/>
              <w:autoSpaceDE w:val="0"/>
              <w:autoSpaceDN w:val="0"/>
              <w:adjustRightInd w:val="0"/>
              <w:spacing w:after="0"/>
              <w:rPr>
                <w:rFonts w:ascii="Times New Roman" w:hAnsi="Times New Roman"/>
                <w:b/>
                <w:sz w:val="24"/>
              </w:rPr>
            </w:pPr>
            <w:r w:rsidRPr="00207412">
              <w:rPr>
                <w:rFonts w:ascii="Times New Roman" w:hAnsi="Times New Roman"/>
                <w:b/>
                <w:sz w:val="24"/>
              </w:rPr>
              <w:t>Riadky</w:t>
            </w:r>
          </w:p>
        </w:tc>
      </w:tr>
      <w:tr w:rsidR="000B0B09" w:rsidRPr="00207412" w14:paraId="7546B05C" w14:textId="77777777" w:rsidTr="00672D2A">
        <w:tc>
          <w:tcPr>
            <w:tcW w:w="1008" w:type="dxa"/>
          </w:tcPr>
          <w:p w14:paraId="7BE875B0"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0010 – 0130</w:t>
            </w:r>
          </w:p>
        </w:tc>
        <w:tc>
          <w:tcPr>
            <w:tcW w:w="8204" w:type="dxa"/>
          </w:tcPr>
          <w:p w14:paraId="1FF7DE12" w14:textId="2CD74D6D"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KAPITÁLOVÉ CENNÉ PAPIERE</w:t>
            </w:r>
            <w:r w:rsidR="00207412">
              <w:rPr>
                <w:rFonts w:ascii="Times New Roman" w:hAnsi="Times New Roman"/>
                <w:b/>
                <w:sz w:val="24"/>
                <w:u w:val="single"/>
              </w:rPr>
              <w:t xml:space="preserve"> V </w:t>
            </w:r>
            <w:r w:rsidRPr="00207412">
              <w:rPr>
                <w:rFonts w:ascii="Times New Roman" w:hAnsi="Times New Roman"/>
                <w:b/>
                <w:sz w:val="24"/>
                <w:u w:val="single"/>
              </w:rPr>
              <w:t>OBCHODNEJ KNIHE</w:t>
            </w:r>
          </w:p>
          <w:p w14:paraId="030F1935" w14:textId="5587A0D6" w:rsidR="000B0B09" w:rsidRPr="00207412" w:rsidRDefault="000B0B09" w:rsidP="004C445F">
            <w:pPr>
              <w:tabs>
                <w:tab w:val="left" w:pos="1665"/>
              </w:tabs>
              <w:suppressAutoHyphens/>
              <w:autoSpaceDE w:val="0"/>
              <w:autoSpaceDN w:val="0"/>
              <w:adjustRightInd w:val="0"/>
              <w:rPr>
                <w:rFonts w:ascii="Times New Roman" w:hAnsi="Times New Roman"/>
                <w:sz w:val="24"/>
              </w:rPr>
            </w:pPr>
            <w:r w:rsidRPr="00207412">
              <w:rPr>
                <w:rFonts w:ascii="Times New Roman" w:hAnsi="Times New Roman"/>
                <w:sz w:val="24"/>
              </w:rPr>
              <w:t xml:space="preserve">Požiadavky na vlastné zdroje pre pozičné riziko podľa článku 92 ods. 3 písm. b) bodu i) nariadenia (EÚ) </w:t>
            </w:r>
            <w:r w:rsidR="00207412">
              <w:rPr>
                <w:rFonts w:ascii="Times New Roman" w:hAnsi="Times New Roman"/>
                <w:sz w:val="24"/>
              </w:rPr>
              <w:t>č. </w:t>
            </w:r>
            <w:r w:rsidRPr="00207412">
              <w:rPr>
                <w:rFonts w:ascii="Times New Roman" w:hAnsi="Times New Roman"/>
                <w:sz w:val="24"/>
              </w:rPr>
              <w:t>575/2013</w:t>
            </w:r>
            <w:r w:rsidR="00207412">
              <w:rPr>
                <w:rFonts w:ascii="Times New Roman" w:hAnsi="Times New Roman"/>
                <w:sz w:val="24"/>
              </w:rPr>
              <w:t xml:space="preserve"> a </w:t>
            </w:r>
            <w:r w:rsidRPr="00207412">
              <w:rPr>
                <w:rFonts w:ascii="Times New Roman" w:hAnsi="Times New Roman"/>
                <w:sz w:val="24"/>
              </w:rPr>
              <w:t>tretej časti hlavy IV kapitoly 2 oddielu 3 uvedeného nariadenia.</w:t>
            </w:r>
          </w:p>
        </w:tc>
      </w:tr>
      <w:tr w:rsidR="000B0B09" w:rsidRPr="00207412" w14:paraId="06FCC7F1" w14:textId="77777777" w:rsidTr="00672D2A">
        <w:tc>
          <w:tcPr>
            <w:tcW w:w="1008" w:type="dxa"/>
          </w:tcPr>
          <w:p w14:paraId="33E8BCC6"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0020 – 0040</w:t>
            </w:r>
          </w:p>
        </w:tc>
        <w:tc>
          <w:tcPr>
            <w:tcW w:w="8204" w:type="dxa"/>
          </w:tcPr>
          <w:p w14:paraId="029ED25F"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VŠEOBECNÉ RIZIKO</w:t>
            </w:r>
          </w:p>
          <w:p w14:paraId="394A1C13" w14:textId="51C478D4" w:rsidR="00207412" w:rsidRDefault="000B0B09" w:rsidP="004C445F">
            <w:pPr>
              <w:suppressAutoHyphens/>
              <w:autoSpaceDE w:val="0"/>
              <w:autoSpaceDN w:val="0"/>
              <w:adjustRightInd w:val="0"/>
              <w:rPr>
                <w:rFonts w:ascii="Times New Roman" w:hAnsi="Times New Roman"/>
                <w:sz w:val="24"/>
              </w:rPr>
            </w:pPr>
            <w:r w:rsidRPr="00207412">
              <w:rPr>
                <w:rFonts w:ascii="Times New Roman" w:hAnsi="Times New Roman"/>
                <w:sz w:val="24"/>
              </w:rPr>
              <w:t>Pozície</w:t>
            </w:r>
            <w:r w:rsidR="00207412">
              <w:rPr>
                <w:rFonts w:ascii="Times New Roman" w:hAnsi="Times New Roman"/>
                <w:sz w:val="24"/>
              </w:rPr>
              <w:t xml:space="preserve"> v </w:t>
            </w:r>
            <w:r w:rsidRPr="00207412">
              <w:rPr>
                <w:rFonts w:ascii="Times New Roman" w:hAnsi="Times New Roman"/>
                <w:sz w:val="24"/>
              </w:rPr>
              <w:t xml:space="preserve">kapitálových cenných papieroch, ktoré podliehajú všeobecnému riziku [článok 343 nariadenia (EÚ) </w:t>
            </w:r>
            <w:r w:rsidR="00207412">
              <w:rPr>
                <w:rFonts w:ascii="Times New Roman" w:hAnsi="Times New Roman"/>
                <w:sz w:val="24"/>
              </w:rPr>
              <w:t>č. </w:t>
            </w:r>
            <w:r w:rsidRPr="00207412">
              <w:rPr>
                <w:rFonts w:ascii="Times New Roman" w:hAnsi="Times New Roman"/>
                <w:sz w:val="24"/>
              </w:rPr>
              <w:t>575/2013],</w:t>
            </w:r>
            <w:r w:rsidR="00207412">
              <w:rPr>
                <w:rFonts w:ascii="Times New Roman" w:hAnsi="Times New Roman"/>
                <w:sz w:val="24"/>
              </w:rPr>
              <w:t xml:space="preserve"> a </w:t>
            </w:r>
            <w:r w:rsidRPr="00207412">
              <w:rPr>
                <w:rFonts w:ascii="Times New Roman" w:hAnsi="Times New Roman"/>
                <w:sz w:val="24"/>
              </w:rPr>
              <w:t>ich zodpovedajúca požiadavka na vlastné zdroje</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treťou časťou hlavou IV kapitolou 2 oddielom 3 uvedeného nariadenia</w:t>
            </w:r>
            <w:r w:rsidR="00207412">
              <w:rPr>
                <w:rFonts w:ascii="Times New Roman" w:hAnsi="Times New Roman"/>
                <w:sz w:val="24"/>
              </w:rPr>
              <w:t>.</w:t>
            </w:r>
          </w:p>
          <w:p w14:paraId="729400AD" w14:textId="01B2894E" w:rsidR="001E0C80" w:rsidRPr="00207412" w:rsidRDefault="000B0B09" w:rsidP="004C445F">
            <w:pPr>
              <w:suppressAutoHyphens/>
              <w:autoSpaceDE w:val="0"/>
              <w:autoSpaceDN w:val="0"/>
              <w:adjustRightInd w:val="0"/>
              <w:spacing w:before="0"/>
              <w:rPr>
                <w:rFonts w:ascii="Times New Roman" w:hAnsi="Times New Roman"/>
                <w:sz w:val="24"/>
              </w:rPr>
            </w:pPr>
            <w:r w:rsidRPr="00207412">
              <w:rPr>
                <w:rFonts w:ascii="Times New Roman" w:hAnsi="Times New Roman"/>
                <w:sz w:val="24"/>
              </w:rPr>
              <w:t>Obidve rozčlenenia (riadky 0021/0022 aj riadky 0030/0040) sú rozčlenenia týkajúce sa všetkých pozícií podliehajúcich všeobecnému riziku.</w:t>
            </w:r>
          </w:p>
          <w:p w14:paraId="599DEDC6" w14:textId="5B67FE6C" w:rsid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V riadkoch 0021</w:t>
            </w:r>
            <w:r w:rsidR="00207412">
              <w:rPr>
                <w:rFonts w:ascii="Times New Roman" w:hAnsi="Times New Roman"/>
                <w:sz w:val="24"/>
              </w:rPr>
              <w:t xml:space="preserve"> a </w:t>
            </w:r>
            <w:r w:rsidRPr="00207412">
              <w:rPr>
                <w:rFonts w:ascii="Times New Roman" w:hAnsi="Times New Roman"/>
                <w:sz w:val="24"/>
              </w:rPr>
              <w:t>0022 sa vyžadujú informácie</w:t>
            </w:r>
            <w:r w:rsidR="00207412">
              <w:rPr>
                <w:rFonts w:ascii="Times New Roman" w:hAnsi="Times New Roman"/>
                <w:sz w:val="24"/>
              </w:rPr>
              <w:t xml:space="preserve"> o </w:t>
            </w:r>
            <w:r w:rsidRPr="00207412">
              <w:rPr>
                <w:rFonts w:ascii="Times New Roman" w:hAnsi="Times New Roman"/>
                <w:sz w:val="24"/>
              </w:rPr>
              <w:t>rozčlenení podľa nástrojov</w:t>
            </w:r>
            <w:r w:rsidR="00207412">
              <w:rPr>
                <w:rFonts w:ascii="Times New Roman" w:hAnsi="Times New Roman"/>
                <w:sz w:val="24"/>
              </w:rPr>
              <w:t>.</w:t>
            </w:r>
          </w:p>
          <w:p w14:paraId="75FD06DA" w14:textId="552C0EE3" w:rsidR="000B0B09" w:rsidRPr="00207412" w:rsidRDefault="000B0B09" w:rsidP="004C445F">
            <w:pPr>
              <w:tabs>
                <w:tab w:val="left" w:pos="1665"/>
              </w:tabs>
              <w:suppressAutoHyphens/>
              <w:autoSpaceDE w:val="0"/>
              <w:autoSpaceDN w:val="0"/>
              <w:adjustRightInd w:val="0"/>
              <w:rPr>
                <w:rFonts w:ascii="Times New Roman" w:hAnsi="Times New Roman"/>
                <w:sz w:val="24"/>
              </w:rPr>
            </w:pPr>
            <w:r w:rsidRPr="00207412">
              <w:rPr>
                <w:rFonts w:ascii="Times New Roman" w:hAnsi="Times New Roman"/>
                <w:sz w:val="24"/>
              </w:rPr>
              <w:t>Ako základ na výpočet požiadaviek na vlastné zdroje sa používa len rozčlenenie</w:t>
            </w:r>
            <w:r w:rsidR="00207412">
              <w:rPr>
                <w:rFonts w:ascii="Times New Roman" w:hAnsi="Times New Roman"/>
                <w:sz w:val="24"/>
              </w:rPr>
              <w:t xml:space="preserve"> v </w:t>
            </w:r>
            <w:r w:rsidRPr="00207412">
              <w:rPr>
                <w:rFonts w:ascii="Times New Roman" w:hAnsi="Times New Roman"/>
                <w:sz w:val="24"/>
              </w:rPr>
              <w:t>riadkoch 0030</w:t>
            </w:r>
            <w:r w:rsidR="00207412">
              <w:rPr>
                <w:rFonts w:ascii="Times New Roman" w:hAnsi="Times New Roman"/>
                <w:sz w:val="24"/>
              </w:rPr>
              <w:t xml:space="preserve"> a </w:t>
            </w:r>
            <w:r w:rsidRPr="00207412">
              <w:rPr>
                <w:rFonts w:ascii="Times New Roman" w:hAnsi="Times New Roman"/>
                <w:sz w:val="24"/>
              </w:rPr>
              <w:t>0040.</w:t>
            </w:r>
          </w:p>
        </w:tc>
      </w:tr>
      <w:tr w:rsidR="000B0B09" w:rsidRPr="00207412" w14:paraId="7E2E7066" w14:textId="77777777" w:rsidTr="00672D2A">
        <w:tc>
          <w:tcPr>
            <w:tcW w:w="1008" w:type="dxa"/>
          </w:tcPr>
          <w:p w14:paraId="2A8F2E03"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0021</w:t>
            </w:r>
          </w:p>
        </w:tc>
        <w:tc>
          <w:tcPr>
            <w:tcW w:w="8204" w:type="dxa"/>
          </w:tcPr>
          <w:p w14:paraId="51E4EB2D" w14:textId="77777777" w:rsidR="000B0B09" w:rsidRPr="00207412" w:rsidRDefault="000B0B09" w:rsidP="004C445F">
            <w:pPr>
              <w:suppressAutoHyphens/>
              <w:autoSpaceDE w:val="0"/>
              <w:autoSpaceDN w:val="0"/>
              <w:adjustRightInd w:val="0"/>
              <w:spacing w:before="0" w:after="0"/>
              <w:rPr>
                <w:rFonts w:ascii="Times New Roman" w:hAnsi="Times New Roman"/>
                <w:b/>
                <w:sz w:val="24"/>
                <w:u w:val="single"/>
              </w:rPr>
            </w:pPr>
            <w:r w:rsidRPr="00207412">
              <w:rPr>
                <w:rFonts w:ascii="Times New Roman" w:hAnsi="Times New Roman"/>
                <w:b/>
                <w:sz w:val="24"/>
                <w:u w:val="single"/>
              </w:rPr>
              <w:t>Deriváty</w:t>
            </w:r>
          </w:p>
          <w:p w14:paraId="561EFF21" w14:textId="645D6273" w:rsidR="000B0B09" w:rsidRPr="00207412" w:rsidRDefault="000B0B09" w:rsidP="004C445F">
            <w:pPr>
              <w:suppressAutoHyphens/>
              <w:autoSpaceDE w:val="0"/>
              <w:autoSpaceDN w:val="0"/>
              <w:adjustRightInd w:val="0"/>
              <w:rPr>
                <w:rFonts w:ascii="Times New Roman" w:hAnsi="Times New Roman"/>
                <w:b/>
                <w:bCs/>
                <w:sz w:val="24"/>
                <w:u w:val="single"/>
              </w:rPr>
            </w:pPr>
            <w:r w:rsidRPr="00207412">
              <w:rPr>
                <w:rFonts w:ascii="Times New Roman" w:hAnsi="Times New Roman"/>
                <w:sz w:val="24"/>
              </w:rPr>
              <w:t>Deriváty zahrnuté vo výpočte akciového rizika pozícií</w:t>
            </w:r>
            <w:r w:rsidR="00207412">
              <w:rPr>
                <w:rFonts w:ascii="Times New Roman" w:hAnsi="Times New Roman"/>
                <w:sz w:val="24"/>
              </w:rPr>
              <w:t xml:space="preserve"> v </w:t>
            </w:r>
            <w:r w:rsidRPr="00207412">
              <w:rPr>
                <w:rFonts w:ascii="Times New Roman" w:hAnsi="Times New Roman"/>
                <w:sz w:val="24"/>
              </w:rPr>
              <w:t>obchodnej knihe so zohľadnením článkov 329</w:t>
            </w:r>
            <w:r w:rsidR="00207412">
              <w:rPr>
                <w:rFonts w:ascii="Times New Roman" w:hAnsi="Times New Roman"/>
                <w:sz w:val="24"/>
              </w:rPr>
              <w:t xml:space="preserve"> a </w:t>
            </w:r>
            <w:r w:rsidRPr="00207412">
              <w:rPr>
                <w:rFonts w:ascii="Times New Roman" w:hAnsi="Times New Roman"/>
                <w:sz w:val="24"/>
              </w:rPr>
              <w:t xml:space="preserve">332 nariadenia (EÚ) </w:t>
            </w:r>
            <w:r w:rsidR="00207412">
              <w:rPr>
                <w:rFonts w:ascii="Times New Roman" w:hAnsi="Times New Roman"/>
                <w:sz w:val="24"/>
              </w:rPr>
              <w:t>č. </w:t>
            </w:r>
            <w:r w:rsidRPr="00207412">
              <w:rPr>
                <w:rFonts w:ascii="Times New Roman" w:hAnsi="Times New Roman"/>
                <w:sz w:val="24"/>
              </w:rPr>
              <w:t>575/2013, ak sú uplatniteľné.</w:t>
            </w:r>
          </w:p>
        </w:tc>
      </w:tr>
      <w:tr w:rsidR="000B0B09" w:rsidRPr="00207412" w14:paraId="70CC2A6A" w14:textId="77777777" w:rsidTr="00672D2A">
        <w:tc>
          <w:tcPr>
            <w:tcW w:w="1008" w:type="dxa"/>
          </w:tcPr>
          <w:p w14:paraId="569AE9F8"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0022</w:t>
            </w:r>
          </w:p>
        </w:tc>
        <w:tc>
          <w:tcPr>
            <w:tcW w:w="8204" w:type="dxa"/>
          </w:tcPr>
          <w:p w14:paraId="100EC51C" w14:textId="418D76D2" w:rsidR="000B0B09" w:rsidRPr="00207412" w:rsidRDefault="000B0B09" w:rsidP="004C445F">
            <w:pPr>
              <w:suppressAutoHyphens/>
              <w:autoSpaceDE w:val="0"/>
              <w:autoSpaceDN w:val="0"/>
              <w:adjustRightInd w:val="0"/>
              <w:spacing w:before="0" w:after="0"/>
              <w:rPr>
                <w:rFonts w:ascii="Times New Roman" w:hAnsi="Times New Roman"/>
                <w:b/>
                <w:sz w:val="24"/>
                <w:u w:val="single"/>
              </w:rPr>
            </w:pPr>
            <w:r w:rsidRPr="00207412">
              <w:rPr>
                <w:rFonts w:ascii="Times New Roman" w:hAnsi="Times New Roman"/>
                <w:b/>
                <w:sz w:val="24"/>
                <w:u w:val="single"/>
              </w:rPr>
              <w:t>Ostatné aktíva</w:t>
            </w:r>
            <w:r w:rsidR="00207412">
              <w:rPr>
                <w:rFonts w:ascii="Times New Roman" w:hAnsi="Times New Roman"/>
                <w:b/>
                <w:sz w:val="24"/>
                <w:u w:val="single"/>
              </w:rPr>
              <w:t xml:space="preserve"> a </w:t>
            </w:r>
            <w:r w:rsidRPr="00207412">
              <w:rPr>
                <w:rFonts w:ascii="Times New Roman" w:hAnsi="Times New Roman"/>
                <w:b/>
                <w:sz w:val="24"/>
                <w:u w:val="single"/>
              </w:rPr>
              <w:t>záväzky</w:t>
            </w:r>
          </w:p>
          <w:p w14:paraId="21AC79DF" w14:textId="0034BCF1" w:rsidR="000B0B09" w:rsidRPr="00207412" w:rsidRDefault="000B0B09" w:rsidP="004C445F">
            <w:pPr>
              <w:suppressAutoHyphens/>
              <w:autoSpaceDE w:val="0"/>
              <w:autoSpaceDN w:val="0"/>
              <w:adjustRightInd w:val="0"/>
              <w:rPr>
                <w:rFonts w:ascii="Times New Roman" w:hAnsi="Times New Roman"/>
                <w:b/>
                <w:bCs/>
                <w:sz w:val="24"/>
                <w:u w:val="single"/>
              </w:rPr>
            </w:pPr>
            <w:r w:rsidRPr="00207412">
              <w:rPr>
                <w:rFonts w:ascii="Times New Roman" w:hAnsi="Times New Roman"/>
                <w:sz w:val="24"/>
              </w:rPr>
              <w:t>Nástroje iné než deriváty zahrnuté vo výpočte akciového rizika pozícií</w:t>
            </w:r>
            <w:r w:rsidR="00207412">
              <w:rPr>
                <w:rFonts w:ascii="Times New Roman" w:hAnsi="Times New Roman"/>
                <w:sz w:val="24"/>
              </w:rPr>
              <w:t xml:space="preserve"> v </w:t>
            </w:r>
            <w:r w:rsidRPr="00207412">
              <w:rPr>
                <w:rFonts w:ascii="Times New Roman" w:hAnsi="Times New Roman"/>
                <w:sz w:val="24"/>
              </w:rPr>
              <w:t xml:space="preserve">obchodnej knihe. </w:t>
            </w:r>
          </w:p>
        </w:tc>
      </w:tr>
      <w:tr w:rsidR="000B0B09" w:rsidRPr="00207412" w14:paraId="2ECBC519" w14:textId="77777777" w:rsidTr="00672D2A">
        <w:tc>
          <w:tcPr>
            <w:tcW w:w="1008" w:type="dxa"/>
          </w:tcPr>
          <w:p w14:paraId="63840C82"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0030</w:t>
            </w:r>
          </w:p>
        </w:tc>
        <w:tc>
          <w:tcPr>
            <w:tcW w:w="8204" w:type="dxa"/>
          </w:tcPr>
          <w:p w14:paraId="5BE0B58F"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Značne diverzifikované futures na akciový index obchodované na burze, na ktoré sa uplatňuje osobitný prístup</w:t>
            </w:r>
          </w:p>
          <w:p w14:paraId="56A22316" w14:textId="4B48F623" w:rsidR="005C14B0" w:rsidRPr="00207412" w:rsidRDefault="000B0B09" w:rsidP="004C445F">
            <w:pPr>
              <w:tabs>
                <w:tab w:val="left" w:pos="1665"/>
              </w:tabs>
              <w:suppressAutoHyphens/>
              <w:autoSpaceDE w:val="0"/>
              <w:autoSpaceDN w:val="0"/>
              <w:adjustRightInd w:val="0"/>
              <w:rPr>
                <w:rFonts w:ascii="Times New Roman" w:hAnsi="Times New Roman"/>
                <w:sz w:val="24"/>
              </w:rPr>
            </w:pPr>
            <w:r w:rsidRPr="00207412">
              <w:rPr>
                <w:rFonts w:ascii="Times New Roman" w:hAnsi="Times New Roman"/>
                <w:sz w:val="24"/>
              </w:rPr>
              <w:t>Značne diverzifikované futures na akciový index obchodované na burze, na ktoré sa uplatňuje osobitný prístup</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 xml:space="preserve">vykonávacím nariadením Komisie (EÚ) </w:t>
            </w:r>
            <w:r w:rsidR="00207412">
              <w:rPr>
                <w:rFonts w:ascii="Times New Roman" w:hAnsi="Times New Roman"/>
                <w:sz w:val="24"/>
              </w:rPr>
              <w:t>č. </w:t>
            </w:r>
            <w:r w:rsidRPr="00207412">
              <w:rPr>
                <w:rFonts w:ascii="Times New Roman" w:hAnsi="Times New Roman"/>
                <w:sz w:val="24"/>
              </w:rPr>
              <w:t>945/2014</w:t>
            </w:r>
            <w:r w:rsidRPr="00207412">
              <w:rPr>
                <w:rStyle w:val="FootnoteReference"/>
              </w:rPr>
              <w:footnoteReference w:id="3"/>
            </w:r>
            <w:r w:rsidRPr="00207412">
              <w:rPr>
                <w:rFonts w:ascii="Times New Roman" w:hAnsi="Times New Roman"/>
                <w:sz w:val="24"/>
              </w:rPr>
              <w:t>.</w:t>
            </w:r>
          </w:p>
          <w:p w14:paraId="2528F1AA" w14:textId="7F706034" w:rsidR="000B0B09" w:rsidRPr="00207412" w:rsidRDefault="000B0B09" w:rsidP="004C445F">
            <w:pPr>
              <w:tabs>
                <w:tab w:val="left" w:pos="1665"/>
              </w:tabs>
              <w:suppressAutoHyphens/>
              <w:autoSpaceDE w:val="0"/>
              <w:autoSpaceDN w:val="0"/>
              <w:adjustRightInd w:val="0"/>
              <w:rPr>
                <w:rFonts w:ascii="Times New Roman" w:hAnsi="Times New Roman"/>
                <w:b/>
                <w:bCs/>
                <w:sz w:val="24"/>
                <w:u w:val="single"/>
              </w:rPr>
            </w:pPr>
            <w:r w:rsidRPr="00207412">
              <w:rPr>
                <w:rFonts w:ascii="Times New Roman" w:hAnsi="Times New Roman"/>
                <w:sz w:val="24"/>
              </w:rPr>
              <w:t>Uvedené pozície podliehajú len všeobecnému riziku,</w:t>
            </w:r>
            <w:r w:rsidR="00207412">
              <w:rPr>
                <w:rFonts w:ascii="Times New Roman" w:hAnsi="Times New Roman"/>
                <w:sz w:val="24"/>
              </w:rPr>
              <w:t xml:space="preserve"> a </w:t>
            </w:r>
            <w:r w:rsidRPr="00207412">
              <w:rPr>
                <w:rFonts w:ascii="Times New Roman" w:hAnsi="Times New Roman"/>
                <w:sz w:val="24"/>
              </w:rPr>
              <w:t>preto sa nevykazujú</w:t>
            </w:r>
            <w:r w:rsidR="00207412">
              <w:rPr>
                <w:rFonts w:ascii="Times New Roman" w:hAnsi="Times New Roman"/>
                <w:sz w:val="24"/>
              </w:rPr>
              <w:t xml:space="preserve"> v </w:t>
            </w:r>
            <w:r w:rsidRPr="00207412">
              <w:rPr>
                <w:rFonts w:ascii="Times New Roman" w:hAnsi="Times New Roman"/>
                <w:sz w:val="24"/>
              </w:rPr>
              <w:t>riadku 0050.</w:t>
            </w:r>
          </w:p>
        </w:tc>
      </w:tr>
      <w:tr w:rsidR="000B0B09" w:rsidRPr="00207412" w14:paraId="132F7A31" w14:textId="77777777" w:rsidTr="00672D2A">
        <w:tc>
          <w:tcPr>
            <w:tcW w:w="1008" w:type="dxa"/>
          </w:tcPr>
          <w:p w14:paraId="5A552EB7"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0040</w:t>
            </w:r>
          </w:p>
        </w:tc>
        <w:tc>
          <w:tcPr>
            <w:tcW w:w="8204" w:type="dxa"/>
          </w:tcPr>
          <w:p w14:paraId="10EE0C22"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Kapitálové cenné papiere iné než značne diverzifikované futures na akciový index obchodované na burze</w:t>
            </w:r>
          </w:p>
          <w:p w14:paraId="17542C2D" w14:textId="22F5853A" w:rsidR="000B0B09" w:rsidRPr="00207412" w:rsidRDefault="000B0B09" w:rsidP="004C445F">
            <w:pPr>
              <w:suppressAutoHyphens/>
              <w:autoSpaceDE w:val="0"/>
              <w:autoSpaceDN w:val="0"/>
              <w:adjustRightInd w:val="0"/>
              <w:rPr>
                <w:rFonts w:ascii="Times New Roman" w:hAnsi="Times New Roman"/>
                <w:sz w:val="24"/>
              </w:rPr>
            </w:pPr>
            <w:r w:rsidRPr="00207412">
              <w:rPr>
                <w:rFonts w:ascii="Times New Roman" w:hAnsi="Times New Roman"/>
                <w:sz w:val="24"/>
              </w:rPr>
              <w:t>Iné pozície</w:t>
            </w:r>
            <w:r w:rsidR="00207412">
              <w:rPr>
                <w:rFonts w:ascii="Times New Roman" w:hAnsi="Times New Roman"/>
                <w:sz w:val="24"/>
              </w:rPr>
              <w:t xml:space="preserve"> v </w:t>
            </w:r>
            <w:r w:rsidRPr="00207412">
              <w:rPr>
                <w:rFonts w:ascii="Times New Roman" w:hAnsi="Times New Roman"/>
                <w:sz w:val="24"/>
              </w:rPr>
              <w:t>kapitálových cenných papieroch, ktoré podliehajú špecifickému riziku,</w:t>
            </w:r>
            <w:r w:rsidR="00207412">
              <w:rPr>
                <w:rFonts w:ascii="Times New Roman" w:hAnsi="Times New Roman"/>
                <w:sz w:val="24"/>
              </w:rPr>
              <w:t xml:space="preserve"> a </w:t>
            </w:r>
            <w:r w:rsidRPr="00207412">
              <w:rPr>
                <w:rFonts w:ascii="Times New Roman" w:hAnsi="Times New Roman"/>
                <w:sz w:val="24"/>
              </w:rPr>
              <w:t>zodpovedajúce požiadavky na vlastné zdroje</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 xml:space="preserve">článkom 343 </w:t>
            </w:r>
            <w:r w:rsidRPr="00207412">
              <w:rPr>
                <w:rFonts w:ascii="Times New Roman" w:hAnsi="Times New Roman"/>
                <w:sz w:val="24"/>
              </w:rPr>
              <w:lastRenderedPageBreak/>
              <w:t xml:space="preserve">nariadenia (EÚ) </w:t>
            </w:r>
            <w:r w:rsidR="00207412">
              <w:rPr>
                <w:rFonts w:ascii="Times New Roman" w:hAnsi="Times New Roman"/>
                <w:sz w:val="24"/>
              </w:rPr>
              <w:t>č. </w:t>
            </w:r>
            <w:r w:rsidRPr="00207412">
              <w:rPr>
                <w:rFonts w:ascii="Times New Roman" w:hAnsi="Times New Roman"/>
                <w:sz w:val="24"/>
              </w:rPr>
              <w:t>575/2013 vrátane pozícií vo futures na akciový index,</w:t>
            </w:r>
            <w:r w:rsidR="00207412">
              <w:rPr>
                <w:rFonts w:ascii="Times New Roman" w:hAnsi="Times New Roman"/>
                <w:sz w:val="24"/>
              </w:rPr>
              <w:t xml:space="preserve"> s </w:t>
            </w:r>
            <w:r w:rsidRPr="00207412">
              <w:rPr>
                <w:rFonts w:ascii="Times New Roman" w:hAnsi="Times New Roman"/>
                <w:sz w:val="24"/>
              </w:rPr>
              <w:t>ktorými sa zaobchádza</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článkom 344 ods. 3 uvedeného nariadenia.</w:t>
            </w:r>
          </w:p>
        </w:tc>
      </w:tr>
      <w:tr w:rsidR="000B0B09" w:rsidRPr="00207412" w14:paraId="10C7ACD9" w14:textId="77777777" w:rsidTr="00672D2A">
        <w:tc>
          <w:tcPr>
            <w:tcW w:w="1008" w:type="dxa"/>
          </w:tcPr>
          <w:p w14:paraId="1F6F53FD"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lastRenderedPageBreak/>
              <w:t xml:space="preserve">0050 </w:t>
            </w:r>
          </w:p>
        </w:tc>
        <w:tc>
          <w:tcPr>
            <w:tcW w:w="8204" w:type="dxa"/>
          </w:tcPr>
          <w:p w14:paraId="0CF5CE81"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ŠPECIFICKÉ RIZIKO</w:t>
            </w:r>
          </w:p>
          <w:p w14:paraId="4CFFEA2D" w14:textId="1319A67A" w:rsidR="000B0B09" w:rsidRPr="00207412" w:rsidRDefault="000B0B09" w:rsidP="004C445F">
            <w:pPr>
              <w:suppressAutoHyphens/>
              <w:autoSpaceDE w:val="0"/>
              <w:autoSpaceDN w:val="0"/>
              <w:adjustRightInd w:val="0"/>
              <w:rPr>
                <w:rFonts w:ascii="Times New Roman" w:hAnsi="Times New Roman"/>
                <w:sz w:val="24"/>
              </w:rPr>
            </w:pPr>
            <w:r w:rsidRPr="00207412">
              <w:rPr>
                <w:rFonts w:ascii="Times New Roman" w:hAnsi="Times New Roman"/>
                <w:sz w:val="24"/>
              </w:rPr>
              <w:t>Pozície</w:t>
            </w:r>
            <w:r w:rsidR="00207412">
              <w:rPr>
                <w:rFonts w:ascii="Times New Roman" w:hAnsi="Times New Roman"/>
                <w:sz w:val="24"/>
              </w:rPr>
              <w:t xml:space="preserve"> v </w:t>
            </w:r>
            <w:r w:rsidRPr="00207412">
              <w:rPr>
                <w:rFonts w:ascii="Times New Roman" w:hAnsi="Times New Roman"/>
                <w:sz w:val="24"/>
              </w:rPr>
              <w:t>kapitálových cenných papieroch, ktoré podliehajú špecifickému riziku,</w:t>
            </w:r>
            <w:r w:rsidR="00207412">
              <w:rPr>
                <w:rFonts w:ascii="Times New Roman" w:hAnsi="Times New Roman"/>
                <w:sz w:val="24"/>
              </w:rPr>
              <w:t xml:space="preserve"> a </w:t>
            </w:r>
            <w:r w:rsidRPr="00207412">
              <w:rPr>
                <w:rFonts w:ascii="Times New Roman" w:hAnsi="Times New Roman"/>
                <w:sz w:val="24"/>
              </w:rPr>
              <w:t>zodpovedajúca požiadavka na vlastné zdroje</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 xml:space="preserve">článkom 342 nariadenia (EÚ) </w:t>
            </w:r>
            <w:r w:rsidR="00207412">
              <w:rPr>
                <w:rFonts w:ascii="Times New Roman" w:hAnsi="Times New Roman"/>
                <w:sz w:val="24"/>
              </w:rPr>
              <w:t>č. </w:t>
            </w:r>
            <w:r w:rsidRPr="00207412">
              <w:rPr>
                <w:rFonts w:ascii="Times New Roman" w:hAnsi="Times New Roman"/>
                <w:sz w:val="24"/>
              </w:rPr>
              <w:t>575/2013 okrem pozícií vo futures na akciový index,</w:t>
            </w:r>
            <w:r w:rsidR="00207412">
              <w:rPr>
                <w:rFonts w:ascii="Times New Roman" w:hAnsi="Times New Roman"/>
                <w:sz w:val="24"/>
              </w:rPr>
              <w:t xml:space="preserve"> s </w:t>
            </w:r>
            <w:r w:rsidRPr="00207412">
              <w:rPr>
                <w:rFonts w:ascii="Times New Roman" w:hAnsi="Times New Roman"/>
                <w:sz w:val="24"/>
              </w:rPr>
              <w:t>ktorými sa zaobchádza</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 xml:space="preserve">článkom 344 ods. 4 druhou vetou uvedeného nariadenia. </w:t>
            </w:r>
          </w:p>
        </w:tc>
      </w:tr>
      <w:tr w:rsidR="000B0B09" w:rsidRPr="00207412" w14:paraId="63780725" w14:textId="77777777" w:rsidTr="00672D2A">
        <w:tc>
          <w:tcPr>
            <w:tcW w:w="1008" w:type="dxa"/>
          </w:tcPr>
          <w:p w14:paraId="573EB4E8"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0090 – 0130</w:t>
            </w:r>
          </w:p>
        </w:tc>
        <w:tc>
          <w:tcPr>
            <w:tcW w:w="8204" w:type="dxa"/>
          </w:tcPr>
          <w:p w14:paraId="1BAF0B57"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Style w:val="InstructionsTabelleberschrift"/>
                <w:rFonts w:ascii="Times New Roman" w:hAnsi="Times New Roman"/>
                <w:sz w:val="24"/>
              </w:rPr>
              <w:t>DODATOČNÉ POŽIADAVKY PRE OPCIE (RIZIKÁ INÉ NEŽ DELTA)</w:t>
            </w:r>
          </w:p>
          <w:p w14:paraId="50B3F90F" w14:textId="5A84C492" w:rsidR="00207412" w:rsidRDefault="000B0B09" w:rsidP="004C445F">
            <w:pPr>
              <w:suppressAutoHyphens/>
              <w:autoSpaceDE w:val="0"/>
              <w:autoSpaceDN w:val="0"/>
              <w:adjustRightInd w:val="0"/>
              <w:rPr>
                <w:rFonts w:ascii="Times New Roman" w:hAnsi="Times New Roman"/>
                <w:sz w:val="24"/>
              </w:rPr>
            </w:pPr>
            <w:r w:rsidRPr="00207412">
              <w:rPr>
                <w:rFonts w:ascii="Times New Roman" w:hAnsi="Times New Roman"/>
                <w:sz w:val="24"/>
              </w:rPr>
              <w:t>Článok 329 ods. 2</w:t>
            </w:r>
            <w:r w:rsidR="00207412">
              <w:rPr>
                <w:rFonts w:ascii="Times New Roman" w:hAnsi="Times New Roman"/>
                <w:sz w:val="24"/>
              </w:rPr>
              <w:t xml:space="preserve"> a </w:t>
            </w:r>
            <w:r w:rsidRPr="00207412">
              <w:rPr>
                <w:rFonts w:ascii="Times New Roman" w:hAnsi="Times New Roman"/>
                <w:sz w:val="24"/>
              </w:rPr>
              <w:t xml:space="preserve">3 nariadenia (EÚ) </w:t>
            </w:r>
            <w:r w:rsidR="00207412">
              <w:rPr>
                <w:rFonts w:ascii="Times New Roman" w:hAnsi="Times New Roman"/>
                <w:sz w:val="24"/>
              </w:rPr>
              <w:t>č. </w:t>
            </w:r>
            <w:r w:rsidRPr="00207412">
              <w:rPr>
                <w:rFonts w:ascii="Times New Roman" w:hAnsi="Times New Roman"/>
                <w:sz w:val="24"/>
              </w:rPr>
              <w:t>575/2013</w:t>
            </w:r>
          </w:p>
          <w:p w14:paraId="72C3FAC3" w14:textId="2FF7CE59" w:rsidR="000B0B09" w:rsidRP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Dodatočné požiadavky pre opcie, ktoré súvisia</w:t>
            </w:r>
            <w:r w:rsidR="00207412">
              <w:rPr>
                <w:rFonts w:ascii="Times New Roman" w:hAnsi="Times New Roman"/>
                <w:sz w:val="24"/>
              </w:rPr>
              <w:t xml:space="preserve"> s </w:t>
            </w:r>
            <w:r w:rsidRPr="00207412">
              <w:rPr>
                <w:rFonts w:ascii="Times New Roman" w:hAnsi="Times New Roman"/>
                <w:sz w:val="24"/>
              </w:rPr>
              <w:t>rizikami inými než delta, sa vykazujú</w:t>
            </w:r>
            <w:r w:rsidR="00207412">
              <w:rPr>
                <w:rFonts w:ascii="Times New Roman" w:hAnsi="Times New Roman"/>
                <w:sz w:val="24"/>
              </w:rPr>
              <w:t xml:space="preserve"> v </w:t>
            </w:r>
            <w:r w:rsidRPr="00207412">
              <w:rPr>
                <w:rFonts w:ascii="Times New Roman" w:hAnsi="Times New Roman"/>
                <w:sz w:val="24"/>
              </w:rPr>
              <w:t>metóde použitej na ich výpočet.</w:t>
            </w:r>
          </w:p>
        </w:tc>
      </w:tr>
    </w:tbl>
    <w:p w14:paraId="0EB6FD79" w14:textId="77777777" w:rsidR="000B0B09" w:rsidRPr="00207412" w:rsidRDefault="000B0B09" w:rsidP="004C445F">
      <w:pPr>
        <w:suppressAutoHyphens/>
        <w:autoSpaceDE w:val="0"/>
        <w:autoSpaceDN w:val="0"/>
        <w:adjustRightInd w:val="0"/>
        <w:spacing w:before="0" w:after="0"/>
        <w:rPr>
          <w:rFonts w:ascii="Times New Roman" w:hAnsi="Times New Roman"/>
          <w:bCs/>
          <w:sz w:val="24"/>
          <w:lang w:eastAsia="nl-BE"/>
        </w:rPr>
      </w:pPr>
    </w:p>
    <w:p w14:paraId="1D26B512" w14:textId="2E1A7FF9" w:rsidR="000B0B09" w:rsidRPr="0020741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15" w:name="_Toc262566432"/>
      <w:bookmarkStart w:id="116" w:name="_Toc295830008"/>
      <w:bookmarkStart w:id="117" w:name="_Toc308426685"/>
      <w:bookmarkStart w:id="118" w:name="_Toc310415069"/>
      <w:bookmarkStart w:id="119" w:name="_Toc360188404"/>
      <w:bookmarkStart w:id="120" w:name="_Toc473561044"/>
      <w:bookmarkStart w:id="121" w:name="_Toc210895532"/>
      <w:r w:rsidRPr="00207412">
        <w:rPr>
          <w:rFonts w:ascii="Times New Roman" w:hAnsi="Times New Roman"/>
          <w:sz w:val="24"/>
          <w:u w:val="none"/>
        </w:rPr>
        <w:t>6.</w:t>
      </w:r>
      <w:r w:rsidRPr="00207412">
        <w:rPr>
          <w:u w:val="none"/>
        </w:rPr>
        <w:tab/>
      </w:r>
      <w:r w:rsidRPr="00207412">
        <w:rPr>
          <w:rFonts w:ascii="Times New Roman" w:hAnsi="Times New Roman"/>
          <w:sz w:val="24"/>
        </w:rPr>
        <w:t>C 22.00 – Trhové riziko: Štandardizované prístupy pre devízové riziko</w:t>
      </w:r>
      <w:bookmarkEnd w:id="115"/>
      <w:bookmarkEnd w:id="116"/>
      <w:bookmarkEnd w:id="117"/>
      <w:bookmarkEnd w:id="118"/>
      <w:bookmarkEnd w:id="119"/>
      <w:r w:rsidRPr="00207412">
        <w:rPr>
          <w:rFonts w:ascii="Times New Roman" w:hAnsi="Times New Roman"/>
          <w:sz w:val="24"/>
        </w:rPr>
        <w:t xml:space="preserve"> (MKR SA FX)</w:t>
      </w:r>
      <w:bookmarkEnd w:id="120"/>
      <w:bookmarkEnd w:id="121"/>
    </w:p>
    <w:p w14:paraId="70FD2A29" w14:textId="503A292B" w:rsidR="000B0B09" w:rsidRPr="0020741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22" w:name="_Toc262566433"/>
      <w:bookmarkStart w:id="123" w:name="_Toc295830009"/>
      <w:bookmarkStart w:id="124" w:name="_Toc308426686"/>
      <w:bookmarkStart w:id="125" w:name="_Toc310415070"/>
      <w:bookmarkStart w:id="126" w:name="_Toc360188405"/>
      <w:bookmarkStart w:id="127" w:name="_Toc473561045"/>
      <w:bookmarkStart w:id="128" w:name="_Toc210895533"/>
      <w:r w:rsidRPr="00207412">
        <w:rPr>
          <w:rFonts w:ascii="Times New Roman" w:hAnsi="Times New Roman"/>
          <w:sz w:val="24"/>
          <w:u w:val="none"/>
        </w:rPr>
        <w:t>6.1.</w:t>
      </w:r>
      <w:r w:rsidRPr="00207412">
        <w:rPr>
          <w:u w:val="none"/>
        </w:rPr>
        <w:tab/>
      </w:r>
      <w:r w:rsidRPr="00207412">
        <w:rPr>
          <w:rFonts w:ascii="Times New Roman" w:hAnsi="Times New Roman"/>
          <w:sz w:val="24"/>
        </w:rPr>
        <w:t>Všeobecné poznámky</w:t>
      </w:r>
      <w:bookmarkEnd w:id="122"/>
      <w:bookmarkEnd w:id="123"/>
      <w:bookmarkEnd w:id="124"/>
      <w:bookmarkEnd w:id="125"/>
      <w:bookmarkEnd w:id="126"/>
      <w:bookmarkEnd w:id="127"/>
      <w:bookmarkEnd w:id="128"/>
    </w:p>
    <w:p w14:paraId="3B4750B2" w14:textId="6C6E7C5B" w:rsidR="00F71DF2" w:rsidRPr="00207412" w:rsidRDefault="00A807E1" w:rsidP="00E172EA">
      <w:pPr>
        <w:pStyle w:val="InstructionsText2"/>
        <w:numPr>
          <w:ilvl w:val="0"/>
          <w:numId w:val="29"/>
        </w:numPr>
        <w:suppressAutoHyphens/>
      </w:pPr>
      <w:r w:rsidRPr="00207412">
        <w:t>Investičné spoločnosti vykazujú informácie</w:t>
      </w:r>
      <w:r w:rsidR="00207412">
        <w:t xml:space="preserve"> o </w:t>
      </w:r>
      <w:r w:rsidRPr="00207412">
        <w:t>pozíciách</w:t>
      </w:r>
      <w:r w:rsidR="00207412">
        <w:t xml:space="preserve"> v </w:t>
      </w:r>
      <w:r w:rsidRPr="00207412">
        <w:t>jednotlivých menách (vrátane meny vykazovania)</w:t>
      </w:r>
      <w:r w:rsidR="00207412">
        <w:t xml:space="preserve"> a o </w:t>
      </w:r>
      <w:r w:rsidRPr="00207412">
        <w:t>zodpovedajúcich požiadavkách na vlastné zdroje pre devízové riziko</w:t>
      </w:r>
      <w:r w:rsidR="00207412">
        <w:t xml:space="preserve"> v </w:t>
      </w:r>
      <w:r w:rsidRPr="00207412">
        <w:t>rámci štandardizovaného prístupu. Pozícia sa počíta pre každú menu (vrátane EUR), zlato</w:t>
      </w:r>
      <w:r w:rsidR="00207412">
        <w:t xml:space="preserve"> a </w:t>
      </w:r>
      <w:r w:rsidRPr="00207412">
        <w:t>pozície PKI.</w:t>
      </w:r>
    </w:p>
    <w:p w14:paraId="39EF826C" w14:textId="4CD744BE" w:rsidR="000B0B09" w:rsidRPr="00207412" w:rsidRDefault="00B31D8A" w:rsidP="00E172EA">
      <w:pPr>
        <w:pStyle w:val="InstructionsText2"/>
        <w:numPr>
          <w:ilvl w:val="0"/>
          <w:numId w:val="29"/>
        </w:numPr>
        <w:suppressAutoHyphens/>
      </w:pPr>
      <w:r w:rsidRPr="00207412">
        <w:t>Riadky 0100 až 0470 tohto vzoru sa vykazujú, ak investičné spoločnosti majú povolenie vykonávať činnosti 3 alebo 6 oddielu A prílohy I</w:t>
      </w:r>
      <w:r w:rsidR="00207412">
        <w:t xml:space="preserve"> k </w:t>
      </w:r>
      <w:r w:rsidRPr="00207412">
        <w:t>smernici Európskeho parlamentu</w:t>
      </w:r>
      <w:r w:rsidR="00207412">
        <w:t xml:space="preserve"> a </w:t>
      </w:r>
      <w:r w:rsidRPr="00207412">
        <w:t>Rady 2014/65/EÚ</w:t>
      </w:r>
      <w:r w:rsidRPr="00207412">
        <w:rPr>
          <w:rStyle w:val="FootnoteReference"/>
        </w:rPr>
        <w:footnoteReference w:id="4"/>
      </w:r>
      <w:r w:rsidRPr="00207412">
        <w:t>,</w:t>
      </w:r>
      <w:r w:rsidR="00207412">
        <w:t xml:space="preserve"> a </w:t>
      </w:r>
      <w:r w:rsidRPr="00207412">
        <w:t>to aj vtedy, keď sa od uvedených investičných spoločností nevyžaduje, aby vypočítavali požiadavky na vlastné zdroje pre devízové riziko</w:t>
      </w:r>
      <w:r w:rsidR="00207412">
        <w:t xml:space="preserve"> v </w:t>
      </w:r>
      <w:r w:rsidRPr="00207412">
        <w:t>súlade</w:t>
      </w:r>
      <w:r w:rsidR="00207412">
        <w:t xml:space="preserve"> s </w:t>
      </w:r>
      <w:r w:rsidRPr="00207412">
        <w:t xml:space="preserve">článkom 351 nariadenia (EÚ) </w:t>
      </w:r>
      <w:r w:rsidR="00207412">
        <w:t>č. </w:t>
      </w:r>
      <w:r w:rsidRPr="00207412">
        <w:t>575/2013.</w:t>
      </w:r>
      <w:r w:rsidR="00207412">
        <w:t xml:space="preserve"> V </w:t>
      </w:r>
      <w:r w:rsidRPr="00207412">
        <w:t>týchto doplňujúcich položkách sú</w:t>
      </w:r>
      <w:r w:rsidR="00207412">
        <w:t xml:space="preserve"> v </w:t>
      </w:r>
      <w:r w:rsidRPr="00207412">
        <w:t>riadkoch 0100 až 0470 zahrnuté všetky pozície</w:t>
      </w:r>
      <w:r w:rsidR="00207412">
        <w:t xml:space="preserve"> v </w:t>
      </w:r>
      <w:r w:rsidRPr="00207412">
        <w:t xml:space="preserve">mene vykazovania bez ohľadu na to, či sa berú do úvahy na účely článku 354 nariadenia (EÚ) </w:t>
      </w:r>
      <w:r w:rsidR="00207412">
        <w:t>č. </w:t>
      </w:r>
      <w:r w:rsidRPr="00207412">
        <w:t>575/2013. Riadky 0130 až 0470 doplňujúcich položiek vzoru sa vypĺňajú samostatne pre všetky meny členských štátov Únie, GBP, USD, CHF, JPY, RUB, TRY, AUD, CAD, RSD, ALL, UAH, MKD, EGP, ARS, BRL, MXN, HKD, ICK, TWD, NZD, NOK, SGD, KRW, CNY</w:t>
      </w:r>
      <w:r w:rsidR="00207412">
        <w:t xml:space="preserve"> a </w:t>
      </w:r>
      <w:r w:rsidRPr="00207412">
        <w:t>všetky ostatné meny.</w:t>
      </w:r>
    </w:p>
    <w:p w14:paraId="346B4732" w14:textId="0BDCE786" w:rsidR="000B0B09" w:rsidRPr="0020741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0" w:name="_Toc262566434"/>
      <w:bookmarkStart w:id="131" w:name="_Toc295830010"/>
      <w:bookmarkStart w:id="132" w:name="_Toc308426687"/>
      <w:bookmarkStart w:id="133" w:name="_Toc310415071"/>
      <w:bookmarkStart w:id="134" w:name="_Toc360188406"/>
      <w:bookmarkStart w:id="135" w:name="_Toc473561046"/>
      <w:bookmarkStart w:id="136" w:name="_Toc210895534"/>
      <w:r w:rsidRPr="00207412">
        <w:rPr>
          <w:rFonts w:ascii="Times New Roman" w:hAnsi="Times New Roman"/>
          <w:sz w:val="24"/>
          <w:u w:val="none"/>
        </w:rPr>
        <w:t>6.2.</w:t>
      </w:r>
      <w:r w:rsidRPr="00207412">
        <w:rPr>
          <w:u w:val="none"/>
        </w:rPr>
        <w:tab/>
      </w:r>
      <w:r w:rsidRPr="00207412">
        <w:rPr>
          <w:rFonts w:ascii="Times New Roman" w:hAnsi="Times New Roman"/>
          <w:sz w:val="24"/>
        </w:rPr>
        <w:t>Pokyny týkajúce sa konkrétnych pozícií</w:t>
      </w:r>
      <w:bookmarkEnd w:id="130"/>
      <w:bookmarkEnd w:id="131"/>
      <w:bookmarkEnd w:id="132"/>
      <w:bookmarkEnd w:id="133"/>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7646"/>
      </w:tblGrid>
      <w:tr w:rsidR="000B0B09" w:rsidRPr="00207412" w14:paraId="49DEFDC7" w14:textId="77777777" w:rsidTr="00672D2A">
        <w:trPr>
          <w:trHeight w:val="595"/>
        </w:trPr>
        <w:tc>
          <w:tcPr>
            <w:tcW w:w="8862" w:type="dxa"/>
            <w:gridSpan w:val="2"/>
            <w:shd w:val="clear" w:color="auto" w:fill="CCCCCC"/>
          </w:tcPr>
          <w:p w14:paraId="12971A77" w14:textId="77777777" w:rsidR="000B0B09" w:rsidRPr="00207412" w:rsidRDefault="000B0B09" w:rsidP="004C445F">
            <w:pPr>
              <w:suppressAutoHyphens/>
              <w:autoSpaceDE w:val="0"/>
              <w:autoSpaceDN w:val="0"/>
              <w:adjustRightInd w:val="0"/>
              <w:spacing w:after="0"/>
              <w:rPr>
                <w:rFonts w:ascii="Times New Roman" w:hAnsi="Times New Roman"/>
                <w:b/>
                <w:sz w:val="24"/>
              </w:rPr>
            </w:pPr>
            <w:r w:rsidRPr="00207412">
              <w:rPr>
                <w:rFonts w:ascii="Times New Roman" w:hAnsi="Times New Roman"/>
                <w:b/>
                <w:sz w:val="24"/>
              </w:rPr>
              <w:t>Stĺpce</w:t>
            </w:r>
          </w:p>
        </w:tc>
      </w:tr>
      <w:tr w:rsidR="000B0B09" w:rsidRPr="00207412" w14:paraId="159B4B41" w14:textId="77777777" w:rsidTr="00672D2A">
        <w:tc>
          <w:tcPr>
            <w:tcW w:w="988" w:type="dxa"/>
          </w:tcPr>
          <w:p w14:paraId="0ABA9E21"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0020 – 0030</w:t>
            </w:r>
          </w:p>
        </w:tc>
        <w:tc>
          <w:tcPr>
            <w:tcW w:w="7874" w:type="dxa"/>
          </w:tcPr>
          <w:p w14:paraId="3450FB81"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VŠETKY POZÍCIE (DLHÉ A KRÁTKE)</w:t>
            </w:r>
          </w:p>
          <w:p w14:paraId="21CD6173"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nl-BE"/>
              </w:rPr>
            </w:pPr>
          </w:p>
          <w:p w14:paraId="5F204D98" w14:textId="19CBBB81" w:rsidR="005C14B0" w:rsidRPr="00207412" w:rsidRDefault="000B0B09" w:rsidP="004C445F">
            <w:pPr>
              <w:suppressAutoHyphens/>
              <w:autoSpaceDE w:val="0"/>
              <w:autoSpaceDN w:val="0"/>
              <w:adjustRightInd w:val="0"/>
              <w:spacing w:before="0"/>
              <w:rPr>
                <w:rFonts w:ascii="Times New Roman" w:hAnsi="Times New Roman"/>
                <w:sz w:val="24"/>
              </w:rPr>
            </w:pPr>
            <w:r w:rsidRPr="00207412">
              <w:rPr>
                <w:rFonts w:ascii="Times New Roman" w:hAnsi="Times New Roman"/>
                <w:sz w:val="24"/>
              </w:rPr>
              <w:t>Hrubé pozície na základe aktív, súm, ktoré majú byť prijaté,</w:t>
            </w:r>
            <w:r w:rsidR="00207412">
              <w:rPr>
                <w:rFonts w:ascii="Times New Roman" w:hAnsi="Times New Roman"/>
                <w:sz w:val="24"/>
              </w:rPr>
              <w:t xml:space="preserve"> a </w:t>
            </w:r>
            <w:r w:rsidRPr="00207412">
              <w:rPr>
                <w:rFonts w:ascii="Times New Roman" w:hAnsi="Times New Roman"/>
                <w:sz w:val="24"/>
              </w:rPr>
              <w:t>podobných položiek uvedených</w:t>
            </w:r>
            <w:r w:rsidR="00207412">
              <w:rPr>
                <w:rFonts w:ascii="Times New Roman" w:hAnsi="Times New Roman"/>
                <w:sz w:val="24"/>
              </w:rPr>
              <w:t xml:space="preserve"> v </w:t>
            </w:r>
            <w:r w:rsidRPr="00207412">
              <w:rPr>
                <w:rFonts w:ascii="Times New Roman" w:hAnsi="Times New Roman"/>
                <w:sz w:val="24"/>
              </w:rPr>
              <w:t xml:space="preserve">článku 352 ods. 1 nariadenia (EÚ) </w:t>
            </w:r>
            <w:r w:rsidR="00207412">
              <w:rPr>
                <w:rFonts w:ascii="Times New Roman" w:hAnsi="Times New Roman"/>
                <w:sz w:val="24"/>
              </w:rPr>
              <w:t>č. </w:t>
            </w:r>
            <w:r w:rsidRPr="00207412">
              <w:rPr>
                <w:rFonts w:ascii="Times New Roman" w:hAnsi="Times New Roman"/>
                <w:sz w:val="24"/>
              </w:rPr>
              <w:t>575/2013.</w:t>
            </w:r>
          </w:p>
          <w:p w14:paraId="754DB1BB" w14:textId="65A6D9A3" w:rsidR="000B0B09" w:rsidRPr="00207412" w:rsidRDefault="00BB22D4"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lastRenderedPageBreak/>
              <w:t>V súlade</w:t>
            </w:r>
            <w:r w:rsidR="00207412">
              <w:rPr>
                <w:rFonts w:ascii="Times New Roman" w:hAnsi="Times New Roman"/>
                <w:sz w:val="24"/>
              </w:rPr>
              <w:t xml:space="preserve"> s </w:t>
            </w:r>
            <w:r w:rsidRPr="00207412">
              <w:rPr>
                <w:rFonts w:ascii="Times New Roman" w:hAnsi="Times New Roman"/>
                <w:sz w:val="24"/>
              </w:rPr>
              <w:t xml:space="preserve">článkom 352 ods. 2 nariadenia (EÚ) </w:t>
            </w:r>
            <w:r w:rsidR="00207412">
              <w:rPr>
                <w:rFonts w:ascii="Times New Roman" w:hAnsi="Times New Roman"/>
                <w:sz w:val="24"/>
              </w:rPr>
              <w:t>č. </w:t>
            </w:r>
            <w:r w:rsidRPr="00207412">
              <w:rPr>
                <w:rFonts w:ascii="Times New Roman" w:hAnsi="Times New Roman"/>
                <w:sz w:val="24"/>
              </w:rPr>
              <w:t>575/2013</w:t>
            </w:r>
            <w:r w:rsidR="00207412">
              <w:rPr>
                <w:rFonts w:ascii="Times New Roman" w:hAnsi="Times New Roman"/>
                <w:sz w:val="24"/>
              </w:rPr>
              <w:t xml:space="preserve"> a </w:t>
            </w:r>
            <w:r w:rsidRPr="00207412">
              <w:rPr>
                <w:rFonts w:ascii="Times New Roman" w:hAnsi="Times New Roman"/>
                <w:sz w:val="24"/>
              </w:rPr>
              <w:t>pod podmienkou súhlasu príslušných orgánov sa pozície zaujaté</w:t>
            </w:r>
            <w:r w:rsidR="00207412">
              <w:rPr>
                <w:rFonts w:ascii="Times New Roman" w:hAnsi="Times New Roman"/>
                <w:sz w:val="24"/>
              </w:rPr>
              <w:t xml:space="preserve"> s </w:t>
            </w:r>
            <w:r w:rsidRPr="00207412">
              <w:rPr>
                <w:rFonts w:ascii="Times New Roman" w:hAnsi="Times New Roman"/>
                <w:sz w:val="24"/>
              </w:rPr>
              <w:t>cieľom hedžovať proti nepriaznivým účinkom výmenného kurzu na ich podiely podľa článku 92 ods. 1 uvedeného nariadenia</w:t>
            </w:r>
            <w:r w:rsidR="00207412">
              <w:rPr>
                <w:rFonts w:ascii="Times New Roman" w:hAnsi="Times New Roman"/>
                <w:sz w:val="24"/>
              </w:rPr>
              <w:t xml:space="preserve"> a </w:t>
            </w:r>
            <w:r w:rsidRPr="00207412">
              <w:rPr>
                <w:rFonts w:ascii="Times New Roman" w:hAnsi="Times New Roman"/>
                <w:sz w:val="24"/>
              </w:rPr>
              <w:t>pozície súvisiace</w:t>
            </w:r>
            <w:r w:rsidR="00207412">
              <w:rPr>
                <w:rFonts w:ascii="Times New Roman" w:hAnsi="Times New Roman"/>
                <w:sz w:val="24"/>
              </w:rPr>
              <w:t xml:space="preserve"> s </w:t>
            </w:r>
            <w:r w:rsidRPr="00207412">
              <w:rPr>
                <w:rFonts w:ascii="Times New Roman" w:hAnsi="Times New Roman"/>
                <w:sz w:val="24"/>
              </w:rPr>
              <w:t>položkami, ktoré už sú odpočítané vo výpočte vlastných zdrojov, nevykazujú.</w:t>
            </w:r>
          </w:p>
          <w:p w14:paraId="40A85A41"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07412" w14:paraId="5B6C2519" w14:textId="77777777" w:rsidTr="00672D2A">
        <w:tc>
          <w:tcPr>
            <w:tcW w:w="988" w:type="dxa"/>
          </w:tcPr>
          <w:p w14:paraId="01A2B5B6"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lastRenderedPageBreak/>
              <w:t>0040 – 0050</w:t>
            </w:r>
          </w:p>
        </w:tc>
        <w:tc>
          <w:tcPr>
            <w:tcW w:w="7874" w:type="dxa"/>
          </w:tcPr>
          <w:p w14:paraId="5A21CA54"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ČISTÉ POZÍCIE (DLHÉ A KRÁTKE)</w:t>
            </w:r>
          </w:p>
          <w:p w14:paraId="5D5BCFBB"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de-DE"/>
              </w:rPr>
            </w:pPr>
          </w:p>
          <w:p w14:paraId="263D2EB9" w14:textId="69D6E306" w:rsidR="00283B5F" w:rsidRPr="00207412" w:rsidRDefault="000B0B09" w:rsidP="004C445F">
            <w:pPr>
              <w:suppressAutoHyphens/>
              <w:autoSpaceDE w:val="0"/>
              <w:autoSpaceDN w:val="0"/>
              <w:adjustRightInd w:val="0"/>
              <w:spacing w:before="0"/>
              <w:rPr>
                <w:rFonts w:ascii="Times New Roman" w:hAnsi="Times New Roman"/>
                <w:sz w:val="24"/>
              </w:rPr>
            </w:pPr>
            <w:r w:rsidRPr="00207412">
              <w:rPr>
                <w:rFonts w:ascii="Times New Roman" w:hAnsi="Times New Roman"/>
                <w:sz w:val="24"/>
              </w:rPr>
              <w:t>Článok 352 ods. 3, článok 352 ods. 4 prvé dve vety</w:t>
            </w:r>
            <w:r w:rsidR="00207412">
              <w:rPr>
                <w:rFonts w:ascii="Times New Roman" w:hAnsi="Times New Roman"/>
                <w:sz w:val="24"/>
              </w:rPr>
              <w:t xml:space="preserve"> a </w:t>
            </w:r>
            <w:r w:rsidRPr="00207412">
              <w:rPr>
                <w:rFonts w:ascii="Times New Roman" w:hAnsi="Times New Roman"/>
                <w:sz w:val="24"/>
              </w:rPr>
              <w:t xml:space="preserve">článok 353 nariadenia (EÚ) </w:t>
            </w:r>
            <w:r w:rsidR="00207412">
              <w:rPr>
                <w:rFonts w:ascii="Times New Roman" w:hAnsi="Times New Roman"/>
                <w:sz w:val="24"/>
              </w:rPr>
              <w:t>č. </w:t>
            </w:r>
            <w:r w:rsidRPr="00207412">
              <w:rPr>
                <w:rFonts w:ascii="Times New Roman" w:hAnsi="Times New Roman"/>
                <w:sz w:val="24"/>
              </w:rPr>
              <w:t>575/2013</w:t>
            </w:r>
          </w:p>
          <w:p w14:paraId="1436375E" w14:textId="25EC0A36" w:rsidR="000B0B09" w:rsidRP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Čisté pozície sa vypočítavajú podľa každej meny</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článkom 352 ods. 1 uvedeného nariadenia. Dlhé aj krátke pozície následne možno vykazovať</w:t>
            </w:r>
            <w:r w:rsidR="00207412">
              <w:rPr>
                <w:rFonts w:ascii="Times New Roman" w:hAnsi="Times New Roman"/>
                <w:sz w:val="24"/>
              </w:rPr>
              <w:t xml:space="preserve"> k </w:t>
            </w:r>
            <w:r w:rsidRPr="00207412">
              <w:rPr>
                <w:rFonts w:ascii="Times New Roman" w:hAnsi="Times New Roman"/>
                <w:sz w:val="24"/>
              </w:rPr>
              <w:t>tomu istému dátumu.</w:t>
            </w:r>
          </w:p>
          <w:p w14:paraId="7EF6C18C"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07412" w14:paraId="1DBF3F98" w14:textId="77777777" w:rsidTr="00672D2A">
        <w:tc>
          <w:tcPr>
            <w:tcW w:w="988" w:type="dxa"/>
          </w:tcPr>
          <w:p w14:paraId="5ED8190E"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0060 – 0080</w:t>
            </w:r>
          </w:p>
        </w:tc>
        <w:tc>
          <w:tcPr>
            <w:tcW w:w="7874" w:type="dxa"/>
          </w:tcPr>
          <w:p w14:paraId="23461A49"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POZÍCIE, NA KTORÉ SA VZŤAHUJE KAPITÁLOVÁ POŽIADAVKA</w:t>
            </w:r>
          </w:p>
          <w:p w14:paraId="536B2115"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de-DE"/>
              </w:rPr>
            </w:pPr>
          </w:p>
          <w:p w14:paraId="306D7E8E" w14:textId="1BB808FC" w:rsid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Článok 352 ods. 4 tretia veta</w:t>
            </w:r>
            <w:r w:rsidR="00207412">
              <w:rPr>
                <w:rFonts w:ascii="Times New Roman" w:hAnsi="Times New Roman"/>
                <w:sz w:val="24"/>
              </w:rPr>
              <w:t xml:space="preserve"> a </w:t>
            </w:r>
            <w:r w:rsidRPr="00207412">
              <w:rPr>
                <w:rFonts w:ascii="Times New Roman" w:hAnsi="Times New Roman"/>
                <w:sz w:val="24"/>
              </w:rPr>
              <w:t>články 353</w:t>
            </w:r>
            <w:r w:rsidR="00207412">
              <w:rPr>
                <w:rFonts w:ascii="Times New Roman" w:hAnsi="Times New Roman"/>
                <w:sz w:val="24"/>
              </w:rPr>
              <w:t xml:space="preserve"> a </w:t>
            </w:r>
            <w:r w:rsidRPr="00207412">
              <w:rPr>
                <w:rFonts w:ascii="Times New Roman" w:hAnsi="Times New Roman"/>
                <w:sz w:val="24"/>
              </w:rPr>
              <w:t xml:space="preserve">354 nariadenia (EÚ) </w:t>
            </w:r>
            <w:r w:rsidR="00207412">
              <w:rPr>
                <w:rFonts w:ascii="Times New Roman" w:hAnsi="Times New Roman"/>
                <w:sz w:val="24"/>
              </w:rPr>
              <w:t>č. </w:t>
            </w:r>
            <w:r w:rsidRPr="00207412">
              <w:rPr>
                <w:rFonts w:ascii="Times New Roman" w:hAnsi="Times New Roman"/>
                <w:sz w:val="24"/>
              </w:rPr>
              <w:t>575/2013</w:t>
            </w:r>
          </w:p>
          <w:p w14:paraId="091C4CE9" w14:textId="23668E4A" w:rsidR="000B0B09" w:rsidRPr="00207412"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07412" w14:paraId="52E36B34" w14:textId="77777777" w:rsidTr="00672D2A">
        <w:tc>
          <w:tcPr>
            <w:tcW w:w="988" w:type="dxa"/>
          </w:tcPr>
          <w:p w14:paraId="4CF75F7E"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0060 – 0070</w:t>
            </w:r>
          </w:p>
        </w:tc>
        <w:tc>
          <w:tcPr>
            <w:tcW w:w="7874" w:type="dxa"/>
          </w:tcPr>
          <w:p w14:paraId="4917443B" w14:textId="77777777" w:rsidR="000B0B09" w:rsidRP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b/>
                <w:sz w:val="24"/>
                <w:u w:val="single"/>
              </w:rPr>
              <w:t>POZÍCIE, NA KTORÉ SA VZŤAHUJE KAPITÁLOVÁ POŽIADAVKA (DLHÉ A KRÁTKE)</w:t>
            </w:r>
          </w:p>
          <w:p w14:paraId="1CA17503" w14:textId="08C8C0CD" w:rsidR="000B0B09" w:rsidRPr="00207412" w:rsidRDefault="000B0B09" w:rsidP="004C445F">
            <w:pPr>
              <w:suppressAutoHyphens/>
              <w:autoSpaceDE w:val="0"/>
              <w:autoSpaceDN w:val="0"/>
              <w:adjustRightInd w:val="0"/>
              <w:spacing w:after="0"/>
              <w:rPr>
                <w:rFonts w:ascii="Times New Roman" w:hAnsi="Times New Roman"/>
                <w:sz w:val="24"/>
              </w:rPr>
            </w:pPr>
            <w:r w:rsidRPr="00207412">
              <w:rPr>
                <w:rFonts w:ascii="Times New Roman" w:hAnsi="Times New Roman"/>
                <w:sz w:val="24"/>
              </w:rPr>
              <w:t>Dlhé</w:t>
            </w:r>
            <w:r w:rsidR="00207412">
              <w:rPr>
                <w:rFonts w:ascii="Times New Roman" w:hAnsi="Times New Roman"/>
                <w:sz w:val="24"/>
              </w:rPr>
              <w:t xml:space="preserve"> a </w:t>
            </w:r>
            <w:r w:rsidRPr="00207412">
              <w:rPr>
                <w:rFonts w:ascii="Times New Roman" w:hAnsi="Times New Roman"/>
                <w:sz w:val="24"/>
              </w:rPr>
              <w:t>krátke čisté pozície pre každú menu sa počítajú odpočítaním celkovej výšky krátkych pozícií od celkovej výšky dlhých pozícií.</w:t>
            </w:r>
          </w:p>
          <w:p w14:paraId="7912A4F1" w14:textId="286ECA74" w:rsidR="000B0B09" w:rsidRPr="00207412" w:rsidRDefault="000B0B09" w:rsidP="004C445F">
            <w:pPr>
              <w:suppressAutoHyphens/>
              <w:autoSpaceDE w:val="0"/>
              <w:autoSpaceDN w:val="0"/>
              <w:adjustRightInd w:val="0"/>
              <w:spacing w:after="0"/>
              <w:rPr>
                <w:rFonts w:ascii="Times New Roman" w:hAnsi="Times New Roman"/>
                <w:sz w:val="24"/>
              </w:rPr>
            </w:pPr>
            <w:r w:rsidRPr="00207412">
              <w:rPr>
                <w:rFonts w:ascii="Times New Roman" w:hAnsi="Times New Roman"/>
                <w:sz w:val="24"/>
              </w:rPr>
              <w:t>Na vypočítanie dlhej čistej pozície</w:t>
            </w:r>
            <w:r w:rsidR="00207412">
              <w:rPr>
                <w:rFonts w:ascii="Times New Roman" w:hAnsi="Times New Roman"/>
                <w:sz w:val="24"/>
              </w:rPr>
              <w:t xml:space="preserve"> v </w:t>
            </w:r>
            <w:r w:rsidRPr="00207412">
              <w:rPr>
                <w:rFonts w:ascii="Times New Roman" w:hAnsi="Times New Roman"/>
                <w:sz w:val="24"/>
              </w:rPr>
              <w:t>mene sa spočítajú dlhé čisté pozície pre každú operáciu</w:t>
            </w:r>
            <w:r w:rsidR="00207412">
              <w:rPr>
                <w:rFonts w:ascii="Times New Roman" w:hAnsi="Times New Roman"/>
                <w:sz w:val="24"/>
              </w:rPr>
              <w:t xml:space="preserve"> v </w:t>
            </w:r>
            <w:r w:rsidRPr="00207412">
              <w:rPr>
                <w:rFonts w:ascii="Times New Roman" w:hAnsi="Times New Roman"/>
                <w:sz w:val="24"/>
              </w:rPr>
              <w:t>tejto mene.</w:t>
            </w:r>
          </w:p>
          <w:p w14:paraId="5B4E9BDF" w14:textId="373E1D4D" w:rsidR="000B0B09" w:rsidRPr="00207412" w:rsidRDefault="000B0B09" w:rsidP="004C445F">
            <w:pPr>
              <w:suppressAutoHyphens/>
              <w:autoSpaceDE w:val="0"/>
              <w:autoSpaceDN w:val="0"/>
              <w:adjustRightInd w:val="0"/>
              <w:spacing w:after="0"/>
              <w:rPr>
                <w:rFonts w:ascii="Times New Roman" w:hAnsi="Times New Roman"/>
                <w:sz w:val="24"/>
              </w:rPr>
            </w:pPr>
            <w:r w:rsidRPr="00207412">
              <w:rPr>
                <w:rFonts w:ascii="Times New Roman" w:hAnsi="Times New Roman"/>
                <w:sz w:val="24"/>
              </w:rPr>
              <w:t>Na vypočítanie krátkej čistej pozície</w:t>
            </w:r>
            <w:r w:rsidR="00207412">
              <w:rPr>
                <w:rFonts w:ascii="Times New Roman" w:hAnsi="Times New Roman"/>
                <w:sz w:val="24"/>
              </w:rPr>
              <w:t xml:space="preserve"> v </w:t>
            </w:r>
            <w:r w:rsidRPr="00207412">
              <w:rPr>
                <w:rFonts w:ascii="Times New Roman" w:hAnsi="Times New Roman"/>
                <w:sz w:val="24"/>
              </w:rPr>
              <w:t>mene sa spočítajú krátke čisté pozície pre každú operáciu</w:t>
            </w:r>
            <w:r w:rsidR="00207412">
              <w:rPr>
                <w:rFonts w:ascii="Times New Roman" w:hAnsi="Times New Roman"/>
                <w:sz w:val="24"/>
              </w:rPr>
              <w:t xml:space="preserve"> v </w:t>
            </w:r>
            <w:r w:rsidRPr="00207412">
              <w:rPr>
                <w:rFonts w:ascii="Times New Roman" w:hAnsi="Times New Roman"/>
                <w:sz w:val="24"/>
              </w:rPr>
              <w:t>tejto mene.</w:t>
            </w:r>
          </w:p>
          <w:p w14:paraId="71BEB09F" w14:textId="66D0CA7C" w:rsidR="000B0B09" w:rsidRPr="00207412" w:rsidRDefault="000B0B09" w:rsidP="004C445F">
            <w:pPr>
              <w:suppressAutoHyphens/>
              <w:autoSpaceDE w:val="0"/>
              <w:autoSpaceDN w:val="0"/>
              <w:adjustRightInd w:val="0"/>
              <w:spacing w:after="0"/>
              <w:rPr>
                <w:rFonts w:ascii="Times New Roman" w:hAnsi="Times New Roman"/>
                <w:sz w:val="24"/>
              </w:rPr>
            </w:pPr>
            <w:r w:rsidRPr="00207412">
              <w:rPr>
                <w:rFonts w:ascii="Times New Roman" w:hAnsi="Times New Roman"/>
                <w:sz w:val="24"/>
              </w:rPr>
              <w:t>Nespárované pozície</w:t>
            </w:r>
            <w:r w:rsidR="00207412">
              <w:rPr>
                <w:rFonts w:ascii="Times New Roman" w:hAnsi="Times New Roman"/>
                <w:sz w:val="24"/>
              </w:rPr>
              <w:t xml:space="preserve"> v </w:t>
            </w:r>
            <w:r w:rsidRPr="00207412">
              <w:rPr>
                <w:rFonts w:ascii="Times New Roman" w:hAnsi="Times New Roman"/>
                <w:sz w:val="24"/>
              </w:rPr>
              <w:t>menách iných, než je mena vykazovania, sa pripočítajú</w:t>
            </w:r>
            <w:r w:rsidR="00207412">
              <w:rPr>
                <w:rFonts w:ascii="Times New Roman" w:hAnsi="Times New Roman"/>
                <w:sz w:val="24"/>
              </w:rPr>
              <w:t xml:space="preserve"> k </w:t>
            </w:r>
            <w:r w:rsidRPr="00207412">
              <w:rPr>
                <w:rFonts w:ascii="Times New Roman" w:hAnsi="Times New Roman"/>
                <w:sz w:val="24"/>
              </w:rPr>
              <w:t>pozíciám, na ktoré sa vzťahujú kapitálové požiadavky pre iné meny (riadok 030)</w:t>
            </w:r>
            <w:r w:rsidR="00207412">
              <w:rPr>
                <w:rFonts w:ascii="Times New Roman" w:hAnsi="Times New Roman"/>
                <w:sz w:val="24"/>
              </w:rPr>
              <w:t xml:space="preserve"> v </w:t>
            </w:r>
            <w:r w:rsidRPr="00207412">
              <w:rPr>
                <w:rFonts w:ascii="Times New Roman" w:hAnsi="Times New Roman"/>
                <w:sz w:val="24"/>
              </w:rPr>
              <w:t>stĺpci 060 alebo 070</w:t>
            </w:r>
            <w:r w:rsidR="00207412">
              <w:rPr>
                <w:rFonts w:ascii="Times New Roman" w:hAnsi="Times New Roman"/>
                <w:sz w:val="24"/>
              </w:rPr>
              <w:t xml:space="preserve"> v </w:t>
            </w:r>
            <w:r w:rsidRPr="00207412">
              <w:rPr>
                <w:rFonts w:ascii="Times New Roman" w:hAnsi="Times New Roman"/>
                <w:sz w:val="24"/>
              </w:rPr>
              <w:t>závislosti od toho, či sú krátke alebo dlhé.</w:t>
            </w:r>
          </w:p>
          <w:p w14:paraId="3B8AB235" w14:textId="77777777" w:rsidR="00DE48EF" w:rsidRPr="00207412"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07412" w14:paraId="153E3368" w14:textId="77777777" w:rsidTr="00672D2A">
        <w:tc>
          <w:tcPr>
            <w:tcW w:w="988" w:type="dxa"/>
          </w:tcPr>
          <w:p w14:paraId="79947C75"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0080</w:t>
            </w:r>
          </w:p>
        </w:tc>
        <w:tc>
          <w:tcPr>
            <w:tcW w:w="7874" w:type="dxa"/>
          </w:tcPr>
          <w:p w14:paraId="50779B26"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POZÍCIE, NA KTORÉ SA VZŤAHUJE KAPITÁLOVÁ POŽIADAVKA (SPÁROVANÉ)</w:t>
            </w:r>
          </w:p>
          <w:p w14:paraId="1787EA62"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de-DE"/>
              </w:rPr>
            </w:pPr>
          </w:p>
          <w:p w14:paraId="54376274" w14:textId="77777777" w:rsidR="000B0B09" w:rsidRP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Spárované pozície pre úzko korelované meny.</w:t>
            </w:r>
          </w:p>
          <w:p w14:paraId="6BC8E676"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07412" w14:paraId="6E3750E4" w14:textId="77777777" w:rsidTr="00672D2A">
        <w:tc>
          <w:tcPr>
            <w:tcW w:w="988" w:type="dxa"/>
          </w:tcPr>
          <w:p w14:paraId="0E46DE0C"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0090</w:t>
            </w:r>
          </w:p>
        </w:tc>
        <w:tc>
          <w:tcPr>
            <w:tcW w:w="7874" w:type="dxa"/>
          </w:tcPr>
          <w:p w14:paraId="4FC12DDA"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POŽIADAVKY NA VLASTNÉ ZDROJE</w:t>
            </w:r>
          </w:p>
          <w:p w14:paraId="4108E694"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6555D30B" w14:textId="12F4C08C" w:rsid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Kapitálová požiadavka pre všetky relevantné pozície</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 xml:space="preserve">treťou časťou hlavou IV kapitolou 3 nariadenia (EÚ) </w:t>
            </w:r>
            <w:r w:rsidR="00207412">
              <w:rPr>
                <w:rFonts w:ascii="Times New Roman" w:hAnsi="Times New Roman"/>
                <w:sz w:val="24"/>
              </w:rPr>
              <w:t>č. </w:t>
            </w:r>
            <w:r w:rsidRPr="00207412">
              <w:rPr>
                <w:rFonts w:ascii="Times New Roman" w:hAnsi="Times New Roman"/>
                <w:sz w:val="24"/>
              </w:rPr>
              <w:t>575/2013</w:t>
            </w:r>
          </w:p>
          <w:p w14:paraId="62C9AE79" w14:textId="739CE6F9" w:rsidR="000B0B09" w:rsidRPr="00207412"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07412" w14:paraId="75A4CD35" w14:textId="77777777" w:rsidTr="00672D2A">
        <w:tc>
          <w:tcPr>
            <w:tcW w:w="988" w:type="dxa"/>
          </w:tcPr>
          <w:p w14:paraId="5B271B1C"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0100</w:t>
            </w:r>
          </w:p>
        </w:tc>
        <w:tc>
          <w:tcPr>
            <w:tcW w:w="7874" w:type="dxa"/>
          </w:tcPr>
          <w:p w14:paraId="0647EAC0" w14:textId="77777777" w:rsidR="000B0B09" w:rsidRPr="00207412"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CELKOVÁ HODNOTA RIZIKOVEJ EXPOZÍCIE</w:t>
            </w:r>
          </w:p>
          <w:p w14:paraId="1005789B" w14:textId="77777777" w:rsidR="000B0B09" w:rsidRPr="00207412"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3CF09645" w14:textId="4876BD89" w:rsidR="005C14B0" w:rsidRPr="00207412" w:rsidRDefault="000B0B09" w:rsidP="004C445F">
            <w:pPr>
              <w:tabs>
                <w:tab w:val="left" w:pos="1665"/>
              </w:tabs>
              <w:suppressAutoHyphens/>
              <w:autoSpaceDE w:val="0"/>
              <w:autoSpaceDN w:val="0"/>
              <w:adjustRightInd w:val="0"/>
              <w:spacing w:before="0"/>
              <w:rPr>
                <w:rFonts w:ascii="Times New Roman" w:hAnsi="Times New Roman"/>
                <w:sz w:val="24"/>
              </w:rPr>
            </w:pPr>
            <w:r w:rsidRPr="00207412">
              <w:rPr>
                <w:rFonts w:ascii="Times New Roman" w:hAnsi="Times New Roman"/>
                <w:sz w:val="24"/>
              </w:rPr>
              <w:t xml:space="preserve">Článok 92 ods. 6 písm. b) nariadenia (EÚ) </w:t>
            </w:r>
            <w:r w:rsidR="00207412">
              <w:rPr>
                <w:rFonts w:ascii="Times New Roman" w:hAnsi="Times New Roman"/>
                <w:sz w:val="24"/>
              </w:rPr>
              <w:t>č. </w:t>
            </w:r>
            <w:r w:rsidRPr="00207412">
              <w:rPr>
                <w:rFonts w:ascii="Times New Roman" w:hAnsi="Times New Roman"/>
                <w:sz w:val="24"/>
              </w:rPr>
              <w:t>575/2013.</w:t>
            </w:r>
          </w:p>
          <w:p w14:paraId="15F307F5" w14:textId="77777777" w:rsidR="00207412" w:rsidRDefault="000B0B09" w:rsidP="004C445F">
            <w:pPr>
              <w:tabs>
                <w:tab w:val="left" w:pos="1665"/>
              </w:tabs>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Výsledok vynásobenia požiadaviek na vlastné zdroje koeficientom 12,5</w:t>
            </w:r>
            <w:r w:rsidR="00207412">
              <w:rPr>
                <w:rFonts w:ascii="Times New Roman" w:hAnsi="Times New Roman"/>
                <w:sz w:val="24"/>
              </w:rPr>
              <w:t>.</w:t>
            </w:r>
          </w:p>
          <w:p w14:paraId="43ECFCA3" w14:textId="1AB7BDA4" w:rsidR="00DE48EF" w:rsidRPr="00207412" w:rsidRDefault="00DE48EF"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bl>
    <w:p w14:paraId="4E615BD8" w14:textId="77777777" w:rsidR="000B0B09" w:rsidRPr="00207412"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7646"/>
      </w:tblGrid>
      <w:tr w:rsidR="000B0B09" w:rsidRPr="00207412" w14:paraId="0291DB10" w14:textId="77777777" w:rsidTr="00672D2A">
        <w:trPr>
          <w:trHeight w:val="497"/>
        </w:trPr>
        <w:tc>
          <w:tcPr>
            <w:tcW w:w="8862" w:type="dxa"/>
            <w:gridSpan w:val="2"/>
            <w:shd w:val="clear" w:color="auto" w:fill="CCCCCC"/>
          </w:tcPr>
          <w:p w14:paraId="080D5566" w14:textId="77777777" w:rsidR="000B0B09" w:rsidRPr="00207412" w:rsidRDefault="000B0B09" w:rsidP="004C445F">
            <w:pPr>
              <w:suppressAutoHyphens/>
              <w:autoSpaceDE w:val="0"/>
              <w:autoSpaceDN w:val="0"/>
              <w:adjustRightInd w:val="0"/>
              <w:spacing w:after="0"/>
              <w:rPr>
                <w:rFonts w:ascii="Times New Roman" w:hAnsi="Times New Roman"/>
                <w:b/>
                <w:sz w:val="24"/>
              </w:rPr>
            </w:pPr>
            <w:r w:rsidRPr="00207412">
              <w:rPr>
                <w:rFonts w:ascii="Times New Roman" w:hAnsi="Times New Roman"/>
                <w:b/>
                <w:sz w:val="24"/>
              </w:rPr>
              <w:lastRenderedPageBreak/>
              <w:t>Riadky</w:t>
            </w:r>
          </w:p>
        </w:tc>
      </w:tr>
      <w:tr w:rsidR="000B0B09" w:rsidRPr="00207412" w14:paraId="7E8F93AD" w14:textId="77777777" w:rsidTr="00672D2A">
        <w:tc>
          <w:tcPr>
            <w:tcW w:w="991" w:type="dxa"/>
          </w:tcPr>
          <w:p w14:paraId="308DA059"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0010</w:t>
            </w:r>
          </w:p>
        </w:tc>
        <w:tc>
          <w:tcPr>
            <w:tcW w:w="7871" w:type="dxa"/>
          </w:tcPr>
          <w:p w14:paraId="444D3E44"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CELKOVÉ POZÍCIE</w:t>
            </w:r>
          </w:p>
          <w:p w14:paraId="625A8F91"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nl-BE"/>
              </w:rPr>
            </w:pPr>
          </w:p>
          <w:p w14:paraId="474297D9" w14:textId="4866A02B" w:rsidR="000B0B09" w:rsidRPr="00207412" w:rsidRDefault="00491F4D"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Všetky pozície</w:t>
            </w:r>
            <w:r w:rsidR="00207412">
              <w:rPr>
                <w:rFonts w:ascii="Times New Roman" w:hAnsi="Times New Roman"/>
                <w:sz w:val="24"/>
              </w:rPr>
              <w:t xml:space="preserve"> v </w:t>
            </w:r>
            <w:r w:rsidRPr="00207412">
              <w:rPr>
                <w:rFonts w:ascii="Times New Roman" w:hAnsi="Times New Roman"/>
                <w:sz w:val="24"/>
              </w:rPr>
              <w:t>menách iných, než je mena vykazovania,</w:t>
            </w:r>
            <w:r w:rsidR="00207412">
              <w:rPr>
                <w:rFonts w:ascii="Times New Roman" w:hAnsi="Times New Roman"/>
                <w:sz w:val="24"/>
              </w:rPr>
              <w:t xml:space="preserve"> a </w:t>
            </w:r>
            <w:r w:rsidRPr="00207412">
              <w:rPr>
                <w:rFonts w:ascii="Times New Roman" w:hAnsi="Times New Roman"/>
                <w:sz w:val="24"/>
              </w:rPr>
              <w:t>tie pozície</w:t>
            </w:r>
            <w:r w:rsidR="00207412">
              <w:rPr>
                <w:rFonts w:ascii="Times New Roman" w:hAnsi="Times New Roman"/>
                <w:sz w:val="24"/>
              </w:rPr>
              <w:t xml:space="preserve"> v </w:t>
            </w:r>
            <w:r w:rsidRPr="00207412">
              <w:rPr>
                <w:rFonts w:ascii="Times New Roman" w:hAnsi="Times New Roman"/>
                <w:sz w:val="24"/>
              </w:rPr>
              <w:t xml:space="preserve">mene vykazovania, ktoré sa berú do úvahy na účely článku 354 nariadenia (EÚ) </w:t>
            </w:r>
            <w:r w:rsidR="00207412">
              <w:rPr>
                <w:rFonts w:ascii="Times New Roman" w:hAnsi="Times New Roman"/>
                <w:sz w:val="24"/>
              </w:rPr>
              <w:t>č. </w:t>
            </w:r>
            <w:r w:rsidRPr="00207412">
              <w:rPr>
                <w:rFonts w:ascii="Times New Roman" w:hAnsi="Times New Roman"/>
                <w:sz w:val="24"/>
              </w:rPr>
              <w:t>575/2013,</w:t>
            </w:r>
            <w:r w:rsidR="00207412">
              <w:rPr>
                <w:rFonts w:ascii="Times New Roman" w:hAnsi="Times New Roman"/>
                <w:sz w:val="24"/>
              </w:rPr>
              <w:t xml:space="preserve"> a </w:t>
            </w:r>
            <w:r w:rsidRPr="00207412">
              <w:rPr>
                <w:rFonts w:ascii="Times New Roman" w:hAnsi="Times New Roman"/>
                <w:sz w:val="24"/>
              </w:rPr>
              <w:t>ich zodpovedajúce požiadavky na vlastné zdroje pre devízové riziko podľa článku 92 ods. 3 písm. c) bodu i) uvedeného nariadenia, berúc do úvahy článok 352 ods. 2</w:t>
            </w:r>
            <w:r w:rsidR="00207412">
              <w:rPr>
                <w:rFonts w:ascii="Times New Roman" w:hAnsi="Times New Roman"/>
                <w:sz w:val="24"/>
              </w:rPr>
              <w:t xml:space="preserve"> a </w:t>
            </w:r>
            <w:r w:rsidRPr="00207412">
              <w:rPr>
                <w:rFonts w:ascii="Times New Roman" w:hAnsi="Times New Roman"/>
                <w:sz w:val="24"/>
              </w:rPr>
              <w:t xml:space="preserve">4 nariadenia (EÚ) </w:t>
            </w:r>
            <w:r w:rsidR="00207412">
              <w:rPr>
                <w:rFonts w:ascii="Times New Roman" w:hAnsi="Times New Roman"/>
                <w:sz w:val="24"/>
              </w:rPr>
              <w:t>č. </w:t>
            </w:r>
            <w:r w:rsidRPr="00207412">
              <w:rPr>
                <w:rFonts w:ascii="Times New Roman" w:hAnsi="Times New Roman"/>
                <w:sz w:val="24"/>
              </w:rPr>
              <w:t>575/2013 (na prepočet do meny vykazovania)</w:t>
            </w:r>
          </w:p>
          <w:p w14:paraId="60C8486E"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07412" w14:paraId="467D9D0D" w14:textId="77777777" w:rsidTr="00672D2A">
        <w:tc>
          <w:tcPr>
            <w:tcW w:w="991" w:type="dxa"/>
          </w:tcPr>
          <w:p w14:paraId="65214D61"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0020</w:t>
            </w:r>
          </w:p>
        </w:tc>
        <w:tc>
          <w:tcPr>
            <w:tcW w:w="7871" w:type="dxa"/>
          </w:tcPr>
          <w:p w14:paraId="49A2740E"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ÚZKO KORELOVANÉ MENY</w:t>
            </w:r>
          </w:p>
          <w:p w14:paraId="784B138D"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de-DE"/>
              </w:rPr>
            </w:pPr>
          </w:p>
          <w:p w14:paraId="7339F996" w14:textId="4CE1E96D" w:rsidR="000B0B09" w:rsidRP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Pozície</w:t>
            </w:r>
            <w:r w:rsidR="00207412">
              <w:rPr>
                <w:rFonts w:ascii="Times New Roman" w:hAnsi="Times New Roman"/>
                <w:sz w:val="24"/>
              </w:rPr>
              <w:t xml:space="preserve"> a </w:t>
            </w:r>
            <w:r w:rsidRPr="00207412">
              <w:rPr>
                <w:rFonts w:ascii="Times New Roman" w:hAnsi="Times New Roman"/>
                <w:sz w:val="24"/>
              </w:rPr>
              <w:t>ich zodpovedajúce požiadavky na vlastné zdroje pre úzko korelované meny uvedené</w:t>
            </w:r>
            <w:r w:rsidR="00207412">
              <w:rPr>
                <w:rFonts w:ascii="Times New Roman" w:hAnsi="Times New Roman"/>
                <w:sz w:val="24"/>
              </w:rPr>
              <w:t xml:space="preserve"> v </w:t>
            </w:r>
            <w:r w:rsidRPr="00207412">
              <w:rPr>
                <w:rFonts w:ascii="Times New Roman" w:hAnsi="Times New Roman"/>
                <w:sz w:val="24"/>
              </w:rPr>
              <w:t xml:space="preserve">článku 354 nariadenia (EÚ) </w:t>
            </w:r>
            <w:r w:rsidR="00207412">
              <w:rPr>
                <w:rFonts w:ascii="Times New Roman" w:hAnsi="Times New Roman"/>
                <w:sz w:val="24"/>
              </w:rPr>
              <w:t>č. </w:t>
            </w:r>
            <w:r w:rsidRPr="00207412">
              <w:rPr>
                <w:rFonts w:ascii="Times New Roman" w:hAnsi="Times New Roman"/>
                <w:sz w:val="24"/>
              </w:rPr>
              <w:t>575/2013.</w:t>
            </w:r>
          </w:p>
          <w:p w14:paraId="1228E8F4"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nl-BE"/>
              </w:rPr>
            </w:pPr>
          </w:p>
        </w:tc>
      </w:tr>
      <w:tr w:rsidR="00491F4D" w:rsidRPr="00207412" w14:paraId="6BD5BA15" w14:textId="77777777" w:rsidTr="00672D2A">
        <w:tc>
          <w:tcPr>
            <w:tcW w:w="991" w:type="dxa"/>
          </w:tcPr>
          <w:p w14:paraId="5BFECF57" w14:textId="77777777" w:rsidR="00491F4D"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0025</w:t>
            </w:r>
          </w:p>
        </w:tc>
        <w:tc>
          <w:tcPr>
            <w:tcW w:w="7871" w:type="dxa"/>
          </w:tcPr>
          <w:p w14:paraId="596531B8" w14:textId="5D11B104" w:rsidR="00491F4D" w:rsidRPr="00207412" w:rsidRDefault="00491F4D"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Úzko korelované meny</w:t>
            </w:r>
            <w:r w:rsidR="00207412">
              <w:rPr>
                <w:rFonts w:ascii="Times New Roman" w:hAnsi="Times New Roman"/>
                <w:b/>
                <w:sz w:val="24"/>
                <w:u w:val="single"/>
              </w:rPr>
              <w:t xml:space="preserve"> Z </w:t>
            </w:r>
            <w:r w:rsidRPr="00207412">
              <w:rPr>
                <w:rFonts w:ascii="Times New Roman" w:hAnsi="Times New Roman"/>
                <w:b/>
                <w:i/>
                <w:sz w:val="24"/>
                <w:u w:val="single"/>
              </w:rPr>
              <w:t>toho</w:t>
            </w:r>
            <w:r w:rsidRPr="00207412">
              <w:rPr>
                <w:rFonts w:ascii="Times New Roman" w:hAnsi="Times New Roman"/>
                <w:b/>
                <w:sz w:val="24"/>
                <w:u w:val="single"/>
              </w:rPr>
              <w:t>: mena vykazovania</w:t>
            </w:r>
          </w:p>
          <w:p w14:paraId="1A313604" w14:textId="77777777" w:rsidR="00491F4D" w:rsidRPr="00207412" w:rsidRDefault="00491F4D" w:rsidP="004C445F">
            <w:pPr>
              <w:suppressAutoHyphens/>
              <w:autoSpaceDE w:val="0"/>
              <w:autoSpaceDN w:val="0"/>
              <w:adjustRightInd w:val="0"/>
              <w:spacing w:before="0" w:after="0"/>
              <w:rPr>
                <w:rFonts w:ascii="Times New Roman" w:hAnsi="Times New Roman"/>
                <w:sz w:val="24"/>
              </w:rPr>
            </w:pPr>
          </w:p>
          <w:p w14:paraId="6CF1E695" w14:textId="44E61794" w:rsidR="00491F4D" w:rsidRPr="00207412" w:rsidRDefault="00491F4D"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Pozície</w:t>
            </w:r>
            <w:r w:rsidR="00207412">
              <w:rPr>
                <w:rFonts w:ascii="Times New Roman" w:hAnsi="Times New Roman"/>
                <w:sz w:val="24"/>
              </w:rPr>
              <w:t xml:space="preserve"> v </w:t>
            </w:r>
            <w:r w:rsidRPr="00207412">
              <w:rPr>
                <w:rFonts w:ascii="Times New Roman" w:hAnsi="Times New Roman"/>
                <w:sz w:val="24"/>
              </w:rPr>
              <w:t>mene vykazovania, ktoré prispievajú</w:t>
            </w:r>
            <w:r w:rsidR="00207412">
              <w:rPr>
                <w:rFonts w:ascii="Times New Roman" w:hAnsi="Times New Roman"/>
                <w:sz w:val="24"/>
              </w:rPr>
              <w:t xml:space="preserve"> k </w:t>
            </w:r>
            <w:r w:rsidRPr="00207412">
              <w:rPr>
                <w:rFonts w:ascii="Times New Roman" w:hAnsi="Times New Roman"/>
                <w:sz w:val="24"/>
              </w:rPr>
              <w:t xml:space="preserve">výpočtu kapitálových požiadaviek podľa článku 354 nariadenia (EÚ) </w:t>
            </w:r>
            <w:r w:rsidR="00207412">
              <w:rPr>
                <w:rFonts w:ascii="Times New Roman" w:hAnsi="Times New Roman"/>
                <w:sz w:val="24"/>
              </w:rPr>
              <w:t>č. </w:t>
            </w:r>
            <w:r w:rsidRPr="00207412">
              <w:rPr>
                <w:rFonts w:ascii="Times New Roman" w:hAnsi="Times New Roman"/>
                <w:sz w:val="24"/>
              </w:rPr>
              <w:t>575/2013.</w:t>
            </w:r>
          </w:p>
          <w:p w14:paraId="1727C5A3" w14:textId="77777777" w:rsidR="00491F4D" w:rsidRPr="00207412" w:rsidRDefault="00491F4D"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07412" w14:paraId="52A3FAA7" w14:textId="77777777" w:rsidTr="00672D2A">
        <w:tc>
          <w:tcPr>
            <w:tcW w:w="991" w:type="dxa"/>
          </w:tcPr>
          <w:p w14:paraId="0150967E"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0030</w:t>
            </w:r>
          </w:p>
        </w:tc>
        <w:tc>
          <w:tcPr>
            <w:tcW w:w="7871" w:type="dxa"/>
          </w:tcPr>
          <w:p w14:paraId="0BAA11C1" w14:textId="70DA04D0"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VŠETKY OSTATNÉ MENY (vrátane PKI,</w:t>
            </w:r>
            <w:r w:rsidR="00207412">
              <w:rPr>
                <w:rFonts w:ascii="Times New Roman" w:hAnsi="Times New Roman"/>
                <w:b/>
                <w:sz w:val="24"/>
                <w:u w:val="single"/>
              </w:rPr>
              <w:t xml:space="preserve"> s </w:t>
            </w:r>
            <w:r w:rsidRPr="00207412">
              <w:rPr>
                <w:rFonts w:ascii="Times New Roman" w:hAnsi="Times New Roman"/>
                <w:b/>
                <w:sz w:val="24"/>
                <w:u w:val="single"/>
              </w:rPr>
              <w:t>ktorými sa zaobchádza ako</w:t>
            </w:r>
            <w:r w:rsidR="00207412">
              <w:rPr>
                <w:rFonts w:ascii="Times New Roman" w:hAnsi="Times New Roman"/>
                <w:b/>
                <w:sz w:val="24"/>
                <w:u w:val="single"/>
              </w:rPr>
              <w:t xml:space="preserve"> s </w:t>
            </w:r>
            <w:r w:rsidRPr="00207412">
              <w:rPr>
                <w:rFonts w:ascii="Times New Roman" w:hAnsi="Times New Roman"/>
                <w:b/>
                <w:sz w:val="24"/>
                <w:u w:val="single"/>
              </w:rPr>
              <w:t>rôznymi menami)</w:t>
            </w:r>
          </w:p>
          <w:p w14:paraId="1677D283"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D3AFD1" w14:textId="4A2BCA3F" w:rsidR="000B0B09" w:rsidRP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Pozície</w:t>
            </w:r>
            <w:r w:rsidR="00207412">
              <w:rPr>
                <w:rFonts w:ascii="Times New Roman" w:hAnsi="Times New Roman"/>
                <w:sz w:val="24"/>
              </w:rPr>
              <w:t xml:space="preserve"> a </w:t>
            </w:r>
            <w:r w:rsidRPr="00207412">
              <w:rPr>
                <w:rFonts w:ascii="Times New Roman" w:hAnsi="Times New Roman"/>
                <w:sz w:val="24"/>
              </w:rPr>
              <w:t>ich zodpovedajúce požiadavky na vlastné zdroje pre meny, na ktoré sa uplatňuje všeobecný postup uvedený</w:t>
            </w:r>
            <w:r w:rsidR="00207412">
              <w:rPr>
                <w:rFonts w:ascii="Times New Roman" w:hAnsi="Times New Roman"/>
                <w:sz w:val="24"/>
              </w:rPr>
              <w:t xml:space="preserve"> v </w:t>
            </w:r>
            <w:r w:rsidRPr="00207412">
              <w:rPr>
                <w:rFonts w:ascii="Times New Roman" w:hAnsi="Times New Roman"/>
                <w:sz w:val="24"/>
              </w:rPr>
              <w:t>článku 351</w:t>
            </w:r>
            <w:r w:rsidR="00207412">
              <w:rPr>
                <w:rFonts w:ascii="Times New Roman" w:hAnsi="Times New Roman"/>
                <w:sz w:val="24"/>
              </w:rPr>
              <w:t xml:space="preserve"> a </w:t>
            </w:r>
            <w:r w:rsidRPr="00207412">
              <w:rPr>
                <w:rFonts w:ascii="Times New Roman" w:hAnsi="Times New Roman"/>
                <w:sz w:val="24"/>
              </w:rPr>
              <w:t>článku 352 ods. 2</w:t>
            </w:r>
            <w:r w:rsidR="00207412">
              <w:rPr>
                <w:rFonts w:ascii="Times New Roman" w:hAnsi="Times New Roman"/>
                <w:sz w:val="24"/>
              </w:rPr>
              <w:t xml:space="preserve"> a </w:t>
            </w:r>
            <w:r w:rsidRPr="00207412">
              <w:rPr>
                <w:rFonts w:ascii="Times New Roman" w:hAnsi="Times New Roman"/>
                <w:sz w:val="24"/>
              </w:rPr>
              <w:t xml:space="preserve">4 nariadenia (EÚ) </w:t>
            </w:r>
            <w:r w:rsidR="00207412">
              <w:rPr>
                <w:rFonts w:ascii="Times New Roman" w:hAnsi="Times New Roman"/>
                <w:sz w:val="24"/>
              </w:rPr>
              <w:t>č. </w:t>
            </w:r>
            <w:r w:rsidRPr="00207412">
              <w:rPr>
                <w:rFonts w:ascii="Times New Roman" w:hAnsi="Times New Roman"/>
                <w:sz w:val="24"/>
              </w:rPr>
              <w:t>575/2013.</w:t>
            </w:r>
          </w:p>
          <w:p w14:paraId="0D0C93F2"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69470C9" w14:textId="0AD1E9F1" w:rsidR="000B0B09" w:rsidRPr="00207412" w:rsidRDefault="000B0B09" w:rsidP="004C445F">
            <w:pPr>
              <w:suppressAutoHyphens/>
              <w:autoSpaceDE w:val="0"/>
              <w:autoSpaceDN w:val="0"/>
              <w:adjustRightInd w:val="0"/>
              <w:spacing w:before="0" w:after="0"/>
              <w:rPr>
                <w:rFonts w:ascii="Times New Roman" w:hAnsi="Times New Roman"/>
                <w:bCs/>
                <w:sz w:val="24"/>
                <w:u w:val="single"/>
              </w:rPr>
            </w:pPr>
            <w:r w:rsidRPr="00207412">
              <w:rPr>
                <w:rFonts w:ascii="Times New Roman" w:hAnsi="Times New Roman"/>
                <w:sz w:val="24"/>
                <w:u w:val="single"/>
              </w:rPr>
              <w:t>Vykazovanie PKI,</w:t>
            </w:r>
            <w:r w:rsidR="00207412">
              <w:rPr>
                <w:rFonts w:ascii="Times New Roman" w:hAnsi="Times New Roman"/>
                <w:sz w:val="24"/>
                <w:u w:val="single"/>
              </w:rPr>
              <w:t xml:space="preserve"> s </w:t>
            </w:r>
            <w:r w:rsidRPr="00207412">
              <w:rPr>
                <w:rFonts w:ascii="Times New Roman" w:hAnsi="Times New Roman"/>
                <w:sz w:val="24"/>
                <w:u w:val="single"/>
              </w:rPr>
              <w:t xml:space="preserve">ktorými sa zaobchádza ako so samostatnými menami podľa článku 353 nariadenia (EÚ) </w:t>
            </w:r>
            <w:r w:rsidR="00207412">
              <w:rPr>
                <w:rFonts w:ascii="Times New Roman" w:hAnsi="Times New Roman"/>
                <w:sz w:val="24"/>
                <w:u w:val="single"/>
              </w:rPr>
              <w:t>č. </w:t>
            </w:r>
            <w:r w:rsidRPr="00207412">
              <w:rPr>
                <w:rFonts w:ascii="Times New Roman" w:hAnsi="Times New Roman"/>
                <w:sz w:val="24"/>
                <w:u w:val="single"/>
              </w:rPr>
              <w:t>575/2013:</w:t>
            </w:r>
          </w:p>
          <w:p w14:paraId="77B7A43F" w14:textId="17C0EFE1" w:rsidR="000B0B09" w:rsidRPr="00207412" w:rsidRDefault="000B0B09" w:rsidP="004C445F">
            <w:pPr>
              <w:suppressAutoHyphens/>
              <w:autoSpaceDE w:val="0"/>
              <w:autoSpaceDN w:val="0"/>
              <w:adjustRightInd w:val="0"/>
              <w:spacing w:before="0" w:after="0"/>
              <w:rPr>
                <w:rFonts w:ascii="Times New Roman" w:hAnsi="Times New Roman"/>
                <w:bCs/>
                <w:sz w:val="24"/>
              </w:rPr>
            </w:pPr>
            <w:r w:rsidRPr="00207412">
              <w:rPr>
                <w:rFonts w:ascii="Times New Roman" w:hAnsi="Times New Roman"/>
                <w:sz w:val="24"/>
              </w:rPr>
              <w:t>Na výpočet kapitálových požiadaviek existujú dva rôzne spôsoby zaobchádzania</w:t>
            </w:r>
            <w:r w:rsidR="00207412">
              <w:rPr>
                <w:rFonts w:ascii="Times New Roman" w:hAnsi="Times New Roman"/>
                <w:sz w:val="24"/>
              </w:rPr>
              <w:t xml:space="preserve"> s </w:t>
            </w:r>
            <w:r w:rsidRPr="00207412">
              <w:rPr>
                <w:rFonts w:ascii="Times New Roman" w:hAnsi="Times New Roman"/>
                <w:sz w:val="24"/>
              </w:rPr>
              <w:t>PKI ako so samostatnými menami:</w:t>
            </w:r>
          </w:p>
          <w:p w14:paraId="5B250982" w14:textId="6D782D66" w:rsidR="000B0B09" w:rsidRPr="00207412" w:rsidRDefault="00EA7544" w:rsidP="004C445F">
            <w:pPr>
              <w:suppressAutoHyphens/>
              <w:autoSpaceDE w:val="0"/>
              <w:autoSpaceDN w:val="0"/>
              <w:adjustRightInd w:val="0"/>
              <w:spacing w:before="0" w:after="0"/>
              <w:ind w:left="720" w:hanging="360"/>
              <w:rPr>
                <w:rFonts w:ascii="Times New Roman" w:hAnsi="Times New Roman"/>
                <w:bCs/>
                <w:sz w:val="24"/>
              </w:rPr>
            </w:pPr>
            <w:r w:rsidRPr="00207412">
              <w:rPr>
                <w:rFonts w:ascii="Times New Roman" w:hAnsi="Times New Roman"/>
                <w:sz w:val="24"/>
              </w:rPr>
              <w:t>a) modifikovaná metóda pre zlato, ak nie je známe smerovanie investícií PKI (tieto PKI sa pripočítajú</w:t>
            </w:r>
            <w:r w:rsidR="00207412">
              <w:rPr>
                <w:rFonts w:ascii="Times New Roman" w:hAnsi="Times New Roman"/>
                <w:sz w:val="24"/>
              </w:rPr>
              <w:t xml:space="preserve"> k </w:t>
            </w:r>
            <w:r w:rsidRPr="00207412">
              <w:rPr>
                <w:rFonts w:ascii="Times New Roman" w:hAnsi="Times New Roman"/>
                <w:sz w:val="24"/>
              </w:rPr>
              <w:t>celkovej čistej devízovej pozícii inštitúcie);</w:t>
            </w:r>
          </w:p>
          <w:p w14:paraId="36EAAD8C" w14:textId="67518983" w:rsidR="000B0B09" w:rsidRPr="00207412" w:rsidRDefault="00EA7544" w:rsidP="004C445F">
            <w:pPr>
              <w:suppressAutoHyphens/>
              <w:autoSpaceDE w:val="0"/>
              <w:autoSpaceDN w:val="0"/>
              <w:adjustRightInd w:val="0"/>
              <w:spacing w:before="0" w:after="0"/>
              <w:ind w:left="720" w:hanging="360"/>
              <w:rPr>
                <w:rFonts w:ascii="Times New Roman" w:hAnsi="Times New Roman"/>
                <w:bCs/>
                <w:sz w:val="24"/>
              </w:rPr>
            </w:pPr>
            <w:r w:rsidRPr="00207412">
              <w:rPr>
                <w:rFonts w:ascii="Times New Roman" w:hAnsi="Times New Roman"/>
                <w:sz w:val="24"/>
              </w:rPr>
              <w:t>b) ak je známe smerovanie investícií PKI, tieto PKI sa pripočítajú</w:t>
            </w:r>
            <w:r w:rsidR="00207412">
              <w:rPr>
                <w:rFonts w:ascii="Times New Roman" w:hAnsi="Times New Roman"/>
                <w:sz w:val="24"/>
              </w:rPr>
              <w:t xml:space="preserve"> k </w:t>
            </w:r>
            <w:r w:rsidRPr="00207412">
              <w:rPr>
                <w:rFonts w:ascii="Times New Roman" w:hAnsi="Times New Roman"/>
                <w:sz w:val="24"/>
              </w:rPr>
              <w:t>celkovej otvorenej devízovej pozícii (dlhej alebo krátkej podľa smerovania PKI).</w:t>
            </w:r>
          </w:p>
          <w:p w14:paraId="6410AE39" w14:textId="77777777" w:rsidR="000B0B09" w:rsidRPr="00207412" w:rsidRDefault="000B0B09" w:rsidP="004C445F">
            <w:pPr>
              <w:suppressAutoHyphens/>
              <w:autoSpaceDE w:val="0"/>
              <w:autoSpaceDN w:val="0"/>
              <w:adjustRightInd w:val="0"/>
              <w:spacing w:before="0" w:after="0"/>
              <w:rPr>
                <w:rFonts w:ascii="Times New Roman" w:hAnsi="Times New Roman"/>
                <w:bCs/>
                <w:sz w:val="24"/>
                <w:u w:val="single"/>
              </w:rPr>
            </w:pPr>
            <w:r w:rsidRPr="00207412">
              <w:rPr>
                <w:rFonts w:ascii="Times New Roman" w:hAnsi="Times New Roman"/>
                <w:sz w:val="24"/>
              </w:rPr>
              <w:t>Vykazovanie týchto PKI sa riadi výpočtom kapitálových požiadaviek.</w:t>
            </w:r>
          </w:p>
          <w:p w14:paraId="6EF89CCB" w14:textId="77777777" w:rsidR="00DE48EF" w:rsidRPr="00207412"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07412" w14:paraId="3074F2FD" w14:textId="77777777" w:rsidTr="00672D2A">
        <w:tc>
          <w:tcPr>
            <w:tcW w:w="991" w:type="dxa"/>
          </w:tcPr>
          <w:p w14:paraId="77D3A983"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0040</w:t>
            </w:r>
          </w:p>
        </w:tc>
        <w:tc>
          <w:tcPr>
            <w:tcW w:w="7871" w:type="dxa"/>
          </w:tcPr>
          <w:p w14:paraId="0E1B066C"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ZLATO</w:t>
            </w:r>
          </w:p>
          <w:p w14:paraId="3DD20C37"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6FD50FD" w14:textId="07B37298" w:rsid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Pozície</w:t>
            </w:r>
            <w:r w:rsidR="00207412">
              <w:rPr>
                <w:rFonts w:ascii="Times New Roman" w:hAnsi="Times New Roman"/>
                <w:sz w:val="24"/>
              </w:rPr>
              <w:t xml:space="preserve"> a </w:t>
            </w:r>
            <w:r w:rsidRPr="00207412">
              <w:rPr>
                <w:rFonts w:ascii="Times New Roman" w:hAnsi="Times New Roman"/>
                <w:sz w:val="24"/>
              </w:rPr>
              <w:t>ich zodpovedajúce požiadavky na vlastné zdroje pre meny, na ktoré sa uplatňuje všeobecný postup uvedený</w:t>
            </w:r>
            <w:r w:rsidR="00207412">
              <w:rPr>
                <w:rFonts w:ascii="Times New Roman" w:hAnsi="Times New Roman"/>
                <w:sz w:val="24"/>
              </w:rPr>
              <w:t xml:space="preserve"> v </w:t>
            </w:r>
            <w:r w:rsidRPr="00207412">
              <w:rPr>
                <w:rFonts w:ascii="Times New Roman" w:hAnsi="Times New Roman"/>
                <w:sz w:val="24"/>
              </w:rPr>
              <w:t>článku 351</w:t>
            </w:r>
            <w:r w:rsidR="00207412">
              <w:rPr>
                <w:rFonts w:ascii="Times New Roman" w:hAnsi="Times New Roman"/>
                <w:sz w:val="24"/>
              </w:rPr>
              <w:t xml:space="preserve"> a </w:t>
            </w:r>
            <w:r w:rsidRPr="00207412">
              <w:rPr>
                <w:rFonts w:ascii="Times New Roman" w:hAnsi="Times New Roman"/>
                <w:sz w:val="24"/>
              </w:rPr>
              <w:t>článku 352 ods. 2</w:t>
            </w:r>
            <w:r w:rsidR="00207412">
              <w:rPr>
                <w:rFonts w:ascii="Times New Roman" w:hAnsi="Times New Roman"/>
                <w:sz w:val="24"/>
              </w:rPr>
              <w:t xml:space="preserve"> a </w:t>
            </w:r>
            <w:r w:rsidRPr="00207412">
              <w:rPr>
                <w:rFonts w:ascii="Times New Roman" w:hAnsi="Times New Roman"/>
                <w:sz w:val="24"/>
              </w:rPr>
              <w:t xml:space="preserve">4 nariadenia (EÚ) </w:t>
            </w:r>
            <w:r w:rsidR="00207412">
              <w:rPr>
                <w:rFonts w:ascii="Times New Roman" w:hAnsi="Times New Roman"/>
                <w:sz w:val="24"/>
              </w:rPr>
              <w:t>č. </w:t>
            </w:r>
            <w:r w:rsidRPr="00207412">
              <w:rPr>
                <w:rFonts w:ascii="Times New Roman" w:hAnsi="Times New Roman"/>
                <w:sz w:val="24"/>
              </w:rPr>
              <w:t>575/2013</w:t>
            </w:r>
            <w:r w:rsidR="00207412">
              <w:rPr>
                <w:rFonts w:ascii="Times New Roman" w:hAnsi="Times New Roman"/>
                <w:sz w:val="24"/>
              </w:rPr>
              <w:t>.</w:t>
            </w:r>
          </w:p>
          <w:p w14:paraId="23633856" w14:textId="27851181" w:rsidR="000B0B09" w:rsidRPr="00207412"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07412" w14:paraId="76FC5B51" w14:textId="77777777" w:rsidTr="00672D2A">
        <w:tc>
          <w:tcPr>
            <w:tcW w:w="991" w:type="dxa"/>
          </w:tcPr>
          <w:p w14:paraId="119AB326"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0050 – 0090</w:t>
            </w:r>
          </w:p>
        </w:tc>
        <w:tc>
          <w:tcPr>
            <w:tcW w:w="7871" w:type="dxa"/>
          </w:tcPr>
          <w:p w14:paraId="76D7671B"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Style w:val="InstructionsTabelleberschrift"/>
                <w:rFonts w:ascii="Times New Roman" w:hAnsi="Times New Roman"/>
                <w:sz w:val="24"/>
              </w:rPr>
              <w:t>DODATOČNÉ POŽIADAVKY PRE OPCIE (RIZIKÁ INÉ NEŽ DELTA)</w:t>
            </w:r>
          </w:p>
          <w:p w14:paraId="74180782" w14:textId="4DBFCEA8" w:rsidR="00207412" w:rsidRDefault="000B0B09" w:rsidP="004C445F">
            <w:pPr>
              <w:suppressAutoHyphens/>
              <w:autoSpaceDE w:val="0"/>
              <w:autoSpaceDN w:val="0"/>
              <w:adjustRightInd w:val="0"/>
              <w:spacing w:after="0"/>
              <w:rPr>
                <w:rFonts w:ascii="Times New Roman" w:hAnsi="Times New Roman"/>
                <w:sz w:val="24"/>
              </w:rPr>
            </w:pPr>
            <w:r w:rsidRPr="00207412">
              <w:rPr>
                <w:rFonts w:ascii="Times New Roman" w:hAnsi="Times New Roman"/>
                <w:sz w:val="24"/>
              </w:rPr>
              <w:t>Článok 352 ods. 5</w:t>
            </w:r>
            <w:r w:rsidR="00207412">
              <w:rPr>
                <w:rFonts w:ascii="Times New Roman" w:hAnsi="Times New Roman"/>
                <w:sz w:val="24"/>
              </w:rPr>
              <w:t xml:space="preserve"> a </w:t>
            </w:r>
            <w:r w:rsidRPr="00207412">
              <w:rPr>
                <w:rFonts w:ascii="Times New Roman" w:hAnsi="Times New Roman"/>
                <w:sz w:val="24"/>
              </w:rPr>
              <w:t xml:space="preserve">6 nariadenia (EÚ) </w:t>
            </w:r>
            <w:r w:rsidR="00207412">
              <w:rPr>
                <w:rFonts w:ascii="Times New Roman" w:hAnsi="Times New Roman"/>
                <w:sz w:val="24"/>
              </w:rPr>
              <w:t>č. </w:t>
            </w:r>
            <w:r w:rsidRPr="00207412">
              <w:rPr>
                <w:rFonts w:ascii="Times New Roman" w:hAnsi="Times New Roman"/>
                <w:sz w:val="24"/>
              </w:rPr>
              <w:t>575/2013</w:t>
            </w:r>
          </w:p>
          <w:p w14:paraId="28A72F07" w14:textId="288E3F1D" w:rsidR="000B0B09" w:rsidRPr="00207412" w:rsidRDefault="000B0B09" w:rsidP="004C445F">
            <w:pPr>
              <w:suppressAutoHyphens/>
              <w:autoSpaceDE w:val="0"/>
              <w:autoSpaceDN w:val="0"/>
              <w:adjustRightInd w:val="0"/>
              <w:spacing w:before="0" w:after="0"/>
              <w:rPr>
                <w:rFonts w:ascii="Times New Roman" w:hAnsi="Times New Roman"/>
                <w:sz w:val="24"/>
                <w:lang w:eastAsia="de-DE"/>
              </w:rPr>
            </w:pPr>
          </w:p>
          <w:p w14:paraId="656C4AD6" w14:textId="01F93569" w:rsid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lastRenderedPageBreak/>
              <w:t>Dodatočné požiadavky pre opcie, ktoré súvisia</w:t>
            </w:r>
            <w:r w:rsidR="00207412">
              <w:rPr>
                <w:rFonts w:ascii="Times New Roman" w:hAnsi="Times New Roman"/>
                <w:sz w:val="24"/>
              </w:rPr>
              <w:t xml:space="preserve"> s </w:t>
            </w:r>
            <w:r w:rsidRPr="00207412">
              <w:rPr>
                <w:rFonts w:ascii="Times New Roman" w:hAnsi="Times New Roman"/>
                <w:sz w:val="24"/>
              </w:rPr>
              <w:t>rizikami inými než delta, sa vykazujú</w:t>
            </w:r>
            <w:r w:rsidR="00207412">
              <w:rPr>
                <w:rFonts w:ascii="Times New Roman" w:hAnsi="Times New Roman"/>
                <w:sz w:val="24"/>
              </w:rPr>
              <w:t xml:space="preserve"> v </w:t>
            </w:r>
            <w:r w:rsidRPr="00207412">
              <w:rPr>
                <w:rFonts w:ascii="Times New Roman" w:hAnsi="Times New Roman"/>
                <w:sz w:val="24"/>
              </w:rPr>
              <w:t>rozčlenení podľa metódy použitej na ich výpočet</w:t>
            </w:r>
            <w:r w:rsidR="00207412">
              <w:rPr>
                <w:rFonts w:ascii="Times New Roman" w:hAnsi="Times New Roman"/>
                <w:sz w:val="24"/>
              </w:rPr>
              <w:t>.</w:t>
            </w:r>
          </w:p>
          <w:p w14:paraId="64B10AE8" w14:textId="2F18CC8F" w:rsidR="000B0B09" w:rsidRPr="00207412"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07412" w14:paraId="4FB6CAB6" w14:textId="77777777" w:rsidTr="00672D2A">
        <w:tc>
          <w:tcPr>
            <w:tcW w:w="991" w:type="dxa"/>
          </w:tcPr>
          <w:p w14:paraId="4A4827FD"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lastRenderedPageBreak/>
              <w:t>0100 – 0120</w:t>
            </w:r>
          </w:p>
        </w:tc>
        <w:tc>
          <w:tcPr>
            <w:tcW w:w="7871" w:type="dxa"/>
          </w:tcPr>
          <w:p w14:paraId="4D32EE99"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Rozčlenenie celkových pozícií (vrátane meny vykazovania) podľa druhov expozícií</w:t>
            </w:r>
          </w:p>
          <w:p w14:paraId="35F84DAE"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1C8EDD8" w14:textId="27671ED1" w:rsidR="000B0B09" w:rsidRP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Celkové pozície sa rozčlenia na deriváty, ostatné aktíva</w:t>
            </w:r>
            <w:r w:rsidR="00207412">
              <w:rPr>
                <w:rFonts w:ascii="Times New Roman" w:hAnsi="Times New Roman"/>
                <w:sz w:val="24"/>
              </w:rPr>
              <w:t xml:space="preserve"> a </w:t>
            </w:r>
            <w:r w:rsidRPr="00207412">
              <w:rPr>
                <w:rFonts w:ascii="Times New Roman" w:hAnsi="Times New Roman"/>
                <w:sz w:val="24"/>
              </w:rPr>
              <w:t>záväzky</w:t>
            </w:r>
            <w:r w:rsidR="00207412">
              <w:rPr>
                <w:rFonts w:ascii="Times New Roman" w:hAnsi="Times New Roman"/>
                <w:sz w:val="24"/>
              </w:rPr>
              <w:t xml:space="preserve"> a </w:t>
            </w:r>
            <w:r w:rsidRPr="00207412">
              <w:rPr>
                <w:rFonts w:ascii="Times New Roman" w:hAnsi="Times New Roman"/>
                <w:sz w:val="24"/>
              </w:rPr>
              <w:t>podsúvahové položky.</w:t>
            </w:r>
          </w:p>
          <w:p w14:paraId="645944F1" w14:textId="77777777" w:rsidR="00DE48EF" w:rsidRPr="00207412"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07412" w14:paraId="12C3A573" w14:textId="77777777" w:rsidTr="00672D2A">
        <w:tc>
          <w:tcPr>
            <w:tcW w:w="991" w:type="dxa"/>
          </w:tcPr>
          <w:p w14:paraId="328B76F1"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0100</w:t>
            </w:r>
          </w:p>
        </w:tc>
        <w:tc>
          <w:tcPr>
            <w:tcW w:w="7871" w:type="dxa"/>
          </w:tcPr>
          <w:p w14:paraId="2B5ED8B0" w14:textId="190565F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Ostatné aktíva</w:t>
            </w:r>
            <w:r w:rsidR="00207412">
              <w:rPr>
                <w:rFonts w:ascii="Times New Roman" w:hAnsi="Times New Roman"/>
                <w:b/>
                <w:sz w:val="24"/>
                <w:u w:val="single"/>
              </w:rPr>
              <w:t xml:space="preserve"> a </w:t>
            </w:r>
            <w:r w:rsidRPr="00207412">
              <w:rPr>
                <w:rFonts w:ascii="Times New Roman" w:hAnsi="Times New Roman"/>
                <w:b/>
                <w:sz w:val="24"/>
                <w:u w:val="single"/>
              </w:rPr>
              <w:t>záväzky iné než podsúvahové položky</w:t>
            </w:r>
            <w:r w:rsidR="00207412">
              <w:rPr>
                <w:rFonts w:ascii="Times New Roman" w:hAnsi="Times New Roman"/>
                <w:b/>
                <w:sz w:val="24"/>
                <w:u w:val="single"/>
              </w:rPr>
              <w:t xml:space="preserve"> a </w:t>
            </w:r>
            <w:r w:rsidRPr="00207412">
              <w:rPr>
                <w:rFonts w:ascii="Times New Roman" w:hAnsi="Times New Roman"/>
                <w:b/>
                <w:sz w:val="24"/>
                <w:u w:val="single"/>
              </w:rPr>
              <w:t>deriváty</w:t>
            </w:r>
          </w:p>
          <w:p w14:paraId="70ABA94F"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71B94AE2" w14:textId="41682DCE" w:rsid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Vykazujú sa tu pozície nezahrnuté</w:t>
            </w:r>
            <w:r w:rsidR="00207412">
              <w:rPr>
                <w:rFonts w:ascii="Times New Roman" w:hAnsi="Times New Roman"/>
                <w:sz w:val="24"/>
              </w:rPr>
              <w:t xml:space="preserve"> v </w:t>
            </w:r>
            <w:r w:rsidRPr="00207412">
              <w:rPr>
                <w:rFonts w:ascii="Times New Roman" w:hAnsi="Times New Roman"/>
                <w:sz w:val="24"/>
              </w:rPr>
              <w:t>riadku 0110 alebo 0120</w:t>
            </w:r>
            <w:r w:rsidR="00207412">
              <w:rPr>
                <w:rFonts w:ascii="Times New Roman" w:hAnsi="Times New Roman"/>
                <w:sz w:val="24"/>
              </w:rPr>
              <w:t>.</w:t>
            </w:r>
          </w:p>
          <w:p w14:paraId="68474F8C" w14:textId="067FD920"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sz w:val="24"/>
              </w:rPr>
              <w:t xml:space="preserve"> </w:t>
            </w:r>
          </w:p>
        </w:tc>
      </w:tr>
      <w:tr w:rsidR="000B0B09" w:rsidRPr="00207412" w14:paraId="68F25686" w14:textId="77777777" w:rsidTr="00672D2A">
        <w:tc>
          <w:tcPr>
            <w:tcW w:w="991" w:type="dxa"/>
          </w:tcPr>
          <w:p w14:paraId="76AEDC5B"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0110</w:t>
            </w:r>
          </w:p>
        </w:tc>
        <w:tc>
          <w:tcPr>
            <w:tcW w:w="7871" w:type="dxa"/>
          </w:tcPr>
          <w:p w14:paraId="2D487603"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Podsúvahové položky</w:t>
            </w:r>
          </w:p>
          <w:p w14:paraId="4FE41ABE"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7CE2DA10" w14:textId="788526AB" w:rsidR="000B0B09" w:rsidRP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 xml:space="preserve">Položky patriace do rozsahu pôsobnosti článku 352 nariadenia (EÚ) </w:t>
            </w:r>
            <w:r w:rsidR="00207412">
              <w:rPr>
                <w:rFonts w:ascii="Times New Roman" w:hAnsi="Times New Roman"/>
                <w:sz w:val="24"/>
              </w:rPr>
              <w:t>č. </w:t>
            </w:r>
            <w:r w:rsidRPr="00207412">
              <w:rPr>
                <w:rFonts w:ascii="Times New Roman" w:hAnsi="Times New Roman"/>
                <w:sz w:val="24"/>
              </w:rPr>
              <w:t>575/2013 bez ohľadu na menu denominácie, ktoré sú zahrnuté</w:t>
            </w:r>
            <w:r w:rsidR="00207412">
              <w:rPr>
                <w:rFonts w:ascii="Times New Roman" w:hAnsi="Times New Roman"/>
                <w:sz w:val="24"/>
              </w:rPr>
              <w:t xml:space="preserve"> v </w:t>
            </w:r>
            <w:r w:rsidRPr="00207412">
              <w:rPr>
                <w:rFonts w:ascii="Times New Roman" w:hAnsi="Times New Roman"/>
                <w:sz w:val="24"/>
              </w:rPr>
              <w:t>prílohe I</w:t>
            </w:r>
            <w:r w:rsidR="00207412">
              <w:rPr>
                <w:rFonts w:ascii="Times New Roman" w:hAnsi="Times New Roman"/>
                <w:sz w:val="24"/>
              </w:rPr>
              <w:t xml:space="preserve"> k </w:t>
            </w:r>
            <w:r w:rsidRPr="00207412">
              <w:rPr>
                <w:rFonts w:ascii="Times New Roman" w:hAnsi="Times New Roman"/>
                <w:sz w:val="24"/>
              </w:rPr>
              <w:t>uvedenému nariadeniu, okrem položiek zahrnutých ako transakcie financovania prostredníctvom cenných papierov</w:t>
            </w:r>
            <w:r w:rsidR="00207412">
              <w:rPr>
                <w:rFonts w:ascii="Times New Roman" w:hAnsi="Times New Roman"/>
                <w:sz w:val="24"/>
              </w:rPr>
              <w:t xml:space="preserve"> a </w:t>
            </w:r>
            <w:r w:rsidRPr="00207412">
              <w:rPr>
                <w:rFonts w:ascii="Times New Roman" w:hAnsi="Times New Roman"/>
                <w:sz w:val="24"/>
              </w:rPr>
              <w:t>transakcie</w:t>
            </w:r>
            <w:r w:rsidR="00207412">
              <w:rPr>
                <w:rFonts w:ascii="Times New Roman" w:hAnsi="Times New Roman"/>
                <w:sz w:val="24"/>
              </w:rPr>
              <w:t xml:space="preserve"> s </w:t>
            </w:r>
            <w:r w:rsidRPr="00207412">
              <w:rPr>
                <w:rFonts w:ascii="Times New Roman" w:hAnsi="Times New Roman"/>
                <w:sz w:val="24"/>
              </w:rPr>
              <w:t>dlhou dobou vyrovnania alebo</w:t>
            </w:r>
            <w:r w:rsidR="00207412">
              <w:rPr>
                <w:rFonts w:ascii="Times New Roman" w:hAnsi="Times New Roman"/>
                <w:sz w:val="24"/>
              </w:rPr>
              <w:t xml:space="preserve"> z </w:t>
            </w:r>
            <w:r w:rsidRPr="00207412">
              <w:rPr>
                <w:rFonts w:ascii="Times New Roman" w:hAnsi="Times New Roman"/>
                <w:sz w:val="24"/>
              </w:rPr>
              <w:t>krížového vzájomného započítavania produktov.</w:t>
            </w:r>
          </w:p>
          <w:p w14:paraId="25D49F5C" w14:textId="77777777" w:rsidR="00DE48EF" w:rsidRPr="00207412"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07412" w14:paraId="6C61B439" w14:textId="77777777" w:rsidTr="00672D2A">
        <w:tc>
          <w:tcPr>
            <w:tcW w:w="991" w:type="dxa"/>
          </w:tcPr>
          <w:p w14:paraId="33EE452C"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0120</w:t>
            </w:r>
          </w:p>
        </w:tc>
        <w:tc>
          <w:tcPr>
            <w:tcW w:w="7871" w:type="dxa"/>
          </w:tcPr>
          <w:p w14:paraId="56E07170"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Deriváty</w:t>
            </w:r>
          </w:p>
          <w:p w14:paraId="7B6CC853"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74E14E9" w14:textId="79F62948" w:rsidR="000B0B09" w:rsidRP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 xml:space="preserve">Pozície ocenené podľa článku 352 nariadenia (EÚ) </w:t>
            </w:r>
            <w:r w:rsidR="00207412">
              <w:rPr>
                <w:rFonts w:ascii="Times New Roman" w:hAnsi="Times New Roman"/>
                <w:sz w:val="24"/>
              </w:rPr>
              <w:t>č. </w:t>
            </w:r>
            <w:r w:rsidRPr="00207412">
              <w:rPr>
                <w:rFonts w:ascii="Times New Roman" w:hAnsi="Times New Roman"/>
                <w:sz w:val="24"/>
              </w:rPr>
              <w:t>575/2013.</w:t>
            </w:r>
          </w:p>
          <w:p w14:paraId="2984F2C2" w14:textId="77777777" w:rsidR="00902EFC" w:rsidRPr="00207412" w:rsidRDefault="00902EFC"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07412" w14:paraId="0D32A9CF" w14:textId="77777777" w:rsidTr="00672D2A">
        <w:tc>
          <w:tcPr>
            <w:tcW w:w="991" w:type="dxa"/>
          </w:tcPr>
          <w:p w14:paraId="7B4BCDF0" w14:textId="0459354E"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0130 – 0470</w:t>
            </w:r>
          </w:p>
        </w:tc>
        <w:tc>
          <w:tcPr>
            <w:tcW w:w="7871" w:type="dxa"/>
          </w:tcPr>
          <w:p w14:paraId="26286B4C" w14:textId="38433819" w:rsidR="000B0B09" w:rsidRP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b/>
                <w:sz w:val="24"/>
                <w:u w:val="single"/>
              </w:rPr>
              <w:t>DOPLŇUJÚCE POLOŽKY: MENOVÉ POZÍCIE</w:t>
            </w:r>
          </w:p>
          <w:p w14:paraId="77A906DE" w14:textId="77777777" w:rsidR="000B0B09" w:rsidRPr="00207412" w:rsidRDefault="000B0B09" w:rsidP="004C445F">
            <w:pPr>
              <w:suppressAutoHyphens/>
              <w:autoSpaceDE w:val="0"/>
              <w:autoSpaceDN w:val="0"/>
              <w:adjustRightInd w:val="0"/>
              <w:spacing w:before="0" w:after="0"/>
              <w:rPr>
                <w:rFonts w:ascii="Times New Roman" w:hAnsi="Times New Roman"/>
                <w:b/>
                <w:bCs/>
                <w:sz w:val="24"/>
                <w:lang w:eastAsia="de-DE"/>
              </w:rPr>
            </w:pPr>
          </w:p>
          <w:p w14:paraId="38FFE6D0" w14:textId="7A40ADB3" w:rsid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Doplňujúce položky vzoru sa vypĺňajú samostatne pre všetky meny členských štátov Únie, GBP, USD, CHF, JPY, RUB, TRY, AUD, CAD, RSD, ALL, UAH, MKD, EGP, ARS, BRL, MXN, HKD, ICK, TWD, NZD, NOK, SGD, KRW, CNY</w:t>
            </w:r>
            <w:r w:rsidR="00207412">
              <w:rPr>
                <w:rFonts w:ascii="Times New Roman" w:hAnsi="Times New Roman"/>
                <w:sz w:val="24"/>
              </w:rPr>
              <w:t xml:space="preserve"> a </w:t>
            </w:r>
            <w:r w:rsidRPr="00207412">
              <w:rPr>
                <w:rFonts w:ascii="Times New Roman" w:hAnsi="Times New Roman"/>
                <w:sz w:val="24"/>
              </w:rPr>
              <w:t>všetky ostatné meny</w:t>
            </w:r>
            <w:r w:rsidR="00207412">
              <w:rPr>
                <w:rFonts w:ascii="Times New Roman" w:hAnsi="Times New Roman"/>
                <w:sz w:val="24"/>
              </w:rPr>
              <w:t>.</w:t>
            </w:r>
          </w:p>
          <w:p w14:paraId="09723CAF" w14:textId="6C7AAB06" w:rsidR="003E0950" w:rsidRPr="00207412" w:rsidRDefault="003E0950" w:rsidP="004C445F">
            <w:pPr>
              <w:suppressAutoHyphens/>
              <w:autoSpaceDE w:val="0"/>
              <w:autoSpaceDN w:val="0"/>
              <w:adjustRightInd w:val="0"/>
              <w:spacing w:before="0" w:after="0"/>
              <w:rPr>
                <w:rFonts w:ascii="Times New Roman" w:hAnsi="Times New Roman"/>
                <w:sz w:val="24"/>
                <w:lang w:eastAsia="de-DE"/>
              </w:rPr>
            </w:pPr>
          </w:p>
          <w:p w14:paraId="7255FEE1" w14:textId="0D57F000" w:rsidR="00A433ED" w:rsidRPr="00207412" w:rsidRDefault="00A433ED"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Pozície</w:t>
            </w:r>
            <w:r w:rsidR="00207412">
              <w:rPr>
                <w:rFonts w:ascii="Times New Roman" w:hAnsi="Times New Roman"/>
                <w:sz w:val="24"/>
              </w:rPr>
              <w:t xml:space="preserve"> v </w:t>
            </w:r>
            <w:r w:rsidRPr="00207412">
              <w:rPr>
                <w:rFonts w:ascii="Times New Roman" w:hAnsi="Times New Roman"/>
                <w:sz w:val="24"/>
              </w:rPr>
              <w:t>zlate</w:t>
            </w:r>
            <w:r w:rsidR="00207412">
              <w:rPr>
                <w:rFonts w:ascii="Times New Roman" w:hAnsi="Times New Roman"/>
                <w:sz w:val="24"/>
              </w:rPr>
              <w:t xml:space="preserve"> a </w:t>
            </w:r>
            <w:r w:rsidRPr="00207412">
              <w:rPr>
                <w:rFonts w:ascii="Times New Roman" w:hAnsi="Times New Roman"/>
                <w:sz w:val="24"/>
              </w:rPr>
              <w:t>pozície</w:t>
            </w:r>
            <w:r w:rsidR="00207412">
              <w:rPr>
                <w:rFonts w:ascii="Times New Roman" w:hAnsi="Times New Roman"/>
                <w:sz w:val="24"/>
              </w:rPr>
              <w:t xml:space="preserve"> v </w:t>
            </w:r>
            <w:r w:rsidRPr="00207412">
              <w:rPr>
                <w:rFonts w:ascii="Times New Roman" w:hAnsi="Times New Roman"/>
                <w:sz w:val="24"/>
              </w:rPr>
              <w:t>PKI,</w:t>
            </w:r>
            <w:r w:rsidR="00207412">
              <w:rPr>
                <w:rFonts w:ascii="Times New Roman" w:hAnsi="Times New Roman"/>
                <w:sz w:val="24"/>
              </w:rPr>
              <w:t xml:space="preserve"> s </w:t>
            </w:r>
            <w:r w:rsidRPr="00207412">
              <w:rPr>
                <w:rFonts w:ascii="Times New Roman" w:hAnsi="Times New Roman"/>
                <w:sz w:val="24"/>
              </w:rPr>
              <w:t>ktorými sa zaobchádza ako so samostatnou menou</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 xml:space="preserve">článkom 353 ods. 3 nariadenia (EÚ) </w:t>
            </w:r>
            <w:r w:rsidR="00207412">
              <w:rPr>
                <w:rFonts w:ascii="Times New Roman" w:hAnsi="Times New Roman"/>
                <w:sz w:val="24"/>
              </w:rPr>
              <w:t>č. </w:t>
            </w:r>
            <w:r w:rsidRPr="00207412">
              <w:rPr>
                <w:rFonts w:ascii="Times New Roman" w:hAnsi="Times New Roman"/>
                <w:sz w:val="24"/>
              </w:rPr>
              <w:t>575/2013, sa vykazujú</w:t>
            </w:r>
            <w:r w:rsidR="00207412">
              <w:rPr>
                <w:rFonts w:ascii="Times New Roman" w:hAnsi="Times New Roman"/>
                <w:sz w:val="24"/>
              </w:rPr>
              <w:t xml:space="preserve"> v </w:t>
            </w:r>
            <w:r w:rsidRPr="00207412">
              <w:rPr>
                <w:rFonts w:ascii="Times New Roman" w:hAnsi="Times New Roman"/>
                <w:sz w:val="24"/>
              </w:rPr>
              <w:t>riadku 0470.</w:t>
            </w:r>
          </w:p>
          <w:p w14:paraId="2A795EB2" w14:textId="3FA18151" w:rsidR="0055144E" w:rsidRPr="00207412" w:rsidRDefault="0055144E" w:rsidP="004C445F">
            <w:pPr>
              <w:suppressAutoHyphens/>
              <w:autoSpaceDE w:val="0"/>
              <w:autoSpaceDN w:val="0"/>
              <w:adjustRightInd w:val="0"/>
              <w:spacing w:before="0" w:after="0"/>
              <w:rPr>
                <w:rStyle w:val="InstructionsTabelleText"/>
                <w:rFonts w:ascii="Times New Roman" w:hAnsi="Times New Roman"/>
                <w:sz w:val="24"/>
              </w:rPr>
            </w:pPr>
          </w:p>
        </w:tc>
      </w:tr>
    </w:tbl>
    <w:p w14:paraId="6BA92730" w14:textId="77777777" w:rsidR="000B0B09" w:rsidRPr="00207412" w:rsidRDefault="000B0B09" w:rsidP="004C445F">
      <w:pPr>
        <w:suppressAutoHyphens/>
        <w:rPr>
          <w:rFonts w:ascii="Times New Roman" w:hAnsi="Times New Roman"/>
          <w:sz w:val="24"/>
        </w:rPr>
      </w:pPr>
    </w:p>
    <w:p w14:paraId="53515718" w14:textId="54673A1A" w:rsidR="000B0B09" w:rsidRPr="0020741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7" w:name="_Toc262566435"/>
      <w:bookmarkStart w:id="138" w:name="_Toc295830011"/>
      <w:bookmarkStart w:id="139" w:name="_Toc308426688"/>
      <w:bookmarkStart w:id="140" w:name="_Toc310415072"/>
      <w:bookmarkStart w:id="141" w:name="_Toc360188407"/>
      <w:bookmarkStart w:id="142" w:name="_Toc473561047"/>
      <w:bookmarkStart w:id="143" w:name="_Toc210895535"/>
      <w:r w:rsidRPr="00207412">
        <w:rPr>
          <w:rFonts w:ascii="Times New Roman" w:hAnsi="Times New Roman"/>
          <w:sz w:val="24"/>
          <w:u w:val="none"/>
        </w:rPr>
        <w:t>7.</w:t>
      </w:r>
      <w:r w:rsidRPr="00207412">
        <w:rPr>
          <w:u w:val="none"/>
        </w:rPr>
        <w:tab/>
      </w:r>
      <w:r w:rsidRPr="00207412">
        <w:rPr>
          <w:rFonts w:ascii="Times New Roman" w:hAnsi="Times New Roman"/>
          <w:sz w:val="24"/>
        </w:rPr>
        <w:t>C 23.00 – Trhové riziko: Štandardizované prístupy pre komodity</w:t>
      </w:r>
      <w:bookmarkEnd w:id="137"/>
      <w:bookmarkEnd w:id="138"/>
      <w:bookmarkEnd w:id="139"/>
      <w:bookmarkEnd w:id="140"/>
      <w:bookmarkEnd w:id="141"/>
      <w:r w:rsidRPr="00207412">
        <w:rPr>
          <w:rFonts w:ascii="Times New Roman" w:hAnsi="Times New Roman"/>
          <w:sz w:val="24"/>
        </w:rPr>
        <w:t xml:space="preserve"> (MKR SA COM)</w:t>
      </w:r>
      <w:bookmarkEnd w:id="142"/>
      <w:bookmarkEnd w:id="143"/>
    </w:p>
    <w:p w14:paraId="72871AE4" w14:textId="0AF1A4EA" w:rsidR="000B0B09" w:rsidRPr="0020741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44" w:name="_Toc262566436"/>
      <w:bookmarkStart w:id="145" w:name="_Toc295830012"/>
      <w:bookmarkStart w:id="146" w:name="_Toc308426689"/>
      <w:bookmarkStart w:id="147" w:name="_Toc310415073"/>
      <w:bookmarkStart w:id="148" w:name="_Toc360188408"/>
      <w:bookmarkStart w:id="149" w:name="_Toc473561048"/>
      <w:bookmarkStart w:id="150" w:name="_Toc210895536"/>
      <w:r w:rsidRPr="00207412">
        <w:rPr>
          <w:rFonts w:ascii="Times New Roman" w:hAnsi="Times New Roman"/>
          <w:sz w:val="24"/>
          <w:u w:val="none"/>
        </w:rPr>
        <w:t>7.1.</w:t>
      </w:r>
      <w:r w:rsidRPr="00207412">
        <w:rPr>
          <w:u w:val="none"/>
        </w:rPr>
        <w:tab/>
      </w:r>
      <w:r w:rsidRPr="00207412">
        <w:rPr>
          <w:rFonts w:ascii="Times New Roman" w:hAnsi="Times New Roman"/>
          <w:sz w:val="24"/>
        </w:rPr>
        <w:t>Všeobecné poznámky</w:t>
      </w:r>
      <w:bookmarkEnd w:id="144"/>
      <w:bookmarkEnd w:id="145"/>
      <w:bookmarkEnd w:id="146"/>
      <w:bookmarkEnd w:id="147"/>
      <w:bookmarkEnd w:id="148"/>
      <w:bookmarkEnd w:id="149"/>
      <w:bookmarkEnd w:id="150"/>
    </w:p>
    <w:p w14:paraId="441FA19A" w14:textId="39DE722A" w:rsidR="000B0B09" w:rsidRPr="00207412" w:rsidRDefault="000B0B09" w:rsidP="00E172EA">
      <w:pPr>
        <w:pStyle w:val="InstructionsText2"/>
        <w:numPr>
          <w:ilvl w:val="0"/>
          <w:numId w:val="29"/>
        </w:numPr>
        <w:suppressAutoHyphens/>
      </w:pPr>
      <w:r w:rsidRPr="00207412">
        <w:t>V tomto vzore sa vyžadujú informácie</w:t>
      </w:r>
      <w:r w:rsidR="00207412">
        <w:t xml:space="preserve"> o </w:t>
      </w:r>
      <w:r w:rsidRPr="00207412">
        <w:t>pozíciách</w:t>
      </w:r>
      <w:r w:rsidR="00207412">
        <w:t xml:space="preserve"> v </w:t>
      </w:r>
      <w:r w:rsidRPr="00207412">
        <w:t>komoditách</w:t>
      </w:r>
      <w:r w:rsidR="00207412">
        <w:t xml:space="preserve"> a </w:t>
      </w:r>
      <w:r w:rsidRPr="00207412">
        <w:t>zodpovedajúcich požiadavkách na vlastné zdroje</w:t>
      </w:r>
      <w:r w:rsidR="00207412">
        <w:t xml:space="preserve"> v </w:t>
      </w:r>
      <w:r w:rsidRPr="00207412">
        <w:t>rámci štandardizovaného prístupu.</w:t>
      </w:r>
    </w:p>
    <w:p w14:paraId="0C8765B1" w14:textId="613B31E5" w:rsidR="000B0B09" w:rsidRPr="00207412"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51" w:name="_Toc262566437"/>
      <w:bookmarkStart w:id="152" w:name="_Toc295830013"/>
      <w:bookmarkStart w:id="153" w:name="_Toc308426690"/>
      <w:bookmarkStart w:id="154" w:name="_Toc310415074"/>
      <w:bookmarkStart w:id="155" w:name="_Toc360188409"/>
      <w:bookmarkStart w:id="156" w:name="_Toc473561049"/>
      <w:bookmarkStart w:id="157" w:name="_Toc210895537"/>
      <w:r w:rsidRPr="00207412">
        <w:rPr>
          <w:rFonts w:ascii="Times New Roman" w:hAnsi="Times New Roman"/>
          <w:sz w:val="24"/>
          <w:u w:val="none"/>
        </w:rPr>
        <w:t>7.2.</w:t>
      </w:r>
      <w:r w:rsidRPr="00207412">
        <w:rPr>
          <w:u w:val="none"/>
        </w:rPr>
        <w:tab/>
      </w:r>
      <w:r w:rsidRPr="00207412">
        <w:rPr>
          <w:rFonts w:ascii="Times New Roman" w:hAnsi="Times New Roman"/>
          <w:sz w:val="24"/>
        </w:rPr>
        <w:t>Pokyny týkajúce sa konkrétnych pozícií</w:t>
      </w:r>
      <w:bookmarkEnd w:id="151"/>
      <w:bookmarkEnd w:id="152"/>
      <w:bookmarkEnd w:id="153"/>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7646"/>
      </w:tblGrid>
      <w:tr w:rsidR="000B0B09" w:rsidRPr="00207412" w14:paraId="7440A91F" w14:textId="77777777" w:rsidTr="00672D2A">
        <w:trPr>
          <w:trHeight w:val="591"/>
        </w:trPr>
        <w:tc>
          <w:tcPr>
            <w:tcW w:w="8862" w:type="dxa"/>
            <w:gridSpan w:val="2"/>
            <w:shd w:val="clear" w:color="auto" w:fill="CCCCCC"/>
          </w:tcPr>
          <w:p w14:paraId="4154FB7C" w14:textId="77777777" w:rsidR="000B0B09" w:rsidRPr="00207412" w:rsidRDefault="000B0B09" w:rsidP="004C445F">
            <w:pPr>
              <w:suppressAutoHyphens/>
              <w:autoSpaceDE w:val="0"/>
              <w:autoSpaceDN w:val="0"/>
              <w:adjustRightInd w:val="0"/>
              <w:spacing w:after="0"/>
              <w:rPr>
                <w:rFonts w:ascii="Times New Roman" w:hAnsi="Times New Roman"/>
                <w:b/>
                <w:sz w:val="24"/>
              </w:rPr>
            </w:pPr>
            <w:r w:rsidRPr="00207412">
              <w:rPr>
                <w:rFonts w:ascii="Times New Roman" w:hAnsi="Times New Roman"/>
                <w:b/>
                <w:sz w:val="24"/>
              </w:rPr>
              <w:t>Stĺpce</w:t>
            </w:r>
          </w:p>
        </w:tc>
      </w:tr>
      <w:tr w:rsidR="000B0B09" w:rsidRPr="00207412" w14:paraId="12CECACA" w14:textId="77777777" w:rsidTr="00672D2A">
        <w:tc>
          <w:tcPr>
            <w:tcW w:w="986" w:type="dxa"/>
          </w:tcPr>
          <w:p w14:paraId="6FA50BBC"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lastRenderedPageBreak/>
              <w:t>0010 – 0020</w:t>
            </w:r>
          </w:p>
        </w:tc>
        <w:tc>
          <w:tcPr>
            <w:tcW w:w="7876" w:type="dxa"/>
          </w:tcPr>
          <w:p w14:paraId="29C026B5"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VŠETKY POZÍCIE (DLHÉ A KRÁTKE)</w:t>
            </w:r>
          </w:p>
          <w:p w14:paraId="4B99A786"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60BC9B3E" w14:textId="49C87720" w:rsidR="000B0B09" w:rsidRP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Hrubé dlhé/krátke pozície, ktoré sa považujú za pozície</w:t>
            </w:r>
            <w:r w:rsidR="00207412">
              <w:rPr>
                <w:rFonts w:ascii="Times New Roman" w:hAnsi="Times New Roman"/>
                <w:sz w:val="24"/>
              </w:rPr>
              <w:t xml:space="preserve"> v </w:t>
            </w:r>
            <w:r w:rsidRPr="00207412">
              <w:rPr>
                <w:rFonts w:ascii="Times New Roman" w:hAnsi="Times New Roman"/>
                <w:sz w:val="24"/>
              </w:rPr>
              <w:t>rovnakej komodite</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 xml:space="preserve">článkom 357 ods. 4 nariadenia (EÚ) </w:t>
            </w:r>
            <w:r w:rsidR="00207412">
              <w:rPr>
                <w:rFonts w:ascii="Times New Roman" w:hAnsi="Times New Roman"/>
                <w:sz w:val="24"/>
              </w:rPr>
              <w:t>č. </w:t>
            </w:r>
            <w:r w:rsidRPr="00207412">
              <w:rPr>
                <w:rFonts w:ascii="Times New Roman" w:hAnsi="Times New Roman"/>
                <w:sz w:val="24"/>
              </w:rPr>
              <w:t>575/2013 (pozri aj článok 359 ods. 1 uvedeného nariadenia).</w:t>
            </w:r>
          </w:p>
          <w:p w14:paraId="3E9C7204" w14:textId="77777777" w:rsidR="000B0B09" w:rsidRP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 xml:space="preserve"> </w:t>
            </w:r>
          </w:p>
        </w:tc>
      </w:tr>
      <w:tr w:rsidR="000B0B09" w:rsidRPr="00207412" w14:paraId="4AB4396B" w14:textId="77777777" w:rsidTr="00672D2A">
        <w:tc>
          <w:tcPr>
            <w:tcW w:w="986" w:type="dxa"/>
          </w:tcPr>
          <w:p w14:paraId="224657DD"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 xml:space="preserve">0030 – 0040 </w:t>
            </w:r>
          </w:p>
        </w:tc>
        <w:tc>
          <w:tcPr>
            <w:tcW w:w="7876" w:type="dxa"/>
          </w:tcPr>
          <w:p w14:paraId="7FA580C3"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ČISTÉ POZÍCIE (DLHÉ A KRÁTKE)</w:t>
            </w:r>
          </w:p>
          <w:p w14:paraId="0B49C3FC"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de-DE"/>
              </w:rPr>
            </w:pPr>
          </w:p>
          <w:p w14:paraId="27F059DD" w14:textId="492BB100" w:rsidR="000B0B09" w:rsidRPr="00207412" w:rsidRDefault="000B0B09" w:rsidP="004C445F">
            <w:pPr>
              <w:suppressAutoHyphens/>
              <w:autoSpaceDE w:val="0"/>
              <w:autoSpaceDN w:val="0"/>
              <w:adjustRightInd w:val="0"/>
              <w:spacing w:before="0"/>
              <w:rPr>
                <w:rFonts w:ascii="Times New Roman" w:hAnsi="Times New Roman"/>
                <w:sz w:val="24"/>
              </w:rPr>
            </w:pPr>
            <w:r w:rsidRPr="00207412">
              <w:rPr>
                <w:rFonts w:ascii="Times New Roman" w:hAnsi="Times New Roman"/>
                <w:sz w:val="24"/>
              </w:rPr>
              <w:t xml:space="preserve">Podľa článku 357 ods. 3 nariadenia (EÚ) </w:t>
            </w:r>
            <w:r w:rsidR="00207412">
              <w:rPr>
                <w:rFonts w:ascii="Times New Roman" w:hAnsi="Times New Roman"/>
                <w:sz w:val="24"/>
              </w:rPr>
              <w:t>č. </w:t>
            </w:r>
            <w:r w:rsidRPr="00207412">
              <w:rPr>
                <w:rFonts w:ascii="Times New Roman" w:hAnsi="Times New Roman"/>
                <w:sz w:val="24"/>
              </w:rPr>
              <w:t xml:space="preserve">575/2013 </w:t>
            </w:r>
          </w:p>
        </w:tc>
      </w:tr>
      <w:tr w:rsidR="000B0B09" w:rsidRPr="00207412" w14:paraId="0A46320C" w14:textId="77777777" w:rsidTr="00672D2A">
        <w:tc>
          <w:tcPr>
            <w:tcW w:w="986" w:type="dxa"/>
          </w:tcPr>
          <w:p w14:paraId="7F0B984E"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0050</w:t>
            </w:r>
          </w:p>
        </w:tc>
        <w:tc>
          <w:tcPr>
            <w:tcW w:w="7876" w:type="dxa"/>
          </w:tcPr>
          <w:p w14:paraId="7ADEF1C0"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POZÍCIE, NA KTORÉ SA VZŤAHUJE KAPITÁLOVÁ POŽIADAVKA</w:t>
            </w:r>
          </w:p>
          <w:p w14:paraId="55ED580C"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de-DE"/>
              </w:rPr>
            </w:pPr>
          </w:p>
          <w:p w14:paraId="0D57A399" w14:textId="1B67B383" w:rsidR="000B0B09" w:rsidRP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Ide</w:t>
            </w:r>
            <w:r w:rsidR="00207412">
              <w:rPr>
                <w:rFonts w:ascii="Times New Roman" w:hAnsi="Times New Roman"/>
                <w:sz w:val="24"/>
              </w:rPr>
              <w:t xml:space="preserve"> o </w:t>
            </w:r>
            <w:r w:rsidRPr="00207412">
              <w:rPr>
                <w:rFonts w:ascii="Times New Roman" w:hAnsi="Times New Roman"/>
                <w:sz w:val="24"/>
              </w:rPr>
              <w:t>čisté pozície, na ktoré sa podľa rôznych prístupov</w:t>
            </w:r>
            <w:r w:rsidR="00207412">
              <w:rPr>
                <w:rFonts w:ascii="Times New Roman" w:hAnsi="Times New Roman"/>
                <w:sz w:val="24"/>
              </w:rPr>
              <w:t xml:space="preserve"> v </w:t>
            </w:r>
            <w:r w:rsidRPr="00207412">
              <w:rPr>
                <w:rFonts w:ascii="Times New Roman" w:hAnsi="Times New Roman"/>
                <w:sz w:val="24"/>
              </w:rPr>
              <w:t xml:space="preserve">tretej časti hlave IV kapitole 4 nariadenia (EÚ) </w:t>
            </w:r>
            <w:r w:rsidR="00207412">
              <w:rPr>
                <w:rFonts w:ascii="Times New Roman" w:hAnsi="Times New Roman"/>
                <w:sz w:val="24"/>
              </w:rPr>
              <w:t>č. </w:t>
            </w:r>
            <w:r w:rsidRPr="00207412">
              <w:rPr>
                <w:rFonts w:ascii="Times New Roman" w:hAnsi="Times New Roman"/>
                <w:sz w:val="24"/>
              </w:rPr>
              <w:t>575/2013 vzťahuje kapitálová požiadavka.</w:t>
            </w:r>
          </w:p>
          <w:p w14:paraId="762BD2E2"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07412" w14:paraId="637B5E6C" w14:textId="77777777" w:rsidTr="00672D2A">
        <w:tc>
          <w:tcPr>
            <w:tcW w:w="986" w:type="dxa"/>
          </w:tcPr>
          <w:p w14:paraId="41FAB945"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0060</w:t>
            </w:r>
          </w:p>
        </w:tc>
        <w:tc>
          <w:tcPr>
            <w:tcW w:w="7876" w:type="dxa"/>
          </w:tcPr>
          <w:p w14:paraId="4AA26DC6"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POŽIADAVKY NA VLASTNÉ ZDROJE</w:t>
            </w:r>
          </w:p>
          <w:p w14:paraId="545A195F"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F8C468D" w14:textId="658B4C7D" w:rsidR="000B0B09" w:rsidRPr="00207412" w:rsidRDefault="000B0B09" w:rsidP="004C445F">
            <w:pPr>
              <w:suppressAutoHyphens/>
              <w:autoSpaceDE w:val="0"/>
              <w:autoSpaceDN w:val="0"/>
              <w:adjustRightInd w:val="0"/>
              <w:spacing w:before="0"/>
              <w:rPr>
                <w:rFonts w:ascii="Times New Roman" w:hAnsi="Times New Roman"/>
                <w:b/>
                <w:bCs/>
                <w:sz w:val="24"/>
                <w:u w:val="single"/>
              </w:rPr>
            </w:pPr>
            <w:r w:rsidRPr="00207412">
              <w:rPr>
                <w:rFonts w:ascii="Times New Roman" w:hAnsi="Times New Roman"/>
                <w:sz w:val="24"/>
              </w:rPr>
              <w:t>Kapitálová požiadavka pre všetky relevantné pozície vypočítaná</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 xml:space="preserve">treťou časťou hlavou IV kapitolou 4 nariadenia (EÚ) </w:t>
            </w:r>
            <w:r w:rsidR="00207412">
              <w:rPr>
                <w:rFonts w:ascii="Times New Roman" w:hAnsi="Times New Roman"/>
                <w:sz w:val="24"/>
              </w:rPr>
              <w:t>č. </w:t>
            </w:r>
            <w:r w:rsidRPr="00207412">
              <w:rPr>
                <w:rFonts w:ascii="Times New Roman" w:hAnsi="Times New Roman"/>
                <w:sz w:val="24"/>
              </w:rPr>
              <w:t>575/2013</w:t>
            </w:r>
          </w:p>
        </w:tc>
      </w:tr>
      <w:tr w:rsidR="000B0B09" w:rsidRPr="00207412" w14:paraId="380AB4E0" w14:textId="77777777" w:rsidTr="00672D2A">
        <w:tc>
          <w:tcPr>
            <w:tcW w:w="986" w:type="dxa"/>
          </w:tcPr>
          <w:p w14:paraId="0EE22EDA"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0070</w:t>
            </w:r>
          </w:p>
        </w:tc>
        <w:tc>
          <w:tcPr>
            <w:tcW w:w="7876" w:type="dxa"/>
          </w:tcPr>
          <w:p w14:paraId="162C1DF7" w14:textId="77777777" w:rsidR="000B0B09" w:rsidRPr="00207412"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CELKOVÁ HODNOTA RIZIKOVEJ EXPOZÍCIE</w:t>
            </w:r>
          </w:p>
          <w:p w14:paraId="35864C1F" w14:textId="77777777" w:rsidR="000B0B09" w:rsidRPr="00207412"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48BA3D4D" w14:textId="6EA34DD4" w:rsidR="00207412" w:rsidRDefault="000B0B09" w:rsidP="004C445F">
            <w:pPr>
              <w:tabs>
                <w:tab w:val="left" w:pos="1665"/>
              </w:tabs>
              <w:suppressAutoHyphens/>
              <w:autoSpaceDE w:val="0"/>
              <w:autoSpaceDN w:val="0"/>
              <w:adjustRightInd w:val="0"/>
              <w:spacing w:before="0"/>
              <w:rPr>
                <w:rFonts w:ascii="Times New Roman" w:hAnsi="Times New Roman"/>
                <w:sz w:val="24"/>
              </w:rPr>
            </w:pPr>
            <w:r w:rsidRPr="00207412">
              <w:rPr>
                <w:rFonts w:ascii="Times New Roman" w:hAnsi="Times New Roman"/>
                <w:sz w:val="24"/>
              </w:rPr>
              <w:t xml:space="preserve">Článok 92 ods. 6 písm. b) nariadenia (EÚ) </w:t>
            </w:r>
            <w:r w:rsidR="00207412">
              <w:rPr>
                <w:rFonts w:ascii="Times New Roman" w:hAnsi="Times New Roman"/>
                <w:sz w:val="24"/>
              </w:rPr>
              <w:t>č. </w:t>
            </w:r>
            <w:r w:rsidRPr="00207412">
              <w:rPr>
                <w:rFonts w:ascii="Times New Roman" w:hAnsi="Times New Roman"/>
                <w:sz w:val="24"/>
              </w:rPr>
              <w:t>575/2013</w:t>
            </w:r>
            <w:r w:rsidR="00207412">
              <w:rPr>
                <w:rFonts w:ascii="Times New Roman" w:hAnsi="Times New Roman"/>
                <w:sz w:val="24"/>
              </w:rPr>
              <w:t>.</w:t>
            </w:r>
          </w:p>
          <w:p w14:paraId="67EADC1A" w14:textId="4C46871D" w:rsidR="000B0B09" w:rsidRPr="00207412" w:rsidRDefault="000B0B09" w:rsidP="004C445F">
            <w:pPr>
              <w:tabs>
                <w:tab w:val="left" w:pos="1665"/>
              </w:tabs>
              <w:suppressAutoHyphens/>
              <w:autoSpaceDE w:val="0"/>
              <w:autoSpaceDN w:val="0"/>
              <w:adjustRightInd w:val="0"/>
              <w:spacing w:before="0"/>
              <w:rPr>
                <w:rFonts w:ascii="Times New Roman" w:hAnsi="Times New Roman"/>
                <w:b/>
                <w:bCs/>
                <w:sz w:val="24"/>
                <w:u w:val="single"/>
              </w:rPr>
            </w:pPr>
            <w:r w:rsidRPr="00207412">
              <w:rPr>
                <w:rFonts w:ascii="Times New Roman" w:hAnsi="Times New Roman"/>
                <w:sz w:val="24"/>
              </w:rPr>
              <w:t>Výsledok vynásobenia požiadaviek na vlastné zdroje koeficientom 12,5.</w:t>
            </w:r>
          </w:p>
        </w:tc>
      </w:tr>
    </w:tbl>
    <w:p w14:paraId="0DC9D0A4" w14:textId="77777777" w:rsidR="000B0B09" w:rsidRPr="00207412"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07412" w14:paraId="0386B5FC" w14:textId="77777777" w:rsidTr="00672D2A">
        <w:trPr>
          <w:trHeight w:val="483"/>
        </w:trPr>
        <w:tc>
          <w:tcPr>
            <w:tcW w:w="8862" w:type="dxa"/>
            <w:gridSpan w:val="2"/>
            <w:shd w:val="clear" w:color="auto" w:fill="CCCCCC"/>
          </w:tcPr>
          <w:p w14:paraId="1255E033" w14:textId="77777777" w:rsidR="000B0B09" w:rsidRPr="00207412" w:rsidRDefault="000B0B09" w:rsidP="004C445F">
            <w:pPr>
              <w:suppressAutoHyphens/>
              <w:autoSpaceDE w:val="0"/>
              <w:autoSpaceDN w:val="0"/>
              <w:adjustRightInd w:val="0"/>
              <w:spacing w:after="0"/>
              <w:rPr>
                <w:rFonts w:ascii="Times New Roman" w:hAnsi="Times New Roman"/>
                <w:b/>
                <w:sz w:val="24"/>
              </w:rPr>
            </w:pPr>
            <w:r w:rsidRPr="00207412">
              <w:rPr>
                <w:rFonts w:ascii="Times New Roman" w:hAnsi="Times New Roman"/>
                <w:b/>
                <w:sz w:val="24"/>
              </w:rPr>
              <w:t>Riadky</w:t>
            </w:r>
          </w:p>
        </w:tc>
      </w:tr>
      <w:tr w:rsidR="000B0B09" w:rsidRPr="00207412" w14:paraId="3F19FB75" w14:textId="77777777" w:rsidTr="00672D2A">
        <w:tc>
          <w:tcPr>
            <w:tcW w:w="987" w:type="dxa"/>
          </w:tcPr>
          <w:p w14:paraId="62003386"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0010</w:t>
            </w:r>
          </w:p>
        </w:tc>
        <w:tc>
          <w:tcPr>
            <w:tcW w:w="7875" w:type="dxa"/>
          </w:tcPr>
          <w:p w14:paraId="3CC5979D" w14:textId="065E1112"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CELKOVÉ POZÍCIE</w:t>
            </w:r>
            <w:r w:rsidR="00207412">
              <w:rPr>
                <w:rFonts w:ascii="Times New Roman" w:hAnsi="Times New Roman"/>
                <w:b/>
                <w:sz w:val="24"/>
                <w:u w:val="single"/>
              </w:rPr>
              <w:t xml:space="preserve"> V </w:t>
            </w:r>
            <w:r w:rsidRPr="00207412">
              <w:rPr>
                <w:rFonts w:ascii="Times New Roman" w:hAnsi="Times New Roman"/>
                <w:b/>
                <w:sz w:val="24"/>
                <w:u w:val="single"/>
              </w:rPr>
              <w:t>KOMODITÁCH</w:t>
            </w:r>
          </w:p>
          <w:p w14:paraId="03562626" w14:textId="77777777" w:rsidR="000B0B09" w:rsidRPr="00207412" w:rsidRDefault="000B0B09" w:rsidP="004C445F">
            <w:pPr>
              <w:suppressAutoHyphens/>
              <w:autoSpaceDE w:val="0"/>
              <w:autoSpaceDN w:val="0"/>
              <w:adjustRightInd w:val="0"/>
              <w:spacing w:before="0" w:after="0"/>
              <w:rPr>
                <w:rFonts w:ascii="Times New Roman" w:hAnsi="Times New Roman"/>
                <w:sz w:val="24"/>
              </w:rPr>
            </w:pPr>
          </w:p>
          <w:p w14:paraId="1B02378E" w14:textId="7EDB50C7" w:rsidR="000B0B09" w:rsidRPr="00207412" w:rsidRDefault="000B0B09" w:rsidP="004C445F">
            <w:pPr>
              <w:suppressAutoHyphens/>
              <w:autoSpaceDE w:val="0"/>
              <w:autoSpaceDN w:val="0"/>
              <w:adjustRightInd w:val="0"/>
              <w:spacing w:before="0"/>
              <w:rPr>
                <w:rFonts w:ascii="Times New Roman" w:hAnsi="Times New Roman"/>
                <w:sz w:val="24"/>
              </w:rPr>
            </w:pPr>
            <w:r w:rsidRPr="00207412">
              <w:rPr>
                <w:rFonts w:ascii="Times New Roman" w:hAnsi="Times New Roman"/>
                <w:sz w:val="24"/>
              </w:rPr>
              <w:t>Pozície</w:t>
            </w:r>
            <w:r w:rsidR="00207412">
              <w:rPr>
                <w:rFonts w:ascii="Times New Roman" w:hAnsi="Times New Roman"/>
                <w:sz w:val="24"/>
              </w:rPr>
              <w:t xml:space="preserve"> v </w:t>
            </w:r>
            <w:r w:rsidRPr="00207412">
              <w:rPr>
                <w:rFonts w:ascii="Times New Roman" w:hAnsi="Times New Roman"/>
                <w:sz w:val="24"/>
              </w:rPr>
              <w:t>komoditách</w:t>
            </w:r>
            <w:r w:rsidR="00207412">
              <w:rPr>
                <w:rFonts w:ascii="Times New Roman" w:hAnsi="Times New Roman"/>
                <w:sz w:val="24"/>
              </w:rPr>
              <w:t xml:space="preserve"> a </w:t>
            </w:r>
            <w:r w:rsidRPr="00207412">
              <w:rPr>
                <w:rFonts w:ascii="Times New Roman" w:hAnsi="Times New Roman"/>
                <w:sz w:val="24"/>
              </w:rPr>
              <w:t>ich zodpovedajúce požiadavky na vlastné zdroje pre trhové riziko vypočítané</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 xml:space="preserve">článkom 92 ods. 4 písm. c) nariadenia (EÚ) </w:t>
            </w:r>
            <w:r w:rsidR="00207412">
              <w:rPr>
                <w:rFonts w:ascii="Times New Roman" w:hAnsi="Times New Roman"/>
                <w:sz w:val="24"/>
              </w:rPr>
              <w:t>č. </w:t>
            </w:r>
            <w:r w:rsidRPr="00207412">
              <w:rPr>
                <w:rFonts w:ascii="Times New Roman" w:hAnsi="Times New Roman"/>
                <w:sz w:val="24"/>
              </w:rPr>
              <w:t>575/2013</w:t>
            </w:r>
            <w:r w:rsidR="00207412">
              <w:rPr>
                <w:rFonts w:ascii="Times New Roman" w:hAnsi="Times New Roman"/>
                <w:sz w:val="24"/>
              </w:rPr>
              <w:t xml:space="preserve"> a </w:t>
            </w:r>
            <w:r w:rsidRPr="00207412">
              <w:rPr>
                <w:rFonts w:ascii="Times New Roman" w:hAnsi="Times New Roman"/>
                <w:sz w:val="24"/>
              </w:rPr>
              <w:t xml:space="preserve">treťou časťou hlavou IV kapitolou 4 uvedeného nariadenia. </w:t>
            </w:r>
          </w:p>
        </w:tc>
      </w:tr>
      <w:tr w:rsidR="000B0B09" w:rsidRPr="00207412" w14:paraId="216F1AEE" w14:textId="77777777" w:rsidTr="00672D2A">
        <w:tc>
          <w:tcPr>
            <w:tcW w:w="987" w:type="dxa"/>
          </w:tcPr>
          <w:p w14:paraId="62D08C2C"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0020 – 0060</w:t>
            </w:r>
          </w:p>
        </w:tc>
        <w:tc>
          <w:tcPr>
            <w:tcW w:w="7875" w:type="dxa"/>
          </w:tcPr>
          <w:p w14:paraId="759E5790"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POZÍCIE PODĽA KATEGÓRIE KOMODITY</w:t>
            </w:r>
          </w:p>
          <w:p w14:paraId="56921883"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de-DE"/>
              </w:rPr>
            </w:pPr>
          </w:p>
          <w:p w14:paraId="3DC33454" w14:textId="0B29FC4C" w:rsidR="000B0B09" w:rsidRP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Komodity sa na účely vykazovania zoskupia do štyroch skupín komodít uvedených</w:t>
            </w:r>
            <w:r w:rsidR="00207412">
              <w:rPr>
                <w:rFonts w:ascii="Times New Roman" w:hAnsi="Times New Roman"/>
                <w:sz w:val="24"/>
              </w:rPr>
              <w:t xml:space="preserve"> v </w:t>
            </w:r>
            <w:r w:rsidRPr="00207412">
              <w:rPr>
                <w:rFonts w:ascii="Times New Roman" w:hAnsi="Times New Roman"/>
                <w:sz w:val="24"/>
              </w:rPr>
              <w:t xml:space="preserve">tabuľke 2 článku 361 nariadenia (EÚ) </w:t>
            </w:r>
            <w:r w:rsidR="00207412">
              <w:rPr>
                <w:rFonts w:ascii="Times New Roman" w:hAnsi="Times New Roman"/>
                <w:sz w:val="24"/>
              </w:rPr>
              <w:t>č. </w:t>
            </w:r>
            <w:r w:rsidRPr="00207412">
              <w:rPr>
                <w:rFonts w:ascii="Times New Roman" w:hAnsi="Times New Roman"/>
                <w:sz w:val="24"/>
              </w:rPr>
              <w:t>575/2013.</w:t>
            </w:r>
          </w:p>
          <w:p w14:paraId="04BB5316" w14:textId="77777777" w:rsidR="000B0B09" w:rsidRP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 xml:space="preserve"> </w:t>
            </w:r>
          </w:p>
        </w:tc>
      </w:tr>
      <w:tr w:rsidR="000B0B09" w:rsidRPr="00207412" w14:paraId="50CBB22D" w14:textId="77777777" w:rsidTr="00672D2A">
        <w:tc>
          <w:tcPr>
            <w:tcW w:w="987" w:type="dxa"/>
          </w:tcPr>
          <w:p w14:paraId="3E68EF2F"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0070</w:t>
            </w:r>
          </w:p>
        </w:tc>
        <w:tc>
          <w:tcPr>
            <w:tcW w:w="7875" w:type="dxa"/>
          </w:tcPr>
          <w:p w14:paraId="5AACA5EE"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POSTUP STUPNICE SPLATNOSTI</w:t>
            </w:r>
          </w:p>
          <w:p w14:paraId="2C667CB8"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de-DE"/>
              </w:rPr>
            </w:pPr>
          </w:p>
          <w:p w14:paraId="72CB6FD7" w14:textId="4B7A08F8" w:rsidR="000B0B09" w:rsidRP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Pozície</w:t>
            </w:r>
            <w:r w:rsidR="00207412">
              <w:rPr>
                <w:rFonts w:ascii="Times New Roman" w:hAnsi="Times New Roman"/>
                <w:sz w:val="24"/>
              </w:rPr>
              <w:t xml:space="preserve"> v </w:t>
            </w:r>
            <w:r w:rsidRPr="00207412">
              <w:rPr>
                <w:rFonts w:ascii="Times New Roman" w:hAnsi="Times New Roman"/>
                <w:sz w:val="24"/>
              </w:rPr>
              <w:t>komoditách, na ktoré sa uplatňuje postup stupnice splatnosti uvedený</w:t>
            </w:r>
            <w:r w:rsidR="00207412">
              <w:rPr>
                <w:rFonts w:ascii="Times New Roman" w:hAnsi="Times New Roman"/>
                <w:sz w:val="24"/>
              </w:rPr>
              <w:t xml:space="preserve"> v </w:t>
            </w:r>
            <w:r w:rsidRPr="00207412">
              <w:rPr>
                <w:rFonts w:ascii="Times New Roman" w:hAnsi="Times New Roman"/>
                <w:sz w:val="24"/>
              </w:rPr>
              <w:t xml:space="preserve">článku 359 nariadenia (EÚ) </w:t>
            </w:r>
            <w:r w:rsidR="00207412">
              <w:rPr>
                <w:rFonts w:ascii="Times New Roman" w:hAnsi="Times New Roman"/>
                <w:sz w:val="24"/>
              </w:rPr>
              <w:t>č. </w:t>
            </w:r>
            <w:r w:rsidRPr="00207412">
              <w:rPr>
                <w:rFonts w:ascii="Times New Roman" w:hAnsi="Times New Roman"/>
                <w:sz w:val="24"/>
              </w:rPr>
              <w:t>575/2013</w:t>
            </w:r>
          </w:p>
          <w:p w14:paraId="018E7283"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07412" w14:paraId="1D4187B0" w14:textId="77777777" w:rsidTr="00672D2A">
        <w:tc>
          <w:tcPr>
            <w:tcW w:w="987" w:type="dxa"/>
          </w:tcPr>
          <w:p w14:paraId="317F5718"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0080</w:t>
            </w:r>
          </w:p>
        </w:tc>
        <w:tc>
          <w:tcPr>
            <w:tcW w:w="7875" w:type="dxa"/>
          </w:tcPr>
          <w:p w14:paraId="7D3D047D"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ROZŠÍRENÝ POSTUP STUPNICE SPLATNOSTI</w:t>
            </w:r>
          </w:p>
          <w:p w14:paraId="28E22845"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de-DE"/>
              </w:rPr>
            </w:pPr>
          </w:p>
          <w:p w14:paraId="072FB876" w14:textId="3AAE6B32" w:rsidR="000B0B09" w:rsidRP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Pozície</w:t>
            </w:r>
            <w:r w:rsidR="00207412">
              <w:rPr>
                <w:rFonts w:ascii="Times New Roman" w:hAnsi="Times New Roman"/>
                <w:sz w:val="24"/>
              </w:rPr>
              <w:t xml:space="preserve"> v </w:t>
            </w:r>
            <w:r w:rsidRPr="00207412">
              <w:rPr>
                <w:rFonts w:ascii="Times New Roman" w:hAnsi="Times New Roman"/>
                <w:sz w:val="24"/>
              </w:rPr>
              <w:t>komoditách, na ktoré sa uplatňuje rozšírený postup stupnice splatnosti uvedený</w:t>
            </w:r>
            <w:r w:rsidR="00207412">
              <w:rPr>
                <w:rFonts w:ascii="Times New Roman" w:hAnsi="Times New Roman"/>
                <w:sz w:val="24"/>
              </w:rPr>
              <w:t xml:space="preserve"> v </w:t>
            </w:r>
            <w:r w:rsidRPr="00207412">
              <w:rPr>
                <w:rFonts w:ascii="Times New Roman" w:hAnsi="Times New Roman"/>
                <w:sz w:val="24"/>
              </w:rPr>
              <w:t xml:space="preserve">článku 361 nariadenia (EÚ) </w:t>
            </w:r>
            <w:r w:rsidR="00207412">
              <w:rPr>
                <w:rFonts w:ascii="Times New Roman" w:hAnsi="Times New Roman"/>
                <w:sz w:val="24"/>
              </w:rPr>
              <w:t>č. </w:t>
            </w:r>
            <w:r w:rsidRPr="00207412">
              <w:rPr>
                <w:rFonts w:ascii="Times New Roman" w:hAnsi="Times New Roman"/>
                <w:sz w:val="24"/>
              </w:rPr>
              <w:t>575/2013</w:t>
            </w:r>
          </w:p>
          <w:p w14:paraId="4CC42EBB"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07412" w14:paraId="08D8BBC0" w14:textId="77777777" w:rsidTr="00672D2A">
        <w:tc>
          <w:tcPr>
            <w:tcW w:w="987" w:type="dxa"/>
          </w:tcPr>
          <w:p w14:paraId="75FF36E9"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0090</w:t>
            </w:r>
          </w:p>
        </w:tc>
        <w:tc>
          <w:tcPr>
            <w:tcW w:w="7875" w:type="dxa"/>
          </w:tcPr>
          <w:p w14:paraId="5AEA8FE4"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ZJEDNODUŠENÝ POSTUP</w:t>
            </w:r>
          </w:p>
          <w:p w14:paraId="739EF26B"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6642AF8D" w14:textId="23B41010" w:rsid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Pozície</w:t>
            </w:r>
            <w:r w:rsidR="00207412">
              <w:rPr>
                <w:rFonts w:ascii="Times New Roman" w:hAnsi="Times New Roman"/>
                <w:sz w:val="24"/>
              </w:rPr>
              <w:t xml:space="preserve"> v </w:t>
            </w:r>
            <w:r w:rsidRPr="00207412">
              <w:rPr>
                <w:rFonts w:ascii="Times New Roman" w:hAnsi="Times New Roman"/>
                <w:sz w:val="24"/>
              </w:rPr>
              <w:t>komoditách, na ktoré sa uplatňuje zjednodušený postup uvedený</w:t>
            </w:r>
            <w:r w:rsidR="00207412">
              <w:rPr>
                <w:rFonts w:ascii="Times New Roman" w:hAnsi="Times New Roman"/>
                <w:sz w:val="24"/>
              </w:rPr>
              <w:t xml:space="preserve"> v </w:t>
            </w:r>
            <w:r w:rsidRPr="00207412">
              <w:rPr>
                <w:rFonts w:ascii="Times New Roman" w:hAnsi="Times New Roman"/>
                <w:sz w:val="24"/>
              </w:rPr>
              <w:t xml:space="preserve">článku 360 nariadenia (EÚ) </w:t>
            </w:r>
            <w:r w:rsidR="00207412">
              <w:rPr>
                <w:rFonts w:ascii="Times New Roman" w:hAnsi="Times New Roman"/>
                <w:sz w:val="24"/>
              </w:rPr>
              <w:t>č. </w:t>
            </w:r>
            <w:r w:rsidRPr="00207412">
              <w:rPr>
                <w:rFonts w:ascii="Times New Roman" w:hAnsi="Times New Roman"/>
                <w:sz w:val="24"/>
              </w:rPr>
              <w:t>575/2013</w:t>
            </w:r>
          </w:p>
          <w:p w14:paraId="72D24CC9" w14:textId="58E50D79" w:rsidR="000B0B09" w:rsidRPr="00207412"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07412" w14:paraId="46AF081D" w14:textId="77777777" w:rsidTr="00672D2A">
        <w:tc>
          <w:tcPr>
            <w:tcW w:w="987" w:type="dxa"/>
          </w:tcPr>
          <w:p w14:paraId="7DA76A9F" w14:textId="77777777" w:rsidR="000B0B09" w:rsidRPr="00207412" w:rsidRDefault="002F79EA"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lastRenderedPageBreak/>
              <w:t>0100 – 0140</w:t>
            </w:r>
          </w:p>
        </w:tc>
        <w:tc>
          <w:tcPr>
            <w:tcW w:w="7875" w:type="dxa"/>
          </w:tcPr>
          <w:p w14:paraId="1AB2469B" w14:textId="77777777" w:rsidR="000B0B09" w:rsidRPr="00207412" w:rsidRDefault="000B0B09" w:rsidP="004C445F">
            <w:pPr>
              <w:suppressAutoHyphens/>
              <w:autoSpaceDE w:val="0"/>
              <w:autoSpaceDN w:val="0"/>
              <w:adjustRightInd w:val="0"/>
              <w:spacing w:before="0" w:after="0"/>
              <w:rPr>
                <w:rFonts w:ascii="Times New Roman" w:hAnsi="Times New Roman"/>
                <w:b/>
                <w:bCs/>
                <w:sz w:val="24"/>
                <w:u w:val="single"/>
              </w:rPr>
            </w:pPr>
            <w:r w:rsidRPr="00207412">
              <w:rPr>
                <w:rStyle w:val="InstructionsTabelleberschrift"/>
                <w:rFonts w:ascii="Times New Roman" w:hAnsi="Times New Roman"/>
                <w:sz w:val="24"/>
              </w:rPr>
              <w:t>DODATOČNÉ POŽIADAVKY PRE OPCIE (RIZIKÁ INÉ NEŽ DELTA)</w:t>
            </w:r>
          </w:p>
          <w:p w14:paraId="18A228B4" w14:textId="18744B49" w:rsidR="00207412" w:rsidRDefault="000B0B09" w:rsidP="004C445F">
            <w:pPr>
              <w:suppressAutoHyphens/>
              <w:autoSpaceDE w:val="0"/>
              <w:autoSpaceDN w:val="0"/>
              <w:adjustRightInd w:val="0"/>
              <w:rPr>
                <w:rFonts w:ascii="Times New Roman" w:hAnsi="Times New Roman"/>
                <w:sz w:val="24"/>
              </w:rPr>
            </w:pPr>
            <w:r w:rsidRPr="00207412">
              <w:rPr>
                <w:rFonts w:ascii="Times New Roman" w:hAnsi="Times New Roman"/>
                <w:sz w:val="24"/>
              </w:rPr>
              <w:t xml:space="preserve">Článok 358 ods. 4 nariadenia (EÚ) </w:t>
            </w:r>
            <w:r w:rsidR="00207412">
              <w:rPr>
                <w:rFonts w:ascii="Times New Roman" w:hAnsi="Times New Roman"/>
                <w:sz w:val="24"/>
              </w:rPr>
              <w:t>č. </w:t>
            </w:r>
            <w:r w:rsidRPr="00207412">
              <w:rPr>
                <w:rFonts w:ascii="Times New Roman" w:hAnsi="Times New Roman"/>
                <w:sz w:val="24"/>
              </w:rPr>
              <w:t>575/2013</w:t>
            </w:r>
          </w:p>
          <w:p w14:paraId="1D3D5AF7" w14:textId="275590D6" w:rsidR="000B0B09" w:rsidRPr="00207412" w:rsidRDefault="000B0B09"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Dodatočné požiadavky pre opcie, ktoré súvisia</w:t>
            </w:r>
            <w:r w:rsidR="00207412">
              <w:rPr>
                <w:rFonts w:ascii="Times New Roman" w:hAnsi="Times New Roman"/>
                <w:sz w:val="24"/>
              </w:rPr>
              <w:t xml:space="preserve"> s </w:t>
            </w:r>
            <w:r w:rsidRPr="00207412">
              <w:rPr>
                <w:rFonts w:ascii="Times New Roman" w:hAnsi="Times New Roman"/>
                <w:sz w:val="24"/>
              </w:rPr>
              <w:t>rizikami inými než delta, sa vykazujú</w:t>
            </w:r>
            <w:r w:rsidR="00207412">
              <w:rPr>
                <w:rFonts w:ascii="Times New Roman" w:hAnsi="Times New Roman"/>
                <w:sz w:val="24"/>
              </w:rPr>
              <w:t xml:space="preserve"> v </w:t>
            </w:r>
            <w:r w:rsidRPr="00207412">
              <w:rPr>
                <w:rFonts w:ascii="Times New Roman" w:hAnsi="Times New Roman"/>
                <w:sz w:val="24"/>
              </w:rPr>
              <w:t>metóde použitej na ich výpočet.</w:t>
            </w:r>
          </w:p>
          <w:p w14:paraId="55D77BA3" w14:textId="77777777" w:rsidR="000B0B09" w:rsidRPr="00207412" w:rsidRDefault="000B0B09" w:rsidP="004C445F">
            <w:pPr>
              <w:suppressAutoHyphens/>
              <w:autoSpaceDE w:val="0"/>
              <w:autoSpaceDN w:val="0"/>
              <w:adjustRightInd w:val="0"/>
              <w:spacing w:before="0" w:after="0"/>
              <w:rPr>
                <w:rFonts w:ascii="Times New Roman" w:hAnsi="Times New Roman"/>
                <w:sz w:val="24"/>
                <w:lang w:eastAsia="de-DE"/>
              </w:rPr>
            </w:pPr>
          </w:p>
        </w:tc>
      </w:tr>
    </w:tbl>
    <w:p w14:paraId="43D70997" w14:textId="77777777" w:rsidR="000B0B09" w:rsidRPr="00207412" w:rsidRDefault="000B0B09" w:rsidP="004C445F">
      <w:pPr>
        <w:suppressAutoHyphens/>
        <w:rPr>
          <w:rFonts w:ascii="Times New Roman" w:hAnsi="Times New Roman"/>
          <w:sz w:val="24"/>
        </w:rPr>
      </w:pPr>
    </w:p>
    <w:p w14:paraId="60EF2674" w14:textId="77777777" w:rsidR="000B0B09" w:rsidRPr="00207412" w:rsidRDefault="000B0B09" w:rsidP="004C445F">
      <w:pPr>
        <w:suppressAutoHyphens/>
        <w:spacing w:before="0" w:after="0"/>
        <w:jc w:val="left"/>
        <w:rPr>
          <w:rStyle w:val="InstructionsTabelleText"/>
          <w:rFonts w:ascii="Times New Roman" w:hAnsi="Times New Roman"/>
          <w:sz w:val="24"/>
        </w:rPr>
      </w:pPr>
    </w:p>
    <w:p w14:paraId="47562548" w14:textId="0B23E4C1" w:rsidR="005970B6" w:rsidRPr="00207412" w:rsidRDefault="00C82BBD" w:rsidP="004C445F">
      <w:pPr>
        <w:pStyle w:val="Instructionsberschrift2"/>
        <w:numPr>
          <w:ilvl w:val="0"/>
          <w:numId w:val="0"/>
        </w:numPr>
        <w:suppressAutoHyphens/>
        <w:ind w:left="357" w:hanging="357"/>
        <w:rPr>
          <w:rFonts w:ascii="Times New Roman" w:hAnsi="Times New Roman"/>
          <w:sz w:val="24"/>
        </w:rPr>
      </w:pPr>
      <w:bookmarkStart w:id="158" w:name="_Toc210895538"/>
      <w:r w:rsidRPr="00207412">
        <w:rPr>
          <w:rFonts w:ascii="Times New Roman" w:hAnsi="Times New Roman"/>
          <w:sz w:val="24"/>
        </w:rPr>
        <w:t>8.</w:t>
      </w:r>
      <w:r w:rsidRPr="00207412">
        <w:tab/>
      </w:r>
      <w:r w:rsidRPr="00207412">
        <w:rPr>
          <w:rFonts w:ascii="Times New Roman" w:hAnsi="Times New Roman"/>
          <w:sz w:val="24"/>
        </w:rPr>
        <w:t>C 24.00 – Interný model trhového rizika (MKR IM)</w:t>
      </w:r>
      <w:bookmarkEnd w:id="158"/>
    </w:p>
    <w:p w14:paraId="4EE11059" w14:textId="6831F2FC" w:rsidR="005970B6" w:rsidRPr="00207412"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59" w:name="_Toc151714505"/>
      <w:bookmarkStart w:id="160" w:name="_Toc210895539"/>
      <w:r w:rsidRPr="00207412">
        <w:rPr>
          <w:rFonts w:ascii="Times New Roman" w:hAnsi="Times New Roman"/>
          <w:sz w:val="24"/>
          <w:u w:val="none"/>
        </w:rPr>
        <w:t>8.1.</w:t>
      </w:r>
      <w:r w:rsidRPr="00207412">
        <w:rPr>
          <w:u w:val="none"/>
        </w:rPr>
        <w:tab/>
      </w:r>
      <w:r w:rsidRPr="00207412">
        <w:rPr>
          <w:rFonts w:ascii="Times New Roman" w:hAnsi="Times New Roman"/>
          <w:sz w:val="24"/>
        </w:rPr>
        <w:t>Všeobecné poznámky</w:t>
      </w:r>
      <w:bookmarkEnd w:id="159"/>
      <w:bookmarkEnd w:id="160"/>
    </w:p>
    <w:p w14:paraId="2B3D1454" w14:textId="5AE411D2" w:rsidR="005970B6" w:rsidRPr="00207412" w:rsidRDefault="005970B6" w:rsidP="00E172EA">
      <w:pPr>
        <w:pStyle w:val="InstructionsText2"/>
        <w:numPr>
          <w:ilvl w:val="0"/>
          <w:numId w:val="29"/>
        </w:numPr>
        <w:suppressAutoHyphens/>
      </w:pPr>
      <w:r w:rsidRPr="00207412">
        <w:t>V tomto vzore sa vykazuje rozčlenenie na hodnoty</w:t>
      </w:r>
      <w:r w:rsidR="00207412">
        <w:t xml:space="preserve"> v </w:t>
      </w:r>
      <w:r w:rsidRPr="00207412">
        <w:t>riziku (VaR)</w:t>
      </w:r>
      <w:r w:rsidR="00207412">
        <w:t xml:space="preserve"> a </w:t>
      </w:r>
      <w:r w:rsidRPr="00207412">
        <w:t>stresované hodnoty</w:t>
      </w:r>
      <w:r w:rsidR="00207412">
        <w:t xml:space="preserve"> v </w:t>
      </w:r>
      <w:r w:rsidRPr="00207412">
        <w:t>riziku (sVaR) podľa rôznych trhových rizík (dlhové, kapitálové, devízové, komoditné)</w:t>
      </w:r>
      <w:r w:rsidR="00207412">
        <w:t xml:space="preserve"> a </w:t>
      </w:r>
      <w:r w:rsidRPr="00207412">
        <w:t>ostatné informácie relevantné na výpočet požiadaviek na vlastné zdroje.</w:t>
      </w:r>
    </w:p>
    <w:p w14:paraId="2BB8335C" w14:textId="15A12369" w:rsidR="00207412" w:rsidRDefault="005970B6" w:rsidP="00E172EA">
      <w:pPr>
        <w:pStyle w:val="InstructionsText2"/>
        <w:numPr>
          <w:ilvl w:val="0"/>
          <w:numId w:val="29"/>
        </w:numPr>
        <w:suppressAutoHyphens/>
      </w:pPr>
      <w:r w:rsidRPr="00207412">
        <w:t>Vo všeobecnosti závisí od štruktúry modelu investičných spoločností, či údaje pre všeobecné</w:t>
      </w:r>
      <w:r w:rsidR="00207412">
        <w:t xml:space="preserve"> a </w:t>
      </w:r>
      <w:r w:rsidRPr="00207412">
        <w:t>špecifické riziko možno určiť</w:t>
      </w:r>
      <w:r w:rsidR="00207412">
        <w:t xml:space="preserve"> a </w:t>
      </w:r>
      <w:r w:rsidRPr="00207412">
        <w:t>vykázať osobitne alebo len spolu. To isté platí pre rozloženie hodnôt VaR/sVaR do kategórií rizík (úrokové riziko, akciové riziko, komoditné riziko</w:t>
      </w:r>
      <w:r w:rsidR="00207412">
        <w:t xml:space="preserve"> a </w:t>
      </w:r>
      <w:r w:rsidRPr="00207412">
        <w:t>devízové riziko). Inštitúcia môže upustiť od vykazovania tohto rozloženia, ak preukáže, že vykazovanie týchto hodnôt by bolo neúmerne zaťažujúce</w:t>
      </w:r>
      <w:r w:rsidR="00207412">
        <w:t>.</w:t>
      </w:r>
    </w:p>
    <w:p w14:paraId="2EAB7003" w14:textId="2BCE7DAD" w:rsidR="005970B6" w:rsidRPr="00207412"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61" w:name="_Toc151714506"/>
      <w:bookmarkStart w:id="162" w:name="_Toc210895540"/>
      <w:r w:rsidRPr="00207412">
        <w:rPr>
          <w:rFonts w:ascii="Times New Roman" w:hAnsi="Times New Roman"/>
          <w:sz w:val="24"/>
          <w:u w:val="none"/>
        </w:rPr>
        <w:t>8.2.</w:t>
      </w:r>
      <w:r w:rsidRPr="00207412">
        <w:rPr>
          <w:u w:val="none"/>
        </w:rPr>
        <w:tab/>
      </w:r>
      <w:r w:rsidRPr="00207412">
        <w:rPr>
          <w:rFonts w:ascii="Times New Roman" w:hAnsi="Times New Roman"/>
          <w:sz w:val="24"/>
        </w:rPr>
        <w:t>Pokyny týkajúce sa konkrétnych pozícií</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7646"/>
      </w:tblGrid>
      <w:tr w:rsidR="005970B6" w:rsidRPr="00207412" w14:paraId="2AB574E2" w14:textId="77777777">
        <w:tc>
          <w:tcPr>
            <w:tcW w:w="8862" w:type="dxa"/>
            <w:gridSpan w:val="2"/>
            <w:shd w:val="clear" w:color="auto" w:fill="BFBFBF"/>
          </w:tcPr>
          <w:p w14:paraId="01F4E302"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Stĺpce</w:t>
            </w:r>
          </w:p>
        </w:tc>
      </w:tr>
      <w:tr w:rsidR="005970B6" w:rsidRPr="00207412" w14:paraId="52E77425" w14:textId="77777777">
        <w:tc>
          <w:tcPr>
            <w:tcW w:w="993" w:type="dxa"/>
          </w:tcPr>
          <w:p w14:paraId="0E51BB94"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0030 – 0040</w:t>
            </w:r>
          </w:p>
        </w:tc>
        <w:tc>
          <w:tcPr>
            <w:tcW w:w="7869" w:type="dxa"/>
          </w:tcPr>
          <w:p w14:paraId="7095CD17" w14:textId="000911BA"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Hodnota</w:t>
            </w:r>
            <w:r w:rsidR="00207412">
              <w:rPr>
                <w:rFonts w:ascii="Times New Roman" w:hAnsi="Times New Roman"/>
                <w:b/>
                <w:sz w:val="24"/>
                <w:u w:val="single"/>
              </w:rPr>
              <w:t xml:space="preserve"> v </w:t>
            </w:r>
            <w:r w:rsidRPr="00207412">
              <w:rPr>
                <w:rFonts w:ascii="Times New Roman" w:hAnsi="Times New Roman"/>
                <w:b/>
                <w:sz w:val="24"/>
                <w:u w:val="single"/>
              </w:rPr>
              <w:t>riziku (VaR)</w:t>
            </w:r>
          </w:p>
          <w:p w14:paraId="3DE9F1A1" w14:textId="64F62D4B" w:rsidR="005970B6" w:rsidRPr="00207412" w:rsidRDefault="005970B6" w:rsidP="004C445F">
            <w:pPr>
              <w:suppressAutoHyphens/>
              <w:autoSpaceDE w:val="0"/>
              <w:autoSpaceDN w:val="0"/>
              <w:adjustRightInd w:val="0"/>
              <w:rPr>
                <w:rFonts w:ascii="Times New Roman" w:hAnsi="Times New Roman"/>
                <w:b/>
                <w:bCs/>
                <w:sz w:val="24"/>
                <w:u w:val="single"/>
              </w:rPr>
            </w:pPr>
            <w:r w:rsidRPr="00207412">
              <w:rPr>
                <w:rFonts w:ascii="Times New Roman" w:hAnsi="Times New Roman"/>
                <w:sz w:val="24"/>
              </w:rPr>
              <w:t>VaR znamená maximálnu možnú stratu, ktorá by vyplynula zo zmeny ceny</w:t>
            </w:r>
            <w:r w:rsidR="00207412">
              <w:rPr>
                <w:rFonts w:ascii="Times New Roman" w:hAnsi="Times New Roman"/>
                <w:sz w:val="24"/>
              </w:rPr>
              <w:t xml:space="preserve"> s </w:t>
            </w:r>
            <w:r w:rsidRPr="00207412">
              <w:rPr>
                <w:rFonts w:ascii="Times New Roman" w:hAnsi="Times New Roman"/>
                <w:sz w:val="24"/>
              </w:rPr>
              <w:t>danou pravdepodobnosťou</w:t>
            </w:r>
            <w:r w:rsidR="00207412">
              <w:rPr>
                <w:rFonts w:ascii="Times New Roman" w:hAnsi="Times New Roman"/>
                <w:sz w:val="24"/>
              </w:rPr>
              <w:t xml:space="preserve"> v </w:t>
            </w:r>
            <w:r w:rsidRPr="00207412">
              <w:rPr>
                <w:rFonts w:ascii="Times New Roman" w:hAnsi="Times New Roman"/>
                <w:sz w:val="24"/>
              </w:rPr>
              <w:t>priebehu špecifického časového horizontu.</w:t>
            </w:r>
          </w:p>
        </w:tc>
      </w:tr>
      <w:tr w:rsidR="005970B6" w:rsidRPr="00207412" w14:paraId="0C4757E9" w14:textId="77777777">
        <w:tc>
          <w:tcPr>
            <w:tcW w:w="993" w:type="dxa"/>
          </w:tcPr>
          <w:p w14:paraId="145F944C"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0030</w:t>
            </w:r>
          </w:p>
        </w:tc>
        <w:tc>
          <w:tcPr>
            <w:tcW w:w="7869" w:type="dxa"/>
          </w:tcPr>
          <w:p w14:paraId="31C8EDD2"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Multiplikačný koeficient (mc) x priemer VaR za predchádzajúcich 60 pracovných dní (VaRavg)</w:t>
            </w:r>
          </w:p>
          <w:p w14:paraId="04584C56"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430D196A" w14:textId="7BA89FC6" w:rsid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Článok 364 ods. 1 písm. a) bod ii)</w:t>
            </w:r>
            <w:r w:rsidR="00207412">
              <w:rPr>
                <w:rFonts w:ascii="Times New Roman" w:hAnsi="Times New Roman"/>
                <w:sz w:val="24"/>
              </w:rPr>
              <w:t xml:space="preserve"> a </w:t>
            </w:r>
            <w:r w:rsidRPr="00207412">
              <w:rPr>
                <w:rFonts w:ascii="Times New Roman" w:hAnsi="Times New Roman"/>
                <w:sz w:val="24"/>
              </w:rPr>
              <w:t xml:space="preserve">článok 365 ods. 1 nariadenia (EÚ) </w:t>
            </w:r>
            <w:r w:rsidR="00207412">
              <w:rPr>
                <w:rFonts w:ascii="Times New Roman" w:hAnsi="Times New Roman"/>
                <w:sz w:val="24"/>
              </w:rPr>
              <w:t>č. </w:t>
            </w:r>
            <w:r w:rsidRPr="00207412">
              <w:rPr>
                <w:rFonts w:ascii="Times New Roman" w:hAnsi="Times New Roman"/>
                <w:sz w:val="24"/>
              </w:rPr>
              <w:t>575/2013</w:t>
            </w:r>
          </w:p>
          <w:p w14:paraId="0DEB05BA" w14:textId="20003565" w:rsidR="005970B6" w:rsidRPr="00207412"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07412" w14:paraId="072FF466" w14:textId="77777777">
        <w:tc>
          <w:tcPr>
            <w:tcW w:w="993" w:type="dxa"/>
          </w:tcPr>
          <w:p w14:paraId="280446FC"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0040</w:t>
            </w:r>
          </w:p>
        </w:tc>
        <w:tc>
          <w:tcPr>
            <w:tcW w:w="7869" w:type="dxa"/>
          </w:tcPr>
          <w:p w14:paraId="4723F402" w14:textId="76910000"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VaR</w:t>
            </w:r>
            <w:r w:rsidR="00207412">
              <w:rPr>
                <w:rFonts w:ascii="Times New Roman" w:hAnsi="Times New Roman"/>
                <w:b/>
                <w:sz w:val="24"/>
                <w:u w:val="single"/>
              </w:rPr>
              <w:t xml:space="preserve"> z </w:t>
            </w:r>
            <w:r w:rsidRPr="00207412">
              <w:rPr>
                <w:rFonts w:ascii="Times New Roman" w:hAnsi="Times New Roman"/>
                <w:b/>
                <w:sz w:val="24"/>
                <w:u w:val="single"/>
              </w:rPr>
              <w:t>predchádzajúceho dňa (VaRt-1)</w:t>
            </w:r>
          </w:p>
          <w:p w14:paraId="4954CEFC"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318BE55B" w14:textId="06A588B9" w:rsid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Článok 364 ods. 1 písm. a) bod i)</w:t>
            </w:r>
            <w:r w:rsidR="00207412">
              <w:rPr>
                <w:rFonts w:ascii="Times New Roman" w:hAnsi="Times New Roman"/>
                <w:sz w:val="24"/>
              </w:rPr>
              <w:t xml:space="preserve"> a </w:t>
            </w:r>
            <w:r w:rsidRPr="00207412">
              <w:rPr>
                <w:rFonts w:ascii="Times New Roman" w:hAnsi="Times New Roman"/>
                <w:sz w:val="24"/>
              </w:rPr>
              <w:t xml:space="preserve">článok 365 ods. 1 nariadenia (EÚ) </w:t>
            </w:r>
            <w:r w:rsidR="00207412">
              <w:rPr>
                <w:rFonts w:ascii="Times New Roman" w:hAnsi="Times New Roman"/>
                <w:sz w:val="24"/>
              </w:rPr>
              <w:t>č. </w:t>
            </w:r>
            <w:r w:rsidRPr="00207412">
              <w:rPr>
                <w:rFonts w:ascii="Times New Roman" w:hAnsi="Times New Roman"/>
                <w:sz w:val="24"/>
              </w:rPr>
              <w:t>575/2013</w:t>
            </w:r>
          </w:p>
          <w:p w14:paraId="645E0D45" w14:textId="6894DA69" w:rsidR="005970B6" w:rsidRPr="00207412"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07412" w14:paraId="301A77B0" w14:textId="77777777">
        <w:tc>
          <w:tcPr>
            <w:tcW w:w="993" w:type="dxa"/>
          </w:tcPr>
          <w:p w14:paraId="55BFA8D9"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0050 – 0060</w:t>
            </w:r>
          </w:p>
        </w:tc>
        <w:tc>
          <w:tcPr>
            <w:tcW w:w="7869" w:type="dxa"/>
          </w:tcPr>
          <w:p w14:paraId="34BD64B9"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Stresovaná VaR</w:t>
            </w:r>
          </w:p>
          <w:p w14:paraId="60CDE984"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68464C3" w14:textId="7DFD86CB" w:rsidR="005970B6" w:rsidRPr="00207412" w:rsidRDefault="005970B6" w:rsidP="004C445F">
            <w:pPr>
              <w:suppressAutoHyphens/>
              <w:autoSpaceDE w:val="0"/>
              <w:autoSpaceDN w:val="0"/>
              <w:adjustRightInd w:val="0"/>
              <w:spacing w:before="0"/>
              <w:rPr>
                <w:rFonts w:ascii="Times New Roman" w:hAnsi="Times New Roman"/>
                <w:sz w:val="24"/>
              </w:rPr>
            </w:pPr>
            <w:r w:rsidRPr="00207412">
              <w:rPr>
                <w:rFonts w:ascii="Times New Roman" w:hAnsi="Times New Roman"/>
                <w:sz w:val="24"/>
              </w:rPr>
              <w:lastRenderedPageBreak/>
              <w:t>Stresovaná VaR znamená maximálnu možnú stratu, ktorá by vyplynula zo zmeny ceny</w:t>
            </w:r>
            <w:r w:rsidR="00207412">
              <w:rPr>
                <w:rFonts w:ascii="Times New Roman" w:hAnsi="Times New Roman"/>
                <w:sz w:val="24"/>
              </w:rPr>
              <w:t xml:space="preserve"> s </w:t>
            </w:r>
            <w:r w:rsidRPr="00207412">
              <w:rPr>
                <w:rFonts w:ascii="Times New Roman" w:hAnsi="Times New Roman"/>
                <w:sz w:val="24"/>
              </w:rPr>
              <w:t>danou pravdepodobnosťou</w:t>
            </w:r>
            <w:r w:rsidR="00207412">
              <w:rPr>
                <w:rFonts w:ascii="Times New Roman" w:hAnsi="Times New Roman"/>
                <w:sz w:val="24"/>
              </w:rPr>
              <w:t xml:space="preserve"> v </w:t>
            </w:r>
            <w:r w:rsidRPr="00207412">
              <w:rPr>
                <w:rFonts w:ascii="Times New Roman" w:hAnsi="Times New Roman"/>
                <w:sz w:val="24"/>
              </w:rPr>
              <w:t>priebehu špecifického časového obdobia</w:t>
            </w:r>
            <w:r w:rsidR="00207412">
              <w:rPr>
                <w:rFonts w:ascii="Times New Roman" w:hAnsi="Times New Roman"/>
                <w:sz w:val="24"/>
              </w:rPr>
              <w:t xml:space="preserve"> s </w:t>
            </w:r>
            <w:r w:rsidRPr="00207412">
              <w:rPr>
                <w:rFonts w:ascii="Times New Roman" w:hAnsi="Times New Roman"/>
                <w:sz w:val="24"/>
              </w:rPr>
              <w:t>použitím vstupov kalibrovaných podľa historických údajov</w:t>
            </w:r>
            <w:r w:rsidR="00207412">
              <w:rPr>
                <w:rFonts w:ascii="Times New Roman" w:hAnsi="Times New Roman"/>
                <w:sz w:val="24"/>
              </w:rPr>
              <w:t xml:space="preserve"> z </w:t>
            </w:r>
            <w:r w:rsidRPr="00207412">
              <w:rPr>
                <w:rFonts w:ascii="Times New Roman" w:hAnsi="Times New Roman"/>
                <w:sz w:val="24"/>
              </w:rPr>
              <w:t>nepretržitého 12-mesačného obdobia finančného stresu týkajúceho sa portfólia inštitúcie.</w:t>
            </w:r>
          </w:p>
        </w:tc>
      </w:tr>
      <w:tr w:rsidR="005970B6" w:rsidRPr="00207412" w14:paraId="3411CEBC" w14:textId="77777777">
        <w:tc>
          <w:tcPr>
            <w:tcW w:w="993" w:type="dxa"/>
          </w:tcPr>
          <w:p w14:paraId="026E7588"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lastRenderedPageBreak/>
              <w:t>0050</w:t>
            </w:r>
          </w:p>
        </w:tc>
        <w:tc>
          <w:tcPr>
            <w:tcW w:w="7869" w:type="dxa"/>
          </w:tcPr>
          <w:p w14:paraId="629F86AB"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Multiplikačný koeficient (ms) x priemer za predchádzajúcich 60 pracovných dní (SVaRavg)</w:t>
            </w:r>
          </w:p>
          <w:p w14:paraId="1CFE4B08" w14:textId="77777777" w:rsidR="005970B6" w:rsidRPr="00207412" w:rsidRDefault="005970B6" w:rsidP="004C445F">
            <w:pPr>
              <w:suppressAutoHyphens/>
              <w:autoSpaceDE w:val="0"/>
              <w:autoSpaceDN w:val="0"/>
              <w:adjustRightInd w:val="0"/>
              <w:spacing w:before="0" w:after="0"/>
              <w:rPr>
                <w:rStyle w:val="InstructionsTabelleberschrift"/>
                <w:rFonts w:ascii="Times New Roman" w:hAnsi="Times New Roman"/>
                <w:sz w:val="24"/>
              </w:rPr>
            </w:pPr>
          </w:p>
          <w:p w14:paraId="6C0FC2DF" w14:textId="5EF32719" w:rsidR="00207412" w:rsidRDefault="005970B6" w:rsidP="004C445F">
            <w:pPr>
              <w:suppressAutoHyphens/>
              <w:autoSpaceDE w:val="0"/>
              <w:autoSpaceDN w:val="0"/>
              <w:adjustRightInd w:val="0"/>
              <w:spacing w:before="0" w:after="0"/>
              <w:rPr>
                <w:rStyle w:val="InstructionsTabelleberschrift"/>
                <w:rFonts w:ascii="Times New Roman" w:hAnsi="Times New Roman"/>
                <w:sz w:val="24"/>
              </w:rPr>
            </w:pPr>
            <w:r w:rsidRPr="00207412">
              <w:rPr>
                <w:rFonts w:ascii="Times New Roman" w:hAnsi="Times New Roman"/>
                <w:sz w:val="24"/>
              </w:rPr>
              <w:t>Článok 364 ods. 1 písm. b) bod ii)</w:t>
            </w:r>
            <w:r w:rsidR="00207412">
              <w:rPr>
                <w:rFonts w:ascii="Times New Roman" w:hAnsi="Times New Roman"/>
                <w:sz w:val="24"/>
              </w:rPr>
              <w:t xml:space="preserve"> a </w:t>
            </w:r>
            <w:r w:rsidRPr="00207412">
              <w:rPr>
                <w:rFonts w:ascii="Times New Roman" w:hAnsi="Times New Roman"/>
                <w:sz w:val="24"/>
              </w:rPr>
              <w:t xml:space="preserve">článok 365 ods. 1 nariadenia (EÚ) </w:t>
            </w:r>
            <w:r w:rsidR="00207412">
              <w:rPr>
                <w:rFonts w:ascii="Times New Roman" w:hAnsi="Times New Roman"/>
                <w:sz w:val="24"/>
              </w:rPr>
              <w:t>č. </w:t>
            </w:r>
            <w:r w:rsidRPr="00207412">
              <w:rPr>
                <w:rFonts w:ascii="Times New Roman" w:hAnsi="Times New Roman"/>
                <w:sz w:val="24"/>
              </w:rPr>
              <w:t>575/2013</w:t>
            </w:r>
          </w:p>
          <w:p w14:paraId="77989826" w14:textId="5EEAAD85" w:rsidR="005970B6" w:rsidRPr="00207412" w:rsidRDefault="005970B6" w:rsidP="004C445F">
            <w:pPr>
              <w:suppressAutoHyphens/>
              <w:autoSpaceDE w:val="0"/>
              <w:autoSpaceDN w:val="0"/>
              <w:adjustRightInd w:val="0"/>
              <w:spacing w:before="0" w:after="0"/>
              <w:rPr>
                <w:rStyle w:val="InstructionsTabelleberschrift"/>
                <w:rFonts w:ascii="Times New Roman" w:hAnsi="Times New Roman"/>
                <w:sz w:val="24"/>
              </w:rPr>
            </w:pPr>
          </w:p>
        </w:tc>
      </w:tr>
      <w:tr w:rsidR="005970B6" w:rsidRPr="00207412" w14:paraId="41A38D20" w14:textId="77777777">
        <w:tc>
          <w:tcPr>
            <w:tcW w:w="993" w:type="dxa"/>
          </w:tcPr>
          <w:p w14:paraId="2A34CF8D"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0060</w:t>
            </w:r>
          </w:p>
        </w:tc>
        <w:tc>
          <w:tcPr>
            <w:tcW w:w="7869" w:type="dxa"/>
          </w:tcPr>
          <w:p w14:paraId="470B121D"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Najnovšia dostupná hodnota (SVaRt-1)</w:t>
            </w:r>
          </w:p>
          <w:p w14:paraId="0EC2BDBA" w14:textId="77777777" w:rsidR="005970B6" w:rsidRPr="00207412" w:rsidRDefault="005970B6" w:rsidP="004C445F">
            <w:pPr>
              <w:suppressAutoHyphens/>
              <w:autoSpaceDE w:val="0"/>
              <w:autoSpaceDN w:val="0"/>
              <w:adjustRightInd w:val="0"/>
              <w:spacing w:before="0" w:after="0"/>
              <w:rPr>
                <w:rFonts w:ascii="Times New Roman" w:hAnsi="Times New Roman"/>
                <w:sz w:val="24"/>
              </w:rPr>
            </w:pPr>
          </w:p>
          <w:p w14:paraId="14B2C015" w14:textId="11C0D7CC" w:rsid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Článok 364 ods. 1 písm. b) bod i)</w:t>
            </w:r>
            <w:r w:rsidR="00207412">
              <w:rPr>
                <w:rFonts w:ascii="Times New Roman" w:hAnsi="Times New Roman"/>
                <w:sz w:val="24"/>
              </w:rPr>
              <w:t xml:space="preserve"> a </w:t>
            </w:r>
            <w:r w:rsidRPr="00207412">
              <w:rPr>
                <w:rFonts w:ascii="Times New Roman" w:hAnsi="Times New Roman"/>
                <w:sz w:val="24"/>
              </w:rPr>
              <w:t xml:space="preserve">článok 365 ods. 1 nariadenia (EÚ) </w:t>
            </w:r>
            <w:r w:rsidR="00207412">
              <w:rPr>
                <w:rFonts w:ascii="Times New Roman" w:hAnsi="Times New Roman"/>
                <w:sz w:val="24"/>
              </w:rPr>
              <w:t>č. </w:t>
            </w:r>
            <w:r w:rsidRPr="00207412">
              <w:rPr>
                <w:rFonts w:ascii="Times New Roman" w:hAnsi="Times New Roman"/>
                <w:sz w:val="24"/>
              </w:rPr>
              <w:t>575/2013</w:t>
            </w:r>
          </w:p>
          <w:p w14:paraId="5E60C647" w14:textId="33B3D302" w:rsidR="005970B6" w:rsidRPr="00207412" w:rsidRDefault="005970B6" w:rsidP="004C445F">
            <w:pPr>
              <w:suppressAutoHyphens/>
              <w:autoSpaceDE w:val="0"/>
              <w:autoSpaceDN w:val="0"/>
              <w:adjustRightInd w:val="0"/>
              <w:spacing w:before="0" w:after="0"/>
              <w:rPr>
                <w:rFonts w:ascii="Times New Roman" w:hAnsi="Times New Roman"/>
                <w:b/>
                <w:bCs/>
                <w:sz w:val="24"/>
                <w:u w:val="single"/>
                <w:lang w:eastAsia="de-DE"/>
              </w:rPr>
            </w:pPr>
          </w:p>
        </w:tc>
      </w:tr>
      <w:tr w:rsidR="005970B6" w:rsidRPr="00207412" w14:paraId="7F2569E5" w14:textId="77777777">
        <w:tc>
          <w:tcPr>
            <w:tcW w:w="993" w:type="dxa"/>
          </w:tcPr>
          <w:p w14:paraId="3A69DDB7"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0070 – 0080</w:t>
            </w:r>
          </w:p>
        </w:tc>
        <w:tc>
          <w:tcPr>
            <w:tcW w:w="7869" w:type="dxa"/>
          </w:tcPr>
          <w:p w14:paraId="0A6B8E33"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KAPITÁLOVÁ POŽIADAVKA PRE INKREMENTÁLNE RIZIKO ZLYHANIA A RIZIKO MIGRÁCIE</w:t>
            </w:r>
          </w:p>
          <w:p w14:paraId="5B3AF066" w14:textId="1D5FD620" w:rsidR="005970B6" w:rsidRPr="00207412" w:rsidRDefault="005970B6" w:rsidP="004C445F">
            <w:pPr>
              <w:suppressAutoHyphens/>
              <w:rPr>
                <w:rFonts w:ascii="Times New Roman" w:hAnsi="Times New Roman"/>
                <w:b/>
                <w:bCs/>
                <w:sz w:val="24"/>
                <w:u w:val="single"/>
              </w:rPr>
            </w:pPr>
            <w:r w:rsidRPr="00207412">
              <w:rPr>
                <w:rFonts w:ascii="Times New Roman" w:hAnsi="Times New Roman"/>
                <w:sz w:val="24"/>
              </w:rPr>
              <w:t>Kapitálová požiadavka pre inkrementálne riziko zlyhania</w:t>
            </w:r>
            <w:r w:rsidR="00207412">
              <w:rPr>
                <w:rFonts w:ascii="Times New Roman" w:hAnsi="Times New Roman"/>
                <w:sz w:val="24"/>
              </w:rPr>
              <w:t xml:space="preserve"> a </w:t>
            </w:r>
            <w:r w:rsidRPr="00207412">
              <w:rPr>
                <w:rFonts w:ascii="Times New Roman" w:hAnsi="Times New Roman"/>
                <w:sz w:val="24"/>
              </w:rPr>
              <w:t>riziko migrácie je maximálna potenciálna strata, ktorá by vyplývala zo zmeny ceny súvisiacej</w:t>
            </w:r>
            <w:r w:rsidR="00207412">
              <w:rPr>
                <w:rFonts w:ascii="Times New Roman" w:hAnsi="Times New Roman"/>
                <w:sz w:val="24"/>
              </w:rPr>
              <w:t xml:space="preserve"> s </w:t>
            </w:r>
            <w:r w:rsidRPr="00207412">
              <w:rPr>
                <w:rFonts w:ascii="Times New Roman" w:hAnsi="Times New Roman"/>
                <w:sz w:val="24"/>
              </w:rPr>
              <w:t>rizikom zlyhania</w:t>
            </w:r>
            <w:r w:rsidR="00207412">
              <w:rPr>
                <w:rFonts w:ascii="Times New Roman" w:hAnsi="Times New Roman"/>
                <w:sz w:val="24"/>
              </w:rPr>
              <w:t xml:space="preserve"> a </w:t>
            </w:r>
            <w:r w:rsidRPr="00207412">
              <w:rPr>
                <w:rFonts w:ascii="Times New Roman" w:hAnsi="Times New Roman"/>
                <w:sz w:val="24"/>
              </w:rPr>
              <w:t>migrácie vypočítaným</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článkom 364 ods. 2 písm. b)</w:t>
            </w:r>
            <w:r w:rsidR="00207412">
              <w:rPr>
                <w:rFonts w:ascii="Times New Roman" w:hAnsi="Times New Roman"/>
                <w:sz w:val="24"/>
              </w:rPr>
              <w:t xml:space="preserve"> v </w:t>
            </w:r>
            <w:r w:rsidRPr="00207412">
              <w:rPr>
                <w:rFonts w:ascii="Times New Roman" w:hAnsi="Times New Roman"/>
                <w:sz w:val="24"/>
              </w:rPr>
              <w:t>spojení</w:t>
            </w:r>
            <w:r w:rsidR="00207412">
              <w:rPr>
                <w:rFonts w:ascii="Times New Roman" w:hAnsi="Times New Roman"/>
                <w:sz w:val="24"/>
              </w:rPr>
              <w:t xml:space="preserve"> s </w:t>
            </w:r>
            <w:r w:rsidRPr="00207412">
              <w:rPr>
                <w:rFonts w:ascii="Times New Roman" w:hAnsi="Times New Roman"/>
                <w:sz w:val="24"/>
              </w:rPr>
              <w:t xml:space="preserve">treťou časťou hlavou IV kapitolou 5 oddielom 4 nariadenia (EÚ) </w:t>
            </w:r>
            <w:r w:rsidR="00207412">
              <w:rPr>
                <w:rFonts w:ascii="Times New Roman" w:hAnsi="Times New Roman"/>
                <w:sz w:val="24"/>
              </w:rPr>
              <w:t>č. </w:t>
            </w:r>
            <w:r w:rsidRPr="00207412">
              <w:rPr>
                <w:rFonts w:ascii="Times New Roman" w:hAnsi="Times New Roman"/>
                <w:sz w:val="24"/>
              </w:rPr>
              <w:t xml:space="preserve">575/2013. </w:t>
            </w:r>
          </w:p>
        </w:tc>
      </w:tr>
      <w:tr w:rsidR="005970B6" w:rsidRPr="00207412" w14:paraId="17515745" w14:textId="77777777">
        <w:tc>
          <w:tcPr>
            <w:tcW w:w="993" w:type="dxa"/>
          </w:tcPr>
          <w:p w14:paraId="595C6529"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0070</w:t>
            </w:r>
          </w:p>
        </w:tc>
        <w:tc>
          <w:tcPr>
            <w:tcW w:w="7869" w:type="dxa"/>
          </w:tcPr>
          <w:p w14:paraId="48A1B02F"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Priemerná hodnota za 12 týždňov</w:t>
            </w:r>
          </w:p>
          <w:p w14:paraId="7DF0D030" w14:textId="77777777" w:rsidR="005970B6" w:rsidRPr="00207412" w:rsidRDefault="005970B6" w:rsidP="004C445F">
            <w:pPr>
              <w:suppressAutoHyphens/>
              <w:autoSpaceDE w:val="0"/>
              <w:autoSpaceDN w:val="0"/>
              <w:adjustRightInd w:val="0"/>
              <w:spacing w:before="0" w:after="0"/>
              <w:rPr>
                <w:rFonts w:ascii="Times New Roman" w:hAnsi="Times New Roman"/>
                <w:sz w:val="24"/>
              </w:rPr>
            </w:pPr>
          </w:p>
          <w:p w14:paraId="1A6FCED4" w14:textId="06012EEC"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Článok 364 ods. 2 písm. b) bod ii)</w:t>
            </w:r>
            <w:r w:rsidR="00207412">
              <w:rPr>
                <w:rFonts w:ascii="Times New Roman" w:hAnsi="Times New Roman"/>
                <w:sz w:val="24"/>
              </w:rPr>
              <w:t xml:space="preserve"> v </w:t>
            </w:r>
            <w:r w:rsidRPr="00207412">
              <w:rPr>
                <w:rFonts w:ascii="Times New Roman" w:hAnsi="Times New Roman"/>
                <w:sz w:val="24"/>
              </w:rPr>
              <w:t>spojení</w:t>
            </w:r>
            <w:r w:rsidR="00207412">
              <w:rPr>
                <w:rFonts w:ascii="Times New Roman" w:hAnsi="Times New Roman"/>
                <w:sz w:val="24"/>
              </w:rPr>
              <w:t xml:space="preserve"> s </w:t>
            </w:r>
            <w:r w:rsidRPr="00207412">
              <w:rPr>
                <w:rFonts w:ascii="Times New Roman" w:hAnsi="Times New Roman"/>
                <w:sz w:val="24"/>
              </w:rPr>
              <w:t xml:space="preserve">treťou časťou hlavou IV kapitolou 5 oddielom 4 nariadenia (EÚ) </w:t>
            </w:r>
            <w:r w:rsidR="00207412">
              <w:rPr>
                <w:rFonts w:ascii="Times New Roman" w:hAnsi="Times New Roman"/>
                <w:sz w:val="24"/>
              </w:rPr>
              <w:t>č. </w:t>
            </w:r>
            <w:r w:rsidRPr="00207412">
              <w:rPr>
                <w:rFonts w:ascii="Times New Roman" w:hAnsi="Times New Roman"/>
                <w:sz w:val="24"/>
              </w:rPr>
              <w:t>575/2013</w:t>
            </w:r>
          </w:p>
          <w:p w14:paraId="4E5E6B90"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07412" w14:paraId="12AD55A6" w14:textId="77777777">
        <w:tc>
          <w:tcPr>
            <w:tcW w:w="993" w:type="dxa"/>
          </w:tcPr>
          <w:p w14:paraId="268DB162"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0080</w:t>
            </w:r>
          </w:p>
        </w:tc>
        <w:tc>
          <w:tcPr>
            <w:tcW w:w="7869" w:type="dxa"/>
          </w:tcPr>
          <w:p w14:paraId="24DAC2BD"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Najnovšia hodnota</w:t>
            </w:r>
          </w:p>
          <w:p w14:paraId="776D80BB"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3EF08F5A" w14:textId="043C7394"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Článok 364 ods. 2 písm. b) bod i)</w:t>
            </w:r>
            <w:r w:rsidR="00207412">
              <w:rPr>
                <w:rFonts w:ascii="Times New Roman" w:hAnsi="Times New Roman"/>
                <w:sz w:val="24"/>
              </w:rPr>
              <w:t xml:space="preserve"> v </w:t>
            </w:r>
            <w:r w:rsidRPr="00207412">
              <w:rPr>
                <w:rFonts w:ascii="Times New Roman" w:hAnsi="Times New Roman"/>
                <w:sz w:val="24"/>
              </w:rPr>
              <w:t>spojení</w:t>
            </w:r>
            <w:r w:rsidR="00207412">
              <w:rPr>
                <w:rFonts w:ascii="Times New Roman" w:hAnsi="Times New Roman"/>
                <w:sz w:val="24"/>
              </w:rPr>
              <w:t xml:space="preserve"> s </w:t>
            </w:r>
            <w:r w:rsidRPr="00207412">
              <w:rPr>
                <w:rFonts w:ascii="Times New Roman" w:hAnsi="Times New Roman"/>
                <w:sz w:val="24"/>
              </w:rPr>
              <w:t xml:space="preserve">treťou časťou hlavou IV kapitolou 5 oddielom 4 nariadenia (EÚ) </w:t>
            </w:r>
            <w:r w:rsidR="00207412">
              <w:rPr>
                <w:rFonts w:ascii="Times New Roman" w:hAnsi="Times New Roman"/>
                <w:sz w:val="24"/>
              </w:rPr>
              <w:t>č. </w:t>
            </w:r>
            <w:r w:rsidRPr="00207412">
              <w:rPr>
                <w:rFonts w:ascii="Times New Roman" w:hAnsi="Times New Roman"/>
                <w:sz w:val="24"/>
              </w:rPr>
              <w:t>575/2013</w:t>
            </w:r>
          </w:p>
          <w:p w14:paraId="2DB84EA2"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07412" w14:paraId="06406A7A" w14:textId="77777777">
        <w:tc>
          <w:tcPr>
            <w:tcW w:w="993" w:type="dxa"/>
          </w:tcPr>
          <w:p w14:paraId="1EBB8F02"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0090 – 0110</w:t>
            </w:r>
          </w:p>
        </w:tc>
        <w:tc>
          <w:tcPr>
            <w:tcW w:w="7869" w:type="dxa"/>
          </w:tcPr>
          <w:p w14:paraId="1C6A0111"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KAPITÁLOVÁ POŽIADAVKA NA KRYTIE VŠETKÝCH CENOVÝCH RIZÍK PRE KORELAČNÉ OBCHODNÉ PORTFÓLIO</w:t>
            </w:r>
          </w:p>
          <w:p w14:paraId="29B7ABA4"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07412" w14:paraId="2616A8BA" w14:textId="77777777">
        <w:tc>
          <w:tcPr>
            <w:tcW w:w="993" w:type="dxa"/>
          </w:tcPr>
          <w:p w14:paraId="70419120"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0090</w:t>
            </w:r>
          </w:p>
        </w:tc>
        <w:tc>
          <w:tcPr>
            <w:tcW w:w="7869" w:type="dxa"/>
          </w:tcPr>
          <w:p w14:paraId="1E696B6B"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DOLNÉ OHRANIČENIE</w:t>
            </w:r>
          </w:p>
          <w:p w14:paraId="4D4AA5D6" w14:textId="63463E0F" w:rsidR="005970B6" w:rsidRPr="00207412" w:rsidRDefault="005970B6" w:rsidP="004C445F">
            <w:pPr>
              <w:suppressAutoHyphens/>
              <w:rPr>
                <w:rFonts w:ascii="Times New Roman" w:hAnsi="Times New Roman"/>
                <w:sz w:val="24"/>
              </w:rPr>
            </w:pPr>
            <w:r w:rsidRPr="00207412">
              <w:rPr>
                <w:rFonts w:ascii="Times New Roman" w:hAnsi="Times New Roman"/>
                <w:sz w:val="24"/>
              </w:rPr>
              <w:t xml:space="preserve">Článok 364 ods. 3 písm. c) nariadenia (EÚ) </w:t>
            </w:r>
            <w:r w:rsidR="00207412">
              <w:rPr>
                <w:rFonts w:ascii="Times New Roman" w:hAnsi="Times New Roman"/>
                <w:sz w:val="24"/>
              </w:rPr>
              <w:t>č. </w:t>
            </w:r>
            <w:r w:rsidRPr="00207412">
              <w:rPr>
                <w:rFonts w:ascii="Times New Roman" w:hAnsi="Times New Roman"/>
                <w:sz w:val="24"/>
              </w:rPr>
              <w:t>575/2013</w:t>
            </w:r>
          </w:p>
          <w:p w14:paraId="1D64D409" w14:textId="3FEE4C42" w:rsid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8</w:t>
            </w:r>
            <w:r w:rsidR="00207412">
              <w:rPr>
                <w:rFonts w:ascii="Times New Roman" w:hAnsi="Times New Roman"/>
                <w:sz w:val="24"/>
              </w:rPr>
              <w:t> % z </w:t>
            </w:r>
            <w:r w:rsidRPr="00207412">
              <w:rPr>
                <w:rFonts w:ascii="Times New Roman" w:hAnsi="Times New Roman"/>
                <w:sz w:val="24"/>
              </w:rPr>
              <w:t xml:space="preserve">kapitálovej požiadavky, ktorá by sa vypočítala podľa článku 338 ods. 1 nariadenia (EÚ) </w:t>
            </w:r>
            <w:r w:rsidR="00207412">
              <w:rPr>
                <w:rFonts w:ascii="Times New Roman" w:hAnsi="Times New Roman"/>
                <w:sz w:val="24"/>
              </w:rPr>
              <w:t>č. </w:t>
            </w:r>
            <w:r w:rsidRPr="00207412">
              <w:rPr>
                <w:rFonts w:ascii="Times New Roman" w:hAnsi="Times New Roman"/>
                <w:sz w:val="24"/>
              </w:rPr>
              <w:t>575/2013 pre všetky pozície</w:t>
            </w:r>
            <w:r w:rsidR="00207412">
              <w:rPr>
                <w:rFonts w:ascii="Times New Roman" w:hAnsi="Times New Roman"/>
                <w:sz w:val="24"/>
              </w:rPr>
              <w:t xml:space="preserve"> v </w:t>
            </w:r>
            <w:r w:rsidRPr="00207412">
              <w:rPr>
                <w:rFonts w:ascii="Times New Roman" w:hAnsi="Times New Roman"/>
                <w:sz w:val="24"/>
              </w:rPr>
              <w:t>kapitálovej požiadavke pre „všetky cenové riziká“</w:t>
            </w:r>
            <w:r w:rsidR="00207412">
              <w:rPr>
                <w:rFonts w:ascii="Times New Roman" w:hAnsi="Times New Roman"/>
                <w:sz w:val="24"/>
              </w:rPr>
              <w:t>.</w:t>
            </w:r>
          </w:p>
          <w:p w14:paraId="0D022373" w14:textId="10BF7E81" w:rsidR="005970B6" w:rsidRPr="00207412"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07412" w14:paraId="18CB1AF7" w14:textId="77777777">
        <w:tc>
          <w:tcPr>
            <w:tcW w:w="993" w:type="dxa"/>
          </w:tcPr>
          <w:p w14:paraId="4E53B904"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0100 – 0110</w:t>
            </w:r>
          </w:p>
        </w:tc>
        <w:tc>
          <w:tcPr>
            <w:tcW w:w="7869" w:type="dxa"/>
          </w:tcPr>
          <w:p w14:paraId="7CEDB94C"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PRIEMERNÁ HODNOTA ZA 12 TÝŽDŇOV A NAJNOVŠIA HODNOTA</w:t>
            </w:r>
          </w:p>
          <w:p w14:paraId="46EA9990" w14:textId="26A6F91E" w:rsidR="005970B6" w:rsidRPr="00207412" w:rsidRDefault="005970B6" w:rsidP="004C445F">
            <w:pPr>
              <w:suppressAutoHyphens/>
              <w:autoSpaceDE w:val="0"/>
              <w:autoSpaceDN w:val="0"/>
              <w:adjustRightInd w:val="0"/>
              <w:spacing w:after="0"/>
              <w:rPr>
                <w:rFonts w:ascii="Times New Roman" w:hAnsi="Times New Roman"/>
                <w:bCs/>
                <w:sz w:val="24"/>
              </w:rPr>
            </w:pPr>
            <w:r w:rsidRPr="00207412">
              <w:rPr>
                <w:rFonts w:ascii="Times New Roman" w:hAnsi="Times New Roman"/>
                <w:sz w:val="24"/>
              </w:rPr>
              <w:t xml:space="preserve">Článok 364 ods. 3 písm. b) nariadenia (EÚ) </w:t>
            </w:r>
            <w:r w:rsidR="00207412">
              <w:rPr>
                <w:rFonts w:ascii="Times New Roman" w:hAnsi="Times New Roman"/>
                <w:sz w:val="24"/>
              </w:rPr>
              <w:t>č. </w:t>
            </w:r>
            <w:r w:rsidRPr="00207412">
              <w:rPr>
                <w:rFonts w:ascii="Times New Roman" w:hAnsi="Times New Roman"/>
                <w:sz w:val="24"/>
              </w:rPr>
              <w:t>575/2013</w:t>
            </w:r>
          </w:p>
          <w:p w14:paraId="3111F404" w14:textId="77777777" w:rsidR="005970B6" w:rsidRPr="00207412" w:rsidRDefault="005970B6" w:rsidP="004C445F">
            <w:pPr>
              <w:suppressAutoHyphens/>
              <w:autoSpaceDE w:val="0"/>
              <w:autoSpaceDN w:val="0"/>
              <w:adjustRightInd w:val="0"/>
              <w:spacing w:before="0" w:after="0"/>
              <w:rPr>
                <w:rFonts w:ascii="Times New Roman" w:hAnsi="Times New Roman"/>
                <w:bCs/>
                <w:sz w:val="24"/>
                <w:u w:val="single"/>
                <w:lang w:eastAsia="nl-BE"/>
              </w:rPr>
            </w:pPr>
          </w:p>
        </w:tc>
      </w:tr>
      <w:tr w:rsidR="005970B6" w:rsidRPr="00207412" w14:paraId="320867DB" w14:textId="77777777">
        <w:tc>
          <w:tcPr>
            <w:tcW w:w="993" w:type="dxa"/>
          </w:tcPr>
          <w:p w14:paraId="42D64395"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0110</w:t>
            </w:r>
          </w:p>
        </w:tc>
        <w:tc>
          <w:tcPr>
            <w:tcW w:w="7869" w:type="dxa"/>
          </w:tcPr>
          <w:p w14:paraId="30EB7A67" w14:textId="77777777" w:rsidR="005970B6" w:rsidRPr="00207412" w:rsidRDefault="005970B6" w:rsidP="004C445F">
            <w:pPr>
              <w:suppressAutoHyphens/>
              <w:autoSpaceDE w:val="0"/>
              <w:autoSpaceDN w:val="0"/>
              <w:adjustRightInd w:val="0"/>
              <w:spacing w:before="0"/>
              <w:rPr>
                <w:rFonts w:ascii="Times New Roman" w:hAnsi="Times New Roman"/>
                <w:b/>
                <w:bCs/>
                <w:sz w:val="24"/>
                <w:u w:val="single"/>
              </w:rPr>
            </w:pPr>
            <w:r w:rsidRPr="00207412">
              <w:rPr>
                <w:rFonts w:ascii="Times New Roman" w:hAnsi="Times New Roman"/>
                <w:b/>
                <w:sz w:val="24"/>
                <w:u w:val="single"/>
              </w:rPr>
              <w:t>NAJNOVŠIA HODNOTA</w:t>
            </w:r>
          </w:p>
          <w:p w14:paraId="54C3A200" w14:textId="661C03DE" w:rsidR="005970B6" w:rsidRPr="00207412" w:rsidRDefault="005970B6" w:rsidP="004C445F">
            <w:pPr>
              <w:suppressAutoHyphens/>
              <w:autoSpaceDE w:val="0"/>
              <w:autoSpaceDN w:val="0"/>
              <w:adjustRightInd w:val="0"/>
              <w:spacing w:before="0" w:after="0"/>
              <w:rPr>
                <w:rFonts w:ascii="Times New Roman" w:hAnsi="Times New Roman"/>
                <w:bCs/>
                <w:sz w:val="24"/>
              </w:rPr>
            </w:pPr>
            <w:r w:rsidRPr="00207412">
              <w:rPr>
                <w:rFonts w:ascii="Times New Roman" w:hAnsi="Times New Roman"/>
                <w:sz w:val="24"/>
              </w:rPr>
              <w:lastRenderedPageBreak/>
              <w:t xml:space="preserve">Článok 364 ods. 3 písm. a) nariadenia (EÚ) </w:t>
            </w:r>
            <w:r w:rsidR="00207412">
              <w:rPr>
                <w:rFonts w:ascii="Times New Roman" w:hAnsi="Times New Roman"/>
                <w:sz w:val="24"/>
              </w:rPr>
              <w:t>č. </w:t>
            </w:r>
            <w:r w:rsidRPr="00207412">
              <w:rPr>
                <w:rFonts w:ascii="Times New Roman" w:hAnsi="Times New Roman"/>
                <w:sz w:val="24"/>
              </w:rPr>
              <w:t>575/2013</w:t>
            </w:r>
          </w:p>
          <w:p w14:paraId="702AB902"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07412" w14:paraId="6AF4AFCB" w14:textId="77777777">
        <w:tc>
          <w:tcPr>
            <w:tcW w:w="993" w:type="dxa"/>
          </w:tcPr>
          <w:p w14:paraId="07850638"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lastRenderedPageBreak/>
              <w:t>0120</w:t>
            </w:r>
          </w:p>
        </w:tc>
        <w:tc>
          <w:tcPr>
            <w:tcW w:w="7869" w:type="dxa"/>
          </w:tcPr>
          <w:p w14:paraId="154C34AA"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POŽIADAVKY NA VLASTNÉ ZDROJE</w:t>
            </w:r>
          </w:p>
          <w:p w14:paraId="278D1894" w14:textId="70498BDD" w:rsidR="005970B6" w:rsidRPr="00207412" w:rsidRDefault="005970B6" w:rsidP="004C445F">
            <w:pPr>
              <w:suppressAutoHyphens/>
              <w:autoSpaceDE w:val="0"/>
              <w:autoSpaceDN w:val="0"/>
              <w:adjustRightInd w:val="0"/>
              <w:rPr>
                <w:rFonts w:ascii="Times New Roman" w:hAnsi="Times New Roman"/>
                <w:b/>
                <w:bCs/>
                <w:sz w:val="24"/>
                <w:u w:val="single"/>
              </w:rPr>
            </w:pPr>
            <w:r w:rsidRPr="00207412">
              <w:rPr>
                <w:rFonts w:ascii="Times New Roman" w:hAnsi="Times New Roman"/>
                <w:sz w:val="24"/>
              </w:rPr>
              <w:t>Požiadavky na vlastné zdroje uvedené</w:t>
            </w:r>
            <w:r w:rsidR="00207412">
              <w:rPr>
                <w:rFonts w:ascii="Times New Roman" w:hAnsi="Times New Roman"/>
                <w:sz w:val="24"/>
              </w:rPr>
              <w:t xml:space="preserve"> v </w:t>
            </w:r>
            <w:r w:rsidRPr="00207412">
              <w:rPr>
                <w:rFonts w:ascii="Times New Roman" w:hAnsi="Times New Roman"/>
                <w:sz w:val="24"/>
              </w:rPr>
              <w:t xml:space="preserve">článku 364 nariadenia (EÚ) </w:t>
            </w:r>
            <w:r w:rsidR="00207412">
              <w:rPr>
                <w:rFonts w:ascii="Times New Roman" w:hAnsi="Times New Roman"/>
                <w:sz w:val="24"/>
              </w:rPr>
              <w:t>č. </w:t>
            </w:r>
            <w:r w:rsidRPr="00207412">
              <w:rPr>
                <w:rFonts w:ascii="Times New Roman" w:hAnsi="Times New Roman"/>
                <w:sz w:val="24"/>
              </w:rPr>
              <w:t>575/2013 pre všetky rizikové faktory so zohľadnením účinkov korelácie, ak sú uplatniteľné, inkrementálneho rizika zlyhania, rizika migrácie</w:t>
            </w:r>
            <w:r w:rsidR="00207412">
              <w:rPr>
                <w:rFonts w:ascii="Times New Roman" w:hAnsi="Times New Roman"/>
                <w:sz w:val="24"/>
              </w:rPr>
              <w:t xml:space="preserve"> a </w:t>
            </w:r>
            <w:r w:rsidRPr="00207412">
              <w:rPr>
                <w:rFonts w:ascii="Times New Roman" w:hAnsi="Times New Roman"/>
                <w:sz w:val="24"/>
              </w:rPr>
              <w:t>všetkých cien rizík pre korelačné obchodné portfólio, ale bez kapitálových požiadaviek pre sekuritizácie</w:t>
            </w:r>
            <w:r w:rsidR="00207412">
              <w:rPr>
                <w:rFonts w:ascii="Times New Roman" w:hAnsi="Times New Roman"/>
                <w:sz w:val="24"/>
              </w:rPr>
              <w:t xml:space="preserve"> a </w:t>
            </w:r>
            <w:r w:rsidRPr="00207412">
              <w:rPr>
                <w:rFonts w:ascii="Times New Roman" w:hAnsi="Times New Roman"/>
                <w:sz w:val="24"/>
              </w:rPr>
              <w:t xml:space="preserve">kreditné deriváty pre n-té zlyhanie podľa článku 364 ods. 2 uvedeného nariadenia. </w:t>
            </w:r>
          </w:p>
        </w:tc>
      </w:tr>
      <w:tr w:rsidR="005970B6" w:rsidRPr="00207412" w14:paraId="321F7641" w14:textId="77777777">
        <w:tc>
          <w:tcPr>
            <w:tcW w:w="993" w:type="dxa"/>
          </w:tcPr>
          <w:p w14:paraId="4808EA45"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0130</w:t>
            </w:r>
          </w:p>
        </w:tc>
        <w:tc>
          <w:tcPr>
            <w:tcW w:w="7869" w:type="dxa"/>
          </w:tcPr>
          <w:p w14:paraId="191025B9"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CELKOVÁ HODNOTA RIZIKOVEJ EXPOZÍCIE</w:t>
            </w:r>
          </w:p>
          <w:p w14:paraId="1B83D6B8"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392139E0" w14:textId="7DA056EE" w:rsid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 xml:space="preserve">Článok 92 ods. 6 písm. b) nariadenia (EÚ) </w:t>
            </w:r>
            <w:r w:rsidR="00207412">
              <w:rPr>
                <w:rFonts w:ascii="Times New Roman" w:hAnsi="Times New Roman"/>
                <w:sz w:val="24"/>
              </w:rPr>
              <w:t>č. </w:t>
            </w:r>
            <w:r w:rsidRPr="00207412">
              <w:rPr>
                <w:rFonts w:ascii="Times New Roman" w:hAnsi="Times New Roman"/>
                <w:sz w:val="24"/>
              </w:rPr>
              <w:t>575/2013</w:t>
            </w:r>
            <w:r w:rsidR="00207412">
              <w:rPr>
                <w:rFonts w:ascii="Times New Roman" w:hAnsi="Times New Roman"/>
                <w:sz w:val="24"/>
              </w:rPr>
              <w:t>.</w:t>
            </w:r>
          </w:p>
          <w:p w14:paraId="0C045673" w14:textId="40272773"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Výsledok vynásobenia požiadaviek na vlastné zdroje koeficientom 12,5.</w:t>
            </w:r>
          </w:p>
          <w:p w14:paraId="1D75252A"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07412" w14:paraId="230D32EA" w14:textId="77777777">
        <w:tc>
          <w:tcPr>
            <w:tcW w:w="993" w:type="dxa"/>
          </w:tcPr>
          <w:p w14:paraId="7C0865B7"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0140</w:t>
            </w:r>
          </w:p>
        </w:tc>
        <w:tc>
          <w:tcPr>
            <w:tcW w:w="7869" w:type="dxa"/>
          </w:tcPr>
          <w:p w14:paraId="69330FF8" w14:textId="77777777" w:rsidR="005970B6" w:rsidRPr="00207412" w:rsidRDefault="005970B6" w:rsidP="004C445F">
            <w:pPr>
              <w:suppressAutoHyphens/>
              <w:autoSpaceDE w:val="0"/>
              <w:autoSpaceDN w:val="0"/>
              <w:adjustRightInd w:val="0"/>
              <w:spacing w:before="0"/>
              <w:rPr>
                <w:rFonts w:ascii="Times New Roman" w:hAnsi="Times New Roman"/>
                <w:b/>
                <w:bCs/>
                <w:sz w:val="24"/>
                <w:u w:val="single"/>
              </w:rPr>
            </w:pPr>
            <w:r w:rsidRPr="00207412">
              <w:rPr>
                <w:rFonts w:ascii="Times New Roman" w:hAnsi="Times New Roman"/>
                <w:b/>
                <w:sz w:val="24"/>
                <w:u w:val="single"/>
              </w:rPr>
              <w:t>Počet prekročení (počas predchádzajúcich 250 pracovných dní)</w:t>
            </w:r>
          </w:p>
          <w:p w14:paraId="66F88BE9" w14:textId="60607FB7" w:rsidR="005970B6" w:rsidRPr="00207412" w:rsidRDefault="005970B6" w:rsidP="004C445F">
            <w:pPr>
              <w:suppressAutoHyphens/>
              <w:autoSpaceDE w:val="0"/>
              <w:autoSpaceDN w:val="0"/>
              <w:adjustRightInd w:val="0"/>
              <w:spacing w:before="0"/>
              <w:rPr>
                <w:rFonts w:ascii="Times New Roman" w:hAnsi="Times New Roman"/>
                <w:sz w:val="24"/>
              </w:rPr>
            </w:pPr>
            <w:r w:rsidRPr="00207412">
              <w:rPr>
                <w:rFonts w:ascii="Times New Roman" w:hAnsi="Times New Roman"/>
                <w:sz w:val="24"/>
              </w:rPr>
              <w:t>Ako sa uvádza</w:t>
            </w:r>
            <w:r w:rsidR="00207412">
              <w:rPr>
                <w:rFonts w:ascii="Times New Roman" w:hAnsi="Times New Roman"/>
                <w:sz w:val="24"/>
              </w:rPr>
              <w:t xml:space="preserve"> v </w:t>
            </w:r>
            <w:r w:rsidRPr="00207412">
              <w:rPr>
                <w:rFonts w:ascii="Times New Roman" w:hAnsi="Times New Roman"/>
                <w:sz w:val="24"/>
              </w:rPr>
              <w:t xml:space="preserve">článku 366 nariadenia (EÚ) </w:t>
            </w:r>
            <w:r w:rsidR="00207412">
              <w:rPr>
                <w:rFonts w:ascii="Times New Roman" w:hAnsi="Times New Roman"/>
                <w:sz w:val="24"/>
              </w:rPr>
              <w:t>č. </w:t>
            </w:r>
            <w:r w:rsidRPr="00207412">
              <w:rPr>
                <w:rFonts w:ascii="Times New Roman" w:hAnsi="Times New Roman"/>
                <w:sz w:val="24"/>
              </w:rPr>
              <w:t>575/2013</w:t>
            </w:r>
          </w:p>
          <w:p w14:paraId="681C5C48" w14:textId="1EC1D3A9" w:rsidR="005970B6" w:rsidRPr="00207412" w:rsidRDefault="005970B6" w:rsidP="004C445F">
            <w:pPr>
              <w:suppressAutoHyphens/>
              <w:autoSpaceDE w:val="0"/>
              <w:autoSpaceDN w:val="0"/>
              <w:adjustRightInd w:val="0"/>
              <w:spacing w:before="0"/>
              <w:rPr>
                <w:rFonts w:ascii="Times New Roman" w:hAnsi="Times New Roman"/>
                <w:b/>
                <w:bCs/>
                <w:sz w:val="24"/>
                <w:u w:val="single"/>
              </w:rPr>
            </w:pPr>
            <w:r w:rsidRPr="00207412">
              <w:rPr>
                <w:rFonts w:ascii="Times New Roman" w:hAnsi="Times New Roman"/>
                <w:sz w:val="24"/>
              </w:rPr>
              <w:t>Vykazuje sa počet prekročení, podľa ktorého sa určuje sčítanec. Ak je investičným spoločnostiam povolené, aby</w:t>
            </w:r>
            <w:r w:rsidR="00207412">
              <w:rPr>
                <w:rFonts w:ascii="Times New Roman" w:hAnsi="Times New Roman"/>
                <w:sz w:val="24"/>
              </w:rPr>
              <w:t xml:space="preserve"> z </w:t>
            </w:r>
            <w:r w:rsidRPr="00207412">
              <w:rPr>
                <w:rFonts w:ascii="Times New Roman" w:hAnsi="Times New Roman"/>
                <w:sz w:val="24"/>
              </w:rPr>
              <w:t>výpočtu sčítanca vylúčili</w:t>
            </w:r>
            <w:r w:rsidR="00207412">
              <w:rPr>
                <w:rFonts w:ascii="Times New Roman" w:hAnsi="Times New Roman"/>
                <w:sz w:val="24"/>
              </w:rPr>
              <w:t xml:space="preserve"> v </w:t>
            </w:r>
            <w:r w:rsidRPr="00207412">
              <w:rPr>
                <w:rFonts w:ascii="Times New Roman" w:hAnsi="Times New Roman"/>
                <w:sz w:val="24"/>
              </w:rPr>
              <w:t>súlade</w:t>
            </w:r>
            <w:r w:rsidR="00207412">
              <w:rPr>
                <w:rFonts w:ascii="Times New Roman" w:hAnsi="Times New Roman"/>
                <w:sz w:val="24"/>
              </w:rPr>
              <w:t xml:space="preserve"> s </w:t>
            </w:r>
            <w:r w:rsidRPr="00207412">
              <w:rPr>
                <w:rFonts w:ascii="Times New Roman" w:hAnsi="Times New Roman"/>
                <w:sz w:val="24"/>
              </w:rPr>
              <w:t xml:space="preserve">článkom 500c nariadenia (EÚ) </w:t>
            </w:r>
            <w:r w:rsidR="00207412">
              <w:rPr>
                <w:rFonts w:ascii="Times New Roman" w:hAnsi="Times New Roman"/>
                <w:sz w:val="24"/>
              </w:rPr>
              <w:t>č. </w:t>
            </w:r>
            <w:r w:rsidRPr="00207412">
              <w:rPr>
                <w:rFonts w:ascii="Times New Roman" w:hAnsi="Times New Roman"/>
                <w:sz w:val="24"/>
              </w:rPr>
              <w:t>575/2013 určité prekročenia, počet prekročení vykazovaných</w:t>
            </w:r>
            <w:r w:rsidR="00207412">
              <w:rPr>
                <w:rFonts w:ascii="Times New Roman" w:hAnsi="Times New Roman"/>
                <w:sz w:val="24"/>
              </w:rPr>
              <w:t xml:space="preserve"> v </w:t>
            </w:r>
            <w:r w:rsidRPr="00207412">
              <w:rPr>
                <w:rFonts w:ascii="Times New Roman" w:hAnsi="Times New Roman"/>
                <w:sz w:val="24"/>
              </w:rPr>
              <w:t>tomto stĺpci musí byť po odpočítaní uvedených vylúčených prekročení.</w:t>
            </w:r>
          </w:p>
        </w:tc>
      </w:tr>
      <w:tr w:rsidR="005970B6" w:rsidRPr="00207412" w14:paraId="44599020" w14:textId="77777777">
        <w:tc>
          <w:tcPr>
            <w:tcW w:w="993" w:type="dxa"/>
          </w:tcPr>
          <w:p w14:paraId="4C66FF0B"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0150 – 0160</w:t>
            </w:r>
          </w:p>
        </w:tc>
        <w:tc>
          <w:tcPr>
            <w:tcW w:w="7869" w:type="dxa"/>
          </w:tcPr>
          <w:p w14:paraId="26532024" w14:textId="6182ADA2" w:rsidR="005970B6" w:rsidRPr="00207412" w:rsidRDefault="005970B6" w:rsidP="004C445F">
            <w:pPr>
              <w:suppressAutoHyphens/>
              <w:autoSpaceDE w:val="0"/>
              <w:autoSpaceDN w:val="0"/>
              <w:adjustRightInd w:val="0"/>
              <w:spacing w:before="0"/>
              <w:rPr>
                <w:rFonts w:ascii="Times New Roman" w:hAnsi="Times New Roman"/>
                <w:b/>
                <w:bCs/>
                <w:sz w:val="24"/>
                <w:u w:val="single"/>
              </w:rPr>
            </w:pPr>
            <w:r w:rsidRPr="00207412">
              <w:rPr>
                <w:rFonts w:ascii="Times New Roman" w:hAnsi="Times New Roman"/>
                <w:b/>
                <w:sz w:val="24"/>
                <w:u w:val="single"/>
              </w:rPr>
              <w:t>Multiplikačný koeficient VaR (mc)</w:t>
            </w:r>
            <w:r w:rsidR="00207412">
              <w:rPr>
                <w:rFonts w:ascii="Times New Roman" w:hAnsi="Times New Roman"/>
                <w:b/>
                <w:sz w:val="24"/>
                <w:u w:val="single"/>
              </w:rPr>
              <w:t xml:space="preserve"> a </w:t>
            </w:r>
            <w:r w:rsidRPr="00207412">
              <w:rPr>
                <w:rFonts w:ascii="Times New Roman" w:hAnsi="Times New Roman"/>
                <w:b/>
                <w:sz w:val="24"/>
                <w:u w:val="single"/>
              </w:rPr>
              <w:t>multiplikačný koeficient SVaR (ms)</w:t>
            </w:r>
          </w:p>
          <w:p w14:paraId="5E04C211" w14:textId="4AE33E25" w:rsidR="005970B6" w:rsidRPr="00207412" w:rsidRDefault="005970B6" w:rsidP="004C445F">
            <w:pPr>
              <w:suppressAutoHyphens/>
              <w:autoSpaceDE w:val="0"/>
              <w:autoSpaceDN w:val="0"/>
              <w:adjustRightInd w:val="0"/>
              <w:spacing w:before="0"/>
              <w:rPr>
                <w:rFonts w:ascii="Times New Roman" w:hAnsi="Times New Roman"/>
                <w:sz w:val="24"/>
              </w:rPr>
            </w:pPr>
            <w:r w:rsidRPr="00207412">
              <w:rPr>
                <w:rFonts w:ascii="Times New Roman" w:hAnsi="Times New Roman"/>
                <w:sz w:val="24"/>
              </w:rPr>
              <w:t>Ako sa uvádza</w:t>
            </w:r>
            <w:r w:rsidR="00207412">
              <w:rPr>
                <w:rFonts w:ascii="Times New Roman" w:hAnsi="Times New Roman"/>
                <w:sz w:val="24"/>
              </w:rPr>
              <w:t xml:space="preserve"> v </w:t>
            </w:r>
            <w:r w:rsidRPr="00207412">
              <w:rPr>
                <w:rFonts w:ascii="Times New Roman" w:hAnsi="Times New Roman"/>
                <w:sz w:val="24"/>
              </w:rPr>
              <w:t xml:space="preserve">článku 366 nariadenia (EÚ) </w:t>
            </w:r>
            <w:r w:rsidR="00207412">
              <w:rPr>
                <w:rFonts w:ascii="Times New Roman" w:hAnsi="Times New Roman"/>
                <w:sz w:val="24"/>
              </w:rPr>
              <w:t>č. </w:t>
            </w:r>
            <w:r w:rsidRPr="00207412">
              <w:rPr>
                <w:rFonts w:ascii="Times New Roman" w:hAnsi="Times New Roman"/>
                <w:sz w:val="24"/>
              </w:rPr>
              <w:t>575/2013</w:t>
            </w:r>
          </w:p>
          <w:p w14:paraId="779600D5" w14:textId="0179DDDD" w:rsidR="005970B6" w:rsidRPr="00207412" w:rsidRDefault="005970B6" w:rsidP="004C445F">
            <w:pPr>
              <w:suppressAutoHyphens/>
              <w:autoSpaceDE w:val="0"/>
              <w:autoSpaceDN w:val="0"/>
              <w:adjustRightInd w:val="0"/>
              <w:spacing w:before="0" w:after="0"/>
              <w:rPr>
                <w:rStyle w:val="InstructionsTabelleberschrift"/>
              </w:rPr>
            </w:pPr>
            <w:r w:rsidRPr="00207412">
              <w:rPr>
                <w:rFonts w:ascii="Times New Roman" w:hAnsi="Times New Roman"/>
                <w:sz w:val="24"/>
              </w:rPr>
              <w:t>Vykazujú sa multiplikačné koeficienty, ktoré sú reálne uplatniteľné na výpočet požiadaviek na vlastné zdroje;</w:t>
            </w:r>
            <w:r w:rsidR="00207412">
              <w:rPr>
                <w:rFonts w:ascii="Times New Roman" w:hAnsi="Times New Roman"/>
                <w:sz w:val="24"/>
              </w:rPr>
              <w:t xml:space="preserve"> v </w:t>
            </w:r>
            <w:r w:rsidRPr="00207412">
              <w:rPr>
                <w:rFonts w:ascii="Times New Roman" w:hAnsi="Times New Roman"/>
                <w:sz w:val="24"/>
              </w:rPr>
              <w:t xml:space="preserve">náležitých prípadoch po uplatnení článku 500c nariadenia (EÚ) </w:t>
            </w:r>
            <w:r w:rsidR="00207412">
              <w:rPr>
                <w:rFonts w:ascii="Times New Roman" w:hAnsi="Times New Roman"/>
                <w:sz w:val="24"/>
              </w:rPr>
              <w:t>č. </w:t>
            </w:r>
            <w:r w:rsidRPr="00207412">
              <w:rPr>
                <w:rFonts w:ascii="Times New Roman" w:hAnsi="Times New Roman"/>
                <w:sz w:val="24"/>
              </w:rPr>
              <w:t>575/2013.</w:t>
            </w:r>
          </w:p>
          <w:p w14:paraId="50AAD27B"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lang w:eastAsia="fr-FR"/>
              </w:rPr>
            </w:pPr>
          </w:p>
        </w:tc>
      </w:tr>
      <w:tr w:rsidR="005970B6" w:rsidRPr="00207412" w14:paraId="470DEC4A" w14:textId="77777777">
        <w:tc>
          <w:tcPr>
            <w:tcW w:w="993" w:type="dxa"/>
          </w:tcPr>
          <w:p w14:paraId="3AFAF47E"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0170 – 0180</w:t>
            </w:r>
          </w:p>
        </w:tc>
        <w:tc>
          <w:tcPr>
            <w:tcW w:w="7869" w:type="dxa"/>
          </w:tcPr>
          <w:p w14:paraId="48824995"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PREDPOKLADANÁ POŽIADAVKA NA DOLNÉ OHRANIČENIE KORELAČNÉHO OBCHODNÉHO PORTFÓLIA – VÁŽENÉ ČISTÉ DLHÉ/KRÁTKE POZÍCIE PO HORNOM OHRANIČENÍ</w:t>
            </w:r>
          </w:p>
          <w:p w14:paraId="494DC1BB" w14:textId="4B3F416D" w:rsidR="005970B6" w:rsidRPr="00207412" w:rsidRDefault="005970B6" w:rsidP="004C445F">
            <w:pPr>
              <w:suppressAutoHyphens/>
              <w:autoSpaceDE w:val="0"/>
              <w:autoSpaceDN w:val="0"/>
              <w:adjustRightInd w:val="0"/>
              <w:rPr>
                <w:rStyle w:val="InstructionsTabelleberschrift"/>
                <w:rFonts w:ascii="Times New Roman" w:hAnsi="Times New Roman"/>
                <w:sz w:val="24"/>
              </w:rPr>
            </w:pPr>
            <w:r w:rsidRPr="00207412">
              <w:rPr>
                <w:rFonts w:ascii="Times New Roman" w:hAnsi="Times New Roman"/>
                <w:sz w:val="24"/>
              </w:rPr>
              <w:t xml:space="preserve">Vykazovaná hodnota slúžiaca ako základ na výpočet minimálnej kapitálovej požiadavky pre všetky cenové riziká podľa článku 364 ods. 3 písm. c) nariadenia (EÚ) </w:t>
            </w:r>
            <w:r w:rsidR="00207412">
              <w:rPr>
                <w:rFonts w:ascii="Times New Roman" w:hAnsi="Times New Roman"/>
                <w:sz w:val="24"/>
              </w:rPr>
              <w:t>č. </w:t>
            </w:r>
            <w:r w:rsidRPr="00207412">
              <w:rPr>
                <w:rFonts w:ascii="Times New Roman" w:hAnsi="Times New Roman"/>
                <w:sz w:val="24"/>
              </w:rPr>
              <w:t>575/2013, zohľadňujúc možnosť stanovenú</w:t>
            </w:r>
            <w:r w:rsidR="00207412">
              <w:rPr>
                <w:rFonts w:ascii="Times New Roman" w:hAnsi="Times New Roman"/>
                <w:sz w:val="24"/>
              </w:rPr>
              <w:t xml:space="preserve"> v </w:t>
            </w:r>
            <w:r w:rsidRPr="00207412">
              <w:rPr>
                <w:rFonts w:ascii="Times New Roman" w:hAnsi="Times New Roman"/>
                <w:sz w:val="24"/>
              </w:rPr>
              <w:t>článku 335 uvedeného nariadenia,</w:t>
            </w:r>
            <w:r w:rsidR="00207412">
              <w:rPr>
                <w:rFonts w:ascii="Times New Roman" w:hAnsi="Times New Roman"/>
                <w:sz w:val="24"/>
              </w:rPr>
              <w:t xml:space="preserve"> v </w:t>
            </w:r>
            <w:r w:rsidRPr="00207412">
              <w:rPr>
                <w:rFonts w:ascii="Times New Roman" w:hAnsi="Times New Roman"/>
                <w:sz w:val="24"/>
              </w:rPr>
              <w:t>ktorej sa stanovuje, že inštitúcia môže stanoviť horné ohraničenie súčinu váhy</w:t>
            </w:r>
            <w:r w:rsidR="00207412">
              <w:rPr>
                <w:rFonts w:ascii="Times New Roman" w:hAnsi="Times New Roman"/>
                <w:sz w:val="24"/>
              </w:rPr>
              <w:t xml:space="preserve"> a </w:t>
            </w:r>
            <w:r w:rsidRPr="00207412">
              <w:rPr>
                <w:rFonts w:ascii="Times New Roman" w:hAnsi="Times New Roman"/>
                <w:sz w:val="24"/>
              </w:rPr>
              <w:t>čistej pozície vo výške maximálnej možnej straty súvisiacej</w:t>
            </w:r>
            <w:r w:rsidR="00207412">
              <w:rPr>
                <w:rFonts w:ascii="Times New Roman" w:hAnsi="Times New Roman"/>
                <w:sz w:val="24"/>
              </w:rPr>
              <w:t xml:space="preserve"> s </w:t>
            </w:r>
            <w:r w:rsidRPr="00207412">
              <w:rPr>
                <w:rFonts w:ascii="Times New Roman" w:hAnsi="Times New Roman"/>
                <w:sz w:val="24"/>
              </w:rPr>
              <w:t xml:space="preserve">rizikom zlyhania. </w:t>
            </w:r>
          </w:p>
        </w:tc>
      </w:tr>
    </w:tbl>
    <w:p w14:paraId="7C2EA60D" w14:textId="77777777" w:rsidR="005970B6" w:rsidRPr="00207412" w:rsidRDefault="005970B6" w:rsidP="004C445F">
      <w:pPr>
        <w:suppressAutoHyphens/>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5970B6" w:rsidRPr="00207412" w14:paraId="708AEEEE" w14:textId="77777777" w:rsidTr="00332B2A">
        <w:trPr>
          <w:trHeight w:val="566"/>
        </w:trPr>
        <w:tc>
          <w:tcPr>
            <w:tcW w:w="8896" w:type="dxa"/>
            <w:gridSpan w:val="2"/>
            <w:shd w:val="clear" w:color="auto" w:fill="CCCCCC"/>
          </w:tcPr>
          <w:p w14:paraId="24A53264" w14:textId="77777777" w:rsidR="005970B6" w:rsidRPr="00207412" w:rsidRDefault="005970B6" w:rsidP="004C445F">
            <w:pPr>
              <w:suppressAutoHyphens/>
              <w:autoSpaceDE w:val="0"/>
              <w:autoSpaceDN w:val="0"/>
              <w:adjustRightInd w:val="0"/>
              <w:spacing w:after="0"/>
              <w:rPr>
                <w:rFonts w:ascii="Times New Roman" w:hAnsi="Times New Roman"/>
                <w:b/>
                <w:sz w:val="24"/>
              </w:rPr>
            </w:pPr>
            <w:r w:rsidRPr="00207412">
              <w:rPr>
                <w:rFonts w:ascii="Times New Roman" w:hAnsi="Times New Roman"/>
                <w:b/>
                <w:sz w:val="24"/>
              </w:rPr>
              <w:t>Riadky</w:t>
            </w:r>
          </w:p>
        </w:tc>
      </w:tr>
      <w:tr w:rsidR="005970B6" w:rsidRPr="00207412" w14:paraId="02CF19A0" w14:textId="77777777" w:rsidTr="00332B2A">
        <w:tc>
          <w:tcPr>
            <w:tcW w:w="993" w:type="dxa"/>
          </w:tcPr>
          <w:p w14:paraId="1CFD210A"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0010</w:t>
            </w:r>
          </w:p>
        </w:tc>
        <w:tc>
          <w:tcPr>
            <w:tcW w:w="7903" w:type="dxa"/>
          </w:tcPr>
          <w:p w14:paraId="35E94AC9"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CELKOVÉ POZÍCIE</w:t>
            </w:r>
          </w:p>
          <w:p w14:paraId="51E6C5CE"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1D3F3FF0" w14:textId="1277FDEB" w:rsidR="005970B6" w:rsidRPr="00207412" w:rsidRDefault="005970B6" w:rsidP="004C445F">
            <w:pPr>
              <w:suppressAutoHyphens/>
              <w:autoSpaceDE w:val="0"/>
              <w:autoSpaceDN w:val="0"/>
              <w:adjustRightInd w:val="0"/>
              <w:spacing w:before="0"/>
              <w:rPr>
                <w:rFonts w:ascii="Times New Roman" w:hAnsi="Times New Roman"/>
                <w:sz w:val="24"/>
              </w:rPr>
            </w:pPr>
            <w:r w:rsidRPr="00207412">
              <w:rPr>
                <w:rFonts w:ascii="Times New Roman" w:hAnsi="Times New Roman"/>
                <w:sz w:val="24"/>
              </w:rPr>
              <w:t>Zodpovedá časti pozičného, devízového</w:t>
            </w:r>
            <w:r w:rsidR="00207412">
              <w:rPr>
                <w:rFonts w:ascii="Times New Roman" w:hAnsi="Times New Roman"/>
                <w:sz w:val="24"/>
              </w:rPr>
              <w:t xml:space="preserve"> a </w:t>
            </w:r>
            <w:r w:rsidRPr="00207412">
              <w:rPr>
                <w:rFonts w:ascii="Times New Roman" w:hAnsi="Times New Roman"/>
                <w:sz w:val="24"/>
              </w:rPr>
              <w:t>komoditného rizika uvedenej</w:t>
            </w:r>
            <w:r w:rsidR="00207412">
              <w:rPr>
                <w:rFonts w:ascii="Times New Roman" w:hAnsi="Times New Roman"/>
                <w:sz w:val="24"/>
              </w:rPr>
              <w:t xml:space="preserve"> v </w:t>
            </w:r>
            <w:r w:rsidRPr="00207412">
              <w:rPr>
                <w:rFonts w:ascii="Times New Roman" w:hAnsi="Times New Roman"/>
                <w:sz w:val="24"/>
              </w:rPr>
              <w:t xml:space="preserve">článku 363 ods. 1 nariadenia (EÚ) </w:t>
            </w:r>
            <w:r w:rsidR="00207412">
              <w:rPr>
                <w:rFonts w:ascii="Times New Roman" w:hAnsi="Times New Roman"/>
                <w:sz w:val="24"/>
              </w:rPr>
              <w:t>č. </w:t>
            </w:r>
            <w:r w:rsidRPr="00207412">
              <w:rPr>
                <w:rFonts w:ascii="Times New Roman" w:hAnsi="Times New Roman"/>
                <w:sz w:val="24"/>
              </w:rPr>
              <w:t>575/2013 spojenej</w:t>
            </w:r>
            <w:r w:rsidR="00207412">
              <w:rPr>
                <w:rFonts w:ascii="Times New Roman" w:hAnsi="Times New Roman"/>
                <w:sz w:val="24"/>
              </w:rPr>
              <w:t xml:space="preserve"> s </w:t>
            </w:r>
            <w:r w:rsidRPr="00207412">
              <w:rPr>
                <w:rFonts w:ascii="Times New Roman" w:hAnsi="Times New Roman"/>
                <w:sz w:val="24"/>
              </w:rPr>
              <w:t>rizikovými faktormi uvedenými</w:t>
            </w:r>
            <w:r w:rsidR="00207412">
              <w:rPr>
                <w:rFonts w:ascii="Times New Roman" w:hAnsi="Times New Roman"/>
                <w:sz w:val="24"/>
              </w:rPr>
              <w:t xml:space="preserve"> v </w:t>
            </w:r>
            <w:r w:rsidRPr="00207412">
              <w:rPr>
                <w:rFonts w:ascii="Times New Roman" w:hAnsi="Times New Roman"/>
                <w:sz w:val="24"/>
              </w:rPr>
              <w:t>článku 367 ods. 2 uvedeného nariadenia.</w:t>
            </w:r>
          </w:p>
          <w:p w14:paraId="1E849456" w14:textId="77A1AB8E"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lastRenderedPageBreak/>
              <w:t>Pokiaľ ide</w:t>
            </w:r>
            <w:r w:rsidR="00207412">
              <w:rPr>
                <w:rFonts w:ascii="Times New Roman" w:hAnsi="Times New Roman"/>
                <w:sz w:val="24"/>
              </w:rPr>
              <w:t xml:space="preserve"> o </w:t>
            </w:r>
            <w:r w:rsidRPr="00207412">
              <w:rPr>
                <w:rFonts w:ascii="Times New Roman" w:hAnsi="Times New Roman"/>
                <w:sz w:val="24"/>
              </w:rPr>
              <w:t>stĺpce 0030 až 0060 (VaR</w:t>
            </w:r>
            <w:r w:rsidR="00207412">
              <w:rPr>
                <w:rFonts w:ascii="Times New Roman" w:hAnsi="Times New Roman"/>
                <w:sz w:val="24"/>
              </w:rPr>
              <w:t xml:space="preserve"> a </w:t>
            </w:r>
            <w:r w:rsidRPr="00207412">
              <w:rPr>
                <w:rFonts w:ascii="Times New Roman" w:hAnsi="Times New Roman"/>
                <w:sz w:val="24"/>
              </w:rPr>
              <w:t>sVaR), hodnoty</w:t>
            </w:r>
            <w:r w:rsidR="00207412">
              <w:rPr>
                <w:rFonts w:ascii="Times New Roman" w:hAnsi="Times New Roman"/>
                <w:sz w:val="24"/>
              </w:rPr>
              <w:t xml:space="preserve"> v </w:t>
            </w:r>
            <w:r w:rsidRPr="00207412">
              <w:rPr>
                <w:rFonts w:ascii="Times New Roman" w:hAnsi="Times New Roman"/>
                <w:sz w:val="24"/>
              </w:rPr>
              <w:t>riadku spolu sa nerovnajú rozloženiu hodnôt pre VaR/sVaR relevantných zložiek rizika.</w:t>
            </w:r>
          </w:p>
          <w:p w14:paraId="5F3B58EB" w14:textId="77777777" w:rsidR="005970B6" w:rsidRPr="00207412" w:rsidRDefault="005970B6" w:rsidP="004C445F">
            <w:pPr>
              <w:suppressAutoHyphens/>
              <w:autoSpaceDE w:val="0"/>
              <w:autoSpaceDN w:val="0"/>
              <w:adjustRightInd w:val="0"/>
              <w:spacing w:before="0" w:after="0"/>
              <w:rPr>
                <w:rFonts w:ascii="Times New Roman" w:hAnsi="Times New Roman"/>
                <w:sz w:val="24"/>
                <w:lang w:eastAsia="fr-FR"/>
              </w:rPr>
            </w:pPr>
          </w:p>
        </w:tc>
      </w:tr>
      <w:tr w:rsidR="005970B6" w:rsidRPr="00207412" w14:paraId="38DA43E4" w14:textId="77777777" w:rsidTr="00332B2A">
        <w:tc>
          <w:tcPr>
            <w:tcW w:w="993" w:type="dxa"/>
          </w:tcPr>
          <w:p w14:paraId="5E16B1F7"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lastRenderedPageBreak/>
              <w:t>0020</w:t>
            </w:r>
          </w:p>
        </w:tc>
        <w:tc>
          <w:tcPr>
            <w:tcW w:w="7903" w:type="dxa"/>
          </w:tcPr>
          <w:p w14:paraId="27B63C55"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OBCHODOVANÉ DLHOVÉ NÁSTROJE (TDI)</w:t>
            </w:r>
          </w:p>
          <w:p w14:paraId="15354D11" w14:textId="7540F01C" w:rsidR="005970B6" w:rsidRPr="00207412" w:rsidRDefault="005970B6" w:rsidP="004C445F">
            <w:pPr>
              <w:suppressAutoHyphens/>
              <w:autoSpaceDE w:val="0"/>
              <w:autoSpaceDN w:val="0"/>
              <w:adjustRightInd w:val="0"/>
              <w:rPr>
                <w:rFonts w:ascii="Times New Roman" w:hAnsi="Times New Roman"/>
                <w:sz w:val="24"/>
              </w:rPr>
            </w:pPr>
            <w:r w:rsidRPr="00207412">
              <w:rPr>
                <w:rFonts w:ascii="Times New Roman" w:hAnsi="Times New Roman"/>
                <w:sz w:val="24"/>
              </w:rPr>
              <w:t>Zodpovedá časti pozičného rizika uvedenej</w:t>
            </w:r>
            <w:r w:rsidR="00207412">
              <w:rPr>
                <w:rFonts w:ascii="Times New Roman" w:hAnsi="Times New Roman"/>
                <w:sz w:val="24"/>
              </w:rPr>
              <w:t xml:space="preserve"> v </w:t>
            </w:r>
            <w:r w:rsidRPr="00207412">
              <w:rPr>
                <w:rFonts w:ascii="Times New Roman" w:hAnsi="Times New Roman"/>
                <w:sz w:val="24"/>
              </w:rPr>
              <w:t xml:space="preserve">článku 363 ods. 1 nariadenia (EÚ) </w:t>
            </w:r>
            <w:r w:rsidR="00207412">
              <w:rPr>
                <w:rFonts w:ascii="Times New Roman" w:hAnsi="Times New Roman"/>
                <w:sz w:val="24"/>
              </w:rPr>
              <w:t>č. </w:t>
            </w:r>
            <w:r w:rsidRPr="00207412">
              <w:rPr>
                <w:rFonts w:ascii="Times New Roman" w:hAnsi="Times New Roman"/>
                <w:sz w:val="24"/>
              </w:rPr>
              <w:t>575/2013 spojenej</w:t>
            </w:r>
            <w:r w:rsidR="00207412">
              <w:rPr>
                <w:rFonts w:ascii="Times New Roman" w:hAnsi="Times New Roman"/>
                <w:sz w:val="24"/>
              </w:rPr>
              <w:t xml:space="preserve"> s </w:t>
            </w:r>
            <w:r w:rsidRPr="00207412">
              <w:rPr>
                <w:rFonts w:ascii="Times New Roman" w:hAnsi="Times New Roman"/>
                <w:sz w:val="24"/>
              </w:rPr>
              <w:t>rizikovými faktormi uvedenými</w:t>
            </w:r>
            <w:r w:rsidR="00207412">
              <w:rPr>
                <w:rFonts w:ascii="Times New Roman" w:hAnsi="Times New Roman"/>
                <w:sz w:val="24"/>
              </w:rPr>
              <w:t xml:space="preserve"> v </w:t>
            </w:r>
            <w:r w:rsidRPr="00207412">
              <w:rPr>
                <w:rFonts w:ascii="Times New Roman" w:hAnsi="Times New Roman"/>
                <w:sz w:val="24"/>
              </w:rPr>
              <w:t>článku 367 ods. 2 písm. a) uvedeného nariadenia.</w:t>
            </w:r>
          </w:p>
        </w:tc>
      </w:tr>
      <w:tr w:rsidR="005970B6" w:rsidRPr="00207412" w14:paraId="49E5F163" w14:textId="77777777" w:rsidTr="00332B2A">
        <w:tc>
          <w:tcPr>
            <w:tcW w:w="993" w:type="dxa"/>
          </w:tcPr>
          <w:p w14:paraId="286B5CF1"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0030</w:t>
            </w:r>
          </w:p>
        </w:tc>
        <w:tc>
          <w:tcPr>
            <w:tcW w:w="7903" w:type="dxa"/>
          </w:tcPr>
          <w:p w14:paraId="39D95E98"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TDI – VŠEOBECNÉ RIZIKO</w:t>
            </w:r>
          </w:p>
          <w:p w14:paraId="630ECD46" w14:textId="0AD3DE03" w:rsidR="005970B6" w:rsidRPr="00207412" w:rsidRDefault="005970B6" w:rsidP="004C445F">
            <w:pPr>
              <w:suppressAutoHyphens/>
              <w:autoSpaceDE w:val="0"/>
              <w:autoSpaceDN w:val="0"/>
              <w:adjustRightInd w:val="0"/>
              <w:rPr>
                <w:rFonts w:ascii="Times New Roman" w:hAnsi="Times New Roman"/>
                <w:sz w:val="24"/>
              </w:rPr>
            </w:pPr>
            <w:r w:rsidRPr="00207412">
              <w:rPr>
                <w:rFonts w:ascii="Times New Roman" w:hAnsi="Times New Roman"/>
                <w:sz w:val="24"/>
              </w:rPr>
              <w:t xml:space="preserve">Zložka všeobecného rizika podľa článku 362 nariadenia (EÚ) </w:t>
            </w:r>
            <w:r w:rsidR="00207412">
              <w:rPr>
                <w:rFonts w:ascii="Times New Roman" w:hAnsi="Times New Roman"/>
                <w:sz w:val="24"/>
              </w:rPr>
              <w:t>č. </w:t>
            </w:r>
            <w:r w:rsidRPr="00207412">
              <w:rPr>
                <w:rFonts w:ascii="Times New Roman" w:hAnsi="Times New Roman"/>
                <w:sz w:val="24"/>
              </w:rPr>
              <w:t xml:space="preserve">575/2013 </w:t>
            </w:r>
          </w:p>
        </w:tc>
      </w:tr>
      <w:tr w:rsidR="005970B6" w:rsidRPr="00207412" w14:paraId="2085F588" w14:textId="77777777" w:rsidTr="00332B2A">
        <w:tc>
          <w:tcPr>
            <w:tcW w:w="993" w:type="dxa"/>
          </w:tcPr>
          <w:p w14:paraId="156A3F94"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0040</w:t>
            </w:r>
          </w:p>
        </w:tc>
        <w:tc>
          <w:tcPr>
            <w:tcW w:w="7903" w:type="dxa"/>
          </w:tcPr>
          <w:p w14:paraId="2815D7B9"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TDI – ŠPECIFICKÉ RIZIKO</w:t>
            </w:r>
          </w:p>
          <w:p w14:paraId="6901AE92" w14:textId="77777777" w:rsidR="005970B6" w:rsidRPr="00207412" w:rsidRDefault="005970B6" w:rsidP="004C445F">
            <w:pPr>
              <w:suppressAutoHyphens/>
              <w:autoSpaceDE w:val="0"/>
              <w:autoSpaceDN w:val="0"/>
              <w:adjustRightInd w:val="0"/>
              <w:spacing w:before="0" w:after="0"/>
              <w:rPr>
                <w:rFonts w:ascii="Times New Roman" w:hAnsi="Times New Roman"/>
                <w:sz w:val="24"/>
                <w:lang w:eastAsia="de-DE"/>
              </w:rPr>
            </w:pPr>
          </w:p>
          <w:p w14:paraId="0092F321" w14:textId="722B2D0F" w:rsidR="005970B6" w:rsidRPr="00207412" w:rsidRDefault="005970B6" w:rsidP="004C445F">
            <w:pPr>
              <w:suppressAutoHyphens/>
              <w:autoSpaceDE w:val="0"/>
              <w:autoSpaceDN w:val="0"/>
              <w:adjustRightInd w:val="0"/>
              <w:rPr>
                <w:rFonts w:ascii="Times New Roman" w:hAnsi="Times New Roman"/>
                <w:b/>
                <w:bCs/>
                <w:sz w:val="24"/>
                <w:u w:val="single"/>
              </w:rPr>
            </w:pPr>
            <w:r w:rsidRPr="00207412">
              <w:rPr>
                <w:rFonts w:ascii="Times New Roman" w:hAnsi="Times New Roman"/>
                <w:sz w:val="24"/>
              </w:rPr>
              <w:t xml:space="preserve">Zložka špecifického rizika podľa článku 362 nariadenia (EÚ) </w:t>
            </w:r>
            <w:r w:rsidR="00207412">
              <w:rPr>
                <w:rFonts w:ascii="Times New Roman" w:hAnsi="Times New Roman"/>
                <w:sz w:val="24"/>
              </w:rPr>
              <w:t>č. </w:t>
            </w:r>
            <w:r w:rsidRPr="00207412">
              <w:rPr>
                <w:rFonts w:ascii="Times New Roman" w:hAnsi="Times New Roman"/>
                <w:sz w:val="24"/>
              </w:rPr>
              <w:t xml:space="preserve">575/2013. </w:t>
            </w:r>
          </w:p>
        </w:tc>
      </w:tr>
      <w:tr w:rsidR="005970B6" w:rsidRPr="00207412" w14:paraId="3B749D99" w14:textId="77777777" w:rsidTr="00332B2A">
        <w:tc>
          <w:tcPr>
            <w:tcW w:w="993" w:type="dxa"/>
          </w:tcPr>
          <w:p w14:paraId="4E293341"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0050</w:t>
            </w:r>
          </w:p>
        </w:tc>
        <w:tc>
          <w:tcPr>
            <w:tcW w:w="7903" w:type="dxa"/>
          </w:tcPr>
          <w:p w14:paraId="1DA02995"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KAPITÁLOVÉ CENNÉ PAPIERE</w:t>
            </w:r>
          </w:p>
          <w:p w14:paraId="2467F692" w14:textId="77777777" w:rsidR="005970B6" w:rsidRPr="00207412" w:rsidRDefault="005970B6" w:rsidP="004C445F">
            <w:pPr>
              <w:suppressAutoHyphens/>
              <w:autoSpaceDE w:val="0"/>
              <w:autoSpaceDN w:val="0"/>
              <w:adjustRightInd w:val="0"/>
              <w:spacing w:before="0" w:after="0"/>
              <w:rPr>
                <w:rFonts w:ascii="Times New Roman" w:hAnsi="Times New Roman"/>
                <w:sz w:val="24"/>
                <w:lang w:eastAsia="de-DE"/>
              </w:rPr>
            </w:pPr>
          </w:p>
          <w:p w14:paraId="44C5B4C5" w14:textId="46467D29" w:rsid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Zodpovedá časti pozičného rizika uvedenej</w:t>
            </w:r>
            <w:r w:rsidR="00207412">
              <w:rPr>
                <w:rFonts w:ascii="Times New Roman" w:hAnsi="Times New Roman"/>
                <w:sz w:val="24"/>
              </w:rPr>
              <w:t xml:space="preserve"> v </w:t>
            </w:r>
            <w:r w:rsidRPr="00207412">
              <w:rPr>
                <w:rFonts w:ascii="Times New Roman" w:hAnsi="Times New Roman"/>
                <w:sz w:val="24"/>
              </w:rPr>
              <w:t xml:space="preserve">článku 363 ods. 1 nariadenia (EÚ) </w:t>
            </w:r>
            <w:r w:rsidR="00207412">
              <w:rPr>
                <w:rFonts w:ascii="Times New Roman" w:hAnsi="Times New Roman"/>
                <w:sz w:val="24"/>
              </w:rPr>
              <w:t>č. </w:t>
            </w:r>
            <w:r w:rsidRPr="00207412">
              <w:rPr>
                <w:rFonts w:ascii="Times New Roman" w:hAnsi="Times New Roman"/>
                <w:sz w:val="24"/>
              </w:rPr>
              <w:t>575/2013 spojenej</w:t>
            </w:r>
            <w:r w:rsidR="00207412">
              <w:rPr>
                <w:rFonts w:ascii="Times New Roman" w:hAnsi="Times New Roman"/>
                <w:sz w:val="24"/>
              </w:rPr>
              <w:t xml:space="preserve"> s </w:t>
            </w:r>
            <w:r w:rsidRPr="00207412">
              <w:rPr>
                <w:rFonts w:ascii="Times New Roman" w:hAnsi="Times New Roman"/>
                <w:sz w:val="24"/>
              </w:rPr>
              <w:t>faktormi akciového rizika uvedenými</w:t>
            </w:r>
            <w:r w:rsidR="00207412">
              <w:rPr>
                <w:rFonts w:ascii="Times New Roman" w:hAnsi="Times New Roman"/>
                <w:sz w:val="24"/>
              </w:rPr>
              <w:t xml:space="preserve"> v </w:t>
            </w:r>
            <w:r w:rsidRPr="00207412">
              <w:rPr>
                <w:rFonts w:ascii="Times New Roman" w:hAnsi="Times New Roman"/>
                <w:sz w:val="24"/>
              </w:rPr>
              <w:t>článku 367 ods. 2 písm. c) uvedeného nariadenia</w:t>
            </w:r>
            <w:r w:rsidR="00207412">
              <w:rPr>
                <w:rFonts w:ascii="Times New Roman" w:hAnsi="Times New Roman"/>
                <w:sz w:val="24"/>
              </w:rPr>
              <w:t>.</w:t>
            </w:r>
          </w:p>
          <w:p w14:paraId="7E55C507" w14:textId="4AB60AB6" w:rsidR="005970B6" w:rsidRPr="00207412"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07412" w14:paraId="0B6B921A" w14:textId="77777777" w:rsidTr="00332B2A">
        <w:tc>
          <w:tcPr>
            <w:tcW w:w="993" w:type="dxa"/>
          </w:tcPr>
          <w:p w14:paraId="03CEBA65"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0060</w:t>
            </w:r>
          </w:p>
        </w:tc>
        <w:tc>
          <w:tcPr>
            <w:tcW w:w="7903" w:type="dxa"/>
          </w:tcPr>
          <w:p w14:paraId="2CD176EE"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KAPITÁLOVÉ CENNÉ PAPIERE – VŠEOBECNÉ RIZIKO</w:t>
            </w:r>
          </w:p>
          <w:p w14:paraId="7ACC51D0" w14:textId="3F589277" w:rsidR="005970B6" w:rsidRPr="00207412" w:rsidRDefault="005970B6" w:rsidP="004C445F">
            <w:pPr>
              <w:suppressAutoHyphens/>
              <w:autoSpaceDE w:val="0"/>
              <w:autoSpaceDN w:val="0"/>
              <w:adjustRightInd w:val="0"/>
              <w:rPr>
                <w:rFonts w:ascii="Times New Roman" w:hAnsi="Times New Roman"/>
                <w:b/>
                <w:bCs/>
                <w:sz w:val="24"/>
                <w:u w:val="single"/>
              </w:rPr>
            </w:pPr>
            <w:r w:rsidRPr="00207412">
              <w:rPr>
                <w:rFonts w:ascii="Times New Roman" w:hAnsi="Times New Roman"/>
                <w:sz w:val="24"/>
              </w:rPr>
              <w:t xml:space="preserve">Zložka všeobecného rizika podľa článku 362 nariadenia (EÚ) </w:t>
            </w:r>
            <w:r w:rsidR="00207412">
              <w:rPr>
                <w:rFonts w:ascii="Times New Roman" w:hAnsi="Times New Roman"/>
                <w:sz w:val="24"/>
              </w:rPr>
              <w:t>č. </w:t>
            </w:r>
            <w:r w:rsidRPr="00207412">
              <w:rPr>
                <w:rFonts w:ascii="Times New Roman" w:hAnsi="Times New Roman"/>
                <w:sz w:val="24"/>
              </w:rPr>
              <w:t>575/2013</w:t>
            </w:r>
          </w:p>
        </w:tc>
      </w:tr>
      <w:tr w:rsidR="005970B6" w:rsidRPr="00207412" w14:paraId="50D0A347" w14:textId="77777777" w:rsidTr="00332B2A">
        <w:tc>
          <w:tcPr>
            <w:tcW w:w="993" w:type="dxa"/>
          </w:tcPr>
          <w:p w14:paraId="38D09489"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0070</w:t>
            </w:r>
          </w:p>
        </w:tc>
        <w:tc>
          <w:tcPr>
            <w:tcW w:w="7903" w:type="dxa"/>
          </w:tcPr>
          <w:p w14:paraId="34DF223D"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KAPITÁLOVÉ CENNÉ PAPIERE – ŠPECIFICKÉ RIZIKO</w:t>
            </w:r>
          </w:p>
          <w:p w14:paraId="6F314929" w14:textId="1338A58E" w:rsidR="005970B6" w:rsidRPr="00207412" w:rsidRDefault="005970B6" w:rsidP="004C445F">
            <w:pPr>
              <w:suppressAutoHyphens/>
              <w:autoSpaceDE w:val="0"/>
              <w:autoSpaceDN w:val="0"/>
              <w:adjustRightInd w:val="0"/>
              <w:rPr>
                <w:rFonts w:ascii="Times New Roman" w:hAnsi="Times New Roman"/>
                <w:b/>
                <w:bCs/>
                <w:sz w:val="24"/>
                <w:u w:val="single"/>
              </w:rPr>
            </w:pPr>
            <w:r w:rsidRPr="00207412">
              <w:rPr>
                <w:rFonts w:ascii="Times New Roman" w:hAnsi="Times New Roman"/>
                <w:sz w:val="24"/>
              </w:rPr>
              <w:t xml:space="preserve">Zložka špecifického rizika podľa článku 362 nariadenia (EÚ) </w:t>
            </w:r>
            <w:r w:rsidR="00207412">
              <w:rPr>
                <w:rFonts w:ascii="Times New Roman" w:hAnsi="Times New Roman"/>
                <w:sz w:val="24"/>
              </w:rPr>
              <w:t>č. </w:t>
            </w:r>
            <w:r w:rsidRPr="00207412">
              <w:rPr>
                <w:rFonts w:ascii="Times New Roman" w:hAnsi="Times New Roman"/>
                <w:sz w:val="24"/>
              </w:rPr>
              <w:t xml:space="preserve">575/2013. </w:t>
            </w:r>
          </w:p>
        </w:tc>
      </w:tr>
      <w:tr w:rsidR="005970B6" w:rsidRPr="00207412" w14:paraId="5B986D45" w14:textId="77777777" w:rsidTr="00332B2A">
        <w:tc>
          <w:tcPr>
            <w:tcW w:w="993" w:type="dxa"/>
          </w:tcPr>
          <w:p w14:paraId="6F14BE85"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0080</w:t>
            </w:r>
          </w:p>
        </w:tc>
        <w:tc>
          <w:tcPr>
            <w:tcW w:w="7903" w:type="dxa"/>
          </w:tcPr>
          <w:p w14:paraId="09DDEB75"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DEVÍZOVÉ RIZIKO</w:t>
            </w:r>
          </w:p>
          <w:p w14:paraId="219E93CA" w14:textId="09BF87C7" w:rsidR="005970B6" w:rsidRPr="00207412" w:rsidRDefault="005970B6" w:rsidP="004C445F">
            <w:pPr>
              <w:suppressAutoHyphens/>
              <w:autoSpaceDE w:val="0"/>
              <w:autoSpaceDN w:val="0"/>
              <w:adjustRightInd w:val="0"/>
              <w:rPr>
                <w:rFonts w:ascii="Times New Roman" w:hAnsi="Times New Roman"/>
                <w:b/>
                <w:bCs/>
                <w:sz w:val="24"/>
                <w:u w:val="single"/>
              </w:rPr>
            </w:pPr>
            <w:r w:rsidRPr="00207412">
              <w:rPr>
                <w:rFonts w:ascii="Times New Roman" w:hAnsi="Times New Roman"/>
                <w:sz w:val="24"/>
              </w:rPr>
              <w:t>Článok 363 ods. 1</w:t>
            </w:r>
            <w:r w:rsidR="00207412">
              <w:rPr>
                <w:rFonts w:ascii="Times New Roman" w:hAnsi="Times New Roman"/>
                <w:sz w:val="24"/>
              </w:rPr>
              <w:t xml:space="preserve"> a </w:t>
            </w:r>
            <w:r w:rsidRPr="00207412">
              <w:rPr>
                <w:rFonts w:ascii="Times New Roman" w:hAnsi="Times New Roman"/>
                <w:sz w:val="24"/>
              </w:rPr>
              <w:t xml:space="preserve">článok 367 ods. 2 písm. b) nariadenia (EÚ) </w:t>
            </w:r>
            <w:r w:rsidR="00207412">
              <w:rPr>
                <w:rFonts w:ascii="Times New Roman" w:hAnsi="Times New Roman"/>
                <w:sz w:val="24"/>
              </w:rPr>
              <w:t>č. </w:t>
            </w:r>
            <w:r w:rsidRPr="00207412">
              <w:rPr>
                <w:rFonts w:ascii="Times New Roman" w:hAnsi="Times New Roman"/>
                <w:sz w:val="24"/>
              </w:rPr>
              <w:t>575/2013</w:t>
            </w:r>
          </w:p>
        </w:tc>
      </w:tr>
      <w:tr w:rsidR="005970B6" w:rsidRPr="00207412" w14:paraId="6242B7DB" w14:textId="77777777" w:rsidTr="00332B2A">
        <w:tc>
          <w:tcPr>
            <w:tcW w:w="993" w:type="dxa"/>
          </w:tcPr>
          <w:p w14:paraId="01A4D573"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0090</w:t>
            </w:r>
          </w:p>
        </w:tc>
        <w:tc>
          <w:tcPr>
            <w:tcW w:w="7903" w:type="dxa"/>
          </w:tcPr>
          <w:p w14:paraId="2B9D470A"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KOMODITNÉ RIZIKO</w:t>
            </w:r>
          </w:p>
          <w:p w14:paraId="4BBB0F31" w14:textId="0E8F3C73" w:rsidR="005970B6" w:rsidRPr="00207412" w:rsidRDefault="005970B6" w:rsidP="004C445F">
            <w:pPr>
              <w:suppressAutoHyphens/>
              <w:autoSpaceDE w:val="0"/>
              <w:autoSpaceDN w:val="0"/>
              <w:adjustRightInd w:val="0"/>
              <w:rPr>
                <w:rFonts w:ascii="Times New Roman" w:hAnsi="Times New Roman"/>
                <w:b/>
                <w:bCs/>
                <w:sz w:val="24"/>
                <w:u w:val="single"/>
              </w:rPr>
            </w:pPr>
            <w:r w:rsidRPr="00207412">
              <w:rPr>
                <w:rFonts w:ascii="Times New Roman" w:hAnsi="Times New Roman"/>
                <w:sz w:val="24"/>
              </w:rPr>
              <w:t>Článok 363 ods. 1</w:t>
            </w:r>
            <w:r w:rsidR="00207412">
              <w:rPr>
                <w:rFonts w:ascii="Times New Roman" w:hAnsi="Times New Roman"/>
                <w:sz w:val="24"/>
              </w:rPr>
              <w:t xml:space="preserve"> a </w:t>
            </w:r>
            <w:r w:rsidRPr="00207412">
              <w:rPr>
                <w:rFonts w:ascii="Times New Roman" w:hAnsi="Times New Roman"/>
                <w:sz w:val="24"/>
              </w:rPr>
              <w:t xml:space="preserve">článok 367 ods. 2 písm. d) nariadenia (EÚ) </w:t>
            </w:r>
            <w:r w:rsidR="00207412">
              <w:rPr>
                <w:rFonts w:ascii="Times New Roman" w:hAnsi="Times New Roman"/>
                <w:sz w:val="24"/>
              </w:rPr>
              <w:t>č. </w:t>
            </w:r>
            <w:r w:rsidRPr="00207412">
              <w:rPr>
                <w:rFonts w:ascii="Times New Roman" w:hAnsi="Times New Roman"/>
                <w:sz w:val="24"/>
              </w:rPr>
              <w:t xml:space="preserve">575/2013 </w:t>
            </w:r>
          </w:p>
        </w:tc>
      </w:tr>
      <w:tr w:rsidR="005970B6" w:rsidRPr="00207412" w14:paraId="5165C26D" w14:textId="77777777" w:rsidTr="00332B2A">
        <w:tc>
          <w:tcPr>
            <w:tcW w:w="993" w:type="dxa"/>
          </w:tcPr>
          <w:p w14:paraId="3494480B"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0100</w:t>
            </w:r>
          </w:p>
        </w:tc>
        <w:tc>
          <w:tcPr>
            <w:tcW w:w="7903" w:type="dxa"/>
          </w:tcPr>
          <w:p w14:paraId="379C8EA9"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CELKOVÁ HODNOTA PRE VŠEOBECNÉ RIZIKO</w:t>
            </w:r>
          </w:p>
          <w:p w14:paraId="0C19B9DF"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03ADEA7C" w14:textId="3F346556" w:rsidR="00207412" w:rsidRDefault="005970B6" w:rsidP="004C445F">
            <w:pPr>
              <w:suppressAutoHyphens/>
              <w:autoSpaceDE w:val="0"/>
              <w:autoSpaceDN w:val="0"/>
              <w:adjustRightInd w:val="0"/>
              <w:spacing w:before="0" w:after="0"/>
              <w:rPr>
                <w:rStyle w:val="InstructionsTabelleText"/>
                <w:rFonts w:ascii="Times New Roman" w:hAnsi="Times New Roman"/>
                <w:sz w:val="24"/>
              </w:rPr>
            </w:pPr>
            <w:r w:rsidRPr="00207412">
              <w:rPr>
                <w:rStyle w:val="InstructionsTabelleText"/>
                <w:rFonts w:ascii="Times New Roman" w:hAnsi="Times New Roman"/>
                <w:sz w:val="24"/>
              </w:rPr>
              <w:t>Trhové riziko spôsobené všeobecnými pohybmi obchodovaných dlhových nástrojov, kapitálových cenných papierov, devíz</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komodít na trhu. VaR pre všeobecné riziko všetkých rizikových faktorov (v náležitých prípadoch so zohľadnením účinkov korelácie)</w:t>
            </w:r>
            <w:r w:rsidR="00207412">
              <w:rPr>
                <w:rStyle w:val="InstructionsTabelleText"/>
                <w:rFonts w:ascii="Times New Roman" w:hAnsi="Times New Roman"/>
                <w:sz w:val="24"/>
              </w:rPr>
              <w:t>.</w:t>
            </w:r>
          </w:p>
          <w:p w14:paraId="58946EA6" w14:textId="6FB4BC6F" w:rsidR="005970B6" w:rsidRPr="00207412"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07412" w14:paraId="5EA545F0" w14:textId="77777777" w:rsidTr="00332B2A">
        <w:tc>
          <w:tcPr>
            <w:tcW w:w="993" w:type="dxa"/>
          </w:tcPr>
          <w:p w14:paraId="47E0AD8F" w14:textId="77777777" w:rsidR="005970B6" w:rsidRPr="00207412" w:rsidRDefault="005970B6" w:rsidP="004C445F">
            <w:pPr>
              <w:suppressAutoHyphens/>
              <w:autoSpaceDE w:val="0"/>
              <w:autoSpaceDN w:val="0"/>
              <w:adjustRightInd w:val="0"/>
              <w:spacing w:before="0" w:after="0"/>
              <w:rPr>
                <w:rFonts w:ascii="Times New Roman" w:hAnsi="Times New Roman"/>
                <w:sz w:val="24"/>
              </w:rPr>
            </w:pPr>
            <w:r w:rsidRPr="00207412">
              <w:rPr>
                <w:rFonts w:ascii="Times New Roman" w:hAnsi="Times New Roman"/>
                <w:sz w:val="24"/>
              </w:rPr>
              <w:t>0110</w:t>
            </w:r>
          </w:p>
        </w:tc>
        <w:tc>
          <w:tcPr>
            <w:tcW w:w="7903" w:type="dxa"/>
          </w:tcPr>
          <w:p w14:paraId="116F1840" w14:textId="77777777" w:rsidR="005970B6" w:rsidRPr="00207412" w:rsidRDefault="005970B6" w:rsidP="004C445F">
            <w:pPr>
              <w:suppressAutoHyphens/>
              <w:autoSpaceDE w:val="0"/>
              <w:autoSpaceDN w:val="0"/>
              <w:adjustRightInd w:val="0"/>
              <w:spacing w:before="0" w:after="0"/>
              <w:rPr>
                <w:rFonts w:ascii="Times New Roman" w:hAnsi="Times New Roman"/>
                <w:b/>
                <w:bCs/>
                <w:sz w:val="24"/>
                <w:u w:val="single"/>
              </w:rPr>
            </w:pPr>
            <w:r w:rsidRPr="00207412">
              <w:rPr>
                <w:rFonts w:ascii="Times New Roman" w:hAnsi="Times New Roman"/>
                <w:b/>
                <w:sz w:val="24"/>
                <w:u w:val="single"/>
              </w:rPr>
              <w:t>CELKOVÁ HODNOTA PRE ŠPECIFICKÉ RIZIKO</w:t>
            </w:r>
          </w:p>
          <w:p w14:paraId="6E0205CC" w14:textId="6F5E0FB9" w:rsidR="005970B6" w:rsidRPr="00207412" w:rsidRDefault="005970B6" w:rsidP="004C445F">
            <w:pPr>
              <w:suppressAutoHyphens/>
              <w:autoSpaceDE w:val="0"/>
              <w:autoSpaceDN w:val="0"/>
              <w:adjustRightInd w:val="0"/>
              <w:rPr>
                <w:rFonts w:ascii="Times New Roman" w:hAnsi="Times New Roman"/>
                <w:b/>
                <w:bCs/>
                <w:sz w:val="24"/>
                <w:u w:val="single"/>
              </w:rPr>
            </w:pPr>
            <w:r w:rsidRPr="00207412">
              <w:rPr>
                <w:rStyle w:val="InstructionsTabelleText"/>
                <w:rFonts w:ascii="Times New Roman" w:hAnsi="Times New Roman"/>
                <w:sz w:val="24"/>
              </w:rPr>
              <w:t>Zložka špecifického rizika obchodovaných dlhových nástrojov</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kapitálových cenných papierov. VaR pre špecifické riziko kapitálových cenných papierov</w:t>
            </w:r>
            <w:r w:rsidR="00207412">
              <w:rPr>
                <w:rStyle w:val="InstructionsTabelleText"/>
                <w:rFonts w:ascii="Times New Roman" w:hAnsi="Times New Roman"/>
                <w:sz w:val="24"/>
              </w:rPr>
              <w:t xml:space="preserve"> a </w:t>
            </w:r>
            <w:r w:rsidRPr="00207412">
              <w:rPr>
                <w:rStyle w:val="InstructionsTabelleText"/>
                <w:rFonts w:ascii="Times New Roman" w:hAnsi="Times New Roman"/>
                <w:sz w:val="24"/>
              </w:rPr>
              <w:t>obchodovaných dlhových nástrojov obchodnej knihy (v náležitých prípadoch so zohľadnením účinkov korelácie).</w:t>
            </w:r>
          </w:p>
        </w:tc>
      </w:tr>
    </w:tbl>
    <w:p w14:paraId="0578F882" w14:textId="77777777" w:rsidR="005970B6" w:rsidRPr="00207412" w:rsidRDefault="005970B6" w:rsidP="004C445F">
      <w:pPr>
        <w:suppressAutoHyphens/>
        <w:spacing w:before="0" w:after="0"/>
        <w:jc w:val="left"/>
        <w:rPr>
          <w:rStyle w:val="InstructionsTabelleText"/>
          <w:rFonts w:ascii="Times New Roman" w:hAnsi="Times New Roman"/>
          <w:sz w:val="24"/>
        </w:rPr>
      </w:pPr>
    </w:p>
    <w:p w14:paraId="59BBB927" w14:textId="10C25CE3" w:rsidR="00DD00B4" w:rsidRPr="00207412" w:rsidRDefault="0076375E" w:rsidP="004C445F">
      <w:pPr>
        <w:suppressAutoHyphens/>
        <w:spacing w:before="0" w:after="0"/>
        <w:jc w:val="left"/>
        <w:rPr>
          <w:rStyle w:val="InstructionsTabelleText"/>
          <w:rFonts w:ascii="Times New Roman" w:hAnsi="Times New Roman"/>
          <w:sz w:val="24"/>
        </w:rPr>
      </w:pPr>
      <w:r w:rsidRPr="00207412">
        <w:rPr>
          <w:rStyle w:val="InstructionsTabelleText"/>
          <w:rFonts w:ascii="Times New Roman" w:hAnsi="Times New Roman"/>
          <w:sz w:val="24"/>
        </w:rPr>
        <w:t>“</w:t>
      </w:r>
    </w:p>
    <w:sectPr w:rsidR="00DD00B4" w:rsidRPr="00207412" w:rsidSect="00B51F42">
      <w:headerReference w:type="even" r:id="rId17"/>
      <w:headerReference w:type="default" r:id="rId18"/>
      <w:footerReference w:type="even" r:id="rId19"/>
      <w:footerReference w:type="default" r:id="rId20"/>
      <w:headerReference w:type="first" r:id="rId2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A791" w14:textId="77777777" w:rsidR="00542EF3" w:rsidRDefault="00542EF3" w:rsidP="00D946DB">
      <w:pPr>
        <w:spacing w:before="0" w:after="0"/>
      </w:pPr>
      <w:r>
        <w:separator/>
      </w:r>
    </w:p>
  </w:endnote>
  <w:endnote w:type="continuationSeparator" w:id="0">
    <w:p w14:paraId="668B88FB" w14:textId="77777777" w:rsidR="00542EF3" w:rsidRDefault="00542EF3" w:rsidP="00D946DB">
      <w:pPr>
        <w:spacing w:before="0" w:after="0"/>
      </w:pPr>
      <w:r>
        <w:continuationSeparator/>
      </w:r>
    </w:p>
  </w:endnote>
  <w:endnote w:type="continuationNotice" w:id="1">
    <w:p w14:paraId="7DCE23A0" w14:textId="77777777" w:rsidR="00542EF3" w:rsidRDefault="00542EF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FB1" w14:textId="77777777" w:rsidR="004E7DCF" w:rsidRDefault="004E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85E" w14:textId="7A2643B3" w:rsidR="00C3070C" w:rsidRPr="00ED1956" w:rsidRDefault="00C3070C">
    <w:pPr>
      <w:pStyle w:val="Footer"/>
      <w:jc w:val="right"/>
      <w:rPr>
        <w:rFonts w:ascii="Times New Roman" w:hAnsi="Times New Roman"/>
        <w:sz w:val="22"/>
        <w:szCs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p>
  <w:p w14:paraId="4D97BBA9" w14:textId="77777777" w:rsidR="00C3070C" w:rsidRDefault="00C3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02A" w14:textId="7C6C6999" w:rsidR="00C3070C" w:rsidRPr="00E85358" w:rsidRDefault="00C3070C">
    <w:pPr>
      <w:pStyle w:val="Footer"/>
      <w:jc w:val="right"/>
      <w:rPr>
        <w:sz w:val="22"/>
        <w:szCs w:val="22"/>
      </w:rP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0503D57B" w14:textId="77777777" w:rsidR="00C3070C" w:rsidRDefault="00C30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C3070C" w:rsidRDefault="00C3070C">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t>3</w:t>
    </w:r>
    <w:r>
      <w:rPr>
        <w:rStyle w:val="PageNumber"/>
      </w:rPr>
      <w:fldChar w:fldCharType="end"/>
    </w:r>
  </w:p>
  <w:p w14:paraId="468B5799" w14:textId="77777777" w:rsidR="00C3070C" w:rsidRDefault="00C30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C3070C" w:rsidRPr="00ED1956" w:rsidRDefault="00C3070C">
    <w:pPr>
      <w:pStyle w:val="Footer"/>
      <w:jc w:val="right"/>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rPr>
      <w:t>4</w:t>
    </w:r>
    <w:r>
      <w:rPr>
        <w:rFonts w:ascii="Times New Roman" w:hAnsi="Times New Roman"/>
        <w:sz w:val="20"/>
      </w:rPr>
      <w:t>2</w:t>
    </w:r>
    <w:r>
      <w:rPr>
        <w:rFonts w:ascii="Times New Roman" w:hAnsi="Times New Roman"/>
        <w:sz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8F1AC" w14:textId="77777777" w:rsidR="00542EF3" w:rsidRDefault="00542EF3" w:rsidP="00D946DB">
      <w:pPr>
        <w:spacing w:before="0" w:after="0"/>
      </w:pPr>
      <w:r>
        <w:separator/>
      </w:r>
    </w:p>
  </w:footnote>
  <w:footnote w:type="continuationSeparator" w:id="0">
    <w:p w14:paraId="3FAC3A70" w14:textId="77777777" w:rsidR="00542EF3" w:rsidRDefault="00542EF3" w:rsidP="00D946DB">
      <w:pPr>
        <w:spacing w:before="0" w:after="0"/>
      </w:pPr>
      <w:r>
        <w:continuationSeparator/>
      </w:r>
    </w:p>
  </w:footnote>
  <w:footnote w:type="continuationNotice" w:id="1">
    <w:p w14:paraId="4410E6D4" w14:textId="77777777" w:rsidR="00542EF3" w:rsidRDefault="00542EF3">
      <w:pPr>
        <w:spacing w:before="0" w:after="0"/>
      </w:pPr>
    </w:p>
  </w:footnote>
  <w:footnote w:id="2">
    <w:p w14:paraId="3507A652" w14:textId="1546AF66" w:rsidR="00C3070C" w:rsidRPr="00B828CC" w:rsidRDefault="00C3070C" w:rsidP="00C91751">
      <w:r>
        <w:rPr>
          <w:rStyle w:val="FootnoteReference"/>
        </w:rPr>
        <w:footnoteRef/>
      </w:r>
      <w:r>
        <w:t xml:space="preserve"> </w:t>
      </w:r>
      <w:r>
        <w:rPr>
          <w:rFonts w:ascii="Times New Roman" w:hAnsi="Times New Roman"/>
        </w:rPr>
        <w:t>Delegované nariadenie Komisie (EÚ) č. 525/2014 z 12. marca 2014, ktorým sa dopĺňa nariadenie Európskeho parlamentu a Rady (EÚ) č. 575/2013, pokiaľ ide o regulačné technické predpisy týkajúce sa vymedzenia trhu (Ú. v. EÚ L 148, 20.5.2014, s. 15, ELI: http://data.europa.eu/eli/reg_del/2014/525/oj)</w:t>
      </w:r>
      <w:r>
        <w:rPr>
          <w:rFonts w:ascii="Times New Roman" w:hAnsi="Times New Roman"/>
          <w:i/>
        </w:rPr>
        <w:t>.</w:t>
      </w:r>
    </w:p>
  </w:footnote>
  <w:footnote w:id="3">
    <w:p w14:paraId="018474C7" w14:textId="4B859446" w:rsidR="00C3070C" w:rsidRPr="00A11C6E" w:rsidRDefault="00C3070C">
      <w:pPr>
        <w:pStyle w:val="FootnoteText"/>
      </w:pPr>
      <w:r>
        <w:rPr>
          <w:rStyle w:val="FootnoteReference"/>
        </w:rPr>
        <w:footnoteRef/>
      </w:r>
      <w:r>
        <w:t xml:space="preserve"> </w:t>
      </w:r>
      <w:r>
        <w:t>Vykonávacie nariadenie Komisie (EÚ) č. 945/2014 zo 4. septembra 2014, ktorým sa stanovujú vykonávacie technické predpisy, pokiaľ ide o relevantné primerane diverzifikované indexy podľa nariadenia Európskeho parlamentu a Rady (EÚ) č. 575/2013 (Ú. v. EÚ L 265, 5.9.2014, s. 3, ELI: http://data.europa.eu/eli/reg_impl/2014/945/oj).</w:t>
      </w:r>
    </w:p>
  </w:footnote>
  <w:footnote w:id="4">
    <w:p w14:paraId="22A9C113" w14:textId="5D688A5C" w:rsidR="0014702F" w:rsidRPr="006B7076" w:rsidRDefault="0014702F" w:rsidP="006B7076">
      <w:pPr>
        <w:pStyle w:val="FootnoteText"/>
        <w:jc w:val="left"/>
      </w:pPr>
      <w:r>
        <w:rPr>
          <w:rStyle w:val="FootnoteReference"/>
        </w:rPr>
        <w:footnoteRef/>
      </w:r>
      <w:r>
        <w:t xml:space="preserve"> </w:t>
      </w:r>
      <w:r>
        <w:t xml:space="preserve">Smernica </w:t>
      </w:r>
      <w:bookmarkStart w:id="129" w:name="_Hlk204078738"/>
      <w:r>
        <w:t>Európskeho parlamentu a Rady</w:t>
      </w:r>
      <w:bookmarkEnd w:id="129"/>
      <w:r>
        <w:t xml:space="preserve"> 2014/65/EÚ z 15. mája 2014 o trhoch s finančnými nástrojmi, ktorou sa mení smernica 2002/92/ES a smernica 2011/61/EÚ (Ú. v. EÚ L 173, 12.6.2014, s. 349, ELI: http://data.europa.eu/eli/dir/2014/65/oj).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71A" w14:textId="7B4511CB" w:rsidR="00C3070C" w:rsidRDefault="00C3070C">
    <w:pPr>
      <w:pStyle w:val="Header"/>
    </w:pPr>
    <w:r>
      <w:rPr>
        <w:noProof/>
      </w:rPr>
      <mc:AlternateContent>
        <mc:Choice Requires="wps">
          <w:drawing>
            <wp:anchor distT="0" distB="0" distL="0" distR="0" simplePos="0" relativeHeight="251658240" behindDoc="0" locked="0" layoutInCell="1" allowOverlap="1" wp14:anchorId="23C8943B" wp14:editId="41043202">
              <wp:simplePos x="635" y="635"/>
              <wp:positionH relativeFrom="leftMargin">
                <wp:align>left</wp:align>
              </wp:positionH>
              <wp:positionV relativeFrom="paragraph">
                <wp:posOffset>635</wp:posOffset>
              </wp:positionV>
              <wp:extent cx="443865" cy="443865"/>
              <wp:effectExtent l="0" t="0" r="3175" b="4445"/>
              <wp:wrapSquare wrapText="bothSides"/>
              <wp:docPr id="18" name="Text Box 18" descr="EBA – bežné použiti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EBA – bežné použitie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C8943B" id="_x0000_t202" coordsize="21600,21600" o:spt="202" path="m,l,21600r21600,l21600,xe">
              <v:stroke joinstyle="miter"/>
              <v:path gradientshapeok="t" o:connecttype="rect"/>
            </v:shapetype>
            <v:shape id="Text Box 18" o:spid="_x0000_s1026" type="#_x0000_t202" alt="EBA – bežné použiti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EBA – bežné použitie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757" w14:textId="77777777" w:rsidR="004E7DCF" w:rsidRDefault="004E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03B2" w14:textId="77777777" w:rsidR="004E7DCF" w:rsidRDefault="004E7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7C971337" w:rsidR="00C3070C" w:rsidRDefault="00C3070C">
    <w:pPr>
      <w:pStyle w:val="Header"/>
    </w:pPr>
    <w:r>
      <w:rPr>
        <w:noProof/>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 bežné použiti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EBA – bežné použitie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7" type="#_x0000_t202" alt="EBA – bežné použiti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EBA – bežné použitie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57E2581D" w:rsidR="00C3070C" w:rsidRDefault="00C30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0211D059" w:rsidR="00C3070C" w:rsidRDefault="00C3070C">
    <w:pPr>
      <w:rPr>
        <w:rFonts w:ascii="Arial" w:hAnsi="Arial" w:cs="Arial"/>
      </w:rPr>
    </w:pPr>
    <w:r>
      <w:rPr>
        <w:rFonts w:ascii="Arial" w:hAnsi="Arial"/>
        <w:noProof/>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 bežné použiti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EBA – bežné použitie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 bežné použiti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EBA – bežné použitie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E0F25"/>
    <w:multiLevelType w:val="hybridMultilevel"/>
    <w:tmpl w:val="756E5EA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C2500"/>
    <w:multiLevelType w:val="hybridMultilevel"/>
    <w:tmpl w:val="76A055C0"/>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027752466">
    <w:abstractNumId w:val="3"/>
  </w:num>
  <w:num w:numId="2" w16cid:durableId="873691100">
    <w:abstractNumId w:val="21"/>
  </w:num>
  <w:num w:numId="3" w16cid:durableId="64646718">
    <w:abstractNumId w:val="29"/>
  </w:num>
  <w:num w:numId="4" w16cid:durableId="2143423029">
    <w:abstractNumId w:val="15"/>
  </w:num>
  <w:num w:numId="5" w16cid:durableId="248462709">
    <w:abstractNumId w:val="24"/>
  </w:num>
  <w:num w:numId="6" w16cid:durableId="1615551260">
    <w:abstractNumId w:val="13"/>
  </w:num>
  <w:num w:numId="7" w16cid:durableId="1802721498">
    <w:abstractNumId w:val="28"/>
  </w:num>
  <w:num w:numId="8" w16cid:durableId="1196040528">
    <w:abstractNumId w:val="5"/>
  </w:num>
  <w:num w:numId="9" w16cid:durableId="394359329">
    <w:abstractNumId w:val="22"/>
  </w:num>
  <w:num w:numId="10" w16cid:durableId="919633677">
    <w:abstractNumId w:val="11"/>
  </w:num>
  <w:num w:numId="11" w16cid:durableId="666446483">
    <w:abstractNumId w:val="17"/>
  </w:num>
  <w:num w:numId="12" w16cid:durableId="1545752287">
    <w:abstractNumId w:val="6"/>
  </w:num>
  <w:num w:numId="13" w16cid:durableId="318656491">
    <w:abstractNumId w:val="23"/>
  </w:num>
  <w:num w:numId="14" w16cid:durableId="943851024">
    <w:abstractNumId w:val="20"/>
  </w:num>
  <w:num w:numId="15" w16cid:durableId="2068988913">
    <w:abstractNumId w:val="10"/>
  </w:num>
  <w:num w:numId="16" w16cid:durableId="750932434">
    <w:abstractNumId w:val="16"/>
  </w:num>
  <w:num w:numId="17" w16cid:durableId="1147473194">
    <w:abstractNumId w:val="9"/>
  </w:num>
  <w:num w:numId="18" w16cid:durableId="916598601">
    <w:abstractNumId w:val="25"/>
  </w:num>
  <w:num w:numId="19" w16cid:durableId="420293218">
    <w:abstractNumId w:val="4"/>
  </w:num>
  <w:num w:numId="20" w16cid:durableId="963775391">
    <w:abstractNumId w:val="14"/>
  </w:num>
  <w:num w:numId="21" w16cid:durableId="813450315">
    <w:abstractNumId w:val="2"/>
  </w:num>
  <w:num w:numId="22" w16cid:durableId="367880198">
    <w:abstractNumId w:val="12"/>
  </w:num>
  <w:num w:numId="23" w16cid:durableId="1272010103">
    <w:abstractNumId w:val="27"/>
  </w:num>
  <w:num w:numId="24" w16cid:durableId="1006593110">
    <w:abstractNumId w:val="1"/>
  </w:num>
  <w:num w:numId="25" w16cid:durableId="1965580885">
    <w:abstractNumId w:val="26"/>
  </w:num>
  <w:num w:numId="26" w16cid:durableId="402915401">
    <w:abstractNumId w:val="18"/>
  </w:num>
  <w:num w:numId="27" w16cid:durableId="627201129">
    <w:abstractNumId w:val="0"/>
  </w:num>
  <w:num w:numId="28" w16cid:durableId="297565844">
    <w:abstractNumId w:val="7"/>
  </w:num>
  <w:num w:numId="29" w16cid:durableId="1297876156">
    <w:abstractNumId w:val="19"/>
  </w:num>
  <w:num w:numId="30" w16cid:durableId="247811965">
    <w:abstractNumId w:val="8"/>
  </w:num>
  <w:num w:numId="31" w16cid:durableId="34455418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cs-CZ"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70"/>
    <w:rsid w:val="000017F3"/>
    <w:rsid w:val="00001AF1"/>
    <w:rsid w:val="000020E5"/>
    <w:rsid w:val="00002933"/>
    <w:rsid w:val="00002D28"/>
    <w:rsid w:val="00002E14"/>
    <w:rsid w:val="00004478"/>
    <w:rsid w:val="000044B7"/>
    <w:rsid w:val="00004978"/>
    <w:rsid w:val="00004D21"/>
    <w:rsid w:val="00004FE8"/>
    <w:rsid w:val="00005078"/>
    <w:rsid w:val="00005765"/>
    <w:rsid w:val="00005FFC"/>
    <w:rsid w:val="00007605"/>
    <w:rsid w:val="00007D0D"/>
    <w:rsid w:val="00010124"/>
    <w:rsid w:val="00011AFA"/>
    <w:rsid w:val="00011BD0"/>
    <w:rsid w:val="000120EB"/>
    <w:rsid w:val="00014890"/>
    <w:rsid w:val="00014DC3"/>
    <w:rsid w:val="0001693F"/>
    <w:rsid w:val="000169A0"/>
    <w:rsid w:val="00020200"/>
    <w:rsid w:val="00020516"/>
    <w:rsid w:val="00020857"/>
    <w:rsid w:val="00020AF9"/>
    <w:rsid w:val="000212B7"/>
    <w:rsid w:val="0002157C"/>
    <w:rsid w:val="00021A05"/>
    <w:rsid w:val="0002267E"/>
    <w:rsid w:val="00023102"/>
    <w:rsid w:val="000232E2"/>
    <w:rsid w:val="00023383"/>
    <w:rsid w:val="000242CC"/>
    <w:rsid w:val="000243CE"/>
    <w:rsid w:val="0002657F"/>
    <w:rsid w:val="00027235"/>
    <w:rsid w:val="00027D90"/>
    <w:rsid w:val="000313B7"/>
    <w:rsid w:val="00031FA5"/>
    <w:rsid w:val="000326C1"/>
    <w:rsid w:val="00032937"/>
    <w:rsid w:val="00033301"/>
    <w:rsid w:val="00033B7C"/>
    <w:rsid w:val="00033C55"/>
    <w:rsid w:val="00034431"/>
    <w:rsid w:val="000346A9"/>
    <w:rsid w:val="00034834"/>
    <w:rsid w:val="000359E1"/>
    <w:rsid w:val="00035DCC"/>
    <w:rsid w:val="00035E44"/>
    <w:rsid w:val="000364CE"/>
    <w:rsid w:val="00037093"/>
    <w:rsid w:val="000377CC"/>
    <w:rsid w:val="00037FCC"/>
    <w:rsid w:val="00041480"/>
    <w:rsid w:val="000433C4"/>
    <w:rsid w:val="00043C7C"/>
    <w:rsid w:val="00045036"/>
    <w:rsid w:val="0004590F"/>
    <w:rsid w:val="00050E97"/>
    <w:rsid w:val="00052CAE"/>
    <w:rsid w:val="000530BC"/>
    <w:rsid w:val="0005400A"/>
    <w:rsid w:val="000548A2"/>
    <w:rsid w:val="0005609F"/>
    <w:rsid w:val="000565B6"/>
    <w:rsid w:val="00056C0F"/>
    <w:rsid w:val="00056C8D"/>
    <w:rsid w:val="00057154"/>
    <w:rsid w:val="00057362"/>
    <w:rsid w:val="0005746D"/>
    <w:rsid w:val="00061C24"/>
    <w:rsid w:val="00061E48"/>
    <w:rsid w:val="00062A1F"/>
    <w:rsid w:val="00063085"/>
    <w:rsid w:val="00063B3F"/>
    <w:rsid w:val="00064158"/>
    <w:rsid w:val="0006666B"/>
    <w:rsid w:val="00067DC1"/>
    <w:rsid w:val="00067EEA"/>
    <w:rsid w:val="00070113"/>
    <w:rsid w:val="00070518"/>
    <w:rsid w:val="00070AF9"/>
    <w:rsid w:val="00070E18"/>
    <w:rsid w:val="00071341"/>
    <w:rsid w:val="00071622"/>
    <w:rsid w:val="000716F4"/>
    <w:rsid w:val="00071D95"/>
    <w:rsid w:val="000726BC"/>
    <w:rsid w:val="000737D3"/>
    <w:rsid w:val="000758FE"/>
    <w:rsid w:val="00076091"/>
    <w:rsid w:val="000763E0"/>
    <w:rsid w:val="00076880"/>
    <w:rsid w:val="00077C5F"/>
    <w:rsid w:val="00080DDC"/>
    <w:rsid w:val="0008111C"/>
    <w:rsid w:val="0008126E"/>
    <w:rsid w:val="00082265"/>
    <w:rsid w:val="000828C6"/>
    <w:rsid w:val="00084339"/>
    <w:rsid w:val="000843B3"/>
    <w:rsid w:val="00084A4D"/>
    <w:rsid w:val="00085019"/>
    <w:rsid w:val="000858A9"/>
    <w:rsid w:val="000860B6"/>
    <w:rsid w:val="00086A31"/>
    <w:rsid w:val="00086C6E"/>
    <w:rsid w:val="00087700"/>
    <w:rsid w:val="00087E1A"/>
    <w:rsid w:val="000903FA"/>
    <w:rsid w:val="000904F3"/>
    <w:rsid w:val="00090583"/>
    <w:rsid w:val="000911FE"/>
    <w:rsid w:val="0009195D"/>
    <w:rsid w:val="00091CBC"/>
    <w:rsid w:val="000921E0"/>
    <w:rsid w:val="0009290C"/>
    <w:rsid w:val="00092F67"/>
    <w:rsid w:val="00093686"/>
    <w:rsid w:val="00093BF7"/>
    <w:rsid w:val="00094D25"/>
    <w:rsid w:val="00095191"/>
    <w:rsid w:val="00095CAD"/>
    <w:rsid w:val="00096566"/>
    <w:rsid w:val="00096876"/>
    <w:rsid w:val="0009761E"/>
    <w:rsid w:val="00097A17"/>
    <w:rsid w:val="00097C81"/>
    <w:rsid w:val="00097E91"/>
    <w:rsid w:val="000A0FC4"/>
    <w:rsid w:val="000A1955"/>
    <w:rsid w:val="000A368E"/>
    <w:rsid w:val="000A3B1A"/>
    <w:rsid w:val="000A46E0"/>
    <w:rsid w:val="000A4B61"/>
    <w:rsid w:val="000A4C10"/>
    <w:rsid w:val="000A57BC"/>
    <w:rsid w:val="000A6BBC"/>
    <w:rsid w:val="000A7D27"/>
    <w:rsid w:val="000A7F37"/>
    <w:rsid w:val="000B0694"/>
    <w:rsid w:val="000B0B09"/>
    <w:rsid w:val="000B0E46"/>
    <w:rsid w:val="000B0EBE"/>
    <w:rsid w:val="000B13A1"/>
    <w:rsid w:val="000B22F6"/>
    <w:rsid w:val="000B267A"/>
    <w:rsid w:val="000B3C33"/>
    <w:rsid w:val="000B3E00"/>
    <w:rsid w:val="000B4DFF"/>
    <w:rsid w:val="000B6A14"/>
    <w:rsid w:val="000B70E1"/>
    <w:rsid w:val="000B73C4"/>
    <w:rsid w:val="000C0127"/>
    <w:rsid w:val="000C0A34"/>
    <w:rsid w:val="000C24B5"/>
    <w:rsid w:val="000C30A6"/>
    <w:rsid w:val="000C4A6C"/>
    <w:rsid w:val="000C5A1A"/>
    <w:rsid w:val="000C5EA7"/>
    <w:rsid w:val="000C6938"/>
    <w:rsid w:val="000C7632"/>
    <w:rsid w:val="000C7B1D"/>
    <w:rsid w:val="000C7EAA"/>
    <w:rsid w:val="000D04B6"/>
    <w:rsid w:val="000D0A23"/>
    <w:rsid w:val="000D194E"/>
    <w:rsid w:val="000D1FBE"/>
    <w:rsid w:val="000D220D"/>
    <w:rsid w:val="000D3222"/>
    <w:rsid w:val="000D3CBC"/>
    <w:rsid w:val="000D4352"/>
    <w:rsid w:val="000D5292"/>
    <w:rsid w:val="000D5958"/>
    <w:rsid w:val="000D6B9B"/>
    <w:rsid w:val="000E093A"/>
    <w:rsid w:val="000E1572"/>
    <w:rsid w:val="000E197A"/>
    <w:rsid w:val="000E2774"/>
    <w:rsid w:val="000E29C9"/>
    <w:rsid w:val="000E3F99"/>
    <w:rsid w:val="000E40DD"/>
    <w:rsid w:val="000E6835"/>
    <w:rsid w:val="000E7BA8"/>
    <w:rsid w:val="000E7F08"/>
    <w:rsid w:val="000F0D99"/>
    <w:rsid w:val="000F11B2"/>
    <w:rsid w:val="000F13F9"/>
    <w:rsid w:val="000F1CEA"/>
    <w:rsid w:val="000F2470"/>
    <w:rsid w:val="000F2EC8"/>
    <w:rsid w:val="000F2F09"/>
    <w:rsid w:val="000F33AF"/>
    <w:rsid w:val="000F46D5"/>
    <w:rsid w:val="000F4702"/>
    <w:rsid w:val="000F6A80"/>
    <w:rsid w:val="000F6B25"/>
    <w:rsid w:val="000F7045"/>
    <w:rsid w:val="000F70EC"/>
    <w:rsid w:val="0010177C"/>
    <w:rsid w:val="00102C6F"/>
    <w:rsid w:val="00104370"/>
    <w:rsid w:val="0010455D"/>
    <w:rsid w:val="00104A65"/>
    <w:rsid w:val="0010559F"/>
    <w:rsid w:val="00105A75"/>
    <w:rsid w:val="0010605A"/>
    <w:rsid w:val="00106FC5"/>
    <w:rsid w:val="001102E5"/>
    <w:rsid w:val="00110F40"/>
    <w:rsid w:val="0011240A"/>
    <w:rsid w:val="00113D25"/>
    <w:rsid w:val="00113E45"/>
    <w:rsid w:val="00113EA5"/>
    <w:rsid w:val="001151C1"/>
    <w:rsid w:val="0011539B"/>
    <w:rsid w:val="00115685"/>
    <w:rsid w:val="0012049B"/>
    <w:rsid w:val="00121008"/>
    <w:rsid w:val="001219C2"/>
    <w:rsid w:val="00121BFD"/>
    <w:rsid w:val="001235ED"/>
    <w:rsid w:val="00123D62"/>
    <w:rsid w:val="00124A44"/>
    <w:rsid w:val="00124B85"/>
    <w:rsid w:val="001250CC"/>
    <w:rsid w:val="00125707"/>
    <w:rsid w:val="00125D44"/>
    <w:rsid w:val="00125DEE"/>
    <w:rsid w:val="00126395"/>
    <w:rsid w:val="001273B5"/>
    <w:rsid w:val="00127986"/>
    <w:rsid w:val="00127FEA"/>
    <w:rsid w:val="00130586"/>
    <w:rsid w:val="00130EEF"/>
    <w:rsid w:val="001323BF"/>
    <w:rsid w:val="00132563"/>
    <w:rsid w:val="00132778"/>
    <w:rsid w:val="00133107"/>
    <w:rsid w:val="001331F5"/>
    <w:rsid w:val="00133396"/>
    <w:rsid w:val="00133AC1"/>
    <w:rsid w:val="001357A2"/>
    <w:rsid w:val="00136316"/>
    <w:rsid w:val="001379D4"/>
    <w:rsid w:val="00137AC5"/>
    <w:rsid w:val="00137C09"/>
    <w:rsid w:val="001402DB"/>
    <w:rsid w:val="00140571"/>
    <w:rsid w:val="001409D9"/>
    <w:rsid w:val="00140F6E"/>
    <w:rsid w:val="00141DD1"/>
    <w:rsid w:val="0014209A"/>
    <w:rsid w:val="0014210E"/>
    <w:rsid w:val="00142917"/>
    <w:rsid w:val="001432EE"/>
    <w:rsid w:val="00144F03"/>
    <w:rsid w:val="001452FC"/>
    <w:rsid w:val="0014657C"/>
    <w:rsid w:val="00146D50"/>
    <w:rsid w:val="0014702F"/>
    <w:rsid w:val="001474E0"/>
    <w:rsid w:val="0015008C"/>
    <w:rsid w:val="00151071"/>
    <w:rsid w:val="00151B44"/>
    <w:rsid w:val="00151D8A"/>
    <w:rsid w:val="0015288B"/>
    <w:rsid w:val="00152B33"/>
    <w:rsid w:val="00153BEC"/>
    <w:rsid w:val="00154859"/>
    <w:rsid w:val="001550FA"/>
    <w:rsid w:val="00155114"/>
    <w:rsid w:val="00156555"/>
    <w:rsid w:val="00156849"/>
    <w:rsid w:val="001570C4"/>
    <w:rsid w:val="00157883"/>
    <w:rsid w:val="00157B19"/>
    <w:rsid w:val="0016072E"/>
    <w:rsid w:val="0016282F"/>
    <w:rsid w:val="001628F4"/>
    <w:rsid w:val="00162CCF"/>
    <w:rsid w:val="00162E47"/>
    <w:rsid w:val="0016365E"/>
    <w:rsid w:val="00163DBA"/>
    <w:rsid w:val="001644B8"/>
    <w:rsid w:val="00164970"/>
    <w:rsid w:val="00164B62"/>
    <w:rsid w:val="00167602"/>
    <w:rsid w:val="00167619"/>
    <w:rsid w:val="00167E59"/>
    <w:rsid w:val="001721BD"/>
    <w:rsid w:val="001734AB"/>
    <w:rsid w:val="0017440D"/>
    <w:rsid w:val="00175957"/>
    <w:rsid w:val="00176495"/>
    <w:rsid w:val="001771A4"/>
    <w:rsid w:val="00181174"/>
    <w:rsid w:val="00181888"/>
    <w:rsid w:val="00181AC7"/>
    <w:rsid w:val="001822DF"/>
    <w:rsid w:val="00183B7A"/>
    <w:rsid w:val="00184045"/>
    <w:rsid w:val="001840A5"/>
    <w:rsid w:val="001843F9"/>
    <w:rsid w:val="0018450D"/>
    <w:rsid w:val="00184E8A"/>
    <w:rsid w:val="0018533B"/>
    <w:rsid w:val="001854F6"/>
    <w:rsid w:val="00185877"/>
    <w:rsid w:val="00185A19"/>
    <w:rsid w:val="00185FA8"/>
    <w:rsid w:val="00187348"/>
    <w:rsid w:val="00187488"/>
    <w:rsid w:val="0019088A"/>
    <w:rsid w:val="00190FA3"/>
    <w:rsid w:val="001919E9"/>
    <w:rsid w:val="001924F4"/>
    <w:rsid w:val="00192744"/>
    <w:rsid w:val="0019394E"/>
    <w:rsid w:val="001959EF"/>
    <w:rsid w:val="00195FDC"/>
    <w:rsid w:val="0019727D"/>
    <w:rsid w:val="00197C28"/>
    <w:rsid w:val="001A0143"/>
    <w:rsid w:val="001A2115"/>
    <w:rsid w:val="001A217F"/>
    <w:rsid w:val="001A370B"/>
    <w:rsid w:val="001A388F"/>
    <w:rsid w:val="001A3980"/>
    <w:rsid w:val="001A40DB"/>
    <w:rsid w:val="001A44B3"/>
    <w:rsid w:val="001A523B"/>
    <w:rsid w:val="001A531E"/>
    <w:rsid w:val="001A627D"/>
    <w:rsid w:val="001A741B"/>
    <w:rsid w:val="001A7742"/>
    <w:rsid w:val="001A7FE5"/>
    <w:rsid w:val="001B023A"/>
    <w:rsid w:val="001B140A"/>
    <w:rsid w:val="001B1531"/>
    <w:rsid w:val="001B17E6"/>
    <w:rsid w:val="001B1F77"/>
    <w:rsid w:val="001B21AE"/>
    <w:rsid w:val="001B21EA"/>
    <w:rsid w:val="001B43AF"/>
    <w:rsid w:val="001B43BD"/>
    <w:rsid w:val="001B44EE"/>
    <w:rsid w:val="001B4EA5"/>
    <w:rsid w:val="001B5499"/>
    <w:rsid w:val="001B5725"/>
    <w:rsid w:val="001B6114"/>
    <w:rsid w:val="001B6D4D"/>
    <w:rsid w:val="001B7D0F"/>
    <w:rsid w:val="001B7F1A"/>
    <w:rsid w:val="001C1392"/>
    <w:rsid w:val="001C1571"/>
    <w:rsid w:val="001C24B0"/>
    <w:rsid w:val="001C2A41"/>
    <w:rsid w:val="001C2BA5"/>
    <w:rsid w:val="001C3443"/>
    <w:rsid w:val="001C36B0"/>
    <w:rsid w:val="001C3D30"/>
    <w:rsid w:val="001C5557"/>
    <w:rsid w:val="001C5CA8"/>
    <w:rsid w:val="001C6166"/>
    <w:rsid w:val="001C6416"/>
    <w:rsid w:val="001C743D"/>
    <w:rsid w:val="001C7897"/>
    <w:rsid w:val="001C79CB"/>
    <w:rsid w:val="001C7AB7"/>
    <w:rsid w:val="001C7F2A"/>
    <w:rsid w:val="001D1D37"/>
    <w:rsid w:val="001D1F64"/>
    <w:rsid w:val="001D2FE6"/>
    <w:rsid w:val="001D3409"/>
    <w:rsid w:val="001D3CE7"/>
    <w:rsid w:val="001D4848"/>
    <w:rsid w:val="001D4B9D"/>
    <w:rsid w:val="001D5403"/>
    <w:rsid w:val="001D54D3"/>
    <w:rsid w:val="001D6D7C"/>
    <w:rsid w:val="001D7222"/>
    <w:rsid w:val="001D7382"/>
    <w:rsid w:val="001D7C9D"/>
    <w:rsid w:val="001E01BA"/>
    <w:rsid w:val="001E0C80"/>
    <w:rsid w:val="001E332C"/>
    <w:rsid w:val="001E38FD"/>
    <w:rsid w:val="001E39E5"/>
    <w:rsid w:val="001E3EF1"/>
    <w:rsid w:val="001E4D45"/>
    <w:rsid w:val="001E5A75"/>
    <w:rsid w:val="001E6127"/>
    <w:rsid w:val="001E6B9D"/>
    <w:rsid w:val="001E71B5"/>
    <w:rsid w:val="001E7AE4"/>
    <w:rsid w:val="001E7EA7"/>
    <w:rsid w:val="001F0111"/>
    <w:rsid w:val="001F0D60"/>
    <w:rsid w:val="001F1711"/>
    <w:rsid w:val="001F1B80"/>
    <w:rsid w:val="001F2389"/>
    <w:rsid w:val="001F2830"/>
    <w:rsid w:val="001F2920"/>
    <w:rsid w:val="001F3BBE"/>
    <w:rsid w:val="001F3D6A"/>
    <w:rsid w:val="001F4225"/>
    <w:rsid w:val="001F5AC3"/>
    <w:rsid w:val="001F5BC1"/>
    <w:rsid w:val="001F60B8"/>
    <w:rsid w:val="001F6487"/>
    <w:rsid w:val="001F73EA"/>
    <w:rsid w:val="00200D6E"/>
    <w:rsid w:val="00200E8E"/>
    <w:rsid w:val="002013B1"/>
    <w:rsid w:val="00201704"/>
    <w:rsid w:val="00201F3E"/>
    <w:rsid w:val="00202198"/>
    <w:rsid w:val="00202466"/>
    <w:rsid w:val="00202742"/>
    <w:rsid w:val="0020282E"/>
    <w:rsid w:val="00204265"/>
    <w:rsid w:val="00204383"/>
    <w:rsid w:val="00205AE8"/>
    <w:rsid w:val="00206687"/>
    <w:rsid w:val="00206BD0"/>
    <w:rsid w:val="00206D7E"/>
    <w:rsid w:val="00207412"/>
    <w:rsid w:val="00211293"/>
    <w:rsid w:val="00213102"/>
    <w:rsid w:val="0021389C"/>
    <w:rsid w:val="00213DC3"/>
    <w:rsid w:val="00213E0E"/>
    <w:rsid w:val="00214FDA"/>
    <w:rsid w:val="002154E5"/>
    <w:rsid w:val="00215548"/>
    <w:rsid w:val="00215CD7"/>
    <w:rsid w:val="00216D67"/>
    <w:rsid w:val="0021767A"/>
    <w:rsid w:val="00220265"/>
    <w:rsid w:val="00220B85"/>
    <w:rsid w:val="00221103"/>
    <w:rsid w:val="00221C2F"/>
    <w:rsid w:val="00222596"/>
    <w:rsid w:val="002229FF"/>
    <w:rsid w:val="00222AC6"/>
    <w:rsid w:val="00222CD3"/>
    <w:rsid w:val="0022311E"/>
    <w:rsid w:val="0022315F"/>
    <w:rsid w:val="00224016"/>
    <w:rsid w:val="00224828"/>
    <w:rsid w:val="002249DB"/>
    <w:rsid w:val="00224FE5"/>
    <w:rsid w:val="0022597E"/>
    <w:rsid w:val="00225D42"/>
    <w:rsid w:val="002272E2"/>
    <w:rsid w:val="002300C6"/>
    <w:rsid w:val="002301C6"/>
    <w:rsid w:val="00230536"/>
    <w:rsid w:val="002305D2"/>
    <w:rsid w:val="00230DA8"/>
    <w:rsid w:val="00230E9F"/>
    <w:rsid w:val="00232217"/>
    <w:rsid w:val="00232702"/>
    <w:rsid w:val="0023276A"/>
    <w:rsid w:val="002327CE"/>
    <w:rsid w:val="00232921"/>
    <w:rsid w:val="002331CC"/>
    <w:rsid w:val="00233577"/>
    <w:rsid w:val="002339F2"/>
    <w:rsid w:val="0023488F"/>
    <w:rsid w:val="00234E7D"/>
    <w:rsid w:val="0023571F"/>
    <w:rsid w:val="002357EA"/>
    <w:rsid w:val="00235897"/>
    <w:rsid w:val="002367E6"/>
    <w:rsid w:val="00236E33"/>
    <w:rsid w:val="0023700C"/>
    <w:rsid w:val="00237276"/>
    <w:rsid w:val="0023738B"/>
    <w:rsid w:val="0023769E"/>
    <w:rsid w:val="002376B2"/>
    <w:rsid w:val="002409C1"/>
    <w:rsid w:val="00240B06"/>
    <w:rsid w:val="00241190"/>
    <w:rsid w:val="00241845"/>
    <w:rsid w:val="00242134"/>
    <w:rsid w:val="002423CA"/>
    <w:rsid w:val="0024244E"/>
    <w:rsid w:val="0024258C"/>
    <w:rsid w:val="002446F1"/>
    <w:rsid w:val="00244B6A"/>
    <w:rsid w:val="002450B6"/>
    <w:rsid w:val="002451F4"/>
    <w:rsid w:val="00245325"/>
    <w:rsid w:val="00245E37"/>
    <w:rsid w:val="00246BCA"/>
    <w:rsid w:val="00246F65"/>
    <w:rsid w:val="00247193"/>
    <w:rsid w:val="00250176"/>
    <w:rsid w:val="002506A3"/>
    <w:rsid w:val="002514C9"/>
    <w:rsid w:val="00251CF4"/>
    <w:rsid w:val="00251F24"/>
    <w:rsid w:val="00252454"/>
    <w:rsid w:val="0025267A"/>
    <w:rsid w:val="0025290C"/>
    <w:rsid w:val="00253022"/>
    <w:rsid w:val="002530E8"/>
    <w:rsid w:val="002540B2"/>
    <w:rsid w:val="002547C1"/>
    <w:rsid w:val="00254DF6"/>
    <w:rsid w:val="00255BA9"/>
    <w:rsid w:val="0025607F"/>
    <w:rsid w:val="002562F9"/>
    <w:rsid w:val="00257BF5"/>
    <w:rsid w:val="00257FBC"/>
    <w:rsid w:val="002601AB"/>
    <w:rsid w:val="00260AA2"/>
    <w:rsid w:val="002618F4"/>
    <w:rsid w:val="00261B63"/>
    <w:rsid w:val="002625C0"/>
    <w:rsid w:val="00262B22"/>
    <w:rsid w:val="00262B48"/>
    <w:rsid w:val="00262C1B"/>
    <w:rsid w:val="002630FB"/>
    <w:rsid w:val="0026352F"/>
    <w:rsid w:val="002647D2"/>
    <w:rsid w:val="0026485D"/>
    <w:rsid w:val="002648B0"/>
    <w:rsid w:val="00264C8C"/>
    <w:rsid w:val="002664C7"/>
    <w:rsid w:val="002669F8"/>
    <w:rsid w:val="002678CE"/>
    <w:rsid w:val="00267A21"/>
    <w:rsid w:val="0027034D"/>
    <w:rsid w:val="00271C8B"/>
    <w:rsid w:val="00272F65"/>
    <w:rsid w:val="00273432"/>
    <w:rsid w:val="002735FE"/>
    <w:rsid w:val="00273A4D"/>
    <w:rsid w:val="002754C0"/>
    <w:rsid w:val="00276720"/>
    <w:rsid w:val="00276B41"/>
    <w:rsid w:val="00277058"/>
    <w:rsid w:val="002771C5"/>
    <w:rsid w:val="002805FD"/>
    <w:rsid w:val="0028072E"/>
    <w:rsid w:val="00280B99"/>
    <w:rsid w:val="002816EA"/>
    <w:rsid w:val="00283B5F"/>
    <w:rsid w:val="00283C5E"/>
    <w:rsid w:val="00284A6D"/>
    <w:rsid w:val="0028519C"/>
    <w:rsid w:val="00285E2F"/>
    <w:rsid w:val="0028628A"/>
    <w:rsid w:val="00290286"/>
    <w:rsid w:val="0029097C"/>
    <w:rsid w:val="00290CAD"/>
    <w:rsid w:val="002917CA"/>
    <w:rsid w:val="002920FF"/>
    <w:rsid w:val="00292409"/>
    <w:rsid w:val="00292A20"/>
    <w:rsid w:val="00294B07"/>
    <w:rsid w:val="0029520F"/>
    <w:rsid w:val="00295225"/>
    <w:rsid w:val="0029630E"/>
    <w:rsid w:val="00297074"/>
    <w:rsid w:val="0029716F"/>
    <w:rsid w:val="0029726F"/>
    <w:rsid w:val="002A04D3"/>
    <w:rsid w:val="002A09D5"/>
    <w:rsid w:val="002A1B49"/>
    <w:rsid w:val="002A36BB"/>
    <w:rsid w:val="002A4B85"/>
    <w:rsid w:val="002A5969"/>
    <w:rsid w:val="002A5BC5"/>
    <w:rsid w:val="002A677E"/>
    <w:rsid w:val="002A67C8"/>
    <w:rsid w:val="002A6913"/>
    <w:rsid w:val="002A7C84"/>
    <w:rsid w:val="002B004B"/>
    <w:rsid w:val="002B15B5"/>
    <w:rsid w:val="002B1600"/>
    <w:rsid w:val="002B2B6E"/>
    <w:rsid w:val="002B2BA3"/>
    <w:rsid w:val="002B3E36"/>
    <w:rsid w:val="002B5403"/>
    <w:rsid w:val="002B5492"/>
    <w:rsid w:val="002B5B50"/>
    <w:rsid w:val="002B5CD1"/>
    <w:rsid w:val="002B5F2D"/>
    <w:rsid w:val="002B66BD"/>
    <w:rsid w:val="002C0206"/>
    <w:rsid w:val="002C053E"/>
    <w:rsid w:val="002C06FD"/>
    <w:rsid w:val="002C0985"/>
    <w:rsid w:val="002C1068"/>
    <w:rsid w:val="002C1251"/>
    <w:rsid w:val="002C1FEC"/>
    <w:rsid w:val="002C37D9"/>
    <w:rsid w:val="002C41F1"/>
    <w:rsid w:val="002C4D74"/>
    <w:rsid w:val="002C5671"/>
    <w:rsid w:val="002C6263"/>
    <w:rsid w:val="002C66A4"/>
    <w:rsid w:val="002C674A"/>
    <w:rsid w:val="002D102E"/>
    <w:rsid w:val="002D2C75"/>
    <w:rsid w:val="002D318D"/>
    <w:rsid w:val="002D31E5"/>
    <w:rsid w:val="002D3982"/>
    <w:rsid w:val="002D4561"/>
    <w:rsid w:val="002D4E10"/>
    <w:rsid w:val="002D4F6A"/>
    <w:rsid w:val="002D60D7"/>
    <w:rsid w:val="002D68CE"/>
    <w:rsid w:val="002D6B9E"/>
    <w:rsid w:val="002D7779"/>
    <w:rsid w:val="002E0148"/>
    <w:rsid w:val="002E0174"/>
    <w:rsid w:val="002E053A"/>
    <w:rsid w:val="002E0DDB"/>
    <w:rsid w:val="002E12E6"/>
    <w:rsid w:val="002E136A"/>
    <w:rsid w:val="002E2061"/>
    <w:rsid w:val="002E2164"/>
    <w:rsid w:val="002E27B0"/>
    <w:rsid w:val="002E3720"/>
    <w:rsid w:val="002E4EB7"/>
    <w:rsid w:val="002E5096"/>
    <w:rsid w:val="002E587F"/>
    <w:rsid w:val="002E58AF"/>
    <w:rsid w:val="002E7287"/>
    <w:rsid w:val="002E796C"/>
    <w:rsid w:val="002F07EA"/>
    <w:rsid w:val="002F0FB3"/>
    <w:rsid w:val="002F1163"/>
    <w:rsid w:val="002F11F3"/>
    <w:rsid w:val="002F170E"/>
    <w:rsid w:val="002F1920"/>
    <w:rsid w:val="002F19BB"/>
    <w:rsid w:val="002F1E8D"/>
    <w:rsid w:val="002F2663"/>
    <w:rsid w:val="002F29AF"/>
    <w:rsid w:val="002F29CB"/>
    <w:rsid w:val="002F3261"/>
    <w:rsid w:val="002F39A7"/>
    <w:rsid w:val="002F4A67"/>
    <w:rsid w:val="002F4A87"/>
    <w:rsid w:val="002F5571"/>
    <w:rsid w:val="002F707B"/>
    <w:rsid w:val="002F78EA"/>
    <w:rsid w:val="002F79EA"/>
    <w:rsid w:val="002F7E28"/>
    <w:rsid w:val="00300224"/>
    <w:rsid w:val="00302C3F"/>
    <w:rsid w:val="003030A3"/>
    <w:rsid w:val="00303974"/>
    <w:rsid w:val="00304CA5"/>
    <w:rsid w:val="0030572F"/>
    <w:rsid w:val="00306163"/>
    <w:rsid w:val="00306AD1"/>
    <w:rsid w:val="00306F71"/>
    <w:rsid w:val="00306F8E"/>
    <w:rsid w:val="003073B2"/>
    <w:rsid w:val="0031001C"/>
    <w:rsid w:val="0031055A"/>
    <w:rsid w:val="003105C6"/>
    <w:rsid w:val="00310F05"/>
    <w:rsid w:val="00310F96"/>
    <w:rsid w:val="00311119"/>
    <w:rsid w:val="00311B2D"/>
    <w:rsid w:val="00312BA3"/>
    <w:rsid w:val="00313274"/>
    <w:rsid w:val="003132E6"/>
    <w:rsid w:val="003137B9"/>
    <w:rsid w:val="00313D20"/>
    <w:rsid w:val="003141F6"/>
    <w:rsid w:val="00314971"/>
    <w:rsid w:val="003150E6"/>
    <w:rsid w:val="003172C8"/>
    <w:rsid w:val="00317451"/>
    <w:rsid w:val="003175FE"/>
    <w:rsid w:val="00320BB4"/>
    <w:rsid w:val="00321A3B"/>
    <w:rsid w:val="003220BD"/>
    <w:rsid w:val="003232D5"/>
    <w:rsid w:val="00325654"/>
    <w:rsid w:val="003259DA"/>
    <w:rsid w:val="0032635E"/>
    <w:rsid w:val="0032755B"/>
    <w:rsid w:val="003276AF"/>
    <w:rsid w:val="003300FF"/>
    <w:rsid w:val="00330199"/>
    <w:rsid w:val="00331FE6"/>
    <w:rsid w:val="00332B2A"/>
    <w:rsid w:val="00333A44"/>
    <w:rsid w:val="00334093"/>
    <w:rsid w:val="0033476C"/>
    <w:rsid w:val="003374C1"/>
    <w:rsid w:val="00337849"/>
    <w:rsid w:val="00337BEA"/>
    <w:rsid w:val="00340094"/>
    <w:rsid w:val="003400BB"/>
    <w:rsid w:val="00342261"/>
    <w:rsid w:val="00342B6A"/>
    <w:rsid w:val="00342BB2"/>
    <w:rsid w:val="00342C4B"/>
    <w:rsid w:val="003438E8"/>
    <w:rsid w:val="003459F8"/>
    <w:rsid w:val="00345A82"/>
    <w:rsid w:val="00345E53"/>
    <w:rsid w:val="00346C65"/>
    <w:rsid w:val="0034786E"/>
    <w:rsid w:val="00347FF9"/>
    <w:rsid w:val="00350AC4"/>
    <w:rsid w:val="00350DDB"/>
    <w:rsid w:val="00351DD4"/>
    <w:rsid w:val="00352A45"/>
    <w:rsid w:val="00352C6E"/>
    <w:rsid w:val="00352FB3"/>
    <w:rsid w:val="00353D40"/>
    <w:rsid w:val="0035403D"/>
    <w:rsid w:val="003541BA"/>
    <w:rsid w:val="003556A3"/>
    <w:rsid w:val="003557B5"/>
    <w:rsid w:val="00356773"/>
    <w:rsid w:val="00357CD1"/>
    <w:rsid w:val="00357F63"/>
    <w:rsid w:val="003616A1"/>
    <w:rsid w:val="00361D60"/>
    <w:rsid w:val="00363505"/>
    <w:rsid w:val="00363969"/>
    <w:rsid w:val="0036415F"/>
    <w:rsid w:val="00364EBB"/>
    <w:rsid w:val="00366794"/>
    <w:rsid w:val="00366CAF"/>
    <w:rsid w:val="00370576"/>
    <w:rsid w:val="0037077A"/>
    <w:rsid w:val="00370D79"/>
    <w:rsid w:val="00371593"/>
    <w:rsid w:val="00371653"/>
    <w:rsid w:val="00373E3E"/>
    <w:rsid w:val="00375C47"/>
    <w:rsid w:val="0037748C"/>
    <w:rsid w:val="00380D47"/>
    <w:rsid w:val="003812AC"/>
    <w:rsid w:val="003813DF"/>
    <w:rsid w:val="0038147E"/>
    <w:rsid w:val="00381685"/>
    <w:rsid w:val="003826D9"/>
    <w:rsid w:val="00383D4B"/>
    <w:rsid w:val="00383FF2"/>
    <w:rsid w:val="00384770"/>
    <w:rsid w:val="00386492"/>
    <w:rsid w:val="00387E40"/>
    <w:rsid w:val="003908C5"/>
    <w:rsid w:val="00390DDA"/>
    <w:rsid w:val="00391406"/>
    <w:rsid w:val="003927BE"/>
    <w:rsid w:val="00392C11"/>
    <w:rsid w:val="00392FFD"/>
    <w:rsid w:val="0039346B"/>
    <w:rsid w:val="00393539"/>
    <w:rsid w:val="00393FF2"/>
    <w:rsid w:val="00394410"/>
    <w:rsid w:val="00394FF1"/>
    <w:rsid w:val="003953E6"/>
    <w:rsid w:val="00397314"/>
    <w:rsid w:val="00397A77"/>
    <w:rsid w:val="003A0532"/>
    <w:rsid w:val="003A07D6"/>
    <w:rsid w:val="003A0835"/>
    <w:rsid w:val="003A0C05"/>
    <w:rsid w:val="003A1469"/>
    <w:rsid w:val="003A1B96"/>
    <w:rsid w:val="003A200A"/>
    <w:rsid w:val="003A3877"/>
    <w:rsid w:val="003A3899"/>
    <w:rsid w:val="003A449C"/>
    <w:rsid w:val="003A497B"/>
    <w:rsid w:val="003A4C8B"/>
    <w:rsid w:val="003A5266"/>
    <w:rsid w:val="003A5743"/>
    <w:rsid w:val="003A5D8C"/>
    <w:rsid w:val="003A7214"/>
    <w:rsid w:val="003A7336"/>
    <w:rsid w:val="003B00F4"/>
    <w:rsid w:val="003B05AE"/>
    <w:rsid w:val="003B06B9"/>
    <w:rsid w:val="003B09EA"/>
    <w:rsid w:val="003B0B15"/>
    <w:rsid w:val="003B20D7"/>
    <w:rsid w:val="003B219A"/>
    <w:rsid w:val="003B256A"/>
    <w:rsid w:val="003B25F0"/>
    <w:rsid w:val="003B2712"/>
    <w:rsid w:val="003B3112"/>
    <w:rsid w:val="003B3533"/>
    <w:rsid w:val="003B3DBB"/>
    <w:rsid w:val="003B43BA"/>
    <w:rsid w:val="003B6094"/>
    <w:rsid w:val="003B66A1"/>
    <w:rsid w:val="003B7060"/>
    <w:rsid w:val="003C050A"/>
    <w:rsid w:val="003C0FB5"/>
    <w:rsid w:val="003C1BB1"/>
    <w:rsid w:val="003C2409"/>
    <w:rsid w:val="003C2566"/>
    <w:rsid w:val="003C3168"/>
    <w:rsid w:val="003C3AAB"/>
    <w:rsid w:val="003C3B79"/>
    <w:rsid w:val="003C3FD5"/>
    <w:rsid w:val="003C4307"/>
    <w:rsid w:val="003C4BA6"/>
    <w:rsid w:val="003C60B9"/>
    <w:rsid w:val="003C76A2"/>
    <w:rsid w:val="003C7853"/>
    <w:rsid w:val="003D07E3"/>
    <w:rsid w:val="003D10E9"/>
    <w:rsid w:val="003D11AD"/>
    <w:rsid w:val="003D14AE"/>
    <w:rsid w:val="003D1657"/>
    <w:rsid w:val="003D17D0"/>
    <w:rsid w:val="003D199D"/>
    <w:rsid w:val="003D3CED"/>
    <w:rsid w:val="003D431C"/>
    <w:rsid w:val="003D485B"/>
    <w:rsid w:val="003D56DE"/>
    <w:rsid w:val="003D655D"/>
    <w:rsid w:val="003D69CB"/>
    <w:rsid w:val="003D725D"/>
    <w:rsid w:val="003D7822"/>
    <w:rsid w:val="003D7F50"/>
    <w:rsid w:val="003E02B3"/>
    <w:rsid w:val="003E0950"/>
    <w:rsid w:val="003E098F"/>
    <w:rsid w:val="003E3102"/>
    <w:rsid w:val="003E47C5"/>
    <w:rsid w:val="003E4EF2"/>
    <w:rsid w:val="003E5145"/>
    <w:rsid w:val="003E52DA"/>
    <w:rsid w:val="003E7AEC"/>
    <w:rsid w:val="003F0298"/>
    <w:rsid w:val="003F05A0"/>
    <w:rsid w:val="003F0E76"/>
    <w:rsid w:val="003F1103"/>
    <w:rsid w:val="003F15BB"/>
    <w:rsid w:val="003F17BB"/>
    <w:rsid w:val="003F19BA"/>
    <w:rsid w:val="003F3523"/>
    <w:rsid w:val="00401111"/>
    <w:rsid w:val="0040156B"/>
    <w:rsid w:val="00401E48"/>
    <w:rsid w:val="00402284"/>
    <w:rsid w:val="00403B9F"/>
    <w:rsid w:val="0040521E"/>
    <w:rsid w:val="00405C0A"/>
    <w:rsid w:val="00407110"/>
    <w:rsid w:val="00407505"/>
    <w:rsid w:val="00407936"/>
    <w:rsid w:val="00410796"/>
    <w:rsid w:val="004120DF"/>
    <w:rsid w:val="004127F7"/>
    <w:rsid w:val="004129D0"/>
    <w:rsid w:val="00412D44"/>
    <w:rsid w:val="004133D9"/>
    <w:rsid w:val="004134E6"/>
    <w:rsid w:val="004157CC"/>
    <w:rsid w:val="00415A1B"/>
    <w:rsid w:val="00417984"/>
    <w:rsid w:val="00422449"/>
    <w:rsid w:val="00422B88"/>
    <w:rsid w:val="00423372"/>
    <w:rsid w:val="00423556"/>
    <w:rsid w:val="00423D6C"/>
    <w:rsid w:val="00423F7E"/>
    <w:rsid w:val="004255D6"/>
    <w:rsid w:val="0042594B"/>
    <w:rsid w:val="00425F4C"/>
    <w:rsid w:val="0042766A"/>
    <w:rsid w:val="0043001B"/>
    <w:rsid w:val="004304C0"/>
    <w:rsid w:val="00430F6F"/>
    <w:rsid w:val="0043168D"/>
    <w:rsid w:val="004317F7"/>
    <w:rsid w:val="004319EB"/>
    <w:rsid w:val="0043231D"/>
    <w:rsid w:val="004350F2"/>
    <w:rsid w:val="004357B9"/>
    <w:rsid w:val="00435BA9"/>
    <w:rsid w:val="00435EB0"/>
    <w:rsid w:val="00436204"/>
    <w:rsid w:val="00436490"/>
    <w:rsid w:val="00436A46"/>
    <w:rsid w:val="00436BBC"/>
    <w:rsid w:val="004377DA"/>
    <w:rsid w:val="004377E2"/>
    <w:rsid w:val="004408E7"/>
    <w:rsid w:val="004415C8"/>
    <w:rsid w:val="00441F78"/>
    <w:rsid w:val="00443003"/>
    <w:rsid w:val="00443DD0"/>
    <w:rsid w:val="0044539D"/>
    <w:rsid w:val="00445E06"/>
    <w:rsid w:val="0044639C"/>
    <w:rsid w:val="00446FAC"/>
    <w:rsid w:val="0045099E"/>
    <w:rsid w:val="00450A2E"/>
    <w:rsid w:val="00451220"/>
    <w:rsid w:val="00451B63"/>
    <w:rsid w:val="0045251C"/>
    <w:rsid w:val="00452AB0"/>
    <w:rsid w:val="00452FEF"/>
    <w:rsid w:val="00453999"/>
    <w:rsid w:val="00454026"/>
    <w:rsid w:val="00454082"/>
    <w:rsid w:val="00454139"/>
    <w:rsid w:val="00454CFC"/>
    <w:rsid w:val="00455314"/>
    <w:rsid w:val="00455364"/>
    <w:rsid w:val="00455B49"/>
    <w:rsid w:val="004600E4"/>
    <w:rsid w:val="004603C7"/>
    <w:rsid w:val="00460A9C"/>
    <w:rsid w:val="00461A5A"/>
    <w:rsid w:val="004629A2"/>
    <w:rsid w:val="00462BAB"/>
    <w:rsid w:val="00463E3C"/>
    <w:rsid w:val="00463F88"/>
    <w:rsid w:val="00464DCB"/>
    <w:rsid w:val="00464F34"/>
    <w:rsid w:val="0046517B"/>
    <w:rsid w:val="004656E1"/>
    <w:rsid w:val="00467F08"/>
    <w:rsid w:val="00467F65"/>
    <w:rsid w:val="00471159"/>
    <w:rsid w:val="00471A96"/>
    <w:rsid w:val="00474C49"/>
    <w:rsid w:val="0047503C"/>
    <w:rsid w:val="0047563E"/>
    <w:rsid w:val="00475B6A"/>
    <w:rsid w:val="0047602E"/>
    <w:rsid w:val="00476209"/>
    <w:rsid w:val="00476566"/>
    <w:rsid w:val="004766D4"/>
    <w:rsid w:val="0047693D"/>
    <w:rsid w:val="004773AB"/>
    <w:rsid w:val="00477C45"/>
    <w:rsid w:val="00477CB6"/>
    <w:rsid w:val="00480A69"/>
    <w:rsid w:val="00480AF8"/>
    <w:rsid w:val="0048116C"/>
    <w:rsid w:val="0048143B"/>
    <w:rsid w:val="0048345E"/>
    <w:rsid w:val="00483FC9"/>
    <w:rsid w:val="00484DDA"/>
    <w:rsid w:val="004852B9"/>
    <w:rsid w:val="00486DA5"/>
    <w:rsid w:val="00487597"/>
    <w:rsid w:val="00487A02"/>
    <w:rsid w:val="004901BE"/>
    <w:rsid w:val="0049092A"/>
    <w:rsid w:val="004913CE"/>
    <w:rsid w:val="00491F4D"/>
    <w:rsid w:val="004928AC"/>
    <w:rsid w:val="00492D77"/>
    <w:rsid w:val="00493D5E"/>
    <w:rsid w:val="00495C50"/>
    <w:rsid w:val="00496C53"/>
    <w:rsid w:val="00496F5D"/>
    <w:rsid w:val="004970FA"/>
    <w:rsid w:val="00497D60"/>
    <w:rsid w:val="004A01BF"/>
    <w:rsid w:val="004A0885"/>
    <w:rsid w:val="004A0D4A"/>
    <w:rsid w:val="004A11BD"/>
    <w:rsid w:val="004A1D97"/>
    <w:rsid w:val="004A3247"/>
    <w:rsid w:val="004A3A58"/>
    <w:rsid w:val="004A3B3D"/>
    <w:rsid w:val="004A47BA"/>
    <w:rsid w:val="004A5880"/>
    <w:rsid w:val="004A6C52"/>
    <w:rsid w:val="004A6FAC"/>
    <w:rsid w:val="004A705D"/>
    <w:rsid w:val="004A7B60"/>
    <w:rsid w:val="004B031B"/>
    <w:rsid w:val="004B135C"/>
    <w:rsid w:val="004B2A17"/>
    <w:rsid w:val="004B38D3"/>
    <w:rsid w:val="004B38D7"/>
    <w:rsid w:val="004B3B58"/>
    <w:rsid w:val="004B4075"/>
    <w:rsid w:val="004B4DF9"/>
    <w:rsid w:val="004B572C"/>
    <w:rsid w:val="004B584D"/>
    <w:rsid w:val="004B5870"/>
    <w:rsid w:val="004B67ED"/>
    <w:rsid w:val="004B6F60"/>
    <w:rsid w:val="004B7F4A"/>
    <w:rsid w:val="004C03BC"/>
    <w:rsid w:val="004C0508"/>
    <w:rsid w:val="004C15A0"/>
    <w:rsid w:val="004C1ACF"/>
    <w:rsid w:val="004C445F"/>
    <w:rsid w:val="004C4478"/>
    <w:rsid w:val="004C6E6F"/>
    <w:rsid w:val="004C74EC"/>
    <w:rsid w:val="004D0C15"/>
    <w:rsid w:val="004D2031"/>
    <w:rsid w:val="004D2753"/>
    <w:rsid w:val="004D36B6"/>
    <w:rsid w:val="004D3C0E"/>
    <w:rsid w:val="004D4419"/>
    <w:rsid w:val="004D45AA"/>
    <w:rsid w:val="004D4BDB"/>
    <w:rsid w:val="004D5161"/>
    <w:rsid w:val="004D6755"/>
    <w:rsid w:val="004D6C74"/>
    <w:rsid w:val="004D780C"/>
    <w:rsid w:val="004E0244"/>
    <w:rsid w:val="004E04BF"/>
    <w:rsid w:val="004E081B"/>
    <w:rsid w:val="004E0A91"/>
    <w:rsid w:val="004E2725"/>
    <w:rsid w:val="004E28B1"/>
    <w:rsid w:val="004E2BE7"/>
    <w:rsid w:val="004E37F7"/>
    <w:rsid w:val="004E5B02"/>
    <w:rsid w:val="004E6AC0"/>
    <w:rsid w:val="004E6D5F"/>
    <w:rsid w:val="004E7936"/>
    <w:rsid w:val="004E7D09"/>
    <w:rsid w:val="004E7DCF"/>
    <w:rsid w:val="004E7DF2"/>
    <w:rsid w:val="004F0068"/>
    <w:rsid w:val="004F0474"/>
    <w:rsid w:val="004F0D16"/>
    <w:rsid w:val="004F0F3D"/>
    <w:rsid w:val="004F1DDB"/>
    <w:rsid w:val="004F2AB4"/>
    <w:rsid w:val="004F2B30"/>
    <w:rsid w:val="004F3766"/>
    <w:rsid w:val="004F458D"/>
    <w:rsid w:val="004F4775"/>
    <w:rsid w:val="004F4BB8"/>
    <w:rsid w:val="004F50AF"/>
    <w:rsid w:val="004F5C89"/>
    <w:rsid w:val="004F6B6B"/>
    <w:rsid w:val="00502363"/>
    <w:rsid w:val="00502FC6"/>
    <w:rsid w:val="0050394C"/>
    <w:rsid w:val="0050399F"/>
    <w:rsid w:val="00503F93"/>
    <w:rsid w:val="00504A16"/>
    <w:rsid w:val="005050CE"/>
    <w:rsid w:val="00505B5C"/>
    <w:rsid w:val="005067A1"/>
    <w:rsid w:val="00507065"/>
    <w:rsid w:val="00512CC7"/>
    <w:rsid w:val="005130D9"/>
    <w:rsid w:val="005135D6"/>
    <w:rsid w:val="00513822"/>
    <w:rsid w:val="00514158"/>
    <w:rsid w:val="00514783"/>
    <w:rsid w:val="00517EE9"/>
    <w:rsid w:val="00520B00"/>
    <w:rsid w:val="00521D56"/>
    <w:rsid w:val="00522F33"/>
    <w:rsid w:val="0052367C"/>
    <w:rsid w:val="00523DD6"/>
    <w:rsid w:val="0052490C"/>
    <w:rsid w:val="0052508A"/>
    <w:rsid w:val="00525295"/>
    <w:rsid w:val="0053078D"/>
    <w:rsid w:val="00530BA1"/>
    <w:rsid w:val="00530FC7"/>
    <w:rsid w:val="00531FC9"/>
    <w:rsid w:val="00532026"/>
    <w:rsid w:val="0053327A"/>
    <w:rsid w:val="00533D6A"/>
    <w:rsid w:val="00533D84"/>
    <w:rsid w:val="00533E53"/>
    <w:rsid w:val="005342A5"/>
    <w:rsid w:val="00535350"/>
    <w:rsid w:val="00535792"/>
    <w:rsid w:val="00535A98"/>
    <w:rsid w:val="00536B6D"/>
    <w:rsid w:val="0053702D"/>
    <w:rsid w:val="0054122B"/>
    <w:rsid w:val="0054224E"/>
    <w:rsid w:val="005429A0"/>
    <w:rsid w:val="00542C33"/>
    <w:rsid w:val="00542EAE"/>
    <w:rsid w:val="00542EF3"/>
    <w:rsid w:val="00543964"/>
    <w:rsid w:val="00543DBD"/>
    <w:rsid w:val="00544DA4"/>
    <w:rsid w:val="00544E37"/>
    <w:rsid w:val="00547047"/>
    <w:rsid w:val="005474CB"/>
    <w:rsid w:val="00550113"/>
    <w:rsid w:val="00550997"/>
    <w:rsid w:val="005511AD"/>
    <w:rsid w:val="00551271"/>
    <w:rsid w:val="0055144E"/>
    <w:rsid w:val="0055245C"/>
    <w:rsid w:val="005528C1"/>
    <w:rsid w:val="00552A83"/>
    <w:rsid w:val="00552BF3"/>
    <w:rsid w:val="00552E3E"/>
    <w:rsid w:val="00554261"/>
    <w:rsid w:val="00554886"/>
    <w:rsid w:val="00554A32"/>
    <w:rsid w:val="005563DA"/>
    <w:rsid w:val="0055657F"/>
    <w:rsid w:val="0055791B"/>
    <w:rsid w:val="00557D09"/>
    <w:rsid w:val="0056002D"/>
    <w:rsid w:val="00560A14"/>
    <w:rsid w:val="005617F7"/>
    <w:rsid w:val="00562181"/>
    <w:rsid w:val="00563313"/>
    <w:rsid w:val="005643EA"/>
    <w:rsid w:val="00564A89"/>
    <w:rsid w:val="00565031"/>
    <w:rsid w:val="00566665"/>
    <w:rsid w:val="005666F4"/>
    <w:rsid w:val="00566A45"/>
    <w:rsid w:val="00566DB5"/>
    <w:rsid w:val="005723E9"/>
    <w:rsid w:val="00572C82"/>
    <w:rsid w:val="0057350E"/>
    <w:rsid w:val="00573DB4"/>
    <w:rsid w:val="00576215"/>
    <w:rsid w:val="0057632A"/>
    <w:rsid w:val="00576664"/>
    <w:rsid w:val="00577AA3"/>
    <w:rsid w:val="005808DE"/>
    <w:rsid w:val="00581FA5"/>
    <w:rsid w:val="00582399"/>
    <w:rsid w:val="00582923"/>
    <w:rsid w:val="00583884"/>
    <w:rsid w:val="00584165"/>
    <w:rsid w:val="00585466"/>
    <w:rsid w:val="00585B5B"/>
    <w:rsid w:val="0058617B"/>
    <w:rsid w:val="00587E96"/>
    <w:rsid w:val="00590386"/>
    <w:rsid w:val="005911AC"/>
    <w:rsid w:val="0059138D"/>
    <w:rsid w:val="00592A08"/>
    <w:rsid w:val="00593E1F"/>
    <w:rsid w:val="00595FAD"/>
    <w:rsid w:val="0059657D"/>
    <w:rsid w:val="005965CE"/>
    <w:rsid w:val="005970B6"/>
    <w:rsid w:val="00597BBC"/>
    <w:rsid w:val="005A020C"/>
    <w:rsid w:val="005A1898"/>
    <w:rsid w:val="005A18FB"/>
    <w:rsid w:val="005A2182"/>
    <w:rsid w:val="005A2363"/>
    <w:rsid w:val="005A2C21"/>
    <w:rsid w:val="005A43B1"/>
    <w:rsid w:val="005A6305"/>
    <w:rsid w:val="005A760D"/>
    <w:rsid w:val="005A7CA9"/>
    <w:rsid w:val="005B02DE"/>
    <w:rsid w:val="005B0463"/>
    <w:rsid w:val="005B04C9"/>
    <w:rsid w:val="005B0C8D"/>
    <w:rsid w:val="005B13A0"/>
    <w:rsid w:val="005B321D"/>
    <w:rsid w:val="005B3AEF"/>
    <w:rsid w:val="005B3B7C"/>
    <w:rsid w:val="005B5390"/>
    <w:rsid w:val="005B54BB"/>
    <w:rsid w:val="005B57EC"/>
    <w:rsid w:val="005B591C"/>
    <w:rsid w:val="005B5C89"/>
    <w:rsid w:val="005B5D85"/>
    <w:rsid w:val="005B76D3"/>
    <w:rsid w:val="005C0B75"/>
    <w:rsid w:val="005C14B0"/>
    <w:rsid w:val="005C1BC9"/>
    <w:rsid w:val="005C287F"/>
    <w:rsid w:val="005C29CD"/>
    <w:rsid w:val="005C2A1D"/>
    <w:rsid w:val="005C5136"/>
    <w:rsid w:val="005C517E"/>
    <w:rsid w:val="005C6CF7"/>
    <w:rsid w:val="005C6DEB"/>
    <w:rsid w:val="005C7542"/>
    <w:rsid w:val="005C7A65"/>
    <w:rsid w:val="005C7A91"/>
    <w:rsid w:val="005D0B5D"/>
    <w:rsid w:val="005D2F62"/>
    <w:rsid w:val="005D3034"/>
    <w:rsid w:val="005D3318"/>
    <w:rsid w:val="005D35A0"/>
    <w:rsid w:val="005D3DD9"/>
    <w:rsid w:val="005D3E00"/>
    <w:rsid w:val="005D40D9"/>
    <w:rsid w:val="005D411E"/>
    <w:rsid w:val="005D423C"/>
    <w:rsid w:val="005D479B"/>
    <w:rsid w:val="005D5914"/>
    <w:rsid w:val="005E0301"/>
    <w:rsid w:val="005E03B8"/>
    <w:rsid w:val="005E0917"/>
    <w:rsid w:val="005E1B10"/>
    <w:rsid w:val="005E3471"/>
    <w:rsid w:val="005E3ABC"/>
    <w:rsid w:val="005E4BEC"/>
    <w:rsid w:val="005E5070"/>
    <w:rsid w:val="005E59EB"/>
    <w:rsid w:val="005E61A3"/>
    <w:rsid w:val="005E7377"/>
    <w:rsid w:val="005E7DF2"/>
    <w:rsid w:val="005E7F24"/>
    <w:rsid w:val="005E7FAD"/>
    <w:rsid w:val="005F05ED"/>
    <w:rsid w:val="005F1095"/>
    <w:rsid w:val="005F12F9"/>
    <w:rsid w:val="005F1957"/>
    <w:rsid w:val="005F1EB8"/>
    <w:rsid w:val="005F266B"/>
    <w:rsid w:val="005F3409"/>
    <w:rsid w:val="005F3BBE"/>
    <w:rsid w:val="005F5B6B"/>
    <w:rsid w:val="005F5DF8"/>
    <w:rsid w:val="005F6354"/>
    <w:rsid w:val="005F6603"/>
    <w:rsid w:val="005F6FDF"/>
    <w:rsid w:val="0060043C"/>
    <w:rsid w:val="00600733"/>
    <w:rsid w:val="00601450"/>
    <w:rsid w:val="006015FF"/>
    <w:rsid w:val="0060179C"/>
    <w:rsid w:val="006022CB"/>
    <w:rsid w:val="00602764"/>
    <w:rsid w:val="00602FA5"/>
    <w:rsid w:val="0060500C"/>
    <w:rsid w:val="00605A9A"/>
    <w:rsid w:val="00605F23"/>
    <w:rsid w:val="00606735"/>
    <w:rsid w:val="0060673F"/>
    <w:rsid w:val="00606885"/>
    <w:rsid w:val="0060723F"/>
    <w:rsid w:val="00607523"/>
    <w:rsid w:val="006108B8"/>
    <w:rsid w:val="00610920"/>
    <w:rsid w:val="00610B56"/>
    <w:rsid w:val="00611073"/>
    <w:rsid w:val="0061222C"/>
    <w:rsid w:val="0061248F"/>
    <w:rsid w:val="00612780"/>
    <w:rsid w:val="006128D7"/>
    <w:rsid w:val="00613578"/>
    <w:rsid w:val="0061382B"/>
    <w:rsid w:val="00614509"/>
    <w:rsid w:val="006147CF"/>
    <w:rsid w:val="0061482E"/>
    <w:rsid w:val="00615252"/>
    <w:rsid w:val="0061552A"/>
    <w:rsid w:val="006161E5"/>
    <w:rsid w:val="00616264"/>
    <w:rsid w:val="00616690"/>
    <w:rsid w:val="00616E90"/>
    <w:rsid w:val="00620AB3"/>
    <w:rsid w:val="006219A7"/>
    <w:rsid w:val="00622B37"/>
    <w:rsid w:val="00622B8C"/>
    <w:rsid w:val="00622DF8"/>
    <w:rsid w:val="0062362F"/>
    <w:rsid w:val="00623BD2"/>
    <w:rsid w:val="00623EAD"/>
    <w:rsid w:val="00624117"/>
    <w:rsid w:val="00624624"/>
    <w:rsid w:val="0062558D"/>
    <w:rsid w:val="006259C7"/>
    <w:rsid w:val="006269F7"/>
    <w:rsid w:val="00626A88"/>
    <w:rsid w:val="00627143"/>
    <w:rsid w:val="00630711"/>
    <w:rsid w:val="00630EF6"/>
    <w:rsid w:val="00631405"/>
    <w:rsid w:val="006317A9"/>
    <w:rsid w:val="0063337F"/>
    <w:rsid w:val="00633D3C"/>
    <w:rsid w:val="00633DEB"/>
    <w:rsid w:val="0063493E"/>
    <w:rsid w:val="00634EC4"/>
    <w:rsid w:val="00635440"/>
    <w:rsid w:val="006364E5"/>
    <w:rsid w:val="0063773C"/>
    <w:rsid w:val="00640475"/>
    <w:rsid w:val="006418A0"/>
    <w:rsid w:val="00643011"/>
    <w:rsid w:val="00643362"/>
    <w:rsid w:val="00643B18"/>
    <w:rsid w:val="0064497A"/>
    <w:rsid w:val="006452A4"/>
    <w:rsid w:val="00645573"/>
    <w:rsid w:val="006455B0"/>
    <w:rsid w:val="00646287"/>
    <w:rsid w:val="00646D1B"/>
    <w:rsid w:val="006477B8"/>
    <w:rsid w:val="00647F9C"/>
    <w:rsid w:val="00650529"/>
    <w:rsid w:val="00650B6C"/>
    <w:rsid w:val="00650D5A"/>
    <w:rsid w:val="00650DB8"/>
    <w:rsid w:val="00651C18"/>
    <w:rsid w:val="00652460"/>
    <w:rsid w:val="00652DF7"/>
    <w:rsid w:val="00652F11"/>
    <w:rsid w:val="00652FA2"/>
    <w:rsid w:val="00654A02"/>
    <w:rsid w:val="00655B6E"/>
    <w:rsid w:val="00656BF0"/>
    <w:rsid w:val="00661595"/>
    <w:rsid w:val="0066173C"/>
    <w:rsid w:val="0066186C"/>
    <w:rsid w:val="00662545"/>
    <w:rsid w:val="00662E37"/>
    <w:rsid w:val="00664361"/>
    <w:rsid w:val="006646B6"/>
    <w:rsid w:val="00664874"/>
    <w:rsid w:val="006657C2"/>
    <w:rsid w:val="006660B9"/>
    <w:rsid w:val="00666996"/>
    <w:rsid w:val="00667262"/>
    <w:rsid w:val="006674B5"/>
    <w:rsid w:val="00670758"/>
    <w:rsid w:val="00672D2A"/>
    <w:rsid w:val="0067375E"/>
    <w:rsid w:val="006746DB"/>
    <w:rsid w:val="00674BF5"/>
    <w:rsid w:val="00674FCA"/>
    <w:rsid w:val="006750B8"/>
    <w:rsid w:val="00676B42"/>
    <w:rsid w:val="00676B98"/>
    <w:rsid w:val="006771CE"/>
    <w:rsid w:val="006778A2"/>
    <w:rsid w:val="00677A91"/>
    <w:rsid w:val="00680478"/>
    <w:rsid w:val="00681382"/>
    <w:rsid w:val="00684DC8"/>
    <w:rsid w:val="00685182"/>
    <w:rsid w:val="006855AB"/>
    <w:rsid w:val="0068594D"/>
    <w:rsid w:val="00690B40"/>
    <w:rsid w:val="00690D01"/>
    <w:rsid w:val="006916DC"/>
    <w:rsid w:val="00691F49"/>
    <w:rsid w:val="00691F9C"/>
    <w:rsid w:val="00692A55"/>
    <w:rsid w:val="00692B10"/>
    <w:rsid w:val="0069572F"/>
    <w:rsid w:val="00695A63"/>
    <w:rsid w:val="00695ABB"/>
    <w:rsid w:val="00696301"/>
    <w:rsid w:val="00696434"/>
    <w:rsid w:val="006966FF"/>
    <w:rsid w:val="00696F12"/>
    <w:rsid w:val="006972E8"/>
    <w:rsid w:val="006A01F5"/>
    <w:rsid w:val="006A14F6"/>
    <w:rsid w:val="006A20A0"/>
    <w:rsid w:val="006A2ED8"/>
    <w:rsid w:val="006A3201"/>
    <w:rsid w:val="006A3A82"/>
    <w:rsid w:val="006A4B1B"/>
    <w:rsid w:val="006A6049"/>
    <w:rsid w:val="006A66C9"/>
    <w:rsid w:val="006A6822"/>
    <w:rsid w:val="006A6CCF"/>
    <w:rsid w:val="006A7AEE"/>
    <w:rsid w:val="006A7EC8"/>
    <w:rsid w:val="006B08A5"/>
    <w:rsid w:val="006B0EEE"/>
    <w:rsid w:val="006B19A0"/>
    <w:rsid w:val="006B1A77"/>
    <w:rsid w:val="006B2333"/>
    <w:rsid w:val="006B2A31"/>
    <w:rsid w:val="006B2B59"/>
    <w:rsid w:val="006B2C9D"/>
    <w:rsid w:val="006B36C2"/>
    <w:rsid w:val="006B3BAE"/>
    <w:rsid w:val="006B42A7"/>
    <w:rsid w:val="006B4AC8"/>
    <w:rsid w:val="006B4E35"/>
    <w:rsid w:val="006B5308"/>
    <w:rsid w:val="006B55D6"/>
    <w:rsid w:val="006B5A2B"/>
    <w:rsid w:val="006B5BA8"/>
    <w:rsid w:val="006B7076"/>
    <w:rsid w:val="006B7228"/>
    <w:rsid w:val="006B72F3"/>
    <w:rsid w:val="006C0691"/>
    <w:rsid w:val="006C0915"/>
    <w:rsid w:val="006C0EF3"/>
    <w:rsid w:val="006C11BB"/>
    <w:rsid w:val="006C163A"/>
    <w:rsid w:val="006C1758"/>
    <w:rsid w:val="006C1FB5"/>
    <w:rsid w:val="006C2F61"/>
    <w:rsid w:val="006C35BA"/>
    <w:rsid w:val="006C3FF9"/>
    <w:rsid w:val="006C4136"/>
    <w:rsid w:val="006C4174"/>
    <w:rsid w:val="006C45C6"/>
    <w:rsid w:val="006C4A8F"/>
    <w:rsid w:val="006C4D76"/>
    <w:rsid w:val="006C52E6"/>
    <w:rsid w:val="006C5419"/>
    <w:rsid w:val="006C5A49"/>
    <w:rsid w:val="006C66DB"/>
    <w:rsid w:val="006C6D3F"/>
    <w:rsid w:val="006C6EE0"/>
    <w:rsid w:val="006C7201"/>
    <w:rsid w:val="006D0C24"/>
    <w:rsid w:val="006D1BC0"/>
    <w:rsid w:val="006D2499"/>
    <w:rsid w:val="006D35FC"/>
    <w:rsid w:val="006D3B1A"/>
    <w:rsid w:val="006D49F3"/>
    <w:rsid w:val="006D665A"/>
    <w:rsid w:val="006D6AE0"/>
    <w:rsid w:val="006D7512"/>
    <w:rsid w:val="006E01DA"/>
    <w:rsid w:val="006E0809"/>
    <w:rsid w:val="006E0E76"/>
    <w:rsid w:val="006E3440"/>
    <w:rsid w:val="006E347B"/>
    <w:rsid w:val="006E52E7"/>
    <w:rsid w:val="006E5764"/>
    <w:rsid w:val="006E5D07"/>
    <w:rsid w:val="006E6778"/>
    <w:rsid w:val="006E6AEF"/>
    <w:rsid w:val="006F07BF"/>
    <w:rsid w:val="006F0968"/>
    <w:rsid w:val="006F1CCF"/>
    <w:rsid w:val="006F20A4"/>
    <w:rsid w:val="006F2637"/>
    <w:rsid w:val="006F2989"/>
    <w:rsid w:val="006F3626"/>
    <w:rsid w:val="006F3B33"/>
    <w:rsid w:val="006F503D"/>
    <w:rsid w:val="006F53D7"/>
    <w:rsid w:val="00700D33"/>
    <w:rsid w:val="00700DE8"/>
    <w:rsid w:val="00700DFD"/>
    <w:rsid w:val="007027F2"/>
    <w:rsid w:val="007038D5"/>
    <w:rsid w:val="00703C87"/>
    <w:rsid w:val="00705025"/>
    <w:rsid w:val="007062FD"/>
    <w:rsid w:val="007063EE"/>
    <w:rsid w:val="007065FE"/>
    <w:rsid w:val="00706D25"/>
    <w:rsid w:val="00706FD8"/>
    <w:rsid w:val="0070781A"/>
    <w:rsid w:val="007079CE"/>
    <w:rsid w:val="007106FB"/>
    <w:rsid w:val="007111B3"/>
    <w:rsid w:val="00711F3A"/>
    <w:rsid w:val="00711F45"/>
    <w:rsid w:val="007121C9"/>
    <w:rsid w:val="00712B6C"/>
    <w:rsid w:val="00712C8C"/>
    <w:rsid w:val="00712DE1"/>
    <w:rsid w:val="00712F56"/>
    <w:rsid w:val="0071377A"/>
    <w:rsid w:val="00713E91"/>
    <w:rsid w:val="00714734"/>
    <w:rsid w:val="007158B2"/>
    <w:rsid w:val="007172B2"/>
    <w:rsid w:val="00717926"/>
    <w:rsid w:val="00720ADC"/>
    <w:rsid w:val="00721A22"/>
    <w:rsid w:val="00721CEA"/>
    <w:rsid w:val="0072265E"/>
    <w:rsid w:val="00722A10"/>
    <w:rsid w:val="007233B1"/>
    <w:rsid w:val="00723A50"/>
    <w:rsid w:val="00724108"/>
    <w:rsid w:val="007241D3"/>
    <w:rsid w:val="007247ED"/>
    <w:rsid w:val="007248BD"/>
    <w:rsid w:val="007260DA"/>
    <w:rsid w:val="00727756"/>
    <w:rsid w:val="00730040"/>
    <w:rsid w:val="0073242B"/>
    <w:rsid w:val="00732D6D"/>
    <w:rsid w:val="00733B77"/>
    <w:rsid w:val="00733F21"/>
    <w:rsid w:val="007345D3"/>
    <w:rsid w:val="0073473E"/>
    <w:rsid w:val="0073527C"/>
    <w:rsid w:val="0073581C"/>
    <w:rsid w:val="00735F76"/>
    <w:rsid w:val="00736AD5"/>
    <w:rsid w:val="00736D27"/>
    <w:rsid w:val="00736F34"/>
    <w:rsid w:val="00741BA6"/>
    <w:rsid w:val="007420C6"/>
    <w:rsid w:val="007421F4"/>
    <w:rsid w:val="007434D0"/>
    <w:rsid w:val="007445C4"/>
    <w:rsid w:val="00745142"/>
    <w:rsid w:val="00745369"/>
    <w:rsid w:val="007463E2"/>
    <w:rsid w:val="007466A4"/>
    <w:rsid w:val="00747FFA"/>
    <w:rsid w:val="007503D4"/>
    <w:rsid w:val="0075112B"/>
    <w:rsid w:val="00751FBE"/>
    <w:rsid w:val="00752B94"/>
    <w:rsid w:val="0075303E"/>
    <w:rsid w:val="0075306B"/>
    <w:rsid w:val="00754ADC"/>
    <w:rsid w:val="0075517F"/>
    <w:rsid w:val="0075706D"/>
    <w:rsid w:val="007574C3"/>
    <w:rsid w:val="00757C76"/>
    <w:rsid w:val="007608E4"/>
    <w:rsid w:val="00760D4A"/>
    <w:rsid w:val="007615A8"/>
    <w:rsid w:val="00761856"/>
    <w:rsid w:val="00761891"/>
    <w:rsid w:val="0076257F"/>
    <w:rsid w:val="0076375E"/>
    <w:rsid w:val="00763A4B"/>
    <w:rsid w:val="00763B4B"/>
    <w:rsid w:val="00764BC5"/>
    <w:rsid w:val="00764E61"/>
    <w:rsid w:val="00765008"/>
    <w:rsid w:val="007676ED"/>
    <w:rsid w:val="007679BF"/>
    <w:rsid w:val="00770830"/>
    <w:rsid w:val="0077085A"/>
    <w:rsid w:val="00770D40"/>
    <w:rsid w:val="00770EAF"/>
    <w:rsid w:val="00770F0C"/>
    <w:rsid w:val="00771068"/>
    <w:rsid w:val="007711E7"/>
    <w:rsid w:val="007715D6"/>
    <w:rsid w:val="00771E97"/>
    <w:rsid w:val="0077276E"/>
    <w:rsid w:val="007745EB"/>
    <w:rsid w:val="0077559A"/>
    <w:rsid w:val="0078015D"/>
    <w:rsid w:val="00781160"/>
    <w:rsid w:val="007827A3"/>
    <w:rsid w:val="00782DD2"/>
    <w:rsid w:val="00783881"/>
    <w:rsid w:val="00783DA7"/>
    <w:rsid w:val="00784477"/>
    <w:rsid w:val="00784A19"/>
    <w:rsid w:val="0078506A"/>
    <w:rsid w:val="00785E60"/>
    <w:rsid w:val="00785F3E"/>
    <w:rsid w:val="00785F88"/>
    <w:rsid w:val="007864CA"/>
    <w:rsid w:val="00787028"/>
    <w:rsid w:val="00787733"/>
    <w:rsid w:val="00787CDE"/>
    <w:rsid w:val="00790738"/>
    <w:rsid w:val="00791DA9"/>
    <w:rsid w:val="0079311D"/>
    <w:rsid w:val="00795EC6"/>
    <w:rsid w:val="007968EE"/>
    <w:rsid w:val="007969A4"/>
    <w:rsid w:val="00796EBB"/>
    <w:rsid w:val="00797715"/>
    <w:rsid w:val="00797C89"/>
    <w:rsid w:val="007A00D6"/>
    <w:rsid w:val="007A0CE8"/>
    <w:rsid w:val="007A1067"/>
    <w:rsid w:val="007A1D61"/>
    <w:rsid w:val="007A1E2E"/>
    <w:rsid w:val="007A212A"/>
    <w:rsid w:val="007A3184"/>
    <w:rsid w:val="007A40CB"/>
    <w:rsid w:val="007A49AC"/>
    <w:rsid w:val="007A4CFD"/>
    <w:rsid w:val="007B0068"/>
    <w:rsid w:val="007B025E"/>
    <w:rsid w:val="007B0AC3"/>
    <w:rsid w:val="007B16A3"/>
    <w:rsid w:val="007B2006"/>
    <w:rsid w:val="007B2F85"/>
    <w:rsid w:val="007B4067"/>
    <w:rsid w:val="007B42DB"/>
    <w:rsid w:val="007B4F0B"/>
    <w:rsid w:val="007B4FD3"/>
    <w:rsid w:val="007B54D6"/>
    <w:rsid w:val="007B5523"/>
    <w:rsid w:val="007B741C"/>
    <w:rsid w:val="007C099C"/>
    <w:rsid w:val="007C2334"/>
    <w:rsid w:val="007C2F65"/>
    <w:rsid w:val="007C3B71"/>
    <w:rsid w:val="007C4C33"/>
    <w:rsid w:val="007C5DF2"/>
    <w:rsid w:val="007C64F7"/>
    <w:rsid w:val="007C6E13"/>
    <w:rsid w:val="007C6E66"/>
    <w:rsid w:val="007C795D"/>
    <w:rsid w:val="007C7C9C"/>
    <w:rsid w:val="007D0ABB"/>
    <w:rsid w:val="007D1696"/>
    <w:rsid w:val="007D183F"/>
    <w:rsid w:val="007D1F12"/>
    <w:rsid w:val="007D2AEF"/>
    <w:rsid w:val="007D2CE6"/>
    <w:rsid w:val="007D4FF8"/>
    <w:rsid w:val="007D633B"/>
    <w:rsid w:val="007D63B3"/>
    <w:rsid w:val="007D7D73"/>
    <w:rsid w:val="007E16E5"/>
    <w:rsid w:val="007E18BB"/>
    <w:rsid w:val="007E33D4"/>
    <w:rsid w:val="007E39E6"/>
    <w:rsid w:val="007E3DCF"/>
    <w:rsid w:val="007E475F"/>
    <w:rsid w:val="007E4981"/>
    <w:rsid w:val="007E5285"/>
    <w:rsid w:val="007E617C"/>
    <w:rsid w:val="007E6F35"/>
    <w:rsid w:val="007E7340"/>
    <w:rsid w:val="007F0343"/>
    <w:rsid w:val="007F0442"/>
    <w:rsid w:val="007F097C"/>
    <w:rsid w:val="007F0999"/>
    <w:rsid w:val="007F1856"/>
    <w:rsid w:val="007F1970"/>
    <w:rsid w:val="007F3089"/>
    <w:rsid w:val="007F360A"/>
    <w:rsid w:val="007F5225"/>
    <w:rsid w:val="007F5488"/>
    <w:rsid w:val="007F638B"/>
    <w:rsid w:val="007F6D99"/>
    <w:rsid w:val="007F6E9E"/>
    <w:rsid w:val="007F7831"/>
    <w:rsid w:val="007F7842"/>
    <w:rsid w:val="007F7A60"/>
    <w:rsid w:val="007F7D3B"/>
    <w:rsid w:val="007F7FC3"/>
    <w:rsid w:val="008004DF"/>
    <w:rsid w:val="008015A0"/>
    <w:rsid w:val="00802421"/>
    <w:rsid w:val="008024B2"/>
    <w:rsid w:val="00802958"/>
    <w:rsid w:val="00803C30"/>
    <w:rsid w:val="00804D12"/>
    <w:rsid w:val="00804D43"/>
    <w:rsid w:val="00805255"/>
    <w:rsid w:val="00810D73"/>
    <w:rsid w:val="00810F87"/>
    <w:rsid w:val="0081176B"/>
    <w:rsid w:val="008122CC"/>
    <w:rsid w:val="00812582"/>
    <w:rsid w:val="008125D7"/>
    <w:rsid w:val="008126F5"/>
    <w:rsid w:val="008136B4"/>
    <w:rsid w:val="00813B8E"/>
    <w:rsid w:val="008143A4"/>
    <w:rsid w:val="008145C0"/>
    <w:rsid w:val="008151A6"/>
    <w:rsid w:val="00815EE9"/>
    <w:rsid w:val="00816B32"/>
    <w:rsid w:val="00816F2D"/>
    <w:rsid w:val="0082014C"/>
    <w:rsid w:val="00820E23"/>
    <w:rsid w:val="0082105B"/>
    <w:rsid w:val="008221EB"/>
    <w:rsid w:val="008226CF"/>
    <w:rsid w:val="00822727"/>
    <w:rsid w:val="008233A4"/>
    <w:rsid w:val="008241B9"/>
    <w:rsid w:val="008248E0"/>
    <w:rsid w:val="00826E25"/>
    <w:rsid w:val="00827BBD"/>
    <w:rsid w:val="00827C9A"/>
    <w:rsid w:val="008304E8"/>
    <w:rsid w:val="00830F86"/>
    <w:rsid w:val="0083278B"/>
    <w:rsid w:val="0083285E"/>
    <w:rsid w:val="00833EC0"/>
    <w:rsid w:val="008343BD"/>
    <w:rsid w:val="0083444D"/>
    <w:rsid w:val="00834E93"/>
    <w:rsid w:val="00836845"/>
    <w:rsid w:val="00837612"/>
    <w:rsid w:val="00840A22"/>
    <w:rsid w:val="00840F72"/>
    <w:rsid w:val="00841322"/>
    <w:rsid w:val="00841645"/>
    <w:rsid w:val="008420D9"/>
    <w:rsid w:val="008427C5"/>
    <w:rsid w:val="00842A5C"/>
    <w:rsid w:val="00843119"/>
    <w:rsid w:val="00844689"/>
    <w:rsid w:val="00845545"/>
    <w:rsid w:val="00845551"/>
    <w:rsid w:val="008469DF"/>
    <w:rsid w:val="008503E1"/>
    <w:rsid w:val="00850412"/>
    <w:rsid w:val="00850C75"/>
    <w:rsid w:val="00851278"/>
    <w:rsid w:val="00852CAD"/>
    <w:rsid w:val="00852EA6"/>
    <w:rsid w:val="00854146"/>
    <w:rsid w:val="00854E5A"/>
    <w:rsid w:val="0085520E"/>
    <w:rsid w:val="00855D5F"/>
    <w:rsid w:val="00855EAC"/>
    <w:rsid w:val="008564FF"/>
    <w:rsid w:val="00856854"/>
    <w:rsid w:val="0085692D"/>
    <w:rsid w:val="00856E42"/>
    <w:rsid w:val="00860B35"/>
    <w:rsid w:val="0086119A"/>
    <w:rsid w:val="0086634C"/>
    <w:rsid w:val="00866C27"/>
    <w:rsid w:val="00867C62"/>
    <w:rsid w:val="00867EDC"/>
    <w:rsid w:val="00870531"/>
    <w:rsid w:val="00871877"/>
    <w:rsid w:val="00871CAF"/>
    <w:rsid w:val="008726CA"/>
    <w:rsid w:val="00872B0F"/>
    <w:rsid w:val="008737EA"/>
    <w:rsid w:val="00873855"/>
    <w:rsid w:val="00873BC6"/>
    <w:rsid w:val="0087411F"/>
    <w:rsid w:val="008744A5"/>
    <w:rsid w:val="008745D3"/>
    <w:rsid w:val="0087489F"/>
    <w:rsid w:val="00874F0C"/>
    <w:rsid w:val="00875044"/>
    <w:rsid w:val="00875C7F"/>
    <w:rsid w:val="00877CEF"/>
    <w:rsid w:val="00880E92"/>
    <w:rsid w:val="008815DE"/>
    <w:rsid w:val="0088172D"/>
    <w:rsid w:val="00881778"/>
    <w:rsid w:val="00882103"/>
    <w:rsid w:val="008824B3"/>
    <w:rsid w:val="00883142"/>
    <w:rsid w:val="00884384"/>
    <w:rsid w:val="00884B2C"/>
    <w:rsid w:val="00884FEB"/>
    <w:rsid w:val="00885185"/>
    <w:rsid w:val="00885309"/>
    <w:rsid w:val="0088587E"/>
    <w:rsid w:val="0088630E"/>
    <w:rsid w:val="00887637"/>
    <w:rsid w:val="00887929"/>
    <w:rsid w:val="00887A83"/>
    <w:rsid w:val="0089010B"/>
    <w:rsid w:val="00893133"/>
    <w:rsid w:val="008932B5"/>
    <w:rsid w:val="00894221"/>
    <w:rsid w:val="008968A4"/>
    <w:rsid w:val="00897812"/>
    <w:rsid w:val="008A05EC"/>
    <w:rsid w:val="008A0983"/>
    <w:rsid w:val="008A1203"/>
    <w:rsid w:val="008A15A6"/>
    <w:rsid w:val="008A1A1E"/>
    <w:rsid w:val="008A1C51"/>
    <w:rsid w:val="008A301C"/>
    <w:rsid w:val="008A3152"/>
    <w:rsid w:val="008A3D96"/>
    <w:rsid w:val="008A49E8"/>
    <w:rsid w:val="008A509C"/>
    <w:rsid w:val="008A5DBC"/>
    <w:rsid w:val="008A61B3"/>
    <w:rsid w:val="008A7A5D"/>
    <w:rsid w:val="008B17E8"/>
    <w:rsid w:val="008B1A0F"/>
    <w:rsid w:val="008B2119"/>
    <w:rsid w:val="008B23C9"/>
    <w:rsid w:val="008B2F5E"/>
    <w:rsid w:val="008B37B1"/>
    <w:rsid w:val="008B3A5F"/>
    <w:rsid w:val="008B3E8F"/>
    <w:rsid w:val="008B6066"/>
    <w:rsid w:val="008B695F"/>
    <w:rsid w:val="008B6B86"/>
    <w:rsid w:val="008B7267"/>
    <w:rsid w:val="008B73EE"/>
    <w:rsid w:val="008C017D"/>
    <w:rsid w:val="008C09FE"/>
    <w:rsid w:val="008C1133"/>
    <w:rsid w:val="008C122C"/>
    <w:rsid w:val="008C2330"/>
    <w:rsid w:val="008C26F8"/>
    <w:rsid w:val="008C2DC4"/>
    <w:rsid w:val="008C5233"/>
    <w:rsid w:val="008C5886"/>
    <w:rsid w:val="008C624D"/>
    <w:rsid w:val="008C66C7"/>
    <w:rsid w:val="008C6A9B"/>
    <w:rsid w:val="008C6E0B"/>
    <w:rsid w:val="008C732E"/>
    <w:rsid w:val="008D0D6A"/>
    <w:rsid w:val="008D1D6C"/>
    <w:rsid w:val="008D2210"/>
    <w:rsid w:val="008D230A"/>
    <w:rsid w:val="008D24A6"/>
    <w:rsid w:val="008D274F"/>
    <w:rsid w:val="008D2979"/>
    <w:rsid w:val="008D30F0"/>
    <w:rsid w:val="008D4535"/>
    <w:rsid w:val="008D53B8"/>
    <w:rsid w:val="008D5CDE"/>
    <w:rsid w:val="008D6256"/>
    <w:rsid w:val="008D6581"/>
    <w:rsid w:val="008D696E"/>
    <w:rsid w:val="008D7455"/>
    <w:rsid w:val="008D7D83"/>
    <w:rsid w:val="008E0688"/>
    <w:rsid w:val="008E0E86"/>
    <w:rsid w:val="008E0F08"/>
    <w:rsid w:val="008E10EF"/>
    <w:rsid w:val="008E20BD"/>
    <w:rsid w:val="008E38E8"/>
    <w:rsid w:val="008E3CA9"/>
    <w:rsid w:val="008E47D2"/>
    <w:rsid w:val="008E5ADB"/>
    <w:rsid w:val="008F0BB5"/>
    <w:rsid w:val="008F1D51"/>
    <w:rsid w:val="008F2C6B"/>
    <w:rsid w:val="008F2D4E"/>
    <w:rsid w:val="008F3052"/>
    <w:rsid w:val="008F42E6"/>
    <w:rsid w:val="008F50DF"/>
    <w:rsid w:val="008F54B0"/>
    <w:rsid w:val="008F5BFE"/>
    <w:rsid w:val="008F6C88"/>
    <w:rsid w:val="008F7C56"/>
    <w:rsid w:val="0090036A"/>
    <w:rsid w:val="00900C1D"/>
    <w:rsid w:val="00901501"/>
    <w:rsid w:val="00901574"/>
    <w:rsid w:val="00902B4D"/>
    <w:rsid w:val="00902BCE"/>
    <w:rsid w:val="00902EFC"/>
    <w:rsid w:val="00905EA9"/>
    <w:rsid w:val="009068C9"/>
    <w:rsid w:val="00907115"/>
    <w:rsid w:val="00907513"/>
    <w:rsid w:val="00907AF9"/>
    <w:rsid w:val="00910210"/>
    <w:rsid w:val="009109C8"/>
    <w:rsid w:val="009118EE"/>
    <w:rsid w:val="00912DF5"/>
    <w:rsid w:val="00913A2F"/>
    <w:rsid w:val="00913FC0"/>
    <w:rsid w:val="00914623"/>
    <w:rsid w:val="00916197"/>
    <w:rsid w:val="00920491"/>
    <w:rsid w:val="00921700"/>
    <w:rsid w:val="00922B19"/>
    <w:rsid w:val="00922F04"/>
    <w:rsid w:val="009239A1"/>
    <w:rsid w:val="0092451B"/>
    <w:rsid w:val="009247A0"/>
    <w:rsid w:val="00924EEF"/>
    <w:rsid w:val="00924FE7"/>
    <w:rsid w:val="009258A2"/>
    <w:rsid w:val="009265F9"/>
    <w:rsid w:val="009270FE"/>
    <w:rsid w:val="00927A7A"/>
    <w:rsid w:val="00927A8B"/>
    <w:rsid w:val="00927B49"/>
    <w:rsid w:val="00927F02"/>
    <w:rsid w:val="009301D3"/>
    <w:rsid w:val="0093055F"/>
    <w:rsid w:val="00930817"/>
    <w:rsid w:val="009308DB"/>
    <w:rsid w:val="00931528"/>
    <w:rsid w:val="009317AA"/>
    <w:rsid w:val="0093202C"/>
    <w:rsid w:val="00932E47"/>
    <w:rsid w:val="009339C1"/>
    <w:rsid w:val="00933C5E"/>
    <w:rsid w:val="00934BDB"/>
    <w:rsid w:val="00934F04"/>
    <w:rsid w:val="00936395"/>
    <w:rsid w:val="00936BB3"/>
    <w:rsid w:val="00936DD1"/>
    <w:rsid w:val="00936F63"/>
    <w:rsid w:val="009371BA"/>
    <w:rsid w:val="00937A7D"/>
    <w:rsid w:val="0094162B"/>
    <w:rsid w:val="00941843"/>
    <w:rsid w:val="00942368"/>
    <w:rsid w:val="009433BC"/>
    <w:rsid w:val="0094380A"/>
    <w:rsid w:val="00944530"/>
    <w:rsid w:val="00945ED3"/>
    <w:rsid w:val="00947028"/>
    <w:rsid w:val="00947A01"/>
    <w:rsid w:val="00950950"/>
    <w:rsid w:val="00950EE5"/>
    <w:rsid w:val="00951204"/>
    <w:rsid w:val="00952ECC"/>
    <w:rsid w:val="0095353C"/>
    <w:rsid w:val="00954485"/>
    <w:rsid w:val="00954A0C"/>
    <w:rsid w:val="00955AA6"/>
    <w:rsid w:val="00955C81"/>
    <w:rsid w:val="00955F25"/>
    <w:rsid w:val="00960B47"/>
    <w:rsid w:val="00962BBD"/>
    <w:rsid w:val="009633A5"/>
    <w:rsid w:val="0096378F"/>
    <w:rsid w:val="00964E1D"/>
    <w:rsid w:val="00965272"/>
    <w:rsid w:val="00965D27"/>
    <w:rsid w:val="00966663"/>
    <w:rsid w:val="00967868"/>
    <w:rsid w:val="00967FAE"/>
    <w:rsid w:val="00971A2C"/>
    <w:rsid w:val="009720F9"/>
    <w:rsid w:val="009721E6"/>
    <w:rsid w:val="00972A1C"/>
    <w:rsid w:val="00973707"/>
    <w:rsid w:val="00973973"/>
    <w:rsid w:val="00973B8E"/>
    <w:rsid w:val="00974150"/>
    <w:rsid w:val="009742FC"/>
    <w:rsid w:val="00974E3F"/>
    <w:rsid w:val="00974F0C"/>
    <w:rsid w:val="00975344"/>
    <w:rsid w:val="00975CA2"/>
    <w:rsid w:val="00975F7F"/>
    <w:rsid w:val="009769DE"/>
    <w:rsid w:val="009807C6"/>
    <w:rsid w:val="00981540"/>
    <w:rsid w:val="009817E3"/>
    <w:rsid w:val="0098182F"/>
    <w:rsid w:val="0098245F"/>
    <w:rsid w:val="00984A5C"/>
    <w:rsid w:val="00985397"/>
    <w:rsid w:val="00985B99"/>
    <w:rsid w:val="00986D41"/>
    <w:rsid w:val="00986FA9"/>
    <w:rsid w:val="0098757C"/>
    <w:rsid w:val="0098778D"/>
    <w:rsid w:val="00991C37"/>
    <w:rsid w:val="00991D59"/>
    <w:rsid w:val="009921F0"/>
    <w:rsid w:val="0099270E"/>
    <w:rsid w:val="00992C04"/>
    <w:rsid w:val="00994D07"/>
    <w:rsid w:val="00995A7F"/>
    <w:rsid w:val="00995B12"/>
    <w:rsid w:val="0099694B"/>
    <w:rsid w:val="009A0C4E"/>
    <w:rsid w:val="009A1317"/>
    <w:rsid w:val="009A1662"/>
    <w:rsid w:val="009A1A9B"/>
    <w:rsid w:val="009A2864"/>
    <w:rsid w:val="009A2E43"/>
    <w:rsid w:val="009A3874"/>
    <w:rsid w:val="009A4399"/>
    <w:rsid w:val="009A455A"/>
    <w:rsid w:val="009A47E2"/>
    <w:rsid w:val="009A4B3E"/>
    <w:rsid w:val="009A6E08"/>
    <w:rsid w:val="009A7A38"/>
    <w:rsid w:val="009B09F5"/>
    <w:rsid w:val="009B0E38"/>
    <w:rsid w:val="009B25C7"/>
    <w:rsid w:val="009B3008"/>
    <w:rsid w:val="009B355E"/>
    <w:rsid w:val="009B4D6A"/>
    <w:rsid w:val="009B511B"/>
    <w:rsid w:val="009B526D"/>
    <w:rsid w:val="009B591B"/>
    <w:rsid w:val="009B5985"/>
    <w:rsid w:val="009B627A"/>
    <w:rsid w:val="009B688D"/>
    <w:rsid w:val="009B6CE4"/>
    <w:rsid w:val="009C001E"/>
    <w:rsid w:val="009C083D"/>
    <w:rsid w:val="009C2C58"/>
    <w:rsid w:val="009C3801"/>
    <w:rsid w:val="009C3D16"/>
    <w:rsid w:val="009C3DD6"/>
    <w:rsid w:val="009C4291"/>
    <w:rsid w:val="009C43C7"/>
    <w:rsid w:val="009C44E7"/>
    <w:rsid w:val="009C4702"/>
    <w:rsid w:val="009C5582"/>
    <w:rsid w:val="009C68BF"/>
    <w:rsid w:val="009C7899"/>
    <w:rsid w:val="009C7D6A"/>
    <w:rsid w:val="009D288A"/>
    <w:rsid w:val="009D30AF"/>
    <w:rsid w:val="009D3244"/>
    <w:rsid w:val="009D50E7"/>
    <w:rsid w:val="009D5501"/>
    <w:rsid w:val="009D5D1A"/>
    <w:rsid w:val="009D6EDB"/>
    <w:rsid w:val="009D7A90"/>
    <w:rsid w:val="009E283E"/>
    <w:rsid w:val="009E2BBD"/>
    <w:rsid w:val="009E42EE"/>
    <w:rsid w:val="009E4A27"/>
    <w:rsid w:val="009E4FA0"/>
    <w:rsid w:val="009E563E"/>
    <w:rsid w:val="009E5CC6"/>
    <w:rsid w:val="009E5DCC"/>
    <w:rsid w:val="009E61D8"/>
    <w:rsid w:val="009E655E"/>
    <w:rsid w:val="009E718A"/>
    <w:rsid w:val="009E7D0C"/>
    <w:rsid w:val="009E7D4D"/>
    <w:rsid w:val="009E7DDE"/>
    <w:rsid w:val="009F0653"/>
    <w:rsid w:val="009F1084"/>
    <w:rsid w:val="009F1550"/>
    <w:rsid w:val="009F19E9"/>
    <w:rsid w:val="009F1F3F"/>
    <w:rsid w:val="009F2B54"/>
    <w:rsid w:val="009F362C"/>
    <w:rsid w:val="009F3AD0"/>
    <w:rsid w:val="009F3BF5"/>
    <w:rsid w:val="009F45B7"/>
    <w:rsid w:val="009F5262"/>
    <w:rsid w:val="009F78B4"/>
    <w:rsid w:val="009F7C08"/>
    <w:rsid w:val="00A01C72"/>
    <w:rsid w:val="00A0239C"/>
    <w:rsid w:val="00A02850"/>
    <w:rsid w:val="00A03C89"/>
    <w:rsid w:val="00A03DC9"/>
    <w:rsid w:val="00A045D1"/>
    <w:rsid w:val="00A0483F"/>
    <w:rsid w:val="00A04CFA"/>
    <w:rsid w:val="00A07646"/>
    <w:rsid w:val="00A10210"/>
    <w:rsid w:val="00A10C90"/>
    <w:rsid w:val="00A11C6E"/>
    <w:rsid w:val="00A12B66"/>
    <w:rsid w:val="00A136CD"/>
    <w:rsid w:val="00A14679"/>
    <w:rsid w:val="00A159E2"/>
    <w:rsid w:val="00A15AAC"/>
    <w:rsid w:val="00A16FFF"/>
    <w:rsid w:val="00A201CF"/>
    <w:rsid w:val="00A20B73"/>
    <w:rsid w:val="00A2220F"/>
    <w:rsid w:val="00A232F8"/>
    <w:rsid w:val="00A24751"/>
    <w:rsid w:val="00A248E2"/>
    <w:rsid w:val="00A26662"/>
    <w:rsid w:val="00A2674E"/>
    <w:rsid w:val="00A2757B"/>
    <w:rsid w:val="00A27BBC"/>
    <w:rsid w:val="00A30C4C"/>
    <w:rsid w:val="00A31125"/>
    <w:rsid w:val="00A31E59"/>
    <w:rsid w:val="00A320B1"/>
    <w:rsid w:val="00A325F5"/>
    <w:rsid w:val="00A33695"/>
    <w:rsid w:val="00A33C55"/>
    <w:rsid w:val="00A34026"/>
    <w:rsid w:val="00A3453C"/>
    <w:rsid w:val="00A369B8"/>
    <w:rsid w:val="00A369C3"/>
    <w:rsid w:val="00A37988"/>
    <w:rsid w:val="00A37A04"/>
    <w:rsid w:val="00A402A8"/>
    <w:rsid w:val="00A41661"/>
    <w:rsid w:val="00A4281F"/>
    <w:rsid w:val="00A4309F"/>
    <w:rsid w:val="00A4319E"/>
    <w:rsid w:val="00A433ED"/>
    <w:rsid w:val="00A44410"/>
    <w:rsid w:val="00A4645E"/>
    <w:rsid w:val="00A50EB7"/>
    <w:rsid w:val="00A51AA9"/>
    <w:rsid w:val="00A5221E"/>
    <w:rsid w:val="00A53185"/>
    <w:rsid w:val="00A532F5"/>
    <w:rsid w:val="00A53C11"/>
    <w:rsid w:val="00A5427A"/>
    <w:rsid w:val="00A5527A"/>
    <w:rsid w:val="00A55DC4"/>
    <w:rsid w:val="00A56F0F"/>
    <w:rsid w:val="00A60195"/>
    <w:rsid w:val="00A6393D"/>
    <w:rsid w:val="00A6394C"/>
    <w:rsid w:val="00A64421"/>
    <w:rsid w:val="00A648C2"/>
    <w:rsid w:val="00A66053"/>
    <w:rsid w:val="00A6683C"/>
    <w:rsid w:val="00A66EC6"/>
    <w:rsid w:val="00A6706B"/>
    <w:rsid w:val="00A672A8"/>
    <w:rsid w:val="00A675D9"/>
    <w:rsid w:val="00A700A3"/>
    <w:rsid w:val="00A70159"/>
    <w:rsid w:val="00A70245"/>
    <w:rsid w:val="00A707F3"/>
    <w:rsid w:val="00A72DF3"/>
    <w:rsid w:val="00A73282"/>
    <w:rsid w:val="00A732AE"/>
    <w:rsid w:val="00A7376F"/>
    <w:rsid w:val="00A74B40"/>
    <w:rsid w:val="00A74D8D"/>
    <w:rsid w:val="00A75338"/>
    <w:rsid w:val="00A76381"/>
    <w:rsid w:val="00A767BE"/>
    <w:rsid w:val="00A772B4"/>
    <w:rsid w:val="00A774C1"/>
    <w:rsid w:val="00A779E9"/>
    <w:rsid w:val="00A801A9"/>
    <w:rsid w:val="00A807E1"/>
    <w:rsid w:val="00A80A02"/>
    <w:rsid w:val="00A80C2E"/>
    <w:rsid w:val="00A826E9"/>
    <w:rsid w:val="00A8286E"/>
    <w:rsid w:val="00A82F95"/>
    <w:rsid w:val="00A8318E"/>
    <w:rsid w:val="00A840BE"/>
    <w:rsid w:val="00A840D5"/>
    <w:rsid w:val="00A85CE0"/>
    <w:rsid w:val="00A85E91"/>
    <w:rsid w:val="00A85EDB"/>
    <w:rsid w:val="00A86139"/>
    <w:rsid w:val="00A86C99"/>
    <w:rsid w:val="00A86EB4"/>
    <w:rsid w:val="00A90BDF"/>
    <w:rsid w:val="00A92865"/>
    <w:rsid w:val="00A92CFF"/>
    <w:rsid w:val="00A92F0D"/>
    <w:rsid w:val="00A94497"/>
    <w:rsid w:val="00A94F5F"/>
    <w:rsid w:val="00A94FBC"/>
    <w:rsid w:val="00A95150"/>
    <w:rsid w:val="00A9559C"/>
    <w:rsid w:val="00A95FD0"/>
    <w:rsid w:val="00A97C62"/>
    <w:rsid w:val="00A97DCA"/>
    <w:rsid w:val="00A97FED"/>
    <w:rsid w:val="00AA02BE"/>
    <w:rsid w:val="00AA1B66"/>
    <w:rsid w:val="00AA3189"/>
    <w:rsid w:val="00AA629F"/>
    <w:rsid w:val="00AA6A66"/>
    <w:rsid w:val="00AA72D7"/>
    <w:rsid w:val="00AA7658"/>
    <w:rsid w:val="00AB01A1"/>
    <w:rsid w:val="00AB0412"/>
    <w:rsid w:val="00AB0885"/>
    <w:rsid w:val="00AB1C4B"/>
    <w:rsid w:val="00AB2389"/>
    <w:rsid w:val="00AB2C97"/>
    <w:rsid w:val="00AB2F46"/>
    <w:rsid w:val="00AB393F"/>
    <w:rsid w:val="00AB3FE1"/>
    <w:rsid w:val="00AB4C74"/>
    <w:rsid w:val="00AB4E51"/>
    <w:rsid w:val="00AB5C94"/>
    <w:rsid w:val="00AB63E5"/>
    <w:rsid w:val="00AB6610"/>
    <w:rsid w:val="00AB67AA"/>
    <w:rsid w:val="00AB68B2"/>
    <w:rsid w:val="00AB7835"/>
    <w:rsid w:val="00AB7B8D"/>
    <w:rsid w:val="00AB7EF6"/>
    <w:rsid w:val="00AC06B8"/>
    <w:rsid w:val="00AC0C9F"/>
    <w:rsid w:val="00AC0F2C"/>
    <w:rsid w:val="00AC14E2"/>
    <w:rsid w:val="00AC1F38"/>
    <w:rsid w:val="00AC3054"/>
    <w:rsid w:val="00AC4299"/>
    <w:rsid w:val="00AC4E3A"/>
    <w:rsid w:val="00AC5975"/>
    <w:rsid w:val="00AC5D72"/>
    <w:rsid w:val="00AC5F45"/>
    <w:rsid w:val="00AC6255"/>
    <w:rsid w:val="00AC654C"/>
    <w:rsid w:val="00AC6570"/>
    <w:rsid w:val="00AC6619"/>
    <w:rsid w:val="00AC7107"/>
    <w:rsid w:val="00AD061B"/>
    <w:rsid w:val="00AD0C6F"/>
    <w:rsid w:val="00AD1A08"/>
    <w:rsid w:val="00AD4571"/>
    <w:rsid w:val="00AD70F1"/>
    <w:rsid w:val="00AD7567"/>
    <w:rsid w:val="00AE0C1B"/>
    <w:rsid w:val="00AE1CD7"/>
    <w:rsid w:val="00AE3D79"/>
    <w:rsid w:val="00AE7CD3"/>
    <w:rsid w:val="00AF003B"/>
    <w:rsid w:val="00AF07E2"/>
    <w:rsid w:val="00AF1037"/>
    <w:rsid w:val="00AF1E50"/>
    <w:rsid w:val="00AF1F57"/>
    <w:rsid w:val="00AF2910"/>
    <w:rsid w:val="00AF3C10"/>
    <w:rsid w:val="00AF3C69"/>
    <w:rsid w:val="00AF3D7A"/>
    <w:rsid w:val="00AF4ED2"/>
    <w:rsid w:val="00AF61D0"/>
    <w:rsid w:val="00AF6219"/>
    <w:rsid w:val="00AF62BC"/>
    <w:rsid w:val="00AF672F"/>
    <w:rsid w:val="00AF6862"/>
    <w:rsid w:val="00AF6F2C"/>
    <w:rsid w:val="00AF7FA5"/>
    <w:rsid w:val="00B006E9"/>
    <w:rsid w:val="00B01163"/>
    <w:rsid w:val="00B024AD"/>
    <w:rsid w:val="00B024D7"/>
    <w:rsid w:val="00B03CD3"/>
    <w:rsid w:val="00B048F1"/>
    <w:rsid w:val="00B049B4"/>
    <w:rsid w:val="00B04D23"/>
    <w:rsid w:val="00B057CA"/>
    <w:rsid w:val="00B06C38"/>
    <w:rsid w:val="00B11505"/>
    <w:rsid w:val="00B11D0D"/>
    <w:rsid w:val="00B12E10"/>
    <w:rsid w:val="00B12EA6"/>
    <w:rsid w:val="00B13F06"/>
    <w:rsid w:val="00B14047"/>
    <w:rsid w:val="00B14253"/>
    <w:rsid w:val="00B145A2"/>
    <w:rsid w:val="00B15280"/>
    <w:rsid w:val="00B15761"/>
    <w:rsid w:val="00B15DB6"/>
    <w:rsid w:val="00B15F2D"/>
    <w:rsid w:val="00B17100"/>
    <w:rsid w:val="00B171C0"/>
    <w:rsid w:val="00B17999"/>
    <w:rsid w:val="00B20317"/>
    <w:rsid w:val="00B20E5D"/>
    <w:rsid w:val="00B212C5"/>
    <w:rsid w:val="00B21DE2"/>
    <w:rsid w:val="00B21E50"/>
    <w:rsid w:val="00B22110"/>
    <w:rsid w:val="00B22E27"/>
    <w:rsid w:val="00B23005"/>
    <w:rsid w:val="00B267A1"/>
    <w:rsid w:val="00B26927"/>
    <w:rsid w:val="00B30046"/>
    <w:rsid w:val="00B31D8A"/>
    <w:rsid w:val="00B32AFB"/>
    <w:rsid w:val="00B34001"/>
    <w:rsid w:val="00B34B0B"/>
    <w:rsid w:val="00B34B77"/>
    <w:rsid w:val="00B34DD6"/>
    <w:rsid w:val="00B35F80"/>
    <w:rsid w:val="00B3602B"/>
    <w:rsid w:val="00B36BA6"/>
    <w:rsid w:val="00B36EAA"/>
    <w:rsid w:val="00B4088C"/>
    <w:rsid w:val="00B4177D"/>
    <w:rsid w:val="00B429FB"/>
    <w:rsid w:val="00B431BD"/>
    <w:rsid w:val="00B439B1"/>
    <w:rsid w:val="00B43C2A"/>
    <w:rsid w:val="00B43F29"/>
    <w:rsid w:val="00B4423C"/>
    <w:rsid w:val="00B442BD"/>
    <w:rsid w:val="00B44FD0"/>
    <w:rsid w:val="00B4512A"/>
    <w:rsid w:val="00B45BCF"/>
    <w:rsid w:val="00B47F0C"/>
    <w:rsid w:val="00B50194"/>
    <w:rsid w:val="00B50C55"/>
    <w:rsid w:val="00B50D11"/>
    <w:rsid w:val="00B51A5D"/>
    <w:rsid w:val="00B51CC6"/>
    <w:rsid w:val="00B51F42"/>
    <w:rsid w:val="00B522A4"/>
    <w:rsid w:val="00B52872"/>
    <w:rsid w:val="00B53030"/>
    <w:rsid w:val="00B53847"/>
    <w:rsid w:val="00B53939"/>
    <w:rsid w:val="00B542AB"/>
    <w:rsid w:val="00B62635"/>
    <w:rsid w:val="00B64EB6"/>
    <w:rsid w:val="00B65593"/>
    <w:rsid w:val="00B65598"/>
    <w:rsid w:val="00B704AB"/>
    <w:rsid w:val="00B71CD5"/>
    <w:rsid w:val="00B71DAC"/>
    <w:rsid w:val="00B723C6"/>
    <w:rsid w:val="00B72E87"/>
    <w:rsid w:val="00B730C7"/>
    <w:rsid w:val="00B734C4"/>
    <w:rsid w:val="00B7350E"/>
    <w:rsid w:val="00B74792"/>
    <w:rsid w:val="00B74827"/>
    <w:rsid w:val="00B7583B"/>
    <w:rsid w:val="00B759BA"/>
    <w:rsid w:val="00B811B0"/>
    <w:rsid w:val="00B814CA"/>
    <w:rsid w:val="00B816A3"/>
    <w:rsid w:val="00B822A4"/>
    <w:rsid w:val="00B828CC"/>
    <w:rsid w:val="00B83834"/>
    <w:rsid w:val="00B83DDE"/>
    <w:rsid w:val="00B846EC"/>
    <w:rsid w:val="00B8560C"/>
    <w:rsid w:val="00B856D5"/>
    <w:rsid w:val="00B8575F"/>
    <w:rsid w:val="00B85B8C"/>
    <w:rsid w:val="00B85C48"/>
    <w:rsid w:val="00B85F75"/>
    <w:rsid w:val="00B86114"/>
    <w:rsid w:val="00B86CA9"/>
    <w:rsid w:val="00B912BF"/>
    <w:rsid w:val="00B91440"/>
    <w:rsid w:val="00B918B1"/>
    <w:rsid w:val="00B92AAD"/>
    <w:rsid w:val="00B93FA1"/>
    <w:rsid w:val="00B94F66"/>
    <w:rsid w:val="00B96FBD"/>
    <w:rsid w:val="00B976B5"/>
    <w:rsid w:val="00B976CF"/>
    <w:rsid w:val="00B97F1B"/>
    <w:rsid w:val="00BA05FE"/>
    <w:rsid w:val="00BA1BF6"/>
    <w:rsid w:val="00BA1C6C"/>
    <w:rsid w:val="00BA1CD6"/>
    <w:rsid w:val="00BA2863"/>
    <w:rsid w:val="00BA325A"/>
    <w:rsid w:val="00BA4A8E"/>
    <w:rsid w:val="00BA5699"/>
    <w:rsid w:val="00BA58FE"/>
    <w:rsid w:val="00BA5C1F"/>
    <w:rsid w:val="00BA6384"/>
    <w:rsid w:val="00BA6E03"/>
    <w:rsid w:val="00BA7308"/>
    <w:rsid w:val="00BA7CE0"/>
    <w:rsid w:val="00BB169C"/>
    <w:rsid w:val="00BB18C2"/>
    <w:rsid w:val="00BB1DFE"/>
    <w:rsid w:val="00BB225B"/>
    <w:rsid w:val="00BB22D4"/>
    <w:rsid w:val="00BB3CBE"/>
    <w:rsid w:val="00BB50BB"/>
    <w:rsid w:val="00BB5B5D"/>
    <w:rsid w:val="00BB6397"/>
    <w:rsid w:val="00BB6B9C"/>
    <w:rsid w:val="00BB73C8"/>
    <w:rsid w:val="00BB7E19"/>
    <w:rsid w:val="00BC068F"/>
    <w:rsid w:val="00BC0A7F"/>
    <w:rsid w:val="00BC1220"/>
    <w:rsid w:val="00BC177F"/>
    <w:rsid w:val="00BC2C58"/>
    <w:rsid w:val="00BC3A29"/>
    <w:rsid w:val="00BC3F13"/>
    <w:rsid w:val="00BC40B5"/>
    <w:rsid w:val="00BC43FD"/>
    <w:rsid w:val="00BC47BF"/>
    <w:rsid w:val="00BC4F1C"/>
    <w:rsid w:val="00BC51F5"/>
    <w:rsid w:val="00BC61CD"/>
    <w:rsid w:val="00BC61F2"/>
    <w:rsid w:val="00BC67C0"/>
    <w:rsid w:val="00BC6F32"/>
    <w:rsid w:val="00BC6F41"/>
    <w:rsid w:val="00BC793E"/>
    <w:rsid w:val="00BC7E64"/>
    <w:rsid w:val="00BD1270"/>
    <w:rsid w:val="00BD1342"/>
    <w:rsid w:val="00BD1379"/>
    <w:rsid w:val="00BD2FE7"/>
    <w:rsid w:val="00BD36DE"/>
    <w:rsid w:val="00BD4E13"/>
    <w:rsid w:val="00BD52C3"/>
    <w:rsid w:val="00BD5485"/>
    <w:rsid w:val="00BD5A14"/>
    <w:rsid w:val="00BD5F43"/>
    <w:rsid w:val="00BD661B"/>
    <w:rsid w:val="00BD687C"/>
    <w:rsid w:val="00BD6DB9"/>
    <w:rsid w:val="00BD71A3"/>
    <w:rsid w:val="00BD75D1"/>
    <w:rsid w:val="00BE0363"/>
    <w:rsid w:val="00BE0A45"/>
    <w:rsid w:val="00BE1233"/>
    <w:rsid w:val="00BE1277"/>
    <w:rsid w:val="00BE1311"/>
    <w:rsid w:val="00BE19C2"/>
    <w:rsid w:val="00BE358B"/>
    <w:rsid w:val="00BE4109"/>
    <w:rsid w:val="00BE447B"/>
    <w:rsid w:val="00BE4782"/>
    <w:rsid w:val="00BE47D8"/>
    <w:rsid w:val="00BE4FD9"/>
    <w:rsid w:val="00BE57BF"/>
    <w:rsid w:val="00BE5D73"/>
    <w:rsid w:val="00BE6DFE"/>
    <w:rsid w:val="00BE79AB"/>
    <w:rsid w:val="00BF0637"/>
    <w:rsid w:val="00BF124A"/>
    <w:rsid w:val="00BF37A9"/>
    <w:rsid w:val="00BF3C23"/>
    <w:rsid w:val="00BF4770"/>
    <w:rsid w:val="00BF540A"/>
    <w:rsid w:val="00BF67D7"/>
    <w:rsid w:val="00BF6EC1"/>
    <w:rsid w:val="00BF7257"/>
    <w:rsid w:val="00BF7347"/>
    <w:rsid w:val="00C017D1"/>
    <w:rsid w:val="00C029BC"/>
    <w:rsid w:val="00C04D37"/>
    <w:rsid w:val="00C05941"/>
    <w:rsid w:val="00C0657C"/>
    <w:rsid w:val="00C074C4"/>
    <w:rsid w:val="00C10CD4"/>
    <w:rsid w:val="00C11B8D"/>
    <w:rsid w:val="00C12AE0"/>
    <w:rsid w:val="00C12FEB"/>
    <w:rsid w:val="00C1357C"/>
    <w:rsid w:val="00C140C6"/>
    <w:rsid w:val="00C144EF"/>
    <w:rsid w:val="00C1534E"/>
    <w:rsid w:val="00C211DC"/>
    <w:rsid w:val="00C2135F"/>
    <w:rsid w:val="00C22B34"/>
    <w:rsid w:val="00C233C6"/>
    <w:rsid w:val="00C23D4E"/>
    <w:rsid w:val="00C24ED2"/>
    <w:rsid w:val="00C24F3F"/>
    <w:rsid w:val="00C25670"/>
    <w:rsid w:val="00C259E2"/>
    <w:rsid w:val="00C2636B"/>
    <w:rsid w:val="00C26C3A"/>
    <w:rsid w:val="00C27140"/>
    <w:rsid w:val="00C277FB"/>
    <w:rsid w:val="00C27CEA"/>
    <w:rsid w:val="00C30639"/>
    <w:rsid w:val="00C306B3"/>
    <w:rsid w:val="00C306F6"/>
    <w:rsid w:val="00C3070C"/>
    <w:rsid w:val="00C3194E"/>
    <w:rsid w:val="00C31BBB"/>
    <w:rsid w:val="00C3220C"/>
    <w:rsid w:val="00C345ED"/>
    <w:rsid w:val="00C34837"/>
    <w:rsid w:val="00C348B3"/>
    <w:rsid w:val="00C34F38"/>
    <w:rsid w:val="00C3548F"/>
    <w:rsid w:val="00C356C8"/>
    <w:rsid w:val="00C367B4"/>
    <w:rsid w:val="00C36B2D"/>
    <w:rsid w:val="00C37615"/>
    <w:rsid w:val="00C37B29"/>
    <w:rsid w:val="00C40D60"/>
    <w:rsid w:val="00C43A7D"/>
    <w:rsid w:val="00C4425F"/>
    <w:rsid w:val="00C44421"/>
    <w:rsid w:val="00C44A04"/>
    <w:rsid w:val="00C44C83"/>
    <w:rsid w:val="00C46058"/>
    <w:rsid w:val="00C4623C"/>
    <w:rsid w:val="00C46DB1"/>
    <w:rsid w:val="00C4706F"/>
    <w:rsid w:val="00C47BD3"/>
    <w:rsid w:val="00C47E57"/>
    <w:rsid w:val="00C504D3"/>
    <w:rsid w:val="00C536B3"/>
    <w:rsid w:val="00C53836"/>
    <w:rsid w:val="00C53B22"/>
    <w:rsid w:val="00C53C4E"/>
    <w:rsid w:val="00C53D24"/>
    <w:rsid w:val="00C542A9"/>
    <w:rsid w:val="00C54763"/>
    <w:rsid w:val="00C55547"/>
    <w:rsid w:val="00C55649"/>
    <w:rsid w:val="00C563A1"/>
    <w:rsid w:val="00C576F8"/>
    <w:rsid w:val="00C57F07"/>
    <w:rsid w:val="00C604F5"/>
    <w:rsid w:val="00C61583"/>
    <w:rsid w:val="00C61B48"/>
    <w:rsid w:val="00C61FF5"/>
    <w:rsid w:val="00C62CD3"/>
    <w:rsid w:val="00C635CF"/>
    <w:rsid w:val="00C635FD"/>
    <w:rsid w:val="00C63986"/>
    <w:rsid w:val="00C64027"/>
    <w:rsid w:val="00C66473"/>
    <w:rsid w:val="00C67004"/>
    <w:rsid w:val="00C679E4"/>
    <w:rsid w:val="00C7073E"/>
    <w:rsid w:val="00C707EE"/>
    <w:rsid w:val="00C7103D"/>
    <w:rsid w:val="00C717C8"/>
    <w:rsid w:val="00C7187C"/>
    <w:rsid w:val="00C71AF2"/>
    <w:rsid w:val="00C71B86"/>
    <w:rsid w:val="00C71D62"/>
    <w:rsid w:val="00C723EA"/>
    <w:rsid w:val="00C731CE"/>
    <w:rsid w:val="00C76804"/>
    <w:rsid w:val="00C76E4A"/>
    <w:rsid w:val="00C80231"/>
    <w:rsid w:val="00C80731"/>
    <w:rsid w:val="00C80811"/>
    <w:rsid w:val="00C81C8B"/>
    <w:rsid w:val="00C82BBD"/>
    <w:rsid w:val="00C82C15"/>
    <w:rsid w:val="00C82F83"/>
    <w:rsid w:val="00C839AF"/>
    <w:rsid w:val="00C84BAF"/>
    <w:rsid w:val="00C84C64"/>
    <w:rsid w:val="00C8571F"/>
    <w:rsid w:val="00C85EAB"/>
    <w:rsid w:val="00C86C33"/>
    <w:rsid w:val="00C87CEE"/>
    <w:rsid w:val="00C9009E"/>
    <w:rsid w:val="00C91751"/>
    <w:rsid w:val="00C917B0"/>
    <w:rsid w:val="00C91DC9"/>
    <w:rsid w:val="00C931A3"/>
    <w:rsid w:val="00C93697"/>
    <w:rsid w:val="00C93FC2"/>
    <w:rsid w:val="00C941FF"/>
    <w:rsid w:val="00C94812"/>
    <w:rsid w:val="00C94AFD"/>
    <w:rsid w:val="00C95414"/>
    <w:rsid w:val="00C95E48"/>
    <w:rsid w:val="00C960CE"/>
    <w:rsid w:val="00C9673B"/>
    <w:rsid w:val="00C973FB"/>
    <w:rsid w:val="00CA0C40"/>
    <w:rsid w:val="00CA126C"/>
    <w:rsid w:val="00CA13B9"/>
    <w:rsid w:val="00CA21CA"/>
    <w:rsid w:val="00CA236C"/>
    <w:rsid w:val="00CA270D"/>
    <w:rsid w:val="00CA2E80"/>
    <w:rsid w:val="00CA2E92"/>
    <w:rsid w:val="00CA4EB2"/>
    <w:rsid w:val="00CA61EE"/>
    <w:rsid w:val="00CA6F54"/>
    <w:rsid w:val="00CB1F27"/>
    <w:rsid w:val="00CB256D"/>
    <w:rsid w:val="00CB3146"/>
    <w:rsid w:val="00CB3376"/>
    <w:rsid w:val="00CB3C8D"/>
    <w:rsid w:val="00CB484B"/>
    <w:rsid w:val="00CB4E0C"/>
    <w:rsid w:val="00CB5059"/>
    <w:rsid w:val="00CB6C8D"/>
    <w:rsid w:val="00CB7F46"/>
    <w:rsid w:val="00CC030A"/>
    <w:rsid w:val="00CC112B"/>
    <w:rsid w:val="00CC2508"/>
    <w:rsid w:val="00CC26A6"/>
    <w:rsid w:val="00CC2B5B"/>
    <w:rsid w:val="00CC2F2F"/>
    <w:rsid w:val="00CC47A1"/>
    <w:rsid w:val="00CC4F4F"/>
    <w:rsid w:val="00CC4F94"/>
    <w:rsid w:val="00CC6811"/>
    <w:rsid w:val="00CC6A7B"/>
    <w:rsid w:val="00CC7195"/>
    <w:rsid w:val="00CC73DA"/>
    <w:rsid w:val="00CD1420"/>
    <w:rsid w:val="00CD1762"/>
    <w:rsid w:val="00CD1B30"/>
    <w:rsid w:val="00CD33AB"/>
    <w:rsid w:val="00CD35F2"/>
    <w:rsid w:val="00CD385E"/>
    <w:rsid w:val="00CD3F0E"/>
    <w:rsid w:val="00CD4356"/>
    <w:rsid w:val="00CD6CEB"/>
    <w:rsid w:val="00CD7623"/>
    <w:rsid w:val="00CD7D5B"/>
    <w:rsid w:val="00CD7ED8"/>
    <w:rsid w:val="00CE04E5"/>
    <w:rsid w:val="00CE1093"/>
    <w:rsid w:val="00CE2A31"/>
    <w:rsid w:val="00CE2B78"/>
    <w:rsid w:val="00CE31F7"/>
    <w:rsid w:val="00CE47AF"/>
    <w:rsid w:val="00CE4BEB"/>
    <w:rsid w:val="00CE4C49"/>
    <w:rsid w:val="00CE51FF"/>
    <w:rsid w:val="00CE5491"/>
    <w:rsid w:val="00CE5754"/>
    <w:rsid w:val="00CE5ACF"/>
    <w:rsid w:val="00CE7048"/>
    <w:rsid w:val="00CE7221"/>
    <w:rsid w:val="00CE797B"/>
    <w:rsid w:val="00CE7F91"/>
    <w:rsid w:val="00CF0568"/>
    <w:rsid w:val="00CF0D1C"/>
    <w:rsid w:val="00CF1093"/>
    <w:rsid w:val="00CF206F"/>
    <w:rsid w:val="00CF2D64"/>
    <w:rsid w:val="00CF4C30"/>
    <w:rsid w:val="00CF5466"/>
    <w:rsid w:val="00CF5957"/>
    <w:rsid w:val="00CF5CD0"/>
    <w:rsid w:val="00CF6B09"/>
    <w:rsid w:val="00CF6D85"/>
    <w:rsid w:val="00CF6F63"/>
    <w:rsid w:val="00D02151"/>
    <w:rsid w:val="00D021AF"/>
    <w:rsid w:val="00D024BD"/>
    <w:rsid w:val="00D02770"/>
    <w:rsid w:val="00D02E89"/>
    <w:rsid w:val="00D054C0"/>
    <w:rsid w:val="00D057A6"/>
    <w:rsid w:val="00D05A94"/>
    <w:rsid w:val="00D06F70"/>
    <w:rsid w:val="00D10700"/>
    <w:rsid w:val="00D11201"/>
    <w:rsid w:val="00D11D41"/>
    <w:rsid w:val="00D11E4C"/>
    <w:rsid w:val="00D1223C"/>
    <w:rsid w:val="00D14A32"/>
    <w:rsid w:val="00D14EE0"/>
    <w:rsid w:val="00D15808"/>
    <w:rsid w:val="00D16380"/>
    <w:rsid w:val="00D1690D"/>
    <w:rsid w:val="00D16FBF"/>
    <w:rsid w:val="00D17259"/>
    <w:rsid w:val="00D1786A"/>
    <w:rsid w:val="00D2018B"/>
    <w:rsid w:val="00D20799"/>
    <w:rsid w:val="00D209AF"/>
    <w:rsid w:val="00D20C67"/>
    <w:rsid w:val="00D212FE"/>
    <w:rsid w:val="00D21548"/>
    <w:rsid w:val="00D21B29"/>
    <w:rsid w:val="00D2428D"/>
    <w:rsid w:val="00D24331"/>
    <w:rsid w:val="00D2506C"/>
    <w:rsid w:val="00D27F99"/>
    <w:rsid w:val="00D300D9"/>
    <w:rsid w:val="00D30A68"/>
    <w:rsid w:val="00D30BE6"/>
    <w:rsid w:val="00D30C04"/>
    <w:rsid w:val="00D314D5"/>
    <w:rsid w:val="00D318BC"/>
    <w:rsid w:val="00D31C7A"/>
    <w:rsid w:val="00D32447"/>
    <w:rsid w:val="00D33AA1"/>
    <w:rsid w:val="00D3421C"/>
    <w:rsid w:val="00D34F75"/>
    <w:rsid w:val="00D35BD5"/>
    <w:rsid w:val="00D35C30"/>
    <w:rsid w:val="00D36501"/>
    <w:rsid w:val="00D3686E"/>
    <w:rsid w:val="00D412C0"/>
    <w:rsid w:val="00D4194D"/>
    <w:rsid w:val="00D424CA"/>
    <w:rsid w:val="00D42942"/>
    <w:rsid w:val="00D42EDE"/>
    <w:rsid w:val="00D4457C"/>
    <w:rsid w:val="00D44F8B"/>
    <w:rsid w:val="00D459F5"/>
    <w:rsid w:val="00D45B15"/>
    <w:rsid w:val="00D47551"/>
    <w:rsid w:val="00D47CD7"/>
    <w:rsid w:val="00D51A17"/>
    <w:rsid w:val="00D52387"/>
    <w:rsid w:val="00D5285D"/>
    <w:rsid w:val="00D52A03"/>
    <w:rsid w:val="00D52FC3"/>
    <w:rsid w:val="00D52FEA"/>
    <w:rsid w:val="00D533DD"/>
    <w:rsid w:val="00D53774"/>
    <w:rsid w:val="00D5433B"/>
    <w:rsid w:val="00D548CD"/>
    <w:rsid w:val="00D54C42"/>
    <w:rsid w:val="00D550E7"/>
    <w:rsid w:val="00D55777"/>
    <w:rsid w:val="00D5668A"/>
    <w:rsid w:val="00D5689B"/>
    <w:rsid w:val="00D56AF5"/>
    <w:rsid w:val="00D57780"/>
    <w:rsid w:val="00D60795"/>
    <w:rsid w:val="00D60F96"/>
    <w:rsid w:val="00D61651"/>
    <w:rsid w:val="00D618CD"/>
    <w:rsid w:val="00D629E3"/>
    <w:rsid w:val="00D634CB"/>
    <w:rsid w:val="00D645B2"/>
    <w:rsid w:val="00D6494A"/>
    <w:rsid w:val="00D64ADE"/>
    <w:rsid w:val="00D64B66"/>
    <w:rsid w:val="00D6607A"/>
    <w:rsid w:val="00D66CAA"/>
    <w:rsid w:val="00D66F87"/>
    <w:rsid w:val="00D67483"/>
    <w:rsid w:val="00D70AD1"/>
    <w:rsid w:val="00D70F07"/>
    <w:rsid w:val="00D7242F"/>
    <w:rsid w:val="00D731E3"/>
    <w:rsid w:val="00D742A8"/>
    <w:rsid w:val="00D74308"/>
    <w:rsid w:val="00D75438"/>
    <w:rsid w:val="00D768D3"/>
    <w:rsid w:val="00D77799"/>
    <w:rsid w:val="00D8096D"/>
    <w:rsid w:val="00D81422"/>
    <w:rsid w:val="00D81C35"/>
    <w:rsid w:val="00D8254C"/>
    <w:rsid w:val="00D826AC"/>
    <w:rsid w:val="00D82913"/>
    <w:rsid w:val="00D82B60"/>
    <w:rsid w:val="00D8369E"/>
    <w:rsid w:val="00D8416E"/>
    <w:rsid w:val="00D84EB7"/>
    <w:rsid w:val="00D8545A"/>
    <w:rsid w:val="00D85AC7"/>
    <w:rsid w:val="00D8617F"/>
    <w:rsid w:val="00D87007"/>
    <w:rsid w:val="00D87BAB"/>
    <w:rsid w:val="00D90713"/>
    <w:rsid w:val="00D90BFF"/>
    <w:rsid w:val="00D92396"/>
    <w:rsid w:val="00D946DB"/>
    <w:rsid w:val="00D95045"/>
    <w:rsid w:val="00D95228"/>
    <w:rsid w:val="00D956C2"/>
    <w:rsid w:val="00D967FA"/>
    <w:rsid w:val="00D96E61"/>
    <w:rsid w:val="00DA040A"/>
    <w:rsid w:val="00DA0B84"/>
    <w:rsid w:val="00DA0BDB"/>
    <w:rsid w:val="00DA0D0F"/>
    <w:rsid w:val="00DA0DB4"/>
    <w:rsid w:val="00DA1253"/>
    <w:rsid w:val="00DA1525"/>
    <w:rsid w:val="00DA3B36"/>
    <w:rsid w:val="00DA3E72"/>
    <w:rsid w:val="00DA3FEB"/>
    <w:rsid w:val="00DA4727"/>
    <w:rsid w:val="00DA4A2F"/>
    <w:rsid w:val="00DA4AAA"/>
    <w:rsid w:val="00DA4AAE"/>
    <w:rsid w:val="00DA4D9D"/>
    <w:rsid w:val="00DA6CB8"/>
    <w:rsid w:val="00DA77E1"/>
    <w:rsid w:val="00DA7C34"/>
    <w:rsid w:val="00DA7F01"/>
    <w:rsid w:val="00DB0274"/>
    <w:rsid w:val="00DB0F07"/>
    <w:rsid w:val="00DB2DD0"/>
    <w:rsid w:val="00DB3B68"/>
    <w:rsid w:val="00DB3EEA"/>
    <w:rsid w:val="00DB40CA"/>
    <w:rsid w:val="00DB4C59"/>
    <w:rsid w:val="00DB5503"/>
    <w:rsid w:val="00DB61BB"/>
    <w:rsid w:val="00DC03E0"/>
    <w:rsid w:val="00DC0817"/>
    <w:rsid w:val="00DC09EA"/>
    <w:rsid w:val="00DC0A81"/>
    <w:rsid w:val="00DC1E40"/>
    <w:rsid w:val="00DC1FD1"/>
    <w:rsid w:val="00DC2D05"/>
    <w:rsid w:val="00DC3A83"/>
    <w:rsid w:val="00DC3B38"/>
    <w:rsid w:val="00DC40DA"/>
    <w:rsid w:val="00DC4CE4"/>
    <w:rsid w:val="00DD00B4"/>
    <w:rsid w:val="00DD07FF"/>
    <w:rsid w:val="00DD092D"/>
    <w:rsid w:val="00DD156E"/>
    <w:rsid w:val="00DD1906"/>
    <w:rsid w:val="00DD1E64"/>
    <w:rsid w:val="00DD2C1E"/>
    <w:rsid w:val="00DD41BE"/>
    <w:rsid w:val="00DD4CFC"/>
    <w:rsid w:val="00DD5F87"/>
    <w:rsid w:val="00DD60DF"/>
    <w:rsid w:val="00DD6D54"/>
    <w:rsid w:val="00DD6F35"/>
    <w:rsid w:val="00DD72AA"/>
    <w:rsid w:val="00DD791B"/>
    <w:rsid w:val="00DE0157"/>
    <w:rsid w:val="00DE08E6"/>
    <w:rsid w:val="00DE0962"/>
    <w:rsid w:val="00DE21B5"/>
    <w:rsid w:val="00DE223B"/>
    <w:rsid w:val="00DE230A"/>
    <w:rsid w:val="00DE26F2"/>
    <w:rsid w:val="00DE3389"/>
    <w:rsid w:val="00DE4001"/>
    <w:rsid w:val="00DE489B"/>
    <w:rsid w:val="00DE48EF"/>
    <w:rsid w:val="00DE4EF2"/>
    <w:rsid w:val="00DE583B"/>
    <w:rsid w:val="00DE5A31"/>
    <w:rsid w:val="00DE73B4"/>
    <w:rsid w:val="00DE7B41"/>
    <w:rsid w:val="00DE7C81"/>
    <w:rsid w:val="00DF0BF5"/>
    <w:rsid w:val="00DF0EF2"/>
    <w:rsid w:val="00DF30EB"/>
    <w:rsid w:val="00DF3475"/>
    <w:rsid w:val="00DF4FF2"/>
    <w:rsid w:val="00DF65DF"/>
    <w:rsid w:val="00DF70AE"/>
    <w:rsid w:val="00DF7382"/>
    <w:rsid w:val="00E01601"/>
    <w:rsid w:val="00E0175F"/>
    <w:rsid w:val="00E01F9D"/>
    <w:rsid w:val="00E026FB"/>
    <w:rsid w:val="00E02F76"/>
    <w:rsid w:val="00E03E51"/>
    <w:rsid w:val="00E03E93"/>
    <w:rsid w:val="00E050F3"/>
    <w:rsid w:val="00E052A9"/>
    <w:rsid w:val="00E0639C"/>
    <w:rsid w:val="00E06628"/>
    <w:rsid w:val="00E06E19"/>
    <w:rsid w:val="00E07C8E"/>
    <w:rsid w:val="00E10726"/>
    <w:rsid w:val="00E10B85"/>
    <w:rsid w:val="00E11731"/>
    <w:rsid w:val="00E11F7B"/>
    <w:rsid w:val="00E120F4"/>
    <w:rsid w:val="00E1421C"/>
    <w:rsid w:val="00E143FD"/>
    <w:rsid w:val="00E14C4D"/>
    <w:rsid w:val="00E16498"/>
    <w:rsid w:val="00E1685B"/>
    <w:rsid w:val="00E1696D"/>
    <w:rsid w:val="00E172EA"/>
    <w:rsid w:val="00E1750A"/>
    <w:rsid w:val="00E17AB7"/>
    <w:rsid w:val="00E20FAC"/>
    <w:rsid w:val="00E2178E"/>
    <w:rsid w:val="00E2447E"/>
    <w:rsid w:val="00E249EF"/>
    <w:rsid w:val="00E25862"/>
    <w:rsid w:val="00E26CB6"/>
    <w:rsid w:val="00E27969"/>
    <w:rsid w:val="00E31A99"/>
    <w:rsid w:val="00E3279F"/>
    <w:rsid w:val="00E32BAE"/>
    <w:rsid w:val="00E32DA2"/>
    <w:rsid w:val="00E33BF7"/>
    <w:rsid w:val="00E340D7"/>
    <w:rsid w:val="00E34533"/>
    <w:rsid w:val="00E41A58"/>
    <w:rsid w:val="00E41E4F"/>
    <w:rsid w:val="00E42A4D"/>
    <w:rsid w:val="00E4334F"/>
    <w:rsid w:val="00E43CD2"/>
    <w:rsid w:val="00E440D2"/>
    <w:rsid w:val="00E44336"/>
    <w:rsid w:val="00E449CC"/>
    <w:rsid w:val="00E45F52"/>
    <w:rsid w:val="00E46936"/>
    <w:rsid w:val="00E46AC0"/>
    <w:rsid w:val="00E473B0"/>
    <w:rsid w:val="00E47B54"/>
    <w:rsid w:val="00E47CCD"/>
    <w:rsid w:val="00E50750"/>
    <w:rsid w:val="00E509EA"/>
    <w:rsid w:val="00E50E79"/>
    <w:rsid w:val="00E50FA0"/>
    <w:rsid w:val="00E515D5"/>
    <w:rsid w:val="00E52782"/>
    <w:rsid w:val="00E53E55"/>
    <w:rsid w:val="00E543B2"/>
    <w:rsid w:val="00E54B05"/>
    <w:rsid w:val="00E5703B"/>
    <w:rsid w:val="00E5715E"/>
    <w:rsid w:val="00E60B53"/>
    <w:rsid w:val="00E60C82"/>
    <w:rsid w:val="00E610EA"/>
    <w:rsid w:val="00E61840"/>
    <w:rsid w:val="00E6373B"/>
    <w:rsid w:val="00E63DC8"/>
    <w:rsid w:val="00E64990"/>
    <w:rsid w:val="00E64BFE"/>
    <w:rsid w:val="00E66040"/>
    <w:rsid w:val="00E6616A"/>
    <w:rsid w:val="00E67B4A"/>
    <w:rsid w:val="00E67F16"/>
    <w:rsid w:val="00E70AB0"/>
    <w:rsid w:val="00E71171"/>
    <w:rsid w:val="00E7205D"/>
    <w:rsid w:val="00E721D9"/>
    <w:rsid w:val="00E72404"/>
    <w:rsid w:val="00E73F4B"/>
    <w:rsid w:val="00E74C2C"/>
    <w:rsid w:val="00E75993"/>
    <w:rsid w:val="00E764E7"/>
    <w:rsid w:val="00E80172"/>
    <w:rsid w:val="00E804CC"/>
    <w:rsid w:val="00E81DB9"/>
    <w:rsid w:val="00E81F69"/>
    <w:rsid w:val="00E822F7"/>
    <w:rsid w:val="00E8231C"/>
    <w:rsid w:val="00E8262F"/>
    <w:rsid w:val="00E84C8E"/>
    <w:rsid w:val="00E85358"/>
    <w:rsid w:val="00E863C1"/>
    <w:rsid w:val="00E86638"/>
    <w:rsid w:val="00E86B98"/>
    <w:rsid w:val="00E871FE"/>
    <w:rsid w:val="00E87B6C"/>
    <w:rsid w:val="00E91AB8"/>
    <w:rsid w:val="00E91D08"/>
    <w:rsid w:val="00E9217C"/>
    <w:rsid w:val="00E921F1"/>
    <w:rsid w:val="00E92C04"/>
    <w:rsid w:val="00E92C65"/>
    <w:rsid w:val="00E92EE4"/>
    <w:rsid w:val="00E93AB5"/>
    <w:rsid w:val="00E96511"/>
    <w:rsid w:val="00E96A85"/>
    <w:rsid w:val="00E9758A"/>
    <w:rsid w:val="00E979E9"/>
    <w:rsid w:val="00E97CD2"/>
    <w:rsid w:val="00EA050A"/>
    <w:rsid w:val="00EA0754"/>
    <w:rsid w:val="00EA0BAB"/>
    <w:rsid w:val="00EA0F2F"/>
    <w:rsid w:val="00EA11F0"/>
    <w:rsid w:val="00EA1C37"/>
    <w:rsid w:val="00EA1F5A"/>
    <w:rsid w:val="00EA2AFF"/>
    <w:rsid w:val="00EA3FEF"/>
    <w:rsid w:val="00EA4108"/>
    <w:rsid w:val="00EA419C"/>
    <w:rsid w:val="00EA45F4"/>
    <w:rsid w:val="00EA4F4F"/>
    <w:rsid w:val="00EA56D1"/>
    <w:rsid w:val="00EA6388"/>
    <w:rsid w:val="00EA7544"/>
    <w:rsid w:val="00EB0EE6"/>
    <w:rsid w:val="00EB154B"/>
    <w:rsid w:val="00EB1DBE"/>
    <w:rsid w:val="00EB1EEE"/>
    <w:rsid w:val="00EB5013"/>
    <w:rsid w:val="00EB53AD"/>
    <w:rsid w:val="00EB5804"/>
    <w:rsid w:val="00EB5C9A"/>
    <w:rsid w:val="00EB6224"/>
    <w:rsid w:val="00EB62C2"/>
    <w:rsid w:val="00EB6DEA"/>
    <w:rsid w:val="00EB6E04"/>
    <w:rsid w:val="00EB6FC2"/>
    <w:rsid w:val="00EC0AAB"/>
    <w:rsid w:val="00EC0B74"/>
    <w:rsid w:val="00EC153B"/>
    <w:rsid w:val="00EC19AE"/>
    <w:rsid w:val="00EC1EA0"/>
    <w:rsid w:val="00EC2E9B"/>
    <w:rsid w:val="00EC3017"/>
    <w:rsid w:val="00EC38B2"/>
    <w:rsid w:val="00EC4E70"/>
    <w:rsid w:val="00EC5046"/>
    <w:rsid w:val="00EC53E0"/>
    <w:rsid w:val="00EC5513"/>
    <w:rsid w:val="00EC57C6"/>
    <w:rsid w:val="00EC5FA2"/>
    <w:rsid w:val="00EC7AB4"/>
    <w:rsid w:val="00EC7E81"/>
    <w:rsid w:val="00ED048B"/>
    <w:rsid w:val="00ED1379"/>
    <w:rsid w:val="00ED1956"/>
    <w:rsid w:val="00ED1D0F"/>
    <w:rsid w:val="00ED1D99"/>
    <w:rsid w:val="00ED20CB"/>
    <w:rsid w:val="00ED4629"/>
    <w:rsid w:val="00ED52BC"/>
    <w:rsid w:val="00ED55F7"/>
    <w:rsid w:val="00ED66A4"/>
    <w:rsid w:val="00ED6B13"/>
    <w:rsid w:val="00ED6D84"/>
    <w:rsid w:val="00ED78AD"/>
    <w:rsid w:val="00ED7C8E"/>
    <w:rsid w:val="00ED7F35"/>
    <w:rsid w:val="00EE079A"/>
    <w:rsid w:val="00EE0B9D"/>
    <w:rsid w:val="00EE2205"/>
    <w:rsid w:val="00EE2BDA"/>
    <w:rsid w:val="00EE2BEA"/>
    <w:rsid w:val="00EE2CD5"/>
    <w:rsid w:val="00EE34F2"/>
    <w:rsid w:val="00EE5691"/>
    <w:rsid w:val="00EE63B4"/>
    <w:rsid w:val="00EE690D"/>
    <w:rsid w:val="00EE6F6C"/>
    <w:rsid w:val="00EF03E6"/>
    <w:rsid w:val="00EF0C0C"/>
    <w:rsid w:val="00EF0DA4"/>
    <w:rsid w:val="00EF36D2"/>
    <w:rsid w:val="00EF3F40"/>
    <w:rsid w:val="00EF451F"/>
    <w:rsid w:val="00EF6FD5"/>
    <w:rsid w:val="00F004BA"/>
    <w:rsid w:val="00F006CF"/>
    <w:rsid w:val="00F00A38"/>
    <w:rsid w:val="00F015E6"/>
    <w:rsid w:val="00F02E37"/>
    <w:rsid w:val="00F0322C"/>
    <w:rsid w:val="00F04C31"/>
    <w:rsid w:val="00F052D1"/>
    <w:rsid w:val="00F1041F"/>
    <w:rsid w:val="00F1062E"/>
    <w:rsid w:val="00F11185"/>
    <w:rsid w:val="00F114E6"/>
    <w:rsid w:val="00F117D1"/>
    <w:rsid w:val="00F12EA3"/>
    <w:rsid w:val="00F1455C"/>
    <w:rsid w:val="00F14A2E"/>
    <w:rsid w:val="00F14A91"/>
    <w:rsid w:val="00F14B07"/>
    <w:rsid w:val="00F163FF"/>
    <w:rsid w:val="00F176BA"/>
    <w:rsid w:val="00F177C6"/>
    <w:rsid w:val="00F17B2E"/>
    <w:rsid w:val="00F20C33"/>
    <w:rsid w:val="00F215C7"/>
    <w:rsid w:val="00F217D5"/>
    <w:rsid w:val="00F219A4"/>
    <w:rsid w:val="00F2228C"/>
    <w:rsid w:val="00F22648"/>
    <w:rsid w:val="00F23247"/>
    <w:rsid w:val="00F249CD"/>
    <w:rsid w:val="00F24D8C"/>
    <w:rsid w:val="00F2521E"/>
    <w:rsid w:val="00F25413"/>
    <w:rsid w:val="00F26B14"/>
    <w:rsid w:val="00F26CE4"/>
    <w:rsid w:val="00F271B3"/>
    <w:rsid w:val="00F30076"/>
    <w:rsid w:val="00F30E8D"/>
    <w:rsid w:val="00F315FD"/>
    <w:rsid w:val="00F325B9"/>
    <w:rsid w:val="00F32D09"/>
    <w:rsid w:val="00F33ABB"/>
    <w:rsid w:val="00F34382"/>
    <w:rsid w:val="00F348D2"/>
    <w:rsid w:val="00F356CE"/>
    <w:rsid w:val="00F358AF"/>
    <w:rsid w:val="00F36287"/>
    <w:rsid w:val="00F372AF"/>
    <w:rsid w:val="00F37BEE"/>
    <w:rsid w:val="00F41508"/>
    <w:rsid w:val="00F423F0"/>
    <w:rsid w:val="00F42FE9"/>
    <w:rsid w:val="00F4393C"/>
    <w:rsid w:val="00F45359"/>
    <w:rsid w:val="00F45413"/>
    <w:rsid w:val="00F46113"/>
    <w:rsid w:val="00F463F5"/>
    <w:rsid w:val="00F47628"/>
    <w:rsid w:val="00F47A9F"/>
    <w:rsid w:val="00F47CA5"/>
    <w:rsid w:val="00F50709"/>
    <w:rsid w:val="00F5132F"/>
    <w:rsid w:val="00F519A4"/>
    <w:rsid w:val="00F52DF6"/>
    <w:rsid w:val="00F52FC6"/>
    <w:rsid w:val="00F530D8"/>
    <w:rsid w:val="00F535E7"/>
    <w:rsid w:val="00F5381F"/>
    <w:rsid w:val="00F5524C"/>
    <w:rsid w:val="00F56546"/>
    <w:rsid w:val="00F56641"/>
    <w:rsid w:val="00F56956"/>
    <w:rsid w:val="00F57838"/>
    <w:rsid w:val="00F57A08"/>
    <w:rsid w:val="00F57ED1"/>
    <w:rsid w:val="00F60315"/>
    <w:rsid w:val="00F60F37"/>
    <w:rsid w:val="00F61095"/>
    <w:rsid w:val="00F61AC4"/>
    <w:rsid w:val="00F620A2"/>
    <w:rsid w:val="00F63080"/>
    <w:rsid w:val="00F63903"/>
    <w:rsid w:val="00F63AB7"/>
    <w:rsid w:val="00F63BA7"/>
    <w:rsid w:val="00F65282"/>
    <w:rsid w:val="00F65D43"/>
    <w:rsid w:val="00F66294"/>
    <w:rsid w:val="00F66371"/>
    <w:rsid w:val="00F66830"/>
    <w:rsid w:val="00F66DFB"/>
    <w:rsid w:val="00F67634"/>
    <w:rsid w:val="00F71DF2"/>
    <w:rsid w:val="00F73854"/>
    <w:rsid w:val="00F7387F"/>
    <w:rsid w:val="00F75233"/>
    <w:rsid w:val="00F75FD2"/>
    <w:rsid w:val="00F777C7"/>
    <w:rsid w:val="00F800B6"/>
    <w:rsid w:val="00F8071F"/>
    <w:rsid w:val="00F80A11"/>
    <w:rsid w:val="00F811C6"/>
    <w:rsid w:val="00F811F8"/>
    <w:rsid w:val="00F82AF8"/>
    <w:rsid w:val="00F834C3"/>
    <w:rsid w:val="00F8411E"/>
    <w:rsid w:val="00F84B2D"/>
    <w:rsid w:val="00F84BC7"/>
    <w:rsid w:val="00F855D5"/>
    <w:rsid w:val="00F85D06"/>
    <w:rsid w:val="00F87E46"/>
    <w:rsid w:val="00F913DC"/>
    <w:rsid w:val="00F9145F"/>
    <w:rsid w:val="00F91E30"/>
    <w:rsid w:val="00F93400"/>
    <w:rsid w:val="00F93B5F"/>
    <w:rsid w:val="00F9591C"/>
    <w:rsid w:val="00FA3858"/>
    <w:rsid w:val="00FA3865"/>
    <w:rsid w:val="00FA46C8"/>
    <w:rsid w:val="00FA4E19"/>
    <w:rsid w:val="00FA610E"/>
    <w:rsid w:val="00FA641C"/>
    <w:rsid w:val="00FA67D6"/>
    <w:rsid w:val="00FA6E69"/>
    <w:rsid w:val="00FA77E4"/>
    <w:rsid w:val="00FB1529"/>
    <w:rsid w:val="00FB1578"/>
    <w:rsid w:val="00FB199D"/>
    <w:rsid w:val="00FB1C26"/>
    <w:rsid w:val="00FB1D44"/>
    <w:rsid w:val="00FB2410"/>
    <w:rsid w:val="00FB25EE"/>
    <w:rsid w:val="00FB2CD7"/>
    <w:rsid w:val="00FB2E7B"/>
    <w:rsid w:val="00FB4960"/>
    <w:rsid w:val="00FB5258"/>
    <w:rsid w:val="00FB5985"/>
    <w:rsid w:val="00FC019F"/>
    <w:rsid w:val="00FC04E6"/>
    <w:rsid w:val="00FC0624"/>
    <w:rsid w:val="00FC0B81"/>
    <w:rsid w:val="00FC0DB2"/>
    <w:rsid w:val="00FC1030"/>
    <w:rsid w:val="00FC1715"/>
    <w:rsid w:val="00FC20DD"/>
    <w:rsid w:val="00FC223C"/>
    <w:rsid w:val="00FC371D"/>
    <w:rsid w:val="00FC41EC"/>
    <w:rsid w:val="00FC4A4B"/>
    <w:rsid w:val="00FC4D06"/>
    <w:rsid w:val="00FC5515"/>
    <w:rsid w:val="00FC6275"/>
    <w:rsid w:val="00FC6D7A"/>
    <w:rsid w:val="00FC70BF"/>
    <w:rsid w:val="00FC7C03"/>
    <w:rsid w:val="00FD0193"/>
    <w:rsid w:val="00FD0FAA"/>
    <w:rsid w:val="00FD16F5"/>
    <w:rsid w:val="00FD239F"/>
    <w:rsid w:val="00FD2AE8"/>
    <w:rsid w:val="00FD380B"/>
    <w:rsid w:val="00FD3883"/>
    <w:rsid w:val="00FD38B8"/>
    <w:rsid w:val="00FD457C"/>
    <w:rsid w:val="00FD54FC"/>
    <w:rsid w:val="00FD5ABD"/>
    <w:rsid w:val="00FD6675"/>
    <w:rsid w:val="00FD6CCB"/>
    <w:rsid w:val="00FD6D27"/>
    <w:rsid w:val="00FD7524"/>
    <w:rsid w:val="00FD7960"/>
    <w:rsid w:val="00FD7CAF"/>
    <w:rsid w:val="00FD7E66"/>
    <w:rsid w:val="00FD7FB3"/>
    <w:rsid w:val="00FE052A"/>
    <w:rsid w:val="00FE219F"/>
    <w:rsid w:val="00FE21F5"/>
    <w:rsid w:val="00FE28F4"/>
    <w:rsid w:val="00FE30C1"/>
    <w:rsid w:val="00FE3BD8"/>
    <w:rsid w:val="00FE43D5"/>
    <w:rsid w:val="00FE4AE0"/>
    <w:rsid w:val="00FE4D22"/>
    <w:rsid w:val="00FE5F0E"/>
    <w:rsid w:val="00FE6995"/>
    <w:rsid w:val="00FE69AC"/>
    <w:rsid w:val="00FE6CFB"/>
    <w:rsid w:val="00FE74CE"/>
    <w:rsid w:val="00FF0040"/>
    <w:rsid w:val="00FF1422"/>
    <w:rsid w:val="00FF15C6"/>
    <w:rsid w:val="00FF1617"/>
    <w:rsid w:val="00FF208F"/>
    <w:rsid w:val="00FF2658"/>
    <w:rsid w:val="00FF2818"/>
    <w:rsid w:val="00FF2D0E"/>
    <w:rsid w:val="00FF36A5"/>
    <w:rsid w:val="00FF3B3B"/>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FA6400FB-6AD4-4A30-AE61-1F1D2D0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sk-SK"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sk-SK"/>
    </w:rPr>
  </w:style>
  <w:style w:type="character" w:customStyle="1" w:styleId="Heading2Char">
    <w:name w:val="Heading 2 Char"/>
    <w:link w:val="Heading2"/>
    <w:uiPriority w:val="99"/>
    <w:locked/>
    <w:rsid w:val="00EC5046"/>
    <w:rPr>
      <w:rFonts w:ascii="Verdana" w:hAnsi="Verdana" w:cs="Times New Roman"/>
      <w:b/>
      <w:sz w:val="24"/>
      <w:szCs w:val="24"/>
      <w:u w:val="single"/>
      <w:lang w:val="sk-SK"/>
    </w:rPr>
  </w:style>
  <w:style w:type="character" w:customStyle="1" w:styleId="Heading3Char">
    <w:name w:val="Heading 3 Char"/>
    <w:aliases w:val="Title 2 Char"/>
    <w:uiPriority w:val="99"/>
    <w:locked/>
    <w:rsid w:val="00884FEB"/>
    <w:rPr>
      <w:rFonts w:cs="Times New Roman"/>
      <w:sz w:val="24"/>
      <w:szCs w:val="24"/>
      <w:lang w:val="sk-SK"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sk-SK"/>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sk-SK"/>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sk-SK"/>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212C5"/>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sk-SK"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212C5"/>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sk-SK"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sk-SK"/>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sk-SK"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sk-SK"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sk-SK"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sk-SK"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A3453C"/>
    <w:rPr>
      <w:color w:val="605E5C"/>
      <w:shd w:val="clear" w:color="auto" w:fill="E1DFDD"/>
    </w:rPr>
  </w:style>
  <w:style w:type="paragraph" w:customStyle="1" w:styleId="LegalNumPar">
    <w:name w:val="LegalNumPar"/>
    <w:basedOn w:val="Normal"/>
    <w:rsid w:val="00A92865"/>
    <w:pPr>
      <w:numPr>
        <w:numId w:val="30"/>
      </w:numPr>
      <w:spacing w:line="360" w:lineRule="auto"/>
    </w:pPr>
    <w:rPr>
      <w:sz w:val="24"/>
    </w:rPr>
  </w:style>
  <w:style w:type="paragraph" w:customStyle="1" w:styleId="LegalNumPar2">
    <w:name w:val="LegalNumPar2"/>
    <w:basedOn w:val="Normal"/>
    <w:rsid w:val="00A92865"/>
    <w:pPr>
      <w:numPr>
        <w:ilvl w:val="1"/>
        <w:numId w:val="30"/>
      </w:numPr>
      <w:spacing w:line="360" w:lineRule="auto"/>
    </w:pPr>
    <w:rPr>
      <w:sz w:val="24"/>
    </w:rPr>
  </w:style>
  <w:style w:type="paragraph" w:customStyle="1" w:styleId="LegalNumPar3">
    <w:name w:val="LegalNumPar3"/>
    <w:basedOn w:val="Normal"/>
    <w:rsid w:val="00A92865"/>
    <w:pPr>
      <w:numPr>
        <w:ilvl w:val="2"/>
        <w:numId w:val="30"/>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563683181">
      <w:bodyDiv w:val="1"/>
      <w:marLeft w:val="0"/>
      <w:marRight w:val="0"/>
      <w:marTop w:val="0"/>
      <w:marBottom w:val="0"/>
      <w:divBdr>
        <w:top w:val="none" w:sz="0" w:space="0" w:color="auto"/>
        <w:left w:val="none" w:sz="0" w:space="0" w:color="auto"/>
        <w:bottom w:val="none" w:sz="0" w:space="0" w:color="auto"/>
        <w:right w:val="none" w:sz="0" w:space="0" w:color="auto"/>
      </w:divBdr>
      <w:divsChild>
        <w:div w:id="392656648">
          <w:marLeft w:val="0"/>
          <w:marRight w:val="0"/>
          <w:marTop w:val="0"/>
          <w:marBottom w:val="0"/>
          <w:divBdr>
            <w:top w:val="none" w:sz="0" w:space="0" w:color="auto"/>
            <w:left w:val="none" w:sz="0" w:space="0" w:color="auto"/>
            <w:bottom w:val="none" w:sz="0" w:space="0" w:color="auto"/>
            <w:right w:val="none" w:sz="0" w:space="0" w:color="auto"/>
          </w:divBdr>
          <w:divsChild>
            <w:div w:id="19446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18991263">
      <w:bodyDiv w:val="1"/>
      <w:marLeft w:val="0"/>
      <w:marRight w:val="0"/>
      <w:marTop w:val="0"/>
      <w:marBottom w:val="0"/>
      <w:divBdr>
        <w:top w:val="none" w:sz="0" w:space="0" w:color="auto"/>
        <w:left w:val="none" w:sz="0" w:space="0" w:color="auto"/>
        <w:bottom w:val="none" w:sz="0" w:space="0" w:color="auto"/>
        <w:right w:val="none" w:sz="0" w:space="0" w:color="auto"/>
      </w:divBdr>
      <w:divsChild>
        <w:div w:id="1222013779">
          <w:marLeft w:val="0"/>
          <w:marRight w:val="0"/>
          <w:marTop w:val="0"/>
          <w:marBottom w:val="0"/>
          <w:divBdr>
            <w:top w:val="none" w:sz="0" w:space="0" w:color="auto"/>
            <w:left w:val="none" w:sz="0" w:space="0" w:color="auto"/>
            <w:bottom w:val="none" w:sz="0" w:space="0" w:color="auto"/>
            <w:right w:val="none" w:sz="0" w:space="0" w:color="auto"/>
          </w:divBdr>
          <w:divsChild>
            <w:div w:id="12690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358239719">
      <w:bodyDiv w:val="1"/>
      <w:marLeft w:val="0"/>
      <w:marRight w:val="0"/>
      <w:marTop w:val="0"/>
      <w:marBottom w:val="0"/>
      <w:divBdr>
        <w:top w:val="none" w:sz="0" w:space="0" w:color="auto"/>
        <w:left w:val="none" w:sz="0" w:space="0" w:color="auto"/>
        <w:bottom w:val="none" w:sz="0" w:space="0" w:color="auto"/>
        <w:right w:val="none" w:sz="0" w:space="0" w:color="auto"/>
      </w:divBdr>
      <w:divsChild>
        <w:div w:id="830485595">
          <w:marLeft w:val="0"/>
          <w:marRight w:val="0"/>
          <w:marTop w:val="0"/>
          <w:marBottom w:val="0"/>
          <w:divBdr>
            <w:top w:val="none" w:sz="0" w:space="0" w:color="auto"/>
            <w:left w:val="none" w:sz="0" w:space="0" w:color="auto"/>
            <w:bottom w:val="none" w:sz="0" w:space="0" w:color="auto"/>
            <w:right w:val="none" w:sz="0" w:space="0" w:color="auto"/>
          </w:divBdr>
          <w:divsChild>
            <w:div w:id="111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Props1.xml><?xml version="1.0" encoding="utf-8"?>
<ds:datastoreItem xmlns:ds="http://schemas.openxmlformats.org/officeDocument/2006/customXml" ds:itemID="{75DD7EF5-F4B4-4298-BB10-9571695752A2}">
  <ds:schemaRefs>
    <ds:schemaRef ds:uri="http://schemas.microsoft.com/sharepoint/v3/contenttype/forms"/>
  </ds:schemaRefs>
</ds:datastoreItem>
</file>

<file path=customXml/itemProps2.xml><?xml version="1.0" encoding="utf-8"?>
<ds:datastoreItem xmlns:ds="http://schemas.openxmlformats.org/officeDocument/2006/customXml" ds:itemID="{A9C7FCEC-B9F8-4143-9AC6-DB4208C0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F78C3AAD-8455-486E-BE4D-E17672BF9E69}">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102</TotalTime>
  <Pages>1</Pages>
  <Words>6833</Words>
  <Characters>37242</Characters>
  <Application>Microsoft Office Word</Application>
  <DocSecurity>0</DocSecurity>
  <Lines>1095</Lines>
  <Paragraphs>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Gheorghe-Cristian (FISMA)</dc:creator>
  <cp:keywords/>
  <cp:lastModifiedBy>SKYPALA Vlastimil (DGT)</cp:lastModifiedBy>
  <cp:revision>12</cp:revision>
  <dcterms:created xsi:type="dcterms:W3CDTF">2025-10-06T12:40:00Z</dcterms:created>
  <dcterms:modified xsi:type="dcterms:W3CDTF">2025-10-09T08:26:00Z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11,12,13,14,15,16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2022-02-23T15:37:29Z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c0e9743e-53b1-40b4-9ccb-01bae716cb10</vt:lpwstr>
  </property>
  <property fmtid="{D5CDD505-2E9C-101B-9397-08002B2CF9AE}" pid="11" name="MSIP_Label_5c7eb9de-735b-4a68-8fe4-c9c62709b012_ContentBits">
    <vt:lpwstr>1</vt:lpwstr>
  </property>
  <property fmtid="{D5CDD505-2E9C-101B-9397-08002B2CF9AE}" pid="12" name="MSIP_Label_6bd9ddd1-4d20-43f6-abfa-fc3c07406f94_Enabled">
    <vt:lpwstr>true</vt:lpwstr>
  </property>
  <property fmtid="{D5CDD505-2E9C-101B-9397-08002B2CF9AE}" pid="13" name="MSIP_Label_6bd9ddd1-4d20-43f6-abfa-fc3c07406f94_SetDate">
    <vt:lpwstr>2025-06-27T15:01:33Z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9200d526-cd81-4958-bd82-a146b1debf77</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y fmtid="{D5CDD505-2E9C-101B-9397-08002B2CF9AE}" pid="20" name="MediaServiceImageTags">
    <vt:lpwstr/>
  </property>
</Properties>
</file>