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LV</w:t>
      </w:r>
    </w:p>
    <w:p w14:paraId="24333E7A" w14:textId="068FF302" w:rsidR="008D696E" w:rsidRDefault="008D696E" w:rsidP="00A33695">
      <w:pPr>
        <w:jc w:val="center"/>
        <w:rPr>
          <w:rFonts w:ascii="Times New Roman" w:hAnsi="Times New Roman"/>
          <w:sz w:val="24"/>
        </w:rPr>
      </w:pPr>
      <w:r>
        <w:rPr>
          <w:rFonts w:ascii="Times New Roman" w:hAnsi="Times New Roman"/>
          <w:sz w:val="24"/>
        </w:rPr>
        <w:t>II PIELIKUMS</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“XI PIELIKUMS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NORĀDĪJUMI VEIDNES “</w:t>
      </w:r>
      <w:r>
        <w:rPr>
          <w:rFonts w:ascii="Times New Roman" w:hAnsi="Times New Roman"/>
          <w:b/>
          <w:i/>
          <w:iCs/>
          <w:sz w:val="24"/>
        </w:rPr>
        <w:t>RtM</w:t>
      </w:r>
      <w:r>
        <w:rPr>
          <w:rFonts w:ascii="Times New Roman" w:hAnsi="Times New Roman"/>
          <w:b/>
          <w:sz w:val="24"/>
        </w:rPr>
        <w:t xml:space="preserve"> K-FAKTORA PRASĪBA, PAMATOJOTIES UZ K-NPR” AIZPILDĪŠANAI</w:t>
      </w:r>
    </w:p>
    <w:p w14:paraId="3DEB94EC" w14:textId="77777777" w:rsidR="00783881" w:rsidRPr="00696301" w:rsidRDefault="002648B0" w:rsidP="00487A02">
      <w:pPr>
        <w:pStyle w:val="InstructionsText"/>
      </w:pPr>
      <w:r>
        <w:t>Saturs</w:t>
      </w:r>
    </w:p>
    <w:p w14:paraId="1D02EBF1" w14:textId="1921D8F8" w:rsidR="00037571" w:rsidRDefault="00745369">
      <w:pPr>
        <w:pStyle w:val="TOC2"/>
        <w:rPr>
          <w:rFonts w:asciiTheme="minorHAnsi" w:eastAsiaTheme="minorEastAsia" w:hAnsiTheme="minorHAnsi" w:cstheme="minorBidi"/>
          <w:b w:val="0"/>
          <w:smallCaps w:val="0"/>
          <w:kern w:val="2"/>
          <w:sz w:val="24"/>
          <w:szCs w:val="24"/>
          <w:lang w:val="en-IE" w:eastAsia="en-I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905516" w:history="1">
        <w:r w:rsidR="00037571" w:rsidRPr="004A1572">
          <w:rPr>
            <w:rStyle w:val="Hyperlink"/>
            <w:rFonts w:ascii="Times New Roman" w:hAnsi="Times New Roman"/>
          </w:rPr>
          <w:t>I DAĻA. VISPĀRĪGAS NORĀDES</w:t>
        </w:r>
        <w:r w:rsidR="00037571">
          <w:rPr>
            <w:webHidden/>
          </w:rPr>
          <w:tab/>
        </w:r>
        <w:r w:rsidR="00037571">
          <w:rPr>
            <w:webHidden/>
          </w:rPr>
          <w:fldChar w:fldCharType="begin"/>
        </w:r>
        <w:r w:rsidR="00037571">
          <w:rPr>
            <w:webHidden/>
          </w:rPr>
          <w:instrText xml:space="preserve"> PAGEREF _Toc210905516 \h </w:instrText>
        </w:r>
        <w:r w:rsidR="00037571">
          <w:rPr>
            <w:webHidden/>
          </w:rPr>
        </w:r>
        <w:r w:rsidR="00037571">
          <w:rPr>
            <w:webHidden/>
          </w:rPr>
          <w:fldChar w:fldCharType="separate"/>
        </w:r>
        <w:r w:rsidR="00037571">
          <w:rPr>
            <w:webHidden/>
          </w:rPr>
          <w:t>2</w:t>
        </w:r>
        <w:r w:rsidR="00037571">
          <w:rPr>
            <w:webHidden/>
          </w:rPr>
          <w:fldChar w:fldCharType="end"/>
        </w:r>
      </w:hyperlink>
    </w:p>
    <w:p w14:paraId="142234AD" w14:textId="39DF558D"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17" w:history="1">
        <w:r w:rsidRPr="004A1572">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PIEŅEMTĀ PRAKSE</w:t>
        </w:r>
        <w:r>
          <w:rPr>
            <w:webHidden/>
          </w:rPr>
          <w:tab/>
        </w:r>
        <w:r>
          <w:rPr>
            <w:webHidden/>
          </w:rPr>
          <w:fldChar w:fldCharType="begin"/>
        </w:r>
        <w:r>
          <w:rPr>
            <w:webHidden/>
          </w:rPr>
          <w:instrText xml:space="preserve"> PAGEREF _Toc210905517 \h </w:instrText>
        </w:r>
        <w:r>
          <w:rPr>
            <w:webHidden/>
          </w:rPr>
        </w:r>
        <w:r>
          <w:rPr>
            <w:webHidden/>
          </w:rPr>
          <w:fldChar w:fldCharType="separate"/>
        </w:r>
        <w:r>
          <w:rPr>
            <w:webHidden/>
          </w:rPr>
          <w:t>2</w:t>
        </w:r>
        <w:r>
          <w:rPr>
            <w:webHidden/>
          </w:rPr>
          <w:fldChar w:fldCharType="end"/>
        </w:r>
      </w:hyperlink>
    </w:p>
    <w:p w14:paraId="7F4B8631" w14:textId="174BBB8C"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18" w:history="1">
        <w:r w:rsidRPr="004A1572">
          <w:rPr>
            <w:rStyle w:val="Hyperlink"/>
            <w:rFonts w:ascii="Times New Roman" w:hAnsi="Times New Roman"/>
          </w:rPr>
          <w:t>1.1.</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Pieņemtā prakse attiecībā uz numerāciju</w:t>
        </w:r>
        <w:r>
          <w:rPr>
            <w:webHidden/>
          </w:rPr>
          <w:tab/>
        </w:r>
        <w:r>
          <w:rPr>
            <w:webHidden/>
          </w:rPr>
          <w:fldChar w:fldCharType="begin"/>
        </w:r>
        <w:r>
          <w:rPr>
            <w:webHidden/>
          </w:rPr>
          <w:instrText xml:space="preserve"> PAGEREF _Toc210905518 \h </w:instrText>
        </w:r>
        <w:r>
          <w:rPr>
            <w:webHidden/>
          </w:rPr>
        </w:r>
        <w:r>
          <w:rPr>
            <w:webHidden/>
          </w:rPr>
          <w:fldChar w:fldCharType="separate"/>
        </w:r>
        <w:r>
          <w:rPr>
            <w:webHidden/>
          </w:rPr>
          <w:t>2</w:t>
        </w:r>
        <w:r>
          <w:rPr>
            <w:webHidden/>
          </w:rPr>
          <w:fldChar w:fldCharType="end"/>
        </w:r>
      </w:hyperlink>
    </w:p>
    <w:p w14:paraId="0F681298" w14:textId="218A2CEA"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19" w:history="1">
        <w:r w:rsidRPr="004A1572">
          <w:rPr>
            <w:rStyle w:val="Hyperlink"/>
            <w:rFonts w:ascii="Times New Roman" w:hAnsi="Times New Roman"/>
          </w:rPr>
          <w:t>1.2.</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Pieņemtā prakse attiecībā uz zīmēm</w:t>
        </w:r>
        <w:r>
          <w:rPr>
            <w:webHidden/>
          </w:rPr>
          <w:tab/>
        </w:r>
        <w:r>
          <w:rPr>
            <w:webHidden/>
          </w:rPr>
          <w:fldChar w:fldCharType="begin"/>
        </w:r>
        <w:r>
          <w:rPr>
            <w:webHidden/>
          </w:rPr>
          <w:instrText xml:space="preserve"> PAGEREF _Toc210905519 \h </w:instrText>
        </w:r>
        <w:r>
          <w:rPr>
            <w:webHidden/>
          </w:rPr>
        </w:r>
        <w:r>
          <w:rPr>
            <w:webHidden/>
          </w:rPr>
          <w:fldChar w:fldCharType="separate"/>
        </w:r>
        <w:r>
          <w:rPr>
            <w:webHidden/>
          </w:rPr>
          <w:t>2</w:t>
        </w:r>
        <w:r>
          <w:rPr>
            <w:webHidden/>
          </w:rPr>
          <w:fldChar w:fldCharType="end"/>
        </w:r>
      </w:hyperlink>
    </w:p>
    <w:p w14:paraId="269E1063" w14:textId="0DF6C4B1"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20" w:history="1">
        <w:r w:rsidRPr="004A1572">
          <w:rPr>
            <w:rStyle w:val="Hyperlink"/>
            <w:rFonts w:ascii="Times New Roman" w:hAnsi="Times New Roman"/>
          </w:rPr>
          <w:t>1.3.</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Atsauces uz Regulu (ES) Nr. 575/2013</w:t>
        </w:r>
        <w:r>
          <w:rPr>
            <w:webHidden/>
          </w:rPr>
          <w:tab/>
        </w:r>
        <w:r>
          <w:rPr>
            <w:webHidden/>
          </w:rPr>
          <w:fldChar w:fldCharType="begin"/>
        </w:r>
        <w:r>
          <w:rPr>
            <w:webHidden/>
          </w:rPr>
          <w:instrText xml:space="preserve"> PAGEREF _Toc210905520 \h </w:instrText>
        </w:r>
        <w:r>
          <w:rPr>
            <w:webHidden/>
          </w:rPr>
        </w:r>
        <w:r>
          <w:rPr>
            <w:webHidden/>
          </w:rPr>
          <w:fldChar w:fldCharType="separate"/>
        </w:r>
        <w:r>
          <w:rPr>
            <w:webHidden/>
          </w:rPr>
          <w:t>2</w:t>
        </w:r>
        <w:r>
          <w:rPr>
            <w:webHidden/>
          </w:rPr>
          <w:fldChar w:fldCharType="end"/>
        </w:r>
      </w:hyperlink>
    </w:p>
    <w:p w14:paraId="18E75E2A" w14:textId="0EF64059"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21" w:history="1">
        <w:r w:rsidRPr="004A1572">
          <w:rPr>
            <w:rStyle w:val="Hyperlink"/>
            <w:rFonts w:ascii="Times New Roman" w:hAnsi="Times New Roman"/>
          </w:rPr>
          <w:t>II DAĻA. NORĀDES SAISTĪBĀ AR VEIDNI: TIRGUS RISKA VEIDNES</w:t>
        </w:r>
        <w:r>
          <w:rPr>
            <w:webHidden/>
          </w:rPr>
          <w:tab/>
        </w:r>
        <w:r>
          <w:rPr>
            <w:webHidden/>
          </w:rPr>
          <w:fldChar w:fldCharType="begin"/>
        </w:r>
        <w:r>
          <w:rPr>
            <w:webHidden/>
          </w:rPr>
          <w:instrText xml:space="preserve"> PAGEREF _Toc210905521 \h </w:instrText>
        </w:r>
        <w:r>
          <w:rPr>
            <w:webHidden/>
          </w:rPr>
        </w:r>
        <w:r>
          <w:rPr>
            <w:webHidden/>
          </w:rPr>
          <w:fldChar w:fldCharType="separate"/>
        </w:r>
        <w:r>
          <w:rPr>
            <w:webHidden/>
          </w:rPr>
          <w:t>3</w:t>
        </w:r>
        <w:r>
          <w:rPr>
            <w:webHidden/>
          </w:rPr>
          <w:fldChar w:fldCharType="end"/>
        </w:r>
      </w:hyperlink>
    </w:p>
    <w:p w14:paraId="7F142D92" w14:textId="079B6276"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22" w:history="1">
        <w:r w:rsidRPr="004A1572">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Vispārīgas piezīmes</w:t>
        </w:r>
        <w:r>
          <w:rPr>
            <w:webHidden/>
          </w:rPr>
          <w:tab/>
        </w:r>
        <w:r>
          <w:rPr>
            <w:webHidden/>
          </w:rPr>
          <w:fldChar w:fldCharType="begin"/>
        </w:r>
        <w:r>
          <w:rPr>
            <w:webHidden/>
          </w:rPr>
          <w:instrText xml:space="preserve"> PAGEREF _Toc210905522 \h </w:instrText>
        </w:r>
        <w:r>
          <w:rPr>
            <w:webHidden/>
          </w:rPr>
        </w:r>
        <w:r>
          <w:rPr>
            <w:webHidden/>
          </w:rPr>
          <w:fldChar w:fldCharType="separate"/>
        </w:r>
        <w:r>
          <w:rPr>
            <w:webHidden/>
          </w:rPr>
          <w:t>3</w:t>
        </w:r>
        <w:r>
          <w:rPr>
            <w:webHidden/>
          </w:rPr>
          <w:fldChar w:fldCharType="end"/>
        </w:r>
      </w:hyperlink>
    </w:p>
    <w:p w14:paraId="442542B5" w14:textId="20754451"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23" w:history="1">
        <w:r w:rsidRPr="004A1572">
          <w:rPr>
            <w:rStyle w:val="Hyperlink"/>
            <w:rFonts w:ascii="Times New Roman" w:hAnsi="Times New Roman"/>
          </w:rPr>
          <w:t>2.</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C 18.00 — Tirgus risks: Standartizētā pieeja attiecībā uz pozīcijas riskiem tirgotajos parāda instrumentos  (MKR SA TDI)</w:t>
        </w:r>
        <w:r>
          <w:rPr>
            <w:webHidden/>
          </w:rPr>
          <w:tab/>
        </w:r>
        <w:r>
          <w:rPr>
            <w:webHidden/>
          </w:rPr>
          <w:fldChar w:fldCharType="begin"/>
        </w:r>
        <w:r>
          <w:rPr>
            <w:webHidden/>
          </w:rPr>
          <w:instrText xml:space="preserve"> PAGEREF _Toc210905523 \h </w:instrText>
        </w:r>
        <w:r>
          <w:rPr>
            <w:webHidden/>
          </w:rPr>
        </w:r>
        <w:r>
          <w:rPr>
            <w:webHidden/>
          </w:rPr>
          <w:fldChar w:fldCharType="separate"/>
        </w:r>
        <w:r>
          <w:rPr>
            <w:webHidden/>
          </w:rPr>
          <w:t>3</w:t>
        </w:r>
        <w:r>
          <w:rPr>
            <w:webHidden/>
          </w:rPr>
          <w:fldChar w:fldCharType="end"/>
        </w:r>
      </w:hyperlink>
    </w:p>
    <w:p w14:paraId="647CFF94" w14:textId="253080CD"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24" w:history="1">
        <w:r w:rsidRPr="004A1572">
          <w:rPr>
            <w:rStyle w:val="Hyperlink"/>
            <w:rFonts w:ascii="Times New Roman" w:hAnsi="Times New Roman"/>
          </w:rPr>
          <w:t>2.1.</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Vispārīgas piezīmes</w:t>
        </w:r>
        <w:r>
          <w:rPr>
            <w:webHidden/>
          </w:rPr>
          <w:tab/>
        </w:r>
        <w:r>
          <w:rPr>
            <w:webHidden/>
          </w:rPr>
          <w:fldChar w:fldCharType="begin"/>
        </w:r>
        <w:r>
          <w:rPr>
            <w:webHidden/>
          </w:rPr>
          <w:instrText xml:space="preserve"> PAGEREF _Toc210905524 \h </w:instrText>
        </w:r>
        <w:r>
          <w:rPr>
            <w:webHidden/>
          </w:rPr>
        </w:r>
        <w:r>
          <w:rPr>
            <w:webHidden/>
          </w:rPr>
          <w:fldChar w:fldCharType="separate"/>
        </w:r>
        <w:r>
          <w:rPr>
            <w:webHidden/>
          </w:rPr>
          <w:t>3</w:t>
        </w:r>
        <w:r>
          <w:rPr>
            <w:webHidden/>
          </w:rPr>
          <w:fldChar w:fldCharType="end"/>
        </w:r>
      </w:hyperlink>
    </w:p>
    <w:p w14:paraId="2A65CB33" w14:textId="1295105E"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25" w:history="1">
        <w:r w:rsidRPr="004A1572">
          <w:rPr>
            <w:rStyle w:val="Hyperlink"/>
            <w:rFonts w:ascii="Times New Roman" w:hAnsi="Times New Roman"/>
          </w:rPr>
          <w:t>2.2.</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Norādes attiecībā uz konkrētām pozīcijām</w:t>
        </w:r>
        <w:r>
          <w:rPr>
            <w:webHidden/>
          </w:rPr>
          <w:tab/>
        </w:r>
        <w:r>
          <w:rPr>
            <w:webHidden/>
          </w:rPr>
          <w:fldChar w:fldCharType="begin"/>
        </w:r>
        <w:r>
          <w:rPr>
            <w:webHidden/>
          </w:rPr>
          <w:instrText xml:space="preserve"> PAGEREF _Toc210905525 \h </w:instrText>
        </w:r>
        <w:r>
          <w:rPr>
            <w:webHidden/>
          </w:rPr>
        </w:r>
        <w:r>
          <w:rPr>
            <w:webHidden/>
          </w:rPr>
          <w:fldChar w:fldCharType="separate"/>
        </w:r>
        <w:r>
          <w:rPr>
            <w:webHidden/>
          </w:rPr>
          <w:t>3</w:t>
        </w:r>
        <w:r>
          <w:rPr>
            <w:webHidden/>
          </w:rPr>
          <w:fldChar w:fldCharType="end"/>
        </w:r>
      </w:hyperlink>
    </w:p>
    <w:p w14:paraId="1E3135BA" w14:textId="3D104DC9"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26" w:history="1">
        <w:r w:rsidRPr="004A1572">
          <w:rPr>
            <w:rStyle w:val="Hyperlink"/>
            <w:rFonts w:ascii="Times New Roman" w:hAnsi="Times New Roman"/>
          </w:rPr>
          <w:t>3.</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C 19.00 — TIRGUS RISKS: STANDARTIZĒTĀ PIEEJA ATTIECĪBĀ UZ VĒRTSPAPĪROŠANAS SPECIFISKO RISKU (MKR SA SEC)</w:t>
        </w:r>
        <w:r>
          <w:rPr>
            <w:webHidden/>
          </w:rPr>
          <w:tab/>
        </w:r>
        <w:r>
          <w:rPr>
            <w:webHidden/>
          </w:rPr>
          <w:fldChar w:fldCharType="begin"/>
        </w:r>
        <w:r>
          <w:rPr>
            <w:webHidden/>
          </w:rPr>
          <w:instrText xml:space="preserve"> PAGEREF _Toc210905526 \h </w:instrText>
        </w:r>
        <w:r>
          <w:rPr>
            <w:webHidden/>
          </w:rPr>
        </w:r>
        <w:r>
          <w:rPr>
            <w:webHidden/>
          </w:rPr>
          <w:fldChar w:fldCharType="separate"/>
        </w:r>
        <w:r>
          <w:rPr>
            <w:webHidden/>
          </w:rPr>
          <w:t>6</w:t>
        </w:r>
        <w:r>
          <w:rPr>
            <w:webHidden/>
          </w:rPr>
          <w:fldChar w:fldCharType="end"/>
        </w:r>
      </w:hyperlink>
    </w:p>
    <w:p w14:paraId="60E6DE03" w14:textId="5A3F04F9"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27" w:history="1">
        <w:r w:rsidRPr="004A1572">
          <w:rPr>
            <w:rStyle w:val="Hyperlink"/>
            <w:rFonts w:ascii="Times New Roman" w:hAnsi="Times New Roman"/>
          </w:rPr>
          <w:t>3.1.</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Vispārīgas piezīmes</w:t>
        </w:r>
        <w:r>
          <w:rPr>
            <w:webHidden/>
          </w:rPr>
          <w:tab/>
        </w:r>
        <w:r>
          <w:rPr>
            <w:webHidden/>
          </w:rPr>
          <w:fldChar w:fldCharType="begin"/>
        </w:r>
        <w:r>
          <w:rPr>
            <w:webHidden/>
          </w:rPr>
          <w:instrText xml:space="preserve"> PAGEREF _Toc210905527 \h </w:instrText>
        </w:r>
        <w:r>
          <w:rPr>
            <w:webHidden/>
          </w:rPr>
        </w:r>
        <w:r>
          <w:rPr>
            <w:webHidden/>
          </w:rPr>
          <w:fldChar w:fldCharType="separate"/>
        </w:r>
        <w:r>
          <w:rPr>
            <w:webHidden/>
          </w:rPr>
          <w:t>6</w:t>
        </w:r>
        <w:r>
          <w:rPr>
            <w:webHidden/>
          </w:rPr>
          <w:fldChar w:fldCharType="end"/>
        </w:r>
      </w:hyperlink>
    </w:p>
    <w:p w14:paraId="13DFF0D5" w14:textId="3BB4CD4C"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28" w:history="1">
        <w:r w:rsidRPr="004A1572">
          <w:rPr>
            <w:rStyle w:val="Hyperlink"/>
            <w:rFonts w:ascii="Times New Roman" w:hAnsi="Times New Roman"/>
          </w:rPr>
          <w:t>3.2.</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Norādes attiecībā uz konkrētām pozīcijām</w:t>
        </w:r>
        <w:r>
          <w:rPr>
            <w:webHidden/>
          </w:rPr>
          <w:tab/>
        </w:r>
        <w:r>
          <w:rPr>
            <w:webHidden/>
          </w:rPr>
          <w:fldChar w:fldCharType="begin"/>
        </w:r>
        <w:r>
          <w:rPr>
            <w:webHidden/>
          </w:rPr>
          <w:instrText xml:space="preserve"> PAGEREF _Toc210905528 \h </w:instrText>
        </w:r>
        <w:r>
          <w:rPr>
            <w:webHidden/>
          </w:rPr>
        </w:r>
        <w:r>
          <w:rPr>
            <w:webHidden/>
          </w:rPr>
          <w:fldChar w:fldCharType="separate"/>
        </w:r>
        <w:r>
          <w:rPr>
            <w:webHidden/>
          </w:rPr>
          <w:t>6</w:t>
        </w:r>
        <w:r>
          <w:rPr>
            <w:webHidden/>
          </w:rPr>
          <w:fldChar w:fldCharType="end"/>
        </w:r>
      </w:hyperlink>
    </w:p>
    <w:p w14:paraId="1126E9C2" w14:textId="1818DCE0"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29" w:history="1">
        <w:r w:rsidRPr="004A1572">
          <w:rPr>
            <w:rStyle w:val="Hyperlink"/>
            <w:rFonts w:ascii="Times New Roman" w:hAnsi="Times New Roman"/>
          </w:rPr>
          <w:t>4.</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C 20.00 — TIRGUS RISKS: STANDARTIZĒTĀ PIEEJA ATTIECĪBĀ UZ KORELĀCIJAS TIRDZNIECĪBAS PORTFEĻA POZĪCIJU SPECIFISKO RISKU (MKR SA CTP)</w:t>
        </w:r>
        <w:r>
          <w:rPr>
            <w:webHidden/>
          </w:rPr>
          <w:tab/>
        </w:r>
        <w:r>
          <w:rPr>
            <w:webHidden/>
          </w:rPr>
          <w:fldChar w:fldCharType="begin"/>
        </w:r>
        <w:r>
          <w:rPr>
            <w:webHidden/>
          </w:rPr>
          <w:instrText xml:space="preserve"> PAGEREF _Toc210905529 \h </w:instrText>
        </w:r>
        <w:r>
          <w:rPr>
            <w:webHidden/>
          </w:rPr>
        </w:r>
        <w:r>
          <w:rPr>
            <w:webHidden/>
          </w:rPr>
          <w:fldChar w:fldCharType="separate"/>
        </w:r>
        <w:r>
          <w:rPr>
            <w:webHidden/>
          </w:rPr>
          <w:t>8</w:t>
        </w:r>
        <w:r>
          <w:rPr>
            <w:webHidden/>
          </w:rPr>
          <w:fldChar w:fldCharType="end"/>
        </w:r>
      </w:hyperlink>
    </w:p>
    <w:p w14:paraId="1CE26ACE" w14:textId="7D438883"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30" w:history="1">
        <w:r w:rsidRPr="004A1572">
          <w:rPr>
            <w:rStyle w:val="Hyperlink"/>
            <w:rFonts w:ascii="Times New Roman" w:hAnsi="Times New Roman"/>
          </w:rPr>
          <w:t>4.1.</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Vispārīgas piezīmes</w:t>
        </w:r>
        <w:r>
          <w:rPr>
            <w:webHidden/>
          </w:rPr>
          <w:tab/>
        </w:r>
        <w:r>
          <w:rPr>
            <w:webHidden/>
          </w:rPr>
          <w:fldChar w:fldCharType="begin"/>
        </w:r>
        <w:r>
          <w:rPr>
            <w:webHidden/>
          </w:rPr>
          <w:instrText xml:space="preserve"> PAGEREF _Toc210905530 \h </w:instrText>
        </w:r>
        <w:r>
          <w:rPr>
            <w:webHidden/>
          </w:rPr>
        </w:r>
        <w:r>
          <w:rPr>
            <w:webHidden/>
          </w:rPr>
          <w:fldChar w:fldCharType="separate"/>
        </w:r>
        <w:r>
          <w:rPr>
            <w:webHidden/>
          </w:rPr>
          <w:t>8</w:t>
        </w:r>
        <w:r>
          <w:rPr>
            <w:webHidden/>
          </w:rPr>
          <w:fldChar w:fldCharType="end"/>
        </w:r>
      </w:hyperlink>
    </w:p>
    <w:p w14:paraId="35282492" w14:textId="5CFB974E"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31" w:history="1">
        <w:r w:rsidRPr="004A1572">
          <w:rPr>
            <w:rStyle w:val="Hyperlink"/>
            <w:rFonts w:ascii="Times New Roman" w:hAnsi="Times New Roman"/>
          </w:rPr>
          <w:t>4.2.</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Norādes attiecībā uz konkrētām pozīcijām</w:t>
        </w:r>
        <w:r>
          <w:rPr>
            <w:webHidden/>
          </w:rPr>
          <w:tab/>
        </w:r>
        <w:r>
          <w:rPr>
            <w:webHidden/>
          </w:rPr>
          <w:fldChar w:fldCharType="begin"/>
        </w:r>
        <w:r>
          <w:rPr>
            <w:webHidden/>
          </w:rPr>
          <w:instrText xml:space="preserve"> PAGEREF _Toc210905531 \h </w:instrText>
        </w:r>
        <w:r>
          <w:rPr>
            <w:webHidden/>
          </w:rPr>
        </w:r>
        <w:r>
          <w:rPr>
            <w:webHidden/>
          </w:rPr>
          <w:fldChar w:fldCharType="separate"/>
        </w:r>
        <w:r>
          <w:rPr>
            <w:webHidden/>
          </w:rPr>
          <w:t>9</w:t>
        </w:r>
        <w:r>
          <w:rPr>
            <w:webHidden/>
          </w:rPr>
          <w:fldChar w:fldCharType="end"/>
        </w:r>
      </w:hyperlink>
    </w:p>
    <w:p w14:paraId="600FD6AB" w14:textId="7C924D75"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32" w:history="1">
        <w:r w:rsidRPr="004A1572">
          <w:rPr>
            <w:rStyle w:val="Hyperlink"/>
            <w:rFonts w:ascii="Times New Roman" w:hAnsi="Times New Roman"/>
          </w:rPr>
          <w:t>5.</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C 21.00 — Tirgus risks: standartizētā pieeja attiecībā uz kapitāla vērtspapīru pozīcijas risku (MKR SA EQU)</w:t>
        </w:r>
        <w:r>
          <w:rPr>
            <w:webHidden/>
          </w:rPr>
          <w:tab/>
        </w:r>
        <w:r>
          <w:rPr>
            <w:webHidden/>
          </w:rPr>
          <w:fldChar w:fldCharType="begin"/>
        </w:r>
        <w:r>
          <w:rPr>
            <w:webHidden/>
          </w:rPr>
          <w:instrText xml:space="preserve"> PAGEREF _Toc210905532 \h </w:instrText>
        </w:r>
        <w:r>
          <w:rPr>
            <w:webHidden/>
          </w:rPr>
        </w:r>
        <w:r>
          <w:rPr>
            <w:webHidden/>
          </w:rPr>
          <w:fldChar w:fldCharType="separate"/>
        </w:r>
        <w:r>
          <w:rPr>
            <w:webHidden/>
          </w:rPr>
          <w:t>11</w:t>
        </w:r>
        <w:r>
          <w:rPr>
            <w:webHidden/>
          </w:rPr>
          <w:fldChar w:fldCharType="end"/>
        </w:r>
      </w:hyperlink>
    </w:p>
    <w:p w14:paraId="5AAB51F5" w14:textId="64144043"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33" w:history="1">
        <w:r w:rsidRPr="004A1572">
          <w:rPr>
            <w:rStyle w:val="Hyperlink"/>
            <w:rFonts w:ascii="Times New Roman" w:hAnsi="Times New Roman"/>
          </w:rPr>
          <w:t>5.1.</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Vispārīgas piezīmes</w:t>
        </w:r>
        <w:r>
          <w:rPr>
            <w:webHidden/>
          </w:rPr>
          <w:tab/>
        </w:r>
        <w:r>
          <w:rPr>
            <w:webHidden/>
          </w:rPr>
          <w:fldChar w:fldCharType="begin"/>
        </w:r>
        <w:r>
          <w:rPr>
            <w:webHidden/>
          </w:rPr>
          <w:instrText xml:space="preserve"> PAGEREF _Toc210905533 \h </w:instrText>
        </w:r>
        <w:r>
          <w:rPr>
            <w:webHidden/>
          </w:rPr>
        </w:r>
        <w:r>
          <w:rPr>
            <w:webHidden/>
          </w:rPr>
          <w:fldChar w:fldCharType="separate"/>
        </w:r>
        <w:r>
          <w:rPr>
            <w:webHidden/>
          </w:rPr>
          <w:t>11</w:t>
        </w:r>
        <w:r>
          <w:rPr>
            <w:webHidden/>
          </w:rPr>
          <w:fldChar w:fldCharType="end"/>
        </w:r>
      </w:hyperlink>
    </w:p>
    <w:p w14:paraId="79741D29" w14:textId="48FEBC87"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34" w:history="1">
        <w:r w:rsidRPr="004A1572">
          <w:rPr>
            <w:rStyle w:val="Hyperlink"/>
            <w:rFonts w:ascii="Times New Roman" w:hAnsi="Times New Roman"/>
          </w:rPr>
          <w:t>5.2.</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Norādes attiecībā uz konkrētām pozīcijām</w:t>
        </w:r>
        <w:r>
          <w:rPr>
            <w:webHidden/>
          </w:rPr>
          <w:tab/>
        </w:r>
        <w:r>
          <w:rPr>
            <w:webHidden/>
          </w:rPr>
          <w:fldChar w:fldCharType="begin"/>
        </w:r>
        <w:r>
          <w:rPr>
            <w:webHidden/>
          </w:rPr>
          <w:instrText xml:space="preserve"> PAGEREF _Toc210905534 \h </w:instrText>
        </w:r>
        <w:r>
          <w:rPr>
            <w:webHidden/>
          </w:rPr>
        </w:r>
        <w:r>
          <w:rPr>
            <w:webHidden/>
          </w:rPr>
          <w:fldChar w:fldCharType="separate"/>
        </w:r>
        <w:r>
          <w:rPr>
            <w:webHidden/>
          </w:rPr>
          <w:t>12</w:t>
        </w:r>
        <w:r>
          <w:rPr>
            <w:webHidden/>
          </w:rPr>
          <w:fldChar w:fldCharType="end"/>
        </w:r>
      </w:hyperlink>
    </w:p>
    <w:p w14:paraId="768FA314" w14:textId="36CF09E0"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35" w:history="1">
        <w:r w:rsidRPr="004A1572">
          <w:rPr>
            <w:rStyle w:val="Hyperlink"/>
            <w:rFonts w:ascii="Times New Roman" w:hAnsi="Times New Roman"/>
          </w:rPr>
          <w:t>6.</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C 22.00 — Tirgus risks: standartizētā pieeja attiecībā uz ārvalstu valūtas risku  (MKR SA FX)</w:t>
        </w:r>
        <w:r>
          <w:rPr>
            <w:webHidden/>
          </w:rPr>
          <w:tab/>
        </w:r>
        <w:r>
          <w:rPr>
            <w:webHidden/>
          </w:rPr>
          <w:fldChar w:fldCharType="begin"/>
        </w:r>
        <w:r>
          <w:rPr>
            <w:webHidden/>
          </w:rPr>
          <w:instrText xml:space="preserve"> PAGEREF _Toc210905535 \h </w:instrText>
        </w:r>
        <w:r>
          <w:rPr>
            <w:webHidden/>
          </w:rPr>
        </w:r>
        <w:r>
          <w:rPr>
            <w:webHidden/>
          </w:rPr>
          <w:fldChar w:fldCharType="separate"/>
        </w:r>
        <w:r>
          <w:rPr>
            <w:webHidden/>
          </w:rPr>
          <w:t>14</w:t>
        </w:r>
        <w:r>
          <w:rPr>
            <w:webHidden/>
          </w:rPr>
          <w:fldChar w:fldCharType="end"/>
        </w:r>
      </w:hyperlink>
    </w:p>
    <w:p w14:paraId="7F7039C3" w14:textId="745BF58D"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36" w:history="1">
        <w:r w:rsidRPr="004A1572">
          <w:rPr>
            <w:rStyle w:val="Hyperlink"/>
            <w:rFonts w:ascii="Times New Roman" w:hAnsi="Times New Roman"/>
          </w:rPr>
          <w:t>6.1.</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Vispārīgas piezīmes</w:t>
        </w:r>
        <w:r>
          <w:rPr>
            <w:webHidden/>
          </w:rPr>
          <w:tab/>
        </w:r>
        <w:r>
          <w:rPr>
            <w:webHidden/>
          </w:rPr>
          <w:fldChar w:fldCharType="begin"/>
        </w:r>
        <w:r>
          <w:rPr>
            <w:webHidden/>
          </w:rPr>
          <w:instrText xml:space="preserve"> PAGEREF _Toc210905536 \h </w:instrText>
        </w:r>
        <w:r>
          <w:rPr>
            <w:webHidden/>
          </w:rPr>
        </w:r>
        <w:r>
          <w:rPr>
            <w:webHidden/>
          </w:rPr>
          <w:fldChar w:fldCharType="separate"/>
        </w:r>
        <w:r>
          <w:rPr>
            <w:webHidden/>
          </w:rPr>
          <w:t>14</w:t>
        </w:r>
        <w:r>
          <w:rPr>
            <w:webHidden/>
          </w:rPr>
          <w:fldChar w:fldCharType="end"/>
        </w:r>
      </w:hyperlink>
    </w:p>
    <w:p w14:paraId="0F64E5A7" w14:textId="5E3171FB"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37" w:history="1">
        <w:r w:rsidRPr="004A1572">
          <w:rPr>
            <w:rStyle w:val="Hyperlink"/>
            <w:rFonts w:ascii="Times New Roman" w:hAnsi="Times New Roman"/>
          </w:rPr>
          <w:t>6.2.</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Norādes attiecībā uz konkrētām pozīcijām</w:t>
        </w:r>
        <w:r>
          <w:rPr>
            <w:webHidden/>
          </w:rPr>
          <w:tab/>
        </w:r>
        <w:r>
          <w:rPr>
            <w:webHidden/>
          </w:rPr>
          <w:fldChar w:fldCharType="begin"/>
        </w:r>
        <w:r>
          <w:rPr>
            <w:webHidden/>
          </w:rPr>
          <w:instrText xml:space="preserve"> PAGEREF _Toc210905537 \h </w:instrText>
        </w:r>
        <w:r>
          <w:rPr>
            <w:webHidden/>
          </w:rPr>
        </w:r>
        <w:r>
          <w:rPr>
            <w:webHidden/>
          </w:rPr>
          <w:fldChar w:fldCharType="separate"/>
        </w:r>
        <w:r>
          <w:rPr>
            <w:webHidden/>
          </w:rPr>
          <w:t>14</w:t>
        </w:r>
        <w:r>
          <w:rPr>
            <w:webHidden/>
          </w:rPr>
          <w:fldChar w:fldCharType="end"/>
        </w:r>
      </w:hyperlink>
    </w:p>
    <w:p w14:paraId="2CCAFC3B" w14:textId="22DD25D9"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38" w:history="1">
        <w:r w:rsidRPr="004A1572">
          <w:rPr>
            <w:rStyle w:val="Hyperlink"/>
            <w:rFonts w:ascii="Times New Roman" w:hAnsi="Times New Roman"/>
          </w:rPr>
          <w:t>7.</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C 23.00 — Tirgus risks: standartizētās pieejas attiecībā uz precēm (MKR SA COM)</w:t>
        </w:r>
        <w:r>
          <w:rPr>
            <w:webHidden/>
          </w:rPr>
          <w:tab/>
        </w:r>
        <w:r>
          <w:rPr>
            <w:webHidden/>
          </w:rPr>
          <w:fldChar w:fldCharType="begin"/>
        </w:r>
        <w:r>
          <w:rPr>
            <w:webHidden/>
          </w:rPr>
          <w:instrText xml:space="preserve"> PAGEREF _Toc210905538 \h </w:instrText>
        </w:r>
        <w:r>
          <w:rPr>
            <w:webHidden/>
          </w:rPr>
        </w:r>
        <w:r>
          <w:rPr>
            <w:webHidden/>
          </w:rPr>
          <w:fldChar w:fldCharType="separate"/>
        </w:r>
        <w:r>
          <w:rPr>
            <w:webHidden/>
          </w:rPr>
          <w:t>17</w:t>
        </w:r>
        <w:r>
          <w:rPr>
            <w:webHidden/>
          </w:rPr>
          <w:fldChar w:fldCharType="end"/>
        </w:r>
      </w:hyperlink>
    </w:p>
    <w:p w14:paraId="023B1EA2" w14:textId="06DBAD1D"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39" w:history="1">
        <w:r w:rsidRPr="004A1572">
          <w:rPr>
            <w:rStyle w:val="Hyperlink"/>
            <w:rFonts w:ascii="Times New Roman" w:hAnsi="Times New Roman"/>
          </w:rPr>
          <w:t>7.1.</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Vispārīgas piezīmes</w:t>
        </w:r>
        <w:r>
          <w:rPr>
            <w:webHidden/>
          </w:rPr>
          <w:tab/>
        </w:r>
        <w:r>
          <w:rPr>
            <w:webHidden/>
          </w:rPr>
          <w:fldChar w:fldCharType="begin"/>
        </w:r>
        <w:r>
          <w:rPr>
            <w:webHidden/>
          </w:rPr>
          <w:instrText xml:space="preserve"> PAGEREF _Toc210905539 \h </w:instrText>
        </w:r>
        <w:r>
          <w:rPr>
            <w:webHidden/>
          </w:rPr>
        </w:r>
        <w:r>
          <w:rPr>
            <w:webHidden/>
          </w:rPr>
          <w:fldChar w:fldCharType="separate"/>
        </w:r>
        <w:r>
          <w:rPr>
            <w:webHidden/>
          </w:rPr>
          <w:t>17</w:t>
        </w:r>
        <w:r>
          <w:rPr>
            <w:webHidden/>
          </w:rPr>
          <w:fldChar w:fldCharType="end"/>
        </w:r>
      </w:hyperlink>
    </w:p>
    <w:p w14:paraId="3112CCFF" w14:textId="6BC7D8FC"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40" w:history="1">
        <w:r w:rsidRPr="004A1572">
          <w:rPr>
            <w:rStyle w:val="Hyperlink"/>
            <w:rFonts w:ascii="Times New Roman" w:hAnsi="Times New Roman"/>
          </w:rPr>
          <w:t>7.2.</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Norādes attiecībā uz konkrētām pozīcijām</w:t>
        </w:r>
        <w:r>
          <w:rPr>
            <w:webHidden/>
          </w:rPr>
          <w:tab/>
        </w:r>
        <w:r>
          <w:rPr>
            <w:webHidden/>
          </w:rPr>
          <w:fldChar w:fldCharType="begin"/>
        </w:r>
        <w:r>
          <w:rPr>
            <w:webHidden/>
          </w:rPr>
          <w:instrText xml:space="preserve"> PAGEREF _Toc210905540 \h </w:instrText>
        </w:r>
        <w:r>
          <w:rPr>
            <w:webHidden/>
          </w:rPr>
        </w:r>
        <w:r>
          <w:rPr>
            <w:webHidden/>
          </w:rPr>
          <w:fldChar w:fldCharType="separate"/>
        </w:r>
        <w:r>
          <w:rPr>
            <w:webHidden/>
          </w:rPr>
          <w:t>17</w:t>
        </w:r>
        <w:r>
          <w:rPr>
            <w:webHidden/>
          </w:rPr>
          <w:fldChar w:fldCharType="end"/>
        </w:r>
      </w:hyperlink>
    </w:p>
    <w:p w14:paraId="394F298E" w14:textId="46E2E667"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41" w:history="1">
        <w:r w:rsidRPr="004A1572">
          <w:rPr>
            <w:rStyle w:val="Hyperlink"/>
            <w:rFonts w:ascii="Times New Roman" w:hAnsi="Times New Roman"/>
          </w:rPr>
          <w:t>8.</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C 24.00 — Tirgus riska iekšējais modelis (MKR IM)</w:t>
        </w:r>
        <w:r>
          <w:rPr>
            <w:webHidden/>
          </w:rPr>
          <w:tab/>
        </w:r>
        <w:r>
          <w:rPr>
            <w:webHidden/>
          </w:rPr>
          <w:fldChar w:fldCharType="begin"/>
        </w:r>
        <w:r>
          <w:rPr>
            <w:webHidden/>
          </w:rPr>
          <w:instrText xml:space="preserve"> PAGEREF _Toc210905541 \h </w:instrText>
        </w:r>
        <w:r>
          <w:rPr>
            <w:webHidden/>
          </w:rPr>
        </w:r>
        <w:r>
          <w:rPr>
            <w:webHidden/>
          </w:rPr>
          <w:fldChar w:fldCharType="separate"/>
        </w:r>
        <w:r>
          <w:rPr>
            <w:webHidden/>
          </w:rPr>
          <w:t>19</w:t>
        </w:r>
        <w:r>
          <w:rPr>
            <w:webHidden/>
          </w:rPr>
          <w:fldChar w:fldCharType="end"/>
        </w:r>
      </w:hyperlink>
    </w:p>
    <w:p w14:paraId="2CFA120A" w14:textId="315012FE"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42" w:history="1">
        <w:r w:rsidRPr="004A1572">
          <w:rPr>
            <w:rStyle w:val="Hyperlink"/>
            <w:rFonts w:ascii="Times New Roman" w:hAnsi="Times New Roman"/>
          </w:rPr>
          <w:t>8.1.</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Vispārīgas piezīmes</w:t>
        </w:r>
        <w:r>
          <w:rPr>
            <w:webHidden/>
          </w:rPr>
          <w:tab/>
        </w:r>
        <w:r>
          <w:rPr>
            <w:webHidden/>
          </w:rPr>
          <w:fldChar w:fldCharType="begin"/>
        </w:r>
        <w:r>
          <w:rPr>
            <w:webHidden/>
          </w:rPr>
          <w:instrText xml:space="preserve"> PAGEREF _Toc210905542 \h </w:instrText>
        </w:r>
        <w:r>
          <w:rPr>
            <w:webHidden/>
          </w:rPr>
        </w:r>
        <w:r>
          <w:rPr>
            <w:webHidden/>
          </w:rPr>
          <w:fldChar w:fldCharType="separate"/>
        </w:r>
        <w:r>
          <w:rPr>
            <w:webHidden/>
          </w:rPr>
          <w:t>19</w:t>
        </w:r>
        <w:r>
          <w:rPr>
            <w:webHidden/>
          </w:rPr>
          <w:fldChar w:fldCharType="end"/>
        </w:r>
      </w:hyperlink>
    </w:p>
    <w:p w14:paraId="1092E13A" w14:textId="3769F216" w:rsidR="00037571" w:rsidRDefault="00037571">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5543" w:history="1">
        <w:r w:rsidRPr="004A1572">
          <w:rPr>
            <w:rStyle w:val="Hyperlink"/>
            <w:rFonts w:ascii="Times New Roman" w:hAnsi="Times New Roman"/>
          </w:rPr>
          <w:t>8.2.</w:t>
        </w:r>
        <w:r>
          <w:rPr>
            <w:rFonts w:asciiTheme="minorHAnsi" w:eastAsiaTheme="minorEastAsia" w:hAnsiTheme="minorHAnsi" w:cstheme="minorBidi"/>
            <w:b w:val="0"/>
            <w:smallCaps w:val="0"/>
            <w:kern w:val="2"/>
            <w:sz w:val="24"/>
            <w:szCs w:val="24"/>
            <w:lang w:val="en-IE" w:eastAsia="en-IE"/>
            <w14:ligatures w14:val="standardContextual"/>
          </w:rPr>
          <w:tab/>
        </w:r>
        <w:r w:rsidRPr="004A1572">
          <w:rPr>
            <w:rStyle w:val="Hyperlink"/>
            <w:rFonts w:ascii="Times New Roman" w:hAnsi="Times New Roman"/>
          </w:rPr>
          <w:t>Norādes attiecībā uz konkrētām pozīcijām</w:t>
        </w:r>
        <w:r>
          <w:rPr>
            <w:webHidden/>
          </w:rPr>
          <w:tab/>
        </w:r>
        <w:r>
          <w:rPr>
            <w:webHidden/>
          </w:rPr>
          <w:fldChar w:fldCharType="begin"/>
        </w:r>
        <w:r>
          <w:rPr>
            <w:webHidden/>
          </w:rPr>
          <w:instrText xml:space="preserve"> PAGEREF _Toc210905543 \h </w:instrText>
        </w:r>
        <w:r>
          <w:rPr>
            <w:webHidden/>
          </w:rPr>
        </w:r>
        <w:r>
          <w:rPr>
            <w:webHidden/>
          </w:rPr>
          <w:fldChar w:fldCharType="separate"/>
        </w:r>
        <w:r>
          <w:rPr>
            <w:webHidden/>
          </w:rPr>
          <w:t>19</w:t>
        </w:r>
        <w:r>
          <w:rPr>
            <w:webHidden/>
          </w:rPr>
          <w:fldChar w:fldCharType="end"/>
        </w:r>
      </w:hyperlink>
    </w:p>
    <w:p w14:paraId="4325A1DC" w14:textId="6DD72E82"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05516"/>
      <w:r>
        <w:rPr>
          <w:rFonts w:ascii="Times New Roman" w:hAnsi="Times New Roman"/>
        </w:rPr>
        <w:lastRenderedPageBreak/>
        <w:t>I DAĻA.</w:t>
      </w:r>
      <w:bookmarkEnd w:id="2"/>
      <w:r>
        <w:rPr>
          <w:rFonts w:ascii="Times New Roman" w:hAnsi="Times New Roman"/>
        </w:rPr>
        <w:t xml:space="preserve"> VISPĀRĪGAS NORĀDES</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905517"/>
      <w:r>
        <w:rPr>
          <w:rFonts w:ascii="Times New Roman" w:hAnsi="Times New Roman"/>
          <w:sz w:val="24"/>
          <w:u w:val="none"/>
        </w:rPr>
        <w:t>1.</w:t>
      </w:r>
      <w:r w:rsidRPr="00FF44F1">
        <w:rPr>
          <w:u w:val="none"/>
        </w:rPr>
        <w:tab/>
      </w:r>
      <w:r>
        <w:rPr>
          <w:rFonts w:ascii="Times New Roman" w:hAnsi="Times New Roman"/>
          <w:sz w:val="24"/>
          <w:u w:val="none"/>
        </w:rPr>
        <w:t>PIEŅEMTĀ PRAKSE</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10905518"/>
      <w:bookmarkStart w:id="12" w:name="_Toc264038399"/>
      <w:bookmarkStart w:id="13" w:name="_Toc294018834"/>
      <w:r>
        <w:rPr>
          <w:rFonts w:ascii="Times New Roman" w:hAnsi="Times New Roman"/>
          <w:sz w:val="24"/>
          <w:u w:val="none"/>
        </w:rPr>
        <w:t>1.1.</w:t>
      </w:r>
      <w:r w:rsidRPr="00FF44F1">
        <w:rPr>
          <w:u w:val="none"/>
        </w:rPr>
        <w:tab/>
      </w:r>
      <w:r>
        <w:rPr>
          <w:rFonts w:ascii="Times New Roman" w:hAnsi="Times New Roman"/>
          <w:sz w:val="24"/>
          <w:u w:val="none"/>
        </w:rPr>
        <w:t>Pieņemtā prakse attiecībā uz numerāciju</w:t>
      </w:r>
      <w:bookmarkEnd w:id="9"/>
      <w:bookmarkEnd w:id="10"/>
      <w:bookmarkEnd w:id="11"/>
    </w:p>
    <w:p w14:paraId="07DD29A3" w14:textId="3ADB010A" w:rsidR="002648B0" w:rsidRPr="002D60D7" w:rsidRDefault="002648B0" w:rsidP="00E172EA">
      <w:pPr>
        <w:pStyle w:val="InstructionsText2"/>
        <w:numPr>
          <w:ilvl w:val="0"/>
          <w:numId w:val="29"/>
        </w:numPr>
        <w:suppressAutoHyphens/>
      </w:pPr>
      <w:r>
        <w:t>Atsaucoties uz veidņu slejām, rindām un šūnām, dokumentā izmanto pieņemto praksi attiecībā uz apzīmējumiem, kas norādīta 2.–5. punktā. Minētos ciparu kodus plaši izmanto validācijas noteikumos.</w:t>
      </w:r>
    </w:p>
    <w:p w14:paraId="4A930757" w14:textId="35786EEA" w:rsidR="005643EA" w:rsidRPr="002D60D7" w:rsidRDefault="002648B0" w:rsidP="00E172EA">
      <w:pPr>
        <w:pStyle w:val="InstructionsText2"/>
        <w:numPr>
          <w:ilvl w:val="0"/>
          <w:numId w:val="29"/>
        </w:numPr>
        <w:suppressAutoHyphens/>
      </w:pPr>
      <w:r>
        <w:t>Norādēs izmantots šāds vispārējs apzīmējums: {Veidne; Rinda; Sleja}.</w:t>
      </w:r>
    </w:p>
    <w:p w14:paraId="058D6622" w14:textId="0D8EC818" w:rsidR="002648B0" w:rsidRPr="002D60D7" w:rsidRDefault="002648B0" w:rsidP="00E172EA">
      <w:pPr>
        <w:pStyle w:val="InstructionsText2"/>
        <w:numPr>
          <w:ilvl w:val="0"/>
          <w:numId w:val="29"/>
        </w:numPr>
        <w:suppressAutoHyphens/>
      </w:pPr>
      <w:r>
        <w:t>Ja validāciju veic veidnē, kurā izmantoti tikai minētās veidnes datu punkti, apzīmējumi neattiecas uz veidni: {Rinda; Sleja}.</w:t>
      </w:r>
    </w:p>
    <w:p w14:paraId="1C93CB72" w14:textId="27E06172" w:rsidR="005643EA" w:rsidRPr="002D60D7" w:rsidRDefault="002648B0" w:rsidP="00E172EA">
      <w:pPr>
        <w:pStyle w:val="InstructionsText2"/>
        <w:numPr>
          <w:ilvl w:val="0"/>
          <w:numId w:val="29"/>
        </w:numPr>
        <w:suppressAutoHyphens/>
      </w:pPr>
      <w:r>
        <w:t>Ja veidnēs ir tikai viena sleja, atsaucas vienīgi uz rindām: {Veidne; Rinda}.</w:t>
      </w:r>
    </w:p>
    <w:p w14:paraId="6CF08484" w14:textId="337CEEA0" w:rsidR="002648B0" w:rsidRPr="002D60D7" w:rsidRDefault="002648B0" w:rsidP="00E172EA">
      <w:pPr>
        <w:pStyle w:val="InstructionsText2"/>
        <w:numPr>
          <w:ilvl w:val="0"/>
          <w:numId w:val="29"/>
        </w:numPr>
        <w:suppressAutoHyphens/>
      </w:pPr>
      <w:r>
        <w:t>Zvaigznītes zīmi izmanto, lai norādītu, ka validāciju veic attiecībā uz iepriekš norādītām rindām vai slejām.</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05519"/>
      <w:r>
        <w:rPr>
          <w:rFonts w:ascii="Times New Roman" w:hAnsi="Times New Roman"/>
          <w:sz w:val="24"/>
          <w:u w:val="none"/>
        </w:rPr>
        <w:t>1.2.</w:t>
      </w:r>
      <w:r w:rsidRPr="00FF44F1">
        <w:rPr>
          <w:u w:val="none"/>
        </w:rPr>
        <w:tab/>
      </w:r>
      <w:r>
        <w:rPr>
          <w:rFonts w:ascii="Times New Roman" w:hAnsi="Times New Roman"/>
          <w:sz w:val="24"/>
          <w:u w:val="none"/>
        </w:rPr>
        <w:t>Pieņemtā prakse attiecībā uz zīmēm</w:t>
      </w:r>
      <w:bookmarkEnd w:id="12"/>
      <w:bookmarkEnd w:id="13"/>
      <w:bookmarkEnd w:id="14"/>
      <w:bookmarkEnd w:id="15"/>
      <w:bookmarkEnd w:id="16"/>
    </w:p>
    <w:p w14:paraId="67BDF5E2" w14:textId="769DF459" w:rsidR="002648B0" w:rsidRDefault="002648B0" w:rsidP="00E172EA">
      <w:pPr>
        <w:pStyle w:val="InstructionsText2"/>
        <w:numPr>
          <w:ilvl w:val="0"/>
          <w:numId w:val="29"/>
        </w:numPr>
        <w:suppressAutoHyphens/>
      </w:pPr>
      <w:r>
        <w:t>Jebkuru summu, kas palielina pašu kapitālu vai kapitāla prasības, uzrāda kā pozitīvu skaitli. Turpretim summu, kas samazina kopējās pašu kapitāla vai kapitāla prasības, uzrāda kā negatīvu skaitli. Ja pirms kāda posteņa apzīmējuma ir mīnuszīme (-), paredzēts, ka minēto posteni neuzrāda kā pozitīvu skaitli.</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905520"/>
      <w:r>
        <w:rPr>
          <w:rFonts w:ascii="Times New Roman" w:hAnsi="Times New Roman"/>
          <w:sz w:val="24"/>
          <w:u w:val="none"/>
        </w:rPr>
        <w:t>1.3.</w:t>
      </w:r>
      <w:r w:rsidRPr="00B54C2F">
        <w:rPr>
          <w:u w:val="none"/>
        </w:rPr>
        <w:tab/>
      </w:r>
      <w:r>
        <w:rPr>
          <w:rFonts w:ascii="Times New Roman" w:hAnsi="Times New Roman"/>
          <w:sz w:val="24"/>
          <w:u w:val="none"/>
        </w:rPr>
        <w:t>Atsauces uz Regulu (ES) Nr. 575/2013</w:t>
      </w:r>
      <w:bookmarkEnd w:id="17"/>
    </w:p>
    <w:p w14:paraId="59845808" w14:textId="11AE211B" w:rsidR="00843119" w:rsidRPr="002D60D7" w:rsidRDefault="00843119" w:rsidP="00E172EA">
      <w:pPr>
        <w:pStyle w:val="InstructionsText2"/>
        <w:numPr>
          <w:ilvl w:val="0"/>
          <w:numId w:val="29"/>
        </w:numPr>
        <w:suppressAutoHyphens/>
      </w:pPr>
      <w:r>
        <w:t xml:space="preserve">Visas atsauces uz Regulas (ES) 575/2013 325. līdz 377. pantu lasa kā atsauces uz minētās regulas redakciju, kas bija spēkā 2019.gada 26. jūnijā.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905521"/>
      <w:r>
        <w:rPr>
          <w:rFonts w:ascii="Times New Roman" w:hAnsi="Times New Roman"/>
        </w:rPr>
        <w:t>II DAĻA. NORĀDES SAISTĪBĀ AR VEIDNI</w:t>
      </w:r>
      <w:bookmarkEnd w:id="18"/>
      <w:bookmarkEnd w:id="19"/>
      <w:r>
        <w:rPr>
          <w:rFonts w:ascii="Times New Roman" w:hAnsi="Times New Roman"/>
        </w:rPr>
        <w:t>: TIRGUS RISKA VEIDNES</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05522"/>
      <w:r>
        <w:rPr>
          <w:rFonts w:ascii="Times New Roman" w:hAnsi="Times New Roman"/>
          <w:sz w:val="24"/>
          <w:u w:val="none"/>
        </w:rPr>
        <w:t>1.</w:t>
      </w:r>
      <w:r w:rsidRPr="00B54C2F">
        <w:rPr>
          <w:u w:val="none"/>
        </w:rPr>
        <w:tab/>
      </w:r>
      <w:bookmarkEnd w:id="21"/>
      <w:bookmarkEnd w:id="22"/>
      <w:bookmarkEnd w:id="23"/>
      <w:bookmarkEnd w:id="24"/>
      <w:bookmarkEnd w:id="25"/>
      <w:bookmarkEnd w:id="26"/>
      <w:r>
        <w:rPr>
          <w:rFonts w:ascii="Times New Roman" w:hAnsi="Times New Roman"/>
          <w:sz w:val="24"/>
        </w:rPr>
        <w:t>Vispārīgas piezīmes</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Šīs norādes attiecas uz veidnēm, kurās uzrāda pašu kapitāla prasību aprēķinu saskaņā ar standartizēto pieeju attiecībā uz ārvalstu valūtas risku (MKR SA FX), preču risku (MKR SA COM) procentu likmju risku (MKR SA TDI, MKR SA SEC, MKR SA CTP) un kapitāla vērtspapīru risku (MKR SA EQU). Papildus tam šajā daļā ir iekļautas norādes par pārskatu sniegšanu attiecībā uz pašu kapitāla prasību aprēķinu saskaņā ar iekšējo modeļu pieeju (MKR IM). </w:t>
      </w:r>
    </w:p>
    <w:p w14:paraId="43A205D1" w14:textId="5DC446A2" w:rsidR="000B0B09" w:rsidRPr="002D60D7" w:rsidRDefault="000B0B09" w:rsidP="00E172EA">
      <w:pPr>
        <w:pStyle w:val="InstructionsText2"/>
        <w:numPr>
          <w:ilvl w:val="0"/>
          <w:numId w:val="29"/>
        </w:numPr>
        <w:suppressAutoHyphens/>
      </w:pPr>
      <w:r>
        <w:t xml:space="preserve">Tirgoto parāda instrumentu vai kapitāla vērtspapīru (vai parāda vai kapitāla vērtspapīru atvasināto instrumentu) pozīcijas risku sadala divos komponentos, lai aprēķinātu kapitālu, kas vajadzīgs pozīcijas riska segšanai. Pirmais komponents sedz tā specifisko risku – tas ir risks, kura cēlonis ir cenu izmaiņas attiecīgajā instrumentā tā emitenta dēļ, vai, atvasināta instrumenta gadījumā, to pamatā esošā instrumenta emitenta dēļ. Otrais komponents ir pozīcijas vispārējais risks – minētais risks, kura cēlonis ir cenu izmaiņas instrumentā procentu likmju līmeņa izmaiņu dēļ (ja tas ir tirgotais parāda instruments vai parāda atvasinātais instruments) vai kapitāla vērtspapīru tirgus lielu pārmaiņu dēļ (ja tas ir kapitāla vērtspapīrs vai kapitāla vērtspapīru atvasinātais instruments), kas nav saistīts ar atsevišķu vērtspapīru īpašām iezīmēm. </w:t>
      </w:r>
      <w:bookmarkEnd w:id="28"/>
      <w:r>
        <w:t xml:space="preserve">Konkrētiem instrumentiem piemērotais vispārējais režīms un savstarpējo prasījumu ieskaita procedūras ir noteiktas Regulas (ES) Nr. 575/2013 326.–333. pantā.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05523"/>
      <w:r>
        <w:rPr>
          <w:rFonts w:ascii="Times New Roman" w:hAnsi="Times New Roman"/>
          <w:sz w:val="24"/>
          <w:u w:val="none"/>
        </w:rPr>
        <w:t>2.</w:t>
      </w:r>
      <w:r w:rsidRPr="00B54C2F">
        <w:rPr>
          <w:u w:val="none"/>
        </w:rPr>
        <w:tab/>
      </w:r>
      <w:r>
        <w:rPr>
          <w:rFonts w:ascii="Times New Roman" w:hAnsi="Times New Roman"/>
          <w:sz w:val="24"/>
        </w:rPr>
        <w:t xml:space="preserve">C 18.00 — Tirgus risks: Standartizētā pieeja attiecībā uz pozīcijas riskiem tirgotajos parāda instrumentos </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05524"/>
      <w:r>
        <w:rPr>
          <w:rFonts w:ascii="Times New Roman" w:hAnsi="Times New Roman"/>
          <w:sz w:val="24"/>
          <w:u w:val="none"/>
        </w:rPr>
        <w:t>2.1.</w:t>
      </w:r>
      <w:r w:rsidRPr="00B54C2F">
        <w:rPr>
          <w:u w:val="none"/>
        </w:rPr>
        <w:tab/>
      </w:r>
      <w:r>
        <w:rPr>
          <w:rFonts w:ascii="Times New Roman" w:hAnsi="Times New Roman"/>
          <w:sz w:val="24"/>
        </w:rPr>
        <w:t>Vispārīgas piezīmes</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Šajā veidnē atspoguļo pozīcijas un saistītās pašu kapitāla prasības attiecībā uz pozīcijas riskiem tirgotajiem parāda instrumentiem saskaņā ar standartizēto pieeju (Regulas (ES) Nr. 575/2013 325. panta 2. punkta a) apakšpunkts). Rindās ir ņemti vērā dažādie riski un saskaņā ar Regulu (ES) Nr. 575/2013 pieejamās metodes. Specifisko risku, kas saistīts ar riska darījumiem, kuri iekļauti MKR SA SEC un MKR SA CTP, uzrāda tikai MKR SA TDI kopējā veidnē. Šajās veidnēs uzrādītās pašu kapitāla prasības pārnes attiecīgi uz 0325;0060 šūnu (vērtspapīrošana) un 0330;0060 šūnu (CTP).</w:t>
      </w:r>
    </w:p>
    <w:p w14:paraId="7C8420A5" w14:textId="3BAA75DB" w:rsidR="000B0B09" w:rsidRPr="002D60D7" w:rsidRDefault="000B0B09" w:rsidP="00E172EA">
      <w:pPr>
        <w:pStyle w:val="InstructionsText2"/>
        <w:numPr>
          <w:ilvl w:val="0"/>
          <w:numId w:val="29"/>
        </w:numPr>
        <w:suppressAutoHyphens/>
      </w:pPr>
      <w:r>
        <w:t xml:space="preserve">Šo veidni aizpilda atsevišķi par posteni “Kopā”, kā arī par iepriekš noteiktu sarakstu ar šādām valūtām: </w:t>
      </w:r>
      <w:bookmarkStart w:id="44" w:name="OLE_LINK1"/>
      <w:r>
        <w:t>EUR, ALL, BGN, CZK, DKK, EGP, GBP, HUF, ISK, JPY, MKD, NOK, PLN, RON, RUB, RSD, SEK, CHF, TRY, UAH, USD</w:t>
      </w:r>
      <w:bookmarkEnd w:id="44"/>
      <w:r>
        <w:t xml:space="preserve"> un par vienu atsevišķu veidni ar visām citām valūtām.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05525"/>
      <w:r>
        <w:rPr>
          <w:rFonts w:ascii="Times New Roman" w:hAnsi="Times New Roman"/>
          <w:sz w:val="24"/>
          <w:u w:val="none"/>
        </w:rPr>
        <w:t>2.2.</w:t>
      </w:r>
      <w:r w:rsidRPr="00B54C2F">
        <w:rPr>
          <w:u w:val="none"/>
        </w:rPr>
        <w:tab/>
      </w:r>
      <w:r>
        <w:rPr>
          <w:rFonts w:ascii="Times New Roman" w:hAnsi="Times New Roman"/>
          <w:sz w:val="24"/>
        </w:rPr>
        <w:t>Norādes attiecībā uz konkrētām pozīcijām</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Slejas</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VISAS POZĪCIJAS (GARĀS UN ĪSĀS)</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Regulas (ES) Nr. 575/2013 102. pants un 105. panta 1. punkts. Tās ir bruto pozīcijas, kurām nav veikts savstarpējo prasījumu ieskaits pa instrumentiem, bet kuras neietver sākotnējās izvietošanas pozīcijas, uz ko pieteikušies vai kam pakārtotu sākotnējo izvietošanu veic trešās puses, saskaņā ar Regulas (ES) Nr. 575/2013 345. panta 1. punkta pirmās daļas otro teikumu. Attiecībā uz atšķirību starp garajām un īsajām pozīcijām, kas arī ir piemērojamas šīm bruto pozīcijām, sk. minētās regulas 328. panta 2. punktu.</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 POZĪCIJAS (GARĀS UN ĪSĀS)</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Regulas (ES) Nr. 575/2013 327. līdz 329. pants un 334. pants. Attiecībā uz atšķirību starp garajām un īsajām pozīcijām, sk. minētās regulas 328. panta 2. punktu.</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POZĪCIJAS, UZ KURĀM ATTIECAS KAPITĀLA PRASĪBA</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Tās neto pozīcijas, uz kurām saskaņā ar dažādajām pieejām, kas minētas Regulas (ES) Nr. 575/2013 Trešās daļas IV sadaļas 2. nodaļā, attiecas kapitāla prasība.</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PAŠU KAPITĀLA PRASĪBAS</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Kapitāla prasība attiecībā uz jebkuru attiecīgo pozīciju saskaņā ar Regulas (ES) Nr. 575/2013 Trešās daļas IV sadaļas 2. nodaļu.</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KOPĒJĀ RISKA DARĪJUMU VĒRTĪBA</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Regulas (ES) Nr. 575/2013 92. panta 6. punkta b) apakšpunkts. Aprēķina, pašu kapitāla prasības reizinot ar 12,5.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Rindas</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TIRGOTIE PARĀDA INSTRUMENTI TIRDZNIECĪBAS PORTFELĪ</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Pozīcijas tirgotajos parāda instrumentos tirdzniecības portfelī un to atbilstīgās pašu kapitāla prasības attiecībā uz pozīcijas risku saskaņā ar Regulas (ES) Nr. 575/2013 92. panta 4. punkta b) apakšpunkta i) punktu un minētās regulas Trešās daļas IV sadaļas 2. nodaļu uzrāda atkarībā no riska kategorijas, termiņa un izmantotās pieejas.</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VISPĀRĒJAIS RISKS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Atvasinātie instrumenti</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t>Atvasinātie instrumenti, kas iekļauti tirdzniecības portfeļa pozīciju procentu likmju riska aprēķināšanā, attiecīgā gadījumā ņemot vērā Regulas (ES) Nr. 575/2013 328.–331. pantu.</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Citi aktīvi un saistības</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Instrumenti, kas nav atvasinātie instrumenti un kas ietverti tirdzniecības portfeļa pozīciju procentu likmju riska aprēķinā.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TERMIŅA METODE</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Pozīcijas tirgotajos parāda instrumentos, kam piemēro termiņa metodi, kā minēts Regulas (ES) Nr. 575/2013 339. panta 1.–8. punktā, un to atbilstīgās pašu </w:t>
            </w:r>
            <w:r>
              <w:rPr>
                <w:rFonts w:ascii="Times New Roman" w:hAnsi="Times New Roman"/>
                <w:sz w:val="24"/>
              </w:rPr>
              <w:lastRenderedPageBreak/>
              <w:t>kapitāla prasības, kas aprēķinātas saskaņā ar minētās regulas 339. panta 9. punktu. Pozīciju sadala 1., 2. un 3. zonā, un minētās zonas sadala pēc instrumentu termiņiem.</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VISPĀRĒJAIS RISKS. ILGUMA METODE</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Pozīcijas tirgotajos parāda instrumentos, kam piemēro ilguma metodi, kā minēts Regulas (ES) Nr. 575/2013 340. panta 1.–6. punktā, un to atbilstīgās pašu kapitāla prasības, kas aprēķinātas saskaņā ar minētās regulas 340. panta 7. punktu. Pozīciju sadala 1., 2. un 3. zonā.</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SPECIFISKAIS RISKS</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0251., 0325. un 0330. rindā uzrādīto vērtību summa.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Pozīcijas tirgotajos parāda instrumentos, kam piemēro īpašās riska kapitāla prasības, un to attiecīgās kapitāla prasības saskaņā ar Regulas (ES) Nr. 575/2013 92. panta 3. punkta b) apakšpunktu, 335. pantu, 336. panta 1., 2. un 3. punktu un 337. un 338. pantu. Jāņem vērā arī minētās regulas 327. panta 1. punkta pēdējais teikums.</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Pašu kapitāla prasība parāda instrumentiem, kas nav vērtspapīrošanas pozīcijas</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260.–321. rindā uzrādīto vērtību summa.</w:t>
            </w:r>
          </w:p>
          <w:p w14:paraId="4CDA5DEB" w14:textId="4AB00123" w:rsidR="000B0B09" w:rsidRPr="002D60D7" w:rsidRDefault="000B0B09" w:rsidP="004C445F">
            <w:pPr>
              <w:suppressAutoHyphens/>
              <w:rPr>
                <w:rFonts w:ascii="Times New Roman" w:hAnsi="Times New Roman"/>
                <w:sz w:val="24"/>
              </w:rPr>
            </w:pPr>
            <w:r>
              <w:rPr>
                <w:rFonts w:ascii="Times New Roman" w:hAnsi="Times New Roman"/>
                <w:sz w:val="24"/>
              </w:rPr>
              <w:t xml:space="preserve">Ārēji nevērtētu n-tā saistību nepildīšanas gadījuma kredīta atvasināto instrumentu pašu kapitāla prasību aprēķina, saskaitot atsauces sabiedrību riska svērumus (Regulas (ES) Nr. 575/2013 332. panta 1. punkta e) apakšpunkts un 332. panta 1. punkta otrā daļa – “caurskatīšana”). Ārēji novērtētus n-tā saistību nepildīšanas gadījuma kredīta atvasinātos instrumentus (Regulas (ES) Nr. 575/2013 332. panta 1. punkta trešā daļa) atsevišķi uzrāda 321. rindā.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Informācijas sniegšana par pozīcijām, kurām piemēro Regulas (ES) Nr. 575/2013 336. panta 3. punktu: Pastāv īpašs režīms attiecībā uz obligācijām, kas ir atbilstīgas, lai tām saskaņā ar minētās regulas 129. panta 3. punktu piemērotu 10 % riska svērumu banku portfelī (segtās obligācijas).  Īpašās pašu kapitāla prasības ir puse no Regulas (ES) Nr. 575/2013 336. panta 1. tabulā minētās otrās kategorijas procentu attiecības. Minētās pozīcijas iedala 0280.-0300. rindā atbilstoši atlikušajam laikam līdz beigu termiņam.</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Ja procentu likmju pozīciju vispārējo risku ierobežo ar kredītu atvasināto instrumentu, tad piemēro Regulas (ES) Nr. 575/2013 346. un 347. pantu.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Pašu kapitāla prasība vērtspapīrošanas instrumentiem</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Kopējās pašu kapitāla prasības, kas uzrādītas MKR SA SEC veidnes 0601. slejā. Minētās kopējās pašu kapitāla prasības uzrāda tikai MKR SA TDI kopējā līmenī.</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Pašu kapitāla prasība korelācijas tirdzniecības portfelim</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Kopējās pašu kapitāla prasības, kas uzrādītas MKR SA CTP veidnes 0450. slejā. Minētās kopējās pašu kapitāla prasības uzrāda tikai MKR SA TDI kopējā līmenī.</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PAPILDU PRASĪBAS ATTIECĪBĀ UZ IESPĒJAS LĪGUMIEM (RISKI, KAS NAV DELTA RISKI)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Regulas (ES) Nr. 575/2013 329. panta 3. punkts.</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lastRenderedPageBreak/>
              <w:t>Papildu prasības attiecībā uz iespējas līgumiem, kas saistīti ar riskiem, kuri nav delta riski, uzrāda sadalījumā pa šim aprēķinam izmantotajām metodēm.</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05526"/>
      <w:r>
        <w:rPr>
          <w:rFonts w:ascii="Times New Roman" w:hAnsi="Times New Roman"/>
          <w:sz w:val="24"/>
          <w:u w:val="none"/>
        </w:rPr>
        <w:t>3.</w:t>
      </w:r>
      <w:r w:rsidRPr="00B54C2F">
        <w:rPr>
          <w:u w:val="none"/>
        </w:rPr>
        <w:tab/>
      </w:r>
      <w:r>
        <w:rPr>
          <w:rFonts w:ascii="Times New Roman" w:hAnsi="Times New Roman"/>
          <w:sz w:val="24"/>
        </w:rPr>
        <w:t>C 19.00 — TIRGUS RISKS: STANDARTIZĒTĀ PIEEJA ATTIECĪBĀ UZ VĒRTSPAPĪROŠANAS SPECIFISKO RISKU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05527"/>
      <w:r>
        <w:rPr>
          <w:rFonts w:ascii="Times New Roman" w:hAnsi="Times New Roman"/>
          <w:sz w:val="24"/>
          <w:u w:val="none"/>
        </w:rPr>
        <w:t>3.1.</w:t>
      </w:r>
      <w:r w:rsidRPr="00B54C2F">
        <w:rPr>
          <w:u w:val="none"/>
        </w:rPr>
        <w:tab/>
      </w:r>
      <w:r>
        <w:rPr>
          <w:rFonts w:ascii="Times New Roman" w:hAnsi="Times New Roman"/>
          <w:sz w:val="24"/>
        </w:rPr>
        <w:t>Vispārīgas piezīmes</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Šajā veidnē pieprasīta informācija par pozīcijām (visām/neto un garajām/īsajām) un saistītajām pašu kapitāla prasībām attiecībā uz vērtspapīrošanas /atkārtotās vērtspapīrošanas pozīcijas riska specifisko riska komponentu tirdzniecības portfelī (neatbilst korelācijas tirdzniecības portfelim) saskaņā ar standartizēto pieeju. </w:t>
      </w:r>
    </w:p>
    <w:p w14:paraId="2729DF95" w14:textId="1BA228E4" w:rsidR="00FC6275" w:rsidRPr="002D60D7" w:rsidRDefault="00FC6275" w:rsidP="00E172EA">
      <w:pPr>
        <w:pStyle w:val="InstructionsText2"/>
        <w:numPr>
          <w:ilvl w:val="0"/>
          <w:numId w:val="29"/>
        </w:numPr>
        <w:suppressAutoHyphens/>
      </w:pPr>
      <w:r>
        <w:t xml:space="preserve">MKR SA SEC veidnē ir sniegtas pašu kapitāla prasības tikai attiecībā uz vērtspapīrošanas pozīciju specifisko risku saskaņā ar Regulas (ES) Nr. 575/2013 335. pantu saistībā ar 337. pantu. Ja vērtspapīrošanas pozīciju risks tirdzniecības portfelī ir ierobežots ar kredītu atvasinātajiem instrumentiem, piemēro Regulas (ES) Nr. 575/2013 346. un 347. pantu. Visām tirdzniecības portfeļa pozīcijām ir tikai viena veidne neatkarīgi no pieejas, ko ieguldījumu brokeru sabiedrības piemēro, lai noteiktu katras pozīcijas riska svērumu saskaņā ar Regulas (ES) Nr. 575/2013 Trešās daļas II sadaļas 5. nodaļu. Pašu kapitāla prasības attiecībā uz minēto pozīciju vispārējo risku uzrāda MKR SA TDI vai MKR IM veidnē. </w:t>
      </w:r>
    </w:p>
    <w:p w14:paraId="0C732A14" w14:textId="3FF74494" w:rsidR="00FC6275" w:rsidRPr="002D60D7" w:rsidRDefault="00FC6275" w:rsidP="00E172EA">
      <w:pPr>
        <w:pStyle w:val="InstructionsText2"/>
        <w:numPr>
          <w:ilvl w:val="0"/>
          <w:numId w:val="29"/>
        </w:numPr>
        <w:suppressAutoHyphens/>
      </w:pPr>
      <w:r>
        <w:t>Pozīcijas, kam piemēro 1250 % riska svērumu, var alternatīvi atskaitīt no pirmā līmeņa pamata kapitāla (sk. Regulas (ES) Nr. 575/2013 244. panta 1. punkta b) apakšpunktu, 245. panta 1. punkta b) apakšpunktu un 253. pantu). Šīs pozīcijas uzrāda šajā veidnē pat tad, ja iestāde izmanto atskaitīšanas iespēju.</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905528"/>
      <w:r>
        <w:rPr>
          <w:rFonts w:ascii="Times New Roman" w:hAnsi="Times New Roman"/>
          <w:sz w:val="24"/>
          <w:u w:val="none"/>
        </w:rPr>
        <w:t>3.2.</w:t>
      </w:r>
      <w:r w:rsidRPr="00B54C2F">
        <w:rPr>
          <w:u w:val="none"/>
        </w:rPr>
        <w:tab/>
      </w:r>
      <w:r>
        <w:rPr>
          <w:rFonts w:ascii="Times New Roman" w:hAnsi="Times New Roman"/>
          <w:sz w:val="24"/>
        </w:rPr>
        <w:t>Norādes attiecībā uz konkrētām pozīcijām</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Slejas</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VISAS POZĪCIJAS (GARĀS UN ĪSĀS)</w:t>
            </w:r>
          </w:p>
          <w:p w14:paraId="503F4241" w14:textId="0DAFF941" w:rsidR="00C55547" w:rsidRPr="002D60D7" w:rsidRDefault="00C55547" w:rsidP="004C445F">
            <w:pPr>
              <w:suppressAutoHyphens/>
              <w:rPr>
                <w:rFonts w:ascii="Times New Roman" w:hAnsi="Times New Roman"/>
                <w:sz w:val="24"/>
              </w:rPr>
            </w:pPr>
            <w:r>
              <w:rPr>
                <w:rStyle w:val="InstructionsTabelleText"/>
                <w:rFonts w:ascii="Times New Roman" w:hAnsi="Times New Roman"/>
                <w:sz w:val="24"/>
              </w:rPr>
              <w:t>Regulas (ES) Nr. 575/2013 102. pants un 105. panta 1. punkts</w:t>
            </w:r>
            <w:r>
              <w:rPr>
                <w:rFonts w:ascii="Times New Roman" w:hAnsi="Times New Roman"/>
                <w:sz w:val="24"/>
              </w:rPr>
              <w:t xml:space="preserve"> saistībā ar minētās regulas 337. pantu </w:t>
            </w:r>
            <w:r>
              <w:rPr>
                <w:rStyle w:val="InstructionsTabelleText"/>
                <w:rFonts w:ascii="Times New Roman" w:hAnsi="Times New Roman"/>
                <w:sz w:val="24"/>
              </w:rPr>
              <w:t xml:space="preserve">(vērtspapīrošanas pozīcijas). </w:t>
            </w:r>
            <w:r>
              <w:rPr>
                <w:rFonts w:ascii="Times New Roman" w:hAnsi="Times New Roman"/>
                <w:sz w:val="24"/>
              </w:rPr>
              <w:t>Attiecībā uz atšķirību starp garajām un īsajām pozīcijām, kas arī ir piemērojamas šīm bruto pozīcijām, sk. minētās regulas 328. panta 2. punktu</w:t>
            </w:r>
            <w:r>
              <w:rPr>
                <w:rStyle w:val="InstructionsTabelleText"/>
                <w:rFonts w:ascii="Times New Roman" w:hAnsi="Times New Roman"/>
                <w:sz w:val="24"/>
              </w:rPr>
              <w:t xml:space="preserve">.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POZĪCIJAS, KAS ATSKAITĪTAS NO PAŠU KAPITĀLA</w:t>
            </w:r>
            <w:r>
              <w:rPr>
                <w:rFonts w:ascii="Times New Roman" w:hAnsi="Times New Roman"/>
                <w:b/>
                <w:sz w:val="24"/>
                <w:u w:val="single"/>
              </w:rPr>
              <w:t xml:space="preserve"> (GARĀS UN ĪSĀS)</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w:t>
            </w:r>
            <w:r>
              <w:rPr>
                <w:rFonts w:ascii="Times New Roman" w:hAnsi="Times New Roman"/>
                <w:sz w:val="24"/>
              </w:rPr>
              <w:t>Regulas (ES) Nr. 575/2013 244. panta 1. punkta b) apakšpunkts, 245. panta 1. punkta b) apakšpunkts un 253. pants.</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NETO POZĪCIJAS</w:t>
            </w:r>
            <w:r>
              <w:rPr>
                <w:rFonts w:ascii="Times New Roman" w:hAnsi="Times New Roman"/>
                <w:b/>
                <w:sz w:val="24"/>
                <w:u w:val="single"/>
              </w:rPr>
              <w:t xml:space="preserve"> (GARĀS UN ĪSĀS)</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Regulas (ES) Nr. 575/2013 327., 328., 329. un 334. pants</w:t>
            </w:r>
            <w:r>
              <w:rPr>
                <w:rStyle w:val="InstructionsTabelleText"/>
                <w:rFonts w:ascii="Times New Roman" w:hAnsi="Times New Roman"/>
                <w:sz w:val="24"/>
              </w:rPr>
              <w:t xml:space="preserve">. </w:t>
            </w:r>
            <w:r>
              <w:rPr>
                <w:rFonts w:ascii="Times New Roman" w:hAnsi="Times New Roman"/>
                <w:sz w:val="24"/>
              </w:rPr>
              <w:t>Attiecībā uz atšķirību starp garajām un īsajām pozīcijām, sk. minētās regulas 328. panta 2. punktu</w:t>
            </w:r>
            <w:r>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 POZĪCIJU SADALĪJUMS PA RISKA SVĒRUMIEM</w:t>
            </w:r>
          </w:p>
          <w:p w14:paraId="3ECFC065" w14:textId="41D71775" w:rsidR="00C3548F" w:rsidRPr="002D60D7" w:rsidRDefault="00C55547" w:rsidP="004C445F">
            <w:pPr>
              <w:suppressAutoHyphens/>
              <w:rPr>
                <w:rStyle w:val="InstructionsTabelleText"/>
                <w:rFonts w:ascii="Times New Roman" w:hAnsi="Times New Roman"/>
                <w:sz w:val="24"/>
              </w:rPr>
            </w:pPr>
            <w:r>
              <w:rPr>
                <w:rFonts w:ascii="Times New Roman" w:hAnsi="Times New Roman"/>
                <w:sz w:val="24"/>
              </w:rPr>
              <w:t>Regulas (ES) Nr. 575/2013 259. līdz 262. pants, 263. panta 1. un 2. tabula, 264. panta 3. un 4. tabula un 266. pants</w:t>
            </w:r>
            <w:r>
              <w:rPr>
                <w:rStyle w:val="InstructionsTabelleText"/>
                <w:rFonts w:ascii="Times New Roman" w:hAnsi="Times New Roman"/>
                <w:sz w:val="24"/>
              </w:rPr>
              <w:t xml:space="preserv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Sadalījumu veic atsevišķi garajām un īsajām pozīcijām.</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 POZĪCIJU SADALĪJUMS PA PIEEJĀM</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Regulas (ES) Nr. 575/2013 254. pants</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Regulas (ES) Nr. 575/2013 259. un 260. pants.</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Regulas (ES) Nr. 575/2013 261. un 262. pants.</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Fonts w:ascii="Times New Roman" w:hAnsi="Times New Roman"/>
                <w:sz w:val="24"/>
              </w:rPr>
              <w:t>Regulas (ES) Nr. 575/2013 263. un 264. pants.</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IEKŠĒJĀ NOVĒRTĒJUMA PIEEJA</w:t>
            </w:r>
          </w:p>
          <w:p w14:paraId="5354C48C" w14:textId="38E5A78D" w:rsidR="00C55547" w:rsidRPr="002D60D7" w:rsidRDefault="00C55547" w:rsidP="004C445F">
            <w:pPr>
              <w:suppressAutoHyphens/>
              <w:rPr>
                <w:rFonts w:ascii="Times New Roman" w:hAnsi="Times New Roman"/>
                <w:bCs/>
                <w:sz w:val="24"/>
                <w:u w:val="single"/>
              </w:rPr>
            </w:pPr>
            <w:r>
              <w:rPr>
                <w:rFonts w:ascii="Times New Roman" w:hAnsi="Times New Roman"/>
                <w:sz w:val="24"/>
              </w:rPr>
              <w:t>Regulas (ES) Nr. 575/2013 254. un 265. pants un 266. panta 5. punkts</w:t>
            </w:r>
            <w:r>
              <w:rPr>
                <w:rStyle w:val="InstructionsTabelleText"/>
                <w:rFonts w:ascii="Times New Roman" w:hAnsi="Times New Roman"/>
                <w:sz w:val="24"/>
              </w:rPr>
              <w:t>.</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ĪPAŠS REŽĪMS ATBILSTĪGAS INRD VĒRTSPAPĪROŠANAS AUGSTĀKAS PRIORITĀTES LAIDIENIEM</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Regulas (ES) Nr. 575/2013 269.a panta 3. punkts.</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CITS (</w:t>
            </w:r>
            <w:r>
              <w:rPr>
                <w:rFonts w:ascii="Times New Roman" w:hAnsi="Times New Roman"/>
                <w:b/>
                <w:i/>
                <w:iCs/>
                <w:sz w:val="24"/>
                <w:u w:val="single"/>
              </w:rPr>
              <w:t>RW</w:t>
            </w:r>
            <w:r>
              <w:rPr>
                <w:rFonts w:ascii="Times New Roman" w:hAnsi="Times New Roman"/>
                <w:b/>
                <w:sz w:val="24"/>
                <w:u w:val="single"/>
              </w:rPr>
              <w:t xml:space="preserve"> = 1250 %)</w:t>
            </w:r>
          </w:p>
          <w:p w14:paraId="1684F52F" w14:textId="43F3FE5E" w:rsidR="00C55547" w:rsidRPr="002D60D7" w:rsidRDefault="00C55547" w:rsidP="004C445F">
            <w:pPr>
              <w:suppressAutoHyphens/>
              <w:rPr>
                <w:rFonts w:ascii="Times New Roman" w:hAnsi="Times New Roman"/>
                <w:b/>
                <w:bCs/>
                <w:sz w:val="24"/>
                <w:u w:val="single"/>
              </w:rPr>
            </w:pPr>
            <w:r>
              <w:rPr>
                <w:rFonts w:ascii="Times New Roman" w:hAnsi="Times New Roman"/>
                <w:sz w:val="24"/>
              </w:rPr>
              <w:t>Regulas (ES) Nr. 575/2013 254. panta 7. punkts.</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VISPĀRĒJĀ IETEKME (KOREKCIJA) REGULAS (ES) 2017/2402 2. NODAĻAS PĀRKĀPUMA DĒĻ</w:t>
            </w:r>
          </w:p>
          <w:p w14:paraId="3FBEAE4C" w14:textId="027236BE" w:rsidR="00C55547" w:rsidRPr="002D60D7" w:rsidRDefault="00C55547" w:rsidP="004C445F">
            <w:pPr>
              <w:suppressAutoHyphens/>
              <w:rPr>
                <w:rFonts w:ascii="Times New Roman" w:hAnsi="Times New Roman"/>
                <w:b/>
                <w:bCs/>
                <w:sz w:val="24"/>
                <w:u w:val="single"/>
              </w:rPr>
            </w:pPr>
            <w:r>
              <w:rPr>
                <w:rFonts w:ascii="Times New Roman" w:hAnsi="Times New Roman"/>
                <w:sz w:val="24"/>
              </w:rPr>
              <w:t>Regulas (ES) Nr. 575/2013 270.a pants.</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PIRMS MAKSIMĀLĀS ROBEŽVĒRTĪBAS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Regulas (ES) Nr. 575/2013 337. pants, neņemot vērā minētās regulas 335. pantā paredzēto rīcības brīvību, kas iestādei ļauj noteikt maksimālo robežvērtību produkta svērumam un neto pozīcijai maksimāli iespējamā ar saistību nepildīšanas risku saistītā zaudējuma līmenī.</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PĒC MAKSIMĀLĀS ROBEŽVĒRTĪBAS / KOPĒJĀM PAŠU KAPITĀLA PRASĪBĀM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t>Regulas (ES) Nr. 575/2013 337. pants, ņemot vērā minētās regulas 335. pantā paredzēto rīcības brīvību.</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Rindas</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KOPĒJĀ RISKA DARĪJUMU VĒRTĪBA</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Nenokārtotu (tirdzniecības portfelī turētu) vērtspapīrošanas un atkārtotas vērtspapīrošanas darījumu kopsumma, ko uzrāda iestāde, kura ir iniciatora vai ieguldītāja, vai sponsora lomā.</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 0070 un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VĒRTSPAPĪROŠANAS POZĪCIJAS</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Regulas (ES) Nr. 575/2013 4. panta 1. punkta 62) apakšpunkts.</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un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ATKĀRTOTAS VĒRTSPAPĪROŠANAS POZĪCIJAS</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Regulas (ES) Nr. 575/2013 4. panta 1. punkta 64) apakšpunkts.</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un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T. SK.: VAR PIEMĒROT DIFERENCĒTU REŽĪMU ATTIECĪBĀ UZ KAPITĀLU</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Tādu vērtspapīrošanas pozīciju kopējā summa, kas atbilst Regulas (ES) Nr. 575/2013 243. pantā vai 270. pantā minētajiem kritērijiem un kas tāpēc ir atbilstīgas, lai tām piemērotu diferencētu kapitāla režīmu.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INICIATORS</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Regulas (ES) Nr. 575/2013 4. panta 1. punkta 13) apakšpunkts.</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IEGULDĪTĀJS</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Kredītiestāde, kas vērtspapīrošanas darījumā tur vērtspapīrošanas pozīciju un kas nav šā darījuma iniciators vai sponsors, vai sākotnējais aizdevējs.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SPONSORS</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Regulas (ES) Nr. 575/2013 4. panta 1. punkta 14) apakšpunkts</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Sponsors, kas arī vērtspapīro savus pašu aktīvus, iniciatora rindās norāda informāciju par saviem pašu vērtspapīrotajiem aktīviem.</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05529"/>
      <w:r>
        <w:rPr>
          <w:rFonts w:ascii="Times New Roman" w:hAnsi="Times New Roman"/>
          <w:sz w:val="24"/>
          <w:u w:val="none"/>
        </w:rPr>
        <w:t>4.</w:t>
      </w:r>
      <w:r w:rsidRPr="00B54C2F">
        <w:rPr>
          <w:u w:val="none"/>
        </w:rPr>
        <w:tab/>
      </w:r>
      <w:r>
        <w:rPr>
          <w:rFonts w:ascii="Times New Roman" w:hAnsi="Times New Roman"/>
          <w:sz w:val="24"/>
        </w:rPr>
        <w:t>C 20.00 — TIRGUS RISKS: STANDARTIZĒTĀ PIEEJA ATTIECĪBĀ UZ KORELĀCIJAS TIRDZNIECĪBAS PORTFEĻA POZĪCIJU SPECIFISKO RISKU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05530"/>
      <w:r>
        <w:rPr>
          <w:rFonts w:ascii="Times New Roman" w:hAnsi="Times New Roman"/>
          <w:sz w:val="24"/>
          <w:u w:val="none"/>
        </w:rPr>
        <w:t>4.1.</w:t>
      </w:r>
      <w:r w:rsidRPr="00B54C2F">
        <w:rPr>
          <w:u w:val="none"/>
        </w:rPr>
        <w:tab/>
      </w:r>
      <w:r>
        <w:rPr>
          <w:rFonts w:ascii="Times New Roman" w:hAnsi="Times New Roman"/>
          <w:sz w:val="24"/>
        </w:rPr>
        <w:t>Vispārīgas piezīmes</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Šajā veidnē pieprasīta informācija par korelācijas tirdzniecības portfeļa (KTP) pozīcijām (kas ietver vērtspapīrošanu, n-tā saistību nepildīšanas gadījuma kredītu atvasinātos instrumentus un citas KTP pozīcijas, kas iekļautas saskaņā ar Regulas (ES) Nr. 575/2013 338. panta 3. punktu) un attiecīgajām pašu kapitāla prasībām saskaņā ar standartizēto pieeju.</w:t>
      </w:r>
    </w:p>
    <w:p w14:paraId="7D9D9B10" w14:textId="1F1EFDEB" w:rsidR="00C55547" w:rsidRPr="002D60D7" w:rsidRDefault="00C55547" w:rsidP="00E172EA">
      <w:pPr>
        <w:pStyle w:val="InstructionsText2"/>
        <w:numPr>
          <w:ilvl w:val="0"/>
          <w:numId w:val="29"/>
        </w:numPr>
        <w:suppressAutoHyphens/>
      </w:pPr>
      <w:r>
        <w:t>MKR SA CTP veidnē ir uzrādītas pašu kapitāla prasības tikai attiecībā uz KTP pozīciju specifisko risku saskaņā ar Regulas (ES) Nr. 575/2013 335. pantu saistībā ar 338. panta 2. un 3. punktu. Ja KTP pozīciju risks tirdzniecības portfelī ir ierobežots ar kredītu atvasinātajiem instrumentiem, piemēro Regulas (ES) Nr. 575/2013 346. un 347. pantu. Visām tirdzniecības portfeļa KTP pozīcijām ir tikai viena veidne neatkarīgi no pieejas, ko iestādes piemēro, lai noteiktu katras pozīcijas riska svērumu saskaņā ar Regulas (ES) Nr. 575/2013 Trešās daļas II sadaļas 5. nodaļu. Pārskatu par pašu kapitāla prasībām attiecībā uz minēto pozīciju vispārējo risku sniedz MKR SA TDI vai MKR IM veidnē.</w:t>
      </w:r>
    </w:p>
    <w:p w14:paraId="2252BE4F" w14:textId="4513CABA" w:rsidR="00C55547" w:rsidRPr="002D60D7" w:rsidRDefault="00C55547" w:rsidP="00E172EA">
      <w:pPr>
        <w:pStyle w:val="InstructionsText2"/>
        <w:numPr>
          <w:ilvl w:val="0"/>
          <w:numId w:val="29"/>
        </w:numPr>
        <w:suppressAutoHyphens/>
      </w:pPr>
      <w:r>
        <w:lastRenderedPageBreak/>
        <w:t xml:space="preserve">Šī veidne atdala vērtspapīrošanas pozīcijas, n-tās saistību nepildīšanas gadījuma kredītu atvasinātos instrumentus un citas KTP pozīcijas. Vērtspapīrošanas pozīcijas vienmēr uzrāda 0030., 0060. vai 0090. rindā (atkarībā no iestādes lomas vērtspapīrošanā). N-tās saistību nepildīšanas gadījuma kredītu atvasinātos instrumentus vienmēr uzrāda 0110. rindā. “Citas KTP pozīcijas” ir tādas pozīcijas, kas nav ne vērtspapīrošanas pozīcijas, ne n-tā saistību nepildīšanas gadījuma kredītu atvasinātie instrumenti (sk. Regulas (ES) Nr. 575/2013 338. panta 3. punktu), bet tās ir tieši “saistītas” (riska ierobežošanas nolūkā) ar vienu no šīm divām pozīcijām. </w:t>
      </w:r>
    </w:p>
    <w:p w14:paraId="5B5B9C2A" w14:textId="127C8328" w:rsidR="00C55547" w:rsidRPr="002D60D7" w:rsidRDefault="00C55547" w:rsidP="00E172EA">
      <w:pPr>
        <w:pStyle w:val="InstructionsText2"/>
        <w:numPr>
          <w:ilvl w:val="0"/>
          <w:numId w:val="29"/>
        </w:numPr>
        <w:suppressAutoHyphens/>
      </w:pPr>
      <w:r>
        <w:t>Pozīcijas, kam piemēro 1250 % riska svērumu, var alternatīvi atskaitīt no pirmā līmeņa pamata kapitāla (sk. Regulas (ES) Nr. 575/2013 244. panta 1. punkta b) apakšpunktu, 245. panta 1. punkta b) apakšpunktu un 253. pantu). Šīs pozīcijas uzrāda šajā veidnē pat tad, ja iestāde izmanto atskaitīšanas iespēju.</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905531"/>
      <w:r>
        <w:rPr>
          <w:rFonts w:ascii="Times New Roman" w:hAnsi="Times New Roman"/>
          <w:sz w:val="24"/>
          <w:u w:val="none"/>
        </w:rPr>
        <w:t>4.2.</w:t>
      </w:r>
      <w:r w:rsidRPr="00E25816">
        <w:rPr>
          <w:u w:val="none"/>
        </w:rPr>
        <w:tab/>
      </w:r>
      <w:r>
        <w:rPr>
          <w:rFonts w:ascii="Times New Roman" w:hAnsi="Times New Roman"/>
          <w:sz w:val="24"/>
        </w:rPr>
        <w:t>Norādes attiecībā uz konkrētām pozīcijām</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Slejas</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VISAS POZĪCIJAS (GARĀS UN ĪSĀS)</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Regulas (ES) Nr. 575/2013 102. pants un 105. panta 1. punkts saistībā ar minētās regulas 338. panta 2. un 3. punktu (pozīcijas, kas piešķirtas korelācijas tirdzniecības portfelim).</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Attiecībā uz atšķirību starp garajām un īsajām pozīcijām, kas arī ir piemērojamas šīm bruto pozīcijām, sk. Regulas (ES) Nr. 575/2013 328. panta 2. punktu.</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POZĪCIJAS, KAS ATSKAITĪTAS NO PAŠU KAPITĀLA (GARĀS UN ĪSĀS)</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Regulas (ES) Nr. 575/2013 253. pants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NETO POZĪCIJAS (GARĀS UN ĪSĀS)</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Regulas (ES) Nr. 575/2013 327., 328., 329. un 334. pants.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Attiecībā uz atšķirību starp garajām un īsajām pozīcijām, sk. minētās regulas 328. panta 2. punktu.</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NETO POZĪCIJU SADALĪJUMS PA RISKA SVĒRUMIEM</w:t>
            </w:r>
          </w:p>
          <w:p w14:paraId="691F4414" w14:textId="75A08501" w:rsidR="00C55547" w:rsidRPr="002D60D7" w:rsidRDefault="00133396" w:rsidP="004C445F">
            <w:pPr>
              <w:suppressAutoHyphens/>
              <w:rPr>
                <w:rFonts w:ascii="Times New Roman" w:hAnsi="Times New Roman"/>
                <w:sz w:val="24"/>
              </w:rPr>
            </w:pPr>
            <w:r>
              <w:rPr>
                <w:rFonts w:ascii="Times New Roman" w:hAnsi="Times New Roman"/>
                <w:sz w:val="24"/>
              </w:rPr>
              <w:t>Regulas (ES) Nr. 575/2013 259. līdz 262. pants, 263. panta 1. un 2. tabula, 264. panta 3. un 4. tabula un 266. pants.</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 POZĪCIJU SADALĪJUMS PA PIEEJĀM</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Fonts w:ascii="Times New Roman" w:hAnsi="Times New Roman"/>
                <w:sz w:val="24"/>
              </w:rPr>
              <w:t>Regulas (ES) Nr. 575/2013 254. pants</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Regulas (ES) Nr. 575/2013 259. un 260. pants.</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lastRenderedPageBreak/>
              <w:t>Regulas (ES) Nr. 575/2013 261. un 262. pants.</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lastRenderedPageBreak/>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Regulas (ES) Nr. 575/2013 263. un 264. pants.</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IEKŠĒJĀ NOVĒRTĒJUMA PIEEJA</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Regulas (ES) Nr. 575/2013 254. un 265. pants un 266. panta 5. punkts.</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ĪPAŠS REŽĪMS ATBILSTĪGAS INRD VĒRTSPAPĪROŠANAS AUGSTĀKAS PRIORITĀTES LAIDIENIEM</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Regulas (ES) Nr. 575/2013 269.a panta 3. punkts.</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CITS (</w:t>
            </w:r>
            <w:r>
              <w:rPr>
                <w:rFonts w:ascii="Times New Roman" w:hAnsi="Times New Roman"/>
                <w:b/>
                <w:i/>
                <w:iCs/>
                <w:sz w:val="24"/>
                <w:u w:val="single"/>
              </w:rPr>
              <w:t>RW</w:t>
            </w:r>
            <w:r>
              <w:rPr>
                <w:rFonts w:ascii="Times New Roman" w:hAnsi="Times New Roman"/>
                <w:b/>
                <w:sz w:val="24"/>
                <w:u w:val="single"/>
              </w:rPr>
              <w:t xml:space="preserve"> = 1250</w:t>
            </w:r>
            <w:r>
              <w:t xml:space="preserve"> </w:t>
            </w:r>
            <w:r>
              <w:rPr>
                <w:rFonts w:ascii="Times New Roman" w:hAnsi="Times New Roman"/>
                <w:b/>
                <w:sz w:val="24"/>
                <w:u w:val="single"/>
              </w:rPr>
              <w:t>%)</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Regulas (ES) Nr. 575/2013 254. panta 7. punkts.</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PIRMS MAKSIMĀLĀS ROBEŽVĒRTĪBAS — SVĒRTĀS NETO GARĀS/ĪSĀS POZĪCIJAS</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Regulas (ES) Nr. 575/2013 338. pants, neņemot vērā minētās regulas 335. pantā paredzēto rīcības brīvību.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PĒC MAKSIMĀLĀS ROBEŽVĒRTĪBAS — SVĒRTĀS NETO GARĀS/ĪSĀS POZĪCIJAS</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Regulas (ES) Nr. 575/2013 338. pants, ņemot vērā minētās regulas 335. pantā paredzēto rīcības brīvību.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KOPĒJĀS PAŠU KAPITĀLA PRASĪBAS</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Pašu kapitāla prasību nosaka kā lielāko no šādiem lielumiem:</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specifiskā riska prasība, kas būtu piemērojama tikai neto garajām pozīcijām (0430. sleja);</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b) specifiskā riska prasība, kas būtu piemērojama tikai neto īsajām pozīcijām (0440. sleja).</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Rindas</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KOPĒJĀ RISKA DARĪJUMU VĒRTĪBA</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t>Nenokārtotu (korelācijas tirdzniecības portfelī turētu) pozīciju kopsumma, ko uzrāda iestāde, kura ir iniciatora, ieguldītāja vai sponsora lomā.</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INICIATORS</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Regulas (ES) Nr. 575/2013 4. panta 1. punkta 13) apakšpunkts.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IEGULDĪTĀJS</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lastRenderedPageBreak/>
              <w:t>Kredītiestāde, kas vērtspapīrošanas darījumā tur vērtspapīrošanas pozīciju un kas nav šā darījuma iniciators vai sponsors, vai sākotnējais aizdevējs.</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SPONSORS</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Regulas (ES) Nr. 575/2013 4. panta 1. punkta 14) apakšpunkts.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t>Sponsors, kas arī vērtspapīro savus pašu aktīvus, iniciatora rindās norāda informāciju par saviem pašu vērtspapīrotajiem aktīviem.</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 0060 un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VĒRTSPAPĪROŠANAS POZĪCIJAS</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Korelācijas tirdzniecības portfelī ir ietverta vērtspapīrošana, n-tā saistību nepildīšanas gadījuma kredītu atvasinātie instrumenti un, iespējams, citas riska ierobežošanas pozīcijas, kas atbilst Regulas (ES) Nr. 575/2013 338. panta 2. un 3. punktā noteiktajiem kritērijiem.</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Vērtspapīrošanas riska darījumu atvasinātos instrumentus, kas nodrošina proporcionālas tiesības, kā arī pozīcijas, kuras ierobežo KTP pozīciju risku, iekļauj rindā “Citas KTP pozīcijas”.</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N-TĀ SAISTĪBU NEPILDĪŠANAS GADĪJUMA KREDĪTU ATVASINĀTIE INSTRUMENTI</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Šeit uzrāda n-tā saistību nepildīšanas gadījuma kredītu atvasinātos instrumentus, kuru risks ierobežots ar n-tā saistību nepildīšanas gadījuma kredīta atvasinātajiem instrumentiem saskaņā ar Regulas (ES) Nr. 575/2013 347. pantu.</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Pozīcijas iniciators, ieguldītājs un sponsors nav attiecināms uz n-tā saistību nepildīšanas gadījuma kredītu atvasinātajiem instrumentiem. Līdz ar to n-tā saistību nepildīšanas gadījuma kredītu atvasinātos instrumentus nesadala tā kā vērtspapīrošanas pozīcijas.</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un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CITAS KTP POZĪCIJAS</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Ietilpst šādas pozīcijas: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vērtspapīrošanas riska darījumu atvasinātie instrumenti, kas nodrošina proporcionālas tiesības, kā arī pozīcijas, kuras ierobežo KTP pozīciju risku;</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KTP pozīcijas, kuru risks saskaņā ar Regulas (ES) Nr. 575/2013 346. pantu ierobežots ar kredītu atvasinātajiem instrumentiem;</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citas pozīcijas, kas atbilst Regulas (ES) Nr. 575/2013 338. panta 3. punktam.</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05532"/>
      <w:r>
        <w:rPr>
          <w:rFonts w:ascii="Times New Roman" w:hAnsi="Times New Roman"/>
          <w:sz w:val="24"/>
          <w:u w:val="none"/>
        </w:rPr>
        <w:t>5.</w:t>
      </w:r>
      <w:r w:rsidRPr="00B54C2F">
        <w:rPr>
          <w:u w:val="none"/>
        </w:rPr>
        <w:tab/>
      </w:r>
      <w:r>
        <w:rPr>
          <w:rFonts w:ascii="Times New Roman" w:hAnsi="Times New Roman"/>
          <w:sz w:val="24"/>
        </w:rPr>
        <w:t xml:space="preserve">C 21.00 — Tirgus risks: standartizētā pieeja attiecībā uz kapitāla vērtspapīru pozīcijas risku </w:t>
      </w:r>
      <w:bookmarkEnd w:id="94"/>
      <w:bookmarkEnd w:id="95"/>
      <w:bookmarkEnd w:id="96"/>
      <w:bookmarkEnd w:id="97"/>
      <w:bookmarkEnd w:id="98"/>
      <w:r>
        <w:rPr>
          <w:rFonts w:ascii="Times New Roman" w:hAnsi="Times New Roman"/>
          <w:sz w:val="24"/>
        </w:rPr>
        <w:t>(MKR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05533"/>
      <w:r>
        <w:rPr>
          <w:rFonts w:ascii="Times New Roman" w:hAnsi="Times New Roman"/>
          <w:sz w:val="24"/>
          <w:u w:val="none"/>
        </w:rPr>
        <w:t>5.1.</w:t>
      </w:r>
      <w:r w:rsidRPr="00B54C2F">
        <w:rPr>
          <w:u w:val="none"/>
        </w:rPr>
        <w:tab/>
      </w:r>
      <w:r>
        <w:rPr>
          <w:rFonts w:ascii="Times New Roman" w:hAnsi="Times New Roman"/>
          <w:sz w:val="24"/>
        </w:rPr>
        <w:t>Vispārīgas piezīmes</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Šajā veidnē pieprasīta informācija par pozīcijām un attiecīgajām pašu kapitāla prasībām attiecībā uz kapitāla vērtspapīru pozīcijas risku tirdzniecības portfelī, kam piemērota standartizētā pieeja.</w:t>
      </w:r>
    </w:p>
    <w:p w14:paraId="3AF5EC7C" w14:textId="570FEDBA" w:rsidR="00B828CC" w:rsidRPr="002D60D7" w:rsidRDefault="000B0B09" w:rsidP="00E172EA">
      <w:pPr>
        <w:pStyle w:val="InstructionsText2"/>
        <w:numPr>
          <w:ilvl w:val="0"/>
          <w:numId w:val="29"/>
        </w:numPr>
        <w:suppressAutoHyphens/>
      </w:pPr>
      <w:r>
        <w:lastRenderedPageBreak/>
        <w:t>Šo veidni aizpilda atsevišķi par posteni “Kopā”, kā arī par statisku, iepriekš noteiktu sarakstu ar šādiem tirgiem: Bulgārija, Čehijas Republika, Dānija, Ēģipte, Ungārija, Islande, Lihtenšteina, Norvēģija, Polija, Rumānija, Zviedrija, Apvienotā Karaliste, Albānija, Japāna, Bijusī Dienvidslāvijas Maķedonijas Republika, Krievijas Federācija, Serbija, Šveice, Turcija, Ukraina, ASV, eurozona, un par vienu atsevišķu veidni ar visiem citiem tirgiem. Šīs pārskatu sniegšanas prasības nolūkā termins “tirgus” saprotams kā “valsts” (izņemot valstis, kas ir eurozonas valstis, sk. Komisijas Deleģēto regulu (ES) Nr. 525/2014</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05534"/>
      <w:r>
        <w:rPr>
          <w:rFonts w:ascii="Times New Roman" w:hAnsi="Times New Roman"/>
          <w:sz w:val="24"/>
          <w:u w:val="none"/>
        </w:rPr>
        <w:t>5.2.</w:t>
      </w:r>
      <w:r w:rsidRPr="00B54C2F">
        <w:rPr>
          <w:u w:val="none"/>
        </w:rPr>
        <w:tab/>
      </w:r>
      <w:r>
        <w:rPr>
          <w:rFonts w:ascii="Times New Roman" w:hAnsi="Times New Roman"/>
          <w:sz w:val="24"/>
        </w:rPr>
        <w:t>Norādes attiecībā uz konkrētām pozīcijām</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Slejas</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VISAS POZĪCIJAS (GARĀS UN ĪSĀS)</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Regulas (ES) Nr. 575/2013 102. pants un 105. panta 1. punkts.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Tās ir bruto pozīcijas, kurām nav veikts savstarpējo prasījumu ieskaits pa instrumentiem, bet kuras neietver sākotnējās izvietošanas pozīcijas, uz ko pieteikušās vai kam pakārtotu sākotnējo izvietošanu veic trešās puses, kā minēts minētās regulas 345. panta 1. punkta pirmās daļas otrajā teikumā.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 POZĪCIJAS (GARĀS UN ĪSĀS)</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Regulas (ES) Nr. 575/2013 327., 329., 332., 341. un 345. pants.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POZĪCIJAS, UZ KURĀM ATTIECAS KAPITĀLA PRASĪBA</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Tās neto pozīcijas, uz kurām saskaņā ar dažādajām pieejām, kas aplūkotas Regulas (ES) Nr. 575/2013 Trešās daļas IV sadaļas 2. nodaļā, attiecas kapitāla prasība. Kapitāla prasību katram valsts tirgum aprēķina atsevišķi. Šajā slejā neietver pozīcijas biržā tirgotu akciju indeksa nākotnes līgumos, kā minēts Regulas (ES) Nr. 575/2013 344. panta 4. punkta otrajā teikumā.</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PAŠU KAPITĀLA PRASĪBAS</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Pašu kapitāla prasība saskaņā ar Regulas (ES) Nr. 575/2013 Trešās daļas IV sadaļas 2. nodaļu attiecībā uz jebkuru attiecīgo pozīciju.</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KOPĒJĀ RISKA DARĪJUMU VĒRTĪBA</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Regulas (ES) Nr. 575/2013 92. panta 6. punkta b) apakšpunkts.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Aprēķina, pašu kapitāla prasības reizinot ar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Rindas</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TIRDZNIECĪBAS PORTFELĪ IEKĻAUTIE KAPITĀLA VĒRTSPAPĪRI</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Pašu kapitāla prasības attiecībā uz pozīcijas risku, kā minēts Regulas (ES) Nr. 575/2013 92. panta 3. punkta b) apakšpunkta i) punktā un Trešās daļas IV sadaļas 2. nodaļas 3. iedaļā.</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VISPĀRĒJAIS RISKS</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Kapitāla vērtspapīru pozīcijas, kas pakļautas vispārējam riskam (Regulas (ES) Nr. 575/2013 343. pants), un to attiecīgās pašu kapitāla prasības saskaņā ar minētās regulas Trešās daļas IV sadaļas 2. nodaļas 3. iedaļu.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Abi sadalījumi (0021./0022. rindas, kā arī 0030./0040. rindas) ir saistīti ar visām visas pozīcijām, kuras pakļautas vispārējam riskam.</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0021. un 0022. rindā pieprasīta informācija par sadalījumu pa instrumentiem.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Tikai sadalījumu 0030. un 0040. rindā izmanto kā pamatu pašu kapitāla prasību aprēķinam.</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Atvasinātie instrumenti</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Atvasinātie instrumenti, kas iekļauti tirdzniecības portfeļa pozīciju kapitāla vērtspapīru riska aprēķinā, attiecīgā gadījumā ņemot vērā Regulas (ES) Nr. 575/2013 329. un 332. pantu.</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Citi aktīvi un saistības</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Instrumenti, kas nav atvasinātie instrumenti un kas ietverti tirdzniecības portfeļa pozīciju kapitāla vērtspapīru riska aprēķinā.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Plaši diversificēti biržā tirgoti akciju indeksa nākotnes līgumi, kuriem piemēro īpašu pieeju</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Plaši diversificēti, biržā tirgoti akciju indeksa nākotnes līgumi, kuriem piemēro īpašu pieeju saskaņā ar Komisijas Īstenošanas regulu (ES) Nr. 945/2014</w:t>
            </w:r>
            <w:r>
              <w:rPr>
                <w:rStyle w:val="FootnoteReference"/>
              </w:rPr>
              <w:footnoteReference w:id="3"/>
            </w:r>
            <w:r>
              <w:rPr>
                <w:rFonts w:ascii="Times New Roman" w:hAnsi="Times New Roman"/>
                <w:sz w:val="24"/>
              </w:rPr>
              <w:t>.</w:t>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Minētās pozīcijas ir pakļautas tikai vispārējam riskam, un tās attiecīgi neuzrāda 0050. rindā.</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Citi kapitāla vērtspapīri, kas nav plaši diversificēti, biržā tirgoti akciju indeksa nākotnes līgumi</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Citas kapitāla vērtspapīru pozīcijas, kuras pakļautas specifiskajam riskam un attiecīgās pašu kapitāla prasības saskaņā ar Regulas (ES) Nr. 575/2013 343. pantu, tostarp to regulētā tirgū tirgotu akciju indeksa nākotnes līgumu pozīcijas, kuriem piemērota minētās regulas 344. panta 3. punktā minētā procedūra.</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SPECIFISKAIS RISKS</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Pozīcijas kapitāla vērtspapīros, kuras pakļautas specifiskam riskam, un attiecīgās pašu kapitāla prasības saskaņā ar Regulas (ES) Nr. 575/2013 342. pantu, izņemot to regulētā tirgū tirgotu akciju indeksa nākotnes līgumu pozīcijas, kuriem piemērota minētās regulas 344. panta 4. punkta otrajā teikumā minētā procedūra.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PAPILDU PRASĪBAS ATTIECĪBĀ UZ IESPĒJAS LĪGUMIEM (RISKI, KAS NAV DELTA RISKI)</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Regulas (ES) Nr. 575/2013 329. panta 2. un 3. punkts.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Papildu prasības attiecībā uz iespējas līgumiem, kas saistīti ar riskiem, kuri nav delta riski, uzrāda saskaņā ar šim aprēķinam izmantotajām metodēm.</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05535"/>
      <w:r>
        <w:rPr>
          <w:rFonts w:ascii="Times New Roman" w:hAnsi="Times New Roman"/>
          <w:sz w:val="24"/>
          <w:u w:val="none"/>
        </w:rPr>
        <w:t>6.</w:t>
      </w:r>
      <w:r w:rsidRPr="00B54C2F">
        <w:rPr>
          <w:u w:val="none"/>
        </w:rPr>
        <w:tab/>
      </w:r>
      <w:r>
        <w:rPr>
          <w:rFonts w:ascii="Times New Roman" w:hAnsi="Times New Roman"/>
          <w:sz w:val="24"/>
        </w:rPr>
        <w:t xml:space="preserve">C 22.00 — Tirgus risks: standartizētā pieeja attiecībā uz ārvalstu valūtas risku </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05536"/>
      <w:r>
        <w:rPr>
          <w:rFonts w:ascii="Times New Roman" w:hAnsi="Times New Roman"/>
          <w:sz w:val="24"/>
          <w:u w:val="none"/>
        </w:rPr>
        <w:t>6.1.</w:t>
      </w:r>
      <w:r w:rsidRPr="00B54C2F">
        <w:rPr>
          <w:u w:val="none"/>
        </w:rPr>
        <w:tab/>
      </w:r>
      <w:r>
        <w:rPr>
          <w:rFonts w:ascii="Times New Roman" w:hAnsi="Times New Roman"/>
          <w:sz w:val="24"/>
        </w:rPr>
        <w:t>Vispārīgas piezīmes</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Ieguldījumu brokeru sabiedrības uzrāda informāciju par pozīcijām katrā valūtā (tostarp pārskata sniegšanas valūtā) un attiecīgās pašu kapitāla prasības attiecībā uz ārvalstu valūtas risku, kam piemērota standartizētā pieeja. Pozīciju aprēķina attiecībā uz katru valūtu (tostarp EUR), zeltu un pozīcijām KIU.</w:t>
      </w:r>
    </w:p>
    <w:p w14:paraId="39EF826C" w14:textId="60814CC7" w:rsidR="000B0B09" w:rsidRPr="002D60D7" w:rsidRDefault="00B31D8A" w:rsidP="00E172EA">
      <w:pPr>
        <w:pStyle w:val="InstructionsText2"/>
        <w:numPr>
          <w:ilvl w:val="0"/>
          <w:numId w:val="29"/>
        </w:numPr>
        <w:suppressAutoHyphens/>
      </w:pPr>
      <w:r>
        <w:t>Šīs veidnes 0100.–0470. rindu uzrāda, ja ieguldījumu brokeru sabiedrībām ir atļauja veikt Eiropas Parlamenta un Padomes Direktīvas 2014/65/ES</w:t>
      </w:r>
      <w:r>
        <w:rPr>
          <w:rStyle w:val="FootnoteReference"/>
        </w:rPr>
        <w:footnoteReference w:id="4"/>
      </w:r>
      <w:r>
        <w:t xml:space="preserve"> I pielikuma A iedaļas 3. vai 6. punktā minētās darbības, pat ja minētajām ieguldījumu brokeru sabiedrībām nav jāaprēķina pašu kapitāla prasības attiecībā uz ārvalstu valūtas risku saskaņā ar Regulas (ES) Nr. 575/2013 351. pantu. Minētajos izziņas posteņos 0100. līdz 0470. rindā iekļauj visas pozīcijas pārskata sniegšanas valūtā neatkarīgi no tā, vai tās ņem vērā Regulas (ES) Nr. 575/2013 354. panta vajadzībām. Veidnes izziņas posteņu 0130.–0470. rindu aizpilda atsevišķi par visām Savienības dalībvalstu valūtām un šādām valūtām: GBP, USD, CHF, JPY, RUB, TRY, AUD, CAD, RSD, ALL, UAH, MKD, EGP, ARS, BRL, MXN, HKD, ICK, TWD, NZD, NOK, SGD, KRW, CNY un visām citām valūtām.</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05537"/>
      <w:r>
        <w:rPr>
          <w:rFonts w:ascii="Times New Roman" w:hAnsi="Times New Roman"/>
          <w:sz w:val="24"/>
          <w:u w:val="none"/>
        </w:rPr>
        <w:t>6.2.</w:t>
      </w:r>
      <w:r w:rsidRPr="00B54C2F">
        <w:rPr>
          <w:u w:val="none"/>
        </w:rPr>
        <w:tab/>
      </w:r>
      <w:r>
        <w:rPr>
          <w:rFonts w:ascii="Times New Roman" w:hAnsi="Times New Roman"/>
          <w:sz w:val="24"/>
        </w:rPr>
        <w:t>Norādes attiecībā uz konkrētām pozīcijām</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Slejas</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VISAS POZĪCIJAS (GARĀS UN ĪSĀS)</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Bruto pozīcijas saistībā ar aktīviem, visām nākotnē saņemamajām summām un līdzīgiem posteņiem, kas minēti Regulas (ES) Nr. 575/2013 352. panta 1. punktā.</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Saskaņā ar Regulas (ES) Nr. 575/2013 352. panta 2. punktu un kompetento iestāžu atļauju pozīcijas, ko iestāde uzņēmusies, lai ierobežotu valūtas kursa negatīvu ietekmi uz tās rādītājiem atbilstīgi minētās regulas 92. panta 1. punktam, un pozīcijas, kas saistītas ar posteņiem, kuri jau atskaitīti, aprēķinot pašu kapitālu, nav jāuzrāda.</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 POZĪCIJAS (GARĀS UN ĪSĀS)</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lastRenderedPageBreak/>
              <w:t>Regulas (ES) Nr. 575/2013 352. panta 3. punkts un 352. panta 4. punkta pirmie divi teikumi un 353. pants.</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Neto pozīcijas aprēķina katrā valūtā saskaņā ar minētās regulas 352. panta 1. punktu. Tādējādi vienlaikus var uzrādīt gan garās, gan īsās pozīcijas.</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POZĪCIJAS, UZ KURĀM ATTIECAS KAPITĀLA PRASĪBA</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Regulas (ES) Nr. 575/2013 352. panta 4. punkta trešais teikums un 353. un 354. pants.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POZĪCIJAS, UZ KURĀM ATTIECAS KAPITĀLA PRASĪBA (GARĀS UN ĪSĀS)</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Garās un īsās neto pozīcijas attiecībā uz katru valūtu aprēķina, no garo pozīciju kopsummas atskaitot īso pozīciju kopsummu.</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Garās neto pozīcijas attiecībā uz katru valūtā veiktu operāciju saskaita, lai iegūtu garo neto pozīciju attiecīgajā valūtā.</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Īsās neto pozīcijas attiecībā uz katru valūtā veiktu operāciju saskaita, lai iegūtu īso neto pozīciju attiecīgajā valūtā.</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Nesakrītošās pozīcijas valūtās, kurās nesniedz pārskatus, pieskaita pozīcijām, uz kurām attiecas kapitāla prasība citām valūtām (030. rinda) 060. vai 070. slejā atkarībā no tā, vai tās ir īsās vai garās pozīcijas.</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POZĪCIJAS, UZ KURĀM ATTIECAS KAPITĀLA PRASĪBA (SAKRĪTOŠĀS)</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Sakrītošās pozīcijas cieši korelētās valūtās.</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PAŠU KAPITĀLA PRASĪBAS</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Kapitāla prasība attiecībā uz jebkuru attiecīgo pozīciju saskaņā ar Regulas (ES) Nr. 575/2013 Trešās daļas IV sadaļas 3. nodaļu.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KOPĒJĀ RISKA DARĪJUMU VĒRTĪBA</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Regulas (ES) Nr. 575/2013 92. panta 6. punkta b) apakšpunkts.</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Aprēķina, pašu kapitāla prasības reizinot ar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Rindas</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KOPĒJĀS POZĪCIJAS</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Visas pozīcijas valūtās, kurās nesniedz pārskatus, un tās pozīcijas pārskata sniegšanas valūtā, ko ņem vērā Regulas (ES) Nr. 575/2013 354. panta vajadzībām un to attiecīgās pašu kapitāla prasības ārvalstu valūtas riskam, kas minēts minētās regulas 92. panta 3. punkta c) apakšpunkta i) punktā, ņemot vērā </w:t>
            </w:r>
            <w:r>
              <w:rPr>
                <w:rFonts w:ascii="Times New Roman" w:hAnsi="Times New Roman"/>
                <w:sz w:val="24"/>
              </w:rPr>
              <w:lastRenderedPageBreak/>
              <w:t>Regulas (ES) Nr. 575/2013 352. panta 2. un 4. punktu (konvertēšanai pārskata valūtā).</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CIEŠI KORELĒTAS VALŪTAS</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Pozīcijas un to attiecīgās pašu kapitāla prasības attiecībā uz cieši korelētām valūtām, kā minēts Regulas (ES) Nr. 575/2013 354. pantā.</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Cieši korelētas valūtas: </w:t>
            </w:r>
            <w:r>
              <w:rPr>
                <w:rFonts w:ascii="Times New Roman" w:hAnsi="Times New Roman"/>
                <w:b/>
                <w:i/>
                <w:sz w:val="24"/>
                <w:u w:val="single"/>
              </w:rPr>
              <w:t>t. sk.</w:t>
            </w:r>
            <w:r>
              <w:rPr>
                <w:rFonts w:ascii="Times New Roman" w:hAnsi="Times New Roman"/>
                <w:b/>
                <w:sz w:val="24"/>
                <w:u w:val="single"/>
              </w:rPr>
              <w:t>: pārskata sniegšanas valūta</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Tās pozīcijas pārskata sniegšanas valūtā, kuras veicina kapitāla prasību aprēķināšanu saskaņā ar Regulas (ES) Nr. 575/2013 354. pantu.</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VISAS CITAS VALŪTAS (tostarp tādas ārvalstu valūtas pozīcijas KIU, ko pielīdzina atšķirīgām valūtām)</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Pozīcijas un to attiecīgās pašu kapitāla prasības valūtām, kam piemēro Regulas (ES) Nr. 575/2013 351. pantā un 352. panta 2. un 4. punktā minēto vispārējo procedūru.</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Ziņojums par KIU, ko pielīdzina atsevišķām valūtām saskaņā ar Regulas (ES) Nr. 575/2013 353. pantu.</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Lai attiecībā uz tām ārvalstu valūtas pozīcijām KIU, ko pielīdzina atsevišķām valūtām, aprēķinātu kapitāla prasības, piemēro divus dažādus režīmus:</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modificēto zelta metodi, ja KIU ieguldījuma virziens nav zināms (šīs ārvalstu valūtas pozīcijas KIU pieskaita iestādes kopējai neto ārvalstu valūtas pozīcijai);</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ja KIU ieguldījuma virziens ir zināms, šīs ārvalstu valūtas pozīcijas KIU pieskaita kopējai atvērtajai ārvalstu valūtas pozīcijai (atkarībā no KIU virziena — garajai vai īsajai).</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Pārskatu par šīm ārvalstu valūtas pozīcijām KIU sniedz atbilstoši kapitāla prasību aprēķinam.</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ZELTS</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Pozīcijas un to attiecīgās pašu kapitāla prasības valūtām, kam piemēro Regulas (ES) Nr. 575/2013 351. pantā un 352. panta 2. un 4. punktā minēto vispārējo procedūru.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0050 - 0090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PAPILDU PRASĪBAS ATTIECĪBĀ UZ IESPĒJAS LĪGUMIEM (RISKI, KAS NAV DELTA RISKI)</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Regulas (ES) Nr. 575/2013 352. panta 5. un 6. punkts.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Papildu prasības attiecībā uz iespējas līgumiem, kas saistīti ar riskiem, kuri nav delta riski, uzrāda sadalījumā pa šim aprēķinam izmantotajām metodēm.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Kopējo pozīciju sadalījums (tostarp pārskata sniegšanas valūtā) pa riska darījumu veidiem</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Kopējās pozīcijas sadala atbilstoši to atvasinātajiem instrumentiem, citiem aktīviem un saistībām, un ārpusbilances posteņiem.</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Citi aktīvi un saistības, kas nav ārpusbilances posteņi un atvasinātie instrumenti</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Šajā kategorijā ietver pozīcijās, kas nav ietvertas 0110. un 0120. rindā.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Ārpusbilances posteņi</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Tādi Regulas (ES) Nr. 575/2013 352. panta darbības jomā ietvertie posteņi neatkarīgi no denominācijas valūtas, kas ir ietverti minētās regulas I pielikumā, izņemot posteņus, kuri ietverti kā vērtspapīru finansēšanas darījumi un ilgstošo norēķinu darījumi vai izrietoši no dažādu produktu savstarpējo prasījumu līgumiskā ieskaita.</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Atvasinātie instrumenti</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Pozīcijas, kas novērtētas saskaņā ar Regulas (ES) Nr. 575/2013 352. pantu.</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IZZIŅAS POSTEŅI: VALŪTAS POZĪCIJAS</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Veidnes izziņas posteņus aizpilda atsevišķi par visām Savienības dalībvalstu valūtām un par GBP, USD, CHF, JPY, RUB, TRY, AUD, CAD, RSD, ALL, UAH, MKD, EGP, ARS, BRL, MXN, HKD, ICK, TWD, NZD, NOK, SGD, KRW, CNY un visām citām valūtām.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0470. rindā iekļauj zelta pozīcijas un KIU pozīcijas, ko pielīdzina atsevišķai valūtai saskaņā ar Regulas (ES) Nr. 575/2013 353. panta 3. punktu.</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05538"/>
      <w:r>
        <w:rPr>
          <w:rFonts w:ascii="Times New Roman" w:hAnsi="Times New Roman"/>
          <w:sz w:val="24"/>
          <w:u w:val="none"/>
        </w:rPr>
        <w:t>7.</w:t>
      </w:r>
      <w:r w:rsidRPr="00B54C2F">
        <w:rPr>
          <w:u w:val="none"/>
        </w:rPr>
        <w:tab/>
      </w:r>
      <w:r>
        <w:rPr>
          <w:rFonts w:ascii="Times New Roman" w:hAnsi="Times New Roman"/>
          <w:sz w:val="24"/>
        </w:rPr>
        <w:t xml:space="preserve">C 23.00 — Tirgus risks: standartizētās pieejas attiecībā uz precēm </w:t>
      </w:r>
      <w:bookmarkEnd w:id="137"/>
      <w:bookmarkEnd w:id="138"/>
      <w:bookmarkEnd w:id="139"/>
      <w:bookmarkEnd w:id="140"/>
      <w:bookmarkEnd w:id="141"/>
      <w:r>
        <w:rPr>
          <w:rFonts w:ascii="Times New Roman" w:hAnsi="Times New Roman"/>
          <w:sz w:val="24"/>
        </w:rPr>
        <w:t>(MKR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05539"/>
      <w:r>
        <w:rPr>
          <w:rFonts w:ascii="Times New Roman" w:hAnsi="Times New Roman"/>
          <w:sz w:val="24"/>
          <w:u w:val="none"/>
        </w:rPr>
        <w:t>7.1.</w:t>
      </w:r>
      <w:r w:rsidRPr="00B54C2F">
        <w:rPr>
          <w:u w:val="none"/>
        </w:rPr>
        <w:tab/>
      </w:r>
      <w:r>
        <w:rPr>
          <w:rFonts w:ascii="Times New Roman" w:hAnsi="Times New Roman"/>
          <w:sz w:val="24"/>
        </w:rPr>
        <w:t>Vispārīgas piezīmes</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Šajā veidnē pieprasīta informācija par preču pozīcijām un attiecīgajām pašu kapitāla prasībām, kam piemērota standartizētā pieeja.</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05540"/>
      <w:r>
        <w:rPr>
          <w:rFonts w:ascii="Times New Roman" w:hAnsi="Times New Roman"/>
          <w:sz w:val="24"/>
          <w:u w:val="none"/>
        </w:rPr>
        <w:t>7.2.</w:t>
      </w:r>
      <w:r w:rsidRPr="00B54C2F">
        <w:rPr>
          <w:u w:val="none"/>
        </w:rPr>
        <w:tab/>
      </w:r>
      <w:r>
        <w:rPr>
          <w:rFonts w:ascii="Times New Roman" w:hAnsi="Times New Roman"/>
          <w:sz w:val="24"/>
        </w:rPr>
        <w:t>Norādes attiecībā uz konkrētām pozīcijām</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Slejas</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VISAS POZĪCIJAS (GARĀS UN ĪSĀS)</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Bruto garās/īsās pozīcijas, kas saskaņā ar Regulas (ES) Nr. 575/2013 357. panta 4. punktu ņemtas vērā attiecībā uz vienu un to pašu preci (sk. arī minētās regulas 359. panta 1. punktu).</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 POZĪCIJAS (GARĀS UN ĪSĀS)</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Kā minēts Regulas (ES) Nr. 575/2013 357. panta 3. punktā.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POZĪCIJAS, UZ KURĀM ATTIECAS KAPITĀLA PRASĪBA</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Tās neto pozīcijas, uz kurām saskaņā ar dažādajām pieejām, kas aplūkotas Regulas (ES) Nr. 575/2013 Trešās daļas IV sadaļas 4. nodaļā, attiecas kapitāla prasība.</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PAŠU KAPITĀLA PRASĪBAS</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Pašu kapitāla prasība, kas aprēķināta saskaņā ar Regulas (ES) Nr. 575/2013 Trešās daļas IV sadaļas 4. nodaļu attiecībā uz jebkuru attiecīgo pozīciju.</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KOPĒJĀ RISKA DARĪJUMU VĒRTĪBA</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Regulas (ES) Nr. 575/2013 92. panta 6. punkta b) apakšpunkts.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Aprēķina, pašu kapitāla prasības reizinot ar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Rindas</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KOPĒJĀS PREČU POZĪCIJAS</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Preču pozīcijas un to attiecīgās pašu kapitāla prasības attiecībā uz tirgus risku, kas aprēķinātas saskaņā ar Regulas (ES) Nr. 575/2013 92. panta 4. punkta c) apakšpunktu un minētās regulas Trešās daļas IV sadaļas 4. nodaļu.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POZĪCIJAS PĒC PRECES KATEGORIJAS</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Pārskatu sniegšanas nolūkā preces ir sagrupētas četrās preču grupās, kas minētas Regulas (ES) Nr. 575/2013 361. panta 2. tabulā.</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TERMIŅU SADALĪJUMA PIEEJA</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Preču pozīcijas, kam piemēro Regulas (ES) Nr. 575/2013 359. pantā minēto termiņu sadalījuma pieeju.</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PAPLAŠINĀTĀ TERMIŅU SADALĪJUMA PIEEJA</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Preču pozīcijas, kam piemēro Regulas (ES) Nr. 575/2013 361. pantā minēto paplašināto termiņu sadalījuma pieeju.</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VIENKĀRŠOTĀ PIEEJA</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Preču pozīcijas, kam piemēro Regulas (ES) Nr. 575/2013 360. pantā minēto vienkāršoto pieeju.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PAPILDU PRASĪBAS ATTIECĪBĀ UZ IESPĒJAS LĪGUMIEM (RISKI, KAS NAV DELTA RISKI)</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lastRenderedPageBreak/>
              <w:t xml:space="preserve">Regulas (ES) Nr. 575/2013 358. panta 4. punkts.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Papildu prasības attiecībā uz iespējas līgumiem, kas saistīti ar riskiem, kuri nav delta riski, uzrāda saskaņā ar šim aprēķinam izmantotajām metodēm.</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905541"/>
      <w:r w:rsidRPr="00E25816">
        <w:rPr>
          <w:rFonts w:ascii="Times New Roman" w:hAnsi="Times New Roman"/>
          <w:sz w:val="24"/>
          <w:u w:val="none"/>
        </w:rPr>
        <w:t>8.</w:t>
      </w:r>
      <w:r w:rsidRPr="00E25816">
        <w:rPr>
          <w:u w:val="none"/>
        </w:rPr>
        <w:tab/>
      </w:r>
      <w:r>
        <w:rPr>
          <w:rFonts w:ascii="Times New Roman" w:hAnsi="Times New Roman"/>
          <w:sz w:val="24"/>
        </w:rPr>
        <w:t>C 24.00 — Tirgus riska iekšējais modelis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05542"/>
      <w:r>
        <w:rPr>
          <w:rFonts w:ascii="Times New Roman" w:hAnsi="Times New Roman"/>
          <w:sz w:val="24"/>
          <w:u w:val="none"/>
        </w:rPr>
        <w:t>8.1.</w:t>
      </w:r>
      <w:r w:rsidRPr="00B54C2F">
        <w:rPr>
          <w:u w:val="none"/>
        </w:rPr>
        <w:tab/>
      </w:r>
      <w:r>
        <w:rPr>
          <w:rFonts w:ascii="Times New Roman" w:hAnsi="Times New Roman"/>
          <w:sz w:val="24"/>
        </w:rPr>
        <w:t>Vispārīgas piezīmes</w:t>
      </w:r>
      <w:bookmarkEnd w:id="159"/>
      <w:bookmarkEnd w:id="160"/>
    </w:p>
    <w:p w14:paraId="2B3D1454" w14:textId="708078C0" w:rsidR="005970B6" w:rsidRPr="002D60D7" w:rsidRDefault="005970B6" w:rsidP="00E172EA">
      <w:pPr>
        <w:pStyle w:val="InstructionsText2"/>
        <w:numPr>
          <w:ilvl w:val="0"/>
          <w:numId w:val="29"/>
        </w:numPr>
        <w:suppressAutoHyphens/>
      </w:pPr>
      <w:r>
        <w:t>Šajā veidnē sniegts riskam pakļautās vērtības (</w:t>
      </w:r>
      <w:r>
        <w:rPr>
          <w:i/>
        </w:rPr>
        <w:t>VaR</w:t>
      </w:r>
      <w:r>
        <w:t>) un riskam pakļautās vērtības spriedzes apstākļos (</w:t>
      </w:r>
      <w:r>
        <w:rPr>
          <w:i/>
        </w:rPr>
        <w:t>sVaR</w:t>
      </w:r>
      <w:r>
        <w:t>) datu sadalījums pa dažādiem tirgus riskiem (parāda instrumentu, kapitāla vērtspapīru, ārvalstu valūtas, preču) un cita informācija, kas ir būtiska pašu kapitāla prasību aprēķināšanai.</w:t>
      </w:r>
    </w:p>
    <w:p w14:paraId="6141A6DE" w14:textId="106A2D11" w:rsidR="005970B6" w:rsidRDefault="005970B6" w:rsidP="00E172EA">
      <w:pPr>
        <w:pStyle w:val="InstructionsText2"/>
        <w:numPr>
          <w:ilvl w:val="0"/>
          <w:numId w:val="29"/>
        </w:numPr>
        <w:suppressAutoHyphens/>
      </w:pPr>
      <w:r>
        <w:t xml:space="preserve">Parasti tas, vai vispārējā un specifiskā riska datus var noteikt un uzrādīt atsevišķi vai tikai kopā, ir atkarīgs no ieguldījumu brokeru sabiedrību modeļa struktūras. Tas pats attiecas uz </w:t>
      </w:r>
      <w:r>
        <w:rPr>
          <w:i/>
        </w:rPr>
        <w:t>VaR / sVaR</w:t>
      </w:r>
      <w:r>
        <w:t xml:space="preserve"> sadalīšanu riska kategorijās (procentu likmju risks, kapitāla vērtspapīru risks, preču risks un ārvalstu valūtas risks). Iestāde var atturēties no minēto sadalījumu uzrādīšanas, ja attiecīgā iestāde pierāda, ka pārskatu sniegšana par minētajiem datiem būtu pārmērīgi apgrūtinoša.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05543"/>
      <w:r>
        <w:rPr>
          <w:rFonts w:ascii="Times New Roman" w:hAnsi="Times New Roman"/>
          <w:sz w:val="24"/>
          <w:u w:val="none"/>
        </w:rPr>
        <w:t>8.2.</w:t>
      </w:r>
      <w:r w:rsidRPr="00B54C2F">
        <w:rPr>
          <w:u w:val="none"/>
        </w:rPr>
        <w:tab/>
      </w:r>
      <w:r>
        <w:rPr>
          <w:rFonts w:ascii="Times New Roman" w:hAnsi="Times New Roman"/>
          <w:sz w:val="24"/>
        </w:rPr>
        <w:t>Norādes attiecībā uz konkrētām pozīcijām</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Slejas</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Riskam pakļautā vērtība (</w:t>
            </w:r>
            <w:r>
              <w:rPr>
                <w:rFonts w:ascii="Times New Roman" w:hAnsi="Times New Roman"/>
                <w:b/>
                <w:i/>
                <w:sz w:val="24"/>
                <w:u w:val="single"/>
              </w:rPr>
              <w:t>VaR</w:t>
            </w:r>
            <w:r>
              <w:rPr>
                <w:rFonts w:ascii="Times New Roman" w:hAnsi="Times New Roman"/>
                <w:b/>
                <w:sz w:val="24"/>
                <w:u w:val="single"/>
              </w:rPr>
              <w:t>)</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i/>
                <w:sz w:val="24"/>
              </w:rPr>
              <w:t>VaR</w:t>
            </w:r>
            <w:r>
              <w:rPr>
                <w:rFonts w:ascii="Times New Roman" w:hAnsi="Times New Roman"/>
                <w:sz w:val="24"/>
              </w:rPr>
              <w:t xml:space="preserve"> ir maksimālie iespējamie zaudējumi, kurus ar noteiktu varbūtību konkrētā laika periodā radītu cenu izmaiņas.</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Reizināšanas koeficients (mc) x iepriekšējo 60 darbdienu </w:t>
            </w:r>
            <w:r>
              <w:rPr>
                <w:rFonts w:ascii="Times New Roman" w:hAnsi="Times New Roman"/>
                <w:b/>
                <w:i/>
                <w:sz w:val="24"/>
                <w:u w:val="single"/>
              </w:rPr>
              <w:t>VaR</w:t>
            </w:r>
            <w:r>
              <w:rPr>
                <w:rFonts w:ascii="Times New Roman" w:hAnsi="Times New Roman"/>
                <w:b/>
                <w:sz w:val="24"/>
                <w:u w:val="single"/>
              </w:rPr>
              <w:t xml:space="preserve"> vidējais rādītājs (</w:t>
            </w:r>
            <w:r>
              <w:rPr>
                <w:rFonts w:ascii="Times New Roman" w:hAnsi="Times New Roman"/>
                <w:b/>
                <w:i/>
                <w:sz w:val="24"/>
                <w:u w:val="single"/>
              </w:rPr>
              <w:t>VaRavg</w:t>
            </w:r>
            <w:r>
              <w:rPr>
                <w:rFonts w:ascii="Times New Roman" w:hAnsi="Times New Roman"/>
                <w:b/>
                <w:sz w:val="24"/>
                <w:u w:val="single"/>
              </w:rPr>
              <w:t>)</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Regulas (ES) Nr. 575/2013 364. panta 1. punkta a) apakšpunkta ii) punkts un 365. panta 1. punkts.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Iepriekšējās dienas </w:t>
            </w:r>
            <w:r>
              <w:rPr>
                <w:rFonts w:ascii="Times New Roman" w:hAnsi="Times New Roman"/>
                <w:b/>
                <w:i/>
                <w:sz w:val="24"/>
                <w:u w:val="single"/>
              </w:rPr>
              <w:t>VaR</w:t>
            </w:r>
            <w:r>
              <w:rPr>
                <w:rFonts w:ascii="Times New Roman" w:hAnsi="Times New Roman"/>
                <w:b/>
                <w:sz w:val="24"/>
                <w:u w:val="single"/>
              </w:rPr>
              <w:t xml:space="preserve"> (</w:t>
            </w:r>
            <w:r>
              <w:rPr>
                <w:rFonts w:ascii="Times New Roman" w:hAnsi="Times New Roman"/>
                <w:b/>
                <w:i/>
                <w:sz w:val="24"/>
                <w:u w:val="single"/>
              </w:rPr>
              <w:t>VaRt-1</w:t>
            </w:r>
            <w:r>
              <w:rPr>
                <w:rFonts w:ascii="Times New Roman" w:hAnsi="Times New Roman"/>
                <w:b/>
                <w:sz w:val="24"/>
                <w:u w:val="single"/>
              </w:rPr>
              <w:t>)</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Regulas (ES) Nr. 575/2013 364. panta 1. punkta a) apakšpunkta i) punkts un 365. panta 1. punkts.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i/>
                <w:sz w:val="24"/>
                <w:u w:val="single"/>
              </w:rPr>
              <w:t>VaR</w:t>
            </w:r>
            <w:r>
              <w:rPr>
                <w:rFonts w:ascii="Times New Roman" w:hAnsi="Times New Roman"/>
                <w:b/>
                <w:sz w:val="24"/>
                <w:u w:val="single"/>
              </w:rPr>
              <w:t xml:space="preserve"> spriedzes apstākļos</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i/>
                <w:sz w:val="24"/>
              </w:rPr>
              <w:t>VaR</w:t>
            </w:r>
            <w:r>
              <w:rPr>
                <w:rFonts w:ascii="Times New Roman" w:hAnsi="Times New Roman"/>
                <w:sz w:val="24"/>
              </w:rPr>
              <w:t xml:space="preserve"> spriedzes apstākļos ir maksimālie iespējamie zaudējumi, kurus ar noteiktu varbūtību konkrētā laika periodā radītu cenu izmaiņas un kuri iegūti, ievades datiem izmantojot vēsturiskos datus par nepārtrauktu 12 mēnešu laika posmu, kurā iestādes portfelis bijis pakļauts ievērojamai finansiālai spriedzei.</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Reizināšanas koeficients (ms) x iepriekšējo 60 darbdienu vidējais rādītājs (</w:t>
            </w:r>
            <w:r>
              <w:rPr>
                <w:rFonts w:ascii="Times New Roman" w:hAnsi="Times New Roman"/>
                <w:b/>
                <w:i/>
                <w:sz w:val="24"/>
                <w:u w:val="single"/>
              </w:rPr>
              <w:t>SVaRavg</w:t>
            </w:r>
            <w:r>
              <w:rPr>
                <w:rFonts w:ascii="Times New Roman" w:hAnsi="Times New Roman"/>
                <w:b/>
                <w:sz w:val="24"/>
                <w:u w:val="single"/>
              </w:rPr>
              <w:t>)</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Regulas (ES) Nr. 575/2013 364. panta 1. punkta b) apakšpunkta ii) punkts un 365. panta 1. punkts.</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Pēdējā pieejamā (</w:t>
            </w:r>
            <w:r>
              <w:rPr>
                <w:rFonts w:ascii="Times New Roman" w:hAnsi="Times New Roman"/>
                <w:b/>
                <w:i/>
                <w:sz w:val="24"/>
                <w:u w:val="single"/>
              </w:rPr>
              <w:t>SVaRt-1</w:t>
            </w:r>
            <w:r>
              <w:rPr>
                <w:rFonts w:ascii="Times New Roman" w:hAnsi="Times New Roman"/>
                <w:b/>
                <w:sz w:val="24"/>
                <w:u w:val="single"/>
              </w:rPr>
              <w:t>)</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Regulas (ES) Nr. 575/2013 364. panta 1. punkta b) apakšpunkta i) punkts un 365. panta 1. punkts.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INKREMENTĀLĀ SAISTĪBU NEPILDĪŠANAS UN MIGRĀCIJAS RISKA KAPITĀLA PRASĪBA</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Inkrementālā saistību nepildīšanas un migrācijas riska kapitāla prasība ir maksimālie iespējamie zaudējumi, kurus radītu cenu izmaiņas, kas saistītas ar saistību nepildīšanas un migrācijas riskiem, kuri aprēķināti saskaņā ar 364. panta 2. punkta b) apakšpunktu saistībā ar Regulas (ES) Nr. 575/2013 Trešās daļas IV sadaļas 5. nodaļas 4. iedaļu.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12 nedēļu vidējais rādītājs</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Regulas (ES) Nr. 575/2013 364. panta 2. punkta b) apakšpunkta ii) punkts saistībā ar Trešās daļas IV sadaļas 5. nodaļas 4. iedaļu.</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Pēdējais rādītājs</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Regulas (ES) Nr. 575/2013 364. panta 2. punkta b) apakšpunkta i) punkts saistībā ar Trešās daļas IV sadaļas 5. nodaļas 4. iedaļu.</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VISU CENAS RISKU KAPITĀLA PRASĪBA ATTIECĪBĀ UZ KTP</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MINIMUMS</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Regulas (ES) Nr. 575/2013 364. panta 3. punkta c) apakšpunkts.</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8 % no kapitāla prasības, kas saskaņā ar Regulas (ES) Nr. 575/2013 338. panta 1. punktu tiktu aprēķināta attiecībā uz visām pozīcijām “visu cenas risku” kapitāla prasībā.</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12 NEDĒĻU VIDĒJAIS RĀDĪTĀJS UN PĒDĒJAIS RĀDĪTĀJS</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Regulas (ES) Nr. 575/2013 364. panta 3. punkta b) apakšpunkts.</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PĒDĒJAIS RĀDĪTĀJS</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Regulas (ES) Nr. 575/2013 364. panta 3. punkta a) apakšpunkts.</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PAŠU KAPITĀLA PRASĪBAS</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Pašu kapitāla prasības, kā minēts Regulas (ES) Nr. 575/2013 364. pantā, attiecībā uz visiem riska faktoriem, attiecīgā gadījumā ņemot vērā korelācijas ietekmi, kā arī inkrementālo saistību nepildīšanas un migrācijas risku, un visus cenas riskus attiecībā uz KTP, taču izņemot vērtspapīrošanas kapitāla prasību </w:t>
            </w:r>
            <w:r>
              <w:rPr>
                <w:rFonts w:ascii="Times New Roman" w:hAnsi="Times New Roman"/>
                <w:sz w:val="24"/>
              </w:rPr>
              <w:lastRenderedPageBreak/>
              <w:t xml:space="preserve">attiecībā uz vērtspapīrošanu un n-tā saistību nepildīšanas gadījuma kredīta atvasinātos instrumentus saskaņā ar minētās regulas 364. panta 2. punktu.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KOPĒJĀ RISKA DARĪJUMU VĒRTĪBA</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Regulas (ES) Nr. 575/2013 92. panta 6. punkta b) apakšpunkts.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Aprēķina, pašu kapitāla prasības reizinot ar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Pārsniegumu skaits iepriekšējās 250 darbdienās</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Norādīts Regulas (ES) Nr. 575/2013 366. pantā.</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Uzrāda pārsniegumu skaitu, pamatojoties uz kuriem ir noteikts saskaitāmais. Ja ieguldījumu brokeru sabiedrībām ir atļauts izslēgt noteiktus pārsniegumus no otrā saskaitāmā aprēķina saskaņā ar Regulas (ES) Nr. 575/2013 500.c pantu, šajā slejā uzrādīto pārsniegumu skaits neietver minētos izslēgtos pārsniegumus.</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i/>
                <w:sz w:val="24"/>
                <w:u w:val="single"/>
              </w:rPr>
              <w:t>VaR</w:t>
            </w:r>
            <w:r>
              <w:rPr>
                <w:rFonts w:ascii="Times New Roman" w:hAnsi="Times New Roman"/>
                <w:b/>
                <w:sz w:val="24"/>
                <w:u w:val="single"/>
              </w:rPr>
              <w:t xml:space="preserve"> reizināšanas koeficients (mc) un</w:t>
            </w:r>
            <w:r>
              <w:rPr>
                <w:rFonts w:ascii="Times New Roman" w:hAnsi="Times New Roman"/>
                <w:b/>
                <w:i/>
                <w:sz w:val="24"/>
                <w:u w:val="single"/>
              </w:rPr>
              <w:t xml:space="preserve"> SVaR</w:t>
            </w:r>
            <w:r>
              <w:rPr>
                <w:rFonts w:ascii="Times New Roman" w:hAnsi="Times New Roman"/>
                <w:b/>
                <w:sz w:val="24"/>
                <w:u w:val="single"/>
              </w:rPr>
              <w:t xml:space="preserve"> reizināšanas koeficients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Kā minēts Regulas (ES) Nr. 575/2013 366. pantā.</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Uzrāda reizinājuma koeficientus, kuri ir faktiski piemērojami pašu kapitāla prasības aprēķināšanai; attiecīgā gadījumā pēc Regulas (ES) Nr. 575/2013 500.c panta piemērošanas.</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PIEŅEMTĀ PRASĪBA ATTIECĪBĀ UZ KTP MINIMUMU — SVĒRTĀS NETO GARĀS/ĪSĀS POZĪCIJAS PĒC MAKSIMĀLĀS ROBEŽVĒRTĪBAS</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Uzrādītā summa, kas saskaņā ar Regulas (ES) Nr. 575/2013 364. panta 3. punkta c) apakšpunktu ir visu cenu risku kapitāla prasības minimuma aprēķina pamatā, ņemot vērā minētās regulas 335. pantā paredzēto rīcības brīvību, kurā norādīts, ka iestāde var noteikt maksimālo robežvērtību produkta svērumam un neto pozīcijai maksimāli iespējamā ar saistību nepildīšanas risku saistītā zaudējumu līmenī.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Rindas</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KOPĒJĀS POZĪCIJAS</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Atbilst pozīcijas, ārvalstu valūtas un preču riska daļai, kas minēta Regulas (ES) Nr. 575/2013 363. panta 1. punktā un saistīta ar minētās regulas 367. panta 2. punktā precizētajiem riska faktoriem.</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Attiecībā uz 0030.–0060. sleju (</w:t>
            </w:r>
            <w:r>
              <w:rPr>
                <w:rFonts w:ascii="Times New Roman" w:hAnsi="Times New Roman"/>
                <w:i/>
                <w:sz w:val="24"/>
              </w:rPr>
              <w:t>VaR</w:t>
            </w:r>
            <w:r>
              <w:rPr>
                <w:rFonts w:ascii="Times New Roman" w:hAnsi="Times New Roman"/>
                <w:sz w:val="24"/>
              </w:rPr>
              <w:t xml:space="preserve"> un </w:t>
            </w:r>
            <w:r>
              <w:rPr>
                <w:rFonts w:ascii="Times New Roman" w:hAnsi="Times New Roman"/>
                <w:i/>
                <w:sz w:val="24"/>
              </w:rPr>
              <w:t>sVaR</w:t>
            </w:r>
            <w:r>
              <w:rPr>
                <w:rFonts w:ascii="Times New Roman" w:hAnsi="Times New Roman"/>
                <w:sz w:val="24"/>
              </w:rPr>
              <w:t xml:space="preserve">) rādītāji kopsummas rindā nav vienādi ar rādītāju sadalījumu attiecīgajiem riska komponentiem </w:t>
            </w:r>
            <w:r>
              <w:rPr>
                <w:rFonts w:ascii="Times New Roman" w:hAnsi="Times New Roman"/>
                <w:i/>
                <w:sz w:val="24"/>
              </w:rPr>
              <w:t>VaR</w:t>
            </w:r>
            <w:r>
              <w:rPr>
                <w:rFonts w:ascii="Times New Roman" w:hAnsi="Times New Roman"/>
                <w:sz w:val="24"/>
              </w:rPr>
              <w:t xml:space="preserve"> / </w:t>
            </w:r>
            <w:r>
              <w:rPr>
                <w:rFonts w:ascii="Times New Roman" w:hAnsi="Times New Roman"/>
                <w:i/>
                <w:sz w:val="24"/>
              </w:rPr>
              <w:t>sVaR</w:t>
            </w:r>
            <w:r>
              <w:rPr>
                <w:rFonts w:ascii="Times New Roman" w:hAnsi="Times New Roman"/>
                <w:sz w:val="24"/>
              </w:rPr>
              <w:t>.</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TIRGOTIE PARĀDA INSTRUMENTI</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Atbilst pozīcijas riska daļai, kas minēta Regulas (ES) Nr. 575/2013 363. panta 1. punktā un kas saistīta ar minētās regulas 367. panta 2. punkta a) apakšpunktā precizētajiem procentu likmju riska faktoriem.</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TPI – VISPĀRĒJAIS RISKS</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lastRenderedPageBreak/>
              <w:t xml:space="preserve">Vispārējā riska komponents, kā minēts Regulas (ES) Nr. 575/2013 362. pantā.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TPI – SPECIFISKAIS RISKS</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Specifiskā riska komponents, kā minēts Regulas (ES) Nr. 575/2013 362. pantā.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KAPITĀLA VĒRTSPAPĪRI</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Atbilst pozīcijas riska daļai, kas minēta Regulas (ES) Nr. 575/2013 363. panta 1. punktā un kas saistīta ar kapitāla vērtspapīru riska faktoriem, kā precizēts minētās regulas 367. panta 2. punkta c) apakšpunktā.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KAPITĀLA VĒRTSPAPĪRI – VISPĀRĒJAIS RISKS</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Vispārējā riska komponents, kā minēts Regulas (ES) Nr. 575/2013 362. pantā.</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KAPITĀLA VĒRTSPAPĪRI – SPECIFISKAIS RISKS</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Specifiskā riska komponents, kā minēts Regulas (ES) Nr. 575/2013 362. pantā.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ĀRVALSTU VALŪTAS RISKS</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Regulas (ES) Nr. 575/2013 363. panta 1. punkts un 367. panta 2. punkta b) apakšpunkts.</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PREČU RISKS</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Regulas (ES) Nr. 575/2013 363. panta 1. punkts un 367. panta 2. punkta d) apakšpunkts.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KOPĒJĀ VĒRTĪBA ATTIECĪBĀ UZ VISPĀRĒJO RISKU</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Tirgus risks, ko rada tirgoto parāda instrumentu, kapitāla vērtspapīru, ārvalstu valūtas un preču vispārējās tirgus tendences. Visu riska faktoru vispārējā riska </w:t>
            </w:r>
            <w:r>
              <w:rPr>
                <w:rStyle w:val="InstructionsTabelleText"/>
                <w:rFonts w:ascii="Times New Roman" w:hAnsi="Times New Roman"/>
                <w:i/>
                <w:sz w:val="24"/>
              </w:rPr>
              <w:t>VaR</w:t>
            </w:r>
            <w:r>
              <w:rPr>
                <w:rStyle w:val="InstructionsTabelleText"/>
                <w:rFonts w:ascii="Times New Roman" w:hAnsi="Times New Roman"/>
                <w:sz w:val="24"/>
              </w:rPr>
              <w:t xml:space="preserve"> (attiecīgā gadījumā ņemot vērā korelācijas ietekmi).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KOPĒJĀ VĒRTĪBA ATTIECĪBĀ UZ SPECIFISKO RISKU</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 xml:space="preserve">Tirgoto parāda instrumentu un kapitāla vērtspapīru specifiskā riska komponents. Tirdzniecības portfeļa kapitāla vērtspapīru un tirgoto parāda instrumentu specifiskā riska </w:t>
            </w:r>
            <w:r>
              <w:rPr>
                <w:rStyle w:val="InstructionsTabelleText"/>
                <w:rFonts w:ascii="Times New Roman" w:hAnsi="Times New Roman"/>
                <w:i/>
                <w:sz w:val="24"/>
              </w:rPr>
              <w:t>VaR</w:t>
            </w:r>
            <w:r>
              <w:rPr>
                <w:rStyle w:val="InstructionsTabelleText"/>
                <w:rFonts w:ascii="Times New Roman" w:hAnsi="Times New Roman"/>
                <w:sz w:val="24"/>
              </w:rPr>
              <w:t xml:space="preserve"> (attiecīgā gadījumā ņemot vērā korelācijas ietekmi).</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E25816" w:rsidRDefault="00C3070C" w:rsidP="00C91751">
      <w:pPr>
        <w:rPr>
          <w:rFonts w:ascii="Times New Roman" w:hAnsi="Times New Roman"/>
          <w:szCs w:val="20"/>
        </w:rPr>
      </w:pPr>
      <w:r w:rsidRPr="00E25816">
        <w:rPr>
          <w:rStyle w:val="FootnoteReference"/>
          <w:rFonts w:ascii="Times New Roman" w:hAnsi="Times New Roman"/>
          <w:sz w:val="20"/>
          <w:szCs w:val="20"/>
          <w:vertAlign w:val="superscript"/>
        </w:rPr>
        <w:footnoteRef/>
      </w:r>
      <w:r w:rsidRPr="00E25816">
        <w:rPr>
          <w:rFonts w:ascii="Times New Roman" w:hAnsi="Times New Roman"/>
          <w:szCs w:val="20"/>
        </w:rPr>
        <w:t xml:space="preserve"> Komisijas Deleģētā regula (ES) Nr. 525/2014 (2014. gada 12. marts), ar ko papildina Eiropas Parlamenta un Padomes Regulu (ES) Nr. 575/2013 attiecībā uz regulatīviem tehniskajiem standartiem par tirgus definīciju (OV L 148, 20.5.2014., 15. lpp.,  ELI: http://data.europa.eu/eli/reg_del/2014/525/oj)</w:t>
      </w:r>
      <w:r w:rsidRPr="00E25816">
        <w:rPr>
          <w:rFonts w:ascii="Times New Roman" w:hAnsi="Times New Roman"/>
          <w:i/>
          <w:szCs w:val="20"/>
        </w:rPr>
        <w:t>.</w:t>
      </w:r>
    </w:p>
  </w:footnote>
  <w:footnote w:id="3">
    <w:p w14:paraId="018474C7" w14:textId="4B859446" w:rsidR="00C3070C" w:rsidRPr="00E25816" w:rsidRDefault="00C3070C">
      <w:pPr>
        <w:pStyle w:val="FootnoteText"/>
        <w:rPr>
          <w:rFonts w:ascii="Times New Roman" w:hAnsi="Times New Roman"/>
          <w:sz w:val="20"/>
          <w:szCs w:val="20"/>
        </w:rPr>
      </w:pPr>
      <w:r w:rsidRPr="00E25816">
        <w:rPr>
          <w:rStyle w:val="FootnoteReference"/>
          <w:rFonts w:ascii="Times New Roman" w:hAnsi="Times New Roman"/>
          <w:sz w:val="20"/>
          <w:szCs w:val="20"/>
          <w:vertAlign w:val="superscript"/>
        </w:rPr>
        <w:footnoteRef/>
      </w:r>
      <w:r w:rsidRPr="00E25816">
        <w:rPr>
          <w:rFonts w:ascii="Times New Roman" w:hAnsi="Times New Roman"/>
          <w:sz w:val="20"/>
          <w:szCs w:val="20"/>
        </w:rPr>
        <w:t xml:space="preserve"> Komisijas Īstenošanas regula (ES) Nr. 945/2014 (2014. gada 4. septembris), ar ko nosaka īstenošanas tehniskos standartus attiecībā uz attiecīgajiem pienācīgi diversificētiem indeksiem saskaņā ar Eiropas Parlamenta un Padomes Regulu (ES) Nr. 575/2013. (OV L 265, 5.9.2014, 3. lpp., ELI: http://data.europa.eu/eli/reg_impl/2014/945/oj).</w:t>
      </w:r>
    </w:p>
  </w:footnote>
  <w:footnote w:id="4">
    <w:p w14:paraId="22A9C113" w14:textId="5D688A5C" w:rsidR="0014702F" w:rsidRPr="00E25816" w:rsidRDefault="0014702F" w:rsidP="006B7076">
      <w:pPr>
        <w:pStyle w:val="FootnoteText"/>
        <w:jc w:val="left"/>
        <w:rPr>
          <w:rFonts w:ascii="Times New Roman" w:hAnsi="Times New Roman"/>
          <w:sz w:val="20"/>
          <w:szCs w:val="20"/>
        </w:rPr>
      </w:pPr>
      <w:r w:rsidRPr="00E25816">
        <w:rPr>
          <w:rStyle w:val="FootnoteReference"/>
          <w:rFonts w:ascii="Times New Roman" w:hAnsi="Times New Roman"/>
          <w:sz w:val="20"/>
          <w:szCs w:val="20"/>
          <w:vertAlign w:val="superscript"/>
        </w:rPr>
        <w:footnoteRef/>
      </w:r>
      <w:r w:rsidRPr="00E25816">
        <w:rPr>
          <w:rFonts w:ascii="Times New Roman" w:hAnsi="Times New Roman"/>
          <w:sz w:val="20"/>
          <w:szCs w:val="20"/>
        </w:rPr>
        <w:t xml:space="preserve"> Eiropas Parlamenta un Padomes Direktīva 2014/65/ES</w:t>
      </w:r>
      <w:bookmarkStart w:id="129" w:name="_Hlk204078738"/>
      <w:bookmarkEnd w:id="129"/>
      <w:r w:rsidRPr="00E25816">
        <w:rPr>
          <w:rFonts w:ascii="Times New Roman" w:hAnsi="Times New Roman"/>
          <w:sz w:val="20"/>
          <w:szCs w:val="20"/>
        </w:rPr>
        <w:t xml:space="preserve"> (2014. gada 15. maijs) par finanšu instrumentu tirgiem un ar ko groza Direktīvu 2002/92/ES un Direktīvu 2011/61/ES (OV L 173, 12.6.2014., 349. lpp.,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I oficiālai lietošanai"/>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I oficiālai lietošanai"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EBI oficiālai lietošanai</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I oficiālai lietošanai"/>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I oficiālai lietošanai"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EBI oficiālai lietošanai</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I oficiālai lietošanai"/>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I oficiālai lietošanai"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EBI oficiālai lietošanai</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571"/>
    <w:rsid w:val="000377CC"/>
    <w:rsid w:val="00037FCC"/>
    <w:rsid w:val="00041480"/>
    <w:rsid w:val="000433C4"/>
    <w:rsid w:val="00043C7C"/>
    <w:rsid w:val="00043DD1"/>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B39"/>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1C47"/>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BEC"/>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DE"/>
    <w:rsid w:val="00A532F5"/>
    <w:rsid w:val="00A53C11"/>
    <w:rsid w:val="00A5427A"/>
    <w:rsid w:val="00A54D29"/>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54C2F"/>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44A"/>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16"/>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2786"/>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76"/>
    <w:rsid w:val="00FE6CFB"/>
    <w:rsid w:val="00FE74CE"/>
    <w:rsid w:val="00FF0040"/>
    <w:rsid w:val="00FF1422"/>
    <w:rsid w:val="00FF15C6"/>
    <w:rsid w:val="00FF1617"/>
    <w:rsid w:val="00FF208F"/>
    <w:rsid w:val="00FF2658"/>
    <w:rsid w:val="00FF2818"/>
    <w:rsid w:val="00FF2D0E"/>
    <w:rsid w:val="00FF36A5"/>
    <w:rsid w:val="00FF3B3B"/>
    <w:rsid w:val="00FF44F1"/>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lv-LV"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lv-LV"/>
    </w:rPr>
  </w:style>
  <w:style w:type="character" w:customStyle="1" w:styleId="Heading2Char">
    <w:name w:val="Heading 2 Char"/>
    <w:link w:val="Heading2"/>
    <w:uiPriority w:val="99"/>
    <w:locked/>
    <w:rsid w:val="00EC5046"/>
    <w:rPr>
      <w:rFonts w:ascii="Verdana" w:hAnsi="Verdana" w:cs="Times New Roman"/>
      <w:b/>
      <w:sz w:val="24"/>
      <w:szCs w:val="24"/>
      <w:u w:val="single"/>
      <w:lang w:val="lv-LV"/>
    </w:rPr>
  </w:style>
  <w:style w:type="character" w:customStyle="1" w:styleId="Heading3Char">
    <w:name w:val="Heading 3 Char"/>
    <w:aliases w:val="Title 2 Char"/>
    <w:uiPriority w:val="99"/>
    <w:locked/>
    <w:rsid w:val="00884FEB"/>
    <w:rPr>
      <w:rFonts w:cs="Times New Roman"/>
      <w:sz w:val="24"/>
      <w:szCs w:val="24"/>
      <w:lang w:val="lv-LV"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lv-LV"/>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lv-LV"/>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lv-LV"/>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lv-LV"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lv-LV"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lv-LV"/>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lv-LV"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lv-LV"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lv-LV"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lv-LV"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3.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159</TotalTime>
  <Pages>22</Pages>
  <Words>6087</Words>
  <Characters>38984</Characters>
  <Application>Microsoft Office Word</Application>
  <DocSecurity>0</DocSecurity>
  <Lines>1146</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SPROGE Valerija (DGT)</cp:lastModifiedBy>
  <cp:revision>17</cp:revision>
  <dcterms:created xsi:type="dcterms:W3CDTF">2025-10-06T12:40:00Z</dcterms:created>
  <dcterms:modified xsi:type="dcterms:W3CDTF">2025-10-09T13:38:00Z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