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A83C" w14:textId="0B721961" w:rsidR="009E7D0C" w:rsidRPr="00696301" w:rsidRDefault="009E7D0C" w:rsidP="0076375E">
      <w:pPr>
        <w:jc w:val="center"/>
        <w:rPr>
          <w:rFonts w:ascii="Times New Roman" w:hAnsi="Times New Roman"/>
          <w:sz w:val="24"/>
        </w:rPr>
      </w:pPr>
      <w:bookmarkStart w:id="0" w:name="_Toc262568021"/>
      <w:bookmarkStart w:id="1" w:name="_Toc295829847"/>
      <w:r>
        <w:rPr>
          <w:rFonts w:ascii="Times New Roman" w:hAnsi="Times New Roman"/>
          <w:sz w:val="24"/>
        </w:rPr>
        <w:t>IT</w:t>
      </w:r>
    </w:p>
    <w:p w14:paraId="24333E7A" w14:textId="068FF302" w:rsidR="008D696E" w:rsidRDefault="008D696E" w:rsidP="00A33695">
      <w:pPr>
        <w:jc w:val="center"/>
        <w:rPr>
          <w:rFonts w:ascii="Times New Roman" w:hAnsi="Times New Roman"/>
          <w:sz w:val="24"/>
        </w:rPr>
      </w:pPr>
      <w:r>
        <w:rPr>
          <w:rFonts w:ascii="Times New Roman" w:hAnsi="Times New Roman"/>
          <w:sz w:val="24"/>
        </w:rPr>
        <w:t>ALLEGATO II</w:t>
      </w:r>
    </w:p>
    <w:p w14:paraId="37362007" w14:textId="5E891665" w:rsidR="002648B0" w:rsidRPr="00696301" w:rsidRDefault="00516AD5" w:rsidP="00A33695">
      <w:pPr>
        <w:jc w:val="center"/>
        <w:rPr>
          <w:rFonts w:ascii="Times New Roman" w:hAnsi="Times New Roman"/>
          <w:sz w:val="24"/>
        </w:rPr>
      </w:pPr>
      <w:r>
        <w:rPr>
          <w:rFonts w:ascii="Times New Roman" w:hAnsi="Times New Roman"/>
          <w:sz w:val="24"/>
        </w:rPr>
        <w:t>"</w:t>
      </w:r>
      <w:r w:rsidR="008D696E">
        <w:rPr>
          <w:rFonts w:ascii="Times New Roman" w:hAnsi="Times New Roman"/>
          <w:sz w:val="24"/>
        </w:rPr>
        <w:t xml:space="preserve">ALLEGATO XI </w:t>
      </w:r>
    </w:p>
    <w:p w14:paraId="2C40683C" w14:textId="26F597FA" w:rsidR="00436204" w:rsidRPr="00696301" w:rsidRDefault="00D11E4C" w:rsidP="006B73A3">
      <w:pPr>
        <w:suppressAutoHyphens/>
        <w:jc w:val="center"/>
        <w:rPr>
          <w:rFonts w:ascii="Times New Roman" w:hAnsi="Times New Roman"/>
          <w:b/>
          <w:sz w:val="24"/>
        </w:rPr>
      </w:pPr>
      <w:r>
        <w:rPr>
          <w:rFonts w:ascii="Times New Roman" w:hAnsi="Times New Roman"/>
          <w:b/>
          <w:sz w:val="24"/>
        </w:rPr>
        <w:t>ISTRUZIONI PER LE SEGNALAZIONI RIGUARDANTI IL REQUISITO RELATIVO AI FATTORI K RtM SULLA BASE DEL K-NPR</w:t>
      </w:r>
    </w:p>
    <w:p w14:paraId="3DEB94EC" w14:textId="77777777" w:rsidR="00783881" w:rsidRPr="00696301" w:rsidRDefault="002648B0" w:rsidP="00487A02">
      <w:pPr>
        <w:pStyle w:val="InstructionsText"/>
      </w:pPr>
      <w:r>
        <w:t>Indice</w:t>
      </w:r>
    </w:p>
    <w:p w14:paraId="3485BD0B" w14:textId="2606B0D8" w:rsidR="006C0F5D" w:rsidRDefault="00745369">
      <w:pPr>
        <w:pStyle w:val="TOC2"/>
        <w:rPr>
          <w:rFonts w:asciiTheme="minorHAnsi" w:eastAsiaTheme="minorEastAsia" w:hAnsiTheme="minorHAnsi" w:cstheme="minorBidi"/>
          <w:b w:val="0"/>
          <w:smallCaps w:val="0"/>
          <w:kern w:val="2"/>
          <w:sz w:val="24"/>
          <w:szCs w:val="24"/>
          <w:lang w:val="en-IE" w:eastAsia="en-IE"/>
          <w14:ligatures w14:val="standardContextual"/>
        </w:rPr>
      </w:pPr>
      <w:r>
        <w:rPr>
          <w:rFonts w:ascii="Times New Roman" w:hAnsi="Times New Roman"/>
          <w:sz w:val="24"/>
        </w:rPr>
        <w:fldChar w:fldCharType="begin"/>
      </w:r>
      <w:r>
        <w:rPr>
          <w:rFonts w:ascii="Times New Roman" w:hAnsi="Times New Roman"/>
          <w:sz w:val="24"/>
        </w:rPr>
        <w:instrText xml:space="preserve"> TOC \o "1-3" \h \z \u </w:instrText>
      </w:r>
      <w:r>
        <w:rPr>
          <w:rFonts w:ascii="Times New Roman" w:hAnsi="Times New Roman"/>
          <w:sz w:val="24"/>
        </w:rPr>
        <w:fldChar w:fldCharType="separate"/>
      </w:r>
      <w:hyperlink w:anchor="_Toc210920342" w:history="1">
        <w:r w:rsidR="006C0F5D" w:rsidRPr="00A80873">
          <w:rPr>
            <w:rStyle w:val="Hyperlink"/>
            <w:rFonts w:ascii="Times New Roman" w:hAnsi="Times New Roman"/>
          </w:rPr>
          <w:t>PARTE I: ISTRUZIONI DI CARATTERE GENERALE</w:t>
        </w:r>
        <w:r w:rsidR="006C0F5D">
          <w:rPr>
            <w:webHidden/>
          </w:rPr>
          <w:tab/>
        </w:r>
        <w:r w:rsidR="006C0F5D">
          <w:rPr>
            <w:webHidden/>
          </w:rPr>
          <w:fldChar w:fldCharType="begin"/>
        </w:r>
        <w:r w:rsidR="006C0F5D">
          <w:rPr>
            <w:webHidden/>
          </w:rPr>
          <w:instrText xml:space="preserve"> PAGEREF _Toc210920342 \h </w:instrText>
        </w:r>
        <w:r w:rsidR="006C0F5D">
          <w:rPr>
            <w:webHidden/>
          </w:rPr>
        </w:r>
        <w:r w:rsidR="006C0F5D">
          <w:rPr>
            <w:webHidden/>
          </w:rPr>
          <w:fldChar w:fldCharType="separate"/>
        </w:r>
        <w:r w:rsidR="000261AF">
          <w:rPr>
            <w:webHidden/>
          </w:rPr>
          <w:t>3</w:t>
        </w:r>
        <w:r w:rsidR="006C0F5D">
          <w:rPr>
            <w:webHidden/>
          </w:rPr>
          <w:fldChar w:fldCharType="end"/>
        </w:r>
      </w:hyperlink>
    </w:p>
    <w:p w14:paraId="09B228FD" w14:textId="615B1B14"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43" w:history="1">
        <w:r w:rsidRPr="00A80873">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CONVENZIONI</w:t>
        </w:r>
        <w:r>
          <w:rPr>
            <w:webHidden/>
          </w:rPr>
          <w:tab/>
        </w:r>
        <w:r>
          <w:rPr>
            <w:webHidden/>
          </w:rPr>
          <w:fldChar w:fldCharType="begin"/>
        </w:r>
        <w:r>
          <w:rPr>
            <w:webHidden/>
          </w:rPr>
          <w:instrText xml:space="preserve"> PAGEREF _Toc210920343 \h </w:instrText>
        </w:r>
        <w:r>
          <w:rPr>
            <w:webHidden/>
          </w:rPr>
        </w:r>
        <w:r>
          <w:rPr>
            <w:webHidden/>
          </w:rPr>
          <w:fldChar w:fldCharType="separate"/>
        </w:r>
        <w:r w:rsidR="000261AF">
          <w:rPr>
            <w:webHidden/>
          </w:rPr>
          <w:t>3</w:t>
        </w:r>
        <w:r>
          <w:rPr>
            <w:webHidden/>
          </w:rPr>
          <w:fldChar w:fldCharType="end"/>
        </w:r>
      </w:hyperlink>
    </w:p>
    <w:p w14:paraId="12DB2B29" w14:textId="53F7218C"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44" w:history="1">
        <w:r w:rsidRPr="00A80873">
          <w:rPr>
            <w:rStyle w:val="Hyperlink"/>
            <w:rFonts w:ascii="Times New Roman" w:hAnsi="Times New Roman"/>
          </w:rPr>
          <w:t>1.1.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Convenzione di numerazione</w:t>
        </w:r>
        <w:r>
          <w:rPr>
            <w:webHidden/>
          </w:rPr>
          <w:tab/>
        </w:r>
        <w:r>
          <w:rPr>
            <w:webHidden/>
          </w:rPr>
          <w:fldChar w:fldCharType="begin"/>
        </w:r>
        <w:r>
          <w:rPr>
            <w:webHidden/>
          </w:rPr>
          <w:instrText xml:space="preserve"> PAGEREF _Toc210920344 \h </w:instrText>
        </w:r>
        <w:r>
          <w:rPr>
            <w:webHidden/>
          </w:rPr>
        </w:r>
        <w:r>
          <w:rPr>
            <w:webHidden/>
          </w:rPr>
          <w:fldChar w:fldCharType="separate"/>
        </w:r>
        <w:r w:rsidR="000261AF">
          <w:rPr>
            <w:webHidden/>
          </w:rPr>
          <w:t>3</w:t>
        </w:r>
        <w:r>
          <w:rPr>
            <w:webHidden/>
          </w:rPr>
          <w:fldChar w:fldCharType="end"/>
        </w:r>
      </w:hyperlink>
    </w:p>
    <w:p w14:paraId="7D136EAD" w14:textId="1953BC5C"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45" w:history="1">
        <w:r w:rsidRPr="00A80873">
          <w:rPr>
            <w:rStyle w:val="Hyperlink"/>
            <w:rFonts w:ascii="Times New Roman" w:hAnsi="Times New Roman"/>
          </w:rPr>
          <w:t>1.2.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Convenzione dei segni</w:t>
        </w:r>
        <w:r>
          <w:rPr>
            <w:webHidden/>
          </w:rPr>
          <w:tab/>
        </w:r>
        <w:r>
          <w:rPr>
            <w:webHidden/>
          </w:rPr>
          <w:fldChar w:fldCharType="begin"/>
        </w:r>
        <w:r>
          <w:rPr>
            <w:webHidden/>
          </w:rPr>
          <w:instrText xml:space="preserve"> PAGEREF _Toc210920345 \h </w:instrText>
        </w:r>
        <w:r>
          <w:rPr>
            <w:webHidden/>
          </w:rPr>
        </w:r>
        <w:r>
          <w:rPr>
            <w:webHidden/>
          </w:rPr>
          <w:fldChar w:fldCharType="separate"/>
        </w:r>
        <w:r w:rsidR="000261AF">
          <w:rPr>
            <w:webHidden/>
          </w:rPr>
          <w:t>3</w:t>
        </w:r>
        <w:r>
          <w:rPr>
            <w:webHidden/>
          </w:rPr>
          <w:fldChar w:fldCharType="end"/>
        </w:r>
      </w:hyperlink>
    </w:p>
    <w:p w14:paraId="6D89D82F" w14:textId="7BF7C574"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46" w:history="1">
        <w:r w:rsidRPr="00A80873">
          <w:rPr>
            <w:rStyle w:val="Hyperlink"/>
            <w:rFonts w:ascii="Times New Roman" w:hAnsi="Times New Roman"/>
          </w:rPr>
          <w:t>1.3.</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Riferimenti al regolamento (UE) n. 575/2013</w:t>
        </w:r>
        <w:r>
          <w:rPr>
            <w:webHidden/>
          </w:rPr>
          <w:tab/>
        </w:r>
        <w:r>
          <w:rPr>
            <w:webHidden/>
          </w:rPr>
          <w:fldChar w:fldCharType="begin"/>
        </w:r>
        <w:r>
          <w:rPr>
            <w:webHidden/>
          </w:rPr>
          <w:instrText xml:space="preserve"> PAGEREF _Toc210920346 \h </w:instrText>
        </w:r>
        <w:r>
          <w:rPr>
            <w:webHidden/>
          </w:rPr>
        </w:r>
        <w:r>
          <w:rPr>
            <w:webHidden/>
          </w:rPr>
          <w:fldChar w:fldCharType="separate"/>
        </w:r>
        <w:r w:rsidR="000261AF">
          <w:rPr>
            <w:webHidden/>
          </w:rPr>
          <w:t>3</w:t>
        </w:r>
        <w:r>
          <w:rPr>
            <w:webHidden/>
          </w:rPr>
          <w:fldChar w:fldCharType="end"/>
        </w:r>
      </w:hyperlink>
    </w:p>
    <w:p w14:paraId="5C376E4C" w14:textId="05B48DEE"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47" w:history="1">
        <w:r w:rsidRPr="00A80873">
          <w:rPr>
            <w:rStyle w:val="Hyperlink"/>
            <w:rFonts w:ascii="Times New Roman" w:hAnsi="Times New Roman"/>
          </w:rPr>
          <w:t>PARTE II: ISTRUZIONI RELATIVE AI MODELLI: MODELLI RIGUARDANTI IL RISCHIO DI MERCATO</w:t>
        </w:r>
        <w:r>
          <w:rPr>
            <w:webHidden/>
          </w:rPr>
          <w:tab/>
        </w:r>
        <w:r>
          <w:rPr>
            <w:webHidden/>
          </w:rPr>
          <w:fldChar w:fldCharType="begin"/>
        </w:r>
        <w:r>
          <w:rPr>
            <w:webHidden/>
          </w:rPr>
          <w:instrText xml:space="preserve"> PAGEREF _Toc210920347 \h </w:instrText>
        </w:r>
        <w:r>
          <w:rPr>
            <w:webHidden/>
          </w:rPr>
        </w:r>
        <w:r>
          <w:rPr>
            <w:webHidden/>
          </w:rPr>
          <w:fldChar w:fldCharType="separate"/>
        </w:r>
        <w:r w:rsidR="000261AF">
          <w:rPr>
            <w:webHidden/>
          </w:rPr>
          <w:t>4</w:t>
        </w:r>
        <w:r>
          <w:rPr>
            <w:webHidden/>
          </w:rPr>
          <w:fldChar w:fldCharType="end"/>
        </w:r>
      </w:hyperlink>
    </w:p>
    <w:p w14:paraId="558F30C0" w14:textId="5FEEF0AF"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48" w:history="1">
        <w:r w:rsidRPr="00A80873">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Osservazioni di carattere generale</w:t>
        </w:r>
        <w:r>
          <w:rPr>
            <w:webHidden/>
          </w:rPr>
          <w:tab/>
        </w:r>
        <w:r>
          <w:rPr>
            <w:webHidden/>
          </w:rPr>
          <w:fldChar w:fldCharType="begin"/>
        </w:r>
        <w:r>
          <w:rPr>
            <w:webHidden/>
          </w:rPr>
          <w:instrText xml:space="preserve"> PAGEREF _Toc210920348 \h </w:instrText>
        </w:r>
        <w:r>
          <w:rPr>
            <w:webHidden/>
          </w:rPr>
        </w:r>
        <w:r>
          <w:rPr>
            <w:webHidden/>
          </w:rPr>
          <w:fldChar w:fldCharType="separate"/>
        </w:r>
        <w:r w:rsidR="000261AF">
          <w:rPr>
            <w:webHidden/>
          </w:rPr>
          <w:t>4</w:t>
        </w:r>
        <w:r>
          <w:rPr>
            <w:webHidden/>
          </w:rPr>
          <w:fldChar w:fldCharType="end"/>
        </w:r>
      </w:hyperlink>
    </w:p>
    <w:p w14:paraId="714E191A" w14:textId="0D790053"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49" w:history="1">
        <w:r w:rsidRPr="00A80873">
          <w:rPr>
            <w:rStyle w:val="Hyperlink"/>
            <w:rFonts w:ascii="Times New Roman" w:hAnsi="Times New Roman"/>
          </w:rPr>
          <w:t>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 18.00 – Rischio di mercato: Metodo standardizzato per i rischi di posizione su strumenti di debito negoziati (MKR SA TDI)</w:t>
        </w:r>
        <w:r>
          <w:rPr>
            <w:webHidden/>
          </w:rPr>
          <w:tab/>
        </w:r>
        <w:r>
          <w:rPr>
            <w:webHidden/>
          </w:rPr>
          <w:fldChar w:fldCharType="begin"/>
        </w:r>
        <w:r>
          <w:rPr>
            <w:webHidden/>
          </w:rPr>
          <w:instrText xml:space="preserve"> PAGEREF _Toc210920349 \h </w:instrText>
        </w:r>
        <w:r>
          <w:rPr>
            <w:webHidden/>
          </w:rPr>
        </w:r>
        <w:r>
          <w:rPr>
            <w:webHidden/>
          </w:rPr>
          <w:fldChar w:fldCharType="separate"/>
        </w:r>
        <w:r w:rsidR="000261AF">
          <w:rPr>
            <w:webHidden/>
          </w:rPr>
          <w:t>4</w:t>
        </w:r>
        <w:r>
          <w:rPr>
            <w:webHidden/>
          </w:rPr>
          <w:fldChar w:fldCharType="end"/>
        </w:r>
      </w:hyperlink>
    </w:p>
    <w:p w14:paraId="5C25F51A" w14:textId="790193B7"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0" w:history="1">
        <w:r w:rsidRPr="00A80873">
          <w:rPr>
            <w:rStyle w:val="Hyperlink"/>
            <w:rFonts w:ascii="Times New Roman" w:hAnsi="Times New Roman"/>
          </w:rPr>
          <w:t>2.1.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Osservazioni di carattere generale</w:t>
        </w:r>
        <w:r>
          <w:rPr>
            <w:webHidden/>
          </w:rPr>
          <w:tab/>
        </w:r>
        <w:r>
          <w:rPr>
            <w:webHidden/>
          </w:rPr>
          <w:fldChar w:fldCharType="begin"/>
        </w:r>
        <w:r>
          <w:rPr>
            <w:webHidden/>
          </w:rPr>
          <w:instrText xml:space="preserve"> PAGEREF _Toc210920350 \h </w:instrText>
        </w:r>
        <w:r>
          <w:rPr>
            <w:webHidden/>
          </w:rPr>
        </w:r>
        <w:r>
          <w:rPr>
            <w:webHidden/>
          </w:rPr>
          <w:fldChar w:fldCharType="separate"/>
        </w:r>
        <w:r w:rsidR="000261AF">
          <w:rPr>
            <w:webHidden/>
          </w:rPr>
          <w:t>4</w:t>
        </w:r>
        <w:r>
          <w:rPr>
            <w:webHidden/>
          </w:rPr>
          <w:fldChar w:fldCharType="end"/>
        </w:r>
      </w:hyperlink>
    </w:p>
    <w:p w14:paraId="3738CD9F" w14:textId="7F417145"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1" w:history="1">
        <w:r w:rsidRPr="00A80873">
          <w:rPr>
            <w:rStyle w:val="Hyperlink"/>
            <w:rFonts w:ascii="Times New Roman" w:hAnsi="Times New Roman"/>
          </w:rPr>
          <w:t>2.2.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Istruzioni relative a posizioni specifiche</w:t>
        </w:r>
        <w:r>
          <w:rPr>
            <w:webHidden/>
          </w:rPr>
          <w:tab/>
        </w:r>
        <w:r>
          <w:rPr>
            <w:webHidden/>
          </w:rPr>
          <w:fldChar w:fldCharType="begin"/>
        </w:r>
        <w:r>
          <w:rPr>
            <w:webHidden/>
          </w:rPr>
          <w:instrText xml:space="preserve"> PAGEREF _Toc210920351 \h </w:instrText>
        </w:r>
        <w:r>
          <w:rPr>
            <w:webHidden/>
          </w:rPr>
        </w:r>
        <w:r>
          <w:rPr>
            <w:webHidden/>
          </w:rPr>
          <w:fldChar w:fldCharType="separate"/>
        </w:r>
        <w:r w:rsidR="000261AF">
          <w:rPr>
            <w:webHidden/>
          </w:rPr>
          <w:t>5</w:t>
        </w:r>
        <w:r>
          <w:rPr>
            <w:webHidden/>
          </w:rPr>
          <w:fldChar w:fldCharType="end"/>
        </w:r>
      </w:hyperlink>
    </w:p>
    <w:p w14:paraId="19352B2D" w14:textId="5CDCC388"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2" w:history="1">
        <w:r w:rsidRPr="00A80873">
          <w:rPr>
            <w:rStyle w:val="Hyperlink"/>
            <w:rFonts w:ascii="Times New Roman" w:hAnsi="Times New Roman"/>
          </w:rPr>
          <w:t>3.</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 19.00 - RISCHIO DI MERCATO: METODO STANDARDIZZATO PER IL RISCHIO SPECIFICO SU CARTOLARIZZAZIONI (MKR SA SEC)</w:t>
        </w:r>
        <w:r>
          <w:rPr>
            <w:webHidden/>
          </w:rPr>
          <w:tab/>
        </w:r>
        <w:r>
          <w:rPr>
            <w:webHidden/>
          </w:rPr>
          <w:fldChar w:fldCharType="begin"/>
        </w:r>
        <w:r>
          <w:rPr>
            <w:webHidden/>
          </w:rPr>
          <w:instrText xml:space="preserve"> PAGEREF _Toc210920352 \h </w:instrText>
        </w:r>
        <w:r>
          <w:rPr>
            <w:webHidden/>
          </w:rPr>
        </w:r>
        <w:r>
          <w:rPr>
            <w:webHidden/>
          </w:rPr>
          <w:fldChar w:fldCharType="separate"/>
        </w:r>
        <w:r w:rsidR="000261AF">
          <w:rPr>
            <w:webHidden/>
          </w:rPr>
          <w:t>7</w:t>
        </w:r>
        <w:r>
          <w:rPr>
            <w:webHidden/>
          </w:rPr>
          <w:fldChar w:fldCharType="end"/>
        </w:r>
      </w:hyperlink>
    </w:p>
    <w:p w14:paraId="27C60BBB" w14:textId="5B8C71B9"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3" w:history="1">
        <w:r w:rsidRPr="00A80873">
          <w:rPr>
            <w:rStyle w:val="Hyperlink"/>
            <w:rFonts w:ascii="Times New Roman" w:hAnsi="Times New Roman"/>
          </w:rPr>
          <w:t>3.1.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Osservazioni di carattere generale</w:t>
        </w:r>
        <w:r>
          <w:rPr>
            <w:webHidden/>
          </w:rPr>
          <w:tab/>
        </w:r>
        <w:r>
          <w:rPr>
            <w:webHidden/>
          </w:rPr>
          <w:fldChar w:fldCharType="begin"/>
        </w:r>
        <w:r>
          <w:rPr>
            <w:webHidden/>
          </w:rPr>
          <w:instrText xml:space="preserve"> PAGEREF _Toc210920353 \h </w:instrText>
        </w:r>
        <w:r>
          <w:rPr>
            <w:webHidden/>
          </w:rPr>
        </w:r>
        <w:r>
          <w:rPr>
            <w:webHidden/>
          </w:rPr>
          <w:fldChar w:fldCharType="separate"/>
        </w:r>
        <w:r w:rsidR="000261AF">
          <w:rPr>
            <w:webHidden/>
          </w:rPr>
          <w:t>7</w:t>
        </w:r>
        <w:r>
          <w:rPr>
            <w:webHidden/>
          </w:rPr>
          <w:fldChar w:fldCharType="end"/>
        </w:r>
      </w:hyperlink>
    </w:p>
    <w:p w14:paraId="73BCC91E" w14:textId="1A2FA946"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4" w:history="1">
        <w:r w:rsidRPr="00A80873">
          <w:rPr>
            <w:rStyle w:val="Hyperlink"/>
            <w:rFonts w:ascii="Times New Roman" w:hAnsi="Times New Roman"/>
          </w:rPr>
          <w:t>3.2.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Istruzioni relative a posizioni specifiche</w:t>
        </w:r>
        <w:r>
          <w:rPr>
            <w:webHidden/>
          </w:rPr>
          <w:tab/>
        </w:r>
        <w:r>
          <w:rPr>
            <w:webHidden/>
          </w:rPr>
          <w:fldChar w:fldCharType="begin"/>
        </w:r>
        <w:r>
          <w:rPr>
            <w:webHidden/>
          </w:rPr>
          <w:instrText xml:space="preserve"> PAGEREF _Toc210920354 \h </w:instrText>
        </w:r>
        <w:r>
          <w:rPr>
            <w:webHidden/>
          </w:rPr>
        </w:r>
        <w:r>
          <w:rPr>
            <w:webHidden/>
          </w:rPr>
          <w:fldChar w:fldCharType="separate"/>
        </w:r>
        <w:r w:rsidR="000261AF">
          <w:rPr>
            <w:webHidden/>
          </w:rPr>
          <w:t>8</w:t>
        </w:r>
        <w:r>
          <w:rPr>
            <w:webHidden/>
          </w:rPr>
          <w:fldChar w:fldCharType="end"/>
        </w:r>
      </w:hyperlink>
    </w:p>
    <w:p w14:paraId="2C7C68FA" w14:textId="3EDDAE17"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5" w:history="1">
        <w:r w:rsidRPr="00A80873">
          <w:rPr>
            <w:rStyle w:val="Hyperlink"/>
            <w:rFonts w:ascii="Times New Roman" w:hAnsi="Times New Roman"/>
          </w:rPr>
          <w:t>4.</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 20.00 - RISCHIO DI MERCATO: METODO STANDARDIZZATO PER IL RISCHIO SPECIFICO DI POSIZIONI ASSEGNATE AL PORTAFOGLIO DI NEGOZIAZIONE DI CORRELAZIONE (MKR SA CTP))</w:t>
        </w:r>
        <w:r>
          <w:rPr>
            <w:webHidden/>
          </w:rPr>
          <w:tab/>
        </w:r>
        <w:r>
          <w:rPr>
            <w:webHidden/>
          </w:rPr>
          <w:fldChar w:fldCharType="begin"/>
        </w:r>
        <w:r>
          <w:rPr>
            <w:webHidden/>
          </w:rPr>
          <w:instrText xml:space="preserve"> PAGEREF _Toc210920355 \h </w:instrText>
        </w:r>
        <w:r>
          <w:rPr>
            <w:webHidden/>
          </w:rPr>
        </w:r>
        <w:r>
          <w:rPr>
            <w:webHidden/>
          </w:rPr>
          <w:fldChar w:fldCharType="separate"/>
        </w:r>
        <w:r w:rsidR="000261AF">
          <w:rPr>
            <w:webHidden/>
          </w:rPr>
          <w:t>10</w:t>
        </w:r>
        <w:r>
          <w:rPr>
            <w:webHidden/>
          </w:rPr>
          <w:fldChar w:fldCharType="end"/>
        </w:r>
      </w:hyperlink>
    </w:p>
    <w:p w14:paraId="3BD41A02" w14:textId="21281838"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6" w:history="1">
        <w:r w:rsidRPr="00A80873">
          <w:rPr>
            <w:rStyle w:val="Hyperlink"/>
            <w:rFonts w:ascii="Times New Roman" w:hAnsi="Times New Roman"/>
          </w:rPr>
          <w:t>4.1.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Osservazioni di carattere generale</w:t>
        </w:r>
        <w:r>
          <w:rPr>
            <w:webHidden/>
          </w:rPr>
          <w:tab/>
        </w:r>
        <w:r>
          <w:rPr>
            <w:webHidden/>
          </w:rPr>
          <w:fldChar w:fldCharType="begin"/>
        </w:r>
        <w:r>
          <w:rPr>
            <w:webHidden/>
          </w:rPr>
          <w:instrText xml:space="preserve"> PAGEREF _Toc210920356 \h </w:instrText>
        </w:r>
        <w:r>
          <w:rPr>
            <w:webHidden/>
          </w:rPr>
        </w:r>
        <w:r>
          <w:rPr>
            <w:webHidden/>
          </w:rPr>
          <w:fldChar w:fldCharType="separate"/>
        </w:r>
        <w:r w:rsidR="000261AF">
          <w:rPr>
            <w:webHidden/>
          </w:rPr>
          <w:t>10</w:t>
        </w:r>
        <w:r>
          <w:rPr>
            <w:webHidden/>
          </w:rPr>
          <w:fldChar w:fldCharType="end"/>
        </w:r>
      </w:hyperlink>
    </w:p>
    <w:p w14:paraId="52F69ABD" w14:textId="49580DD1"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7" w:history="1">
        <w:r w:rsidRPr="00A80873">
          <w:rPr>
            <w:rStyle w:val="Hyperlink"/>
            <w:rFonts w:ascii="Times New Roman" w:hAnsi="Times New Roman"/>
          </w:rPr>
          <w:t>4.2.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Istruzioni relative a posizioni specifiche</w:t>
        </w:r>
        <w:r>
          <w:rPr>
            <w:webHidden/>
          </w:rPr>
          <w:tab/>
        </w:r>
        <w:r>
          <w:rPr>
            <w:webHidden/>
          </w:rPr>
          <w:fldChar w:fldCharType="begin"/>
        </w:r>
        <w:r>
          <w:rPr>
            <w:webHidden/>
          </w:rPr>
          <w:instrText xml:space="preserve"> PAGEREF _Toc210920357 \h </w:instrText>
        </w:r>
        <w:r>
          <w:rPr>
            <w:webHidden/>
          </w:rPr>
        </w:r>
        <w:r>
          <w:rPr>
            <w:webHidden/>
          </w:rPr>
          <w:fldChar w:fldCharType="separate"/>
        </w:r>
        <w:r w:rsidR="000261AF">
          <w:rPr>
            <w:webHidden/>
          </w:rPr>
          <w:t>11</w:t>
        </w:r>
        <w:r>
          <w:rPr>
            <w:webHidden/>
          </w:rPr>
          <w:fldChar w:fldCharType="end"/>
        </w:r>
      </w:hyperlink>
    </w:p>
    <w:p w14:paraId="599B2099" w14:textId="33C09D2E"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8" w:history="1">
        <w:r w:rsidRPr="00A80873">
          <w:rPr>
            <w:rStyle w:val="Hyperlink"/>
            <w:rFonts w:ascii="Times New Roman" w:hAnsi="Times New Roman"/>
          </w:rPr>
          <w:t>5.</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 21.00 - Rischio di mercato: metodo standardizzato per il rischio di posizione su strumenti di capitale (MKR SA EQU)</w:t>
        </w:r>
        <w:r>
          <w:rPr>
            <w:webHidden/>
          </w:rPr>
          <w:tab/>
        </w:r>
        <w:r>
          <w:rPr>
            <w:webHidden/>
          </w:rPr>
          <w:fldChar w:fldCharType="begin"/>
        </w:r>
        <w:r>
          <w:rPr>
            <w:webHidden/>
          </w:rPr>
          <w:instrText xml:space="preserve"> PAGEREF _Toc210920358 \h </w:instrText>
        </w:r>
        <w:r>
          <w:rPr>
            <w:webHidden/>
          </w:rPr>
        </w:r>
        <w:r>
          <w:rPr>
            <w:webHidden/>
          </w:rPr>
          <w:fldChar w:fldCharType="separate"/>
        </w:r>
        <w:r w:rsidR="000261AF">
          <w:rPr>
            <w:webHidden/>
          </w:rPr>
          <w:t>13</w:t>
        </w:r>
        <w:r>
          <w:rPr>
            <w:webHidden/>
          </w:rPr>
          <w:fldChar w:fldCharType="end"/>
        </w:r>
      </w:hyperlink>
    </w:p>
    <w:p w14:paraId="2F3E628D" w14:textId="29331697"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59" w:history="1">
        <w:r w:rsidRPr="00A80873">
          <w:rPr>
            <w:rStyle w:val="Hyperlink"/>
            <w:rFonts w:ascii="Times New Roman" w:hAnsi="Times New Roman"/>
          </w:rPr>
          <w:t>5.1.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Osservazioni di carattere generale</w:t>
        </w:r>
        <w:r>
          <w:rPr>
            <w:webHidden/>
          </w:rPr>
          <w:tab/>
        </w:r>
        <w:r>
          <w:rPr>
            <w:webHidden/>
          </w:rPr>
          <w:fldChar w:fldCharType="begin"/>
        </w:r>
        <w:r>
          <w:rPr>
            <w:webHidden/>
          </w:rPr>
          <w:instrText xml:space="preserve"> PAGEREF _Toc210920359 \h </w:instrText>
        </w:r>
        <w:r>
          <w:rPr>
            <w:webHidden/>
          </w:rPr>
        </w:r>
        <w:r>
          <w:rPr>
            <w:webHidden/>
          </w:rPr>
          <w:fldChar w:fldCharType="separate"/>
        </w:r>
        <w:r w:rsidR="000261AF">
          <w:rPr>
            <w:webHidden/>
          </w:rPr>
          <w:t>13</w:t>
        </w:r>
        <w:r>
          <w:rPr>
            <w:webHidden/>
          </w:rPr>
          <w:fldChar w:fldCharType="end"/>
        </w:r>
      </w:hyperlink>
    </w:p>
    <w:p w14:paraId="07579451" w14:textId="241189E1"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0" w:history="1">
        <w:r w:rsidRPr="00A80873">
          <w:rPr>
            <w:rStyle w:val="Hyperlink"/>
            <w:rFonts w:ascii="Times New Roman" w:hAnsi="Times New Roman"/>
          </w:rPr>
          <w:t>5.2.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Istruzioni relative a posizioni specifiche</w:t>
        </w:r>
        <w:r>
          <w:rPr>
            <w:webHidden/>
          </w:rPr>
          <w:tab/>
        </w:r>
        <w:r>
          <w:rPr>
            <w:webHidden/>
          </w:rPr>
          <w:fldChar w:fldCharType="begin"/>
        </w:r>
        <w:r>
          <w:rPr>
            <w:webHidden/>
          </w:rPr>
          <w:instrText xml:space="preserve"> PAGEREF _Toc210920360 \h </w:instrText>
        </w:r>
        <w:r>
          <w:rPr>
            <w:webHidden/>
          </w:rPr>
        </w:r>
        <w:r>
          <w:rPr>
            <w:webHidden/>
          </w:rPr>
          <w:fldChar w:fldCharType="separate"/>
        </w:r>
        <w:r w:rsidR="000261AF">
          <w:rPr>
            <w:webHidden/>
          </w:rPr>
          <w:t>14</w:t>
        </w:r>
        <w:r>
          <w:rPr>
            <w:webHidden/>
          </w:rPr>
          <w:fldChar w:fldCharType="end"/>
        </w:r>
      </w:hyperlink>
    </w:p>
    <w:p w14:paraId="45E199C7" w14:textId="5295BD14"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1" w:history="1">
        <w:r w:rsidRPr="00A80873">
          <w:rPr>
            <w:rStyle w:val="Hyperlink"/>
            <w:rFonts w:ascii="Times New Roman" w:hAnsi="Times New Roman"/>
          </w:rPr>
          <w:t>6.</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 22.00 - Rischio di mercato: metodi standardizzati per il rischio di cambio (MKR SA FX)</w:t>
        </w:r>
        <w:r>
          <w:rPr>
            <w:webHidden/>
          </w:rPr>
          <w:tab/>
        </w:r>
        <w:r>
          <w:rPr>
            <w:webHidden/>
          </w:rPr>
          <w:fldChar w:fldCharType="begin"/>
        </w:r>
        <w:r>
          <w:rPr>
            <w:webHidden/>
          </w:rPr>
          <w:instrText xml:space="preserve"> PAGEREF _Toc210920361 \h </w:instrText>
        </w:r>
        <w:r>
          <w:rPr>
            <w:webHidden/>
          </w:rPr>
        </w:r>
        <w:r>
          <w:rPr>
            <w:webHidden/>
          </w:rPr>
          <w:fldChar w:fldCharType="separate"/>
        </w:r>
        <w:r w:rsidR="000261AF">
          <w:rPr>
            <w:webHidden/>
          </w:rPr>
          <w:t>16</w:t>
        </w:r>
        <w:r>
          <w:rPr>
            <w:webHidden/>
          </w:rPr>
          <w:fldChar w:fldCharType="end"/>
        </w:r>
      </w:hyperlink>
    </w:p>
    <w:p w14:paraId="7AD54387" w14:textId="0E820DAA"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2" w:history="1">
        <w:r w:rsidRPr="00A80873">
          <w:rPr>
            <w:rStyle w:val="Hyperlink"/>
            <w:rFonts w:ascii="Times New Roman" w:hAnsi="Times New Roman"/>
          </w:rPr>
          <w:t>6</w:t>
        </w:r>
        <w:r w:rsidR="006B73A3">
          <w:rPr>
            <w:rStyle w:val="Hyperlink"/>
            <w:rFonts w:ascii="Times New Roman" w:hAnsi="Times New Roman"/>
          </w:rPr>
          <w:t>.</w:t>
        </w:r>
        <w:r w:rsidRPr="00A80873">
          <w:rPr>
            <w:rStyle w:val="Hyperlink"/>
            <w:rFonts w:ascii="Times New Roman" w:hAnsi="Times New Roman"/>
          </w:rPr>
          <w:t>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Osservazioni di carattere generale</w:t>
        </w:r>
        <w:r>
          <w:rPr>
            <w:webHidden/>
          </w:rPr>
          <w:tab/>
        </w:r>
        <w:r>
          <w:rPr>
            <w:webHidden/>
          </w:rPr>
          <w:fldChar w:fldCharType="begin"/>
        </w:r>
        <w:r>
          <w:rPr>
            <w:webHidden/>
          </w:rPr>
          <w:instrText xml:space="preserve"> PAGEREF _Toc210920362 \h </w:instrText>
        </w:r>
        <w:r>
          <w:rPr>
            <w:webHidden/>
          </w:rPr>
        </w:r>
        <w:r>
          <w:rPr>
            <w:webHidden/>
          </w:rPr>
          <w:fldChar w:fldCharType="separate"/>
        </w:r>
        <w:r w:rsidR="000261AF">
          <w:rPr>
            <w:webHidden/>
          </w:rPr>
          <w:t>16</w:t>
        </w:r>
        <w:r>
          <w:rPr>
            <w:webHidden/>
          </w:rPr>
          <w:fldChar w:fldCharType="end"/>
        </w:r>
      </w:hyperlink>
    </w:p>
    <w:p w14:paraId="628C82E2" w14:textId="4E7AEEA1"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3" w:history="1">
        <w:r w:rsidRPr="00A80873">
          <w:rPr>
            <w:rStyle w:val="Hyperlink"/>
            <w:rFonts w:ascii="Times New Roman" w:hAnsi="Times New Roman"/>
          </w:rPr>
          <w:t>6.2.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Istruzioni relative a posizioni specifiche</w:t>
        </w:r>
        <w:r>
          <w:rPr>
            <w:webHidden/>
          </w:rPr>
          <w:tab/>
        </w:r>
        <w:r>
          <w:rPr>
            <w:webHidden/>
          </w:rPr>
          <w:fldChar w:fldCharType="begin"/>
        </w:r>
        <w:r>
          <w:rPr>
            <w:webHidden/>
          </w:rPr>
          <w:instrText xml:space="preserve"> PAGEREF _Toc210920363 \h </w:instrText>
        </w:r>
        <w:r>
          <w:rPr>
            <w:webHidden/>
          </w:rPr>
        </w:r>
        <w:r>
          <w:rPr>
            <w:webHidden/>
          </w:rPr>
          <w:fldChar w:fldCharType="separate"/>
        </w:r>
        <w:r w:rsidR="000261AF">
          <w:rPr>
            <w:webHidden/>
          </w:rPr>
          <w:t>16</w:t>
        </w:r>
        <w:r>
          <w:rPr>
            <w:webHidden/>
          </w:rPr>
          <w:fldChar w:fldCharType="end"/>
        </w:r>
      </w:hyperlink>
    </w:p>
    <w:p w14:paraId="43860738" w14:textId="4CD20D3E"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4" w:history="1">
        <w:r w:rsidRPr="00A80873">
          <w:rPr>
            <w:rStyle w:val="Hyperlink"/>
            <w:rFonts w:ascii="Times New Roman" w:hAnsi="Times New Roman"/>
          </w:rPr>
          <w:t>7.</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 23.00 - Rischio di mercato: metodi standardizzati per le merci (MKR SA COM)</w:t>
        </w:r>
        <w:r>
          <w:rPr>
            <w:webHidden/>
          </w:rPr>
          <w:tab/>
        </w:r>
        <w:r>
          <w:rPr>
            <w:webHidden/>
          </w:rPr>
          <w:fldChar w:fldCharType="begin"/>
        </w:r>
        <w:r>
          <w:rPr>
            <w:webHidden/>
          </w:rPr>
          <w:instrText xml:space="preserve"> PAGEREF _Toc210920364 \h </w:instrText>
        </w:r>
        <w:r>
          <w:rPr>
            <w:webHidden/>
          </w:rPr>
        </w:r>
        <w:r>
          <w:rPr>
            <w:webHidden/>
          </w:rPr>
          <w:fldChar w:fldCharType="separate"/>
        </w:r>
        <w:r w:rsidR="000261AF">
          <w:rPr>
            <w:webHidden/>
          </w:rPr>
          <w:t>19</w:t>
        </w:r>
        <w:r>
          <w:rPr>
            <w:webHidden/>
          </w:rPr>
          <w:fldChar w:fldCharType="end"/>
        </w:r>
      </w:hyperlink>
    </w:p>
    <w:p w14:paraId="07CFD77F" w14:textId="6D58504B"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5" w:history="1">
        <w:r w:rsidRPr="00A80873">
          <w:rPr>
            <w:rStyle w:val="Hyperlink"/>
            <w:rFonts w:ascii="Times New Roman" w:hAnsi="Times New Roman"/>
          </w:rPr>
          <w:t>7.1.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Osservazioni di carattere generale</w:t>
        </w:r>
        <w:r>
          <w:rPr>
            <w:webHidden/>
          </w:rPr>
          <w:tab/>
        </w:r>
        <w:r>
          <w:rPr>
            <w:webHidden/>
          </w:rPr>
          <w:fldChar w:fldCharType="begin"/>
        </w:r>
        <w:r>
          <w:rPr>
            <w:webHidden/>
          </w:rPr>
          <w:instrText xml:space="preserve"> PAGEREF _Toc210920365 \h </w:instrText>
        </w:r>
        <w:r>
          <w:rPr>
            <w:webHidden/>
          </w:rPr>
        </w:r>
        <w:r>
          <w:rPr>
            <w:webHidden/>
          </w:rPr>
          <w:fldChar w:fldCharType="separate"/>
        </w:r>
        <w:r w:rsidR="000261AF">
          <w:rPr>
            <w:webHidden/>
          </w:rPr>
          <w:t>19</w:t>
        </w:r>
        <w:r>
          <w:rPr>
            <w:webHidden/>
          </w:rPr>
          <w:fldChar w:fldCharType="end"/>
        </w:r>
      </w:hyperlink>
    </w:p>
    <w:p w14:paraId="4B8AE90B" w14:textId="5A525540"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6" w:history="1">
        <w:r w:rsidRPr="00A80873">
          <w:rPr>
            <w:rStyle w:val="Hyperlink"/>
            <w:rFonts w:ascii="Times New Roman" w:hAnsi="Times New Roman"/>
          </w:rPr>
          <w:t>7.2.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Istruzioni relative a posizioni specifiche</w:t>
        </w:r>
        <w:r>
          <w:rPr>
            <w:webHidden/>
          </w:rPr>
          <w:tab/>
        </w:r>
        <w:r>
          <w:rPr>
            <w:webHidden/>
          </w:rPr>
          <w:fldChar w:fldCharType="begin"/>
        </w:r>
        <w:r>
          <w:rPr>
            <w:webHidden/>
          </w:rPr>
          <w:instrText xml:space="preserve"> PAGEREF _Toc210920366 \h </w:instrText>
        </w:r>
        <w:r>
          <w:rPr>
            <w:webHidden/>
          </w:rPr>
        </w:r>
        <w:r>
          <w:rPr>
            <w:webHidden/>
          </w:rPr>
          <w:fldChar w:fldCharType="separate"/>
        </w:r>
        <w:r w:rsidR="000261AF">
          <w:rPr>
            <w:webHidden/>
          </w:rPr>
          <w:t>19</w:t>
        </w:r>
        <w:r>
          <w:rPr>
            <w:webHidden/>
          </w:rPr>
          <w:fldChar w:fldCharType="end"/>
        </w:r>
      </w:hyperlink>
    </w:p>
    <w:p w14:paraId="2B1B36E5" w14:textId="227B3435"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7" w:history="1">
        <w:r w:rsidRPr="00A80873">
          <w:rPr>
            <w:rStyle w:val="Hyperlink"/>
            <w:rFonts w:ascii="Times New Roman" w:hAnsi="Times New Roman"/>
          </w:rPr>
          <w:t>8.</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C 24.00 - Modelli interni per il rischio di mercato (MKR IM)</w:t>
        </w:r>
        <w:r>
          <w:rPr>
            <w:webHidden/>
          </w:rPr>
          <w:tab/>
        </w:r>
        <w:r>
          <w:rPr>
            <w:webHidden/>
          </w:rPr>
          <w:fldChar w:fldCharType="begin"/>
        </w:r>
        <w:r>
          <w:rPr>
            <w:webHidden/>
          </w:rPr>
          <w:instrText xml:space="preserve"> PAGEREF _Toc210920367 \h </w:instrText>
        </w:r>
        <w:r>
          <w:rPr>
            <w:webHidden/>
          </w:rPr>
        </w:r>
        <w:r>
          <w:rPr>
            <w:webHidden/>
          </w:rPr>
          <w:fldChar w:fldCharType="separate"/>
        </w:r>
        <w:r w:rsidR="000261AF">
          <w:rPr>
            <w:webHidden/>
          </w:rPr>
          <w:t>21</w:t>
        </w:r>
        <w:r>
          <w:rPr>
            <w:webHidden/>
          </w:rPr>
          <w:fldChar w:fldCharType="end"/>
        </w:r>
      </w:hyperlink>
    </w:p>
    <w:p w14:paraId="4E15B83F" w14:textId="7FDCB9AF"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8" w:history="1">
        <w:r w:rsidRPr="00A80873">
          <w:rPr>
            <w:rStyle w:val="Hyperlink"/>
            <w:rFonts w:ascii="Times New Roman" w:hAnsi="Times New Roman"/>
          </w:rPr>
          <w:t>8.1</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Osservazioni di carattere generale</w:t>
        </w:r>
        <w:r>
          <w:rPr>
            <w:webHidden/>
          </w:rPr>
          <w:tab/>
        </w:r>
        <w:r>
          <w:rPr>
            <w:webHidden/>
          </w:rPr>
          <w:fldChar w:fldCharType="begin"/>
        </w:r>
        <w:r>
          <w:rPr>
            <w:webHidden/>
          </w:rPr>
          <w:instrText xml:space="preserve"> PAGEREF _Toc210920368 \h </w:instrText>
        </w:r>
        <w:r>
          <w:rPr>
            <w:webHidden/>
          </w:rPr>
        </w:r>
        <w:r>
          <w:rPr>
            <w:webHidden/>
          </w:rPr>
          <w:fldChar w:fldCharType="separate"/>
        </w:r>
        <w:r w:rsidR="000261AF">
          <w:rPr>
            <w:webHidden/>
          </w:rPr>
          <w:t>21</w:t>
        </w:r>
        <w:r>
          <w:rPr>
            <w:webHidden/>
          </w:rPr>
          <w:fldChar w:fldCharType="end"/>
        </w:r>
      </w:hyperlink>
    </w:p>
    <w:p w14:paraId="324A268C" w14:textId="2CE8C758" w:rsidR="006C0F5D" w:rsidRDefault="006C0F5D">
      <w:pPr>
        <w:pStyle w:val="TOC2"/>
        <w:rPr>
          <w:rFonts w:asciiTheme="minorHAnsi" w:eastAsiaTheme="minorEastAsia" w:hAnsiTheme="minorHAnsi" w:cstheme="minorBidi"/>
          <w:b w:val="0"/>
          <w:smallCaps w:val="0"/>
          <w:kern w:val="2"/>
          <w:sz w:val="24"/>
          <w:szCs w:val="24"/>
          <w:lang w:val="en-IE" w:eastAsia="en-IE"/>
          <w14:ligatures w14:val="standardContextual"/>
        </w:rPr>
      </w:pPr>
      <w:hyperlink w:anchor="_Toc210920369" w:history="1">
        <w:r w:rsidRPr="00A80873">
          <w:rPr>
            <w:rStyle w:val="Hyperlink"/>
            <w:rFonts w:ascii="Times New Roman" w:hAnsi="Times New Roman"/>
          </w:rPr>
          <w:t>8.2</w:t>
        </w:r>
        <w:r>
          <w:rPr>
            <w:rFonts w:asciiTheme="minorHAnsi" w:eastAsiaTheme="minorEastAsia" w:hAnsiTheme="minorHAnsi" w:cstheme="minorBidi"/>
            <w:b w:val="0"/>
            <w:smallCaps w:val="0"/>
            <w:kern w:val="2"/>
            <w:sz w:val="24"/>
            <w:szCs w:val="24"/>
            <w:lang w:val="en-IE" w:eastAsia="en-IE"/>
            <w14:ligatures w14:val="standardContextual"/>
          </w:rPr>
          <w:tab/>
        </w:r>
        <w:r w:rsidRPr="00A80873">
          <w:rPr>
            <w:rStyle w:val="Hyperlink"/>
            <w:rFonts w:ascii="Times New Roman" w:hAnsi="Times New Roman"/>
          </w:rPr>
          <w:t>Istruzioni relative a posizioni specifiche</w:t>
        </w:r>
        <w:r>
          <w:rPr>
            <w:webHidden/>
          </w:rPr>
          <w:tab/>
        </w:r>
        <w:r>
          <w:rPr>
            <w:webHidden/>
          </w:rPr>
          <w:fldChar w:fldCharType="begin"/>
        </w:r>
        <w:r>
          <w:rPr>
            <w:webHidden/>
          </w:rPr>
          <w:instrText xml:space="preserve"> PAGEREF _Toc210920369 \h </w:instrText>
        </w:r>
        <w:r>
          <w:rPr>
            <w:webHidden/>
          </w:rPr>
        </w:r>
        <w:r>
          <w:rPr>
            <w:webHidden/>
          </w:rPr>
          <w:fldChar w:fldCharType="separate"/>
        </w:r>
        <w:r w:rsidR="000261AF">
          <w:rPr>
            <w:webHidden/>
          </w:rPr>
          <w:t>21</w:t>
        </w:r>
        <w:r>
          <w:rPr>
            <w:webHidden/>
          </w:rPr>
          <w:fldChar w:fldCharType="end"/>
        </w:r>
      </w:hyperlink>
    </w:p>
    <w:p w14:paraId="4325A1DC" w14:textId="61B5A4A5" w:rsidR="002648B0" w:rsidRPr="00696301" w:rsidRDefault="00745369" w:rsidP="00005FFC">
      <w:pPr>
        <w:rPr>
          <w:rFonts w:ascii="Times New Roman" w:hAnsi="Times New Roman"/>
          <w:sz w:val="24"/>
        </w:rPr>
        <w:sectPr w:rsidR="002648B0" w:rsidRPr="00696301" w:rsidSect="004D441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Pr>
          <w:rFonts w:ascii="Times New Roman" w:hAnsi="Times New Roman"/>
          <w:sz w:val="24"/>
        </w:rPr>
        <w:fldChar w:fldCharType="end"/>
      </w:r>
    </w:p>
    <w:p w14:paraId="65DEB04A" w14:textId="77777777" w:rsidR="002648B0" w:rsidRPr="002D60D7" w:rsidRDefault="002648B0" w:rsidP="004C445F">
      <w:pPr>
        <w:pStyle w:val="Heading2"/>
        <w:suppressAutoHyphens/>
        <w:rPr>
          <w:rFonts w:ascii="Times New Roman" w:hAnsi="Times New Roman"/>
        </w:rPr>
      </w:pPr>
      <w:bookmarkStart w:id="2" w:name="_Toc264038394"/>
      <w:bookmarkStart w:id="3" w:name="_Toc360188317"/>
      <w:bookmarkStart w:id="4" w:name="_Toc473560865"/>
      <w:bookmarkStart w:id="5" w:name="_Toc210920342"/>
      <w:r>
        <w:rPr>
          <w:rFonts w:ascii="Times New Roman" w:hAnsi="Times New Roman"/>
        </w:rPr>
        <w:lastRenderedPageBreak/>
        <w:t>PARTE I:</w:t>
      </w:r>
      <w:bookmarkEnd w:id="2"/>
      <w:r>
        <w:rPr>
          <w:rFonts w:ascii="Times New Roman" w:hAnsi="Times New Roman"/>
        </w:rPr>
        <w:t xml:space="preserve"> ISTRUZIONI DI CARATTERE GENERALE</w:t>
      </w:r>
      <w:bookmarkEnd w:id="3"/>
      <w:bookmarkEnd w:id="4"/>
      <w:bookmarkEnd w:id="5"/>
    </w:p>
    <w:p w14:paraId="2B1DE452" w14:textId="3C4AA749"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6" w:name="_Toc360188318"/>
      <w:bookmarkStart w:id="7" w:name="_Toc473560866"/>
      <w:bookmarkStart w:id="8" w:name="_Toc210920343"/>
      <w:r>
        <w:rPr>
          <w:rFonts w:ascii="Times New Roman" w:hAnsi="Times New Roman"/>
          <w:sz w:val="24"/>
          <w:u w:val="none"/>
        </w:rPr>
        <w:t>1.</w:t>
      </w:r>
      <w:r w:rsidRPr="00516AD5">
        <w:rPr>
          <w:u w:val="none"/>
        </w:rPr>
        <w:tab/>
      </w:r>
      <w:r>
        <w:rPr>
          <w:rFonts w:ascii="Times New Roman" w:hAnsi="Times New Roman"/>
          <w:sz w:val="24"/>
          <w:u w:val="none"/>
        </w:rPr>
        <w:t>CONVENZIONI</w:t>
      </w:r>
      <w:bookmarkEnd w:id="6"/>
      <w:bookmarkEnd w:id="7"/>
      <w:bookmarkEnd w:id="8"/>
    </w:p>
    <w:p w14:paraId="691FE691" w14:textId="6FA2FF51"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9" w:name="_Toc360188320"/>
      <w:bookmarkStart w:id="10" w:name="_Toc473560868"/>
      <w:bookmarkStart w:id="11" w:name="_Toc210920344"/>
      <w:bookmarkStart w:id="12" w:name="_Toc264038399"/>
      <w:bookmarkStart w:id="13" w:name="_Toc294018834"/>
      <w:r>
        <w:rPr>
          <w:rFonts w:ascii="Times New Roman" w:hAnsi="Times New Roman"/>
          <w:sz w:val="24"/>
          <w:u w:val="none"/>
        </w:rPr>
        <w:t>1.1</w:t>
      </w:r>
      <w:r w:rsidRPr="00516AD5">
        <w:rPr>
          <w:rFonts w:ascii="Times New Roman" w:hAnsi="Times New Roman"/>
          <w:sz w:val="24"/>
          <w:u w:val="none"/>
        </w:rPr>
        <w:t>.</w:t>
      </w:r>
      <w:r w:rsidRPr="00516AD5">
        <w:rPr>
          <w:u w:val="none"/>
        </w:rPr>
        <w:tab/>
      </w:r>
      <w:r>
        <w:rPr>
          <w:rFonts w:ascii="Times New Roman" w:hAnsi="Times New Roman"/>
          <w:sz w:val="24"/>
          <w:u w:val="none"/>
        </w:rPr>
        <w:t>Convenzione di numerazione</w:t>
      </w:r>
      <w:bookmarkEnd w:id="9"/>
      <w:bookmarkEnd w:id="10"/>
      <w:bookmarkEnd w:id="11"/>
    </w:p>
    <w:p w14:paraId="07DD29A3" w14:textId="3ADB010A" w:rsidR="002648B0" w:rsidRPr="002D60D7" w:rsidRDefault="002648B0" w:rsidP="00E172EA">
      <w:pPr>
        <w:pStyle w:val="InstructionsText2"/>
        <w:numPr>
          <w:ilvl w:val="0"/>
          <w:numId w:val="29"/>
        </w:numPr>
        <w:suppressAutoHyphens/>
      </w:pPr>
      <w:r>
        <w:t>Nel citare le colonne, le righe e le celle dei modelli, il documento si attiene alla convenzione di etichettatura di cui ai punti da 2 a 5. I codici numerici in questione sono ampiamente utilizzati nelle norme di convalida.</w:t>
      </w:r>
    </w:p>
    <w:p w14:paraId="4A930757" w14:textId="35786EEA" w:rsidR="005643EA" w:rsidRPr="002D60D7" w:rsidRDefault="002648B0" w:rsidP="00E172EA">
      <w:pPr>
        <w:pStyle w:val="InstructionsText2"/>
        <w:numPr>
          <w:ilvl w:val="0"/>
          <w:numId w:val="29"/>
        </w:numPr>
        <w:suppressAutoHyphens/>
      </w:pPr>
      <w:r>
        <w:t>Nelle istruzioni si applica il seguente schema di annotazione generale: {Modello; Riga; Colonna}.</w:t>
      </w:r>
    </w:p>
    <w:p w14:paraId="058D6622" w14:textId="6363B541" w:rsidR="002648B0" w:rsidRPr="002D60D7" w:rsidRDefault="002648B0" w:rsidP="00E172EA">
      <w:pPr>
        <w:pStyle w:val="InstructionsText2"/>
        <w:numPr>
          <w:ilvl w:val="0"/>
          <w:numId w:val="29"/>
        </w:numPr>
        <w:suppressAutoHyphens/>
      </w:pPr>
      <w:r>
        <w:t>Per le convalide all</w:t>
      </w:r>
      <w:r w:rsidR="00516AD5">
        <w:t>'</w:t>
      </w:r>
      <w:r>
        <w:t>interno di un modello in cui sono utilizzati soltanto punti di dati del modello stesso, le annotazioni non contengono l</w:t>
      </w:r>
      <w:r w:rsidR="00516AD5">
        <w:t>'</w:t>
      </w:r>
      <w:r>
        <w:t>indicazione del modello: {Riga; Colonna}.</w:t>
      </w:r>
    </w:p>
    <w:p w14:paraId="1C93CB72" w14:textId="27E06172" w:rsidR="005643EA" w:rsidRPr="002D60D7" w:rsidRDefault="002648B0" w:rsidP="00E172EA">
      <w:pPr>
        <w:pStyle w:val="InstructionsText2"/>
        <w:numPr>
          <w:ilvl w:val="0"/>
          <w:numId w:val="29"/>
        </w:numPr>
        <w:suppressAutoHyphens/>
      </w:pPr>
      <w:r>
        <w:t>Nei modelli con una sola colonna, sono indicate soltanto le righe. {Modello; Riga}.</w:t>
      </w:r>
    </w:p>
    <w:p w14:paraId="6CF08484" w14:textId="337CEEA0" w:rsidR="002648B0" w:rsidRPr="002D60D7" w:rsidRDefault="002648B0" w:rsidP="00E172EA">
      <w:pPr>
        <w:pStyle w:val="InstructionsText2"/>
        <w:numPr>
          <w:ilvl w:val="0"/>
          <w:numId w:val="29"/>
        </w:numPr>
        <w:suppressAutoHyphens/>
      </w:pPr>
      <w:r>
        <w:t>Un asterisco segnala che la convalida è effettuata per le righe o le colonne specificate in precedenza.</w:t>
      </w:r>
    </w:p>
    <w:p w14:paraId="6218AD51" w14:textId="365F36D8" w:rsidR="002648B0" w:rsidRPr="002D60D7" w:rsidRDefault="00125707" w:rsidP="004C445F">
      <w:pPr>
        <w:pStyle w:val="Instructionsberschrift2"/>
        <w:numPr>
          <w:ilvl w:val="0"/>
          <w:numId w:val="0"/>
        </w:numPr>
        <w:suppressAutoHyphens/>
        <w:ind w:left="357" w:hanging="357"/>
        <w:rPr>
          <w:rFonts w:ascii="Times New Roman" w:hAnsi="Times New Roman" w:cs="Times New Roman"/>
          <w:sz w:val="24"/>
          <w:u w:val="none"/>
        </w:rPr>
      </w:pPr>
      <w:bookmarkStart w:id="14" w:name="_Toc360188321"/>
      <w:bookmarkStart w:id="15" w:name="_Toc473560869"/>
      <w:bookmarkStart w:id="16" w:name="_Toc210920345"/>
      <w:r>
        <w:rPr>
          <w:rFonts w:ascii="Times New Roman" w:hAnsi="Times New Roman"/>
          <w:sz w:val="24"/>
          <w:u w:val="none"/>
        </w:rPr>
        <w:t>1.2.</w:t>
      </w:r>
      <w:r w:rsidRPr="00516AD5">
        <w:rPr>
          <w:u w:val="none"/>
        </w:rPr>
        <w:tab/>
      </w:r>
      <w:r>
        <w:rPr>
          <w:rFonts w:ascii="Times New Roman" w:hAnsi="Times New Roman"/>
          <w:sz w:val="24"/>
          <w:u w:val="none"/>
        </w:rPr>
        <w:t>Convenzione dei segni</w:t>
      </w:r>
      <w:bookmarkEnd w:id="12"/>
      <w:bookmarkEnd w:id="13"/>
      <w:bookmarkEnd w:id="14"/>
      <w:bookmarkEnd w:id="15"/>
      <w:bookmarkEnd w:id="16"/>
    </w:p>
    <w:p w14:paraId="67BDF5E2" w14:textId="10058169" w:rsidR="002648B0" w:rsidRDefault="002648B0" w:rsidP="00E172EA">
      <w:pPr>
        <w:pStyle w:val="InstructionsText2"/>
        <w:numPr>
          <w:ilvl w:val="0"/>
          <w:numId w:val="29"/>
        </w:numPr>
        <w:suppressAutoHyphens/>
      </w:pPr>
      <w:r>
        <w:t>Qualsiasi importo che aumenta i fondi propri o i requisiti patrimoniali è segnalato come cifra positiva. Per contro, qualsiasi importo che riduce i fondi propri totali o i requisiti patrimoniali è segnalato come cifra negativa. Se l</w:t>
      </w:r>
      <w:r w:rsidR="00516AD5">
        <w:t>'</w:t>
      </w:r>
      <w:r>
        <w:t>intestazione della voce è preceduta da un segno negativo (-), significa che per quella voce non è prevista la segnalazione di cifre positive.</w:t>
      </w:r>
    </w:p>
    <w:p w14:paraId="21FCA11B" w14:textId="044801DB" w:rsidR="00843119" w:rsidRPr="00843119" w:rsidRDefault="00843119" w:rsidP="00843119">
      <w:pPr>
        <w:pStyle w:val="Instructionsberschrift2"/>
        <w:numPr>
          <w:ilvl w:val="0"/>
          <w:numId w:val="0"/>
        </w:numPr>
        <w:suppressAutoHyphens/>
        <w:ind w:left="357" w:hanging="357"/>
        <w:rPr>
          <w:rFonts w:ascii="Times New Roman" w:hAnsi="Times New Roman" w:cs="Times New Roman"/>
          <w:sz w:val="24"/>
          <w:u w:val="none"/>
        </w:rPr>
      </w:pPr>
      <w:bookmarkStart w:id="17" w:name="_Toc210920346"/>
      <w:r>
        <w:rPr>
          <w:rFonts w:ascii="Times New Roman" w:hAnsi="Times New Roman"/>
          <w:sz w:val="24"/>
          <w:u w:val="none"/>
        </w:rPr>
        <w:t>1.3.</w:t>
      </w:r>
      <w:r w:rsidRPr="00516AD5">
        <w:rPr>
          <w:u w:val="none"/>
        </w:rPr>
        <w:tab/>
      </w:r>
      <w:r>
        <w:rPr>
          <w:rFonts w:ascii="Times New Roman" w:hAnsi="Times New Roman"/>
          <w:sz w:val="24"/>
          <w:u w:val="none"/>
        </w:rPr>
        <w:t>Riferimenti al regolamento (UE) n. 575/2013</w:t>
      </w:r>
      <w:bookmarkEnd w:id="17"/>
    </w:p>
    <w:p w14:paraId="59845808" w14:textId="11AE211B" w:rsidR="00843119" w:rsidRPr="002D60D7" w:rsidRDefault="00843119" w:rsidP="00E172EA">
      <w:pPr>
        <w:pStyle w:val="InstructionsText2"/>
        <w:numPr>
          <w:ilvl w:val="0"/>
          <w:numId w:val="29"/>
        </w:numPr>
        <w:suppressAutoHyphens/>
      </w:pPr>
      <w:r>
        <w:t xml:space="preserve">Tutti i riferimenti agli articoli da 325 a 377 del regolamento (UE) n. 575/2013 si intendono fatti alla versione del regolamento in vigore al 26 giugno 2019. </w:t>
      </w:r>
    </w:p>
    <w:p w14:paraId="178F0A93" w14:textId="77777777" w:rsidR="00843119" w:rsidRPr="002D60D7" w:rsidRDefault="00843119" w:rsidP="00843119">
      <w:pPr>
        <w:pStyle w:val="InstructionsText2"/>
        <w:numPr>
          <w:ilvl w:val="0"/>
          <w:numId w:val="0"/>
        </w:numPr>
        <w:suppressAutoHyphens/>
      </w:pPr>
    </w:p>
    <w:p w14:paraId="69E08A1F" w14:textId="26A864E9" w:rsidR="00304CA5" w:rsidRPr="002D60D7" w:rsidRDefault="00304CA5" w:rsidP="004C445F">
      <w:pPr>
        <w:pStyle w:val="InstructionsText2"/>
        <w:numPr>
          <w:ilvl w:val="0"/>
          <w:numId w:val="0"/>
        </w:numPr>
        <w:suppressAutoHyphens/>
        <w:ind w:left="1353" w:hanging="360"/>
      </w:pPr>
    </w:p>
    <w:p w14:paraId="661FC092" w14:textId="77777777" w:rsidR="00304CA5" w:rsidRPr="002D60D7" w:rsidRDefault="00304CA5" w:rsidP="004C445F">
      <w:pPr>
        <w:pStyle w:val="InstructionsText2"/>
        <w:numPr>
          <w:ilvl w:val="0"/>
          <w:numId w:val="0"/>
        </w:numPr>
        <w:suppressAutoHyphens/>
        <w:ind w:left="1353" w:hanging="360"/>
      </w:pPr>
    </w:p>
    <w:p w14:paraId="6B2B7DCC" w14:textId="77777777" w:rsidR="002648B0" w:rsidRPr="002D60D7" w:rsidRDefault="002648B0" w:rsidP="004C445F">
      <w:pPr>
        <w:pStyle w:val="InstructionsText2"/>
        <w:suppressAutoHyphens/>
        <w:sectPr w:rsidR="002648B0" w:rsidRPr="002D60D7" w:rsidSect="00A801A9">
          <w:endnotePr>
            <w:numFmt w:val="decimal"/>
          </w:endnotePr>
          <w:pgSz w:w="11906" w:h="16838"/>
          <w:pgMar w:top="1417" w:right="1417" w:bottom="1134" w:left="1417" w:header="708" w:footer="708" w:gutter="0"/>
          <w:cols w:space="708"/>
          <w:rtlGutter/>
          <w:docGrid w:linePitch="360"/>
        </w:sectPr>
      </w:pPr>
    </w:p>
    <w:p w14:paraId="7E85F65D" w14:textId="77777777" w:rsidR="002648B0" w:rsidRPr="002D60D7" w:rsidRDefault="002648B0" w:rsidP="004C445F">
      <w:pPr>
        <w:suppressAutoHyphens/>
        <w:rPr>
          <w:rFonts w:ascii="Times New Roman" w:hAnsi="Times New Roman"/>
          <w:sz w:val="24"/>
        </w:rPr>
      </w:pPr>
    </w:p>
    <w:p w14:paraId="5C0CD8F3" w14:textId="25D58192" w:rsidR="00AC6255" w:rsidRPr="002D60D7" w:rsidRDefault="002648B0" w:rsidP="004C445F">
      <w:pPr>
        <w:pStyle w:val="Heading2"/>
        <w:suppressAutoHyphens/>
        <w:rPr>
          <w:rStyle w:val="InstructionsTabelleText"/>
          <w:rFonts w:ascii="Times New Roman" w:hAnsi="Times New Roman"/>
          <w:sz w:val="24"/>
        </w:rPr>
      </w:pPr>
      <w:bookmarkStart w:id="18" w:name="_Toc360188322"/>
      <w:bookmarkStart w:id="19" w:name="_Toc473560870"/>
      <w:bookmarkStart w:id="20" w:name="_Toc210920347"/>
      <w:r>
        <w:rPr>
          <w:rFonts w:ascii="Times New Roman" w:hAnsi="Times New Roman"/>
        </w:rPr>
        <w:t>PARTE II: ISTRUZIONI RELATIVE AI MODELLI</w:t>
      </w:r>
      <w:bookmarkEnd w:id="18"/>
      <w:bookmarkEnd w:id="19"/>
      <w:r>
        <w:rPr>
          <w:rFonts w:ascii="Times New Roman" w:hAnsi="Times New Roman"/>
        </w:rPr>
        <w:t>: MODELLI RIGUARDANTI IL RISCHIO DI MERCATO</w:t>
      </w:r>
      <w:bookmarkEnd w:id="0"/>
      <w:bookmarkEnd w:id="1"/>
      <w:bookmarkEnd w:id="20"/>
    </w:p>
    <w:p w14:paraId="73EBDC1C" w14:textId="2EF76A90" w:rsidR="000B0B09" w:rsidRPr="002D60D7" w:rsidRDefault="00033301" w:rsidP="004C445F">
      <w:pPr>
        <w:pStyle w:val="Instructionsberschrift2"/>
        <w:numPr>
          <w:ilvl w:val="0"/>
          <w:numId w:val="0"/>
        </w:numPr>
        <w:suppressAutoHyphens/>
        <w:ind w:left="357" w:hanging="357"/>
        <w:rPr>
          <w:rFonts w:ascii="Times New Roman" w:hAnsi="Times New Roman" w:cs="Times New Roman"/>
          <w:sz w:val="24"/>
        </w:rPr>
      </w:pPr>
      <w:bookmarkStart w:id="21" w:name="_Toc295829995"/>
      <w:bookmarkStart w:id="22" w:name="_Toc262566425"/>
      <w:bookmarkStart w:id="23" w:name="_Toc308426671"/>
      <w:bookmarkStart w:id="24" w:name="_Toc310415056"/>
      <w:bookmarkStart w:id="25" w:name="_Toc360188391"/>
      <w:bookmarkStart w:id="26" w:name="_Toc473561031"/>
      <w:bookmarkStart w:id="27" w:name="_Toc210920348"/>
      <w:r>
        <w:rPr>
          <w:rFonts w:ascii="Times New Roman" w:hAnsi="Times New Roman"/>
          <w:sz w:val="24"/>
          <w:u w:val="none"/>
        </w:rPr>
        <w:t>1.</w:t>
      </w:r>
      <w:r w:rsidRPr="00516AD5">
        <w:rPr>
          <w:u w:val="none"/>
        </w:rPr>
        <w:tab/>
      </w:r>
      <w:bookmarkEnd w:id="21"/>
      <w:bookmarkEnd w:id="22"/>
      <w:bookmarkEnd w:id="23"/>
      <w:bookmarkEnd w:id="24"/>
      <w:bookmarkEnd w:id="25"/>
      <w:bookmarkEnd w:id="26"/>
      <w:r>
        <w:rPr>
          <w:rFonts w:ascii="Times New Roman" w:hAnsi="Times New Roman"/>
          <w:sz w:val="24"/>
        </w:rPr>
        <w:t>Osservazioni di carattere generale</w:t>
      </w:r>
      <w:bookmarkEnd w:id="27"/>
    </w:p>
    <w:p w14:paraId="3A680559" w14:textId="7AC65926" w:rsidR="000B0B09" w:rsidRPr="002D60D7" w:rsidRDefault="000B0B09" w:rsidP="00E172EA">
      <w:pPr>
        <w:pStyle w:val="InstructionsText2"/>
        <w:numPr>
          <w:ilvl w:val="0"/>
          <w:numId w:val="29"/>
        </w:numPr>
        <w:suppressAutoHyphens/>
      </w:pPr>
      <w:bookmarkStart w:id="28" w:name="_Toc308426672"/>
      <w:r>
        <w:t>Queste istruzioni riguardano i modelli da utilizzare per la segnalazione del calcolo dei requisiti di fondi propri conformemente al metodo standardizzato per il rischio di cambio (MKR SA FX), il rischio di posizione in merci (MKR SA COM), il rischio di tasso d</w:t>
      </w:r>
      <w:r w:rsidR="00516AD5">
        <w:t>'</w:t>
      </w:r>
      <w:r>
        <w:t xml:space="preserve">interesse (MKR SA TDI, MKR SA SEC, MKR SA CTP) e il rischio di strumenti di capitale (MKR SA EQU). In questa parte sono comprese anche le istruzioni relative al modello per la segnalazione del calcolo dei requisiti di fondi propri secondo il metodo dei modelli interni (MKR IM). </w:t>
      </w:r>
    </w:p>
    <w:p w14:paraId="43A205D1" w14:textId="670E9C77" w:rsidR="000B0B09" w:rsidRPr="002D60D7" w:rsidRDefault="000B0B09" w:rsidP="00E172EA">
      <w:pPr>
        <w:pStyle w:val="InstructionsText2"/>
        <w:numPr>
          <w:ilvl w:val="0"/>
          <w:numId w:val="29"/>
        </w:numPr>
        <w:suppressAutoHyphens/>
      </w:pPr>
      <w:r>
        <w:t>Per calcolare il capitale richiesto a fronte del rischio considerato, il rischio di posizione su uno strumento di debito negoziato o uno strumento di capitale (o un derivato su uno strumento di debito o un derivato su uno strumento di capitale) è suddiviso in due componenti. La prima componente copre il rischio specifico — ossia il rischio di una variazione del prezzo dello strumento in questione dovuta a fattori connessi con l</w:t>
      </w:r>
      <w:r w:rsidR="00516AD5">
        <w:t>'</w:t>
      </w:r>
      <w:r>
        <w:t>emittente oppure, nel caso di un derivato, con l</w:t>
      </w:r>
      <w:r w:rsidR="00516AD5">
        <w:t>'</w:t>
      </w:r>
      <w:r>
        <w:t xml:space="preserve">emittente dello strumento sottostante. La seconda componente copre il rischio generico — ossia il rischio di una variazione di prezzo dello strumento dovuta, nel caso di uno strumento di debito negoziato o di un derivato su uno strumento di debito, ad una variazione del livello dei tassi di interesse oppure, nel caso di uno strumento di capitale o di un derivato su uno strumento di capitale, a un movimento generale sul mercato degli strumenti di capitale non connesso con le caratteristiche specifiche dei singoli titoli. </w:t>
      </w:r>
      <w:bookmarkEnd w:id="28"/>
      <w:r>
        <w:t xml:space="preserve">Il trattamento generale degli strumenti specifici e delle procedure di compensazione è stabilito negli articoli da 326 a 333 del regolamento (UE) n. 575/2013. </w:t>
      </w:r>
    </w:p>
    <w:p w14:paraId="39C5FEA4" w14:textId="3A15092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29" w:name="_Toc239157393"/>
      <w:bookmarkStart w:id="30" w:name="_Toc262566426"/>
      <w:bookmarkStart w:id="31" w:name="_Toc295829996"/>
      <w:bookmarkStart w:id="32" w:name="_Toc308426673"/>
      <w:bookmarkStart w:id="33" w:name="_Toc310415057"/>
      <w:bookmarkStart w:id="34" w:name="_Toc360188392"/>
      <w:bookmarkStart w:id="35" w:name="_Toc473561032"/>
      <w:bookmarkStart w:id="36" w:name="_Toc210920349"/>
      <w:r>
        <w:rPr>
          <w:rFonts w:ascii="Times New Roman" w:hAnsi="Times New Roman"/>
          <w:sz w:val="24"/>
          <w:u w:val="none"/>
        </w:rPr>
        <w:t>2.</w:t>
      </w:r>
      <w:r w:rsidRPr="00516AD5">
        <w:rPr>
          <w:u w:val="none"/>
        </w:rPr>
        <w:tab/>
      </w:r>
      <w:r>
        <w:rPr>
          <w:rFonts w:ascii="Times New Roman" w:hAnsi="Times New Roman"/>
          <w:sz w:val="24"/>
        </w:rPr>
        <w:t>C 18.00 – Rischio di mercato: Metodo standardizzato per i rischi di posizione su strumenti di debito negoziati</w:t>
      </w:r>
      <w:bookmarkEnd w:id="29"/>
      <w:bookmarkEnd w:id="30"/>
      <w:bookmarkEnd w:id="31"/>
      <w:bookmarkEnd w:id="32"/>
      <w:bookmarkEnd w:id="33"/>
      <w:bookmarkEnd w:id="34"/>
      <w:r>
        <w:rPr>
          <w:rFonts w:ascii="Times New Roman" w:hAnsi="Times New Roman"/>
          <w:sz w:val="24"/>
        </w:rPr>
        <w:t xml:space="preserve"> (MKR SA TDI)</w:t>
      </w:r>
      <w:bookmarkEnd w:id="35"/>
      <w:bookmarkEnd w:id="36"/>
    </w:p>
    <w:p w14:paraId="7BC699A3" w14:textId="5102524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37" w:name="_Toc262566427"/>
      <w:bookmarkStart w:id="38" w:name="_Toc295829997"/>
      <w:bookmarkStart w:id="39" w:name="_Toc308426674"/>
      <w:bookmarkStart w:id="40" w:name="_Toc310415058"/>
      <w:bookmarkStart w:id="41" w:name="_Toc360188393"/>
      <w:bookmarkStart w:id="42" w:name="_Toc473561033"/>
      <w:bookmarkStart w:id="43" w:name="_Toc210920350"/>
      <w:r>
        <w:rPr>
          <w:rFonts w:ascii="Times New Roman" w:hAnsi="Times New Roman"/>
          <w:sz w:val="24"/>
          <w:u w:val="none"/>
        </w:rPr>
        <w:t>2.1.</w:t>
      </w:r>
      <w:r w:rsidRPr="00516AD5">
        <w:rPr>
          <w:u w:val="none"/>
        </w:rPr>
        <w:tab/>
      </w:r>
      <w:r>
        <w:rPr>
          <w:rFonts w:ascii="Times New Roman" w:hAnsi="Times New Roman"/>
          <w:sz w:val="24"/>
        </w:rPr>
        <w:t>Osservazioni di carattere generale</w:t>
      </w:r>
      <w:bookmarkEnd w:id="37"/>
      <w:bookmarkEnd w:id="38"/>
      <w:bookmarkEnd w:id="39"/>
      <w:bookmarkEnd w:id="40"/>
      <w:bookmarkEnd w:id="41"/>
      <w:bookmarkEnd w:id="42"/>
      <w:bookmarkEnd w:id="43"/>
    </w:p>
    <w:p w14:paraId="0D010E09" w14:textId="3B441A78" w:rsidR="000B0B09" w:rsidRPr="002D60D7" w:rsidRDefault="000B0B09" w:rsidP="00E172EA">
      <w:pPr>
        <w:pStyle w:val="InstructionsText2"/>
        <w:numPr>
          <w:ilvl w:val="0"/>
          <w:numId w:val="29"/>
        </w:numPr>
        <w:suppressAutoHyphens/>
        <w:ind w:left="1349" w:hanging="357"/>
      </w:pPr>
      <w:r>
        <w:t>Questo modello riassume le posizioni e i relativi requisiti di fondi propri per i rischi di posizione su strumenti di debito negoziati secondo il metodo standardizzato (articolo 325, paragrafo 2, lettera a), del regolamento (UE) n. 575/2013). I differenti rischi e metodi disponibili nell</w:t>
      </w:r>
      <w:r w:rsidR="00516AD5">
        <w:t>'</w:t>
      </w:r>
      <w:r>
        <w:t>ambito del regolamento (UE) n. 575/2013 sono presentati per riga. Il rischio specifico associato alle esposizioni incluse nei modelli MKR SA SEC e MKR SA CTP deve essere riportato solo nel modello MKR SA TDI Total. I requisiti di fondi propri indicati nei modelli citati sono trasferiti, rispettivamente, nella cella {0325;0060} (cartolarizzazioni) e nella cella {0330;0060} (portafoglio di negoziazione di correlazione).</w:t>
      </w:r>
    </w:p>
    <w:p w14:paraId="7C8420A5" w14:textId="0FC777F2" w:rsidR="000B0B09" w:rsidRPr="002D60D7" w:rsidRDefault="000B0B09" w:rsidP="00E172EA">
      <w:pPr>
        <w:pStyle w:val="InstructionsText2"/>
        <w:numPr>
          <w:ilvl w:val="0"/>
          <w:numId w:val="29"/>
        </w:numPr>
        <w:suppressAutoHyphens/>
      </w:pPr>
      <w:r>
        <w:t xml:space="preserve">Questo modello è compilato separatamente per il </w:t>
      </w:r>
      <w:r w:rsidR="00516AD5">
        <w:t>"</w:t>
      </w:r>
      <w:r>
        <w:t>Totale</w:t>
      </w:r>
      <w:r w:rsidR="00516AD5">
        <w:t>"</w:t>
      </w:r>
      <w:r>
        <w:t xml:space="preserve">, più un elenco prestabilito comprendente le seguenti valute: </w:t>
      </w:r>
      <w:bookmarkStart w:id="44" w:name="OLE_LINK1"/>
      <w:r>
        <w:t xml:space="preserve">EUR, ALL, BGN, CZK, DKK, EGP, GBP, HUF, ISK, JPY, MKD, NOK, PLN, RON, RUB, RSD, SEK, CHF, TRY, UAH, USD </w:t>
      </w:r>
      <w:bookmarkEnd w:id="44"/>
      <w:r>
        <w:t xml:space="preserve">e un modello residuale per tutte le altre valute. </w:t>
      </w:r>
    </w:p>
    <w:p w14:paraId="73E54EAD" w14:textId="5995991C"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45" w:name="_Toc262566428"/>
      <w:bookmarkStart w:id="46" w:name="_Toc295829998"/>
      <w:bookmarkStart w:id="47" w:name="_Toc308426675"/>
      <w:bookmarkStart w:id="48" w:name="_Toc310415059"/>
      <w:bookmarkStart w:id="49" w:name="_Toc360188394"/>
      <w:bookmarkStart w:id="50" w:name="_Toc473561034"/>
      <w:bookmarkStart w:id="51" w:name="_Toc210920351"/>
      <w:r>
        <w:rPr>
          <w:rFonts w:ascii="Times New Roman" w:hAnsi="Times New Roman"/>
          <w:sz w:val="24"/>
          <w:u w:val="none"/>
        </w:rPr>
        <w:lastRenderedPageBreak/>
        <w:t>2.2.</w:t>
      </w:r>
      <w:r w:rsidRPr="00516AD5">
        <w:rPr>
          <w:u w:val="none"/>
        </w:rPr>
        <w:tab/>
      </w:r>
      <w:r>
        <w:rPr>
          <w:rFonts w:ascii="Times New Roman" w:hAnsi="Times New Roman"/>
          <w:sz w:val="24"/>
        </w:rPr>
        <w:t>Istruzioni relative a posizioni specifiche</w:t>
      </w:r>
      <w:bookmarkEnd w:id="45"/>
      <w:bookmarkEnd w:id="46"/>
      <w:bookmarkEnd w:id="47"/>
      <w:bookmarkEnd w:id="48"/>
      <w:bookmarkEnd w:id="49"/>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gridCol w:w="6"/>
      </w:tblGrid>
      <w:tr w:rsidR="000B0B09" w:rsidRPr="002D60D7" w14:paraId="3B011B78" w14:textId="77777777" w:rsidTr="00672D2A">
        <w:trPr>
          <w:gridAfter w:val="1"/>
          <w:wAfter w:w="6" w:type="dxa"/>
          <w:trHeight w:val="569"/>
        </w:trPr>
        <w:tc>
          <w:tcPr>
            <w:tcW w:w="8862" w:type="dxa"/>
            <w:gridSpan w:val="2"/>
            <w:shd w:val="clear" w:color="auto" w:fill="CCCCCC"/>
          </w:tcPr>
          <w:p w14:paraId="3F08430D"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Colonne</w:t>
            </w:r>
          </w:p>
        </w:tc>
      </w:tr>
      <w:tr w:rsidR="000B0B09" w:rsidRPr="002D60D7" w14:paraId="2FB66B69" w14:textId="77777777" w:rsidTr="00516AD5">
        <w:tc>
          <w:tcPr>
            <w:tcW w:w="988" w:type="dxa"/>
          </w:tcPr>
          <w:p w14:paraId="3487AAF4"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80" w:type="dxa"/>
            <w:gridSpan w:val="2"/>
          </w:tcPr>
          <w:p w14:paraId="53B61CB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TUTTE LE POSIZIONI (LUNGHE E CORTE)</w:t>
            </w:r>
          </w:p>
          <w:p w14:paraId="0C799784" w14:textId="5C40EF97" w:rsidR="000B0B09" w:rsidRPr="002D60D7" w:rsidRDefault="000B0B09" w:rsidP="004C445F">
            <w:pPr>
              <w:suppressAutoHyphens/>
              <w:rPr>
                <w:rFonts w:ascii="Times New Roman" w:hAnsi="Times New Roman"/>
                <w:sz w:val="24"/>
              </w:rPr>
            </w:pPr>
            <w:r>
              <w:rPr>
                <w:rFonts w:ascii="Times New Roman" w:hAnsi="Times New Roman"/>
                <w:sz w:val="24"/>
              </w:rPr>
              <w:t>Articolo 102 e articolo 105, paragrafo 1, del regolamento (UE) n. 575/2013. Si</w:t>
            </w:r>
            <w:r w:rsidR="00516AD5">
              <w:rPr>
                <w:rFonts w:ascii="Times New Roman" w:hAnsi="Times New Roman"/>
                <w:sz w:val="24"/>
              </w:rPr>
              <w:t> </w:t>
            </w:r>
            <w:r>
              <w:rPr>
                <w:rFonts w:ascii="Times New Roman" w:hAnsi="Times New Roman"/>
                <w:sz w:val="24"/>
              </w:rPr>
              <w:t>tratta di posizioni lorde non compensate da strumenti; sono tuttavia escluse le posizioni in impegni irrevocabili di acquisto sottoscritte o risottoscritte da terzi di cui all</w:t>
            </w:r>
            <w:r w:rsidR="00516AD5">
              <w:rPr>
                <w:rFonts w:ascii="Times New Roman" w:hAnsi="Times New Roman"/>
                <w:sz w:val="24"/>
              </w:rPr>
              <w:t>'</w:t>
            </w:r>
            <w:r>
              <w:rPr>
                <w:rFonts w:ascii="Times New Roman" w:hAnsi="Times New Roman"/>
                <w:sz w:val="24"/>
              </w:rPr>
              <w:t>articolo 345, paragrafo 1, primo comma, seconda frase, del regolamento (UE) n. 575/2013. Per la distinzione tra posizioni lunghe e posizioni corte, applicabile anche a queste posizioni lorde, cfr. l</w:t>
            </w:r>
            <w:r w:rsidR="00516AD5">
              <w:rPr>
                <w:rFonts w:ascii="Times New Roman" w:hAnsi="Times New Roman"/>
                <w:sz w:val="24"/>
              </w:rPr>
              <w:t>'</w:t>
            </w:r>
            <w:r>
              <w:rPr>
                <w:rFonts w:ascii="Times New Roman" w:hAnsi="Times New Roman"/>
                <w:sz w:val="24"/>
              </w:rPr>
              <w:t>articolo 328, paragrafo 2, di tale regolamento.</w:t>
            </w:r>
          </w:p>
        </w:tc>
      </w:tr>
      <w:tr w:rsidR="000B0B09" w:rsidRPr="002D60D7" w14:paraId="05A2AFD3" w14:textId="77777777" w:rsidTr="00516AD5">
        <w:trPr>
          <w:trHeight w:val="1020"/>
        </w:trPr>
        <w:tc>
          <w:tcPr>
            <w:tcW w:w="988" w:type="dxa"/>
          </w:tcPr>
          <w:p w14:paraId="0443676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80" w:type="dxa"/>
            <w:gridSpan w:val="2"/>
          </w:tcPr>
          <w:p w14:paraId="28E370A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NETTE (LUNGHE E CORTE)</w:t>
            </w:r>
          </w:p>
          <w:p w14:paraId="38649486" w14:textId="493582EC" w:rsidR="000B0B09" w:rsidRPr="002D60D7" w:rsidRDefault="000B0B09" w:rsidP="004C445F">
            <w:pPr>
              <w:suppressAutoHyphens/>
              <w:rPr>
                <w:rFonts w:ascii="Times New Roman" w:hAnsi="Times New Roman"/>
                <w:sz w:val="24"/>
              </w:rPr>
            </w:pPr>
            <w:r>
              <w:rPr>
                <w:rFonts w:ascii="Times New Roman" w:hAnsi="Times New Roman"/>
                <w:sz w:val="24"/>
              </w:rPr>
              <w:t>Articoli da 327 a 329 e articolo 334 del regolamento (UE) n. 575/2013. Per la distinzione tra posizioni lunghe e posizioni corte cfr. l</w:t>
            </w:r>
            <w:r w:rsidR="00516AD5">
              <w:rPr>
                <w:rFonts w:ascii="Times New Roman" w:hAnsi="Times New Roman"/>
                <w:sz w:val="24"/>
              </w:rPr>
              <w:t>'</w:t>
            </w:r>
            <w:r>
              <w:rPr>
                <w:rFonts w:ascii="Times New Roman" w:hAnsi="Times New Roman"/>
                <w:sz w:val="24"/>
              </w:rPr>
              <w:t>articolo 328, paragrafo 2, di tale regolamento.</w:t>
            </w:r>
          </w:p>
        </w:tc>
      </w:tr>
      <w:tr w:rsidR="000B0B09" w:rsidRPr="002D60D7" w14:paraId="4C7D46FF" w14:textId="77777777" w:rsidTr="00516AD5">
        <w:tc>
          <w:tcPr>
            <w:tcW w:w="988" w:type="dxa"/>
          </w:tcPr>
          <w:p w14:paraId="4D3FEEA5"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80" w:type="dxa"/>
            <w:gridSpan w:val="2"/>
          </w:tcPr>
          <w:p w14:paraId="28B3043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SOGGETTE A COPERTURA PATRIMONIALE</w:t>
            </w:r>
          </w:p>
          <w:p w14:paraId="76B658E5" w14:textId="79039FA9" w:rsidR="000B0B09" w:rsidRPr="002D60D7" w:rsidRDefault="000B0B09" w:rsidP="004C445F">
            <w:pPr>
              <w:suppressAutoHyphens/>
              <w:rPr>
                <w:rFonts w:ascii="Times New Roman" w:hAnsi="Times New Roman"/>
                <w:b/>
                <w:bCs/>
                <w:sz w:val="24"/>
                <w:u w:val="single"/>
              </w:rPr>
            </w:pPr>
            <w:r>
              <w:rPr>
                <w:rFonts w:ascii="Times New Roman" w:hAnsi="Times New Roman"/>
                <w:sz w:val="24"/>
              </w:rPr>
              <w:t>Posizioni nette che, secondo i differenti metodi di cui alla parte tre, titolo IV, capo 2, del regolamento (UE) n. 575/2013, ricevono una copertura patrimoniale.</w:t>
            </w:r>
          </w:p>
        </w:tc>
      </w:tr>
      <w:tr w:rsidR="000B0B09" w:rsidRPr="002D60D7" w14:paraId="017C014C" w14:textId="77777777" w:rsidTr="00516AD5">
        <w:trPr>
          <w:trHeight w:val="794"/>
        </w:trPr>
        <w:tc>
          <w:tcPr>
            <w:tcW w:w="988" w:type="dxa"/>
          </w:tcPr>
          <w:p w14:paraId="7D197D9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80" w:type="dxa"/>
            <w:gridSpan w:val="2"/>
          </w:tcPr>
          <w:p w14:paraId="55F3618B"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REQUISITI DI FONDI PROPRI</w:t>
            </w:r>
          </w:p>
          <w:p w14:paraId="74F1F61F" w14:textId="12ADC1C1" w:rsidR="000B0B09" w:rsidRPr="002D60D7" w:rsidRDefault="000B0B09" w:rsidP="004C445F">
            <w:pPr>
              <w:suppressAutoHyphens/>
              <w:rPr>
                <w:rFonts w:ascii="Times New Roman" w:hAnsi="Times New Roman"/>
                <w:b/>
                <w:bCs/>
                <w:sz w:val="24"/>
                <w:u w:val="single"/>
              </w:rPr>
            </w:pPr>
            <w:r>
              <w:rPr>
                <w:rFonts w:ascii="Times New Roman" w:hAnsi="Times New Roman"/>
                <w:sz w:val="24"/>
              </w:rPr>
              <w:t>Copertura patrimoniale di qualsiasi posizione pertinente conformemente alla parte tre, titolo IV, capo 2, del regolamento (UE) n. 575/2013.</w:t>
            </w:r>
          </w:p>
        </w:tc>
      </w:tr>
      <w:tr w:rsidR="000B0B09" w:rsidRPr="002D60D7" w14:paraId="56717AD1" w14:textId="77777777" w:rsidTr="00516AD5">
        <w:trPr>
          <w:trHeight w:val="794"/>
        </w:trPr>
        <w:tc>
          <w:tcPr>
            <w:tcW w:w="988" w:type="dxa"/>
          </w:tcPr>
          <w:p w14:paraId="0D4A61CE"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80" w:type="dxa"/>
            <w:gridSpan w:val="2"/>
          </w:tcPr>
          <w:p w14:paraId="7996E138" w14:textId="1F68F395"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IMPORTO COMPLESSIVO DELL</w:t>
            </w:r>
            <w:r w:rsidR="00516AD5">
              <w:rPr>
                <w:rFonts w:ascii="Times New Roman" w:hAnsi="Times New Roman"/>
                <w:b/>
                <w:sz w:val="24"/>
                <w:u w:val="single"/>
              </w:rPr>
              <w:t>'</w:t>
            </w:r>
            <w:r>
              <w:rPr>
                <w:rFonts w:ascii="Times New Roman" w:hAnsi="Times New Roman"/>
                <w:b/>
                <w:sz w:val="24"/>
                <w:u w:val="single"/>
              </w:rPr>
              <w:t>ESPOSIZIONE AL RISCHIO</w:t>
            </w:r>
          </w:p>
          <w:p w14:paraId="2C4B0E54" w14:textId="5566DB68" w:rsidR="000B0B09" w:rsidRPr="002D60D7" w:rsidRDefault="000B0B09" w:rsidP="004C445F">
            <w:pPr>
              <w:suppressAutoHyphens/>
              <w:rPr>
                <w:rFonts w:ascii="Times New Roman" w:hAnsi="Times New Roman"/>
                <w:b/>
                <w:bCs/>
                <w:sz w:val="24"/>
                <w:u w:val="single"/>
              </w:rPr>
            </w:pPr>
            <w:r>
              <w:rPr>
                <w:rFonts w:ascii="Times New Roman" w:hAnsi="Times New Roman"/>
                <w:sz w:val="24"/>
              </w:rPr>
              <w:t xml:space="preserve">Articolo 92, paragrafo 6, lettera b), del regolamento (UE) n. 575/2013. Risultato della moltiplicazione dei requisiti di fondi propri per 12,5. </w:t>
            </w:r>
          </w:p>
        </w:tc>
      </w:tr>
    </w:tbl>
    <w:p w14:paraId="5A8176A5" w14:textId="77777777" w:rsidR="000B0B09" w:rsidRPr="002D60D7" w:rsidRDefault="000B0B09" w:rsidP="00516AD5">
      <w:pPr>
        <w:suppressAutoHyphens/>
        <w:autoSpaceDE w:val="0"/>
        <w:autoSpaceDN w:val="0"/>
        <w:adjustRightInd w:val="0"/>
        <w:spacing w:before="0" w:after="0" w:line="360" w:lineRule="auto"/>
        <w:rPr>
          <w:rFonts w:ascii="Times New Roman" w:hAnsi="Times New Roman"/>
          <w:sz w:val="24"/>
          <w:lang w:eastAsia="nl-BE"/>
        </w:rPr>
      </w:pPr>
    </w:p>
    <w:p w14:paraId="33B18629"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64300D2A" w14:textId="77777777" w:rsidTr="00672D2A">
        <w:trPr>
          <w:trHeight w:val="533"/>
        </w:trPr>
        <w:tc>
          <w:tcPr>
            <w:tcW w:w="8862" w:type="dxa"/>
            <w:gridSpan w:val="2"/>
            <w:shd w:val="clear" w:color="auto" w:fill="CCCCCC"/>
          </w:tcPr>
          <w:p w14:paraId="3C74B42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Righe</w:t>
            </w:r>
          </w:p>
        </w:tc>
      </w:tr>
      <w:tr w:rsidR="000B0B09" w:rsidRPr="002D60D7" w14:paraId="278DCECA" w14:textId="77777777" w:rsidTr="00672D2A">
        <w:trPr>
          <w:trHeight w:val="1168"/>
        </w:trPr>
        <w:tc>
          <w:tcPr>
            <w:tcW w:w="987" w:type="dxa"/>
          </w:tcPr>
          <w:p w14:paraId="2275EBA9"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0010-0350</w:t>
            </w:r>
          </w:p>
        </w:tc>
        <w:tc>
          <w:tcPr>
            <w:tcW w:w="7875" w:type="dxa"/>
          </w:tcPr>
          <w:p w14:paraId="20DE7F5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STRUMENTI DI DEBITO NEGOZIATI NEL PORTAFOGLIO DI NEGOZIAZIONE</w:t>
            </w:r>
          </w:p>
          <w:p w14:paraId="12C841B7" w14:textId="1F501878" w:rsidR="000B0B09" w:rsidRPr="002D60D7" w:rsidRDefault="000B0B09" w:rsidP="004C445F">
            <w:pPr>
              <w:suppressAutoHyphens/>
              <w:rPr>
                <w:rFonts w:ascii="Times New Roman" w:hAnsi="Times New Roman"/>
                <w:sz w:val="24"/>
              </w:rPr>
            </w:pPr>
            <w:r>
              <w:rPr>
                <w:rFonts w:ascii="Times New Roman" w:hAnsi="Times New Roman"/>
                <w:sz w:val="24"/>
              </w:rPr>
              <w:t>Le posizioni su strumenti di debito negoziati interne al portafoglio di negoziazione e i relativi requisiti di fondi propri per il rischio di posizione conformemente all</w:t>
            </w:r>
            <w:r w:rsidR="00516AD5">
              <w:rPr>
                <w:rFonts w:ascii="Times New Roman" w:hAnsi="Times New Roman"/>
                <w:sz w:val="24"/>
              </w:rPr>
              <w:t>'</w:t>
            </w:r>
            <w:r>
              <w:rPr>
                <w:rFonts w:ascii="Times New Roman" w:hAnsi="Times New Roman"/>
                <w:sz w:val="24"/>
              </w:rPr>
              <w:t>articolo 92, paragrafo 4, lettera b), punto i), del regolamento (UE) n. 575/2013 e alla parte tre, titolo IV, capo 2, di tale regolamento sono segnalati in base alla categoria di rischio, alla scadenza e al metodo utilizzato.</w:t>
            </w:r>
          </w:p>
        </w:tc>
      </w:tr>
      <w:tr w:rsidR="000B0B09" w:rsidRPr="002D60D7" w14:paraId="2272E4A5" w14:textId="77777777" w:rsidTr="00516AD5">
        <w:trPr>
          <w:trHeight w:val="475"/>
        </w:trPr>
        <w:tc>
          <w:tcPr>
            <w:tcW w:w="987" w:type="dxa"/>
          </w:tcPr>
          <w:p w14:paraId="0642F5E6"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0011</w:t>
            </w:r>
          </w:p>
        </w:tc>
        <w:tc>
          <w:tcPr>
            <w:tcW w:w="7875" w:type="dxa"/>
          </w:tcPr>
          <w:p w14:paraId="51E03C37"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 xml:space="preserve">RISCHIO GENERICO </w:t>
            </w:r>
          </w:p>
        </w:tc>
      </w:tr>
      <w:tr w:rsidR="000B0B09" w:rsidRPr="002D60D7" w14:paraId="55F30C33" w14:textId="77777777" w:rsidTr="00672D2A">
        <w:tc>
          <w:tcPr>
            <w:tcW w:w="987" w:type="dxa"/>
          </w:tcPr>
          <w:p w14:paraId="2CBA5F8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0012</w:t>
            </w:r>
          </w:p>
        </w:tc>
        <w:tc>
          <w:tcPr>
            <w:tcW w:w="7875" w:type="dxa"/>
          </w:tcPr>
          <w:p w14:paraId="04F0038F"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Derivati</w:t>
            </w:r>
          </w:p>
          <w:p w14:paraId="06C530F0" w14:textId="25B26DB8" w:rsidR="000B0B09" w:rsidRPr="002D60D7" w:rsidRDefault="000B0B09" w:rsidP="004C445F">
            <w:pPr>
              <w:suppressAutoHyphens/>
              <w:rPr>
                <w:rFonts w:ascii="Times New Roman" w:hAnsi="Times New Roman"/>
                <w:b/>
                <w:bCs/>
                <w:sz w:val="24"/>
                <w:u w:val="single"/>
              </w:rPr>
            </w:pPr>
            <w:r>
              <w:rPr>
                <w:rFonts w:ascii="Times New Roman" w:hAnsi="Times New Roman"/>
                <w:sz w:val="24"/>
              </w:rPr>
              <w:t>Derivati compresi nel calcolo del rischio di tasso d</w:t>
            </w:r>
            <w:r w:rsidR="00516AD5">
              <w:rPr>
                <w:rFonts w:ascii="Times New Roman" w:hAnsi="Times New Roman"/>
                <w:sz w:val="24"/>
              </w:rPr>
              <w:t>'</w:t>
            </w:r>
            <w:r>
              <w:rPr>
                <w:rFonts w:ascii="Times New Roman" w:hAnsi="Times New Roman"/>
                <w:sz w:val="24"/>
              </w:rPr>
              <w:t>interesse delle posizioni interne al portafoglio di negoziazione tenuto conto degli articoli da 328 a 331 del regolamento (UE) n. 575/2013, ove applicabili.</w:t>
            </w:r>
          </w:p>
        </w:tc>
      </w:tr>
      <w:tr w:rsidR="000B0B09" w:rsidRPr="002D60D7" w14:paraId="36851B46" w14:textId="77777777" w:rsidTr="00672D2A">
        <w:tc>
          <w:tcPr>
            <w:tcW w:w="987" w:type="dxa"/>
          </w:tcPr>
          <w:p w14:paraId="6827F663" w14:textId="77777777" w:rsidR="000B0B09" w:rsidRPr="002D60D7" w:rsidRDefault="00EE2CD5"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0013</w:t>
            </w:r>
          </w:p>
        </w:tc>
        <w:tc>
          <w:tcPr>
            <w:tcW w:w="7875" w:type="dxa"/>
          </w:tcPr>
          <w:p w14:paraId="60242973" w14:textId="77777777" w:rsidR="000B0B09" w:rsidRPr="002D60D7" w:rsidRDefault="000B0B09" w:rsidP="00516AD5">
            <w:pPr>
              <w:keepNext/>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Altre attività e passività</w:t>
            </w:r>
          </w:p>
          <w:p w14:paraId="665719C9" w14:textId="1AA37379" w:rsidR="000B0B09" w:rsidRPr="002D60D7" w:rsidRDefault="000B0B09" w:rsidP="00516AD5">
            <w:pPr>
              <w:keepNext/>
              <w:suppressAutoHyphens/>
              <w:rPr>
                <w:rFonts w:ascii="Times New Roman" w:hAnsi="Times New Roman"/>
                <w:b/>
                <w:bCs/>
                <w:sz w:val="24"/>
                <w:u w:val="single"/>
              </w:rPr>
            </w:pPr>
            <w:r>
              <w:rPr>
                <w:rFonts w:ascii="Times New Roman" w:hAnsi="Times New Roman"/>
                <w:sz w:val="24"/>
              </w:rPr>
              <w:t>Strumenti diversi dai derivati compresi nel calcolo del rischio di tasso d</w:t>
            </w:r>
            <w:r w:rsidR="00516AD5">
              <w:rPr>
                <w:rFonts w:ascii="Times New Roman" w:hAnsi="Times New Roman"/>
                <w:sz w:val="24"/>
              </w:rPr>
              <w:t>'</w:t>
            </w:r>
            <w:r>
              <w:rPr>
                <w:rFonts w:ascii="Times New Roman" w:hAnsi="Times New Roman"/>
                <w:sz w:val="24"/>
              </w:rPr>
              <w:t xml:space="preserve">interesse delle posizioni interne al portafoglio di negoziazione. </w:t>
            </w:r>
          </w:p>
        </w:tc>
      </w:tr>
      <w:tr w:rsidR="000B0B09" w:rsidRPr="002D60D7" w14:paraId="177EBA5C" w14:textId="77777777" w:rsidTr="00672D2A">
        <w:tc>
          <w:tcPr>
            <w:tcW w:w="987" w:type="dxa"/>
          </w:tcPr>
          <w:p w14:paraId="2B740B7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0020-0200</w:t>
            </w:r>
          </w:p>
        </w:tc>
        <w:tc>
          <w:tcPr>
            <w:tcW w:w="7875" w:type="dxa"/>
          </w:tcPr>
          <w:p w14:paraId="1DE7E50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METODO BASATO SULLA SCADENZA</w:t>
            </w:r>
          </w:p>
          <w:p w14:paraId="644A7531" w14:textId="14A2BEE4" w:rsidR="000B0B09" w:rsidRPr="002D60D7" w:rsidRDefault="000B0B09" w:rsidP="004C445F">
            <w:pPr>
              <w:suppressAutoHyphens/>
              <w:rPr>
                <w:rFonts w:ascii="Times New Roman" w:hAnsi="Times New Roman"/>
                <w:b/>
                <w:bCs/>
                <w:sz w:val="24"/>
                <w:u w:val="single"/>
              </w:rPr>
            </w:pPr>
            <w:r>
              <w:rPr>
                <w:rFonts w:ascii="Times New Roman" w:hAnsi="Times New Roman"/>
                <w:sz w:val="24"/>
              </w:rPr>
              <w:t>Posizioni su strumenti di debito negoziati soggette al metodo basato sulla scadenza di cui all</w:t>
            </w:r>
            <w:r w:rsidR="00516AD5">
              <w:rPr>
                <w:rFonts w:ascii="Times New Roman" w:hAnsi="Times New Roman"/>
                <w:sz w:val="24"/>
              </w:rPr>
              <w:t>'</w:t>
            </w:r>
            <w:r>
              <w:rPr>
                <w:rFonts w:ascii="Times New Roman" w:hAnsi="Times New Roman"/>
                <w:sz w:val="24"/>
              </w:rPr>
              <w:t>articolo 339, paragrafi da 1 a 8, del regolamento (UE) n. 575/2013 e relativi requisiti di fondi propri calcolati in conformità dell</w:t>
            </w:r>
            <w:r w:rsidR="00516AD5">
              <w:rPr>
                <w:rFonts w:ascii="Times New Roman" w:hAnsi="Times New Roman"/>
                <w:sz w:val="24"/>
              </w:rPr>
              <w:t>'</w:t>
            </w:r>
            <w:r>
              <w:rPr>
                <w:rFonts w:ascii="Times New Roman" w:hAnsi="Times New Roman"/>
                <w:sz w:val="24"/>
              </w:rPr>
              <w:t>articolo</w:t>
            </w:r>
            <w:r w:rsidR="00516AD5">
              <w:rPr>
                <w:rFonts w:ascii="Times New Roman" w:hAnsi="Times New Roman"/>
                <w:sz w:val="24"/>
              </w:rPr>
              <w:t> </w:t>
            </w:r>
            <w:r>
              <w:rPr>
                <w:rFonts w:ascii="Times New Roman" w:hAnsi="Times New Roman"/>
                <w:sz w:val="24"/>
              </w:rPr>
              <w:t>339, paragrafo 9, di tale regolamento. La posizione è suddivisa in zone (1, 2 e 3) e le zone sono suddivise in base alla scadenza degli strumenti.</w:t>
            </w:r>
          </w:p>
        </w:tc>
      </w:tr>
      <w:tr w:rsidR="000B0B09" w:rsidRPr="002D60D7" w14:paraId="79DAC997" w14:textId="77777777" w:rsidTr="00672D2A">
        <w:tc>
          <w:tcPr>
            <w:tcW w:w="987" w:type="dxa"/>
          </w:tcPr>
          <w:p w14:paraId="73C021ED"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0210-0240</w:t>
            </w:r>
          </w:p>
        </w:tc>
        <w:tc>
          <w:tcPr>
            <w:tcW w:w="7875" w:type="dxa"/>
          </w:tcPr>
          <w:p w14:paraId="2CE27E61"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RISCHIO GENERICO. METODO BASATO SULLA DURATA FINANZIARIA</w:t>
            </w:r>
          </w:p>
          <w:p w14:paraId="08171DB1" w14:textId="5332D3FF" w:rsidR="000B0B09" w:rsidRPr="002D60D7" w:rsidRDefault="000B0B09" w:rsidP="004C445F">
            <w:pPr>
              <w:suppressAutoHyphens/>
              <w:rPr>
                <w:rFonts w:ascii="Times New Roman" w:hAnsi="Times New Roman"/>
                <w:b/>
                <w:bCs/>
                <w:sz w:val="24"/>
                <w:u w:val="single"/>
              </w:rPr>
            </w:pPr>
            <w:r>
              <w:rPr>
                <w:rFonts w:ascii="Times New Roman" w:hAnsi="Times New Roman"/>
                <w:sz w:val="24"/>
              </w:rPr>
              <w:t>Posizioni su strumenti di debito negoziati soggette al metodo basato sulla durata finanziaria di cui all</w:t>
            </w:r>
            <w:r w:rsidR="00516AD5">
              <w:rPr>
                <w:rFonts w:ascii="Times New Roman" w:hAnsi="Times New Roman"/>
                <w:sz w:val="24"/>
              </w:rPr>
              <w:t>'</w:t>
            </w:r>
            <w:r>
              <w:rPr>
                <w:rFonts w:ascii="Times New Roman" w:hAnsi="Times New Roman"/>
                <w:sz w:val="24"/>
              </w:rPr>
              <w:t>articolo 340, paragrafi da 1 a 6, del regolamento (UE) n. 575/2013 e relativi requisiti di fondi propri calcolati in conformità dell</w:t>
            </w:r>
            <w:r w:rsidR="00516AD5">
              <w:rPr>
                <w:rFonts w:ascii="Times New Roman" w:hAnsi="Times New Roman"/>
                <w:sz w:val="24"/>
              </w:rPr>
              <w:t>'</w:t>
            </w:r>
            <w:r>
              <w:rPr>
                <w:rFonts w:ascii="Times New Roman" w:hAnsi="Times New Roman"/>
                <w:sz w:val="24"/>
              </w:rPr>
              <w:t>articolo 340, paragrafo 7, di tale regolamento. La posizione è suddivisa in zone (1, 2 e 3).</w:t>
            </w:r>
          </w:p>
        </w:tc>
      </w:tr>
      <w:tr w:rsidR="000B0B09" w:rsidRPr="002D60D7" w14:paraId="7DD483EC" w14:textId="77777777" w:rsidTr="00672D2A">
        <w:tc>
          <w:tcPr>
            <w:tcW w:w="987" w:type="dxa"/>
          </w:tcPr>
          <w:p w14:paraId="5974B232"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0250</w:t>
            </w:r>
          </w:p>
        </w:tc>
        <w:tc>
          <w:tcPr>
            <w:tcW w:w="7875" w:type="dxa"/>
          </w:tcPr>
          <w:p w14:paraId="6CE50A3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RISCHIO SPECIFICO</w:t>
            </w:r>
          </w:p>
          <w:p w14:paraId="29C6E3D0" w14:textId="77777777" w:rsidR="000B0B09" w:rsidRPr="002D60D7" w:rsidRDefault="000B0B09" w:rsidP="004C445F">
            <w:pPr>
              <w:suppressAutoHyphens/>
              <w:rPr>
                <w:rFonts w:ascii="Times New Roman" w:hAnsi="Times New Roman"/>
                <w:sz w:val="24"/>
              </w:rPr>
            </w:pPr>
            <w:r>
              <w:rPr>
                <w:rFonts w:ascii="Times New Roman" w:hAnsi="Times New Roman"/>
                <w:sz w:val="24"/>
              </w:rPr>
              <w:t xml:space="preserve">Somma degli importi segnalati nelle righe 0251, 0325 e 0330. </w:t>
            </w:r>
          </w:p>
          <w:p w14:paraId="4E1E5CA2" w14:textId="55271169" w:rsidR="000B0B09" w:rsidRPr="002D60D7" w:rsidRDefault="000B0B09" w:rsidP="004C445F">
            <w:pPr>
              <w:suppressAutoHyphens/>
              <w:rPr>
                <w:rFonts w:ascii="Times New Roman" w:hAnsi="Times New Roman"/>
                <w:b/>
                <w:bCs/>
                <w:sz w:val="24"/>
                <w:u w:val="single"/>
              </w:rPr>
            </w:pPr>
            <w:r>
              <w:rPr>
                <w:rFonts w:ascii="Times New Roman" w:hAnsi="Times New Roman"/>
                <w:sz w:val="24"/>
              </w:rPr>
              <w:t>Posizioni su strumenti di debito negoziati soggette a requisiti di fondi propri per il rischio specifico e relativi requisiti patrimoniali conformemente all</w:t>
            </w:r>
            <w:r w:rsidR="00516AD5">
              <w:rPr>
                <w:rFonts w:ascii="Times New Roman" w:hAnsi="Times New Roman"/>
                <w:sz w:val="24"/>
              </w:rPr>
              <w:t>'</w:t>
            </w:r>
            <w:r>
              <w:rPr>
                <w:rFonts w:ascii="Times New Roman" w:hAnsi="Times New Roman"/>
                <w:sz w:val="24"/>
              </w:rPr>
              <w:t>articolo 92, paragrafo 3, lettera b), all</w:t>
            </w:r>
            <w:r w:rsidR="00516AD5">
              <w:rPr>
                <w:rFonts w:ascii="Times New Roman" w:hAnsi="Times New Roman"/>
                <w:sz w:val="24"/>
              </w:rPr>
              <w:t>'</w:t>
            </w:r>
            <w:r>
              <w:rPr>
                <w:rFonts w:ascii="Times New Roman" w:hAnsi="Times New Roman"/>
                <w:sz w:val="24"/>
              </w:rPr>
              <w:t>articolo 335, all</w:t>
            </w:r>
            <w:r w:rsidR="00516AD5">
              <w:rPr>
                <w:rFonts w:ascii="Times New Roman" w:hAnsi="Times New Roman"/>
                <w:sz w:val="24"/>
              </w:rPr>
              <w:t>'</w:t>
            </w:r>
            <w:r>
              <w:rPr>
                <w:rFonts w:ascii="Times New Roman" w:hAnsi="Times New Roman"/>
                <w:sz w:val="24"/>
              </w:rPr>
              <w:t>articolo 336, paragrafi 1, 2 e 3, e agli articoli 337 e 338 del regolamento (UE) n. 575/2013. Si rimanda altresì all</w:t>
            </w:r>
            <w:r w:rsidR="00516AD5">
              <w:rPr>
                <w:rFonts w:ascii="Times New Roman" w:hAnsi="Times New Roman"/>
                <w:sz w:val="24"/>
              </w:rPr>
              <w:t>'</w:t>
            </w:r>
            <w:r>
              <w:rPr>
                <w:rFonts w:ascii="Times New Roman" w:hAnsi="Times New Roman"/>
                <w:sz w:val="24"/>
              </w:rPr>
              <w:t>ultima frase dell</w:t>
            </w:r>
            <w:r w:rsidR="00516AD5">
              <w:rPr>
                <w:rFonts w:ascii="Times New Roman" w:hAnsi="Times New Roman"/>
                <w:sz w:val="24"/>
              </w:rPr>
              <w:t>'</w:t>
            </w:r>
            <w:r>
              <w:rPr>
                <w:rFonts w:ascii="Times New Roman" w:hAnsi="Times New Roman"/>
                <w:sz w:val="24"/>
              </w:rPr>
              <w:t>articolo 327, paragrafo 1, di tale regolamento.</w:t>
            </w:r>
          </w:p>
        </w:tc>
      </w:tr>
      <w:tr w:rsidR="000B0B09" w:rsidRPr="002D60D7" w14:paraId="6F8691E7" w14:textId="77777777" w:rsidTr="00672D2A">
        <w:tc>
          <w:tcPr>
            <w:tcW w:w="987" w:type="dxa"/>
          </w:tcPr>
          <w:p w14:paraId="5CD5E31A"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0251-0321</w:t>
            </w:r>
          </w:p>
        </w:tc>
        <w:tc>
          <w:tcPr>
            <w:tcW w:w="7875" w:type="dxa"/>
          </w:tcPr>
          <w:p w14:paraId="14764BB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 di fondi propri per strumenti di debito non inerenti a cartolarizzazione</w:t>
            </w:r>
          </w:p>
          <w:p w14:paraId="19437B35" w14:textId="77777777" w:rsidR="000B0B09" w:rsidRPr="002D60D7" w:rsidRDefault="000B0B09" w:rsidP="004C445F">
            <w:pPr>
              <w:suppressAutoHyphens/>
              <w:rPr>
                <w:rFonts w:ascii="Times New Roman" w:hAnsi="Times New Roman"/>
                <w:sz w:val="24"/>
              </w:rPr>
            </w:pPr>
            <w:r>
              <w:rPr>
                <w:rFonts w:ascii="Times New Roman" w:hAnsi="Times New Roman"/>
                <w:sz w:val="24"/>
              </w:rPr>
              <w:t>Somma degli importi segnalati nelle righe da 260 a 321.</w:t>
            </w:r>
          </w:p>
          <w:p w14:paraId="4CDA5DEB" w14:textId="726A1B92" w:rsidR="000B0B09" w:rsidRPr="002D60D7" w:rsidRDefault="000B0B09" w:rsidP="004C445F">
            <w:pPr>
              <w:suppressAutoHyphens/>
              <w:rPr>
                <w:rFonts w:ascii="Times New Roman" w:hAnsi="Times New Roman"/>
                <w:sz w:val="24"/>
              </w:rPr>
            </w:pPr>
            <w:r>
              <w:rPr>
                <w:rFonts w:ascii="Times New Roman" w:hAnsi="Times New Roman"/>
                <w:sz w:val="24"/>
              </w:rPr>
              <w:t xml:space="preserve">Il requisito di fondi propri dei derivati su crediti nth-to-default privi di rating esterno è calcolato sommando i fattori di ponderazione del rischio dei soggetti di riferimento (articolo 332, paragrafo 1, lettera e), e paragrafo 1, secondo comma, del regolamento (UE) n. 575/2013 – metodo </w:t>
            </w:r>
            <w:r w:rsidR="00516AD5">
              <w:rPr>
                <w:rFonts w:ascii="Times New Roman" w:hAnsi="Times New Roman"/>
                <w:sz w:val="24"/>
              </w:rPr>
              <w:t>"</w:t>
            </w:r>
            <w:r>
              <w:rPr>
                <w:rFonts w:ascii="Times New Roman" w:hAnsi="Times New Roman"/>
                <w:sz w:val="24"/>
              </w:rPr>
              <w:t>look-through</w:t>
            </w:r>
            <w:r w:rsidR="00516AD5">
              <w:rPr>
                <w:rFonts w:ascii="Times New Roman" w:hAnsi="Times New Roman"/>
                <w:sz w:val="24"/>
              </w:rPr>
              <w:t>"</w:t>
            </w:r>
            <w:r>
              <w:rPr>
                <w:rFonts w:ascii="Times New Roman" w:hAnsi="Times New Roman"/>
                <w:sz w:val="24"/>
              </w:rPr>
              <w:t xml:space="preserve">). I derivati su crediti nth-to-default provvisti di rating esterno (articolo 332, paragrafo 1, terzo comma, del regolamento (UE) n. 575/2013) sono indicati separatamente nella riga 321. </w:t>
            </w:r>
          </w:p>
          <w:p w14:paraId="7051ED04" w14:textId="0D16C85D" w:rsidR="000B0B09" w:rsidRPr="002D60D7" w:rsidRDefault="000B0B09" w:rsidP="004C445F">
            <w:pPr>
              <w:suppressAutoHyphens/>
              <w:rPr>
                <w:rFonts w:ascii="Times New Roman" w:hAnsi="Times New Roman"/>
                <w:sz w:val="24"/>
              </w:rPr>
            </w:pPr>
            <w:r>
              <w:rPr>
                <w:rFonts w:ascii="Times New Roman" w:hAnsi="Times New Roman"/>
                <w:sz w:val="24"/>
              </w:rPr>
              <w:t>Segnalazione di posizioni soggette all</w:t>
            </w:r>
            <w:r w:rsidR="00516AD5">
              <w:rPr>
                <w:rFonts w:ascii="Times New Roman" w:hAnsi="Times New Roman"/>
                <w:sz w:val="24"/>
              </w:rPr>
              <w:t>'</w:t>
            </w:r>
            <w:r>
              <w:rPr>
                <w:rFonts w:ascii="Times New Roman" w:hAnsi="Times New Roman"/>
                <w:sz w:val="24"/>
              </w:rPr>
              <w:t>articolo 336, paragrafo 3, del regolamento (UE) n. 575/2013: ai sensi dell</w:t>
            </w:r>
            <w:r w:rsidR="00516AD5">
              <w:rPr>
                <w:rFonts w:ascii="Times New Roman" w:hAnsi="Times New Roman"/>
                <w:sz w:val="24"/>
              </w:rPr>
              <w:t>'</w:t>
            </w:r>
            <w:r>
              <w:rPr>
                <w:rFonts w:ascii="Times New Roman" w:hAnsi="Times New Roman"/>
                <w:sz w:val="24"/>
              </w:rPr>
              <w:t>articolo 129, paragrafo 3, di tale regolamento, è previsto un trattamento specifico per le obbligazioni ammissibili a un fattore di ponderazione del rischio pari al 10 % interne al portafoglio bancario (obbligazioni garantite). I requisiti specifici di fondi propri corrispondono alla metà della percentuale della seconda categoria di cui alla tabella 1 dell</w:t>
            </w:r>
            <w:r w:rsidR="00516AD5">
              <w:rPr>
                <w:rFonts w:ascii="Times New Roman" w:hAnsi="Times New Roman"/>
                <w:sz w:val="24"/>
              </w:rPr>
              <w:t>'</w:t>
            </w:r>
            <w:r>
              <w:rPr>
                <w:rFonts w:ascii="Times New Roman" w:hAnsi="Times New Roman"/>
                <w:sz w:val="24"/>
              </w:rPr>
              <w:t>articolo 336 del regolamento (UE) n. 575/2013. Le posizioni in questione sono assegnate alle righe 0280-0300 in funzione della durata residua.</w:t>
            </w:r>
          </w:p>
          <w:p w14:paraId="11FE9AD5" w14:textId="6CF7D4D9" w:rsidR="000B0B09" w:rsidRPr="002D60D7" w:rsidRDefault="00F41508" w:rsidP="004C445F">
            <w:pPr>
              <w:suppressAutoHyphens/>
              <w:rPr>
                <w:rFonts w:ascii="Times New Roman" w:hAnsi="Times New Roman"/>
                <w:b/>
                <w:bCs/>
                <w:sz w:val="24"/>
                <w:u w:val="single"/>
              </w:rPr>
            </w:pPr>
            <w:r>
              <w:rPr>
                <w:rFonts w:ascii="Times New Roman" w:hAnsi="Times New Roman"/>
                <w:sz w:val="24"/>
              </w:rPr>
              <w:t xml:space="preserve">Se il rischio generico delle posizioni su tassi di interesse è coperto da un derivato su crediti, si applicano gli articoli 346 e 347 del regolamento (UE) n. 575/2013. </w:t>
            </w:r>
          </w:p>
        </w:tc>
      </w:tr>
      <w:tr w:rsidR="000B0B09" w:rsidRPr="002D60D7" w14:paraId="3F2475A8" w14:textId="77777777" w:rsidTr="00672D2A">
        <w:tc>
          <w:tcPr>
            <w:tcW w:w="987" w:type="dxa"/>
          </w:tcPr>
          <w:p w14:paraId="1898316C" w14:textId="77777777" w:rsidR="000B0B09" w:rsidRPr="002D60D7" w:rsidDel="00F27BD6" w:rsidRDefault="00EE2CD5"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0325</w:t>
            </w:r>
          </w:p>
        </w:tc>
        <w:tc>
          <w:tcPr>
            <w:tcW w:w="7875" w:type="dxa"/>
          </w:tcPr>
          <w:p w14:paraId="21ACC24B" w14:textId="77777777" w:rsidR="000B0B09" w:rsidRPr="002D60D7" w:rsidRDefault="000B0B09" w:rsidP="00516AD5">
            <w:pPr>
              <w:keepNext/>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Requisiti di fondi propri per strumenti inerenti a cartolarizzazione</w:t>
            </w:r>
          </w:p>
          <w:p w14:paraId="7BA68AB7" w14:textId="77777777" w:rsidR="00722A10" w:rsidRPr="002D60D7" w:rsidDel="00F27BD6" w:rsidRDefault="000B0B09" w:rsidP="00516AD5">
            <w:pPr>
              <w:keepNext/>
              <w:suppressAutoHyphens/>
              <w:rPr>
                <w:rFonts w:ascii="Times New Roman" w:hAnsi="Times New Roman"/>
                <w:b/>
                <w:bCs/>
                <w:sz w:val="24"/>
                <w:u w:val="single"/>
              </w:rPr>
            </w:pPr>
            <w:r>
              <w:rPr>
                <w:rFonts w:ascii="Times New Roman" w:hAnsi="Times New Roman"/>
                <w:sz w:val="24"/>
              </w:rPr>
              <w:t>Requisiti totali di fondi propri di cui alla colonna 0601 del modello MKR SA SEC. Questi requisiti totali di fondi propri sono segnalati soltanto a livello di totale del modello MKR SA TDI.</w:t>
            </w:r>
          </w:p>
        </w:tc>
      </w:tr>
      <w:tr w:rsidR="000B0B09" w:rsidRPr="002D60D7" w14:paraId="55688787" w14:textId="77777777" w:rsidTr="00672D2A">
        <w:tc>
          <w:tcPr>
            <w:tcW w:w="987" w:type="dxa"/>
          </w:tcPr>
          <w:p w14:paraId="74C28C83" w14:textId="77777777" w:rsidR="000B0B09" w:rsidRPr="002D60D7" w:rsidDel="00F27BD6"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0330</w:t>
            </w:r>
          </w:p>
        </w:tc>
        <w:tc>
          <w:tcPr>
            <w:tcW w:w="7875" w:type="dxa"/>
          </w:tcPr>
          <w:p w14:paraId="66957FA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Requisiti di fondi propri per il portafoglio di negoziazione di correlazione</w:t>
            </w:r>
          </w:p>
          <w:p w14:paraId="104F8330" w14:textId="77777777" w:rsidR="00722A10" w:rsidRPr="002D60D7" w:rsidDel="00F27BD6" w:rsidRDefault="000B0B09" w:rsidP="004C445F">
            <w:pPr>
              <w:suppressAutoHyphens/>
              <w:rPr>
                <w:rFonts w:ascii="Times New Roman" w:hAnsi="Times New Roman"/>
                <w:b/>
                <w:bCs/>
                <w:sz w:val="24"/>
                <w:u w:val="single"/>
              </w:rPr>
            </w:pPr>
            <w:r>
              <w:rPr>
                <w:rFonts w:ascii="Times New Roman" w:hAnsi="Times New Roman"/>
                <w:sz w:val="24"/>
              </w:rPr>
              <w:t>Requisiti totali di fondi propri segnalati nella colonna 0450 del modello MKR SA CTP. Questi requisiti totali di fondi propri sono segnalati soltanto a livello di totale del modello MKR SA TDI.</w:t>
            </w:r>
          </w:p>
        </w:tc>
      </w:tr>
      <w:tr w:rsidR="000B0B09" w:rsidRPr="002D60D7" w14:paraId="230D0723" w14:textId="77777777" w:rsidTr="00672D2A">
        <w:tc>
          <w:tcPr>
            <w:tcW w:w="987" w:type="dxa"/>
          </w:tcPr>
          <w:p w14:paraId="26241DA3" w14:textId="77777777" w:rsidR="000B0B09"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0350-0390</w:t>
            </w:r>
          </w:p>
        </w:tc>
        <w:tc>
          <w:tcPr>
            <w:tcW w:w="7875" w:type="dxa"/>
          </w:tcPr>
          <w:p w14:paraId="5291B6A7" w14:textId="77777777" w:rsidR="000B0B09" w:rsidRPr="002D60D7" w:rsidRDefault="000B0B09"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berschrift"/>
                <w:rFonts w:ascii="Times New Roman" w:hAnsi="Times New Roman"/>
                <w:sz w:val="24"/>
              </w:rPr>
              <w:t xml:space="preserve">REQUISITI AGGIUNTIVI PER LE OPZIONI (RISCHI NON DELTA) </w:t>
            </w:r>
          </w:p>
          <w:p w14:paraId="3B19069A" w14:textId="2AE3D272" w:rsidR="000B0B09" w:rsidRPr="002D60D7" w:rsidRDefault="000B0B09" w:rsidP="004C445F">
            <w:pPr>
              <w:suppressAutoHyphens/>
              <w:rPr>
                <w:rFonts w:ascii="Times New Roman" w:hAnsi="Times New Roman"/>
                <w:sz w:val="24"/>
              </w:rPr>
            </w:pPr>
            <w:r>
              <w:rPr>
                <w:rFonts w:ascii="Times New Roman" w:hAnsi="Times New Roman"/>
                <w:sz w:val="24"/>
              </w:rPr>
              <w:t>Articolo 329, paragrafo 3, del regolamento (UE) n. 575/2013.</w:t>
            </w:r>
          </w:p>
          <w:p w14:paraId="4A1F04EE" w14:textId="77777777" w:rsidR="000B0B09" w:rsidRPr="002D60D7" w:rsidRDefault="000B0B09" w:rsidP="004C445F">
            <w:pPr>
              <w:suppressAutoHyphens/>
              <w:rPr>
                <w:rFonts w:ascii="Times New Roman" w:hAnsi="Times New Roman"/>
                <w:bCs/>
                <w:sz w:val="24"/>
              </w:rPr>
            </w:pPr>
            <w:r>
              <w:rPr>
                <w:rFonts w:ascii="Times New Roman" w:hAnsi="Times New Roman"/>
                <w:sz w:val="24"/>
              </w:rPr>
              <w:t>I requisiti aggiuntivi per opzioni correlati ai rischi diversi dal rischio delta sono segnalati ripartendoli in funzione del metodo utilizzato per il calcolo.</w:t>
            </w:r>
          </w:p>
        </w:tc>
      </w:tr>
    </w:tbl>
    <w:p w14:paraId="45D79A0A"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7B3D40AE" w14:textId="1AB0D7C7"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2" w:name="_Toc294172370"/>
      <w:bookmarkStart w:id="53" w:name="_Toc295829999"/>
      <w:bookmarkStart w:id="54" w:name="_Toc308426676"/>
      <w:bookmarkStart w:id="55" w:name="_Toc310415060"/>
      <w:bookmarkStart w:id="56" w:name="_Toc360188395"/>
      <w:bookmarkStart w:id="57" w:name="_Toc473561035"/>
      <w:bookmarkStart w:id="58" w:name="_Toc210920352"/>
      <w:r>
        <w:rPr>
          <w:rFonts w:ascii="Times New Roman" w:hAnsi="Times New Roman"/>
          <w:sz w:val="24"/>
          <w:u w:val="none"/>
        </w:rPr>
        <w:t>3.</w:t>
      </w:r>
      <w:r w:rsidRPr="00516AD5">
        <w:rPr>
          <w:u w:val="none"/>
        </w:rPr>
        <w:tab/>
      </w:r>
      <w:r>
        <w:rPr>
          <w:rFonts w:ascii="Times New Roman" w:hAnsi="Times New Roman"/>
          <w:sz w:val="24"/>
        </w:rPr>
        <w:t>C 19.00 - RISCHIO DI MERCATO: METODO STANDARDIZZATO PER IL RISCHIO SPECIFICO SU CARTOLARIZZAZIONI (MKR SA SEC)</w:t>
      </w:r>
      <w:bookmarkEnd w:id="52"/>
      <w:bookmarkEnd w:id="53"/>
      <w:bookmarkEnd w:id="54"/>
      <w:bookmarkEnd w:id="55"/>
      <w:bookmarkEnd w:id="56"/>
      <w:bookmarkEnd w:id="57"/>
      <w:bookmarkEnd w:id="58"/>
    </w:p>
    <w:p w14:paraId="77E74540" w14:textId="159B56B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59" w:name="_Toc294172371"/>
      <w:bookmarkStart w:id="60" w:name="_Toc295830000"/>
      <w:bookmarkStart w:id="61" w:name="_Toc308426677"/>
      <w:bookmarkStart w:id="62" w:name="_Toc310415061"/>
      <w:bookmarkStart w:id="63" w:name="_Toc360188396"/>
      <w:bookmarkStart w:id="64" w:name="_Toc473561036"/>
      <w:bookmarkStart w:id="65" w:name="_Toc210920353"/>
      <w:r>
        <w:rPr>
          <w:rFonts w:ascii="Times New Roman" w:hAnsi="Times New Roman"/>
          <w:sz w:val="24"/>
          <w:u w:val="none"/>
        </w:rPr>
        <w:t>3.1.</w:t>
      </w:r>
      <w:r w:rsidRPr="00516AD5">
        <w:rPr>
          <w:u w:val="none"/>
        </w:rPr>
        <w:tab/>
      </w:r>
      <w:r>
        <w:rPr>
          <w:rFonts w:ascii="Times New Roman" w:hAnsi="Times New Roman"/>
          <w:sz w:val="24"/>
        </w:rPr>
        <w:t>Osservazioni di carattere generale</w:t>
      </w:r>
      <w:bookmarkEnd w:id="59"/>
      <w:bookmarkEnd w:id="60"/>
      <w:bookmarkEnd w:id="61"/>
      <w:bookmarkEnd w:id="62"/>
      <w:bookmarkEnd w:id="63"/>
      <w:bookmarkEnd w:id="64"/>
      <w:bookmarkEnd w:id="65"/>
    </w:p>
    <w:p w14:paraId="7E5893C5" w14:textId="18DD7193" w:rsidR="00FC6275" w:rsidRPr="002D60D7" w:rsidRDefault="00FC6275" w:rsidP="00E172EA">
      <w:pPr>
        <w:pStyle w:val="InstructionsText2"/>
        <w:numPr>
          <w:ilvl w:val="0"/>
          <w:numId w:val="29"/>
        </w:numPr>
        <w:suppressAutoHyphens/>
      </w:pPr>
      <w:bookmarkStart w:id="66" w:name="_Toc294172372"/>
      <w:bookmarkStart w:id="67" w:name="_Toc295830001"/>
      <w:bookmarkStart w:id="68" w:name="_Toc308426678"/>
      <w:bookmarkStart w:id="69" w:name="_Toc310415062"/>
      <w:bookmarkStart w:id="70" w:name="_Toc360188397"/>
      <w:bookmarkStart w:id="71" w:name="_Toc473561037"/>
      <w:r>
        <w:t xml:space="preserve">Questo modello serve per la segnalazione di informazioni sulle posizioni (totali/nette e lunghe/corte) e sui relativi requisiti di fondi propri per la componente di rischio specifico del rischio di posizione su cartolarizzazioni/ricartolarizzazioni detenute nel portafoglio di negoziazione (non ammissibili al portafoglio di negoziazione di correlazione) secondo il metodo standardizzato. </w:t>
      </w:r>
    </w:p>
    <w:p w14:paraId="2729DF95" w14:textId="7DC9447C" w:rsidR="00FC6275" w:rsidRPr="002D60D7" w:rsidRDefault="00FC6275" w:rsidP="00E172EA">
      <w:pPr>
        <w:pStyle w:val="InstructionsText2"/>
        <w:numPr>
          <w:ilvl w:val="0"/>
          <w:numId w:val="29"/>
        </w:numPr>
        <w:suppressAutoHyphens/>
      </w:pPr>
      <w:r>
        <w:t>Il modello MKR SA SEC presenta il requisito di fondi propri soltanto per il rischio specifico delle posizioni verso la cartolarizzazione conformemente all</w:t>
      </w:r>
      <w:r w:rsidR="00516AD5">
        <w:t>'</w:t>
      </w:r>
      <w:r>
        <w:t>articolo 335 del regolamento (UE) n. 575/2013 in combinato disposto con l</w:t>
      </w:r>
      <w:r w:rsidR="00516AD5">
        <w:t>'</w:t>
      </w:r>
      <w:r>
        <w:t>articolo 337 di tale regolamento. Se le posizioni verso la cartolarizzazione interne al portafoglio di negoziazione sono coperte da derivati su crediti, si applicano gli articoli 346 e 347 del regolamento (UE) n. 575/2013. C</w:t>
      </w:r>
      <w:r w:rsidR="00516AD5">
        <w:t>'</w:t>
      </w:r>
      <w:r>
        <w:t>è un solo modello per tutte le posizioni del portafoglio di negoziazione, a prescindere dal metodo di cui si avvale l</w:t>
      </w:r>
      <w:r w:rsidR="00516AD5">
        <w:t>'</w:t>
      </w:r>
      <w:r>
        <w:t xml:space="preserve">impresa di investimento per stabilire la ponderazione del rischio di ciascuna posizione conformemente alla parte tre, titolo II, capo 5, del regolamento (UE) n. 575/2013. Per segnalare i requisiti di fondi propri per il rischio generico di queste posizioni si utilizza il modello MKR SA TDI o il modello MKR IM. </w:t>
      </w:r>
    </w:p>
    <w:p w14:paraId="0C732A14" w14:textId="59C48DAD" w:rsidR="00FC6275" w:rsidRPr="002D60D7" w:rsidRDefault="00FC6275" w:rsidP="00E172EA">
      <w:pPr>
        <w:pStyle w:val="InstructionsText2"/>
        <w:numPr>
          <w:ilvl w:val="0"/>
          <w:numId w:val="29"/>
        </w:numPr>
        <w:suppressAutoHyphens/>
      </w:pPr>
      <w:r>
        <w:t>In alternativa, le posizioni soggette a un fattore di ponderazione del rischio del 1 250 % possono essere dedotte dal capitale primario di classe 1 (cfr.</w:t>
      </w:r>
      <w:r w:rsidR="00516AD5">
        <w:t> </w:t>
      </w:r>
      <w:r>
        <w:t>l</w:t>
      </w:r>
      <w:r w:rsidR="00516AD5">
        <w:t>'</w:t>
      </w:r>
      <w:r>
        <w:t>articolo 244, paragrafo 1, lettera b), l</w:t>
      </w:r>
      <w:r w:rsidR="00516AD5">
        <w:t>'</w:t>
      </w:r>
      <w:r>
        <w:t>articolo 245, paragrafo 1, lettera b), e l</w:t>
      </w:r>
      <w:r w:rsidR="00516AD5">
        <w:t>'</w:t>
      </w:r>
      <w:r>
        <w:t>articolo 253 del regolamento (UE) n. 575/2013). Tali posizioni sono segnalate in questo modello, anche laddove l</w:t>
      </w:r>
      <w:r w:rsidR="00516AD5">
        <w:t>'</w:t>
      </w:r>
      <w:r>
        <w:t>ente si avvalga della deduzione.</w:t>
      </w:r>
    </w:p>
    <w:p w14:paraId="3921F7AA" w14:textId="2BCB0F9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2" w:name="_Toc210920354"/>
      <w:r>
        <w:rPr>
          <w:rFonts w:ascii="Times New Roman" w:hAnsi="Times New Roman"/>
          <w:sz w:val="24"/>
          <w:u w:val="none"/>
        </w:rPr>
        <w:lastRenderedPageBreak/>
        <w:t>3.2.</w:t>
      </w:r>
      <w:r w:rsidRPr="00516AD5">
        <w:rPr>
          <w:u w:val="none"/>
        </w:rPr>
        <w:tab/>
      </w:r>
      <w:r>
        <w:rPr>
          <w:rFonts w:ascii="Times New Roman" w:hAnsi="Times New Roman"/>
          <w:sz w:val="24"/>
        </w:rPr>
        <w:t>Istruzioni relative a posizioni specifiche</w:t>
      </w:r>
      <w:bookmarkEnd w:id="66"/>
      <w:bookmarkEnd w:id="67"/>
      <w:bookmarkEnd w:id="68"/>
      <w:bookmarkEnd w:id="69"/>
      <w:bookmarkEnd w:id="70"/>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05"/>
      </w:tblGrid>
      <w:tr w:rsidR="00C55547" w:rsidRPr="002D60D7" w14:paraId="5FAA1DCA" w14:textId="77777777" w:rsidTr="00E10B85">
        <w:trPr>
          <w:trHeight w:val="631"/>
        </w:trPr>
        <w:tc>
          <w:tcPr>
            <w:tcW w:w="9018" w:type="dxa"/>
            <w:gridSpan w:val="2"/>
            <w:shd w:val="clear" w:color="auto" w:fill="CCCCCC"/>
          </w:tcPr>
          <w:p w14:paraId="672709A6"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Colonne</w:t>
            </w:r>
          </w:p>
        </w:tc>
      </w:tr>
      <w:tr w:rsidR="00C55547" w:rsidRPr="002D60D7" w14:paraId="25DD94D3" w14:textId="77777777" w:rsidTr="000911FE">
        <w:tc>
          <w:tcPr>
            <w:tcW w:w="1413" w:type="dxa"/>
          </w:tcPr>
          <w:p w14:paraId="1C45AB39"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605" w:type="dxa"/>
          </w:tcPr>
          <w:p w14:paraId="37C65F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TUTTE LE POSIZIONI (LUNGHE E CORTE)</w:t>
            </w:r>
          </w:p>
          <w:p w14:paraId="503F4241" w14:textId="6697651B" w:rsidR="00C55547" w:rsidRPr="002D60D7" w:rsidRDefault="00C55547" w:rsidP="004C445F">
            <w:pPr>
              <w:suppressAutoHyphens/>
              <w:rPr>
                <w:rFonts w:ascii="Times New Roman" w:hAnsi="Times New Roman"/>
                <w:sz w:val="24"/>
              </w:rPr>
            </w:pPr>
            <w:r>
              <w:rPr>
                <w:rFonts w:ascii="Times New Roman" w:hAnsi="Times New Roman"/>
                <w:sz w:val="24"/>
              </w:rPr>
              <w:t>Articolo</w:t>
            </w:r>
            <w:r>
              <w:rPr>
                <w:rStyle w:val="InstructionsTabelleText"/>
                <w:rFonts w:ascii="Times New Roman" w:hAnsi="Times New Roman"/>
                <w:sz w:val="24"/>
              </w:rPr>
              <w:t> 102 e articolo 105</w:t>
            </w:r>
            <w:r>
              <w:rPr>
                <w:rFonts w:ascii="Times New Roman" w:hAnsi="Times New Roman"/>
                <w:sz w:val="24"/>
              </w:rPr>
              <w:t>, paragrafo 1, del regolamento (UE) n. 575/2013</w:t>
            </w:r>
            <w:r>
              <w:rPr>
                <w:rStyle w:val="InstructionsTabelleText"/>
                <w:rFonts w:ascii="Times New Roman" w:hAnsi="Times New Roman"/>
                <w:sz w:val="24"/>
              </w:rPr>
              <w:t xml:space="preserve"> in combinato disposto con l</w:t>
            </w:r>
            <w:r w:rsidR="00516AD5">
              <w:rPr>
                <w:rStyle w:val="InstructionsTabelleText"/>
                <w:rFonts w:ascii="Times New Roman" w:hAnsi="Times New Roman"/>
                <w:sz w:val="24"/>
              </w:rPr>
              <w:t>'</w:t>
            </w:r>
            <w:r>
              <w:rPr>
                <w:rStyle w:val="InstructionsTabelleText"/>
                <w:rFonts w:ascii="Times New Roman" w:hAnsi="Times New Roman"/>
                <w:sz w:val="24"/>
              </w:rPr>
              <w:t>articolo 337</w:t>
            </w:r>
            <w:r>
              <w:rPr>
                <w:rFonts w:ascii="Times New Roman" w:hAnsi="Times New Roman"/>
                <w:sz w:val="24"/>
              </w:rPr>
              <w:t xml:space="preserve"> di tale regolamento </w:t>
            </w:r>
            <w:r>
              <w:rPr>
                <w:rStyle w:val="InstructionsTabelleText"/>
                <w:rFonts w:ascii="Times New Roman" w:hAnsi="Times New Roman"/>
                <w:sz w:val="24"/>
              </w:rPr>
              <w:t>(posizioni verso la cartolarizzazione). Per la distinzione tra posizioni lunghe e posizioni corte, applicabile anche a queste posizioni lorde, cfr. l</w:t>
            </w:r>
            <w:r w:rsidR="00516AD5">
              <w:rPr>
                <w:rStyle w:val="InstructionsTabelleText"/>
                <w:rFonts w:ascii="Times New Roman" w:hAnsi="Times New Roman"/>
                <w:sz w:val="24"/>
              </w:rPr>
              <w:t>'</w:t>
            </w:r>
            <w:r>
              <w:rPr>
                <w:rStyle w:val="InstructionsTabelleText"/>
                <w:rFonts w:ascii="Times New Roman" w:hAnsi="Times New Roman"/>
                <w:sz w:val="24"/>
              </w:rPr>
              <w:t xml:space="preserve">articolo 328, paragrafo 2, </w:t>
            </w:r>
            <w:r>
              <w:rPr>
                <w:rFonts w:ascii="Times New Roman" w:hAnsi="Times New Roman"/>
                <w:sz w:val="24"/>
              </w:rPr>
              <w:t>di tale regolamento</w:t>
            </w:r>
            <w:r>
              <w:rPr>
                <w:rStyle w:val="InstructionsTabelleText"/>
                <w:rFonts w:ascii="Times New Roman" w:hAnsi="Times New Roman"/>
                <w:sz w:val="24"/>
              </w:rPr>
              <w:t xml:space="preserve">. </w:t>
            </w:r>
          </w:p>
        </w:tc>
      </w:tr>
      <w:tr w:rsidR="00C55547" w:rsidRPr="002D60D7" w14:paraId="22839602" w14:textId="77777777" w:rsidTr="000911FE">
        <w:tc>
          <w:tcPr>
            <w:tcW w:w="1413" w:type="dxa"/>
          </w:tcPr>
          <w:p w14:paraId="40A33AF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605" w:type="dxa"/>
          </w:tcPr>
          <w:p w14:paraId="511B020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POSIZIONI DEDOTTE DAI FONDI PROPRI</w:t>
            </w:r>
            <w:r>
              <w:rPr>
                <w:rFonts w:ascii="Times New Roman" w:hAnsi="Times New Roman"/>
                <w:b/>
                <w:sz w:val="24"/>
                <w:u w:val="single"/>
              </w:rPr>
              <w:t xml:space="preserve"> (LUNGHE E CORTE)</w:t>
            </w:r>
          </w:p>
          <w:p w14:paraId="1429CBFE" w14:textId="4281F59D" w:rsidR="00C55547" w:rsidRPr="002D60D7" w:rsidRDefault="00705025" w:rsidP="004C445F">
            <w:pPr>
              <w:suppressAutoHyphens/>
              <w:rPr>
                <w:rStyle w:val="InstructionsTabelleText"/>
                <w:rFonts w:ascii="Times New Roman" w:hAnsi="Times New Roman"/>
                <w:sz w:val="24"/>
              </w:rPr>
            </w:pPr>
            <w:r>
              <w:rPr>
                <w:rStyle w:val="InstructionsTabelleText"/>
                <w:rFonts w:ascii="Times New Roman" w:hAnsi="Times New Roman"/>
                <w:sz w:val="24"/>
              </w:rPr>
              <w:t xml:space="preserve">Articolo 244, paragrafo 1, lettera b), articolo 245, paragrafo 1, lettera b), e articolo 253 </w:t>
            </w:r>
            <w:r>
              <w:rPr>
                <w:rFonts w:ascii="Times New Roman" w:hAnsi="Times New Roman"/>
                <w:sz w:val="24"/>
              </w:rPr>
              <w:t>del regolamento (UE) n. 575/2013</w:t>
            </w:r>
          </w:p>
        </w:tc>
      </w:tr>
      <w:tr w:rsidR="00C55547" w:rsidRPr="002D60D7" w14:paraId="16C58348" w14:textId="77777777" w:rsidTr="000911FE">
        <w:tc>
          <w:tcPr>
            <w:tcW w:w="1413" w:type="dxa"/>
          </w:tcPr>
          <w:p w14:paraId="2D1E9030"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605" w:type="dxa"/>
          </w:tcPr>
          <w:p w14:paraId="088E438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POSIZIONI NETTE</w:t>
            </w:r>
            <w:r>
              <w:rPr>
                <w:rFonts w:ascii="Times New Roman" w:hAnsi="Times New Roman"/>
                <w:b/>
                <w:sz w:val="24"/>
                <w:u w:val="single"/>
              </w:rPr>
              <w:t xml:space="preserve"> (LUNGHE E CORTE)</w:t>
            </w:r>
          </w:p>
          <w:p w14:paraId="54C14D76" w14:textId="65F8B997" w:rsidR="00C55547" w:rsidRPr="002D60D7" w:rsidRDefault="00C55547" w:rsidP="004C445F">
            <w:pPr>
              <w:suppressAutoHyphens/>
              <w:rPr>
                <w:rStyle w:val="InstructionsTabelleText"/>
                <w:rFonts w:ascii="Times New Roman" w:hAnsi="Times New Roman"/>
                <w:sz w:val="24"/>
              </w:rPr>
            </w:pPr>
            <w:r>
              <w:rPr>
                <w:rFonts w:ascii="Times New Roman" w:hAnsi="Times New Roman"/>
                <w:sz w:val="24"/>
              </w:rPr>
              <w:t>Articoli</w:t>
            </w:r>
            <w:r>
              <w:rPr>
                <w:rStyle w:val="InstructionsTabelleText"/>
                <w:rFonts w:ascii="Times New Roman" w:hAnsi="Times New Roman"/>
                <w:sz w:val="24"/>
              </w:rPr>
              <w:t xml:space="preserve"> 327, 328, 329 e 334 </w:t>
            </w:r>
            <w:r>
              <w:rPr>
                <w:rFonts w:ascii="Times New Roman" w:hAnsi="Times New Roman"/>
                <w:sz w:val="24"/>
              </w:rPr>
              <w:t>del regolamento (UE) n. 575/2013</w:t>
            </w:r>
            <w:r>
              <w:rPr>
                <w:rStyle w:val="InstructionsTabelleText"/>
                <w:rFonts w:ascii="Times New Roman" w:hAnsi="Times New Roman"/>
                <w:sz w:val="24"/>
              </w:rPr>
              <w:t>. Per la distinzione tra posizioni lunghe e posizioni corte cfr. l</w:t>
            </w:r>
            <w:r w:rsidR="00516AD5">
              <w:rPr>
                <w:rStyle w:val="InstructionsTabelleText"/>
                <w:rFonts w:ascii="Times New Roman" w:hAnsi="Times New Roman"/>
                <w:sz w:val="24"/>
              </w:rPr>
              <w:t>'</w:t>
            </w:r>
            <w:r>
              <w:rPr>
                <w:rStyle w:val="InstructionsTabelleText"/>
                <w:rFonts w:ascii="Times New Roman" w:hAnsi="Times New Roman"/>
                <w:sz w:val="24"/>
              </w:rPr>
              <w:t>articolo 328, paragrafo</w:t>
            </w:r>
            <w:r w:rsidR="00516AD5">
              <w:rPr>
                <w:rStyle w:val="InstructionsTabelleText"/>
                <w:rFonts w:ascii="Times New Roman" w:hAnsi="Times New Roman"/>
                <w:sz w:val="24"/>
              </w:rPr>
              <w:t> </w:t>
            </w:r>
            <w:r>
              <w:rPr>
                <w:rStyle w:val="InstructionsTabelleText"/>
                <w:rFonts w:ascii="Times New Roman" w:hAnsi="Times New Roman"/>
                <w:sz w:val="24"/>
              </w:rPr>
              <w:t xml:space="preserve">2, </w:t>
            </w:r>
            <w:r>
              <w:rPr>
                <w:rFonts w:ascii="Times New Roman" w:hAnsi="Times New Roman"/>
                <w:sz w:val="24"/>
              </w:rPr>
              <w:t>di tale regolamento</w:t>
            </w:r>
            <w:r>
              <w:rPr>
                <w:rStyle w:val="InstructionsTabelleText"/>
                <w:rFonts w:ascii="Times New Roman" w:hAnsi="Times New Roman"/>
                <w:sz w:val="24"/>
              </w:rPr>
              <w:t>.</w:t>
            </w:r>
          </w:p>
        </w:tc>
      </w:tr>
      <w:tr w:rsidR="00C55547" w:rsidRPr="002D60D7" w14:paraId="0BDF729C" w14:textId="77777777" w:rsidTr="000911FE">
        <w:tc>
          <w:tcPr>
            <w:tcW w:w="1413" w:type="dxa"/>
          </w:tcPr>
          <w:p w14:paraId="324A2BB6"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0061-0104</w:t>
            </w:r>
          </w:p>
        </w:tc>
        <w:tc>
          <w:tcPr>
            <w:tcW w:w="7605" w:type="dxa"/>
          </w:tcPr>
          <w:p w14:paraId="627BB4B0"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RIPARTIZIONE DELLE POSIZIONI NETTE IN BASE AI FATTORI DI PONDERAZIONE DEL RISCHIO</w:t>
            </w:r>
          </w:p>
          <w:p w14:paraId="3ECFC065" w14:textId="74A01ED7" w:rsidR="00C3548F"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Articoli da 259 a 262, tabelle 1 e 2 dell</w:t>
            </w:r>
            <w:r w:rsidR="00516AD5">
              <w:rPr>
                <w:rStyle w:val="InstructionsTabelleText"/>
                <w:rFonts w:ascii="Times New Roman" w:hAnsi="Times New Roman"/>
                <w:sz w:val="24"/>
              </w:rPr>
              <w:t>'</w:t>
            </w:r>
            <w:r>
              <w:rPr>
                <w:rStyle w:val="InstructionsTabelleText"/>
                <w:rFonts w:ascii="Times New Roman" w:hAnsi="Times New Roman"/>
                <w:sz w:val="24"/>
              </w:rPr>
              <w:t>articolo 263, tabelle 3 e 4 dell</w:t>
            </w:r>
            <w:r w:rsidR="00516AD5">
              <w:rPr>
                <w:rStyle w:val="InstructionsTabelleText"/>
                <w:rFonts w:ascii="Times New Roman" w:hAnsi="Times New Roman"/>
                <w:sz w:val="24"/>
              </w:rPr>
              <w:t>'</w:t>
            </w:r>
            <w:r>
              <w:rPr>
                <w:rStyle w:val="InstructionsTabelleText"/>
                <w:rFonts w:ascii="Times New Roman" w:hAnsi="Times New Roman"/>
                <w:sz w:val="24"/>
              </w:rPr>
              <w:t>articolo</w:t>
            </w:r>
            <w:r w:rsidR="00516AD5">
              <w:rPr>
                <w:rStyle w:val="InstructionsTabelleText"/>
                <w:rFonts w:ascii="Times New Roman" w:hAnsi="Times New Roman"/>
                <w:sz w:val="24"/>
              </w:rPr>
              <w:t> </w:t>
            </w:r>
            <w:r>
              <w:rPr>
                <w:rStyle w:val="InstructionsTabelleText"/>
                <w:rFonts w:ascii="Times New Roman" w:hAnsi="Times New Roman"/>
                <w:sz w:val="24"/>
              </w:rPr>
              <w:t xml:space="preserve">264 e articolo 266 </w:t>
            </w:r>
            <w:r>
              <w:rPr>
                <w:rFonts w:ascii="Times New Roman" w:hAnsi="Times New Roman"/>
                <w:sz w:val="24"/>
              </w:rPr>
              <w:t>del regolamento (UE) n. 575/2013</w:t>
            </w:r>
            <w:r>
              <w:rPr>
                <w:rStyle w:val="InstructionsTabelleText"/>
                <w:rFonts w:ascii="Times New Roman" w:hAnsi="Times New Roman"/>
                <w:sz w:val="24"/>
              </w:rPr>
              <w:t xml:space="preserve">. </w:t>
            </w:r>
          </w:p>
          <w:p w14:paraId="4314B137" w14:textId="77777777" w:rsidR="00C55547" w:rsidRPr="002D60D7" w:rsidRDefault="00C55547" w:rsidP="004C445F">
            <w:pPr>
              <w:suppressAutoHyphens/>
              <w:rPr>
                <w:rStyle w:val="InstructionsTabelleText"/>
                <w:rFonts w:ascii="Times New Roman" w:hAnsi="Times New Roman"/>
                <w:sz w:val="24"/>
              </w:rPr>
            </w:pPr>
            <w:r>
              <w:rPr>
                <w:rStyle w:val="InstructionsTabelleText"/>
                <w:rFonts w:ascii="Times New Roman" w:hAnsi="Times New Roman"/>
                <w:sz w:val="24"/>
              </w:rPr>
              <w:t>La ripartizione è indicata separatamente per le posizioni lunghe e per quelle corte.</w:t>
            </w:r>
          </w:p>
        </w:tc>
      </w:tr>
      <w:tr w:rsidR="00C55547" w:rsidRPr="002D60D7" w14:paraId="2A20E80A" w14:textId="77777777" w:rsidTr="000911FE">
        <w:tc>
          <w:tcPr>
            <w:tcW w:w="1413" w:type="dxa"/>
          </w:tcPr>
          <w:p w14:paraId="163C862B"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0402-0406</w:t>
            </w:r>
          </w:p>
        </w:tc>
        <w:tc>
          <w:tcPr>
            <w:tcW w:w="7605" w:type="dxa"/>
          </w:tcPr>
          <w:p w14:paraId="2AF3DB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RIPARTIZIONE DELLE POSIZIONI NETTE IN BASE AI METODI</w:t>
            </w:r>
          </w:p>
          <w:p w14:paraId="683DE902" w14:textId="55DF04AD" w:rsidR="00C55547" w:rsidRPr="002D60D7" w:rsidRDefault="00C55547" w:rsidP="004C445F">
            <w:pPr>
              <w:suppressAutoHyphens/>
              <w:rPr>
                <w:rFonts w:ascii="Times New Roman" w:hAnsi="Times New Roman"/>
                <w:b/>
                <w:bCs/>
                <w:sz w:val="24"/>
                <w:u w:val="single"/>
              </w:rPr>
            </w:pPr>
            <w:r>
              <w:rPr>
                <w:rFonts w:ascii="Times New Roman" w:hAnsi="Times New Roman"/>
                <w:sz w:val="24"/>
              </w:rPr>
              <w:t>Articolo</w:t>
            </w:r>
            <w:r>
              <w:rPr>
                <w:rStyle w:val="InstructionsTabelleText"/>
                <w:rFonts w:ascii="Times New Roman" w:hAnsi="Times New Roman"/>
                <w:sz w:val="24"/>
              </w:rPr>
              <w:t xml:space="preserve"> 254 </w:t>
            </w:r>
            <w:r>
              <w:rPr>
                <w:rFonts w:ascii="Times New Roman" w:hAnsi="Times New Roman"/>
                <w:sz w:val="24"/>
              </w:rPr>
              <w:t>del regolamento (UE) n. 575/2013</w:t>
            </w:r>
            <w:r>
              <w:rPr>
                <w:rStyle w:val="InstructionsTabelleText"/>
                <w:rFonts w:ascii="Times New Roman" w:hAnsi="Times New Roman"/>
                <w:sz w:val="24"/>
              </w:rPr>
              <w:t xml:space="preserve"> </w:t>
            </w:r>
          </w:p>
        </w:tc>
      </w:tr>
      <w:tr w:rsidR="00C55547" w:rsidRPr="002D60D7" w14:paraId="6061874B" w14:textId="77777777" w:rsidTr="000911FE">
        <w:tc>
          <w:tcPr>
            <w:tcW w:w="1413" w:type="dxa"/>
          </w:tcPr>
          <w:p w14:paraId="4B729A34"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0402</w:t>
            </w:r>
          </w:p>
        </w:tc>
        <w:tc>
          <w:tcPr>
            <w:tcW w:w="7605" w:type="dxa"/>
          </w:tcPr>
          <w:p w14:paraId="06929D2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41A48A7C" w14:textId="67C34C11"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Articoli 259 e 260 </w:t>
            </w:r>
            <w:r>
              <w:rPr>
                <w:rFonts w:ascii="Times New Roman" w:hAnsi="Times New Roman"/>
                <w:sz w:val="24"/>
              </w:rPr>
              <w:t>del regolamento (UE) n. 575/2013</w:t>
            </w:r>
          </w:p>
        </w:tc>
      </w:tr>
      <w:tr w:rsidR="00C55547" w:rsidRPr="002D60D7" w14:paraId="16BB3DCB" w14:textId="77777777" w:rsidTr="000911FE">
        <w:tc>
          <w:tcPr>
            <w:tcW w:w="1413" w:type="dxa"/>
          </w:tcPr>
          <w:p w14:paraId="189036B1"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0403</w:t>
            </w:r>
          </w:p>
        </w:tc>
        <w:tc>
          <w:tcPr>
            <w:tcW w:w="7605" w:type="dxa"/>
          </w:tcPr>
          <w:p w14:paraId="6F8EF419"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5A374E14" w14:textId="4A4A259B" w:rsidR="00C55547" w:rsidRPr="002D60D7" w:rsidRDefault="00C55547" w:rsidP="004C445F">
            <w:pPr>
              <w:suppressAutoHyphens/>
              <w:autoSpaceDE w:val="0"/>
              <w:autoSpaceDN w:val="0"/>
              <w:adjustRightInd w:val="0"/>
              <w:jc w:val="left"/>
              <w:rPr>
                <w:rFonts w:ascii="Times New Roman" w:hAnsi="Times New Roman"/>
                <w:b/>
                <w:bCs/>
                <w:sz w:val="24"/>
                <w:u w:val="single"/>
              </w:rPr>
            </w:pPr>
            <w:r>
              <w:rPr>
                <w:rStyle w:val="InstructionsTabelleText"/>
                <w:rFonts w:ascii="Times New Roman" w:hAnsi="Times New Roman"/>
                <w:sz w:val="24"/>
              </w:rPr>
              <w:t xml:space="preserve">Articoli 261 e 262 </w:t>
            </w:r>
            <w:r>
              <w:rPr>
                <w:rFonts w:ascii="Times New Roman" w:hAnsi="Times New Roman"/>
                <w:sz w:val="24"/>
              </w:rPr>
              <w:t>del regolamento (UE) n. 575/2013</w:t>
            </w:r>
          </w:p>
        </w:tc>
      </w:tr>
      <w:tr w:rsidR="00C55547" w:rsidRPr="002D60D7" w14:paraId="0B1E8511" w14:textId="77777777" w:rsidTr="000911FE">
        <w:tc>
          <w:tcPr>
            <w:tcW w:w="1413" w:type="dxa"/>
          </w:tcPr>
          <w:p w14:paraId="283E5722"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0404</w:t>
            </w:r>
          </w:p>
        </w:tc>
        <w:tc>
          <w:tcPr>
            <w:tcW w:w="7605" w:type="dxa"/>
          </w:tcPr>
          <w:p w14:paraId="7AA18AA4"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2250A6DF" w14:textId="199187B3"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Articoli 263 e 264 </w:t>
            </w:r>
            <w:r>
              <w:rPr>
                <w:rFonts w:ascii="Times New Roman" w:hAnsi="Times New Roman"/>
                <w:sz w:val="24"/>
              </w:rPr>
              <w:t>del regolamento (UE) n. 575/2013</w:t>
            </w:r>
          </w:p>
        </w:tc>
      </w:tr>
      <w:tr w:rsidR="00C55547" w:rsidRPr="002D60D7" w14:paraId="76051CC7" w14:textId="77777777" w:rsidTr="000911FE">
        <w:tc>
          <w:tcPr>
            <w:tcW w:w="1413" w:type="dxa"/>
          </w:tcPr>
          <w:p w14:paraId="2CE39EAA"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0405</w:t>
            </w:r>
          </w:p>
        </w:tc>
        <w:tc>
          <w:tcPr>
            <w:tcW w:w="7605" w:type="dxa"/>
          </w:tcPr>
          <w:p w14:paraId="334AB028"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METODO DELLA VALUTAZIONE INTERNA</w:t>
            </w:r>
          </w:p>
          <w:p w14:paraId="5354C48C" w14:textId="38E5A78D" w:rsidR="00C55547" w:rsidRPr="002D60D7" w:rsidRDefault="00C55547" w:rsidP="004C445F">
            <w:pPr>
              <w:suppressAutoHyphens/>
              <w:rPr>
                <w:rFonts w:ascii="Times New Roman" w:hAnsi="Times New Roman"/>
                <w:bCs/>
                <w:sz w:val="24"/>
                <w:u w:val="single"/>
              </w:rPr>
            </w:pPr>
            <w:r>
              <w:rPr>
                <w:rStyle w:val="InstructionsTabelleText"/>
                <w:rFonts w:ascii="Times New Roman" w:hAnsi="Times New Roman"/>
                <w:sz w:val="24"/>
              </w:rPr>
              <w:t xml:space="preserve">Articoli 254 e 265 e articolo 266, paragrafo 5, </w:t>
            </w:r>
            <w:r>
              <w:rPr>
                <w:rFonts w:ascii="Times New Roman" w:hAnsi="Times New Roman"/>
                <w:sz w:val="24"/>
              </w:rPr>
              <w:t>del regolamento (UE) n. 575/2013</w:t>
            </w:r>
            <w:r>
              <w:rPr>
                <w:rStyle w:val="InstructionsTabelleText"/>
                <w:rFonts w:ascii="Times New Roman" w:hAnsi="Times New Roman"/>
                <w:sz w:val="24"/>
              </w:rPr>
              <w:t>.</w:t>
            </w:r>
          </w:p>
        </w:tc>
      </w:tr>
      <w:tr w:rsidR="0033476C" w:rsidRPr="002D60D7" w14:paraId="00803C23" w14:textId="77777777" w:rsidTr="000911FE">
        <w:tc>
          <w:tcPr>
            <w:tcW w:w="1413" w:type="dxa"/>
          </w:tcPr>
          <w:p w14:paraId="6969B7D6" w14:textId="7D0DF91C" w:rsidR="0033476C" w:rsidRPr="002D60D7" w:rsidRDefault="0033476C"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0900</w:t>
            </w:r>
          </w:p>
        </w:tc>
        <w:tc>
          <w:tcPr>
            <w:tcW w:w="7605" w:type="dxa"/>
          </w:tcPr>
          <w:p w14:paraId="1E2E9907" w14:textId="3152DD84" w:rsidR="0033476C" w:rsidRPr="002D60D7" w:rsidRDefault="0033476C" w:rsidP="004C445F">
            <w:pPr>
              <w:suppressAutoHyphens/>
              <w:spacing w:before="0" w:after="0"/>
              <w:jc w:val="left"/>
              <w:rPr>
                <w:rFonts w:ascii="Times New Roman" w:hAnsi="Times New Roman"/>
                <w:b/>
                <w:sz w:val="24"/>
                <w:u w:val="single"/>
              </w:rPr>
            </w:pPr>
            <w:r>
              <w:rPr>
                <w:rFonts w:ascii="Times New Roman" w:hAnsi="Times New Roman"/>
                <w:b/>
                <w:sz w:val="24"/>
                <w:u w:val="single"/>
              </w:rPr>
              <w:t>TRATTAMENTO SPECIFICO PER I SEGMENTI SENIOR DELLE CARTOLARIZZAZIONI AMMISSIBILI DI ESPOSIZIONI DETERIORATE</w:t>
            </w:r>
          </w:p>
          <w:p w14:paraId="17BE744C" w14:textId="40B8EA94" w:rsidR="0033476C" w:rsidRPr="002D60D7" w:rsidRDefault="0033476C" w:rsidP="004C445F">
            <w:pPr>
              <w:suppressAutoHyphens/>
              <w:rPr>
                <w:rFonts w:ascii="Times New Roman" w:hAnsi="Times New Roman"/>
                <w:b/>
                <w:bCs/>
                <w:sz w:val="24"/>
                <w:u w:val="single"/>
              </w:rPr>
            </w:pPr>
            <w:r>
              <w:rPr>
                <w:rFonts w:ascii="Times New Roman" w:hAnsi="Times New Roman"/>
                <w:sz w:val="24"/>
              </w:rPr>
              <w:t>Articolo 269 bis, paragrafo 3, del regolamento (UE) n. 575/2013</w:t>
            </w:r>
          </w:p>
        </w:tc>
      </w:tr>
      <w:tr w:rsidR="00C55547" w:rsidRPr="002D60D7" w14:paraId="05BEB883" w14:textId="77777777" w:rsidTr="000911FE">
        <w:tc>
          <w:tcPr>
            <w:tcW w:w="1413" w:type="dxa"/>
          </w:tcPr>
          <w:p w14:paraId="3D2DEA0A" w14:textId="77777777" w:rsidR="00C55547" w:rsidRPr="002D60D7" w:rsidRDefault="00EE2CD5"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0406</w:t>
            </w:r>
          </w:p>
        </w:tc>
        <w:tc>
          <w:tcPr>
            <w:tcW w:w="7605" w:type="dxa"/>
          </w:tcPr>
          <w:p w14:paraId="25786344" w14:textId="4EFB7A5E" w:rsidR="00C55547" w:rsidRPr="002D60D7" w:rsidRDefault="00C55547" w:rsidP="00516AD5">
            <w:pPr>
              <w:keepNext/>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ALTRO (RW = 1 250 %)</w:t>
            </w:r>
          </w:p>
          <w:p w14:paraId="1684F52F" w14:textId="43F3FE5E" w:rsidR="00C55547" w:rsidRPr="002D60D7" w:rsidRDefault="00C55547" w:rsidP="00516AD5">
            <w:pPr>
              <w:keepNext/>
              <w:suppressAutoHyphens/>
              <w:rPr>
                <w:rFonts w:ascii="Times New Roman" w:hAnsi="Times New Roman"/>
                <w:b/>
                <w:bCs/>
                <w:sz w:val="24"/>
                <w:u w:val="single"/>
              </w:rPr>
            </w:pPr>
            <w:r>
              <w:rPr>
                <w:rStyle w:val="InstructionsTabelleText"/>
                <w:rFonts w:ascii="Times New Roman" w:hAnsi="Times New Roman"/>
                <w:sz w:val="24"/>
              </w:rPr>
              <w:t xml:space="preserve">Articolo 254, paragrafo 7, </w:t>
            </w:r>
            <w:r>
              <w:rPr>
                <w:rFonts w:ascii="Times New Roman" w:hAnsi="Times New Roman"/>
                <w:sz w:val="24"/>
              </w:rPr>
              <w:t>del regolamento (UE) n. 575/2013</w:t>
            </w:r>
          </w:p>
        </w:tc>
      </w:tr>
      <w:tr w:rsidR="00C55547" w:rsidRPr="002D60D7" w14:paraId="11316298" w14:textId="77777777" w:rsidTr="000911FE">
        <w:tc>
          <w:tcPr>
            <w:tcW w:w="1413" w:type="dxa"/>
          </w:tcPr>
          <w:p w14:paraId="00B9220E"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0530-0540</w:t>
            </w:r>
          </w:p>
        </w:tc>
        <w:tc>
          <w:tcPr>
            <w:tcW w:w="7605" w:type="dxa"/>
          </w:tcPr>
          <w:p w14:paraId="595C29DB"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EFFETTO GENERALE (RETTIFICA) DOVUTO ALLA VIOLAZIONE DEL CAPO 2 DEL REGOLAMENTO (UE) 2017/2402</w:t>
            </w:r>
          </w:p>
          <w:p w14:paraId="3FBEAE4C" w14:textId="027236BE" w:rsidR="00C55547" w:rsidRPr="002D60D7" w:rsidRDefault="00C55547" w:rsidP="004C445F">
            <w:pPr>
              <w:suppressAutoHyphens/>
              <w:rPr>
                <w:rFonts w:ascii="Times New Roman" w:hAnsi="Times New Roman"/>
                <w:b/>
                <w:bCs/>
                <w:sz w:val="24"/>
                <w:u w:val="single"/>
              </w:rPr>
            </w:pPr>
            <w:r>
              <w:rPr>
                <w:rStyle w:val="InstructionsTabelleText"/>
                <w:rFonts w:ascii="Times New Roman" w:hAnsi="Times New Roman"/>
                <w:sz w:val="24"/>
              </w:rPr>
              <w:t xml:space="preserve">Articolo 270 bis </w:t>
            </w:r>
            <w:r>
              <w:rPr>
                <w:rFonts w:ascii="Times New Roman" w:hAnsi="Times New Roman"/>
                <w:sz w:val="24"/>
              </w:rPr>
              <w:t>del regolamento (UE) n. 575/2013</w:t>
            </w:r>
          </w:p>
        </w:tc>
      </w:tr>
      <w:tr w:rsidR="00C55547" w:rsidRPr="002D60D7" w14:paraId="2BA98A90" w14:textId="77777777" w:rsidTr="000911FE">
        <w:tc>
          <w:tcPr>
            <w:tcW w:w="1413" w:type="dxa"/>
          </w:tcPr>
          <w:p w14:paraId="2EA0118D"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0570</w:t>
            </w:r>
          </w:p>
        </w:tc>
        <w:tc>
          <w:tcPr>
            <w:tcW w:w="7605" w:type="dxa"/>
          </w:tcPr>
          <w:p w14:paraId="4DCE07C4" w14:textId="2C3D80A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PRIMA DELL</w:t>
            </w:r>
            <w:r w:rsidR="00516AD5">
              <w:rPr>
                <w:rFonts w:ascii="Times New Roman" w:hAnsi="Times New Roman"/>
                <w:b/>
                <w:sz w:val="24"/>
                <w:u w:val="single"/>
              </w:rPr>
              <w:t>'</w:t>
            </w:r>
            <w:r>
              <w:rPr>
                <w:rFonts w:ascii="Times New Roman" w:hAnsi="Times New Roman"/>
                <w:b/>
                <w:sz w:val="24"/>
                <w:u w:val="single"/>
              </w:rPr>
              <w:t xml:space="preserve">APPLICAZIONE DEL MASSIMALE </w:t>
            </w:r>
          </w:p>
          <w:p w14:paraId="740CD739" w14:textId="36E43B54" w:rsidR="00C55547" w:rsidRPr="002D60D7" w:rsidRDefault="00C55547" w:rsidP="004C445F">
            <w:pPr>
              <w:suppressAutoHyphens/>
              <w:rPr>
                <w:rFonts w:ascii="Times New Roman" w:hAnsi="Times New Roman"/>
                <w:bCs/>
                <w:sz w:val="24"/>
              </w:rPr>
            </w:pPr>
            <w:r>
              <w:rPr>
                <w:rFonts w:ascii="Times New Roman" w:hAnsi="Times New Roman"/>
                <w:sz w:val="24"/>
              </w:rPr>
              <w:t>Articolo 337 del regolamento (UE) n. 575/2013 senza tener conto della facoltà di cui all</w:t>
            </w:r>
            <w:r w:rsidR="00516AD5">
              <w:rPr>
                <w:rFonts w:ascii="Times New Roman" w:hAnsi="Times New Roman"/>
                <w:sz w:val="24"/>
              </w:rPr>
              <w:t>'</w:t>
            </w:r>
            <w:r>
              <w:rPr>
                <w:rFonts w:ascii="Times New Roman" w:hAnsi="Times New Roman"/>
                <w:sz w:val="24"/>
              </w:rPr>
              <w:t>articolo 335 di tale regolamento, che permette a un ente di fissare, per il prodotto della ponderazione e della posizione netta, un massimale pari alla perdita massima possibile relativa al rischio di default.</w:t>
            </w:r>
          </w:p>
        </w:tc>
      </w:tr>
      <w:tr w:rsidR="00C55547" w:rsidRPr="002D60D7" w14:paraId="247B0FB8" w14:textId="77777777" w:rsidTr="000911FE">
        <w:tc>
          <w:tcPr>
            <w:tcW w:w="1413" w:type="dxa"/>
          </w:tcPr>
          <w:p w14:paraId="22357CAC" w14:textId="77777777" w:rsidR="00C55547" w:rsidRPr="002D60D7" w:rsidRDefault="00EE2CD5"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0601</w:t>
            </w:r>
          </w:p>
        </w:tc>
        <w:tc>
          <w:tcPr>
            <w:tcW w:w="7605" w:type="dxa"/>
          </w:tcPr>
          <w:p w14:paraId="78FC9B76" w14:textId="55273558"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DOPO L</w:t>
            </w:r>
            <w:r w:rsidR="00516AD5">
              <w:rPr>
                <w:rFonts w:ascii="Times New Roman" w:hAnsi="Times New Roman"/>
                <w:b/>
                <w:sz w:val="24"/>
                <w:u w:val="single"/>
              </w:rPr>
              <w:t>'</w:t>
            </w:r>
            <w:r>
              <w:rPr>
                <w:rFonts w:ascii="Times New Roman" w:hAnsi="Times New Roman"/>
                <w:b/>
                <w:sz w:val="24"/>
                <w:u w:val="single"/>
              </w:rPr>
              <w:t xml:space="preserve">APPLICAZIONE DEL MASSIMALE / REQUISITI DI FONDI PROPRI TOTALI </w:t>
            </w:r>
          </w:p>
          <w:p w14:paraId="0DE4FAED" w14:textId="2D44D1D1" w:rsidR="00C55547" w:rsidRPr="002D60D7" w:rsidRDefault="00C55547" w:rsidP="004C445F">
            <w:pPr>
              <w:suppressAutoHyphens/>
              <w:rPr>
                <w:rFonts w:ascii="Times New Roman" w:hAnsi="Times New Roman"/>
                <w:bCs/>
                <w:sz w:val="24"/>
              </w:rPr>
            </w:pPr>
            <w:r>
              <w:rPr>
                <w:rFonts w:ascii="Times New Roman" w:hAnsi="Times New Roman"/>
                <w:sz w:val="24"/>
              </w:rPr>
              <w:t xml:space="preserve">Articolo 337 del regolamento (UE) n. 575/2013, tenendo </w:t>
            </w:r>
            <w:r>
              <w:rPr>
                <w:rStyle w:val="InstructionsTabelleText"/>
                <w:rFonts w:ascii="Times New Roman" w:hAnsi="Times New Roman"/>
                <w:sz w:val="24"/>
              </w:rPr>
              <w:t xml:space="preserve">conto </w:t>
            </w:r>
            <w:r>
              <w:rPr>
                <w:rFonts w:ascii="Times New Roman" w:hAnsi="Times New Roman"/>
                <w:sz w:val="24"/>
              </w:rPr>
              <w:t>della facoltà di cui all</w:t>
            </w:r>
            <w:r w:rsidR="00516AD5">
              <w:rPr>
                <w:rFonts w:ascii="Times New Roman" w:hAnsi="Times New Roman"/>
                <w:sz w:val="24"/>
              </w:rPr>
              <w:t>'</w:t>
            </w:r>
            <w:r>
              <w:rPr>
                <w:rFonts w:ascii="Times New Roman" w:hAnsi="Times New Roman"/>
                <w:sz w:val="24"/>
              </w:rPr>
              <w:t>articolo 335 di tale regolamento.</w:t>
            </w:r>
          </w:p>
        </w:tc>
      </w:tr>
    </w:tbl>
    <w:p w14:paraId="2016D379"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537"/>
      </w:tblGrid>
      <w:tr w:rsidR="00C55547" w:rsidRPr="002D60D7" w14:paraId="02A9F41A" w14:textId="77777777" w:rsidTr="00E10B85">
        <w:trPr>
          <w:trHeight w:val="537"/>
        </w:trPr>
        <w:tc>
          <w:tcPr>
            <w:tcW w:w="8950" w:type="dxa"/>
            <w:gridSpan w:val="2"/>
            <w:shd w:val="clear" w:color="auto" w:fill="BFBFBF"/>
          </w:tcPr>
          <w:p w14:paraId="26BB8354"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Righe</w:t>
            </w:r>
          </w:p>
        </w:tc>
      </w:tr>
      <w:tr w:rsidR="00C55547" w:rsidRPr="002D60D7" w14:paraId="32F42F75" w14:textId="77777777" w:rsidTr="000911FE">
        <w:tc>
          <w:tcPr>
            <w:tcW w:w="1413" w:type="dxa"/>
          </w:tcPr>
          <w:p w14:paraId="4D0640F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537" w:type="dxa"/>
          </w:tcPr>
          <w:p w14:paraId="03F7346E" w14:textId="77777777" w:rsidR="00C55547" w:rsidRPr="002D60D7" w:rsidRDefault="00C55547" w:rsidP="004C445F">
            <w:pPr>
              <w:suppressAutoHyphens/>
              <w:rPr>
                <w:rFonts w:ascii="Times New Roman" w:hAnsi="Times New Roman"/>
                <w:sz w:val="24"/>
              </w:rPr>
            </w:pPr>
            <w:r>
              <w:rPr>
                <w:rStyle w:val="InstructionsTabelleberschrift"/>
                <w:rFonts w:ascii="Times New Roman" w:hAnsi="Times New Roman"/>
                <w:sz w:val="24"/>
              </w:rPr>
              <w:t>ESPOSIZIONI TOTALI</w:t>
            </w:r>
          </w:p>
          <w:p w14:paraId="3DA30B45" w14:textId="4E5206E1" w:rsidR="00C55547" w:rsidRPr="002D60D7" w:rsidRDefault="00C55547" w:rsidP="004C445F">
            <w:pPr>
              <w:suppressAutoHyphens/>
              <w:autoSpaceDE w:val="0"/>
              <w:autoSpaceDN w:val="0"/>
              <w:adjustRightInd w:val="0"/>
              <w:spacing w:before="0" w:after="0"/>
              <w:rPr>
                <w:rFonts w:ascii="Times New Roman" w:hAnsi="Times New Roman"/>
                <w:sz w:val="24"/>
              </w:rPr>
            </w:pPr>
            <w:r>
              <w:rPr>
                <w:rStyle w:val="InstructionsTabelleText"/>
                <w:rFonts w:ascii="Times New Roman" w:hAnsi="Times New Roman"/>
                <w:sz w:val="24"/>
              </w:rPr>
              <w:t>Importo complessivo delle cartolarizzazioni e ricartolarizzazioni in essere (detenute nel portafoglio di negoziazione) segnalate dall</w:t>
            </w:r>
            <w:r w:rsidR="00516AD5">
              <w:rPr>
                <w:rStyle w:val="InstructionsTabelleText"/>
                <w:rFonts w:ascii="Times New Roman" w:hAnsi="Times New Roman"/>
                <w:sz w:val="24"/>
              </w:rPr>
              <w:t>'</w:t>
            </w:r>
            <w:r>
              <w:rPr>
                <w:rStyle w:val="InstructionsTabelleText"/>
                <w:rFonts w:ascii="Times New Roman" w:hAnsi="Times New Roman"/>
                <w:sz w:val="24"/>
              </w:rPr>
              <w:t>ente nel ruolo di cedente, investitore o promotore.</w:t>
            </w:r>
          </w:p>
        </w:tc>
      </w:tr>
      <w:tr w:rsidR="00C55547" w:rsidRPr="002D60D7" w14:paraId="21E51D59" w14:textId="77777777" w:rsidTr="000911FE">
        <w:tc>
          <w:tcPr>
            <w:tcW w:w="1413" w:type="dxa"/>
          </w:tcPr>
          <w:p w14:paraId="5CCD69B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e 0100</w:t>
            </w:r>
          </w:p>
        </w:tc>
        <w:tc>
          <w:tcPr>
            <w:tcW w:w="7537" w:type="dxa"/>
          </w:tcPr>
          <w:p w14:paraId="4F5DF6A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POSIZIONI VERSO LA CARTOLARIZZAZIONE</w:t>
            </w:r>
          </w:p>
          <w:p w14:paraId="62CD89EA" w14:textId="0EB85823" w:rsidR="00C55547" w:rsidRPr="002D60D7" w:rsidRDefault="0053202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Articolo 4, paragrafo 1, punto 62), del regolamento (UE) n. 575/2013.</w:t>
            </w:r>
          </w:p>
          <w:p w14:paraId="0230B6E5"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4D9AAB18" w14:textId="77777777" w:rsidTr="000911FE">
        <w:tc>
          <w:tcPr>
            <w:tcW w:w="1413" w:type="dxa"/>
          </w:tcPr>
          <w:p w14:paraId="6DA3B4F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 0050, 0080 e 0110</w:t>
            </w:r>
          </w:p>
        </w:tc>
        <w:tc>
          <w:tcPr>
            <w:tcW w:w="7537" w:type="dxa"/>
          </w:tcPr>
          <w:p w14:paraId="3C62BCE7"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POSIZIONI VERSO LA RICARTOLARIZZAZIONE</w:t>
            </w:r>
          </w:p>
          <w:p w14:paraId="32F5BAEB" w14:textId="2FA2B3C6"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Articolo 4, paragrafo 1, punto 64), del regolamento (UE) n. 575/2013</w:t>
            </w:r>
          </w:p>
          <w:p w14:paraId="18108A69"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51A33F7" w14:textId="77777777" w:rsidTr="000911FE">
        <w:tc>
          <w:tcPr>
            <w:tcW w:w="1413" w:type="dxa"/>
          </w:tcPr>
          <w:p w14:paraId="41A2A67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0041, 0071 e 0101</w:t>
            </w:r>
          </w:p>
        </w:tc>
        <w:tc>
          <w:tcPr>
            <w:tcW w:w="7537" w:type="dxa"/>
          </w:tcPr>
          <w:p w14:paraId="17D8E88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DI CUI: AMMISSIBILI AL TRATTAMENTO DIFFERENZIATO AI FINI PATRIMONIALI</w:t>
            </w:r>
          </w:p>
          <w:p w14:paraId="775DD0A5" w14:textId="4678303D" w:rsidR="00C55547" w:rsidRPr="002D60D7" w:rsidRDefault="00C55547" w:rsidP="004C445F">
            <w:pPr>
              <w:suppressAutoHyphens/>
              <w:rPr>
                <w:rStyle w:val="InstructionsTabelleberschrift"/>
                <w:rFonts w:ascii="Times New Roman" w:hAnsi="Times New Roman"/>
                <w:sz w:val="24"/>
              </w:rPr>
            </w:pPr>
            <w:r>
              <w:rPr>
                <w:rFonts w:ascii="Times New Roman" w:hAnsi="Times New Roman"/>
                <w:sz w:val="24"/>
              </w:rPr>
              <w:t>Importo totale delle posizioni verso la cartolarizzazione che soddisfano i criteri di cui all</w:t>
            </w:r>
            <w:r w:rsidR="00516AD5">
              <w:rPr>
                <w:rFonts w:ascii="Times New Roman" w:hAnsi="Times New Roman"/>
                <w:sz w:val="24"/>
              </w:rPr>
              <w:t>'</w:t>
            </w:r>
            <w:r>
              <w:rPr>
                <w:rFonts w:ascii="Times New Roman" w:hAnsi="Times New Roman"/>
                <w:sz w:val="24"/>
              </w:rPr>
              <w:t>articolo 243 o all</w:t>
            </w:r>
            <w:r w:rsidR="00516AD5">
              <w:rPr>
                <w:rFonts w:ascii="Times New Roman" w:hAnsi="Times New Roman"/>
                <w:sz w:val="24"/>
              </w:rPr>
              <w:t>'</w:t>
            </w:r>
            <w:r>
              <w:rPr>
                <w:rFonts w:ascii="Times New Roman" w:hAnsi="Times New Roman"/>
                <w:sz w:val="24"/>
              </w:rPr>
              <w:t xml:space="preserve">articolo 270 del regolamento (UE) n. 575/2013 e possono pertanto essere soggette al trattamento differenziato ai fini patrimoniali. </w:t>
            </w:r>
          </w:p>
        </w:tc>
      </w:tr>
      <w:tr w:rsidR="00C55547" w:rsidRPr="002D60D7" w14:paraId="5FAF4052" w14:textId="77777777" w:rsidTr="000911FE">
        <w:tc>
          <w:tcPr>
            <w:tcW w:w="1413" w:type="dxa"/>
          </w:tcPr>
          <w:p w14:paraId="39486578"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0030-0050</w:t>
            </w:r>
          </w:p>
        </w:tc>
        <w:tc>
          <w:tcPr>
            <w:tcW w:w="7537" w:type="dxa"/>
          </w:tcPr>
          <w:p w14:paraId="29698529"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CEDENTE</w:t>
            </w:r>
          </w:p>
          <w:p w14:paraId="50264432" w14:textId="0FD773BF" w:rsidR="00C55547" w:rsidRPr="002D60D7" w:rsidRDefault="00D24331"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Articolo 4, paragrafo 1, punto 13), del regolamento (UE) n. 575/2013</w:t>
            </w:r>
          </w:p>
          <w:p w14:paraId="671304E2"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1241B5AC" w14:textId="77777777" w:rsidTr="000911FE">
        <w:tc>
          <w:tcPr>
            <w:tcW w:w="1413" w:type="dxa"/>
          </w:tcPr>
          <w:p w14:paraId="61436B0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537" w:type="dxa"/>
          </w:tcPr>
          <w:p w14:paraId="726E7C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INVESTITORE</w:t>
            </w:r>
          </w:p>
          <w:p w14:paraId="13A59676" w14:textId="15C26538" w:rsidR="00C55547" w:rsidRPr="002D60D7" w:rsidRDefault="00C55547"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Ente creditizio che detiene una posizione verso la cartolarizzazione in un</w:t>
            </w:r>
            <w:r w:rsidR="00516AD5">
              <w:rPr>
                <w:rFonts w:ascii="Times New Roman" w:hAnsi="Times New Roman"/>
                <w:sz w:val="24"/>
              </w:rPr>
              <w:t>'</w:t>
            </w:r>
            <w:r>
              <w:rPr>
                <w:rFonts w:ascii="Times New Roman" w:hAnsi="Times New Roman"/>
                <w:sz w:val="24"/>
              </w:rPr>
              <w:t xml:space="preserve">operazione di cartolarizzazione nella quale non è né il cedente né il promotore né il prestatore originario. </w:t>
            </w:r>
          </w:p>
          <w:p w14:paraId="5289F9D1" w14:textId="77777777" w:rsidR="00C55547" w:rsidRPr="002D60D7" w:rsidRDefault="00C55547" w:rsidP="004C445F">
            <w:pPr>
              <w:suppressAutoHyphens/>
              <w:autoSpaceDE w:val="0"/>
              <w:autoSpaceDN w:val="0"/>
              <w:adjustRightInd w:val="0"/>
              <w:spacing w:before="0" w:after="0"/>
              <w:rPr>
                <w:rFonts w:ascii="Times New Roman" w:hAnsi="Times New Roman"/>
                <w:bCs/>
                <w:sz w:val="24"/>
                <w:lang w:eastAsia="nl-BE"/>
              </w:rPr>
            </w:pPr>
          </w:p>
        </w:tc>
      </w:tr>
      <w:tr w:rsidR="00C55547" w:rsidRPr="002D60D7" w14:paraId="66D8A55A" w14:textId="77777777" w:rsidTr="000911FE">
        <w:tc>
          <w:tcPr>
            <w:tcW w:w="1413" w:type="dxa"/>
          </w:tcPr>
          <w:p w14:paraId="7DE34CCA"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0090-0110</w:t>
            </w:r>
          </w:p>
        </w:tc>
        <w:tc>
          <w:tcPr>
            <w:tcW w:w="7537" w:type="dxa"/>
          </w:tcPr>
          <w:p w14:paraId="1405E243"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PROMOTORE</w:t>
            </w:r>
          </w:p>
          <w:p w14:paraId="40C5E800" w14:textId="57801E6F" w:rsidR="000242CC" w:rsidRPr="002D60D7" w:rsidRDefault="00D24331"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Articolo 4, paragrafo 1, punto 14), del regolamento (UE) n. 575/2013</w:t>
            </w:r>
            <w:r>
              <w:rPr>
                <w:rStyle w:val="InstructionsTabelleText"/>
                <w:rFonts w:ascii="Times New Roman" w:hAnsi="Times New Roman"/>
                <w:sz w:val="24"/>
              </w:rPr>
              <w:t xml:space="preserve">. </w:t>
            </w:r>
          </w:p>
          <w:p w14:paraId="036222AB" w14:textId="77777777" w:rsidR="00C55547" w:rsidRPr="002D60D7" w:rsidRDefault="00532026" w:rsidP="004C445F">
            <w:pPr>
              <w:suppressAutoHyphens/>
              <w:autoSpaceDE w:val="0"/>
              <w:autoSpaceDN w:val="0"/>
              <w:adjustRightInd w:val="0"/>
              <w:spacing w:before="0" w:after="0"/>
              <w:rPr>
                <w:rStyle w:val="InstructionsTabelleText"/>
                <w:rFonts w:ascii="Times New Roman" w:hAnsi="Times New Roman"/>
                <w:sz w:val="24"/>
              </w:rPr>
            </w:pPr>
            <w:r>
              <w:rPr>
                <w:rStyle w:val="InstructionsTabelleText"/>
                <w:rFonts w:ascii="Times New Roman" w:hAnsi="Times New Roman"/>
                <w:sz w:val="24"/>
              </w:rPr>
              <w:t>Se cartolarizza anche attività proprie, il promotore inserisce nelle righe dedicate al cedente le informazioni relative alle proprie attività cartolarizzate.</w:t>
            </w:r>
          </w:p>
        </w:tc>
      </w:tr>
    </w:tbl>
    <w:p w14:paraId="2E044F0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7658B148" w14:textId="1570163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73" w:name="_Toc294172373"/>
      <w:bookmarkStart w:id="74" w:name="_Toc295830002"/>
      <w:bookmarkStart w:id="75" w:name="_Toc308426679"/>
      <w:bookmarkStart w:id="76" w:name="_Toc310415063"/>
      <w:bookmarkStart w:id="77" w:name="_Toc360188398"/>
      <w:bookmarkStart w:id="78" w:name="_Toc473561038"/>
      <w:bookmarkStart w:id="79" w:name="_Toc210920355"/>
      <w:r>
        <w:rPr>
          <w:rFonts w:ascii="Times New Roman" w:hAnsi="Times New Roman"/>
          <w:sz w:val="24"/>
          <w:u w:val="none"/>
        </w:rPr>
        <w:t>4.</w:t>
      </w:r>
      <w:r w:rsidRPr="00516AD5">
        <w:rPr>
          <w:u w:val="none"/>
        </w:rPr>
        <w:tab/>
      </w:r>
      <w:r>
        <w:rPr>
          <w:rFonts w:ascii="Times New Roman" w:hAnsi="Times New Roman"/>
          <w:sz w:val="24"/>
        </w:rPr>
        <w:t>C 20.00 - RISCHIO DI MERCATO: METODO STANDARDIZZATO PER IL RISCHIO SPECIFICO DI POSIZIONI ASSEGNATE AL PORTAFOGLIO DI NEGOZIAZIONE DI CORRELAZIONE (MKR SA CTP)</w:t>
      </w:r>
      <w:bookmarkEnd w:id="73"/>
      <w:bookmarkEnd w:id="74"/>
      <w:bookmarkEnd w:id="75"/>
      <w:bookmarkEnd w:id="76"/>
      <w:r>
        <w:rPr>
          <w:rFonts w:ascii="Times New Roman" w:hAnsi="Times New Roman"/>
          <w:sz w:val="24"/>
        </w:rPr>
        <w:t>)</w:t>
      </w:r>
      <w:bookmarkEnd w:id="77"/>
      <w:bookmarkEnd w:id="78"/>
      <w:bookmarkEnd w:id="79"/>
    </w:p>
    <w:p w14:paraId="43960D05" w14:textId="0A1B0018"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80" w:name="_Toc294172374"/>
      <w:bookmarkStart w:id="81" w:name="_Toc295830003"/>
      <w:bookmarkStart w:id="82" w:name="_Toc308426680"/>
      <w:bookmarkStart w:id="83" w:name="_Toc310415064"/>
      <w:bookmarkStart w:id="84" w:name="_Toc360188399"/>
      <w:bookmarkStart w:id="85" w:name="_Toc473561039"/>
      <w:bookmarkStart w:id="86" w:name="_Toc210920356"/>
      <w:r>
        <w:rPr>
          <w:rFonts w:ascii="Times New Roman" w:hAnsi="Times New Roman"/>
          <w:sz w:val="24"/>
          <w:u w:val="none"/>
        </w:rPr>
        <w:t>4.1.</w:t>
      </w:r>
      <w:r w:rsidRPr="00516AD5">
        <w:rPr>
          <w:u w:val="none"/>
        </w:rPr>
        <w:tab/>
      </w:r>
      <w:r>
        <w:rPr>
          <w:rFonts w:ascii="Times New Roman" w:hAnsi="Times New Roman"/>
          <w:sz w:val="24"/>
        </w:rPr>
        <w:t>Osservazioni di carattere generale</w:t>
      </w:r>
      <w:bookmarkEnd w:id="80"/>
      <w:bookmarkEnd w:id="81"/>
      <w:bookmarkEnd w:id="82"/>
      <w:bookmarkEnd w:id="83"/>
      <w:bookmarkEnd w:id="84"/>
      <w:bookmarkEnd w:id="85"/>
      <w:bookmarkEnd w:id="86"/>
    </w:p>
    <w:p w14:paraId="6E7E4803" w14:textId="08245575" w:rsidR="00C55547" w:rsidRPr="002D60D7" w:rsidRDefault="00C55547" w:rsidP="00E172EA">
      <w:pPr>
        <w:pStyle w:val="InstructionsText2"/>
        <w:numPr>
          <w:ilvl w:val="0"/>
          <w:numId w:val="29"/>
        </w:numPr>
        <w:suppressAutoHyphens/>
      </w:pPr>
      <w:bookmarkStart w:id="87" w:name="_Toc294172375"/>
      <w:bookmarkStart w:id="88" w:name="_Toc295830004"/>
      <w:bookmarkStart w:id="89" w:name="_Toc308426681"/>
      <w:bookmarkStart w:id="90" w:name="_Toc310415065"/>
      <w:bookmarkStart w:id="91" w:name="_Toc360188400"/>
      <w:bookmarkStart w:id="92" w:name="_Toc473561040"/>
      <w:r>
        <w:t>In questo modello vanno inserite informazioni riguardanti le posizioni del portafoglio di negoziazione di correlazione (compresi le cartolarizzazioni, i derivati su crediti di tipo nth-to-default e le altre posizioni di questo portafoglio incluse ai sensi dell</w:t>
      </w:r>
      <w:r w:rsidR="00516AD5">
        <w:t>'</w:t>
      </w:r>
      <w:r>
        <w:t>articolo 338, paragrafo 3, del regolamento (UE) n. 575/2013) e i relativi requisiti di fondi propri in base al metodo standardizzato.</w:t>
      </w:r>
    </w:p>
    <w:p w14:paraId="7D9D9B10" w14:textId="072D04C1" w:rsidR="00C55547" w:rsidRPr="002D60D7" w:rsidRDefault="00C55547" w:rsidP="00E172EA">
      <w:pPr>
        <w:pStyle w:val="InstructionsText2"/>
        <w:numPr>
          <w:ilvl w:val="0"/>
          <w:numId w:val="29"/>
        </w:numPr>
        <w:suppressAutoHyphens/>
      </w:pPr>
      <w:r>
        <w:t>Il modello MKR SA CTP presenta il requisito di fondi propri soltanto per il rischio specifico di posizioni assegnate al portafoglio di negoziazione di correlazione conformemente all</w:t>
      </w:r>
      <w:r w:rsidR="00516AD5">
        <w:t>'</w:t>
      </w:r>
      <w:r>
        <w:t>articolo 335 del regolamento (UE) n. 575/2013 in combinato disposto con l</w:t>
      </w:r>
      <w:r w:rsidR="00516AD5">
        <w:t>'</w:t>
      </w:r>
      <w:r>
        <w:t>articolo 338, paragrafi 2 e 3, di tale regolamento. Se</w:t>
      </w:r>
      <w:r w:rsidR="00516AD5">
        <w:t> </w:t>
      </w:r>
      <w:r>
        <w:t>le posizioni del portafoglio di negoziazione di correlazione comprese nel portafoglio di negoziazione sono coperte da derivati su crediti, si applicano gli articoli 346 e 347 del regolamento (UE) n. 575/2013. C</w:t>
      </w:r>
      <w:r w:rsidR="00516AD5">
        <w:t>'</w:t>
      </w:r>
      <w:r>
        <w:t>è un solo modello per tutte le posizioni del portafoglio di negoziazione di correlazione comprese nel portafoglio di negoziazione, a prescindere dal metodo di cui si avvale l</w:t>
      </w:r>
      <w:r w:rsidR="00516AD5">
        <w:t>'</w:t>
      </w:r>
      <w:r>
        <w:t>impresa di investimento per stabilire la ponderazione del rischio di ciascuna posizione conformemente alla parte tre, titolo II, capo 5, del regolamento (UE) n. 575/2013. Per segnalare i requisiti di fondi propri per il rischio generico di tali posizioni si utilizza il modello MKR SA TDI o il modello MKR IM.</w:t>
      </w:r>
    </w:p>
    <w:p w14:paraId="2252BE4F" w14:textId="2F593B4D" w:rsidR="00C55547" w:rsidRPr="002D60D7" w:rsidRDefault="00C55547" w:rsidP="00E172EA">
      <w:pPr>
        <w:pStyle w:val="InstructionsText2"/>
        <w:numPr>
          <w:ilvl w:val="0"/>
          <w:numId w:val="29"/>
        </w:numPr>
        <w:suppressAutoHyphens/>
      </w:pPr>
      <w:r>
        <w:t>Il modello distingue le posizioni verso la cartolarizzazione, i derivati su crediti di tipo nth-to-default e le altre posizioni del portafoglio di negoziazione di correlazione (CTP). Le posizioni verso la cartolarizzazione sono sempre segnalate nelle righe 0030, 0060 o 0090 (a seconda del ruolo svolto dall</w:t>
      </w:r>
      <w:r w:rsidR="00516AD5">
        <w:t>'</w:t>
      </w:r>
      <w:r>
        <w:t xml:space="preserve">ente nella cartolarizzazione). I derivati su crediti di tipo nth-to-default sono sempre segnalati nella riga 0110. Le </w:t>
      </w:r>
      <w:r w:rsidR="00516AD5">
        <w:t>"</w:t>
      </w:r>
      <w:r>
        <w:t>altre posizioni del CTP</w:t>
      </w:r>
      <w:r w:rsidR="00516AD5">
        <w:t>"</w:t>
      </w:r>
      <w:r>
        <w:t xml:space="preserve"> non sono né posizioni verso la cartolarizzazione né derivati su crediti di tipo nth-to-default (cfr.</w:t>
      </w:r>
      <w:r w:rsidR="00516AD5">
        <w:t> </w:t>
      </w:r>
      <w:r>
        <w:t>l</w:t>
      </w:r>
      <w:r w:rsidR="00516AD5">
        <w:t>'</w:t>
      </w:r>
      <w:r>
        <w:t xml:space="preserve">articolo 338, paragrafo 3, del regolamento (UE) n. 575/2013), però sono </w:t>
      </w:r>
      <w:r w:rsidR="00516AD5">
        <w:t>"</w:t>
      </w:r>
      <w:r>
        <w:t>collegate</w:t>
      </w:r>
      <w:r w:rsidR="00516AD5">
        <w:t>"</w:t>
      </w:r>
      <w:r>
        <w:t xml:space="preserve"> esplicitamente a una di queste due posizioni (a causa della finalità di copertura). </w:t>
      </w:r>
    </w:p>
    <w:p w14:paraId="5B5B9C2A" w14:textId="2458473D" w:rsidR="00C55547" w:rsidRPr="002D60D7" w:rsidRDefault="00C55547" w:rsidP="00E172EA">
      <w:pPr>
        <w:pStyle w:val="InstructionsText2"/>
        <w:numPr>
          <w:ilvl w:val="0"/>
          <w:numId w:val="29"/>
        </w:numPr>
        <w:suppressAutoHyphens/>
      </w:pPr>
      <w:r>
        <w:t>In alternativa, le posizioni soggette a un fattore di ponderazione del rischio del 1 250 % possono essere dedotte dal capitale primario di classe 1 (cfr.</w:t>
      </w:r>
      <w:r w:rsidR="00516AD5">
        <w:t> </w:t>
      </w:r>
      <w:r>
        <w:t>l</w:t>
      </w:r>
      <w:r w:rsidR="00516AD5">
        <w:t>'</w:t>
      </w:r>
      <w:r>
        <w:t>articolo 244, paragrafo 1, lettera b), l</w:t>
      </w:r>
      <w:r w:rsidR="00516AD5">
        <w:t>'</w:t>
      </w:r>
      <w:r>
        <w:t>articolo 245, paragrafo 1, lettera b), e l</w:t>
      </w:r>
      <w:r w:rsidR="00516AD5">
        <w:t>'</w:t>
      </w:r>
      <w:r>
        <w:t>articolo 253 del regolamento (UE) n. 575/2013). Tali posizioni sono segnalate in questo modello, anche laddove l</w:t>
      </w:r>
      <w:r w:rsidR="00516AD5">
        <w:t>'</w:t>
      </w:r>
      <w:r>
        <w:t>ente si avvalga della deduzione.</w:t>
      </w:r>
    </w:p>
    <w:p w14:paraId="6482CB53" w14:textId="4A90E23B"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3" w:name="_Toc210920357"/>
      <w:r>
        <w:rPr>
          <w:rFonts w:ascii="Times New Roman" w:hAnsi="Times New Roman"/>
          <w:sz w:val="24"/>
          <w:u w:val="none"/>
        </w:rPr>
        <w:lastRenderedPageBreak/>
        <w:t>4.2.</w:t>
      </w:r>
      <w:r w:rsidRPr="00516AD5">
        <w:rPr>
          <w:u w:val="none"/>
        </w:rPr>
        <w:tab/>
      </w:r>
      <w:r>
        <w:rPr>
          <w:rFonts w:ascii="Times New Roman" w:hAnsi="Times New Roman"/>
          <w:sz w:val="24"/>
        </w:rPr>
        <w:t>Istruzioni relative a posizioni specifiche</w:t>
      </w:r>
      <w:bookmarkEnd w:id="87"/>
      <w:bookmarkEnd w:id="88"/>
      <w:bookmarkEnd w:id="89"/>
      <w:bookmarkEnd w:id="90"/>
      <w:bookmarkEnd w:id="91"/>
      <w:bookmarkEnd w:id="92"/>
      <w:bookmarkEnd w:id="93"/>
    </w:p>
    <w:p w14:paraId="08BF27B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874"/>
      </w:tblGrid>
      <w:tr w:rsidR="00C55547" w:rsidRPr="002D60D7" w14:paraId="05BDB97B" w14:textId="77777777" w:rsidTr="00E10B85">
        <w:trPr>
          <w:trHeight w:val="602"/>
        </w:trPr>
        <w:tc>
          <w:tcPr>
            <w:tcW w:w="8890" w:type="dxa"/>
            <w:gridSpan w:val="2"/>
            <w:shd w:val="clear" w:color="auto" w:fill="CCCCCC"/>
          </w:tcPr>
          <w:p w14:paraId="286354EC"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Colonne</w:t>
            </w:r>
          </w:p>
        </w:tc>
      </w:tr>
      <w:tr w:rsidR="00C55547" w:rsidRPr="002D60D7" w14:paraId="697D3EB6" w14:textId="77777777" w:rsidTr="00E10B85">
        <w:tc>
          <w:tcPr>
            <w:tcW w:w="1016" w:type="dxa"/>
          </w:tcPr>
          <w:p w14:paraId="5A814BB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2D41C5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TUTTE LE POSIZIONI (LUNGHE E CORTE)</w:t>
            </w:r>
          </w:p>
          <w:p w14:paraId="4F3CF7CB" w14:textId="327095E6" w:rsidR="005C14B0" w:rsidRPr="002D60D7" w:rsidRDefault="00C55547" w:rsidP="004C445F">
            <w:pPr>
              <w:suppressAutoHyphens/>
              <w:rPr>
                <w:rFonts w:ascii="Times New Roman" w:hAnsi="Times New Roman"/>
                <w:sz w:val="24"/>
              </w:rPr>
            </w:pPr>
            <w:r>
              <w:rPr>
                <w:rFonts w:ascii="Times New Roman" w:hAnsi="Times New Roman"/>
                <w:sz w:val="24"/>
              </w:rPr>
              <w:t>Articolo 102 e articolo 105, paragrafo 1, del regolamento (UE) n. 575/2013 in combinato disposto con l</w:t>
            </w:r>
            <w:r w:rsidR="00516AD5">
              <w:rPr>
                <w:rFonts w:ascii="Times New Roman" w:hAnsi="Times New Roman"/>
                <w:sz w:val="24"/>
              </w:rPr>
              <w:t>'</w:t>
            </w:r>
            <w:r>
              <w:rPr>
                <w:rFonts w:ascii="Times New Roman" w:hAnsi="Times New Roman"/>
                <w:sz w:val="24"/>
              </w:rPr>
              <w:t>articolo 338, paragrafi 2 e 3, di tale regolamento (posizioni assegnate al portafoglio di negoziazione di correlazione).</w:t>
            </w:r>
          </w:p>
          <w:p w14:paraId="70FB0860" w14:textId="6279783A" w:rsidR="00C55547" w:rsidRPr="002D60D7" w:rsidRDefault="00C55547" w:rsidP="004C445F">
            <w:pPr>
              <w:suppressAutoHyphens/>
              <w:rPr>
                <w:rFonts w:ascii="Times New Roman" w:hAnsi="Times New Roman"/>
                <w:sz w:val="24"/>
              </w:rPr>
            </w:pPr>
            <w:r>
              <w:rPr>
                <w:rFonts w:ascii="Times New Roman" w:hAnsi="Times New Roman"/>
                <w:sz w:val="24"/>
              </w:rPr>
              <w:t>Per la distinzione tra posizioni lunghe e posizioni corte, applicabile anche a queste posizioni lorde, cfr. l</w:t>
            </w:r>
            <w:r w:rsidR="00516AD5">
              <w:rPr>
                <w:rFonts w:ascii="Times New Roman" w:hAnsi="Times New Roman"/>
                <w:sz w:val="24"/>
              </w:rPr>
              <w:t>'</w:t>
            </w:r>
            <w:r>
              <w:rPr>
                <w:rFonts w:ascii="Times New Roman" w:hAnsi="Times New Roman"/>
                <w:sz w:val="24"/>
              </w:rPr>
              <w:t>articolo 328, paragrafo 2, del regolamento (UE) n. 575/2013.</w:t>
            </w:r>
          </w:p>
        </w:tc>
      </w:tr>
      <w:tr w:rsidR="00C55547" w:rsidRPr="002D60D7" w14:paraId="3641769F" w14:textId="77777777" w:rsidTr="00E10B85">
        <w:tc>
          <w:tcPr>
            <w:tcW w:w="1016" w:type="dxa"/>
          </w:tcPr>
          <w:p w14:paraId="04DBC56E"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74" w:type="dxa"/>
          </w:tcPr>
          <w:p w14:paraId="7E31C35B"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 POSIZIONI DEDOTTE DAI FONDI PROPRI (LUNGHE E CORTE)</w:t>
            </w:r>
          </w:p>
          <w:p w14:paraId="56207551" w14:textId="0069D39B" w:rsidR="00C55547" w:rsidRPr="002D60D7" w:rsidRDefault="00C55547" w:rsidP="004C445F">
            <w:pPr>
              <w:suppressAutoHyphens/>
              <w:rPr>
                <w:rFonts w:ascii="Times New Roman" w:hAnsi="Times New Roman"/>
                <w:sz w:val="24"/>
              </w:rPr>
            </w:pPr>
            <w:r>
              <w:rPr>
                <w:rFonts w:ascii="Times New Roman" w:hAnsi="Times New Roman"/>
                <w:sz w:val="24"/>
              </w:rPr>
              <w:t xml:space="preserve">Articolo 253 del regolamento (UE) n. 575/2013 </w:t>
            </w:r>
          </w:p>
        </w:tc>
      </w:tr>
      <w:tr w:rsidR="00C55547" w:rsidRPr="002D60D7" w14:paraId="6E312180" w14:textId="77777777" w:rsidTr="00E10B85">
        <w:tc>
          <w:tcPr>
            <w:tcW w:w="1016" w:type="dxa"/>
          </w:tcPr>
          <w:p w14:paraId="08709592"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74" w:type="dxa"/>
          </w:tcPr>
          <w:p w14:paraId="6226B3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POSIZIONI NETTE (LUNGHE E CORTE)</w:t>
            </w:r>
          </w:p>
          <w:p w14:paraId="01BDDE40" w14:textId="76E789A7" w:rsidR="005C14B0" w:rsidRPr="002D60D7" w:rsidRDefault="00C55547" w:rsidP="004C445F">
            <w:pPr>
              <w:suppressAutoHyphens/>
              <w:rPr>
                <w:rFonts w:ascii="Times New Roman" w:hAnsi="Times New Roman"/>
                <w:sz w:val="24"/>
              </w:rPr>
            </w:pPr>
            <w:r>
              <w:rPr>
                <w:rFonts w:ascii="Times New Roman" w:hAnsi="Times New Roman"/>
                <w:sz w:val="24"/>
              </w:rPr>
              <w:t xml:space="preserve">Articoli 327, 328, 329 e 334 del regolamento (UE) n. 575/2013 </w:t>
            </w:r>
          </w:p>
          <w:p w14:paraId="6C03F093" w14:textId="2E2DB705" w:rsidR="00C55547" w:rsidRPr="002D60D7" w:rsidRDefault="00C55547" w:rsidP="004C445F">
            <w:pPr>
              <w:suppressAutoHyphens/>
              <w:rPr>
                <w:rFonts w:ascii="Times New Roman" w:hAnsi="Times New Roman"/>
                <w:sz w:val="24"/>
              </w:rPr>
            </w:pPr>
            <w:r>
              <w:rPr>
                <w:rFonts w:ascii="Times New Roman" w:hAnsi="Times New Roman"/>
                <w:sz w:val="24"/>
              </w:rPr>
              <w:t>Per la distinzione tra posizioni lunghe e posizioni corte cfr. l</w:t>
            </w:r>
            <w:r w:rsidR="00516AD5">
              <w:rPr>
                <w:rFonts w:ascii="Times New Roman" w:hAnsi="Times New Roman"/>
                <w:sz w:val="24"/>
              </w:rPr>
              <w:t>'</w:t>
            </w:r>
            <w:r>
              <w:rPr>
                <w:rFonts w:ascii="Times New Roman" w:hAnsi="Times New Roman"/>
                <w:sz w:val="24"/>
              </w:rPr>
              <w:t>articolo 328, paragrafo 2, di tale regolamento.</w:t>
            </w:r>
          </w:p>
        </w:tc>
      </w:tr>
      <w:tr w:rsidR="00C55547" w:rsidRPr="002D60D7" w14:paraId="6F83AB99" w14:textId="77777777" w:rsidTr="00E10B85">
        <w:tc>
          <w:tcPr>
            <w:tcW w:w="1016" w:type="dxa"/>
          </w:tcPr>
          <w:p w14:paraId="6DDF2435"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0071-0097</w:t>
            </w:r>
          </w:p>
        </w:tc>
        <w:tc>
          <w:tcPr>
            <w:tcW w:w="7874" w:type="dxa"/>
          </w:tcPr>
          <w:p w14:paraId="247CF712"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RIPARTIZIONE DELLE POSIZIONI NETTE IN BASE AI FATTORI DI PONDERAZIONE DEL RISCHIO</w:t>
            </w:r>
          </w:p>
          <w:p w14:paraId="691F4414" w14:textId="5EA7D9A9" w:rsidR="00C55547" w:rsidRPr="002D60D7" w:rsidRDefault="00133396" w:rsidP="004C445F">
            <w:pPr>
              <w:suppressAutoHyphens/>
              <w:rPr>
                <w:rFonts w:ascii="Times New Roman" w:hAnsi="Times New Roman"/>
                <w:sz w:val="24"/>
              </w:rPr>
            </w:pPr>
            <w:r>
              <w:rPr>
                <w:rStyle w:val="InstructionsTabelleText"/>
                <w:rFonts w:ascii="Times New Roman" w:hAnsi="Times New Roman"/>
                <w:sz w:val="24"/>
              </w:rPr>
              <w:t>Articoli da 259 a 262, tabelle 1 e 2 dell</w:t>
            </w:r>
            <w:r w:rsidR="00516AD5">
              <w:rPr>
                <w:rStyle w:val="InstructionsTabelleText"/>
                <w:rFonts w:ascii="Times New Roman" w:hAnsi="Times New Roman"/>
                <w:sz w:val="24"/>
              </w:rPr>
              <w:t>'</w:t>
            </w:r>
            <w:r>
              <w:rPr>
                <w:rStyle w:val="InstructionsTabelleText"/>
                <w:rFonts w:ascii="Times New Roman" w:hAnsi="Times New Roman"/>
                <w:sz w:val="24"/>
              </w:rPr>
              <w:t>articolo 263, tabelle 3 e 4 dell</w:t>
            </w:r>
            <w:r w:rsidR="00516AD5">
              <w:rPr>
                <w:rStyle w:val="InstructionsTabelleText"/>
                <w:rFonts w:ascii="Times New Roman" w:hAnsi="Times New Roman"/>
                <w:sz w:val="24"/>
              </w:rPr>
              <w:t>'</w:t>
            </w:r>
            <w:r>
              <w:rPr>
                <w:rStyle w:val="InstructionsTabelleText"/>
                <w:rFonts w:ascii="Times New Roman" w:hAnsi="Times New Roman"/>
                <w:sz w:val="24"/>
              </w:rPr>
              <w:t>articolo</w:t>
            </w:r>
            <w:r w:rsidR="00516AD5">
              <w:rPr>
                <w:rStyle w:val="InstructionsTabelleText"/>
                <w:rFonts w:ascii="Times New Roman" w:hAnsi="Times New Roman"/>
                <w:sz w:val="24"/>
              </w:rPr>
              <w:t> </w:t>
            </w:r>
            <w:r>
              <w:rPr>
                <w:rStyle w:val="InstructionsTabelleText"/>
                <w:rFonts w:ascii="Times New Roman" w:hAnsi="Times New Roman"/>
                <w:sz w:val="24"/>
              </w:rPr>
              <w:t xml:space="preserve">264 e articolo 266 </w:t>
            </w:r>
            <w:r>
              <w:rPr>
                <w:rFonts w:ascii="Times New Roman" w:hAnsi="Times New Roman"/>
                <w:sz w:val="24"/>
              </w:rPr>
              <w:t>del regolamento (UE) n. 575/2013.</w:t>
            </w:r>
          </w:p>
        </w:tc>
      </w:tr>
      <w:tr w:rsidR="00C55547" w:rsidRPr="002D60D7" w14:paraId="495D2FD0" w14:textId="77777777" w:rsidTr="00E10B85">
        <w:tc>
          <w:tcPr>
            <w:tcW w:w="1016" w:type="dxa"/>
          </w:tcPr>
          <w:p w14:paraId="295B01D9" w14:textId="77777777" w:rsidR="00C55547" w:rsidRPr="002D60D7" w:rsidRDefault="002F79EA" w:rsidP="004C445F">
            <w:pPr>
              <w:suppressAutoHyphens/>
              <w:rPr>
                <w:rFonts w:ascii="Times New Roman" w:hAnsi="Times New Roman"/>
                <w:sz w:val="24"/>
              </w:rPr>
            </w:pPr>
            <w:r>
              <w:rPr>
                <w:rFonts w:ascii="Times New Roman" w:hAnsi="Times New Roman"/>
                <w:sz w:val="24"/>
              </w:rPr>
              <w:t>0402-0406</w:t>
            </w:r>
          </w:p>
        </w:tc>
        <w:tc>
          <w:tcPr>
            <w:tcW w:w="7874" w:type="dxa"/>
          </w:tcPr>
          <w:p w14:paraId="23629FA6" w14:textId="77777777" w:rsidR="00C55547" w:rsidRPr="002D60D7" w:rsidRDefault="00543964"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RIPARTIZIONE DELLE POSIZIONI NETTE IN BASE AI METODI</w:t>
            </w:r>
          </w:p>
          <w:p w14:paraId="19937787" w14:textId="465ADE79" w:rsidR="00C55547" w:rsidRPr="002D60D7" w:rsidRDefault="00C55547" w:rsidP="004C445F">
            <w:pPr>
              <w:suppressAutoHyphens/>
              <w:autoSpaceDE w:val="0"/>
              <w:autoSpaceDN w:val="0"/>
              <w:adjustRightInd w:val="0"/>
              <w:spacing w:before="0" w:after="0"/>
              <w:rPr>
                <w:rStyle w:val="InstructionsTabelleberschrift"/>
                <w:rFonts w:ascii="Times New Roman" w:hAnsi="Times New Roman"/>
                <w:sz w:val="24"/>
              </w:rPr>
            </w:pPr>
            <w:r>
              <w:rPr>
                <w:rStyle w:val="InstructionsTabelleText"/>
                <w:rFonts w:ascii="Times New Roman" w:hAnsi="Times New Roman"/>
                <w:sz w:val="24"/>
              </w:rPr>
              <w:t xml:space="preserve">Articolo 254 </w:t>
            </w:r>
            <w:r>
              <w:rPr>
                <w:rFonts w:ascii="Times New Roman" w:hAnsi="Times New Roman"/>
                <w:sz w:val="24"/>
              </w:rPr>
              <w:t>del regolamento (UE) n. 575/2013</w:t>
            </w:r>
            <w:r>
              <w:rPr>
                <w:rStyle w:val="InstructionsTabelleText"/>
                <w:rFonts w:ascii="Times New Roman" w:hAnsi="Times New Roman"/>
                <w:sz w:val="24"/>
              </w:rPr>
              <w:t xml:space="preserve"> </w:t>
            </w:r>
          </w:p>
        </w:tc>
      </w:tr>
      <w:tr w:rsidR="00C55547" w:rsidRPr="002D60D7" w14:paraId="18FE6247" w14:textId="77777777" w:rsidTr="00E10B85">
        <w:tc>
          <w:tcPr>
            <w:tcW w:w="1016" w:type="dxa"/>
          </w:tcPr>
          <w:p w14:paraId="17001A21" w14:textId="77777777" w:rsidR="00C55547" w:rsidRPr="002D60D7" w:rsidRDefault="002F79EA" w:rsidP="004C445F">
            <w:pPr>
              <w:suppressAutoHyphens/>
              <w:rPr>
                <w:rFonts w:ascii="Times New Roman" w:hAnsi="Times New Roman"/>
                <w:sz w:val="24"/>
              </w:rPr>
            </w:pPr>
            <w:r>
              <w:rPr>
                <w:rFonts w:ascii="Times New Roman" w:hAnsi="Times New Roman"/>
                <w:sz w:val="24"/>
              </w:rPr>
              <w:t>0402</w:t>
            </w:r>
          </w:p>
        </w:tc>
        <w:tc>
          <w:tcPr>
            <w:tcW w:w="7874" w:type="dxa"/>
          </w:tcPr>
          <w:p w14:paraId="79F7161D"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SEC-IRBA</w:t>
            </w:r>
          </w:p>
          <w:p w14:paraId="1718443C" w14:textId="27159510"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Articoli 259 e 260 </w:t>
            </w:r>
            <w:r>
              <w:rPr>
                <w:rFonts w:ascii="Times New Roman" w:hAnsi="Times New Roman"/>
                <w:sz w:val="24"/>
              </w:rPr>
              <w:t>del regolamento (UE) n. 575/2013</w:t>
            </w:r>
          </w:p>
        </w:tc>
      </w:tr>
      <w:tr w:rsidR="00C55547" w:rsidRPr="002D60D7" w14:paraId="35656008" w14:textId="77777777" w:rsidTr="00E10B85">
        <w:tc>
          <w:tcPr>
            <w:tcW w:w="1016" w:type="dxa"/>
          </w:tcPr>
          <w:p w14:paraId="720D0546" w14:textId="77777777" w:rsidR="00C55547" w:rsidRPr="002D60D7" w:rsidRDefault="002F79EA" w:rsidP="004C445F">
            <w:pPr>
              <w:suppressAutoHyphens/>
              <w:rPr>
                <w:rFonts w:ascii="Times New Roman" w:hAnsi="Times New Roman"/>
                <w:sz w:val="24"/>
              </w:rPr>
            </w:pPr>
            <w:r>
              <w:rPr>
                <w:rFonts w:ascii="Times New Roman" w:hAnsi="Times New Roman"/>
                <w:sz w:val="24"/>
              </w:rPr>
              <w:t>0403</w:t>
            </w:r>
          </w:p>
        </w:tc>
        <w:tc>
          <w:tcPr>
            <w:tcW w:w="7874" w:type="dxa"/>
          </w:tcPr>
          <w:p w14:paraId="78903335"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SEC-SA</w:t>
            </w:r>
          </w:p>
          <w:p w14:paraId="4F095DEE" w14:textId="02044DC6"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Articoli 261 e 262 </w:t>
            </w:r>
            <w:r>
              <w:rPr>
                <w:rFonts w:ascii="Times New Roman" w:hAnsi="Times New Roman"/>
                <w:sz w:val="24"/>
              </w:rPr>
              <w:t>del regolamento (UE) n. 575/2013</w:t>
            </w:r>
          </w:p>
        </w:tc>
      </w:tr>
      <w:tr w:rsidR="00C55547" w:rsidRPr="002D60D7" w14:paraId="7B54B7CF" w14:textId="77777777" w:rsidTr="00E10B85">
        <w:tc>
          <w:tcPr>
            <w:tcW w:w="1016" w:type="dxa"/>
          </w:tcPr>
          <w:p w14:paraId="0D21F451" w14:textId="77777777" w:rsidR="00C55547" w:rsidRPr="002D60D7" w:rsidRDefault="002F79EA" w:rsidP="004C445F">
            <w:pPr>
              <w:suppressAutoHyphens/>
              <w:rPr>
                <w:rFonts w:ascii="Times New Roman" w:hAnsi="Times New Roman"/>
                <w:sz w:val="24"/>
              </w:rPr>
            </w:pPr>
            <w:r>
              <w:rPr>
                <w:rFonts w:ascii="Times New Roman" w:hAnsi="Times New Roman"/>
                <w:sz w:val="24"/>
              </w:rPr>
              <w:t>0404</w:t>
            </w:r>
          </w:p>
        </w:tc>
        <w:tc>
          <w:tcPr>
            <w:tcW w:w="7874" w:type="dxa"/>
          </w:tcPr>
          <w:p w14:paraId="6AA67FFF"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SEC-ERBA</w:t>
            </w:r>
          </w:p>
          <w:p w14:paraId="108938CD" w14:textId="7A2858ED"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Articoli 263 e 264 </w:t>
            </w:r>
            <w:r>
              <w:rPr>
                <w:rFonts w:ascii="Times New Roman" w:hAnsi="Times New Roman"/>
                <w:sz w:val="24"/>
              </w:rPr>
              <w:t>del regolamento (UE) n. 575/2013</w:t>
            </w:r>
          </w:p>
        </w:tc>
      </w:tr>
      <w:tr w:rsidR="00C55547" w:rsidRPr="002D60D7" w14:paraId="7979A32D" w14:textId="77777777" w:rsidTr="00E10B85">
        <w:tc>
          <w:tcPr>
            <w:tcW w:w="1016" w:type="dxa"/>
          </w:tcPr>
          <w:p w14:paraId="7C1C67E6" w14:textId="77777777" w:rsidR="00C55547" w:rsidRPr="002D60D7" w:rsidRDefault="002F79EA" w:rsidP="004C445F">
            <w:pPr>
              <w:suppressAutoHyphens/>
              <w:rPr>
                <w:rFonts w:ascii="Times New Roman" w:hAnsi="Times New Roman"/>
                <w:sz w:val="24"/>
              </w:rPr>
            </w:pPr>
            <w:r>
              <w:rPr>
                <w:rFonts w:ascii="Times New Roman" w:hAnsi="Times New Roman"/>
                <w:sz w:val="24"/>
              </w:rPr>
              <w:t>0405</w:t>
            </w:r>
          </w:p>
        </w:tc>
        <w:tc>
          <w:tcPr>
            <w:tcW w:w="7874" w:type="dxa"/>
          </w:tcPr>
          <w:p w14:paraId="68CACB61" w14:textId="77777777"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METODO DELLA VALUTAZIONE INTERNA</w:t>
            </w:r>
          </w:p>
          <w:p w14:paraId="46E92693" w14:textId="2A1B6CC7"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Articoli 254 e 265 e articolo 266, paragrafo 5, </w:t>
            </w:r>
            <w:r>
              <w:rPr>
                <w:rFonts w:ascii="Times New Roman" w:hAnsi="Times New Roman"/>
                <w:sz w:val="24"/>
              </w:rPr>
              <w:t>del regolamento (UE) n. 575/2013</w:t>
            </w:r>
          </w:p>
        </w:tc>
      </w:tr>
      <w:tr w:rsidR="00A97C62" w:rsidRPr="002D60D7" w14:paraId="412C0D2A" w14:textId="77777777" w:rsidTr="00E10B85">
        <w:tc>
          <w:tcPr>
            <w:tcW w:w="1016" w:type="dxa"/>
          </w:tcPr>
          <w:p w14:paraId="184EAC6C" w14:textId="26696219" w:rsidR="00A97C62" w:rsidRPr="002D60D7" w:rsidRDefault="00A97C62" w:rsidP="004C445F">
            <w:pPr>
              <w:suppressAutoHyphens/>
              <w:rPr>
                <w:rFonts w:ascii="Times New Roman" w:hAnsi="Times New Roman"/>
                <w:sz w:val="24"/>
              </w:rPr>
            </w:pPr>
            <w:r>
              <w:rPr>
                <w:rFonts w:ascii="Times New Roman" w:hAnsi="Times New Roman"/>
                <w:sz w:val="24"/>
              </w:rPr>
              <w:t>0900</w:t>
            </w:r>
          </w:p>
        </w:tc>
        <w:tc>
          <w:tcPr>
            <w:tcW w:w="7874" w:type="dxa"/>
          </w:tcPr>
          <w:p w14:paraId="33E51780" w14:textId="77777777" w:rsidR="00A97C62" w:rsidRPr="002D60D7" w:rsidRDefault="00A97C62" w:rsidP="004C445F">
            <w:pPr>
              <w:suppressAutoHyphens/>
              <w:spacing w:before="0" w:after="0"/>
              <w:jc w:val="left"/>
              <w:rPr>
                <w:rFonts w:ascii="Times New Roman" w:hAnsi="Times New Roman"/>
                <w:b/>
                <w:sz w:val="24"/>
                <w:u w:val="single"/>
              </w:rPr>
            </w:pPr>
            <w:r>
              <w:rPr>
                <w:rFonts w:ascii="Times New Roman" w:hAnsi="Times New Roman"/>
                <w:b/>
                <w:sz w:val="24"/>
                <w:u w:val="single"/>
              </w:rPr>
              <w:t>TRATTAMENTO SPECIFICO PER I SEGMENTI SENIOR DELLE CARTOLARIZZAZIONI AMMISSIBILI DI ESPOSIZIONI DETERIORATE</w:t>
            </w:r>
          </w:p>
          <w:p w14:paraId="1D397AE3" w14:textId="76C348BD" w:rsidR="00A97C62" w:rsidRPr="002D60D7" w:rsidRDefault="00A97C62" w:rsidP="004C445F">
            <w:pPr>
              <w:suppressAutoHyphens/>
              <w:autoSpaceDE w:val="0"/>
              <w:autoSpaceDN w:val="0"/>
              <w:adjustRightInd w:val="0"/>
              <w:jc w:val="left"/>
              <w:rPr>
                <w:rFonts w:ascii="Times New Roman" w:hAnsi="Times New Roman"/>
                <w:b/>
                <w:bCs/>
                <w:sz w:val="24"/>
                <w:u w:val="single"/>
              </w:rPr>
            </w:pPr>
            <w:r>
              <w:rPr>
                <w:rFonts w:ascii="Times New Roman" w:hAnsi="Times New Roman"/>
                <w:sz w:val="24"/>
              </w:rPr>
              <w:t xml:space="preserve">Articolo </w:t>
            </w:r>
            <w:r>
              <w:rPr>
                <w:rStyle w:val="InstructionsTabelleText"/>
                <w:rFonts w:ascii="Times New Roman" w:hAnsi="Times New Roman"/>
                <w:sz w:val="24"/>
              </w:rPr>
              <w:t xml:space="preserve">269 bis, </w:t>
            </w:r>
            <w:r>
              <w:rPr>
                <w:rFonts w:ascii="Times New Roman" w:hAnsi="Times New Roman"/>
                <w:sz w:val="24"/>
              </w:rPr>
              <w:t>paragrafo 3, del regolamento (UE) n. 575/2013</w:t>
            </w:r>
          </w:p>
        </w:tc>
      </w:tr>
      <w:tr w:rsidR="00C55547" w:rsidRPr="002D60D7" w14:paraId="5C0D49CC" w14:textId="77777777" w:rsidTr="00E10B85">
        <w:tc>
          <w:tcPr>
            <w:tcW w:w="1016" w:type="dxa"/>
          </w:tcPr>
          <w:p w14:paraId="4A75E404" w14:textId="77777777" w:rsidR="00C55547" w:rsidRPr="002D60D7" w:rsidRDefault="002F79EA" w:rsidP="004C445F">
            <w:pPr>
              <w:suppressAutoHyphens/>
              <w:rPr>
                <w:rFonts w:ascii="Times New Roman" w:hAnsi="Times New Roman"/>
                <w:sz w:val="24"/>
              </w:rPr>
            </w:pPr>
            <w:r>
              <w:rPr>
                <w:rFonts w:ascii="Times New Roman" w:hAnsi="Times New Roman"/>
                <w:sz w:val="24"/>
              </w:rPr>
              <w:lastRenderedPageBreak/>
              <w:t>0406</w:t>
            </w:r>
          </w:p>
        </w:tc>
        <w:tc>
          <w:tcPr>
            <w:tcW w:w="7874" w:type="dxa"/>
          </w:tcPr>
          <w:p w14:paraId="27B9523C" w14:textId="26593451" w:rsidR="00C55547" w:rsidRPr="002D60D7" w:rsidRDefault="00C55547"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ALTRO (RW = 1 250 %)</w:t>
            </w:r>
          </w:p>
          <w:p w14:paraId="0B94870A" w14:textId="0A4BBAC5" w:rsidR="00C55547" w:rsidRPr="002D60D7" w:rsidRDefault="00C55547" w:rsidP="004C445F">
            <w:pPr>
              <w:suppressAutoHyphens/>
              <w:autoSpaceDE w:val="0"/>
              <w:autoSpaceDN w:val="0"/>
              <w:adjustRightInd w:val="0"/>
              <w:jc w:val="left"/>
              <w:rPr>
                <w:rStyle w:val="InstructionsTabelleberschrift"/>
                <w:rFonts w:ascii="Times New Roman" w:hAnsi="Times New Roman"/>
                <w:sz w:val="24"/>
              </w:rPr>
            </w:pPr>
            <w:r>
              <w:rPr>
                <w:rStyle w:val="InstructionsTabelleText"/>
                <w:rFonts w:ascii="Times New Roman" w:hAnsi="Times New Roman"/>
                <w:sz w:val="24"/>
              </w:rPr>
              <w:t xml:space="preserve">Articolo 254, paragrafo 7, </w:t>
            </w:r>
            <w:r>
              <w:rPr>
                <w:rFonts w:ascii="Times New Roman" w:hAnsi="Times New Roman"/>
                <w:sz w:val="24"/>
              </w:rPr>
              <w:t>del regolamento (UE) n. 575/2013</w:t>
            </w:r>
          </w:p>
        </w:tc>
      </w:tr>
      <w:tr w:rsidR="00C55547" w:rsidRPr="002D60D7" w14:paraId="16A48520" w14:textId="77777777" w:rsidTr="00E10B85">
        <w:tc>
          <w:tcPr>
            <w:tcW w:w="1016" w:type="dxa"/>
          </w:tcPr>
          <w:p w14:paraId="04D4F5AC" w14:textId="77777777" w:rsidR="00C55547" w:rsidRPr="002D60D7" w:rsidRDefault="002F79EA" w:rsidP="004C445F">
            <w:pPr>
              <w:suppressAutoHyphens/>
              <w:rPr>
                <w:rFonts w:ascii="Times New Roman" w:hAnsi="Times New Roman"/>
                <w:sz w:val="24"/>
              </w:rPr>
            </w:pPr>
            <w:r>
              <w:rPr>
                <w:rFonts w:ascii="Times New Roman" w:hAnsi="Times New Roman"/>
                <w:sz w:val="24"/>
              </w:rPr>
              <w:t>0410-0420</w:t>
            </w:r>
          </w:p>
        </w:tc>
        <w:tc>
          <w:tcPr>
            <w:tcW w:w="7874" w:type="dxa"/>
          </w:tcPr>
          <w:p w14:paraId="78E183CC" w14:textId="04CED2CE"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PRIMA DELL</w:t>
            </w:r>
            <w:r w:rsidR="00516AD5">
              <w:rPr>
                <w:rStyle w:val="InstructionsTabelleberschrift"/>
                <w:rFonts w:ascii="Times New Roman" w:hAnsi="Times New Roman"/>
                <w:sz w:val="24"/>
              </w:rPr>
              <w:t>'</w:t>
            </w:r>
            <w:r>
              <w:rPr>
                <w:rStyle w:val="InstructionsTabelleberschrift"/>
                <w:rFonts w:ascii="Times New Roman" w:hAnsi="Times New Roman"/>
                <w:sz w:val="24"/>
              </w:rPr>
              <w:t>APPLICAZIONE DEL MASSIMALE - POSIZIONI NETTE LUNGHE/CORTE PONDERATE</w:t>
            </w:r>
          </w:p>
          <w:p w14:paraId="7E8A31C6" w14:textId="1702DADE" w:rsidR="00C55547" w:rsidRPr="002D60D7" w:rsidRDefault="00C55547" w:rsidP="004C445F">
            <w:pPr>
              <w:suppressAutoHyphens/>
              <w:rPr>
                <w:rFonts w:ascii="Times New Roman" w:hAnsi="Times New Roman"/>
                <w:sz w:val="24"/>
              </w:rPr>
            </w:pPr>
            <w:r>
              <w:rPr>
                <w:rFonts w:ascii="Times New Roman" w:hAnsi="Times New Roman"/>
                <w:sz w:val="24"/>
              </w:rPr>
              <w:t>Articolo 338 del regolamento (UE) n. 575/2013, senza tenere conto della facoltà di cui all</w:t>
            </w:r>
            <w:r w:rsidR="00516AD5">
              <w:rPr>
                <w:rFonts w:ascii="Times New Roman" w:hAnsi="Times New Roman"/>
                <w:sz w:val="24"/>
              </w:rPr>
              <w:t>'</w:t>
            </w:r>
            <w:r>
              <w:rPr>
                <w:rFonts w:ascii="Times New Roman" w:hAnsi="Times New Roman"/>
                <w:sz w:val="24"/>
              </w:rPr>
              <w:t xml:space="preserve">articolo 335 di tale regolamento </w:t>
            </w:r>
          </w:p>
        </w:tc>
      </w:tr>
      <w:tr w:rsidR="00C55547" w:rsidRPr="002D60D7" w14:paraId="566ACCB3" w14:textId="77777777" w:rsidTr="00E10B85">
        <w:tc>
          <w:tcPr>
            <w:tcW w:w="1016" w:type="dxa"/>
          </w:tcPr>
          <w:p w14:paraId="4093CA68" w14:textId="77777777" w:rsidR="00C55547" w:rsidRPr="002D60D7" w:rsidRDefault="002F79EA" w:rsidP="004C445F">
            <w:pPr>
              <w:suppressAutoHyphens/>
              <w:rPr>
                <w:rFonts w:ascii="Times New Roman" w:hAnsi="Times New Roman"/>
                <w:sz w:val="24"/>
              </w:rPr>
            </w:pPr>
            <w:r>
              <w:rPr>
                <w:rFonts w:ascii="Times New Roman" w:hAnsi="Times New Roman"/>
                <w:sz w:val="24"/>
              </w:rPr>
              <w:t>0430-0440</w:t>
            </w:r>
          </w:p>
        </w:tc>
        <w:tc>
          <w:tcPr>
            <w:tcW w:w="7874" w:type="dxa"/>
          </w:tcPr>
          <w:p w14:paraId="00C8D0F3" w14:textId="2050B8F6"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DOPO L</w:t>
            </w:r>
            <w:r w:rsidR="00516AD5">
              <w:rPr>
                <w:rStyle w:val="InstructionsTabelleberschrift"/>
                <w:rFonts w:ascii="Times New Roman" w:hAnsi="Times New Roman"/>
                <w:sz w:val="24"/>
              </w:rPr>
              <w:t>'</w:t>
            </w:r>
            <w:r>
              <w:rPr>
                <w:rStyle w:val="InstructionsTabelleberschrift"/>
                <w:rFonts w:ascii="Times New Roman" w:hAnsi="Times New Roman"/>
                <w:sz w:val="24"/>
              </w:rPr>
              <w:t>APPLICAZIONE DEL MASSIMALE - POSIZIONI NETTE LUNGHE/CORTE PONDERATE</w:t>
            </w:r>
          </w:p>
          <w:p w14:paraId="3304B399" w14:textId="1AF1682A" w:rsidR="00C55547" w:rsidRPr="002D60D7" w:rsidRDefault="00C55547" w:rsidP="004C445F">
            <w:pPr>
              <w:suppressAutoHyphens/>
              <w:rPr>
                <w:rFonts w:ascii="Times New Roman" w:hAnsi="Times New Roman"/>
                <w:sz w:val="24"/>
              </w:rPr>
            </w:pPr>
            <w:r>
              <w:rPr>
                <w:rFonts w:ascii="Times New Roman" w:hAnsi="Times New Roman"/>
                <w:sz w:val="24"/>
              </w:rPr>
              <w:t>Articolo 338 del regolamento (UE) n. 575/2013, tenendo conto della facoltà di cui all</w:t>
            </w:r>
            <w:r w:rsidR="00516AD5">
              <w:rPr>
                <w:rFonts w:ascii="Times New Roman" w:hAnsi="Times New Roman"/>
                <w:sz w:val="24"/>
              </w:rPr>
              <w:t>'</w:t>
            </w:r>
            <w:r>
              <w:rPr>
                <w:rFonts w:ascii="Times New Roman" w:hAnsi="Times New Roman"/>
                <w:sz w:val="24"/>
              </w:rPr>
              <w:t xml:space="preserve">articolo 335 di tale regolamento </w:t>
            </w:r>
          </w:p>
        </w:tc>
      </w:tr>
      <w:tr w:rsidR="00C55547" w:rsidRPr="002D60D7" w14:paraId="23063B74" w14:textId="77777777" w:rsidTr="00E10B85">
        <w:tc>
          <w:tcPr>
            <w:tcW w:w="1016" w:type="dxa"/>
          </w:tcPr>
          <w:p w14:paraId="5A3BC562" w14:textId="77777777" w:rsidR="00C55547" w:rsidRPr="002D60D7" w:rsidRDefault="002F79EA" w:rsidP="004C445F">
            <w:pPr>
              <w:suppressAutoHyphens/>
              <w:rPr>
                <w:rFonts w:ascii="Times New Roman" w:hAnsi="Times New Roman"/>
                <w:sz w:val="24"/>
              </w:rPr>
            </w:pPr>
            <w:r>
              <w:rPr>
                <w:rFonts w:ascii="Times New Roman" w:hAnsi="Times New Roman"/>
                <w:sz w:val="24"/>
              </w:rPr>
              <w:t>0450</w:t>
            </w:r>
          </w:p>
        </w:tc>
        <w:tc>
          <w:tcPr>
            <w:tcW w:w="7874" w:type="dxa"/>
          </w:tcPr>
          <w:p w14:paraId="4210145F"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REQUISITI DI FONDI PROPRI TOTALI</w:t>
            </w:r>
          </w:p>
          <w:p w14:paraId="58A6824C" w14:textId="7AE8FACA" w:rsidR="00733F21" w:rsidRPr="002D60D7" w:rsidRDefault="00C55547" w:rsidP="004C445F">
            <w:pPr>
              <w:suppressAutoHyphens/>
              <w:rPr>
                <w:rFonts w:ascii="Times New Roman" w:hAnsi="Times New Roman"/>
                <w:sz w:val="24"/>
              </w:rPr>
            </w:pPr>
            <w:r>
              <w:rPr>
                <w:rFonts w:ascii="Times New Roman" w:hAnsi="Times New Roman"/>
                <w:sz w:val="24"/>
              </w:rPr>
              <w:t>Il requisito di fondi propri è il valore maggiore tra:</w:t>
            </w:r>
          </w:p>
          <w:p w14:paraId="6F610485" w14:textId="33CC9A69" w:rsidR="00733F21" w:rsidRPr="002D60D7" w:rsidRDefault="00A92865" w:rsidP="004C445F">
            <w:pPr>
              <w:suppressAutoHyphens/>
              <w:rPr>
                <w:rFonts w:ascii="Times New Roman" w:hAnsi="Times New Roman"/>
                <w:sz w:val="24"/>
              </w:rPr>
            </w:pPr>
            <w:r>
              <w:rPr>
                <w:rFonts w:ascii="Times New Roman" w:hAnsi="Times New Roman"/>
                <w:sz w:val="24"/>
              </w:rPr>
              <w:t>a) la copertura patrimoniale per il rischio specifico che si applica solo alle posizioni nette lunghe (colonna 0430);</w:t>
            </w:r>
          </w:p>
          <w:p w14:paraId="7DEA5D32" w14:textId="370772D1" w:rsidR="00C55547" w:rsidRPr="002D60D7" w:rsidRDefault="00A92865" w:rsidP="004C445F">
            <w:pPr>
              <w:suppressAutoHyphens/>
              <w:rPr>
                <w:rFonts w:ascii="Times New Roman" w:hAnsi="Times New Roman"/>
                <w:sz w:val="24"/>
              </w:rPr>
            </w:pPr>
            <w:r>
              <w:rPr>
                <w:rFonts w:ascii="Times New Roman" w:hAnsi="Times New Roman"/>
                <w:sz w:val="24"/>
              </w:rPr>
              <w:t>b) la copertura patrimoniale per il rischio specifico che si applica solo alle posizioni nette corte (colonna 0440).</w:t>
            </w:r>
          </w:p>
        </w:tc>
      </w:tr>
      <w:tr w:rsidR="00A92865" w:rsidRPr="002D60D7" w14:paraId="17D4431B" w14:textId="77777777" w:rsidTr="00E10B85">
        <w:tc>
          <w:tcPr>
            <w:tcW w:w="1016" w:type="dxa"/>
          </w:tcPr>
          <w:p w14:paraId="3DE8C69F" w14:textId="77777777" w:rsidR="00A92865" w:rsidRPr="002D60D7" w:rsidRDefault="00A92865" w:rsidP="004C445F">
            <w:pPr>
              <w:suppressAutoHyphens/>
              <w:rPr>
                <w:rFonts w:ascii="Times New Roman" w:hAnsi="Times New Roman"/>
                <w:sz w:val="24"/>
              </w:rPr>
            </w:pPr>
          </w:p>
        </w:tc>
        <w:tc>
          <w:tcPr>
            <w:tcW w:w="7874" w:type="dxa"/>
          </w:tcPr>
          <w:p w14:paraId="26189336" w14:textId="77777777" w:rsidR="00A92865" w:rsidRPr="002D60D7" w:rsidRDefault="00A92865" w:rsidP="004C445F">
            <w:pPr>
              <w:suppressAutoHyphens/>
              <w:rPr>
                <w:rStyle w:val="InstructionsTabelleberschrift"/>
                <w:rFonts w:ascii="Times New Roman" w:hAnsi="Times New Roman"/>
                <w:sz w:val="24"/>
              </w:rPr>
            </w:pPr>
          </w:p>
        </w:tc>
      </w:tr>
    </w:tbl>
    <w:p w14:paraId="4123A762"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p w14:paraId="0FD93711" w14:textId="77777777" w:rsidR="00C55547" w:rsidRPr="002D60D7" w:rsidRDefault="00C55547"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C55547" w:rsidRPr="002D60D7" w14:paraId="0C05A0C6" w14:textId="77777777" w:rsidTr="00E10B85">
        <w:trPr>
          <w:trHeight w:val="642"/>
        </w:trPr>
        <w:tc>
          <w:tcPr>
            <w:tcW w:w="9212" w:type="dxa"/>
            <w:gridSpan w:val="2"/>
            <w:shd w:val="clear" w:color="auto" w:fill="CCCCCC"/>
          </w:tcPr>
          <w:p w14:paraId="1B224033" w14:textId="77777777" w:rsidR="00C55547" w:rsidRPr="002D60D7" w:rsidRDefault="00C55547"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Righe</w:t>
            </w:r>
          </w:p>
        </w:tc>
      </w:tr>
      <w:tr w:rsidR="00C55547" w:rsidRPr="002D60D7" w14:paraId="51303CB0" w14:textId="77777777" w:rsidTr="00E10B85">
        <w:tc>
          <w:tcPr>
            <w:tcW w:w="1008" w:type="dxa"/>
          </w:tcPr>
          <w:p w14:paraId="4EF580E7"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8204" w:type="dxa"/>
          </w:tcPr>
          <w:p w14:paraId="3B5F07DE"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ESPOSIZIONI TOTALI</w:t>
            </w:r>
          </w:p>
          <w:p w14:paraId="47BDA358" w14:textId="3CDC430C" w:rsidR="00C55547" w:rsidRPr="002D60D7" w:rsidRDefault="00C55547" w:rsidP="004C445F">
            <w:pPr>
              <w:suppressAutoHyphens/>
              <w:rPr>
                <w:rFonts w:ascii="Times New Roman" w:hAnsi="Times New Roman"/>
                <w:sz w:val="24"/>
              </w:rPr>
            </w:pPr>
            <w:r>
              <w:rPr>
                <w:rFonts w:ascii="Times New Roman" w:hAnsi="Times New Roman"/>
                <w:sz w:val="24"/>
              </w:rPr>
              <w:t>Importo complessivo delle posizioni in essere (detenute nel portafoglio di negoziazione di correlazione) segnalate dall</w:t>
            </w:r>
            <w:r w:rsidR="00516AD5">
              <w:rPr>
                <w:rFonts w:ascii="Times New Roman" w:hAnsi="Times New Roman"/>
                <w:sz w:val="24"/>
              </w:rPr>
              <w:t>'</w:t>
            </w:r>
            <w:r>
              <w:rPr>
                <w:rFonts w:ascii="Times New Roman" w:hAnsi="Times New Roman"/>
                <w:sz w:val="24"/>
              </w:rPr>
              <w:t>ente nel suo ruolo di cedente, investitore o promotore.</w:t>
            </w:r>
          </w:p>
        </w:tc>
      </w:tr>
      <w:tr w:rsidR="00C55547" w:rsidRPr="002D60D7" w14:paraId="4F9E3B66" w14:textId="77777777" w:rsidTr="00E10B85">
        <w:tc>
          <w:tcPr>
            <w:tcW w:w="1008" w:type="dxa"/>
          </w:tcPr>
          <w:p w14:paraId="4294FDFC"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0020-0040</w:t>
            </w:r>
          </w:p>
        </w:tc>
        <w:tc>
          <w:tcPr>
            <w:tcW w:w="8204" w:type="dxa"/>
          </w:tcPr>
          <w:p w14:paraId="68E0826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CEDENTE</w:t>
            </w:r>
          </w:p>
          <w:p w14:paraId="07F7FC7F" w14:textId="691C5D11" w:rsidR="00C55547" w:rsidRPr="002D60D7" w:rsidRDefault="00C55547" w:rsidP="004C445F">
            <w:pPr>
              <w:suppressAutoHyphens/>
              <w:rPr>
                <w:rFonts w:ascii="Times New Roman" w:hAnsi="Times New Roman"/>
                <w:sz w:val="24"/>
              </w:rPr>
            </w:pPr>
            <w:r>
              <w:rPr>
                <w:rFonts w:ascii="Times New Roman" w:hAnsi="Times New Roman"/>
                <w:sz w:val="24"/>
              </w:rPr>
              <w:t xml:space="preserve">Articolo 4, paragrafo 1, punto 13), del regolamento (UE) n. 575/2013 </w:t>
            </w:r>
          </w:p>
        </w:tc>
      </w:tr>
      <w:tr w:rsidR="00C55547" w:rsidRPr="002D60D7" w14:paraId="1113CFCE" w14:textId="77777777" w:rsidTr="00E10B85">
        <w:tc>
          <w:tcPr>
            <w:tcW w:w="1008" w:type="dxa"/>
          </w:tcPr>
          <w:p w14:paraId="045998CB"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0050-0070</w:t>
            </w:r>
          </w:p>
        </w:tc>
        <w:tc>
          <w:tcPr>
            <w:tcW w:w="8204" w:type="dxa"/>
          </w:tcPr>
          <w:p w14:paraId="7C4743F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INVESTITORE</w:t>
            </w:r>
          </w:p>
          <w:p w14:paraId="5507389D" w14:textId="7D029B42" w:rsidR="00C55547" w:rsidRPr="002D60D7" w:rsidRDefault="00C55547" w:rsidP="004C445F">
            <w:pPr>
              <w:suppressAutoHyphens/>
              <w:rPr>
                <w:rFonts w:ascii="Times New Roman" w:hAnsi="Times New Roman"/>
                <w:sz w:val="24"/>
              </w:rPr>
            </w:pPr>
            <w:r>
              <w:rPr>
                <w:rFonts w:ascii="Times New Roman" w:hAnsi="Times New Roman"/>
                <w:sz w:val="24"/>
              </w:rPr>
              <w:t>Ente creditizio che detiene una posizione verso la cartolarizzazione in un</w:t>
            </w:r>
            <w:r w:rsidR="00516AD5">
              <w:rPr>
                <w:rFonts w:ascii="Times New Roman" w:hAnsi="Times New Roman"/>
                <w:sz w:val="24"/>
              </w:rPr>
              <w:t>'</w:t>
            </w:r>
            <w:r>
              <w:rPr>
                <w:rFonts w:ascii="Times New Roman" w:hAnsi="Times New Roman"/>
                <w:sz w:val="24"/>
              </w:rPr>
              <w:t>operazione di cartolarizzazione nella quale non è né il cedente né il promotore né il prestatore originario.</w:t>
            </w:r>
          </w:p>
        </w:tc>
      </w:tr>
      <w:tr w:rsidR="00C55547" w:rsidRPr="002D60D7" w14:paraId="3AE4557E" w14:textId="77777777" w:rsidTr="00E10B85">
        <w:tc>
          <w:tcPr>
            <w:tcW w:w="1008" w:type="dxa"/>
          </w:tcPr>
          <w:p w14:paraId="4017D3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0080-0100</w:t>
            </w:r>
          </w:p>
        </w:tc>
        <w:tc>
          <w:tcPr>
            <w:tcW w:w="8204" w:type="dxa"/>
          </w:tcPr>
          <w:p w14:paraId="6D18A74A"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PROMOTORE</w:t>
            </w:r>
          </w:p>
          <w:p w14:paraId="65D6B605" w14:textId="5119F0DC" w:rsidR="005C14B0" w:rsidRPr="002D60D7" w:rsidRDefault="00E64BFE" w:rsidP="004C445F">
            <w:pPr>
              <w:suppressAutoHyphens/>
              <w:rPr>
                <w:rFonts w:ascii="Times New Roman" w:hAnsi="Times New Roman"/>
                <w:sz w:val="24"/>
              </w:rPr>
            </w:pPr>
            <w:r>
              <w:rPr>
                <w:rFonts w:ascii="Times New Roman" w:hAnsi="Times New Roman"/>
                <w:sz w:val="24"/>
              </w:rPr>
              <w:t xml:space="preserve">Articolo 4, paragrafo 1, punto 14), del regolamento (UE) n. 575/2013 </w:t>
            </w:r>
          </w:p>
          <w:p w14:paraId="7911CCA2" w14:textId="77777777" w:rsidR="00C55547" w:rsidRPr="002D60D7" w:rsidRDefault="005F3BBE" w:rsidP="004C445F">
            <w:pPr>
              <w:suppressAutoHyphens/>
              <w:rPr>
                <w:rFonts w:ascii="Times New Roman" w:hAnsi="Times New Roman"/>
                <w:sz w:val="24"/>
              </w:rPr>
            </w:pPr>
            <w:r>
              <w:rPr>
                <w:rFonts w:ascii="Times New Roman" w:hAnsi="Times New Roman"/>
                <w:sz w:val="24"/>
              </w:rPr>
              <w:t>Se cartolarizza anche attività proprie, il promotore inserisce nelle righe dedicate al cedente le informazioni relative alle proprie attività cartolarizzate.</w:t>
            </w:r>
          </w:p>
        </w:tc>
      </w:tr>
      <w:tr w:rsidR="00C55547" w:rsidRPr="002D60D7" w14:paraId="5A0251A3" w14:textId="77777777" w:rsidTr="00E10B85">
        <w:tc>
          <w:tcPr>
            <w:tcW w:w="1008" w:type="dxa"/>
          </w:tcPr>
          <w:p w14:paraId="64B09950"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0030, 0060 e 0090</w:t>
            </w:r>
          </w:p>
        </w:tc>
        <w:tc>
          <w:tcPr>
            <w:tcW w:w="8204" w:type="dxa"/>
          </w:tcPr>
          <w:p w14:paraId="65F68A65"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POSIZIONI VERSO LA CARTOLARIZZAZIONE</w:t>
            </w:r>
          </w:p>
          <w:p w14:paraId="3E2839F4" w14:textId="126F0999" w:rsidR="00C55547" w:rsidRPr="002D60D7" w:rsidRDefault="00C55547" w:rsidP="004C445F">
            <w:pPr>
              <w:suppressAutoHyphens/>
              <w:rPr>
                <w:rFonts w:ascii="Times New Roman" w:hAnsi="Times New Roman"/>
                <w:sz w:val="24"/>
              </w:rPr>
            </w:pPr>
            <w:r>
              <w:rPr>
                <w:rFonts w:ascii="Times New Roman" w:hAnsi="Times New Roman"/>
                <w:sz w:val="24"/>
              </w:rPr>
              <w:t>Il portafoglio di negoziazione di correlazione comprende cartolarizzazioni, derivati su crediti di tipo nth-to-default ed eventualmente altre posizioni di copertura che soddisfano i criteri di cui all</w:t>
            </w:r>
            <w:r w:rsidR="00516AD5">
              <w:rPr>
                <w:rFonts w:ascii="Times New Roman" w:hAnsi="Times New Roman"/>
                <w:sz w:val="24"/>
              </w:rPr>
              <w:t>'</w:t>
            </w:r>
            <w:r>
              <w:rPr>
                <w:rFonts w:ascii="Times New Roman" w:hAnsi="Times New Roman"/>
                <w:sz w:val="24"/>
              </w:rPr>
              <w:t>articolo 338, paragrafi 2 e 3, del regolamento (UE) n. 575/2013.</w:t>
            </w:r>
          </w:p>
          <w:p w14:paraId="284429BF" w14:textId="1706C36B" w:rsidR="00C55547" w:rsidRPr="002D60D7" w:rsidRDefault="00C55547" w:rsidP="004C445F">
            <w:pPr>
              <w:suppressAutoHyphens/>
              <w:rPr>
                <w:rFonts w:ascii="Times New Roman" w:hAnsi="Times New Roman"/>
                <w:sz w:val="24"/>
              </w:rPr>
            </w:pPr>
            <w:r>
              <w:rPr>
                <w:rFonts w:ascii="Times New Roman" w:hAnsi="Times New Roman"/>
                <w:sz w:val="24"/>
              </w:rPr>
              <w:t xml:space="preserve">I derivati di esposizioni verso la cartolarizzazione che offrono una quota proporzionale nonché le posizioni di copertura di posizioni del portafoglio di negoziazione di correlazione sono segnalati nella riga </w:t>
            </w:r>
            <w:r w:rsidR="000139D4">
              <w:rPr>
                <w:rFonts w:ascii="Times New Roman" w:hAnsi="Times New Roman"/>
                <w:sz w:val="24"/>
              </w:rPr>
              <w:t>"</w:t>
            </w:r>
            <w:r>
              <w:rPr>
                <w:rFonts w:ascii="Times New Roman" w:hAnsi="Times New Roman"/>
                <w:sz w:val="24"/>
              </w:rPr>
              <w:t>Altre posizioni del CTP</w:t>
            </w:r>
            <w:r w:rsidR="000139D4">
              <w:rPr>
                <w:rFonts w:ascii="Times New Roman" w:hAnsi="Times New Roman"/>
                <w:sz w:val="24"/>
              </w:rPr>
              <w:t>"</w:t>
            </w:r>
            <w:r>
              <w:rPr>
                <w:rFonts w:ascii="Times New Roman" w:hAnsi="Times New Roman"/>
                <w:sz w:val="24"/>
              </w:rPr>
              <w:t>.</w:t>
            </w:r>
          </w:p>
        </w:tc>
      </w:tr>
      <w:tr w:rsidR="00C55547" w:rsidRPr="002D60D7" w14:paraId="310FE06B" w14:textId="77777777" w:rsidTr="00E10B85">
        <w:tc>
          <w:tcPr>
            <w:tcW w:w="1008" w:type="dxa"/>
          </w:tcPr>
          <w:p w14:paraId="2602BE79"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8204" w:type="dxa"/>
          </w:tcPr>
          <w:p w14:paraId="5251DCC8"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DERIVATI SU CREDITI DI TIPO NTH-TO-DEFAULT</w:t>
            </w:r>
          </w:p>
          <w:p w14:paraId="298FC0AB" w14:textId="6DE71A85" w:rsidR="00C55547" w:rsidRPr="002D60D7" w:rsidRDefault="00C55547" w:rsidP="004C445F">
            <w:pPr>
              <w:suppressAutoHyphens/>
              <w:rPr>
                <w:rFonts w:ascii="Times New Roman" w:hAnsi="Times New Roman"/>
                <w:sz w:val="24"/>
              </w:rPr>
            </w:pPr>
            <w:r>
              <w:rPr>
                <w:rFonts w:ascii="Times New Roman" w:hAnsi="Times New Roman"/>
                <w:sz w:val="24"/>
              </w:rPr>
              <w:t>I derivati su crediti di tipo nth-to-default coperti da derivati su crediti di tipo nth-to-default conformemente all</w:t>
            </w:r>
            <w:r w:rsidR="00516AD5">
              <w:rPr>
                <w:rFonts w:ascii="Times New Roman" w:hAnsi="Times New Roman"/>
                <w:sz w:val="24"/>
              </w:rPr>
              <w:t>'</w:t>
            </w:r>
            <w:r>
              <w:rPr>
                <w:rFonts w:ascii="Times New Roman" w:hAnsi="Times New Roman"/>
                <w:sz w:val="24"/>
              </w:rPr>
              <w:t>articolo 347 del regolamento (UE) n. 575/2013 sono inseriti entrambi in questa riga.</w:t>
            </w:r>
          </w:p>
          <w:p w14:paraId="0ADF3C10" w14:textId="25B21B47" w:rsidR="00C55547" w:rsidRPr="002D60D7" w:rsidRDefault="00C55547" w:rsidP="004C445F">
            <w:pPr>
              <w:suppressAutoHyphens/>
              <w:rPr>
                <w:rFonts w:ascii="Times New Roman" w:hAnsi="Times New Roman"/>
                <w:sz w:val="24"/>
              </w:rPr>
            </w:pPr>
            <w:r>
              <w:rPr>
                <w:rFonts w:ascii="Times New Roman" w:hAnsi="Times New Roman"/>
                <w:sz w:val="24"/>
              </w:rPr>
              <w:t>Le posizioni del cedente, dell</w:t>
            </w:r>
            <w:r w:rsidR="00516AD5">
              <w:rPr>
                <w:rFonts w:ascii="Times New Roman" w:hAnsi="Times New Roman"/>
                <w:sz w:val="24"/>
              </w:rPr>
              <w:t>'</w:t>
            </w:r>
            <w:r>
              <w:rPr>
                <w:rFonts w:ascii="Times New Roman" w:hAnsi="Times New Roman"/>
                <w:sz w:val="24"/>
              </w:rPr>
              <w:t>investitore e del promotore non sono idonee per i derivati su crediti di tipo nth-to-default; quindi, per questi derivati non deve essere fornita la ripartizione come per le posizioni verso la cartolarizzazione.</w:t>
            </w:r>
          </w:p>
        </w:tc>
      </w:tr>
      <w:tr w:rsidR="00C55547" w:rsidRPr="002D60D7" w14:paraId="3804EA7A" w14:textId="77777777" w:rsidTr="00E10B85">
        <w:tc>
          <w:tcPr>
            <w:tcW w:w="1008" w:type="dxa"/>
          </w:tcPr>
          <w:p w14:paraId="492141F6" w14:textId="77777777" w:rsidR="00C55547"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 0070, 0100 e 0120</w:t>
            </w:r>
          </w:p>
        </w:tc>
        <w:tc>
          <w:tcPr>
            <w:tcW w:w="8204" w:type="dxa"/>
          </w:tcPr>
          <w:p w14:paraId="1BEC5316" w14:textId="77777777" w:rsidR="00C55547" w:rsidRPr="002D60D7" w:rsidRDefault="00C55547" w:rsidP="004C445F">
            <w:pPr>
              <w:suppressAutoHyphens/>
              <w:rPr>
                <w:rStyle w:val="InstructionsTabelleberschrift"/>
                <w:rFonts w:ascii="Times New Roman" w:hAnsi="Times New Roman"/>
                <w:sz w:val="24"/>
              </w:rPr>
            </w:pPr>
            <w:r>
              <w:rPr>
                <w:rStyle w:val="InstructionsTabelleberschrift"/>
                <w:rFonts w:ascii="Times New Roman" w:hAnsi="Times New Roman"/>
                <w:sz w:val="24"/>
              </w:rPr>
              <w:t>ALTRE POSIZIONI DEL PORTAFOGLIO DI NEGOZIAZIONE DI CORRELAZIONE (CTP)</w:t>
            </w:r>
          </w:p>
          <w:p w14:paraId="543C28DD" w14:textId="77777777" w:rsidR="00C55547" w:rsidRPr="002D60D7" w:rsidRDefault="00C55547" w:rsidP="004C445F">
            <w:pPr>
              <w:suppressAutoHyphens/>
              <w:rPr>
                <w:rFonts w:ascii="Times New Roman" w:hAnsi="Times New Roman"/>
                <w:sz w:val="24"/>
              </w:rPr>
            </w:pPr>
            <w:r>
              <w:rPr>
                <w:rFonts w:ascii="Times New Roman" w:hAnsi="Times New Roman"/>
                <w:sz w:val="24"/>
              </w:rPr>
              <w:t xml:space="preserve">Sono incluse le seguenti posizioni: </w:t>
            </w:r>
          </w:p>
          <w:p w14:paraId="009DBFDC" w14:textId="71465A30" w:rsidR="002272E2"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i derivati di esposizioni verso la cartolarizzazione che offrono una quota proporzionale nonché le posizioni di copertura di posizioni del CTP;</w:t>
            </w:r>
          </w:p>
          <w:p w14:paraId="6225E087" w14:textId="2904EB6A" w:rsidR="002272E2" w:rsidRPr="002D60D7" w:rsidRDefault="00C55547"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le posizioni del CTP coperte da derivati su crediti conformemente all</w:t>
            </w:r>
            <w:r w:rsidR="00516AD5">
              <w:rPr>
                <w:rFonts w:ascii="Times New Roman" w:hAnsi="Times New Roman"/>
                <w:sz w:val="24"/>
              </w:rPr>
              <w:t>'</w:t>
            </w:r>
            <w:r>
              <w:rPr>
                <w:rFonts w:ascii="Times New Roman" w:hAnsi="Times New Roman"/>
                <w:sz w:val="24"/>
              </w:rPr>
              <w:t>articolo 346 del regolamento (UE) n. 575/2013;</w:t>
            </w:r>
          </w:p>
          <w:p w14:paraId="37D9C26F" w14:textId="63D0D6DF" w:rsidR="00C55547" w:rsidRPr="002D60D7" w:rsidRDefault="00A92865" w:rsidP="00E172EA">
            <w:pPr>
              <w:pStyle w:val="ListParagraph"/>
              <w:numPr>
                <w:ilvl w:val="0"/>
                <w:numId w:val="31"/>
              </w:numPr>
              <w:tabs>
                <w:tab w:val="left" w:pos="720"/>
              </w:tabs>
              <w:suppressAutoHyphens/>
              <w:rPr>
                <w:rFonts w:ascii="Times New Roman" w:hAnsi="Times New Roman"/>
                <w:sz w:val="24"/>
              </w:rPr>
            </w:pPr>
            <w:r>
              <w:rPr>
                <w:rFonts w:ascii="Times New Roman" w:hAnsi="Times New Roman"/>
                <w:sz w:val="24"/>
              </w:rPr>
              <w:t>le altre posizioni conformi all</w:t>
            </w:r>
            <w:r w:rsidR="00516AD5">
              <w:rPr>
                <w:rFonts w:ascii="Times New Roman" w:hAnsi="Times New Roman"/>
                <w:sz w:val="24"/>
              </w:rPr>
              <w:t>'</w:t>
            </w:r>
            <w:r>
              <w:rPr>
                <w:rFonts w:ascii="Times New Roman" w:hAnsi="Times New Roman"/>
                <w:sz w:val="24"/>
              </w:rPr>
              <w:t>articolo 338, paragrafo 3, del regolamento (UE) n. 575/2013.</w:t>
            </w:r>
          </w:p>
        </w:tc>
      </w:tr>
    </w:tbl>
    <w:p w14:paraId="2FA40F1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3E44EE8" w14:textId="0CB90CC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94" w:name="_Toc262566429"/>
      <w:bookmarkStart w:id="95" w:name="_Toc295830005"/>
      <w:bookmarkStart w:id="96" w:name="_Toc308426682"/>
      <w:bookmarkStart w:id="97" w:name="_Toc310415066"/>
      <w:bookmarkStart w:id="98" w:name="_Toc360188401"/>
      <w:bookmarkStart w:id="99" w:name="_Toc473561041"/>
      <w:bookmarkStart w:id="100" w:name="_Toc210920358"/>
      <w:r>
        <w:rPr>
          <w:rFonts w:ascii="Times New Roman" w:hAnsi="Times New Roman"/>
          <w:sz w:val="24"/>
          <w:u w:val="none"/>
        </w:rPr>
        <w:t>5.</w:t>
      </w:r>
      <w:r w:rsidRPr="00516AD5">
        <w:rPr>
          <w:u w:val="none"/>
        </w:rPr>
        <w:tab/>
      </w:r>
      <w:r>
        <w:rPr>
          <w:rFonts w:ascii="Times New Roman" w:hAnsi="Times New Roman"/>
          <w:sz w:val="24"/>
        </w:rPr>
        <w:t>C 21.00 - Rischio di mercato: metodo standardizzato per il rischio di posizione su strumenti di capitale</w:t>
      </w:r>
      <w:bookmarkEnd w:id="94"/>
      <w:bookmarkEnd w:id="95"/>
      <w:bookmarkEnd w:id="96"/>
      <w:bookmarkEnd w:id="97"/>
      <w:bookmarkEnd w:id="98"/>
      <w:r>
        <w:rPr>
          <w:rFonts w:ascii="Times New Roman" w:hAnsi="Times New Roman"/>
          <w:sz w:val="24"/>
        </w:rPr>
        <w:t xml:space="preserve"> (MKR SA EQU)</w:t>
      </w:r>
      <w:bookmarkEnd w:id="99"/>
      <w:bookmarkEnd w:id="100"/>
    </w:p>
    <w:p w14:paraId="28B3FACA" w14:textId="344FF541"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1" w:name="_Toc262566430"/>
      <w:bookmarkStart w:id="102" w:name="_Toc295830006"/>
      <w:bookmarkStart w:id="103" w:name="_Toc308426683"/>
      <w:bookmarkStart w:id="104" w:name="_Toc310415067"/>
      <w:bookmarkStart w:id="105" w:name="_Toc360188402"/>
      <w:bookmarkStart w:id="106" w:name="_Toc473561042"/>
      <w:bookmarkStart w:id="107" w:name="_Toc210920359"/>
      <w:r>
        <w:rPr>
          <w:rFonts w:ascii="Times New Roman" w:hAnsi="Times New Roman"/>
          <w:sz w:val="24"/>
          <w:u w:val="none"/>
        </w:rPr>
        <w:t>5.1.</w:t>
      </w:r>
      <w:r w:rsidRPr="00516AD5">
        <w:rPr>
          <w:u w:val="none"/>
        </w:rPr>
        <w:tab/>
      </w:r>
      <w:r>
        <w:rPr>
          <w:rFonts w:ascii="Times New Roman" w:hAnsi="Times New Roman"/>
          <w:sz w:val="24"/>
        </w:rPr>
        <w:t>Osservazioni di carattere generale</w:t>
      </w:r>
      <w:bookmarkEnd w:id="101"/>
      <w:bookmarkEnd w:id="102"/>
      <w:bookmarkEnd w:id="103"/>
      <w:bookmarkEnd w:id="104"/>
      <w:bookmarkEnd w:id="105"/>
      <w:bookmarkEnd w:id="106"/>
      <w:bookmarkEnd w:id="107"/>
    </w:p>
    <w:p w14:paraId="1BA8EF6D" w14:textId="368B1B75" w:rsidR="000B0B09" w:rsidRPr="002D60D7" w:rsidRDefault="000B0B09" w:rsidP="00E172EA">
      <w:pPr>
        <w:pStyle w:val="InstructionsText2"/>
        <w:numPr>
          <w:ilvl w:val="0"/>
          <w:numId w:val="29"/>
        </w:numPr>
        <w:suppressAutoHyphens/>
      </w:pPr>
      <w:r>
        <w:t>In questo modello vanno inserite informazioni riguardanti le posizioni e i relativi requisiti di fondi propri per il rischio di posizione su strumenti di capitale detenuti nel portafoglio di negoziazione e trattati secondo il metodo standardizzato.</w:t>
      </w:r>
    </w:p>
    <w:p w14:paraId="3AF5EC7C" w14:textId="151A9C8B" w:rsidR="00B828CC" w:rsidRPr="002D60D7" w:rsidRDefault="000B0B09" w:rsidP="00E172EA">
      <w:pPr>
        <w:pStyle w:val="InstructionsText2"/>
        <w:numPr>
          <w:ilvl w:val="0"/>
          <w:numId w:val="29"/>
        </w:numPr>
        <w:suppressAutoHyphens/>
      </w:pPr>
      <w:r>
        <w:t xml:space="preserve">Questo modello è compilato separatamente per il </w:t>
      </w:r>
      <w:r w:rsidR="00516AD5">
        <w:t>"</w:t>
      </w:r>
      <w:r>
        <w:t>Totale</w:t>
      </w:r>
      <w:r w:rsidR="00516AD5">
        <w:t>"</w:t>
      </w:r>
      <w:r>
        <w:t>, più un elenco statico e prestabilito comprendente i seguenti mercati: Albania, Bulgaria, Danimarca, Egitto, ex Repubblica iugoslava di Macedonia, Federazione russa, Giappone, Islanda, Liechtenstein, Norvegia, Polonia, Regno Unito, Repubblica ceca, Romania, Serbia, Svezia, Svizzera, Turchia, Ucraina, Ungheria, USA, zona euro, e un modello residuale per tutti gli altri mercati. Per quest</w:t>
      </w:r>
      <w:r w:rsidR="00516AD5">
        <w:t>'</w:t>
      </w:r>
      <w:r>
        <w:t xml:space="preserve">obbligo di segnalazione, il termine </w:t>
      </w:r>
      <w:r w:rsidR="00516AD5">
        <w:t>"</w:t>
      </w:r>
      <w:r>
        <w:t>mercato</w:t>
      </w:r>
      <w:r w:rsidR="00516AD5">
        <w:t>"</w:t>
      </w:r>
      <w:r>
        <w:t xml:space="preserve"> ha il valore di </w:t>
      </w:r>
      <w:r w:rsidR="00516AD5">
        <w:t>"</w:t>
      </w:r>
      <w:r>
        <w:t>paese</w:t>
      </w:r>
      <w:r w:rsidR="00516AD5">
        <w:t>"</w:t>
      </w:r>
      <w:r>
        <w:t xml:space="preserve"> (tranne che per i paesi </w:t>
      </w:r>
      <w:r>
        <w:lastRenderedPageBreak/>
        <w:t>appartenenti alla zona euro, cfr. il regolamento delegato (UE) n. 525/2014 della Commissione</w:t>
      </w:r>
      <w:r>
        <w:rPr>
          <w:rStyle w:val="FootnoteReference"/>
        </w:rPr>
        <w:footnoteReference w:id="2"/>
      </w:r>
      <w:r>
        <w:t>).</w:t>
      </w:r>
    </w:p>
    <w:p w14:paraId="077E1A41" w14:textId="7E9E2DA4"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08" w:name="_Toc262566431"/>
      <w:bookmarkStart w:id="109" w:name="_Toc295830007"/>
      <w:bookmarkStart w:id="110" w:name="_Toc308426684"/>
      <w:bookmarkStart w:id="111" w:name="_Toc310415068"/>
      <w:bookmarkStart w:id="112" w:name="_Toc360188403"/>
      <w:bookmarkStart w:id="113" w:name="_Toc473561043"/>
      <w:bookmarkStart w:id="114" w:name="_Toc210920360"/>
      <w:r>
        <w:rPr>
          <w:rFonts w:ascii="Times New Roman" w:hAnsi="Times New Roman"/>
          <w:sz w:val="24"/>
          <w:u w:val="none"/>
        </w:rPr>
        <w:t>5.2.</w:t>
      </w:r>
      <w:r w:rsidRPr="00516AD5">
        <w:rPr>
          <w:u w:val="none"/>
        </w:rPr>
        <w:tab/>
      </w:r>
      <w:r>
        <w:rPr>
          <w:rFonts w:ascii="Times New Roman" w:hAnsi="Times New Roman"/>
          <w:sz w:val="24"/>
        </w:rPr>
        <w:t>Istruzioni relative a posizioni specifiche</w:t>
      </w:r>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2ADAFC61" w14:textId="77777777" w:rsidTr="00672D2A">
        <w:trPr>
          <w:trHeight w:val="626"/>
        </w:trPr>
        <w:tc>
          <w:tcPr>
            <w:tcW w:w="8862" w:type="dxa"/>
            <w:gridSpan w:val="2"/>
            <w:shd w:val="clear" w:color="auto" w:fill="CCCCCC"/>
          </w:tcPr>
          <w:p w14:paraId="0BC1F4DA"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Colonne</w:t>
            </w:r>
          </w:p>
        </w:tc>
      </w:tr>
      <w:tr w:rsidR="000B0B09" w:rsidRPr="002D60D7" w14:paraId="1B6DCA2D" w14:textId="77777777" w:rsidTr="00672D2A">
        <w:tc>
          <w:tcPr>
            <w:tcW w:w="988" w:type="dxa"/>
          </w:tcPr>
          <w:p w14:paraId="2E10DD0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4" w:type="dxa"/>
          </w:tcPr>
          <w:p w14:paraId="57FBE31B"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b/>
                <w:sz w:val="24"/>
                <w:u w:val="single"/>
              </w:rPr>
              <w:t>TUTTE LE POSIZIONI (LUNGHE E CORTE)</w:t>
            </w:r>
          </w:p>
          <w:p w14:paraId="754457ED" w14:textId="6411188D"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 xml:space="preserve">Articolo 102 e articolo 105, paragrafo 1, del regolamento (UE) n. 575/2013. </w:t>
            </w:r>
          </w:p>
          <w:p w14:paraId="59EE061F" w14:textId="0E96E54F"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Si tratta di posizioni lorde non compensate da strumenti; sono tuttavia escluse le posizioni in impegni irrevocabili di acquisto sottoscritte o risottoscritte da terzi di cui all</w:t>
            </w:r>
            <w:r w:rsidR="00516AD5">
              <w:rPr>
                <w:rFonts w:ascii="Times New Roman" w:hAnsi="Times New Roman"/>
                <w:sz w:val="24"/>
              </w:rPr>
              <w:t>'</w:t>
            </w:r>
            <w:r>
              <w:rPr>
                <w:rFonts w:ascii="Times New Roman" w:hAnsi="Times New Roman"/>
                <w:sz w:val="24"/>
              </w:rPr>
              <w:t xml:space="preserve">articolo 345, paragrafo 1, primo comma, seconda frase, di tale regolamento. </w:t>
            </w:r>
          </w:p>
        </w:tc>
      </w:tr>
      <w:tr w:rsidR="000B0B09" w:rsidRPr="002D60D7" w14:paraId="518A8218" w14:textId="77777777" w:rsidTr="00672D2A">
        <w:tc>
          <w:tcPr>
            <w:tcW w:w="988" w:type="dxa"/>
          </w:tcPr>
          <w:p w14:paraId="5DF1DDF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0030-0040 </w:t>
            </w:r>
          </w:p>
        </w:tc>
        <w:tc>
          <w:tcPr>
            <w:tcW w:w="7874" w:type="dxa"/>
          </w:tcPr>
          <w:p w14:paraId="22DC25D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NETTE (LUNGHE E CORTE)</w:t>
            </w:r>
          </w:p>
          <w:p w14:paraId="72A57BC7" w14:textId="1B6E0BBC"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Articoli 327, 329, 332, 341 e 345 del regolamento (UE) n. 575/2013. </w:t>
            </w:r>
          </w:p>
        </w:tc>
      </w:tr>
      <w:tr w:rsidR="000B0B09" w:rsidRPr="002D60D7" w14:paraId="1ED40A34" w14:textId="77777777" w:rsidTr="00672D2A">
        <w:tc>
          <w:tcPr>
            <w:tcW w:w="988" w:type="dxa"/>
          </w:tcPr>
          <w:p w14:paraId="49ADB5D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4" w:type="dxa"/>
          </w:tcPr>
          <w:p w14:paraId="28262B96" w14:textId="77777777" w:rsidR="000B0B09" w:rsidRPr="002D60D7" w:rsidRDefault="000B0B09" w:rsidP="004C445F">
            <w:pPr>
              <w:tabs>
                <w:tab w:val="left" w:pos="579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SOGGETTE A COPERTURA PATRIMONIALE</w:t>
            </w:r>
          </w:p>
          <w:p w14:paraId="5B62E698" w14:textId="4F5A8FA1"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Posizioni nette che, secondo i differenti metodi di cui alla parte tre, titolo IV, capo 2, del regolamento (UE) n. 575/2013, ricevono una copertura patrimoniale. La copertura patrimoniale è calcolata separatamente per ciascun mercato nazionale. Non sono incluse in questa colonna le posizioni in contratti future su indici azionari di cui all</w:t>
            </w:r>
            <w:r w:rsidR="00516AD5">
              <w:rPr>
                <w:rFonts w:ascii="Times New Roman" w:hAnsi="Times New Roman"/>
                <w:sz w:val="24"/>
              </w:rPr>
              <w:t>'</w:t>
            </w:r>
            <w:r>
              <w:rPr>
                <w:rFonts w:ascii="Times New Roman" w:hAnsi="Times New Roman"/>
                <w:sz w:val="24"/>
              </w:rPr>
              <w:t>articolo 344, paragrafo 4, seconda frase, del regolamento (UE) n. 575/2013.</w:t>
            </w:r>
          </w:p>
          <w:p w14:paraId="7C352B88"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7DD60D2" w14:textId="77777777" w:rsidTr="00672D2A">
        <w:tc>
          <w:tcPr>
            <w:tcW w:w="988" w:type="dxa"/>
          </w:tcPr>
          <w:p w14:paraId="479821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4" w:type="dxa"/>
          </w:tcPr>
          <w:p w14:paraId="3258053C"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REQUISITI DI FONDI PROPRI</w:t>
            </w:r>
          </w:p>
          <w:p w14:paraId="75CDA27D" w14:textId="087571B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Requisito di fondi propri conformemente alla parte tre, titolo IV, capo 2, del regolamento (UE) n. 575/2013 per ogni posizione pertinente</w:t>
            </w:r>
          </w:p>
          <w:p w14:paraId="6CDF917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2F4C373" w14:textId="77777777" w:rsidTr="00672D2A">
        <w:tc>
          <w:tcPr>
            <w:tcW w:w="988" w:type="dxa"/>
          </w:tcPr>
          <w:p w14:paraId="62D82E3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4" w:type="dxa"/>
          </w:tcPr>
          <w:p w14:paraId="1A727463" w14:textId="507F539C"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IMPORTO COMPLESSIVO DELL</w:t>
            </w:r>
            <w:r w:rsidR="00516AD5">
              <w:rPr>
                <w:rFonts w:ascii="Times New Roman" w:hAnsi="Times New Roman"/>
                <w:b/>
                <w:sz w:val="24"/>
                <w:u w:val="single"/>
              </w:rPr>
              <w:t>'</w:t>
            </w:r>
            <w:r>
              <w:rPr>
                <w:rFonts w:ascii="Times New Roman" w:hAnsi="Times New Roman"/>
                <w:b/>
                <w:sz w:val="24"/>
                <w:u w:val="single"/>
              </w:rPr>
              <w:t>ESPOSIZIONE AL RISCHIO</w:t>
            </w:r>
          </w:p>
          <w:p w14:paraId="33E7C378" w14:textId="4FC9A55B" w:rsidR="00E64BFE" w:rsidRPr="002D60D7" w:rsidRDefault="000B0B09" w:rsidP="004C445F">
            <w:pPr>
              <w:tabs>
                <w:tab w:val="left" w:pos="1665"/>
              </w:tabs>
              <w:suppressAutoHyphens/>
              <w:autoSpaceDE w:val="0"/>
              <w:autoSpaceDN w:val="0"/>
              <w:adjustRightInd w:val="0"/>
              <w:spacing w:after="0"/>
              <w:rPr>
                <w:rFonts w:ascii="Times New Roman" w:hAnsi="Times New Roman"/>
                <w:sz w:val="24"/>
              </w:rPr>
            </w:pPr>
            <w:r>
              <w:rPr>
                <w:rFonts w:ascii="Times New Roman" w:hAnsi="Times New Roman"/>
                <w:sz w:val="24"/>
              </w:rPr>
              <w:t xml:space="preserve">Articolo 92, paragrafo 6, lettera b), del regolamento (UE) n. 575/2013. </w:t>
            </w:r>
          </w:p>
          <w:p w14:paraId="5D42B3B3" w14:textId="77777777"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 xml:space="preserve">Risultato della moltiplicazione dei requisiti di fondi propri per 12,5. </w:t>
            </w:r>
          </w:p>
        </w:tc>
      </w:tr>
    </w:tbl>
    <w:p w14:paraId="62FB026B"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060"/>
      </w:tblGrid>
      <w:tr w:rsidR="000B0B09" w:rsidRPr="002D60D7" w14:paraId="4775591D" w14:textId="77777777" w:rsidTr="00672D2A">
        <w:trPr>
          <w:trHeight w:val="662"/>
        </w:trPr>
        <w:tc>
          <w:tcPr>
            <w:tcW w:w="9212" w:type="dxa"/>
            <w:gridSpan w:val="2"/>
            <w:shd w:val="clear" w:color="auto" w:fill="CCCCCC"/>
          </w:tcPr>
          <w:p w14:paraId="5298B570"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Righe</w:t>
            </w:r>
          </w:p>
        </w:tc>
      </w:tr>
      <w:tr w:rsidR="000B0B09" w:rsidRPr="002D60D7" w14:paraId="7546B05C" w14:textId="77777777" w:rsidTr="00672D2A">
        <w:tc>
          <w:tcPr>
            <w:tcW w:w="1008" w:type="dxa"/>
          </w:tcPr>
          <w:p w14:paraId="7BE875B0"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0010-0130</w:t>
            </w:r>
          </w:p>
        </w:tc>
        <w:tc>
          <w:tcPr>
            <w:tcW w:w="8204" w:type="dxa"/>
          </w:tcPr>
          <w:p w14:paraId="1FF7DE1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STRUMENTI DI CAPITALE NEL PORTAFOGLIO DI NEGOZIAZIONE</w:t>
            </w:r>
          </w:p>
          <w:p w14:paraId="030F1935" w14:textId="77786387" w:rsidR="000B0B09"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Requisiti di fondi propri per il rischio di posizione di cui all</w:t>
            </w:r>
            <w:r w:rsidR="00516AD5">
              <w:rPr>
                <w:rFonts w:ascii="Times New Roman" w:hAnsi="Times New Roman"/>
                <w:sz w:val="24"/>
              </w:rPr>
              <w:t>'</w:t>
            </w:r>
            <w:r>
              <w:rPr>
                <w:rFonts w:ascii="Times New Roman" w:hAnsi="Times New Roman"/>
                <w:sz w:val="24"/>
              </w:rPr>
              <w:t>articolo 92, paragrafo 3, lettera b), punto i), del regolamento (UE) n. 575/2013, e alla parte tre, titolo IV, capo 2, sezione 3, di tale regolamento</w:t>
            </w:r>
          </w:p>
        </w:tc>
      </w:tr>
      <w:tr w:rsidR="000B0B09" w:rsidRPr="002D60D7" w14:paraId="06FCC7F1" w14:textId="77777777" w:rsidTr="00672D2A">
        <w:tc>
          <w:tcPr>
            <w:tcW w:w="1008" w:type="dxa"/>
          </w:tcPr>
          <w:p w14:paraId="33E8BCC6" w14:textId="77777777" w:rsidR="000B0B09" w:rsidRPr="002D60D7" w:rsidRDefault="002F79EA"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0020-0040</w:t>
            </w:r>
          </w:p>
        </w:tc>
        <w:tc>
          <w:tcPr>
            <w:tcW w:w="8204" w:type="dxa"/>
          </w:tcPr>
          <w:p w14:paraId="029ED25F" w14:textId="77777777" w:rsidR="000B0B09" w:rsidRPr="002D60D7" w:rsidRDefault="000B0B09" w:rsidP="00516AD5">
            <w:pPr>
              <w:keepNext/>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RISCHIO GENERICO</w:t>
            </w:r>
          </w:p>
          <w:p w14:paraId="21F94335" w14:textId="41165158" w:rsidR="000B0B09" w:rsidRPr="002D60D7" w:rsidRDefault="000B0B09" w:rsidP="00516AD5">
            <w:pPr>
              <w:keepNext/>
              <w:suppressAutoHyphens/>
              <w:autoSpaceDE w:val="0"/>
              <w:autoSpaceDN w:val="0"/>
              <w:adjustRightInd w:val="0"/>
              <w:rPr>
                <w:rFonts w:ascii="Times New Roman" w:hAnsi="Times New Roman"/>
                <w:sz w:val="24"/>
              </w:rPr>
            </w:pPr>
            <w:r>
              <w:rPr>
                <w:rFonts w:ascii="Times New Roman" w:hAnsi="Times New Roman"/>
                <w:sz w:val="24"/>
              </w:rPr>
              <w:t xml:space="preserve">Posizioni in strumenti di capitale soggette al rischio generico (articolo 343 del regolamento (UE) n. 575/2013) e relativo requisito di fondi propri conformemente alla parte tre, titolo IV, capo 2, sezione 3, di tale regolamento </w:t>
            </w:r>
          </w:p>
          <w:p w14:paraId="729400AD" w14:textId="77777777" w:rsidR="001E0C80" w:rsidRPr="002D60D7" w:rsidRDefault="000B0B09" w:rsidP="00516AD5">
            <w:pPr>
              <w:keepNext/>
              <w:suppressAutoHyphens/>
              <w:autoSpaceDE w:val="0"/>
              <w:autoSpaceDN w:val="0"/>
              <w:adjustRightInd w:val="0"/>
              <w:spacing w:before="0"/>
              <w:rPr>
                <w:rFonts w:ascii="Times New Roman" w:hAnsi="Times New Roman"/>
                <w:sz w:val="24"/>
              </w:rPr>
            </w:pPr>
            <w:r>
              <w:rPr>
                <w:rFonts w:ascii="Times New Roman" w:hAnsi="Times New Roman"/>
                <w:sz w:val="24"/>
              </w:rPr>
              <w:t>Entrambe le ripartizioni (righe 0021/0022 e 0030/0040) riguardano tutte le posizioni soggette al rischio generico.</w:t>
            </w:r>
          </w:p>
          <w:p w14:paraId="32EAD513" w14:textId="77777777" w:rsidR="004E2725" w:rsidRPr="002D60D7" w:rsidRDefault="000B0B09"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Nelle righe 0021 e 0022 sono segnalate informazioni relative alla ripartizione per strumenti. </w:t>
            </w:r>
          </w:p>
          <w:p w14:paraId="75FD06DA" w14:textId="77777777" w:rsidR="000B0B09" w:rsidRPr="002D60D7" w:rsidRDefault="000B0B09" w:rsidP="00516AD5">
            <w:pPr>
              <w:keepNext/>
              <w:tabs>
                <w:tab w:val="left" w:pos="1665"/>
              </w:tabs>
              <w:suppressAutoHyphens/>
              <w:autoSpaceDE w:val="0"/>
              <w:autoSpaceDN w:val="0"/>
              <w:adjustRightInd w:val="0"/>
              <w:rPr>
                <w:rFonts w:ascii="Times New Roman" w:hAnsi="Times New Roman"/>
                <w:sz w:val="24"/>
              </w:rPr>
            </w:pPr>
            <w:r>
              <w:rPr>
                <w:rFonts w:ascii="Times New Roman" w:hAnsi="Times New Roman"/>
                <w:sz w:val="24"/>
              </w:rPr>
              <w:t>Per calcolare i requisiti di fondi propri si fa riferimento unicamente alla ripartizione nelle righe 0030 e 0040.</w:t>
            </w:r>
          </w:p>
        </w:tc>
      </w:tr>
      <w:tr w:rsidR="000B0B09" w:rsidRPr="002D60D7" w14:paraId="7E2E7066" w14:textId="77777777" w:rsidTr="00672D2A">
        <w:tc>
          <w:tcPr>
            <w:tcW w:w="1008" w:type="dxa"/>
          </w:tcPr>
          <w:p w14:paraId="2A8F2E0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0021</w:t>
            </w:r>
          </w:p>
        </w:tc>
        <w:tc>
          <w:tcPr>
            <w:tcW w:w="8204" w:type="dxa"/>
          </w:tcPr>
          <w:p w14:paraId="51E4EB2D"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Derivati</w:t>
            </w:r>
          </w:p>
          <w:p w14:paraId="561EFF21" w14:textId="424FAD2D"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Derivati considerati nel calcolo del rischio di strumenti di capitale di posizioni del portafoglio di negoziazione tenuto conto degli articoli 329 e 332 del regolamento (UE) n. 575/2013, ove applicabili</w:t>
            </w:r>
          </w:p>
        </w:tc>
      </w:tr>
      <w:tr w:rsidR="000B0B09" w:rsidRPr="002D60D7" w14:paraId="70CC2A6A" w14:textId="77777777" w:rsidTr="00672D2A">
        <w:tc>
          <w:tcPr>
            <w:tcW w:w="1008" w:type="dxa"/>
          </w:tcPr>
          <w:p w14:paraId="569AE9F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0022</w:t>
            </w:r>
          </w:p>
        </w:tc>
        <w:tc>
          <w:tcPr>
            <w:tcW w:w="8204" w:type="dxa"/>
          </w:tcPr>
          <w:p w14:paraId="100EC51C" w14:textId="77777777" w:rsidR="000B0B09" w:rsidRPr="002D60D7"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Altre attività e passività</w:t>
            </w:r>
          </w:p>
          <w:p w14:paraId="21AC79DF" w14:textId="77777777" w:rsidR="000B0B09" w:rsidRPr="002D60D7" w:rsidRDefault="000B0B09"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Strumenti diversi dai derivati compresi nel calcolo del rischio di strumenti di capitale di posizioni del portafoglio di negoziazione. </w:t>
            </w:r>
          </w:p>
        </w:tc>
      </w:tr>
      <w:tr w:rsidR="000B0B09" w:rsidRPr="002D60D7" w14:paraId="2ECBC519" w14:textId="77777777" w:rsidTr="00672D2A">
        <w:tc>
          <w:tcPr>
            <w:tcW w:w="1008" w:type="dxa"/>
          </w:tcPr>
          <w:p w14:paraId="63840C82"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8204" w:type="dxa"/>
          </w:tcPr>
          <w:p w14:paraId="5BE0B58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Contratti future su indici azionari negoziati in Borsa ampiamente diversificati soggetti a un metodo particolare</w:t>
            </w:r>
          </w:p>
          <w:p w14:paraId="56A22316" w14:textId="77777777" w:rsidR="005C14B0" w:rsidRPr="002D60D7" w:rsidRDefault="000B0B09" w:rsidP="004C445F">
            <w:pPr>
              <w:tabs>
                <w:tab w:val="left" w:pos="1665"/>
              </w:tabs>
              <w:suppressAutoHyphens/>
              <w:autoSpaceDE w:val="0"/>
              <w:autoSpaceDN w:val="0"/>
              <w:adjustRightInd w:val="0"/>
              <w:rPr>
                <w:rFonts w:ascii="Times New Roman" w:hAnsi="Times New Roman"/>
                <w:sz w:val="24"/>
              </w:rPr>
            </w:pPr>
            <w:r>
              <w:rPr>
                <w:rFonts w:ascii="Times New Roman" w:hAnsi="Times New Roman"/>
                <w:sz w:val="24"/>
              </w:rPr>
              <w:t>Contratti future su indici azionari negoziati in Borsa ampiamente diversificati e soggetti a un metodo particolare conformemente al regolamento di esecuzione (UE) n. 945/2014 della Commissione</w:t>
            </w:r>
            <w:r>
              <w:rPr>
                <w:rStyle w:val="FootnoteReference"/>
              </w:rPr>
              <w:footnoteReference w:id="3"/>
            </w:r>
          </w:p>
          <w:p w14:paraId="2528F1AA" w14:textId="103B7503" w:rsidR="000B0B09" w:rsidRPr="002D60D7" w:rsidRDefault="000B0B09" w:rsidP="004C445F">
            <w:pPr>
              <w:tabs>
                <w:tab w:val="left" w:pos="1665"/>
              </w:tabs>
              <w:suppressAutoHyphens/>
              <w:autoSpaceDE w:val="0"/>
              <w:autoSpaceDN w:val="0"/>
              <w:adjustRightInd w:val="0"/>
              <w:rPr>
                <w:rFonts w:ascii="Times New Roman" w:hAnsi="Times New Roman"/>
                <w:b/>
                <w:bCs/>
                <w:sz w:val="24"/>
                <w:u w:val="single"/>
              </w:rPr>
            </w:pPr>
            <w:r>
              <w:rPr>
                <w:rFonts w:ascii="Times New Roman" w:hAnsi="Times New Roman"/>
                <w:sz w:val="24"/>
              </w:rPr>
              <w:t>Queste posizioni sono soggette soltanto al rischio generico e, di conseguenza, non sono segnalate nella riga 0050.</w:t>
            </w:r>
          </w:p>
        </w:tc>
      </w:tr>
      <w:tr w:rsidR="000B0B09" w:rsidRPr="002D60D7" w14:paraId="132F7A31" w14:textId="77777777" w:rsidTr="00672D2A">
        <w:tc>
          <w:tcPr>
            <w:tcW w:w="1008" w:type="dxa"/>
          </w:tcPr>
          <w:p w14:paraId="5A552EB7"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8204" w:type="dxa"/>
          </w:tcPr>
          <w:p w14:paraId="10EE0C2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Strumenti di capitale diversi dai contratti future su indici azionari negoziati in Borsa ampiamente diversificati</w:t>
            </w:r>
          </w:p>
          <w:p w14:paraId="17542C2D" w14:textId="6C427E5F"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Altre posizioni in strumenti di capitale soggette a rischio specifico e relativi requisiti di fondi propri conformemente all</w:t>
            </w:r>
            <w:r w:rsidR="00516AD5">
              <w:rPr>
                <w:rFonts w:ascii="Times New Roman" w:hAnsi="Times New Roman"/>
                <w:sz w:val="24"/>
              </w:rPr>
              <w:t>'</w:t>
            </w:r>
            <w:r>
              <w:rPr>
                <w:rFonts w:ascii="Times New Roman" w:hAnsi="Times New Roman"/>
                <w:sz w:val="24"/>
              </w:rPr>
              <w:t>articolo 343 del regolamento (UE) n. 575/2013, comprese le posizioni in contratti future su indici azionari trattate conformemente all</w:t>
            </w:r>
            <w:r w:rsidR="00516AD5">
              <w:rPr>
                <w:rFonts w:ascii="Times New Roman" w:hAnsi="Times New Roman"/>
                <w:sz w:val="24"/>
              </w:rPr>
              <w:t>'</w:t>
            </w:r>
            <w:r>
              <w:rPr>
                <w:rFonts w:ascii="Times New Roman" w:hAnsi="Times New Roman"/>
                <w:sz w:val="24"/>
              </w:rPr>
              <w:t>articolo 344, paragrafo 3, di tale regolamento.</w:t>
            </w:r>
          </w:p>
        </w:tc>
      </w:tr>
      <w:tr w:rsidR="000B0B09" w:rsidRPr="002D60D7" w14:paraId="10C7ACD9" w14:textId="77777777" w:rsidTr="00672D2A">
        <w:tc>
          <w:tcPr>
            <w:tcW w:w="1008" w:type="dxa"/>
          </w:tcPr>
          <w:p w14:paraId="1F6F53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0050 </w:t>
            </w:r>
          </w:p>
        </w:tc>
        <w:tc>
          <w:tcPr>
            <w:tcW w:w="8204" w:type="dxa"/>
          </w:tcPr>
          <w:p w14:paraId="0CF5CE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RISCHIO SPECIFICO</w:t>
            </w:r>
          </w:p>
          <w:p w14:paraId="4CFFEA2D" w14:textId="35503953"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Posizioni in strumenti di capitale soggette a rischio specifico e relativo requisito di fondi propri conformemente all</w:t>
            </w:r>
            <w:r w:rsidR="00516AD5">
              <w:rPr>
                <w:rFonts w:ascii="Times New Roman" w:hAnsi="Times New Roman"/>
                <w:sz w:val="24"/>
              </w:rPr>
              <w:t>'</w:t>
            </w:r>
            <w:r>
              <w:rPr>
                <w:rFonts w:ascii="Times New Roman" w:hAnsi="Times New Roman"/>
                <w:sz w:val="24"/>
              </w:rPr>
              <w:t>articolo 342 del regolamento (UE) n. 575/2013, escluse le posizioni in contratti future su indici azionari trattate conformemente all</w:t>
            </w:r>
            <w:r w:rsidR="00516AD5">
              <w:rPr>
                <w:rFonts w:ascii="Times New Roman" w:hAnsi="Times New Roman"/>
                <w:sz w:val="24"/>
              </w:rPr>
              <w:t>'</w:t>
            </w:r>
            <w:r>
              <w:rPr>
                <w:rFonts w:ascii="Times New Roman" w:hAnsi="Times New Roman"/>
                <w:sz w:val="24"/>
              </w:rPr>
              <w:t xml:space="preserve">articolo 344, paragrafo 4, seconda frase, di tale regolamento </w:t>
            </w:r>
          </w:p>
        </w:tc>
      </w:tr>
      <w:tr w:rsidR="000B0B09" w:rsidRPr="002D60D7" w14:paraId="63780725" w14:textId="77777777" w:rsidTr="00672D2A">
        <w:tc>
          <w:tcPr>
            <w:tcW w:w="1008" w:type="dxa"/>
          </w:tcPr>
          <w:p w14:paraId="573EB4E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0090-0130</w:t>
            </w:r>
          </w:p>
        </w:tc>
        <w:tc>
          <w:tcPr>
            <w:tcW w:w="8204" w:type="dxa"/>
          </w:tcPr>
          <w:p w14:paraId="1BAF0B5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REQUISITI AGGIUNTIVI PER LE OPZIONI (RISCHI NON DELTA)</w:t>
            </w:r>
          </w:p>
          <w:p w14:paraId="2552C107" w14:textId="66B48CCE" w:rsidR="000B0B09" w:rsidRPr="002D60D7" w:rsidRDefault="000B0B09" w:rsidP="004C445F">
            <w:pPr>
              <w:suppressAutoHyphens/>
              <w:autoSpaceDE w:val="0"/>
              <w:autoSpaceDN w:val="0"/>
              <w:adjustRightInd w:val="0"/>
              <w:rPr>
                <w:rFonts w:ascii="Times New Roman" w:hAnsi="Times New Roman"/>
                <w:sz w:val="24"/>
              </w:rPr>
            </w:pPr>
            <w:r>
              <w:rPr>
                <w:rFonts w:ascii="Times New Roman" w:hAnsi="Times New Roman"/>
                <w:sz w:val="24"/>
              </w:rPr>
              <w:t xml:space="preserve">Articolo 329, paragrafi 2 e 3, del regolamento (UE) n. 575/2013 </w:t>
            </w:r>
          </w:p>
          <w:p w14:paraId="72C3FAC3"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I requisiti aggiuntivi per le opzioni correlate a rischi diversi dal rischio delta sono segnalati nel metodo utilizzato per il relativo calcolo.</w:t>
            </w:r>
          </w:p>
        </w:tc>
      </w:tr>
    </w:tbl>
    <w:p w14:paraId="0EB6FD79" w14:textId="77777777" w:rsidR="000B0B09" w:rsidRPr="002D60D7" w:rsidRDefault="000B0B09" w:rsidP="004C445F">
      <w:pPr>
        <w:suppressAutoHyphens/>
        <w:autoSpaceDE w:val="0"/>
        <w:autoSpaceDN w:val="0"/>
        <w:adjustRightInd w:val="0"/>
        <w:spacing w:before="0" w:after="0"/>
        <w:rPr>
          <w:rFonts w:ascii="Times New Roman" w:hAnsi="Times New Roman"/>
          <w:bCs/>
          <w:sz w:val="24"/>
          <w:lang w:eastAsia="nl-BE"/>
        </w:rPr>
      </w:pPr>
    </w:p>
    <w:p w14:paraId="1D26B512" w14:textId="2E1A7FF9"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15" w:name="_Toc262566432"/>
      <w:bookmarkStart w:id="116" w:name="_Toc295830008"/>
      <w:bookmarkStart w:id="117" w:name="_Toc308426685"/>
      <w:bookmarkStart w:id="118" w:name="_Toc310415069"/>
      <w:bookmarkStart w:id="119" w:name="_Toc360188404"/>
      <w:bookmarkStart w:id="120" w:name="_Toc473561044"/>
      <w:bookmarkStart w:id="121" w:name="_Toc210920361"/>
      <w:r>
        <w:rPr>
          <w:rFonts w:ascii="Times New Roman" w:hAnsi="Times New Roman"/>
          <w:sz w:val="24"/>
          <w:u w:val="none"/>
        </w:rPr>
        <w:t>6.</w:t>
      </w:r>
      <w:r w:rsidRPr="006B73A3">
        <w:rPr>
          <w:u w:val="none"/>
        </w:rPr>
        <w:tab/>
      </w:r>
      <w:r>
        <w:rPr>
          <w:rFonts w:ascii="Times New Roman" w:hAnsi="Times New Roman"/>
          <w:sz w:val="24"/>
        </w:rPr>
        <w:t>C 22.00 - Rischio di mercato: metodi standardizzati per il rischio di cambio</w:t>
      </w:r>
      <w:bookmarkEnd w:id="115"/>
      <w:bookmarkEnd w:id="116"/>
      <w:bookmarkEnd w:id="117"/>
      <w:bookmarkEnd w:id="118"/>
      <w:bookmarkEnd w:id="119"/>
      <w:r>
        <w:rPr>
          <w:rFonts w:ascii="Times New Roman" w:hAnsi="Times New Roman"/>
          <w:sz w:val="24"/>
        </w:rPr>
        <w:t xml:space="preserve"> (MKR SA FX)</w:t>
      </w:r>
      <w:bookmarkEnd w:id="120"/>
      <w:bookmarkEnd w:id="121"/>
    </w:p>
    <w:p w14:paraId="70FD2A29" w14:textId="387917ED"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22" w:name="_Toc262566433"/>
      <w:bookmarkStart w:id="123" w:name="_Toc295830009"/>
      <w:bookmarkStart w:id="124" w:name="_Toc308426686"/>
      <w:bookmarkStart w:id="125" w:name="_Toc310415070"/>
      <w:bookmarkStart w:id="126" w:name="_Toc360188405"/>
      <w:bookmarkStart w:id="127" w:name="_Toc473561045"/>
      <w:bookmarkStart w:id="128" w:name="_Toc210920362"/>
      <w:r>
        <w:rPr>
          <w:rFonts w:ascii="Times New Roman" w:hAnsi="Times New Roman"/>
          <w:sz w:val="24"/>
          <w:u w:val="none"/>
        </w:rPr>
        <w:t>6</w:t>
      </w:r>
      <w:r w:rsidR="006B73A3">
        <w:rPr>
          <w:rFonts w:ascii="Times New Roman" w:hAnsi="Times New Roman"/>
          <w:sz w:val="24"/>
          <w:u w:val="none"/>
        </w:rPr>
        <w:t>.</w:t>
      </w:r>
      <w:r>
        <w:rPr>
          <w:rFonts w:ascii="Times New Roman" w:hAnsi="Times New Roman"/>
          <w:sz w:val="24"/>
          <w:u w:val="none"/>
        </w:rPr>
        <w:t>1.</w:t>
      </w:r>
      <w:r w:rsidRPr="006B73A3">
        <w:rPr>
          <w:u w:val="none"/>
        </w:rPr>
        <w:tab/>
      </w:r>
      <w:r>
        <w:rPr>
          <w:rFonts w:ascii="Times New Roman" w:hAnsi="Times New Roman"/>
          <w:sz w:val="24"/>
        </w:rPr>
        <w:t>Osservazioni di carattere generale</w:t>
      </w:r>
      <w:bookmarkEnd w:id="122"/>
      <w:bookmarkEnd w:id="123"/>
      <w:bookmarkEnd w:id="124"/>
      <w:bookmarkEnd w:id="125"/>
      <w:bookmarkEnd w:id="126"/>
      <w:bookmarkEnd w:id="127"/>
      <w:bookmarkEnd w:id="128"/>
    </w:p>
    <w:p w14:paraId="3B4750B2" w14:textId="691F2DCC" w:rsidR="00F71DF2" w:rsidRPr="002D60D7" w:rsidRDefault="00A807E1" w:rsidP="00E172EA">
      <w:pPr>
        <w:pStyle w:val="InstructionsText2"/>
        <w:numPr>
          <w:ilvl w:val="0"/>
          <w:numId w:val="29"/>
        </w:numPr>
        <w:suppressAutoHyphens/>
      </w:pPr>
      <w:r>
        <w:t>Le imprese di investimento segnalano informazioni sulle posizioni in ciascuna valuta (compresa la valuta utilizzata per le segnalazioni) e i relativi requisiti di fondi propri per il rischio di cambio, trattati secondo il metodo standardizzato. La</w:t>
      </w:r>
      <w:r w:rsidR="00516AD5">
        <w:t> </w:t>
      </w:r>
      <w:r>
        <w:t>posizione è calcolata per ciascuna valuta (compreso l</w:t>
      </w:r>
      <w:r w:rsidR="00516AD5">
        <w:t>'</w:t>
      </w:r>
      <w:r>
        <w:t>EUR), l</w:t>
      </w:r>
      <w:r w:rsidR="00516AD5">
        <w:t>'</w:t>
      </w:r>
      <w:r>
        <w:t>oro e le posizioni in quote di OIC.</w:t>
      </w:r>
    </w:p>
    <w:p w14:paraId="39EF826C" w14:textId="00D6664D" w:rsidR="000B0B09" w:rsidRPr="002D60D7" w:rsidRDefault="00B31D8A" w:rsidP="00E172EA">
      <w:pPr>
        <w:pStyle w:val="InstructionsText2"/>
        <w:numPr>
          <w:ilvl w:val="0"/>
          <w:numId w:val="29"/>
        </w:numPr>
        <w:suppressAutoHyphens/>
      </w:pPr>
      <w:r>
        <w:t>Le righe da 0100 a 0470 di questo modello sono compilate se le imprese di investimento sono autorizzate a svolgere le attività di cui all</w:t>
      </w:r>
      <w:r w:rsidR="00516AD5">
        <w:t>'</w:t>
      </w:r>
      <w:r>
        <w:t>allegato I, sezione A, punto 3) o 6), della direttiva 2014/65/UE del Parlamento europeo e del Consiglio</w:t>
      </w:r>
      <w:r>
        <w:rPr>
          <w:rStyle w:val="FootnoteReference"/>
        </w:rPr>
        <w:footnoteReference w:id="4"/>
      </w:r>
      <w:r>
        <w:t>, anche laddove tali imprese di investimento non siano tenute a calcolare i requisiti di fondi propri per il rischio di cambio a norma dell</w:t>
      </w:r>
      <w:r w:rsidR="00516AD5">
        <w:t>'</w:t>
      </w:r>
      <w:r>
        <w:t>articolo 351 del regolamento (UE) n. 575/2013. In tali voci per memoria, sono incluse tutte le posizioni nella valuta utilizzata per le segnalazioni nelle righe da 0100 a 0470, a prescindere dal fatto che esse siano o meno considerate ai fini dell</w:t>
      </w:r>
      <w:r w:rsidR="00516AD5">
        <w:t>'</w:t>
      </w:r>
      <w:r>
        <w:t>articolo 354 del regolamento (UE) n. 575/2013. Le righe da 0130 a 0470 delle voci per memoria del modello sono compilate separatamente per tutte le valute degli Stati membri dell</w:t>
      </w:r>
      <w:r w:rsidR="00516AD5">
        <w:t>'</w:t>
      </w:r>
      <w:r>
        <w:t>Unione, per le valute seguenti: GBP, USD, CHF, JPY, RUB, TRY, AUD, CAD, RSD, ALL, UAH, MKD, EGP, ARS, BRL, MXN, HKD, ICK, TWD, NZD, NOK, SGD, KRW, CNY, nonché per tutte le altre valute.</w:t>
      </w:r>
    </w:p>
    <w:p w14:paraId="346B4732" w14:textId="0BDCE786"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0" w:name="_Toc262566434"/>
      <w:bookmarkStart w:id="131" w:name="_Toc295830010"/>
      <w:bookmarkStart w:id="132" w:name="_Toc308426687"/>
      <w:bookmarkStart w:id="133" w:name="_Toc310415071"/>
      <w:bookmarkStart w:id="134" w:name="_Toc360188406"/>
      <w:bookmarkStart w:id="135" w:name="_Toc473561046"/>
      <w:bookmarkStart w:id="136" w:name="_Toc210920363"/>
      <w:r>
        <w:rPr>
          <w:rFonts w:ascii="Times New Roman" w:hAnsi="Times New Roman"/>
          <w:sz w:val="24"/>
          <w:u w:val="none"/>
        </w:rPr>
        <w:t>6.2.</w:t>
      </w:r>
      <w:r w:rsidRPr="006B73A3">
        <w:rPr>
          <w:u w:val="none"/>
        </w:rPr>
        <w:tab/>
      </w:r>
      <w:r>
        <w:rPr>
          <w:rFonts w:ascii="Times New Roman" w:hAnsi="Times New Roman"/>
          <w:sz w:val="24"/>
        </w:rPr>
        <w:t>Istruzioni relative a posizioni specifiche</w:t>
      </w:r>
      <w:bookmarkEnd w:id="130"/>
      <w:bookmarkEnd w:id="131"/>
      <w:bookmarkEnd w:id="132"/>
      <w:bookmarkEnd w:id="133"/>
      <w:bookmarkEnd w:id="134"/>
      <w:bookmarkEnd w:id="135"/>
      <w:bookmarkEnd w:id="1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7874"/>
      </w:tblGrid>
      <w:tr w:rsidR="000B0B09" w:rsidRPr="002D60D7" w14:paraId="49DEFDC7" w14:textId="77777777" w:rsidTr="00672D2A">
        <w:trPr>
          <w:trHeight w:val="595"/>
        </w:trPr>
        <w:tc>
          <w:tcPr>
            <w:tcW w:w="8862" w:type="dxa"/>
            <w:gridSpan w:val="2"/>
            <w:shd w:val="clear" w:color="auto" w:fill="CCCCCC"/>
          </w:tcPr>
          <w:p w14:paraId="12971A77"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Colonne</w:t>
            </w:r>
          </w:p>
        </w:tc>
      </w:tr>
      <w:tr w:rsidR="000B0B09" w:rsidRPr="002D60D7" w14:paraId="159B4B41" w14:textId="77777777" w:rsidTr="00672D2A">
        <w:tc>
          <w:tcPr>
            <w:tcW w:w="988" w:type="dxa"/>
          </w:tcPr>
          <w:p w14:paraId="0ABA9E2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0020-0030</w:t>
            </w:r>
          </w:p>
        </w:tc>
        <w:tc>
          <w:tcPr>
            <w:tcW w:w="7874" w:type="dxa"/>
          </w:tcPr>
          <w:p w14:paraId="3450FB8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TUTTE LE POSIZIONI (LUNGHE E CORTE)</w:t>
            </w:r>
          </w:p>
          <w:p w14:paraId="21CD617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5F204D98" w14:textId="16C3D648" w:rsidR="005C14B0"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Posizioni lorde dovute ad attività, importi da ricevere ed elementi analoghi di cui all</w:t>
            </w:r>
            <w:r w:rsidR="00516AD5">
              <w:rPr>
                <w:rFonts w:ascii="Times New Roman" w:hAnsi="Times New Roman"/>
                <w:sz w:val="24"/>
              </w:rPr>
              <w:t>'</w:t>
            </w:r>
            <w:r>
              <w:rPr>
                <w:rFonts w:ascii="Times New Roman" w:hAnsi="Times New Roman"/>
                <w:sz w:val="24"/>
              </w:rPr>
              <w:t>articolo 352, paragrafo 1, del regolamento (UE) n. 575/2013.</w:t>
            </w:r>
          </w:p>
          <w:p w14:paraId="754DB1BB" w14:textId="111E5B51" w:rsidR="000B0B09" w:rsidRPr="002D60D7" w:rsidRDefault="00BB22D4"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norma dell</w:t>
            </w:r>
            <w:r w:rsidR="00516AD5">
              <w:rPr>
                <w:rFonts w:ascii="Times New Roman" w:hAnsi="Times New Roman"/>
                <w:sz w:val="24"/>
              </w:rPr>
              <w:t>'</w:t>
            </w:r>
            <w:r>
              <w:rPr>
                <w:rFonts w:ascii="Times New Roman" w:hAnsi="Times New Roman"/>
                <w:sz w:val="24"/>
              </w:rPr>
              <w:t>articolo 352, paragrafo 2, del regolamento (UE) n. 575/2013, e previa autorizzazione delle autorità competenti, non sono segnalate le posizioni che il soggetto detiene al fine specifico di salvaguardarsi dagli effetti negativi dei tassi di cambio sui suoi coefficienti conformemente all</w:t>
            </w:r>
            <w:r w:rsidR="00516AD5">
              <w:rPr>
                <w:rFonts w:ascii="Times New Roman" w:hAnsi="Times New Roman"/>
                <w:sz w:val="24"/>
              </w:rPr>
              <w:t>'</w:t>
            </w:r>
            <w:r>
              <w:rPr>
                <w:rFonts w:ascii="Times New Roman" w:hAnsi="Times New Roman"/>
                <w:sz w:val="24"/>
              </w:rPr>
              <w:t>articolo 92, paragrafo</w:t>
            </w:r>
            <w:r w:rsidR="00516AD5">
              <w:rPr>
                <w:rFonts w:ascii="Times New Roman" w:hAnsi="Times New Roman"/>
                <w:sz w:val="24"/>
              </w:rPr>
              <w:t> </w:t>
            </w:r>
            <w:r>
              <w:rPr>
                <w:rFonts w:ascii="Times New Roman" w:hAnsi="Times New Roman"/>
                <w:sz w:val="24"/>
              </w:rPr>
              <w:t>1, di tale regolamento, e le posizioni relative agli elementi che sono già dedotti nel calcolo dei fondi propri.</w:t>
            </w:r>
          </w:p>
          <w:p w14:paraId="40A85A4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5B6C2519" w14:textId="77777777" w:rsidTr="00672D2A">
        <w:tc>
          <w:tcPr>
            <w:tcW w:w="988" w:type="dxa"/>
          </w:tcPr>
          <w:p w14:paraId="01A2B5B6" w14:textId="77777777" w:rsidR="000B0B09" w:rsidRPr="002D60D7" w:rsidRDefault="002F79EA"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0040-0050</w:t>
            </w:r>
          </w:p>
        </w:tc>
        <w:tc>
          <w:tcPr>
            <w:tcW w:w="7874" w:type="dxa"/>
          </w:tcPr>
          <w:p w14:paraId="5A21CA54" w14:textId="77777777" w:rsidR="000B0B09" w:rsidRPr="002D60D7" w:rsidRDefault="000B0B09" w:rsidP="00516AD5">
            <w:pPr>
              <w:keepNext/>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NETTE (LUNGHE E CORTE)</w:t>
            </w:r>
          </w:p>
          <w:p w14:paraId="5D5BCFBB" w14:textId="77777777" w:rsidR="000B0B09" w:rsidRPr="00516AD5" w:rsidRDefault="000B0B09" w:rsidP="00516AD5">
            <w:pPr>
              <w:keepNext/>
              <w:suppressAutoHyphens/>
              <w:autoSpaceDE w:val="0"/>
              <w:autoSpaceDN w:val="0"/>
              <w:adjustRightInd w:val="0"/>
              <w:spacing w:before="0" w:after="0"/>
              <w:rPr>
                <w:rFonts w:ascii="Times New Roman" w:hAnsi="Times New Roman"/>
                <w:szCs w:val="20"/>
                <w:lang w:eastAsia="de-DE"/>
              </w:rPr>
            </w:pPr>
          </w:p>
          <w:p w14:paraId="263D2EB9" w14:textId="110C5AF2" w:rsidR="00283B5F" w:rsidRPr="002D60D7" w:rsidRDefault="000B0B09" w:rsidP="00516AD5">
            <w:pPr>
              <w:keepNext/>
              <w:suppressAutoHyphens/>
              <w:autoSpaceDE w:val="0"/>
              <w:autoSpaceDN w:val="0"/>
              <w:adjustRightInd w:val="0"/>
              <w:spacing w:before="0"/>
              <w:rPr>
                <w:rFonts w:ascii="Times New Roman" w:hAnsi="Times New Roman"/>
                <w:sz w:val="24"/>
              </w:rPr>
            </w:pPr>
            <w:r>
              <w:rPr>
                <w:rFonts w:ascii="Times New Roman" w:hAnsi="Times New Roman"/>
                <w:sz w:val="24"/>
              </w:rPr>
              <w:t>Articolo 352, paragrafo 3, articolo 352, paragrafo 4, prime due frasi, e articolo 353 del regolamento (UE) n. 575/2013</w:t>
            </w:r>
          </w:p>
          <w:p w14:paraId="1436375E" w14:textId="14E0D734" w:rsidR="000B0B09" w:rsidRPr="002D60D7" w:rsidRDefault="000B0B09"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t>Le posizioni nette sono calcolate per ciascuna valuta conformemente all</w:t>
            </w:r>
            <w:r w:rsidR="00516AD5">
              <w:rPr>
                <w:rFonts w:ascii="Times New Roman" w:hAnsi="Times New Roman"/>
                <w:sz w:val="24"/>
              </w:rPr>
              <w:t>'</w:t>
            </w:r>
            <w:r>
              <w:rPr>
                <w:rFonts w:ascii="Times New Roman" w:hAnsi="Times New Roman"/>
                <w:sz w:val="24"/>
              </w:rPr>
              <w:t>articolo</w:t>
            </w:r>
            <w:r w:rsidR="00516AD5">
              <w:rPr>
                <w:rFonts w:ascii="Times New Roman" w:hAnsi="Times New Roman"/>
                <w:sz w:val="24"/>
              </w:rPr>
              <w:t> </w:t>
            </w:r>
            <w:r>
              <w:rPr>
                <w:rFonts w:ascii="Times New Roman" w:hAnsi="Times New Roman"/>
                <w:sz w:val="24"/>
              </w:rPr>
              <w:t>352, paragrafo 1, di tale regolamento. Di conseguenza, le posizioni lunghe e le posizioni corte possono essere segnalate contemporaneamente.</w:t>
            </w:r>
          </w:p>
          <w:p w14:paraId="7EF6C18C" w14:textId="77777777" w:rsidR="000B0B09" w:rsidRPr="00516AD5" w:rsidRDefault="000B0B09" w:rsidP="00516AD5">
            <w:pPr>
              <w:keepNext/>
              <w:suppressAutoHyphens/>
              <w:autoSpaceDE w:val="0"/>
              <w:autoSpaceDN w:val="0"/>
              <w:adjustRightInd w:val="0"/>
              <w:spacing w:before="0" w:after="0"/>
              <w:rPr>
                <w:rFonts w:ascii="Times New Roman" w:hAnsi="Times New Roman"/>
                <w:szCs w:val="20"/>
                <w:lang w:eastAsia="nl-BE"/>
              </w:rPr>
            </w:pPr>
          </w:p>
        </w:tc>
      </w:tr>
      <w:tr w:rsidR="000B0B09" w:rsidRPr="002D60D7" w14:paraId="1DBF3F98" w14:textId="77777777" w:rsidTr="00672D2A">
        <w:tc>
          <w:tcPr>
            <w:tcW w:w="988" w:type="dxa"/>
          </w:tcPr>
          <w:p w14:paraId="5ED8190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0060-0080</w:t>
            </w:r>
          </w:p>
        </w:tc>
        <w:tc>
          <w:tcPr>
            <w:tcW w:w="7874" w:type="dxa"/>
          </w:tcPr>
          <w:p w14:paraId="23461A4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SOGGETTE A COPERTURA PATRIMONIALE</w:t>
            </w:r>
          </w:p>
          <w:p w14:paraId="536B2115" w14:textId="77777777" w:rsidR="000B0B09" w:rsidRPr="00516AD5" w:rsidRDefault="000B0B09" w:rsidP="004C445F">
            <w:pPr>
              <w:suppressAutoHyphens/>
              <w:autoSpaceDE w:val="0"/>
              <w:autoSpaceDN w:val="0"/>
              <w:adjustRightInd w:val="0"/>
              <w:spacing w:before="0" w:after="0"/>
              <w:rPr>
                <w:rFonts w:ascii="Times New Roman" w:hAnsi="Times New Roman"/>
                <w:szCs w:val="20"/>
                <w:lang w:eastAsia="de-DE"/>
              </w:rPr>
            </w:pPr>
          </w:p>
          <w:p w14:paraId="4FE1162B" w14:textId="273CC04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Articolo 352, paragrafo 4, terza frase, e articoli 353 e 354 del regolamento (UE) n. 575/2013 </w:t>
            </w:r>
          </w:p>
          <w:p w14:paraId="091C4CE9"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lang w:eastAsia="nl-BE"/>
              </w:rPr>
            </w:pPr>
          </w:p>
        </w:tc>
      </w:tr>
      <w:tr w:rsidR="000B0B09" w:rsidRPr="002D60D7" w14:paraId="52E36B34" w14:textId="77777777" w:rsidTr="00672D2A">
        <w:tc>
          <w:tcPr>
            <w:tcW w:w="988" w:type="dxa"/>
          </w:tcPr>
          <w:p w14:paraId="4CF75F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0060-0070</w:t>
            </w:r>
          </w:p>
        </w:tc>
        <w:tc>
          <w:tcPr>
            <w:tcW w:w="7874" w:type="dxa"/>
          </w:tcPr>
          <w:p w14:paraId="4917443B"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POSIZIONI SOGGETTE A COPERTURA PATRIMONIALE (LUNGHE E CORTE)</w:t>
            </w:r>
          </w:p>
          <w:p w14:paraId="1CA17503"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Le posizioni nette lunghe e corte di ciascuna valuta sono calcolate deducendo il totale delle posizioni corte dal totale delle posizioni lunghe.</w:t>
            </w:r>
          </w:p>
          <w:p w14:paraId="7912A4F1"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Si sommano le posizioni nette lunghe di ciascuna operazione in una valuta per ottenere la posizione netta lunga in quella data valuta.</w:t>
            </w:r>
          </w:p>
          <w:p w14:paraId="5B4E9BDF" w14:textId="77777777"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Si sommano le posizioni nette corte di ciascuna operazione in una valuta per ottenere la posizione netta corta in quella data valuta.</w:t>
            </w:r>
          </w:p>
          <w:p w14:paraId="71BEB09F" w14:textId="4722ECBA"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Le posizioni non compensate nelle valute non utilizzate per le segnalazioni sono aggiunte alle posizioni soggette a copertura patrimoniale per altre valute (riga</w:t>
            </w:r>
            <w:r w:rsidR="00516AD5">
              <w:rPr>
                <w:rFonts w:ascii="Times New Roman" w:hAnsi="Times New Roman"/>
                <w:sz w:val="24"/>
              </w:rPr>
              <w:t> </w:t>
            </w:r>
            <w:r>
              <w:rPr>
                <w:rFonts w:ascii="Times New Roman" w:hAnsi="Times New Roman"/>
                <w:sz w:val="24"/>
              </w:rPr>
              <w:t>030) nella colonna 060 o 070 a seconda del regolamento a breve o lungo termine.</w:t>
            </w:r>
          </w:p>
          <w:p w14:paraId="3B8AB235" w14:textId="77777777" w:rsidR="00DE48EF" w:rsidRPr="00516AD5" w:rsidRDefault="00DE48EF" w:rsidP="004C445F">
            <w:pPr>
              <w:suppressAutoHyphens/>
              <w:autoSpaceDE w:val="0"/>
              <w:autoSpaceDN w:val="0"/>
              <w:adjustRightInd w:val="0"/>
              <w:spacing w:before="0" w:after="0"/>
              <w:rPr>
                <w:rFonts w:ascii="Times New Roman" w:hAnsi="Times New Roman"/>
                <w:b/>
                <w:bCs/>
                <w:szCs w:val="20"/>
                <w:u w:val="single"/>
                <w:lang w:eastAsia="nl-BE"/>
              </w:rPr>
            </w:pPr>
          </w:p>
        </w:tc>
      </w:tr>
      <w:tr w:rsidR="000B0B09" w:rsidRPr="002D60D7" w14:paraId="153E3368" w14:textId="77777777" w:rsidTr="00672D2A">
        <w:tc>
          <w:tcPr>
            <w:tcW w:w="988" w:type="dxa"/>
          </w:tcPr>
          <w:p w14:paraId="79947C7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4" w:type="dxa"/>
          </w:tcPr>
          <w:p w14:paraId="50779B2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SOGGETTE A COPERTURA PATRIMONIALE (COMPENSATE)</w:t>
            </w:r>
          </w:p>
          <w:p w14:paraId="1787EA62" w14:textId="77777777" w:rsidR="000B0B09" w:rsidRPr="00516AD5" w:rsidRDefault="000B0B09" w:rsidP="004C445F">
            <w:pPr>
              <w:suppressAutoHyphens/>
              <w:autoSpaceDE w:val="0"/>
              <w:autoSpaceDN w:val="0"/>
              <w:adjustRightInd w:val="0"/>
              <w:spacing w:before="0" w:after="0"/>
              <w:rPr>
                <w:rFonts w:ascii="Times New Roman" w:hAnsi="Times New Roman"/>
                <w:szCs w:val="20"/>
                <w:lang w:eastAsia="de-DE"/>
              </w:rPr>
            </w:pPr>
          </w:p>
          <w:p w14:paraId="54376274"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compensate per valute strettamente correlate.</w:t>
            </w:r>
          </w:p>
          <w:p w14:paraId="6BC8E676"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lang w:eastAsia="nl-BE"/>
              </w:rPr>
            </w:pPr>
          </w:p>
        </w:tc>
      </w:tr>
      <w:tr w:rsidR="000B0B09" w:rsidRPr="002D60D7" w14:paraId="6E3750E4" w14:textId="77777777" w:rsidTr="00672D2A">
        <w:tc>
          <w:tcPr>
            <w:tcW w:w="988" w:type="dxa"/>
          </w:tcPr>
          <w:p w14:paraId="0E46DE0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4" w:type="dxa"/>
          </w:tcPr>
          <w:p w14:paraId="4FC12DDA"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REQUISITI DI FONDI PROPRI</w:t>
            </w:r>
          </w:p>
          <w:p w14:paraId="4108E694"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lang w:eastAsia="nl-BE"/>
              </w:rPr>
            </w:pPr>
          </w:p>
          <w:p w14:paraId="0D828234" w14:textId="7D891B72"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Copertura patrimoniale di qualsiasi posizione pertinente conformemente alla parte tre, titolo IV, capo 3, del regolamento (UE) n. 575/2013 </w:t>
            </w:r>
          </w:p>
          <w:p w14:paraId="62C9AE7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5A4CD35" w14:textId="77777777" w:rsidTr="00672D2A">
        <w:tc>
          <w:tcPr>
            <w:tcW w:w="988" w:type="dxa"/>
          </w:tcPr>
          <w:p w14:paraId="5B271B1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4" w:type="dxa"/>
          </w:tcPr>
          <w:p w14:paraId="0647EAC0" w14:textId="7B2DC5BA"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IMPORTO COMPLESSIVO DELL</w:t>
            </w:r>
            <w:r w:rsidR="00516AD5">
              <w:rPr>
                <w:rFonts w:ascii="Times New Roman" w:hAnsi="Times New Roman"/>
                <w:b/>
                <w:sz w:val="24"/>
                <w:u w:val="single"/>
              </w:rPr>
              <w:t>'</w:t>
            </w:r>
            <w:r>
              <w:rPr>
                <w:rFonts w:ascii="Times New Roman" w:hAnsi="Times New Roman"/>
                <w:b/>
                <w:sz w:val="24"/>
                <w:u w:val="single"/>
              </w:rPr>
              <w:t>ESPOSIZIONE AL RISCHIO</w:t>
            </w:r>
          </w:p>
          <w:p w14:paraId="1005789B" w14:textId="77777777" w:rsidR="000B0B09" w:rsidRPr="00516AD5" w:rsidRDefault="000B0B09" w:rsidP="004C445F">
            <w:pPr>
              <w:tabs>
                <w:tab w:val="left" w:pos="1665"/>
              </w:tabs>
              <w:suppressAutoHyphens/>
              <w:autoSpaceDE w:val="0"/>
              <w:autoSpaceDN w:val="0"/>
              <w:adjustRightInd w:val="0"/>
              <w:spacing w:before="0" w:after="0"/>
              <w:rPr>
                <w:rFonts w:ascii="Times New Roman" w:hAnsi="Times New Roman"/>
                <w:b/>
                <w:bCs/>
                <w:szCs w:val="20"/>
                <w:u w:val="single"/>
                <w:lang w:eastAsia="nl-BE"/>
              </w:rPr>
            </w:pPr>
          </w:p>
          <w:p w14:paraId="3CF09645" w14:textId="05D9758B" w:rsidR="005C14B0"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Articolo 92, paragrafo 6, lettera b), del regolamento (UE) n. 575/2013.</w:t>
            </w:r>
          </w:p>
          <w:p w14:paraId="74C1A53D"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Risultato della moltiplicazione dei requisiti di fondi propri per 12,5. </w:t>
            </w:r>
          </w:p>
          <w:p w14:paraId="43ECFCA3" w14:textId="77777777" w:rsidR="00DE48EF" w:rsidRPr="002D60D7" w:rsidRDefault="00DE48EF"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tc>
      </w:tr>
    </w:tbl>
    <w:p w14:paraId="4E615BD8"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7871"/>
      </w:tblGrid>
      <w:tr w:rsidR="000B0B09" w:rsidRPr="002D60D7" w14:paraId="0291DB10" w14:textId="77777777" w:rsidTr="00672D2A">
        <w:trPr>
          <w:trHeight w:val="497"/>
        </w:trPr>
        <w:tc>
          <w:tcPr>
            <w:tcW w:w="8862" w:type="dxa"/>
            <w:gridSpan w:val="2"/>
            <w:shd w:val="clear" w:color="auto" w:fill="CCCCCC"/>
          </w:tcPr>
          <w:p w14:paraId="080D5566"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Righe</w:t>
            </w:r>
          </w:p>
        </w:tc>
      </w:tr>
      <w:tr w:rsidR="000B0B09" w:rsidRPr="002D60D7" w14:paraId="7E8F93AD" w14:textId="77777777" w:rsidTr="00672D2A">
        <w:tc>
          <w:tcPr>
            <w:tcW w:w="991" w:type="dxa"/>
          </w:tcPr>
          <w:p w14:paraId="308DA05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1" w:type="dxa"/>
          </w:tcPr>
          <w:p w14:paraId="444D3E4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TOTALI</w:t>
            </w:r>
          </w:p>
          <w:p w14:paraId="625A8F91"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p w14:paraId="474297D9" w14:textId="3C2D217F" w:rsidR="000B0B09"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Tutte le posizioni nelle valute non utilizzate per le segnalazioni e le posizioni nella valuta utilizzata per le segnalazioni che sono considerate ai fini </w:t>
            </w:r>
            <w:r>
              <w:rPr>
                <w:rFonts w:ascii="Times New Roman" w:hAnsi="Times New Roman"/>
                <w:sz w:val="24"/>
              </w:rPr>
              <w:lastRenderedPageBreak/>
              <w:t>dell</w:t>
            </w:r>
            <w:r w:rsidR="00516AD5">
              <w:rPr>
                <w:rFonts w:ascii="Times New Roman" w:hAnsi="Times New Roman"/>
                <w:sz w:val="24"/>
              </w:rPr>
              <w:t>'</w:t>
            </w:r>
            <w:r>
              <w:rPr>
                <w:rFonts w:ascii="Times New Roman" w:hAnsi="Times New Roman"/>
                <w:sz w:val="24"/>
              </w:rPr>
              <w:t>articolo</w:t>
            </w:r>
            <w:r w:rsidR="00516AD5">
              <w:rPr>
                <w:rFonts w:ascii="Times New Roman" w:hAnsi="Times New Roman"/>
                <w:sz w:val="24"/>
              </w:rPr>
              <w:t> </w:t>
            </w:r>
            <w:r>
              <w:rPr>
                <w:rFonts w:ascii="Times New Roman" w:hAnsi="Times New Roman"/>
                <w:sz w:val="24"/>
              </w:rPr>
              <w:t>354 del regolamento (UE) n. 575/2013 e i relativi requisiti di fondi propri per il rischio di cambio di cui all</w:t>
            </w:r>
            <w:r w:rsidR="00516AD5">
              <w:rPr>
                <w:rFonts w:ascii="Times New Roman" w:hAnsi="Times New Roman"/>
                <w:sz w:val="24"/>
              </w:rPr>
              <w:t>'</w:t>
            </w:r>
            <w:r>
              <w:rPr>
                <w:rFonts w:ascii="Times New Roman" w:hAnsi="Times New Roman"/>
                <w:sz w:val="24"/>
              </w:rPr>
              <w:t>articolo 92, paragrafo 3, lettera c), punto i), di tale regolamento, tenendo conto dell</w:t>
            </w:r>
            <w:r w:rsidR="00516AD5">
              <w:rPr>
                <w:rFonts w:ascii="Times New Roman" w:hAnsi="Times New Roman"/>
                <w:sz w:val="24"/>
              </w:rPr>
              <w:t>'</w:t>
            </w:r>
            <w:r>
              <w:rPr>
                <w:rFonts w:ascii="Times New Roman" w:hAnsi="Times New Roman"/>
                <w:sz w:val="24"/>
              </w:rPr>
              <w:t>articolo 352, paragrafi 2 e 4, del medesimo regolamento (per conversione nella valuta utilizzata per le segnalazioni).</w:t>
            </w:r>
          </w:p>
          <w:p w14:paraId="60C8486E"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0B0B09" w:rsidRPr="002D60D7" w14:paraId="467D9D0D" w14:textId="77777777" w:rsidTr="00672D2A">
        <w:tc>
          <w:tcPr>
            <w:tcW w:w="991" w:type="dxa"/>
          </w:tcPr>
          <w:p w14:paraId="65214D6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871" w:type="dxa"/>
          </w:tcPr>
          <w:p w14:paraId="17BF0DA2" w14:textId="307EC671" w:rsidR="00516AD5" w:rsidRPr="00516AD5" w:rsidRDefault="000B0B09" w:rsidP="004C445F">
            <w:pPr>
              <w:suppressAutoHyphens/>
              <w:autoSpaceDE w:val="0"/>
              <w:autoSpaceDN w:val="0"/>
              <w:adjustRightInd w:val="0"/>
              <w:spacing w:before="0" w:after="0"/>
              <w:rPr>
                <w:rFonts w:ascii="Times New Roman" w:hAnsi="Times New Roman"/>
                <w:b/>
                <w:sz w:val="24"/>
                <w:u w:val="single"/>
              </w:rPr>
            </w:pPr>
            <w:r>
              <w:rPr>
                <w:rFonts w:ascii="Times New Roman" w:hAnsi="Times New Roman"/>
                <w:b/>
                <w:sz w:val="24"/>
                <w:u w:val="single"/>
              </w:rPr>
              <w:t>VALUTE STRETTAMENTE CORRELATE</w:t>
            </w:r>
          </w:p>
          <w:p w14:paraId="784B138D"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339F996" w14:textId="7F6E00DF"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e relativi requisiti di fondi propri per le valute strettamente correlate di cui all</w:t>
            </w:r>
            <w:r w:rsidR="00516AD5">
              <w:rPr>
                <w:rFonts w:ascii="Times New Roman" w:hAnsi="Times New Roman"/>
                <w:sz w:val="24"/>
              </w:rPr>
              <w:t>'</w:t>
            </w:r>
            <w:r>
              <w:rPr>
                <w:rFonts w:ascii="Times New Roman" w:hAnsi="Times New Roman"/>
                <w:sz w:val="24"/>
              </w:rPr>
              <w:t>articolo 354 del regolamento (UE) n. 575/2013.</w:t>
            </w:r>
          </w:p>
          <w:p w14:paraId="1228E8F4"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nl-BE"/>
              </w:rPr>
            </w:pPr>
          </w:p>
        </w:tc>
      </w:tr>
      <w:tr w:rsidR="00491F4D" w:rsidRPr="002D60D7" w14:paraId="6BD5BA15" w14:textId="77777777" w:rsidTr="00672D2A">
        <w:tc>
          <w:tcPr>
            <w:tcW w:w="991" w:type="dxa"/>
          </w:tcPr>
          <w:p w14:paraId="5BFECF57" w14:textId="77777777" w:rsidR="00491F4D"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0025</w:t>
            </w:r>
          </w:p>
        </w:tc>
        <w:tc>
          <w:tcPr>
            <w:tcW w:w="7871" w:type="dxa"/>
          </w:tcPr>
          <w:p w14:paraId="596531B8"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 xml:space="preserve">Valute strettamente correlate: </w:t>
            </w:r>
            <w:r>
              <w:rPr>
                <w:rFonts w:ascii="Times New Roman" w:hAnsi="Times New Roman"/>
                <w:b/>
                <w:i/>
                <w:sz w:val="24"/>
                <w:u w:val="single"/>
              </w:rPr>
              <w:t>di cui</w:t>
            </w:r>
            <w:r>
              <w:rPr>
                <w:rFonts w:ascii="Times New Roman" w:hAnsi="Times New Roman"/>
                <w:b/>
                <w:sz w:val="24"/>
                <w:u w:val="single"/>
              </w:rPr>
              <w:t>: valuta utilizzata per le segnalazioni</w:t>
            </w:r>
          </w:p>
          <w:p w14:paraId="1A313604" w14:textId="77777777" w:rsidR="00491F4D" w:rsidRPr="002D60D7" w:rsidRDefault="00491F4D" w:rsidP="004C445F">
            <w:pPr>
              <w:suppressAutoHyphens/>
              <w:autoSpaceDE w:val="0"/>
              <w:autoSpaceDN w:val="0"/>
              <w:adjustRightInd w:val="0"/>
              <w:spacing w:before="0" w:after="0"/>
              <w:rPr>
                <w:rFonts w:ascii="Times New Roman" w:hAnsi="Times New Roman"/>
                <w:sz w:val="24"/>
              </w:rPr>
            </w:pPr>
          </w:p>
          <w:p w14:paraId="6CF1E695" w14:textId="1F8E6D0C" w:rsidR="00491F4D" w:rsidRPr="002D60D7" w:rsidRDefault="00491F4D"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nella valuta utilizzata per le segnalazioni che concorrono al calcolo dei requisiti patrimoniali ai sensi dell</w:t>
            </w:r>
            <w:r w:rsidR="00516AD5">
              <w:rPr>
                <w:rFonts w:ascii="Times New Roman" w:hAnsi="Times New Roman"/>
                <w:sz w:val="24"/>
              </w:rPr>
              <w:t>'</w:t>
            </w:r>
            <w:r>
              <w:rPr>
                <w:rFonts w:ascii="Times New Roman" w:hAnsi="Times New Roman"/>
                <w:sz w:val="24"/>
              </w:rPr>
              <w:t>articolo 354 del regolamento (UE) n. 575/2013.</w:t>
            </w:r>
          </w:p>
          <w:p w14:paraId="1727C5A3" w14:textId="77777777" w:rsidR="00491F4D" w:rsidRPr="002D60D7" w:rsidRDefault="00491F4D"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52A3FAA7" w14:textId="77777777" w:rsidTr="00672D2A">
        <w:tc>
          <w:tcPr>
            <w:tcW w:w="991" w:type="dxa"/>
          </w:tcPr>
          <w:p w14:paraId="0150967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71" w:type="dxa"/>
          </w:tcPr>
          <w:p w14:paraId="0BAA11C1"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TUTTE LE ALTRE VALUTE (compresi gli OIC trattati come valute diverse)</w:t>
            </w:r>
          </w:p>
          <w:p w14:paraId="1677D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0DD3AFD1" w14:textId="50522FE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e relativi requisiti di fondi propri per le valute soggette alla procedura generale di cui all</w:t>
            </w:r>
            <w:r w:rsidR="00516AD5">
              <w:rPr>
                <w:rFonts w:ascii="Times New Roman" w:hAnsi="Times New Roman"/>
                <w:sz w:val="24"/>
              </w:rPr>
              <w:t>'</w:t>
            </w:r>
            <w:r>
              <w:rPr>
                <w:rFonts w:ascii="Times New Roman" w:hAnsi="Times New Roman"/>
                <w:sz w:val="24"/>
              </w:rPr>
              <w:t>articolo 351 e all</w:t>
            </w:r>
            <w:r w:rsidR="00516AD5">
              <w:rPr>
                <w:rFonts w:ascii="Times New Roman" w:hAnsi="Times New Roman"/>
                <w:sz w:val="24"/>
              </w:rPr>
              <w:t>'</w:t>
            </w:r>
            <w:r>
              <w:rPr>
                <w:rFonts w:ascii="Times New Roman" w:hAnsi="Times New Roman"/>
                <w:sz w:val="24"/>
              </w:rPr>
              <w:t>articolo 352, paragrafi 2 e 4, del regolamento (UE) n. 575/2013.</w:t>
            </w:r>
          </w:p>
          <w:p w14:paraId="0D0C93F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69470C9" w14:textId="5F1F34FD"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u w:val="single"/>
              </w:rPr>
              <w:t>Segnalazione di OIC trattati come valute diverse ai sensi dell</w:t>
            </w:r>
            <w:r w:rsidR="00516AD5">
              <w:rPr>
                <w:rFonts w:ascii="Times New Roman" w:hAnsi="Times New Roman"/>
                <w:sz w:val="24"/>
                <w:u w:val="single"/>
              </w:rPr>
              <w:t>'</w:t>
            </w:r>
            <w:r>
              <w:rPr>
                <w:rFonts w:ascii="Times New Roman" w:hAnsi="Times New Roman"/>
                <w:sz w:val="24"/>
                <w:u w:val="single"/>
              </w:rPr>
              <w:t>articolo 353 del regolamento (UE) n. 575/2013</w:t>
            </w:r>
          </w:p>
          <w:p w14:paraId="77B7A43F" w14:textId="77777777" w:rsidR="000B0B09" w:rsidRPr="002D60D7" w:rsidRDefault="000B0B09"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Sono previsti due trattamenti diversi degli OIC trattati come valute distinte per il calcolo dei requisiti patrimoniali:</w:t>
            </w:r>
          </w:p>
          <w:p w14:paraId="5B250982" w14:textId="0E25E1F3"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a) il metodo modificato per il trattamento degli investimenti in oro, se la direzione dell</w:t>
            </w:r>
            <w:r w:rsidR="00516AD5">
              <w:rPr>
                <w:rFonts w:ascii="Times New Roman" w:hAnsi="Times New Roman"/>
                <w:sz w:val="24"/>
              </w:rPr>
              <w:t>'</w:t>
            </w:r>
            <w:r>
              <w:rPr>
                <w:rFonts w:ascii="Times New Roman" w:hAnsi="Times New Roman"/>
                <w:sz w:val="24"/>
              </w:rPr>
              <w:t>investimento in OIC non è disponibile (gli OIC in questione sono aggiunti alla posizione complessiva netta in valuta dell</w:t>
            </w:r>
            <w:r w:rsidR="00516AD5">
              <w:rPr>
                <w:rFonts w:ascii="Times New Roman" w:hAnsi="Times New Roman"/>
                <w:sz w:val="24"/>
              </w:rPr>
              <w:t>'</w:t>
            </w:r>
            <w:r>
              <w:rPr>
                <w:rFonts w:ascii="Times New Roman" w:hAnsi="Times New Roman"/>
                <w:sz w:val="24"/>
              </w:rPr>
              <w:t>ente);</w:t>
            </w:r>
          </w:p>
          <w:p w14:paraId="36EAAD8C" w14:textId="03E2D650" w:rsidR="000B0B09" w:rsidRPr="002D60D7" w:rsidRDefault="00EA7544" w:rsidP="004C445F">
            <w:pPr>
              <w:suppressAutoHyphens/>
              <w:autoSpaceDE w:val="0"/>
              <w:autoSpaceDN w:val="0"/>
              <w:adjustRightInd w:val="0"/>
              <w:spacing w:before="0" w:after="0"/>
              <w:ind w:left="720" w:hanging="360"/>
              <w:rPr>
                <w:rFonts w:ascii="Times New Roman" w:hAnsi="Times New Roman"/>
                <w:bCs/>
                <w:sz w:val="24"/>
              </w:rPr>
            </w:pPr>
            <w:r>
              <w:rPr>
                <w:rFonts w:ascii="Times New Roman" w:hAnsi="Times New Roman"/>
                <w:sz w:val="24"/>
              </w:rPr>
              <w:t>b) se la direzione dell</w:t>
            </w:r>
            <w:r w:rsidR="00516AD5">
              <w:rPr>
                <w:rFonts w:ascii="Times New Roman" w:hAnsi="Times New Roman"/>
                <w:sz w:val="24"/>
              </w:rPr>
              <w:t>'</w:t>
            </w:r>
            <w:r>
              <w:rPr>
                <w:rFonts w:ascii="Times New Roman" w:hAnsi="Times New Roman"/>
                <w:sz w:val="24"/>
              </w:rPr>
              <w:t>investimento in OIC è disponibile, gli OIC in questione sono aggiunti alla posizione complessiva aperta in valuta (lunga o corta a seconda della direzione dell</w:t>
            </w:r>
            <w:r w:rsidR="00516AD5">
              <w:rPr>
                <w:rFonts w:ascii="Times New Roman" w:hAnsi="Times New Roman"/>
                <w:sz w:val="24"/>
              </w:rPr>
              <w:t>'</w:t>
            </w:r>
            <w:r>
              <w:rPr>
                <w:rFonts w:ascii="Times New Roman" w:hAnsi="Times New Roman"/>
                <w:sz w:val="24"/>
              </w:rPr>
              <w:t>OIC).</w:t>
            </w:r>
          </w:p>
          <w:p w14:paraId="6410AE39" w14:textId="77777777" w:rsidR="000B0B09" w:rsidRPr="002D60D7" w:rsidRDefault="000B0B09" w:rsidP="004C445F">
            <w:pPr>
              <w:suppressAutoHyphens/>
              <w:autoSpaceDE w:val="0"/>
              <w:autoSpaceDN w:val="0"/>
              <w:adjustRightInd w:val="0"/>
              <w:spacing w:before="0" w:after="0"/>
              <w:rPr>
                <w:rFonts w:ascii="Times New Roman" w:hAnsi="Times New Roman"/>
                <w:bCs/>
                <w:sz w:val="24"/>
                <w:u w:val="single"/>
              </w:rPr>
            </w:pPr>
            <w:r>
              <w:rPr>
                <w:rFonts w:ascii="Times New Roman" w:hAnsi="Times New Roman"/>
                <w:sz w:val="24"/>
              </w:rPr>
              <w:t>La segnalazione degli OIC in questione segue il calcolo dei requisiti patrimoniali.</w:t>
            </w:r>
          </w:p>
          <w:p w14:paraId="6EF89CCB" w14:textId="77777777" w:rsidR="00DE48EF" w:rsidRPr="002D60D7" w:rsidRDefault="00DE48EF"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3074F2FD" w14:textId="77777777" w:rsidTr="00672D2A">
        <w:tc>
          <w:tcPr>
            <w:tcW w:w="991" w:type="dxa"/>
          </w:tcPr>
          <w:p w14:paraId="77D3A983"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71" w:type="dxa"/>
          </w:tcPr>
          <w:p w14:paraId="0E1B066C"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ORO</w:t>
            </w:r>
          </w:p>
          <w:p w14:paraId="3DD20C37"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E2B6F8D" w14:textId="0B8F2F78"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e relativi requisiti di fondi propri per le valute soggette alla procedura generale di cui all</w:t>
            </w:r>
            <w:r w:rsidR="00516AD5">
              <w:rPr>
                <w:rFonts w:ascii="Times New Roman" w:hAnsi="Times New Roman"/>
                <w:sz w:val="24"/>
              </w:rPr>
              <w:t>'</w:t>
            </w:r>
            <w:r>
              <w:rPr>
                <w:rFonts w:ascii="Times New Roman" w:hAnsi="Times New Roman"/>
                <w:sz w:val="24"/>
              </w:rPr>
              <w:t>articolo 351 e all</w:t>
            </w:r>
            <w:r w:rsidR="00516AD5">
              <w:rPr>
                <w:rFonts w:ascii="Times New Roman" w:hAnsi="Times New Roman"/>
                <w:sz w:val="24"/>
              </w:rPr>
              <w:t>'</w:t>
            </w:r>
            <w:r>
              <w:rPr>
                <w:rFonts w:ascii="Times New Roman" w:hAnsi="Times New Roman"/>
                <w:sz w:val="24"/>
              </w:rPr>
              <w:t xml:space="preserve">articolo 352, paragrafi 2 e 4, del regolamento (UE) n. 575/2013 </w:t>
            </w:r>
          </w:p>
          <w:p w14:paraId="2363385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76FC5B51" w14:textId="77777777" w:rsidTr="00672D2A">
        <w:tc>
          <w:tcPr>
            <w:tcW w:w="991" w:type="dxa"/>
          </w:tcPr>
          <w:p w14:paraId="119AB32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0050-0090</w:t>
            </w:r>
          </w:p>
        </w:tc>
        <w:tc>
          <w:tcPr>
            <w:tcW w:w="7871" w:type="dxa"/>
          </w:tcPr>
          <w:p w14:paraId="76D7671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REQUISITI AGGIUNTIVI PER LE OPZIONI (RISCHI NON DELTA)</w:t>
            </w:r>
          </w:p>
          <w:p w14:paraId="409B80C0" w14:textId="3123C3E4" w:rsidR="000B0B09" w:rsidRPr="002D60D7" w:rsidRDefault="000B0B09" w:rsidP="004C445F">
            <w:pPr>
              <w:suppressAutoHyphens/>
              <w:autoSpaceDE w:val="0"/>
              <w:autoSpaceDN w:val="0"/>
              <w:adjustRightInd w:val="0"/>
              <w:spacing w:after="0"/>
              <w:rPr>
                <w:rFonts w:ascii="Times New Roman" w:hAnsi="Times New Roman"/>
                <w:sz w:val="24"/>
              </w:rPr>
            </w:pPr>
            <w:r>
              <w:rPr>
                <w:rFonts w:ascii="Times New Roman" w:hAnsi="Times New Roman"/>
                <w:sz w:val="24"/>
              </w:rPr>
              <w:t xml:space="preserve">Articolo 352, paragrafi 5 e 6, del regolamento (UE) n. 575/2013 </w:t>
            </w:r>
          </w:p>
          <w:p w14:paraId="28A72F07"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64B10AE8" w14:textId="2A6ADC0E" w:rsidR="000B0B09" w:rsidRPr="00516AD5"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I requisiti aggiuntivi per opzioni correlati ai rischi diversi dal rischio delta sono segnalati ripartendoli in funzione del metodo utilizzato per il calcolo. </w:t>
            </w:r>
          </w:p>
        </w:tc>
      </w:tr>
      <w:tr w:rsidR="000B0B09" w:rsidRPr="002D60D7" w14:paraId="4FB6CAB6" w14:textId="77777777" w:rsidTr="00672D2A">
        <w:tc>
          <w:tcPr>
            <w:tcW w:w="991" w:type="dxa"/>
          </w:tcPr>
          <w:p w14:paraId="4A4827F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0100-0120</w:t>
            </w:r>
          </w:p>
        </w:tc>
        <w:tc>
          <w:tcPr>
            <w:tcW w:w="7871" w:type="dxa"/>
          </w:tcPr>
          <w:p w14:paraId="4D32EE9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Ripartizione delle posizioni totali (comprese le valute utilizzate per le segnalazioni) per tipo di esposizione</w:t>
            </w:r>
          </w:p>
          <w:p w14:paraId="35F84DAE"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lang w:eastAsia="nl-BE"/>
              </w:rPr>
            </w:pPr>
          </w:p>
          <w:p w14:paraId="11C8EDD8"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Le posizioni totali sono ripartite per derivati, altre attività e passività ed elementi fuori bilancio.</w:t>
            </w:r>
          </w:p>
          <w:p w14:paraId="645944F1" w14:textId="77777777" w:rsidR="00DE48EF" w:rsidRPr="00516AD5" w:rsidRDefault="00DE48EF" w:rsidP="004C445F">
            <w:pPr>
              <w:suppressAutoHyphens/>
              <w:autoSpaceDE w:val="0"/>
              <w:autoSpaceDN w:val="0"/>
              <w:adjustRightInd w:val="0"/>
              <w:spacing w:before="0" w:after="0"/>
              <w:rPr>
                <w:rFonts w:ascii="Times New Roman" w:hAnsi="Times New Roman"/>
                <w:b/>
                <w:bCs/>
                <w:szCs w:val="20"/>
                <w:u w:val="single"/>
                <w:lang w:eastAsia="nl-BE"/>
              </w:rPr>
            </w:pPr>
          </w:p>
        </w:tc>
      </w:tr>
      <w:tr w:rsidR="000B0B09" w:rsidRPr="002D60D7" w14:paraId="12C3A573" w14:textId="77777777" w:rsidTr="00672D2A">
        <w:tc>
          <w:tcPr>
            <w:tcW w:w="991" w:type="dxa"/>
          </w:tcPr>
          <w:p w14:paraId="328B76F1"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871" w:type="dxa"/>
          </w:tcPr>
          <w:p w14:paraId="2B5ED8B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Attività e passività diverse dagli elementi fuori bilancio e dai derivati</w:t>
            </w:r>
          </w:p>
          <w:p w14:paraId="70ABA94F"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lang w:eastAsia="nl-BE"/>
              </w:rPr>
            </w:pPr>
          </w:p>
          <w:p w14:paraId="048B1F95" w14:textId="77777777" w:rsidR="00DE48EF"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Le posizioni non comprese nella riga 0110 o nella riga 0120 sono segnalate in questa voce. </w:t>
            </w:r>
          </w:p>
          <w:p w14:paraId="68474F8C"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rPr>
            </w:pPr>
            <w:r>
              <w:rPr>
                <w:rFonts w:ascii="Times New Roman" w:hAnsi="Times New Roman"/>
                <w:sz w:val="24"/>
              </w:rPr>
              <w:t xml:space="preserve"> </w:t>
            </w:r>
          </w:p>
        </w:tc>
      </w:tr>
      <w:tr w:rsidR="000B0B09" w:rsidRPr="002D60D7" w14:paraId="68F25686" w14:textId="77777777" w:rsidTr="00672D2A">
        <w:tc>
          <w:tcPr>
            <w:tcW w:w="991" w:type="dxa"/>
          </w:tcPr>
          <w:p w14:paraId="76AEDC5B"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71" w:type="dxa"/>
          </w:tcPr>
          <w:p w14:paraId="2D48760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Elementi fuori bilancio</w:t>
            </w:r>
          </w:p>
          <w:p w14:paraId="4FE41ABE"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lang w:eastAsia="nl-BE"/>
              </w:rPr>
            </w:pPr>
          </w:p>
          <w:p w14:paraId="7CE2DA10" w14:textId="07A545C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Gli elementi che rientrano nell</w:t>
            </w:r>
            <w:r w:rsidR="00516AD5">
              <w:rPr>
                <w:rFonts w:ascii="Times New Roman" w:hAnsi="Times New Roman"/>
                <w:sz w:val="24"/>
              </w:rPr>
              <w:t>'</w:t>
            </w:r>
            <w:r>
              <w:rPr>
                <w:rFonts w:ascii="Times New Roman" w:hAnsi="Times New Roman"/>
                <w:sz w:val="24"/>
              </w:rPr>
              <w:t>ambito di applicazione dell</w:t>
            </w:r>
            <w:r w:rsidR="00516AD5">
              <w:rPr>
                <w:rFonts w:ascii="Times New Roman" w:hAnsi="Times New Roman"/>
                <w:sz w:val="24"/>
              </w:rPr>
              <w:t>'</w:t>
            </w:r>
            <w:r>
              <w:rPr>
                <w:rFonts w:ascii="Times New Roman" w:hAnsi="Times New Roman"/>
                <w:sz w:val="24"/>
              </w:rPr>
              <w:t>articolo 352 del regolamento (UE) n. 575/2013, indipendentemente dalla valuta di denominazione, che sono compresi nell</w:t>
            </w:r>
            <w:r w:rsidR="00516AD5">
              <w:rPr>
                <w:rFonts w:ascii="Times New Roman" w:hAnsi="Times New Roman"/>
                <w:sz w:val="24"/>
              </w:rPr>
              <w:t>'</w:t>
            </w:r>
            <w:r>
              <w:rPr>
                <w:rFonts w:ascii="Times New Roman" w:hAnsi="Times New Roman"/>
                <w:sz w:val="24"/>
              </w:rPr>
              <w:t>allegato I di tale regolamento, tranne quelli inclusi come operazioni di finanziamento tramite titoli e operazioni con regolamento a lungo termine o derivanti da un accordo di compensazione contrattuale tra prodotti differenti.</w:t>
            </w:r>
          </w:p>
          <w:p w14:paraId="25D49F5C" w14:textId="77777777" w:rsidR="00DE48EF" w:rsidRPr="00516AD5" w:rsidRDefault="00DE48EF" w:rsidP="004C445F">
            <w:pPr>
              <w:suppressAutoHyphens/>
              <w:autoSpaceDE w:val="0"/>
              <w:autoSpaceDN w:val="0"/>
              <w:adjustRightInd w:val="0"/>
              <w:spacing w:before="0" w:after="0"/>
              <w:rPr>
                <w:rFonts w:ascii="Times New Roman" w:hAnsi="Times New Roman"/>
                <w:b/>
                <w:bCs/>
                <w:szCs w:val="20"/>
                <w:u w:val="single"/>
                <w:lang w:eastAsia="nl-BE"/>
              </w:rPr>
            </w:pPr>
          </w:p>
        </w:tc>
      </w:tr>
      <w:tr w:rsidR="000B0B09" w:rsidRPr="002D60D7" w14:paraId="6C61B439" w14:textId="77777777" w:rsidTr="00672D2A">
        <w:tc>
          <w:tcPr>
            <w:tcW w:w="991" w:type="dxa"/>
          </w:tcPr>
          <w:p w14:paraId="33EE45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71" w:type="dxa"/>
          </w:tcPr>
          <w:p w14:paraId="56E0717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Derivati</w:t>
            </w:r>
          </w:p>
          <w:p w14:paraId="7B6CC853"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lang w:eastAsia="nl-BE"/>
              </w:rPr>
            </w:pPr>
          </w:p>
          <w:p w14:paraId="2984F2C2" w14:textId="469BD82C" w:rsidR="00902EFC" w:rsidRPr="00516AD5"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valutate conformemente all</w:t>
            </w:r>
            <w:r w:rsidR="00516AD5">
              <w:rPr>
                <w:rFonts w:ascii="Times New Roman" w:hAnsi="Times New Roman"/>
                <w:sz w:val="24"/>
              </w:rPr>
              <w:t>'</w:t>
            </w:r>
            <w:r>
              <w:rPr>
                <w:rFonts w:ascii="Times New Roman" w:hAnsi="Times New Roman"/>
                <w:sz w:val="24"/>
              </w:rPr>
              <w:t>articolo 352 del regolamento (UE) n. 575/2013.</w:t>
            </w:r>
          </w:p>
        </w:tc>
      </w:tr>
      <w:tr w:rsidR="000B0B09" w:rsidRPr="002D60D7" w14:paraId="0D32A9CF" w14:textId="77777777" w:rsidTr="00672D2A">
        <w:tc>
          <w:tcPr>
            <w:tcW w:w="991" w:type="dxa"/>
          </w:tcPr>
          <w:p w14:paraId="7B4BCDF0" w14:textId="0459354E"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0130-0470</w:t>
            </w:r>
          </w:p>
        </w:tc>
        <w:tc>
          <w:tcPr>
            <w:tcW w:w="7871" w:type="dxa"/>
          </w:tcPr>
          <w:p w14:paraId="26286B4C" w14:textId="3843381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b/>
                <w:sz w:val="24"/>
                <w:u w:val="single"/>
              </w:rPr>
              <w:t>VOCI PER MEMORIA: POSIZIONI IN VALUTA</w:t>
            </w:r>
          </w:p>
          <w:p w14:paraId="77A906DE" w14:textId="77777777" w:rsidR="000B0B09" w:rsidRPr="00516AD5" w:rsidRDefault="000B0B09" w:rsidP="004C445F">
            <w:pPr>
              <w:suppressAutoHyphens/>
              <w:autoSpaceDE w:val="0"/>
              <w:autoSpaceDN w:val="0"/>
              <w:adjustRightInd w:val="0"/>
              <w:spacing w:before="0" w:after="0"/>
              <w:rPr>
                <w:rFonts w:ascii="Times New Roman" w:hAnsi="Times New Roman"/>
                <w:b/>
                <w:bCs/>
                <w:szCs w:val="20"/>
                <w:lang w:eastAsia="de-DE"/>
              </w:rPr>
            </w:pPr>
          </w:p>
          <w:p w14:paraId="31EAE6A1" w14:textId="589F904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Le voci per memoria del modello sono compilate separatamente per tutte le valute degli Stati membri dell</w:t>
            </w:r>
            <w:r w:rsidR="00516AD5">
              <w:rPr>
                <w:rFonts w:ascii="Times New Roman" w:hAnsi="Times New Roman"/>
                <w:sz w:val="24"/>
              </w:rPr>
              <w:t>'</w:t>
            </w:r>
            <w:r>
              <w:rPr>
                <w:rFonts w:ascii="Times New Roman" w:hAnsi="Times New Roman"/>
                <w:sz w:val="24"/>
              </w:rPr>
              <w:t xml:space="preserve">Unione, per le valute GBP, USD, CHF, JPY, RUB, TRY, AUD, CAD, RSD, ALL, UAH, MKD, EGP, ARS, BRL, MXN, HKD, ICK, TWD, NZD, NOK, SGD, KRW, CNY, nonché per tutte le altre valute. </w:t>
            </w:r>
          </w:p>
          <w:p w14:paraId="09723CAF" w14:textId="77777777" w:rsidR="003E0950" w:rsidRPr="00516AD5" w:rsidRDefault="003E0950" w:rsidP="004C445F">
            <w:pPr>
              <w:suppressAutoHyphens/>
              <w:autoSpaceDE w:val="0"/>
              <w:autoSpaceDN w:val="0"/>
              <w:adjustRightInd w:val="0"/>
              <w:spacing w:before="0" w:after="0"/>
              <w:rPr>
                <w:rFonts w:ascii="Times New Roman" w:hAnsi="Times New Roman"/>
                <w:szCs w:val="20"/>
                <w:lang w:eastAsia="de-DE"/>
              </w:rPr>
            </w:pPr>
          </w:p>
          <w:p w14:paraId="2A795EB2" w14:textId="0A8FB83E" w:rsidR="0055144E" w:rsidRPr="00516AD5" w:rsidRDefault="00A433ED" w:rsidP="004C445F">
            <w:pPr>
              <w:suppressAutoHyphens/>
              <w:autoSpaceDE w:val="0"/>
              <w:autoSpaceDN w:val="0"/>
              <w:adjustRightInd w:val="0"/>
              <w:spacing w:before="0" w:after="0"/>
              <w:rPr>
                <w:rStyle w:val="InstructionsTabelleText"/>
                <w:rFonts w:ascii="Times New Roman" w:hAnsi="Times New Roman"/>
                <w:sz w:val="24"/>
              </w:rPr>
            </w:pPr>
            <w:r>
              <w:rPr>
                <w:rFonts w:ascii="Times New Roman" w:hAnsi="Times New Roman"/>
                <w:sz w:val="24"/>
              </w:rPr>
              <w:t>Nella riga 0470 sono incluse le posizioni in oro e le posizioni in OIC trattate come valuta separata conformemente all</w:t>
            </w:r>
            <w:r w:rsidR="00516AD5">
              <w:rPr>
                <w:rFonts w:ascii="Times New Roman" w:hAnsi="Times New Roman"/>
                <w:sz w:val="24"/>
              </w:rPr>
              <w:t>'</w:t>
            </w:r>
            <w:r>
              <w:rPr>
                <w:rFonts w:ascii="Times New Roman" w:hAnsi="Times New Roman"/>
                <w:sz w:val="24"/>
              </w:rPr>
              <w:t>articolo 353, paragrafo 3, del regolamento (UE) n. 575/2013.</w:t>
            </w:r>
          </w:p>
        </w:tc>
      </w:tr>
    </w:tbl>
    <w:p w14:paraId="6BA92730" w14:textId="77777777" w:rsidR="000B0B09" w:rsidRPr="00516AD5" w:rsidRDefault="000B0B09" w:rsidP="004C445F">
      <w:pPr>
        <w:suppressAutoHyphens/>
        <w:rPr>
          <w:rFonts w:ascii="Times New Roman" w:hAnsi="Times New Roman"/>
          <w:szCs w:val="20"/>
        </w:rPr>
      </w:pPr>
    </w:p>
    <w:p w14:paraId="53515718" w14:textId="54673A1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37" w:name="_Toc262566435"/>
      <w:bookmarkStart w:id="138" w:name="_Toc295830011"/>
      <w:bookmarkStart w:id="139" w:name="_Toc308426688"/>
      <w:bookmarkStart w:id="140" w:name="_Toc310415072"/>
      <w:bookmarkStart w:id="141" w:name="_Toc360188407"/>
      <w:bookmarkStart w:id="142" w:name="_Toc473561047"/>
      <w:bookmarkStart w:id="143" w:name="_Toc210920364"/>
      <w:r>
        <w:rPr>
          <w:rFonts w:ascii="Times New Roman" w:hAnsi="Times New Roman"/>
          <w:sz w:val="24"/>
          <w:u w:val="none"/>
        </w:rPr>
        <w:t>7.</w:t>
      </w:r>
      <w:r w:rsidRPr="00516AD5">
        <w:rPr>
          <w:u w:val="none"/>
        </w:rPr>
        <w:tab/>
      </w:r>
      <w:r>
        <w:rPr>
          <w:rFonts w:ascii="Times New Roman" w:hAnsi="Times New Roman"/>
          <w:sz w:val="24"/>
        </w:rPr>
        <w:t>C 23.00 - Rischio di mercato: metodi standardizzati per le merci</w:t>
      </w:r>
      <w:bookmarkEnd w:id="137"/>
      <w:bookmarkEnd w:id="138"/>
      <w:bookmarkEnd w:id="139"/>
      <w:bookmarkEnd w:id="140"/>
      <w:bookmarkEnd w:id="141"/>
      <w:r>
        <w:rPr>
          <w:rFonts w:ascii="Times New Roman" w:hAnsi="Times New Roman"/>
          <w:sz w:val="24"/>
        </w:rPr>
        <w:t xml:space="preserve"> (MKR SA COM)</w:t>
      </w:r>
      <w:bookmarkEnd w:id="142"/>
      <w:bookmarkEnd w:id="143"/>
    </w:p>
    <w:p w14:paraId="72871AE4" w14:textId="0AF1A4EA"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44" w:name="_Toc262566436"/>
      <w:bookmarkStart w:id="145" w:name="_Toc295830012"/>
      <w:bookmarkStart w:id="146" w:name="_Toc308426689"/>
      <w:bookmarkStart w:id="147" w:name="_Toc310415073"/>
      <w:bookmarkStart w:id="148" w:name="_Toc360188408"/>
      <w:bookmarkStart w:id="149" w:name="_Toc473561048"/>
      <w:bookmarkStart w:id="150" w:name="_Toc210920365"/>
      <w:r>
        <w:rPr>
          <w:rFonts w:ascii="Times New Roman" w:hAnsi="Times New Roman"/>
          <w:sz w:val="24"/>
          <w:u w:val="none"/>
        </w:rPr>
        <w:t>7.1.</w:t>
      </w:r>
      <w:r w:rsidRPr="00516AD5">
        <w:rPr>
          <w:u w:val="none"/>
        </w:rPr>
        <w:tab/>
      </w:r>
      <w:r>
        <w:rPr>
          <w:rFonts w:ascii="Times New Roman" w:hAnsi="Times New Roman"/>
          <w:sz w:val="24"/>
        </w:rPr>
        <w:t>Osservazioni di carattere generale</w:t>
      </w:r>
      <w:bookmarkEnd w:id="144"/>
      <w:bookmarkEnd w:id="145"/>
      <w:bookmarkEnd w:id="146"/>
      <w:bookmarkEnd w:id="147"/>
      <w:bookmarkEnd w:id="148"/>
      <w:bookmarkEnd w:id="149"/>
      <w:bookmarkEnd w:id="150"/>
    </w:p>
    <w:p w14:paraId="441FA19A" w14:textId="36832BFC" w:rsidR="000B0B09" w:rsidRPr="002D60D7" w:rsidRDefault="000B0B09" w:rsidP="00E172EA">
      <w:pPr>
        <w:pStyle w:val="InstructionsText2"/>
        <w:numPr>
          <w:ilvl w:val="0"/>
          <w:numId w:val="29"/>
        </w:numPr>
        <w:suppressAutoHyphens/>
      </w:pPr>
      <w:r>
        <w:t>In questo modello vanno inserite informazioni riguardanti le posizioni in merci e i relativi requisiti di fondi propri trattati secondo il metodo standardizzato.</w:t>
      </w:r>
    </w:p>
    <w:p w14:paraId="0C8765B1" w14:textId="613B31E5" w:rsidR="000B0B09" w:rsidRPr="002D60D7" w:rsidRDefault="00C22B34" w:rsidP="004C445F">
      <w:pPr>
        <w:pStyle w:val="Instructionsberschrift2"/>
        <w:numPr>
          <w:ilvl w:val="0"/>
          <w:numId w:val="0"/>
        </w:numPr>
        <w:suppressAutoHyphens/>
        <w:ind w:left="357" w:hanging="357"/>
        <w:rPr>
          <w:rFonts w:ascii="Times New Roman" w:hAnsi="Times New Roman" w:cs="Times New Roman"/>
          <w:sz w:val="24"/>
        </w:rPr>
      </w:pPr>
      <w:bookmarkStart w:id="151" w:name="_Toc262566437"/>
      <w:bookmarkStart w:id="152" w:name="_Toc295830013"/>
      <w:bookmarkStart w:id="153" w:name="_Toc308426690"/>
      <w:bookmarkStart w:id="154" w:name="_Toc310415074"/>
      <w:bookmarkStart w:id="155" w:name="_Toc360188409"/>
      <w:bookmarkStart w:id="156" w:name="_Toc473561049"/>
      <w:bookmarkStart w:id="157" w:name="_Toc210920366"/>
      <w:r>
        <w:rPr>
          <w:rFonts w:ascii="Times New Roman" w:hAnsi="Times New Roman"/>
          <w:sz w:val="24"/>
          <w:u w:val="none"/>
        </w:rPr>
        <w:t>7.2.</w:t>
      </w:r>
      <w:r w:rsidRPr="00516AD5">
        <w:rPr>
          <w:u w:val="none"/>
        </w:rPr>
        <w:tab/>
      </w:r>
      <w:r>
        <w:rPr>
          <w:rFonts w:ascii="Times New Roman" w:hAnsi="Times New Roman"/>
          <w:sz w:val="24"/>
        </w:rPr>
        <w:t>Istruzioni relative a posizioni specifiche</w:t>
      </w:r>
      <w:bookmarkEnd w:id="151"/>
      <w:bookmarkEnd w:id="152"/>
      <w:bookmarkEnd w:id="153"/>
      <w:bookmarkEnd w:id="154"/>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7876"/>
      </w:tblGrid>
      <w:tr w:rsidR="000B0B09" w:rsidRPr="002D60D7" w14:paraId="7440A91F" w14:textId="77777777" w:rsidTr="00672D2A">
        <w:trPr>
          <w:trHeight w:val="591"/>
        </w:trPr>
        <w:tc>
          <w:tcPr>
            <w:tcW w:w="8862" w:type="dxa"/>
            <w:gridSpan w:val="2"/>
            <w:shd w:val="clear" w:color="auto" w:fill="CCCCCC"/>
          </w:tcPr>
          <w:p w14:paraId="4154FB7C"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Colonne</w:t>
            </w:r>
          </w:p>
        </w:tc>
      </w:tr>
      <w:tr w:rsidR="000B0B09" w:rsidRPr="002D60D7" w14:paraId="12CECACA" w14:textId="77777777" w:rsidTr="00672D2A">
        <w:tc>
          <w:tcPr>
            <w:tcW w:w="986" w:type="dxa"/>
          </w:tcPr>
          <w:p w14:paraId="6FA50BB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0010-0020</w:t>
            </w:r>
          </w:p>
        </w:tc>
        <w:tc>
          <w:tcPr>
            <w:tcW w:w="7876" w:type="dxa"/>
          </w:tcPr>
          <w:p w14:paraId="29C026B5"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TUTTE LE POSIZIONI (LUNGHE E CORTE)</w:t>
            </w:r>
          </w:p>
          <w:p w14:paraId="4B99A786" w14:textId="77777777" w:rsidR="000B0B09" w:rsidRPr="00516AD5" w:rsidRDefault="000B0B09" w:rsidP="004C445F">
            <w:pPr>
              <w:suppressAutoHyphens/>
              <w:autoSpaceDE w:val="0"/>
              <w:autoSpaceDN w:val="0"/>
              <w:adjustRightInd w:val="0"/>
              <w:spacing w:before="0" w:after="0"/>
              <w:rPr>
                <w:rFonts w:ascii="Times New Roman" w:hAnsi="Times New Roman"/>
                <w:b/>
                <w:bCs/>
                <w:szCs w:val="20"/>
                <w:u w:val="single"/>
                <w:lang w:eastAsia="nl-BE"/>
              </w:rPr>
            </w:pPr>
          </w:p>
          <w:p w14:paraId="3E9C7204" w14:textId="7B2791B3"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lorde lunghe/corte considerate posizioni nella stessa merce conformemente all</w:t>
            </w:r>
            <w:r w:rsidR="00516AD5">
              <w:rPr>
                <w:rFonts w:ascii="Times New Roman" w:hAnsi="Times New Roman"/>
                <w:sz w:val="24"/>
              </w:rPr>
              <w:t>'</w:t>
            </w:r>
            <w:r>
              <w:rPr>
                <w:rFonts w:ascii="Times New Roman" w:hAnsi="Times New Roman"/>
                <w:sz w:val="24"/>
              </w:rPr>
              <w:t>articolo 357, paragrafo 4, del regolamento (UE) n. 575/2013 (cfr. anche articolo 359, paragrafo 1, di tale regolamento).</w:t>
            </w:r>
          </w:p>
        </w:tc>
      </w:tr>
      <w:tr w:rsidR="000B0B09" w:rsidRPr="002D60D7" w14:paraId="4AB4396B" w14:textId="77777777" w:rsidTr="00672D2A">
        <w:tc>
          <w:tcPr>
            <w:tcW w:w="986" w:type="dxa"/>
          </w:tcPr>
          <w:p w14:paraId="224657DD"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 xml:space="preserve">0030-0040 </w:t>
            </w:r>
          </w:p>
        </w:tc>
        <w:tc>
          <w:tcPr>
            <w:tcW w:w="7876" w:type="dxa"/>
          </w:tcPr>
          <w:p w14:paraId="7FA580C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NETTE (LUNGHE E CORTE)</w:t>
            </w:r>
          </w:p>
          <w:p w14:paraId="0B49C3F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27F059DD" w14:textId="3989C6F2"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Di cui all</w:t>
            </w:r>
            <w:r w:rsidR="00516AD5">
              <w:rPr>
                <w:rFonts w:ascii="Times New Roman" w:hAnsi="Times New Roman"/>
                <w:sz w:val="24"/>
              </w:rPr>
              <w:t>'</w:t>
            </w:r>
            <w:r>
              <w:rPr>
                <w:rFonts w:ascii="Times New Roman" w:hAnsi="Times New Roman"/>
                <w:sz w:val="24"/>
              </w:rPr>
              <w:t xml:space="preserve">articolo 357, paragrafo 3, del regolamento (UE) n. 575/2013 </w:t>
            </w:r>
          </w:p>
        </w:tc>
      </w:tr>
      <w:tr w:rsidR="000B0B09" w:rsidRPr="002D60D7" w14:paraId="0A46320C" w14:textId="77777777" w:rsidTr="00672D2A">
        <w:tc>
          <w:tcPr>
            <w:tcW w:w="986" w:type="dxa"/>
          </w:tcPr>
          <w:p w14:paraId="7F0B984E"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876" w:type="dxa"/>
          </w:tcPr>
          <w:p w14:paraId="7ADEF1C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SOGGETTE A COPERTURA PATRIMONIALE</w:t>
            </w:r>
          </w:p>
          <w:p w14:paraId="55ED580C"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D57A399" w14:textId="58FF94B4"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nette che, secondo i differenti metodi di cui alla parte tre, titolo IV, capo 4, del regolamento (UE) n. 575/2013, ricevono una copertura patrimoniale.</w:t>
            </w:r>
          </w:p>
          <w:p w14:paraId="762BD2E2"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637B5E6C" w14:textId="77777777" w:rsidTr="00672D2A">
        <w:tc>
          <w:tcPr>
            <w:tcW w:w="986" w:type="dxa"/>
          </w:tcPr>
          <w:p w14:paraId="41FAB945"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76" w:type="dxa"/>
          </w:tcPr>
          <w:p w14:paraId="4AA26DC6"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REQUISITI DI FONDI PROPRI</w:t>
            </w:r>
          </w:p>
          <w:p w14:paraId="545A195F"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1F8C468D" w14:textId="65E55B27" w:rsidR="000B0B09" w:rsidRPr="002D60D7" w:rsidRDefault="000B0B09"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Requisito di fondi propri calcolato conformemente alla parte tre, titolo IV, capo</w:t>
            </w:r>
            <w:r w:rsidR="00516AD5">
              <w:rPr>
                <w:rFonts w:ascii="Times New Roman" w:hAnsi="Times New Roman"/>
                <w:sz w:val="24"/>
              </w:rPr>
              <w:t> </w:t>
            </w:r>
            <w:r>
              <w:rPr>
                <w:rFonts w:ascii="Times New Roman" w:hAnsi="Times New Roman"/>
                <w:sz w:val="24"/>
              </w:rPr>
              <w:t>4, del regolamento (UE) n. 575/2013 per ogni posizione pertinente</w:t>
            </w:r>
          </w:p>
        </w:tc>
      </w:tr>
      <w:tr w:rsidR="000B0B09" w:rsidRPr="002D60D7" w14:paraId="380AB4E0" w14:textId="77777777" w:rsidTr="00672D2A">
        <w:tc>
          <w:tcPr>
            <w:tcW w:w="986" w:type="dxa"/>
          </w:tcPr>
          <w:p w14:paraId="0EE22EDA"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6" w:type="dxa"/>
          </w:tcPr>
          <w:p w14:paraId="162C1DF7" w14:textId="62D251FE"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IMPORTO COMPLESSIVO DELL</w:t>
            </w:r>
            <w:r w:rsidR="00516AD5">
              <w:rPr>
                <w:rFonts w:ascii="Times New Roman" w:hAnsi="Times New Roman"/>
                <w:b/>
                <w:sz w:val="24"/>
                <w:u w:val="single"/>
              </w:rPr>
              <w:t>'</w:t>
            </w:r>
            <w:r>
              <w:rPr>
                <w:rFonts w:ascii="Times New Roman" w:hAnsi="Times New Roman"/>
                <w:b/>
                <w:sz w:val="24"/>
                <w:u w:val="single"/>
              </w:rPr>
              <w:t>ESPOSIZIONE AL RISCHIO</w:t>
            </w:r>
          </w:p>
          <w:p w14:paraId="35864C1F" w14:textId="77777777" w:rsidR="000B0B09" w:rsidRPr="002D60D7" w:rsidRDefault="000B0B09" w:rsidP="004C445F">
            <w:pPr>
              <w:tabs>
                <w:tab w:val="left" w:pos="1665"/>
              </w:tabs>
              <w:suppressAutoHyphens/>
              <w:autoSpaceDE w:val="0"/>
              <w:autoSpaceDN w:val="0"/>
              <w:adjustRightInd w:val="0"/>
              <w:spacing w:before="0" w:after="0"/>
              <w:rPr>
                <w:rFonts w:ascii="Times New Roman" w:hAnsi="Times New Roman"/>
                <w:b/>
                <w:bCs/>
                <w:sz w:val="24"/>
                <w:u w:val="single"/>
                <w:lang w:eastAsia="nl-BE"/>
              </w:rPr>
            </w:pPr>
          </w:p>
          <w:p w14:paraId="7C230E5C" w14:textId="027F150A" w:rsidR="00A2757B" w:rsidRPr="002D60D7" w:rsidRDefault="000B0B09" w:rsidP="004C445F">
            <w:pPr>
              <w:tabs>
                <w:tab w:val="left" w:pos="1665"/>
              </w:tabs>
              <w:suppressAutoHyphens/>
              <w:autoSpaceDE w:val="0"/>
              <w:autoSpaceDN w:val="0"/>
              <w:adjustRightInd w:val="0"/>
              <w:spacing w:before="0"/>
              <w:rPr>
                <w:rFonts w:ascii="Times New Roman" w:hAnsi="Times New Roman"/>
                <w:sz w:val="24"/>
              </w:rPr>
            </w:pPr>
            <w:r>
              <w:rPr>
                <w:rFonts w:ascii="Times New Roman" w:hAnsi="Times New Roman"/>
                <w:sz w:val="24"/>
              </w:rPr>
              <w:t xml:space="preserve">Articolo 92, paragrafo 6, lettera b), del regolamento (UE) n. 575/2013. </w:t>
            </w:r>
          </w:p>
          <w:p w14:paraId="67EADC1A" w14:textId="77777777" w:rsidR="000B0B09" w:rsidRPr="002D60D7" w:rsidRDefault="000B0B09" w:rsidP="004C445F">
            <w:pPr>
              <w:tabs>
                <w:tab w:val="left" w:pos="1665"/>
              </w:tabs>
              <w:suppressAutoHyphens/>
              <w:autoSpaceDE w:val="0"/>
              <w:autoSpaceDN w:val="0"/>
              <w:adjustRightInd w:val="0"/>
              <w:spacing w:before="0"/>
              <w:rPr>
                <w:rFonts w:ascii="Times New Roman" w:hAnsi="Times New Roman"/>
                <w:b/>
                <w:bCs/>
                <w:sz w:val="24"/>
                <w:u w:val="single"/>
              </w:rPr>
            </w:pPr>
            <w:r>
              <w:rPr>
                <w:rFonts w:ascii="Times New Roman" w:hAnsi="Times New Roman"/>
                <w:sz w:val="24"/>
              </w:rPr>
              <w:t>Risultato della moltiplicazione dei requisiti di fondi propri per 12,5</w:t>
            </w:r>
          </w:p>
        </w:tc>
      </w:tr>
    </w:tbl>
    <w:p w14:paraId="0DC9D0A4" w14:textId="77777777" w:rsidR="000B0B09" w:rsidRPr="002D60D7" w:rsidRDefault="000B0B09" w:rsidP="004C445F">
      <w:pPr>
        <w:suppressAutoHyphens/>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875"/>
      </w:tblGrid>
      <w:tr w:rsidR="000B0B09" w:rsidRPr="002D60D7" w14:paraId="0386B5FC" w14:textId="77777777" w:rsidTr="00672D2A">
        <w:trPr>
          <w:trHeight w:val="483"/>
        </w:trPr>
        <w:tc>
          <w:tcPr>
            <w:tcW w:w="8862" w:type="dxa"/>
            <w:gridSpan w:val="2"/>
            <w:shd w:val="clear" w:color="auto" w:fill="CCCCCC"/>
          </w:tcPr>
          <w:p w14:paraId="1255E033" w14:textId="77777777" w:rsidR="000B0B09" w:rsidRPr="002D60D7" w:rsidRDefault="000B0B09"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Righe</w:t>
            </w:r>
          </w:p>
        </w:tc>
      </w:tr>
      <w:tr w:rsidR="000B0B09" w:rsidRPr="002D60D7" w14:paraId="3F19FB75" w14:textId="77777777" w:rsidTr="00672D2A">
        <w:tc>
          <w:tcPr>
            <w:tcW w:w="987" w:type="dxa"/>
          </w:tcPr>
          <w:p w14:paraId="62003386"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875" w:type="dxa"/>
          </w:tcPr>
          <w:p w14:paraId="3CC5979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TOTALI IN MERCI</w:t>
            </w:r>
          </w:p>
          <w:p w14:paraId="0356262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p>
          <w:p w14:paraId="1B02378E" w14:textId="5ABB9CDB" w:rsidR="000B0B09" w:rsidRPr="002D60D7" w:rsidRDefault="000B0B09" w:rsidP="004C445F">
            <w:pPr>
              <w:suppressAutoHyphens/>
              <w:autoSpaceDE w:val="0"/>
              <w:autoSpaceDN w:val="0"/>
              <w:adjustRightInd w:val="0"/>
              <w:spacing w:before="0"/>
              <w:rPr>
                <w:rFonts w:ascii="Times New Roman" w:hAnsi="Times New Roman"/>
                <w:sz w:val="24"/>
              </w:rPr>
            </w:pPr>
            <w:r>
              <w:rPr>
                <w:rFonts w:ascii="Times New Roman" w:hAnsi="Times New Roman"/>
                <w:sz w:val="24"/>
              </w:rPr>
              <w:t>Posizioni in merci e relativi requisiti di fondi propri per il rischio di mercato calcolati conformemente all</w:t>
            </w:r>
            <w:r w:rsidR="00516AD5">
              <w:rPr>
                <w:rFonts w:ascii="Times New Roman" w:hAnsi="Times New Roman"/>
                <w:sz w:val="24"/>
              </w:rPr>
              <w:t>'</w:t>
            </w:r>
            <w:r>
              <w:rPr>
                <w:rFonts w:ascii="Times New Roman" w:hAnsi="Times New Roman"/>
                <w:sz w:val="24"/>
              </w:rPr>
              <w:t xml:space="preserve">articolo 92, paragrafo 4, lettera c), del regolamento (UE) n. 575/2013 e alla parte tre, titolo IV, capo 4, di tale regolamento. </w:t>
            </w:r>
          </w:p>
        </w:tc>
      </w:tr>
      <w:tr w:rsidR="000B0B09" w:rsidRPr="002D60D7" w14:paraId="216F1AEE" w14:textId="77777777" w:rsidTr="00672D2A">
        <w:tc>
          <w:tcPr>
            <w:tcW w:w="987" w:type="dxa"/>
          </w:tcPr>
          <w:p w14:paraId="62D08C2C"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0020-0060</w:t>
            </w:r>
          </w:p>
        </w:tc>
        <w:tc>
          <w:tcPr>
            <w:tcW w:w="7875" w:type="dxa"/>
          </w:tcPr>
          <w:p w14:paraId="759E5790"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PER CATEGORIA MERCEOLOGICA</w:t>
            </w:r>
          </w:p>
          <w:p w14:paraId="56921883"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3DC33454" w14:textId="6846566D"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 fini di segnalazione le merci sono raggruppate nelle quattro categorie merceologiche di cui alla tabella 2 dell</w:t>
            </w:r>
            <w:r w:rsidR="00516AD5">
              <w:rPr>
                <w:rFonts w:ascii="Times New Roman" w:hAnsi="Times New Roman"/>
                <w:sz w:val="24"/>
              </w:rPr>
              <w:t>'</w:t>
            </w:r>
            <w:r>
              <w:rPr>
                <w:rFonts w:ascii="Times New Roman" w:hAnsi="Times New Roman"/>
                <w:sz w:val="24"/>
              </w:rPr>
              <w:t>articolo 361 del regolamento (UE) n. 575/2013.</w:t>
            </w:r>
          </w:p>
          <w:p w14:paraId="04BB5316" w14:textId="77777777"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 </w:t>
            </w:r>
          </w:p>
        </w:tc>
      </w:tr>
      <w:tr w:rsidR="000B0B09" w:rsidRPr="002D60D7" w14:paraId="50CBB22D" w14:textId="77777777" w:rsidTr="00672D2A">
        <w:tc>
          <w:tcPr>
            <w:tcW w:w="987" w:type="dxa"/>
          </w:tcPr>
          <w:p w14:paraId="3E68EF2F"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75" w:type="dxa"/>
          </w:tcPr>
          <w:p w14:paraId="5AACA5EE"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METODO BASATO SULLE FASCE DI SCADENZA</w:t>
            </w:r>
          </w:p>
          <w:p w14:paraId="2C667CB8"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72CB6FD7" w14:textId="461D71A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in merci soggette al metodo basato sulle fasce di scadenza di cui all</w:t>
            </w:r>
            <w:r w:rsidR="00516AD5">
              <w:rPr>
                <w:rFonts w:ascii="Times New Roman" w:hAnsi="Times New Roman"/>
                <w:sz w:val="24"/>
              </w:rPr>
              <w:t>'</w:t>
            </w:r>
            <w:r>
              <w:rPr>
                <w:rFonts w:ascii="Times New Roman" w:hAnsi="Times New Roman"/>
                <w:sz w:val="24"/>
              </w:rPr>
              <w:t>articolo 359 del regolamento (UE) n. 575/2013</w:t>
            </w:r>
          </w:p>
          <w:p w14:paraId="018E7283"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1D4187B0" w14:textId="77777777" w:rsidTr="00672D2A">
        <w:tc>
          <w:tcPr>
            <w:tcW w:w="987" w:type="dxa"/>
          </w:tcPr>
          <w:p w14:paraId="317F5718"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75" w:type="dxa"/>
          </w:tcPr>
          <w:p w14:paraId="7D3D047D"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METODO BASATO SULLE FASCE DI SCADENZA AMPLIATO</w:t>
            </w:r>
          </w:p>
          <w:p w14:paraId="28E22845" w14:textId="77777777" w:rsidR="000B0B09" w:rsidRPr="002D60D7" w:rsidRDefault="000B0B09" w:rsidP="004C445F">
            <w:pPr>
              <w:suppressAutoHyphens/>
              <w:autoSpaceDE w:val="0"/>
              <w:autoSpaceDN w:val="0"/>
              <w:adjustRightInd w:val="0"/>
              <w:spacing w:before="0" w:after="0"/>
              <w:rPr>
                <w:rFonts w:ascii="Times New Roman" w:hAnsi="Times New Roman"/>
                <w:sz w:val="24"/>
                <w:lang w:eastAsia="de-DE"/>
              </w:rPr>
            </w:pPr>
          </w:p>
          <w:p w14:paraId="072FB876" w14:textId="3D99C589"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in merci soggette al metodo basato sulle fasce di scadenza ampliato di cui all</w:t>
            </w:r>
            <w:r w:rsidR="00516AD5">
              <w:rPr>
                <w:rFonts w:ascii="Times New Roman" w:hAnsi="Times New Roman"/>
                <w:sz w:val="24"/>
              </w:rPr>
              <w:t>'</w:t>
            </w:r>
            <w:r>
              <w:rPr>
                <w:rFonts w:ascii="Times New Roman" w:hAnsi="Times New Roman"/>
                <w:sz w:val="24"/>
              </w:rPr>
              <w:t>articolo 361 del regolamento (UE) n. 575/2013.</w:t>
            </w:r>
          </w:p>
          <w:p w14:paraId="4CC42EB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08D8BBC0" w14:textId="77777777" w:rsidTr="00672D2A">
        <w:tc>
          <w:tcPr>
            <w:tcW w:w="987" w:type="dxa"/>
          </w:tcPr>
          <w:p w14:paraId="75FF36E9" w14:textId="77777777" w:rsidR="000B0B09" w:rsidRPr="002D60D7" w:rsidRDefault="002F79EA"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75" w:type="dxa"/>
          </w:tcPr>
          <w:p w14:paraId="5AEA8FE4"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METODO SEMPLIFICATO</w:t>
            </w:r>
          </w:p>
          <w:p w14:paraId="739EF26B"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p w14:paraId="33C6F5D9" w14:textId="48A0AA50" w:rsidR="000B0B09" w:rsidRPr="002D60D7" w:rsidRDefault="000B0B09"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Posizioni in merci soggette al metodo semplificato di cui all</w:t>
            </w:r>
            <w:r w:rsidR="00516AD5">
              <w:rPr>
                <w:rFonts w:ascii="Times New Roman" w:hAnsi="Times New Roman"/>
                <w:sz w:val="24"/>
              </w:rPr>
              <w:t>'</w:t>
            </w:r>
            <w:r>
              <w:rPr>
                <w:rFonts w:ascii="Times New Roman" w:hAnsi="Times New Roman"/>
                <w:sz w:val="24"/>
              </w:rPr>
              <w:t xml:space="preserve">articolo 360 del regolamento (UE) n. 575/2013 </w:t>
            </w:r>
          </w:p>
          <w:p w14:paraId="72D24CC9" w14:textId="77777777" w:rsidR="000B0B09" w:rsidRPr="002D60D7" w:rsidRDefault="000B0B09" w:rsidP="004C445F">
            <w:pPr>
              <w:suppressAutoHyphens/>
              <w:autoSpaceDE w:val="0"/>
              <w:autoSpaceDN w:val="0"/>
              <w:adjustRightInd w:val="0"/>
              <w:spacing w:before="0" w:after="0"/>
              <w:rPr>
                <w:rFonts w:ascii="Times New Roman" w:hAnsi="Times New Roman"/>
                <w:b/>
                <w:bCs/>
                <w:sz w:val="24"/>
                <w:u w:val="single"/>
                <w:lang w:eastAsia="nl-BE"/>
              </w:rPr>
            </w:pPr>
          </w:p>
        </w:tc>
      </w:tr>
      <w:tr w:rsidR="000B0B09" w:rsidRPr="002D60D7" w14:paraId="46AF081D" w14:textId="77777777" w:rsidTr="00672D2A">
        <w:tc>
          <w:tcPr>
            <w:tcW w:w="987" w:type="dxa"/>
          </w:tcPr>
          <w:p w14:paraId="7DA76A9F" w14:textId="77777777" w:rsidR="000B0B09" w:rsidRPr="002D60D7" w:rsidRDefault="002F79EA"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0100-0140</w:t>
            </w:r>
          </w:p>
        </w:tc>
        <w:tc>
          <w:tcPr>
            <w:tcW w:w="7875" w:type="dxa"/>
          </w:tcPr>
          <w:p w14:paraId="1AB2469B" w14:textId="77777777" w:rsidR="000B0B09" w:rsidRPr="002D60D7" w:rsidRDefault="000B0B09" w:rsidP="00516AD5">
            <w:pPr>
              <w:keepNext/>
              <w:suppressAutoHyphens/>
              <w:autoSpaceDE w:val="0"/>
              <w:autoSpaceDN w:val="0"/>
              <w:adjustRightInd w:val="0"/>
              <w:spacing w:before="0" w:after="0"/>
              <w:rPr>
                <w:rFonts w:ascii="Times New Roman" w:hAnsi="Times New Roman"/>
                <w:b/>
                <w:bCs/>
                <w:sz w:val="24"/>
                <w:u w:val="single"/>
              </w:rPr>
            </w:pPr>
            <w:r>
              <w:rPr>
                <w:rStyle w:val="InstructionsTabelleberschrift"/>
                <w:rFonts w:ascii="Times New Roman" w:hAnsi="Times New Roman"/>
                <w:sz w:val="24"/>
              </w:rPr>
              <w:t>REQUISITI AGGIUNTIVI PER LE OPZIONI (RISCHI NON DELTA)</w:t>
            </w:r>
          </w:p>
          <w:p w14:paraId="444B7110" w14:textId="08585130" w:rsidR="000B0B09" w:rsidRPr="002D60D7" w:rsidRDefault="000B0B09" w:rsidP="00516AD5">
            <w:pPr>
              <w:keepNext/>
              <w:suppressAutoHyphens/>
              <w:autoSpaceDE w:val="0"/>
              <w:autoSpaceDN w:val="0"/>
              <w:adjustRightInd w:val="0"/>
              <w:rPr>
                <w:rFonts w:ascii="Times New Roman" w:hAnsi="Times New Roman"/>
                <w:sz w:val="24"/>
              </w:rPr>
            </w:pPr>
            <w:r>
              <w:rPr>
                <w:rFonts w:ascii="Times New Roman" w:hAnsi="Times New Roman"/>
                <w:sz w:val="24"/>
              </w:rPr>
              <w:t xml:space="preserve">Articolo 358, paragrafo 4, del regolamento (UE) n. 575/2013 </w:t>
            </w:r>
          </w:p>
          <w:p w14:paraId="1D3D5AF7" w14:textId="77777777" w:rsidR="000B0B09" w:rsidRPr="002D60D7" w:rsidRDefault="000B0B09" w:rsidP="00516AD5">
            <w:pPr>
              <w:keepNext/>
              <w:suppressAutoHyphens/>
              <w:autoSpaceDE w:val="0"/>
              <w:autoSpaceDN w:val="0"/>
              <w:adjustRightInd w:val="0"/>
              <w:spacing w:before="0" w:after="0"/>
              <w:rPr>
                <w:rFonts w:ascii="Times New Roman" w:hAnsi="Times New Roman"/>
                <w:sz w:val="24"/>
              </w:rPr>
            </w:pPr>
            <w:r>
              <w:rPr>
                <w:rFonts w:ascii="Times New Roman" w:hAnsi="Times New Roman"/>
                <w:sz w:val="24"/>
              </w:rPr>
              <w:t>I requisiti aggiuntivi per le opzioni correlate a rischi diversi dal rischio delta sono segnalati nel metodo utilizzato per il relativo calcolo.</w:t>
            </w:r>
          </w:p>
          <w:p w14:paraId="55D77BA3" w14:textId="77777777" w:rsidR="000B0B09" w:rsidRPr="002D60D7" w:rsidRDefault="000B0B09" w:rsidP="00516AD5">
            <w:pPr>
              <w:keepNext/>
              <w:suppressAutoHyphens/>
              <w:autoSpaceDE w:val="0"/>
              <w:autoSpaceDN w:val="0"/>
              <w:adjustRightInd w:val="0"/>
              <w:spacing w:before="0" w:after="0"/>
              <w:rPr>
                <w:rFonts w:ascii="Times New Roman" w:hAnsi="Times New Roman"/>
                <w:sz w:val="24"/>
                <w:lang w:eastAsia="de-DE"/>
              </w:rPr>
            </w:pPr>
          </w:p>
        </w:tc>
      </w:tr>
    </w:tbl>
    <w:p w14:paraId="43D70997" w14:textId="77777777" w:rsidR="000B0B09" w:rsidRPr="002D60D7" w:rsidRDefault="000B0B09" w:rsidP="004C445F">
      <w:pPr>
        <w:suppressAutoHyphens/>
        <w:rPr>
          <w:rFonts w:ascii="Times New Roman" w:hAnsi="Times New Roman"/>
          <w:sz w:val="24"/>
        </w:rPr>
      </w:pPr>
    </w:p>
    <w:p w14:paraId="60EF2674" w14:textId="77777777" w:rsidR="000B0B09" w:rsidRPr="002D60D7" w:rsidRDefault="000B0B09" w:rsidP="004C445F">
      <w:pPr>
        <w:suppressAutoHyphens/>
        <w:spacing w:before="0" w:after="0"/>
        <w:jc w:val="left"/>
        <w:rPr>
          <w:rStyle w:val="InstructionsTabelleText"/>
          <w:rFonts w:ascii="Times New Roman" w:hAnsi="Times New Roman"/>
          <w:sz w:val="24"/>
        </w:rPr>
      </w:pPr>
    </w:p>
    <w:p w14:paraId="47562548" w14:textId="0B23E4C1" w:rsidR="005970B6" w:rsidRPr="002D60D7" w:rsidRDefault="00C82BBD" w:rsidP="004C445F">
      <w:pPr>
        <w:pStyle w:val="Instructionsberschrift2"/>
        <w:numPr>
          <w:ilvl w:val="0"/>
          <w:numId w:val="0"/>
        </w:numPr>
        <w:suppressAutoHyphens/>
        <w:ind w:left="357" w:hanging="357"/>
        <w:rPr>
          <w:rFonts w:ascii="Times New Roman" w:hAnsi="Times New Roman"/>
          <w:sz w:val="24"/>
        </w:rPr>
      </w:pPr>
      <w:bookmarkStart w:id="158" w:name="_Toc210920367"/>
      <w:r>
        <w:rPr>
          <w:rFonts w:ascii="Times New Roman" w:hAnsi="Times New Roman"/>
          <w:sz w:val="24"/>
        </w:rPr>
        <w:t>8.</w:t>
      </w:r>
      <w:r>
        <w:tab/>
      </w:r>
      <w:r>
        <w:rPr>
          <w:rFonts w:ascii="Times New Roman" w:hAnsi="Times New Roman"/>
          <w:sz w:val="24"/>
        </w:rPr>
        <w:t>C 24.00 - Modelli interni per il rischio di mercato (MKR IM)</w:t>
      </w:r>
      <w:bookmarkEnd w:id="158"/>
    </w:p>
    <w:p w14:paraId="4EE11059" w14:textId="6831F2FC"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59" w:name="_Toc151714505"/>
      <w:bookmarkStart w:id="160" w:name="_Toc210920368"/>
      <w:r>
        <w:rPr>
          <w:rFonts w:ascii="Times New Roman" w:hAnsi="Times New Roman"/>
          <w:sz w:val="24"/>
          <w:u w:val="none"/>
        </w:rPr>
        <w:t>8.1</w:t>
      </w:r>
      <w:r>
        <w:tab/>
      </w:r>
      <w:r>
        <w:rPr>
          <w:rFonts w:ascii="Times New Roman" w:hAnsi="Times New Roman"/>
          <w:sz w:val="24"/>
        </w:rPr>
        <w:t>Osservazioni di carattere generale</w:t>
      </w:r>
      <w:bookmarkEnd w:id="159"/>
      <w:bookmarkEnd w:id="160"/>
    </w:p>
    <w:p w14:paraId="2B3D1454" w14:textId="708078C0" w:rsidR="005970B6" w:rsidRPr="002D60D7" w:rsidRDefault="005970B6" w:rsidP="00E172EA">
      <w:pPr>
        <w:pStyle w:val="InstructionsText2"/>
        <w:numPr>
          <w:ilvl w:val="0"/>
          <w:numId w:val="29"/>
        </w:numPr>
        <w:suppressAutoHyphens/>
      </w:pPr>
      <w:r>
        <w:t>Questo modello contiene una ripartizione dei dati del valore a rischio (VaR) e del valore a rischio in condizioni di stress (SVaR) secondo i diversi rischi di mercato (debito, strumenti di capitale, cambio, merci) e altre informazioni rilevanti per il calcolo dei requisiti di fondi propri.</w:t>
      </w:r>
    </w:p>
    <w:p w14:paraId="6141A6DE" w14:textId="74F9B3B1" w:rsidR="005970B6" w:rsidRDefault="005970B6" w:rsidP="00E172EA">
      <w:pPr>
        <w:pStyle w:val="InstructionsText2"/>
        <w:numPr>
          <w:ilvl w:val="0"/>
          <w:numId w:val="29"/>
        </w:numPr>
        <w:suppressAutoHyphens/>
      </w:pPr>
      <w:r>
        <w:t>In linea generale, dipende dalla struttura del modello delle imprese di investimento il fatto che i dati relativi al rischio generico e al rischio specifico possano essere determinati e segnalati separatamente o solo come totale. Lo</w:t>
      </w:r>
      <w:r w:rsidR="00516AD5">
        <w:t> </w:t>
      </w:r>
      <w:r>
        <w:t>stesso vale per la scomposizione del VaR/SVaR tra le categorie di rischio (rischio di tasso d</w:t>
      </w:r>
      <w:r w:rsidR="00516AD5">
        <w:t>'</w:t>
      </w:r>
      <w:r>
        <w:t>interesse, di strumenti di capitale, di posizione in merci e di cambio). L</w:t>
      </w:r>
      <w:r w:rsidR="00516AD5">
        <w:t>'</w:t>
      </w:r>
      <w:r>
        <w:t xml:space="preserve">ente può non segnalare queste scomposizioni se è in grado di dimostrare che la segnalazione di questi dati sarebbe ingiustificatamente onerosa. </w:t>
      </w:r>
    </w:p>
    <w:p w14:paraId="2EAB7003" w14:textId="035AB67F" w:rsidR="005970B6" w:rsidRPr="002D60D7" w:rsidRDefault="00C82BBD" w:rsidP="004C445F">
      <w:pPr>
        <w:pStyle w:val="Instructionsberschrift2"/>
        <w:numPr>
          <w:ilvl w:val="0"/>
          <w:numId w:val="0"/>
        </w:numPr>
        <w:suppressAutoHyphens/>
        <w:ind w:left="357" w:hanging="357"/>
        <w:rPr>
          <w:rFonts w:ascii="Times New Roman" w:hAnsi="Times New Roman" w:cs="Times New Roman"/>
          <w:sz w:val="24"/>
        </w:rPr>
      </w:pPr>
      <w:bookmarkStart w:id="161" w:name="_Toc151714506"/>
      <w:bookmarkStart w:id="162" w:name="_Toc210920369"/>
      <w:r>
        <w:rPr>
          <w:rFonts w:ascii="Times New Roman" w:hAnsi="Times New Roman"/>
          <w:sz w:val="24"/>
          <w:u w:val="none"/>
        </w:rPr>
        <w:t>8.2</w:t>
      </w:r>
      <w:r>
        <w:tab/>
      </w:r>
      <w:r>
        <w:rPr>
          <w:rFonts w:ascii="Times New Roman" w:hAnsi="Times New Roman"/>
          <w:sz w:val="24"/>
        </w:rPr>
        <w:t>Istruzioni relative a posizioni specifiche</w:t>
      </w:r>
      <w:bookmarkEnd w:id="161"/>
      <w:bookmarkEnd w:id="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69"/>
      </w:tblGrid>
      <w:tr w:rsidR="005970B6" w:rsidRPr="002D60D7" w14:paraId="2AB574E2" w14:textId="77777777">
        <w:tc>
          <w:tcPr>
            <w:tcW w:w="8862" w:type="dxa"/>
            <w:gridSpan w:val="2"/>
            <w:shd w:val="clear" w:color="auto" w:fill="BFBFBF"/>
          </w:tcPr>
          <w:p w14:paraId="01F4E3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Colonne</w:t>
            </w:r>
          </w:p>
        </w:tc>
      </w:tr>
      <w:tr w:rsidR="005970B6" w:rsidRPr="002D60D7" w14:paraId="52E77425" w14:textId="77777777">
        <w:tc>
          <w:tcPr>
            <w:tcW w:w="993" w:type="dxa"/>
          </w:tcPr>
          <w:p w14:paraId="0E51BB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0030-0040</w:t>
            </w:r>
          </w:p>
        </w:tc>
        <w:tc>
          <w:tcPr>
            <w:tcW w:w="7869" w:type="dxa"/>
          </w:tcPr>
          <w:p w14:paraId="7095CD1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Valore a rischio (VaR)</w:t>
            </w:r>
          </w:p>
          <w:p w14:paraId="3DE9F1A1"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Perdita potenziale massima che risulterebbe con una data probabilità da una variazione di prezzo a un orizzonte temporale specificato.</w:t>
            </w:r>
          </w:p>
        </w:tc>
      </w:tr>
      <w:tr w:rsidR="005970B6" w:rsidRPr="002D60D7" w14:paraId="0C4757E9" w14:textId="77777777">
        <w:tc>
          <w:tcPr>
            <w:tcW w:w="993" w:type="dxa"/>
          </w:tcPr>
          <w:p w14:paraId="145F944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869" w:type="dxa"/>
          </w:tcPr>
          <w:p w14:paraId="31C8EDD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Fattore moltiplicativo (mc) x media dei 60 giorni lavorativi precedenti (VaRavg)</w:t>
            </w:r>
          </w:p>
          <w:p w14:paraId="04584C5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4A7537D0" w14:textId="7FFEC14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Articolo 364, paragrafo 1, lettera a), punto ii), e articolo 365, paragrafo 1, del regolamento (UE) n. 575/2013 </w:t>
            </w:r>
          </w:p>
          <w:p w14:paraId="0DEB05BA"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072FF466" w14:textId="77777777">
        <w:tc>
          <w:tcPr>
            <w:tcW w:w="993" w:type="dxa"/>
          </w:tcPr>
          <w:p w14:paraId="280446FC"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869" w:type="dxa"/>
          </w:tcPr>
          <w:p w14:paraId="4723F4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Giorno precedente (VaRt-1)</w:t>
            </w:r>
          </w:p>
          <w:p w14:paraId="4954CEF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p w14:paraId="559586B7" w14:textId="29F64A6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Articolo 364, paragrafo 1, lettera a), punto i), e articolo 365, paragrafo 1, del regolamento (UE) n. 575/2013 </w:t>
            </w:r>
          </w:p>
          <w:p w14:paraId="645E0D45"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nl-BE"/>
              </w:rPr>
            </w:pPr>
          </w:p>
        </w:tc>
      </w:tr>
      <w:tr w:rsidR="005970B6" w:rsidRPr="002D60D7" w14:paraId="301A77B0" w14:textId="77777777">
        <w:tc>
          <w:tcPr>
            <w:tcW w:w="993" w:type="dxa"/>
          </w:tcPr>
          <w:p w14:paraId="55BFA8D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0050-0060</w:t>
            </w:r>
          </w:p>
        </w:tc>
        <w:tc>
          <w:tcPr>
            <w:tcW w:w="7869" w:type="dxa"/>
          </w:tcPr>
          <w:p w14:paraId="34BD64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Valore a rischio in condizioni di stress</w:t>
            </w:r>
          </w:p>
          <w:p w14:paraId="60CDE98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68464C3" w14:textId="736A2793"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Perdita potenziale massima che risulterebbe con una data probabilità da una variazione di prezzo a un orizzonte temporale specificato, ottenuta tramite l</w:t>
            </w:r>
            <w:r w:rsidR="00516AD5">
              <w:rPr>
                <w:rFonts w:ascii="Times New Roman" w:hAnsi="Times New Roman"/>
                <w:sz w:val="24"/>
              </w:rPr>
              <w:t>'</w:t>
            </w:r>
            <w:r>
              <w:rPr>
                <w:rFonts w:ascii="Times New Roman" w:hAnsi="Times New Roman"/>
                <w:sz w:val="24"/>
              </w:rPr>
              <w:t>immissione di parametri calibrati su dati storici per un periodo continuato di dodici mesi di stress finanziario pertinente per il portafoglio dell</w:t>
            </w:r>
            <w:r w:rsidR="00516AD5">
              <w:rPr>
                <w:rFonts w:ascii="Times New Roman" w:hAnsi="Times New Roman"/>
                <w:sz w:val="24"/>
              </w:rPr>
              <w:t>'</w:t>
            </w:r>
            <w:r>
              <w:rPr>
                <w:rFonts w:ascii="Times New Roman" w:hAnsi="Times New Roman"/>
                <w:sz w:val="24"/>
              </w:rPr>
              <w:t>ente.</w:t>
            </w:r>
          </w:p>
        </w:tc>
      </w:tr>
      <w:tr w:rsidR="005970B6" w:rsidRPr="002D60D7" w14:paraId="3411CEBC" w14:textId="77777777">
        <w:tc>
          <w:tcPr>
            <w:tcW w:w="993" w:type="dxa"/>
          </w:tcPr>
          <w:p w14:paraId="026E758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0050</w:t>
            </w:r>
          </w:p>
        </w:tc>
        <w:tc>
          <w:tcPr>
            <w:tcW w:w="7869" w:type="dxa"/>
          </w:tcPr>
          <w:p w14:paraId="629F86A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Fattore moltiplicativo (ms) x media dei 60 giorni lavorativi precedenti (SVaRavg)</w:t>
            </w:r>
          </w:p>
          <w:p w14:paraId="1CFE4B08"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p w14:paraId="62913484" w14:textId="351187F2"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b w:val="0"/>
                <w:bCs w:val="0"/>
                <w:sz w:val="24"/>
              </w:rPr>
            </w:pPr>
            <w:r>
              <w:rPr>
                <w:rFonts w:ascii="Times New Roman" w:hAnsi="Times New Roman"/>
                <w:sz w:val="24"/>
              </w:rPr>
              <w:t>Articolo 364, paragrafo 1, lettera b), punto ii), e articolo 365, paragrafo 1, del regolamento (UE) n. 575/2013</w:t>
            </w:r>
            <w:r>
              <w:rPr>
                <w:rStyle w:val="InstructionsTabelleberschrift"/>
                <w:rFonts w:ascii="Times New Roman" w:hAnsi="Times New Roman"/>
                <w:sz w:val="24"/>
              </w:rPr>
              <w:t xml:space="preserve"> </w:t>
            </w:r>
          </w:p>
          <w:p w14:paraId="77989826" w14:textId="77777777" w:rsidR="005970B6" w:rsidRPr="002D60D7" w:rsidRDefault="005970B6" w:rsidP="004C445F">
            <w:pPr>
              <w:suppressAutoHyphens/>
              <w:autoSpaceDE w:val="0"/>
              <w:autoSpaceDN w:val="0"/>
              <w:adjustRightInd w:val="0"/>
              <w:spacing w:before="0" w:after="0"/>
              <w:rPr>
                <w:rStyle w:val="InstructionsTabelleberschrift"/>
                <w:rFonts w:ascii="Times New Roman" w:hAnsi="Times New Roman"/>
                <w:sz w:val="24"/>
              </w:rPr>
            </w:pPr>
          </w:p>
        </w:tc>
      </w:tr>
      <w:tr w:rsidR="005970B6" w:rsidRPr="002D60D7" w14:paraId="41A38D20" w14:textId="77777777">
        <w:tc>
          <w:tcPr>
            <w:tcW w:w="993" w:type="dxa"/>
          </w:tcPr>
          <w:p w14:paraId="2A34CF8D"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869" w:type="dxa"/>
          </w:tcPr>
          <w:p w14:paraId="470B121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Ultimo disponibile (SVaRt-1)</w:t>
            </w:r>
          </w:p>
          <w:p w14:paraId="0EC2BDB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5FF53E38" w14:textId="0054C4CA"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Articolo 364, paragrafo 1, lettera b), punto i), e articolo 365, paragrafo 1, del regolamento (UE) n. 575/2013 </w:t>
            </w:r>
          </w:p>
          <w:p w14:paraId="5E60C64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de-DE"/>
              </w:rPr>
            </w:pPr>
          </w:p>
        </w:tc>
      </w:tr>
      <w:tr w:rsidR="005970B6" w:rsidRPr="002D60D7" w14:paraId="7F2569E5" w14:textId="77777777">
        <w:tc>
          <w:tcPr>
            <w:tcW w:w="993" w:type="dxa"/>
          </w:tcPr>
          <w:p w14:paraId="3A69DD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0070-0080</w:t>
            </w:r>
          </w:p>
        </w:tc>
        <w:tc>
          <w:tcPr>
            <w:tcW w:w="7869" w:type="dxa"/>
          </w:tcPr>
          <w:p w14:paraId="0A6B8E3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COPERTURA PATRIMONIALE PER IL RISCHIO INCREMENTALE DI DEFAULT E DI MIGRAZIONE</w:t>
            </w:r>
          </w:p>
          <w:p w14:paraId="5B3AF066" w14:textId="4041D3AC" w:rsidR="005970B6" w:rsidRPr="002D60D7" w:rsidRDefault="005970B6" w:rsidP="004C445F">
            <w:pPr>
              <w:suppressAutoHyphens/>
              <w:rPr>
                <w:rFonts w:ascii="Times New Roman" w:hAnsi="Times New Roman"/>
                <w:b/>
                <w:bCs/>
                <w:sz w:val="24"/>
                <w:u w:val="single"/>
              </w:rPr>
            </w:pPr>
            <w:r>
              <w:rPr>
                <w:rFonts w:ascii="Times New Roman" w:hAnsi="Times New Roman"/>
                <w:sz w:val="24"/>
              </w:rPr>
              <w:t>Perdita potenziale massima che risulterebbe da una variazione di prezzo correlata a rischi di default e di migrazione calcolati conformemente all</w:t>
            </w:r>
            <w:r w:rsidR="00516AD5">
              <w:rPr>
                <w:rFonts w:ascii="Times New Roman" w:hAnsi="Times New Roman"/>
                <w:sz w:val="24"/>
              </w:rPr>
              <w:t>'</w:t>
            </w:r>
            <w:r>
              <w:rPr>
                <w:rFonts w:ascii="Times New Roman" w:hAnsi="Times New Roman"/>
                <w:sz w:val="24"/>
              </w:rPr>
              <w:t xml:space="preserve">articolo 364, paragrafo 2, lettera b), in combinato disposto con la parte tre, titolo IV, capo 5, sezione 4, del regolamento (UE) n. 575/2013. </w:t>
            </w:r>
          </w:p>
        </w:tc>
      </w:tr>
      <w:tr w:rsidR="005970B6" w:rsidRPr="002D60D7" w14:paraId="17515745" w14:textId="77777777">
        <w:tc>
          <w:tcPr>
            <w:tcW w:w="993" w:type="dxa"/>
          </w:tcPr>
          <w:p w14:paraId="595C652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869" w:type="dxa"/>
          </w:tcPr>
          <w:p w14:paraId="48A1B02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Misura media su 12 settimane</w:t>
            </w:r>
          </w:p>
          <w:p w14:paraId="7DF0D03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p>
          <w:p w14:paraId="1A6FCED4" w14:textId="280A30E8"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Articolo 364, paragrafo 2, lettera b), punto ii), in combinato disposto con la parte tre, titolo IV, capo 5, sezione 4, del regolamento (UE) n. 575/2013</w:t>
            </w:r>
          </w:p>
          <w:p w14:paraId="4E5E6B9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2AD55A6" w14:textId="77777777">
        <w:tc>
          <w:tcPr>
            <w:tcW w:w="993" w:type="dxa"/>
          </w:tcPr>
          <w:p w14:paraId="268DB16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869" w:type="dxa"/>
          </w:tcPr>
          <w:p w14:paraId="24DAC2B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Ultima misura</w:t>
            </w:r>
          </w:p>
          <w:p w14:paraId="776D80B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3EF08F5A" w14:textId="1718D564"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Articolo 364, paragrafo 2, lettera b), punto i), in combinato disposto con la parte tre, titolo IV, capo 5, sezione 4, del regolamento (UE) n. 575/2013</w:t>
            </w:r>
          </w:p>
          <w:p w14:paraId="2DB84E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6406A7A" w14:textId="77777777">
        <w:tc>
          <w:tcPr>
            <w:tcW w:w="993" w:type="dxa"/>
          </w:tcPr>
          <w:p w14:paraId="1EBB8F02"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0090-0110</w:t>
            </w:r>
          </w:p>
        </w:tc>
        <w:tc>
          <w:tcPr>
            <w:tcW w:w="7869" w:type="dxa"/>
          </w:tcPr>
          <w:p w14:paraId="1C6A0111"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COPERTURA PATRIMONIALE PER TUTTI I RISCHI DI PREZZO PER IL CTP</w:t>
            </w:r>
          </w:p>
          <w:p w14:paraId="29B7ABA4"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616A8BA" w14:textId="77777777">
        <w:tc>
          <w:tcPr>
            <w:tcW w:w="993" w:type="dxa"/>
          </w:tcPr>
          <w:p w14:paraId="70419120"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869" w:type="dxa"/>
          </w:tcPr>
          <w:p w14:paraId="1E696B6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REQUISITO MINIMO</w:t>
            </w:r>
          </w:p>
          <w:p w14:paraId="4D4AA5D6" w14:textId="77777777" w:rsidR="005970B6" w:rsidRPr="002D60D7" w:rsidRDefault="005970B6" w:rsidP="004C445F">
            <w:pPr>
              <w:suppressAutoHyphens/>
              <w:rPr>
                <w:rFonts w:ascii="Times New Roman" w:hAnsi="Times New Roman"/>
                <w:sz w:val="24"/>
              </w:rPr>
            </w:pPr>
            <w:r>
              <w:rPr>
                <w:rFonts w:ascii="Times New Roman" w:hAnsi="Times New Roman"/>
                <w:sz w:val="24"/>
              </w:rPr>
              <w:t>Articolo 364, paragrafo 3, lettera c), del regolamento (UE) n. 575/2013</w:t>
            </w:r>
          </w:p>
          <w:p w14:paraId="43C8E4E6" w14:textId="71A04875"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sz w:val="24"/>
              </w:rPr>
              <w:t>Corrisponde all</w:t>
            </w:r>
            <w:r w:rsidR="00516AD5">
              <w:rPr>
                <w:rFonts w:ascii="Times New Roman" w:hAnsi="Times New Roman"/>
                <w:sz w:val="24"/>
              </w:rPr>
              <w:t>'</w:t>
            </w:r>
            <w:r>
              <w:rPr>
                <w:rFonts w:ascii="Times New Roman" w:hAnsi="Times New Roman"/>
                <w:sz w:val="24"/>
              </w:rPr>
              <w:t>8 % della copertura patrimoniale calcolata conformemente all</w:t>
            </w:r>
            <w:r w:rsidR="00516AD5">
              <w:rPr>
                <w:rFonts w:ascii="Times New Roman" w:hAnsi="Times New Roman"/>
                <w:sz w:val="24"/>
              </w:rPr>
              <w:t>'</w:t>
            </w:r>
            <w:r>
              <w:rPr>
                <w:rFonts w:ascii="Times New Roman" w:hAnsi="Times New Roman"/>
                <w:sz w:val="24"/>
              </w:rPr>
              <w:t xml:space="preserve">articolo 338, paragrafo 1, del regolamento (UE) n. 575/2013 per tutte le posizioni della copertura patrimoniale per </w:t>
            </w:r>
            <w:r w:rsidR="00516AD5">
              <w:rPr>
                <w:rFonts w:ascii="Times New Roman" w:hAnsi="Times New Roman"/>
                <w:sz w:val="24"/>
              </w:rPr>
              <w:t>"</w:t>
            </w:r>
            <w:r>
              <w:rPr>
                <w:rFonts w:ascii="Times New Roman" w:hAnsi="Times New Roman"/>
                <w:sz w:val="24"/>
              </w:rPr>
              <w:t>tutti i rischi di prezzo</w:t>
            </w:r>
            <w:r w:rsidR="00516AD5">
              <w:rPr>
                <w:rFonts w:ascii="Times New Roman" w:hAnsi="Times New Roman"/>
                <w:sz w:val="24"/>
              </w:rPr>
              <w:t>"</w:t>
            </w:r>
            <w:r>
              <w:rPr>
                <w:rFonts w:ascii="Times New Roman" w:hAnsi="Times New Roman"/>
                <w:sz w:val="24"/>
              </w:rPr>
              <w:t>.</w:t>
            </w:r>
            <w:r>
              <w:rPr>
                <w:rFonts w:ascii="Times New Roman" w:hAnsi="Times New Roman"/>
                <w:b/>
                <w:sz w:val="24"/>
                <w:u w:val="single"/>
              </w:rPr>
              <w:t xml:space="preserve"> </w:t>
            </w:r>
          </w:p>
          <w:p w14:paraId="0D022373"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18CB1AF7" w14:textId="77777777">
        <w:tc>
          <w:tcPr>
            <w:tcW w:w="993" w:type="dxa"/>
          </w:tcPr>
          <w:p w14:paraId="4E53B90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0100-0110</w:t>
            </w:r>
          </w:p>
        </w:tc>
        <w:tc>
          <w:tcPr>
            <w:tcW w:w="7869" w:type="dxa"/>
          </w:tcPr>
          <w:p w14:paraId="7CEDB94C"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MISURA MEDIA SU 12 SETTIMANE E ULTIMA MISURA</w:t>
            </w:r>
          </w:p>
          <w:p w14:paraId="46EA9990" w14:textId="77777777" w:rsidR="005970B6" w:rsidRPr="002D60D7" w:rsidRDefault="005970B6" w:rsidP="004C445F">
            <w:pPr>
              <w:suppressAutoHyphens/>
              <w:autoSpaceDE w:val="0"/>
              <w:autoSpaceDN w:val="0"/>
              <w:adjustRightInd w:val="0"/>
              <w:spacing w:after="0"/>
              <w:rPr>
                <w:rFonts w:ascii="Times New Roman" w:hAnsi="Times New Roman"/>
                <w:bCs/>
                <w:sz w:val="24"/>
              </w:rPr>
            </w:pPr>
            <w:r>
              <w:rPr>
                <w:rFonts w:ascii="Times New Roman" w:hAnsi="Times New Roman"/>
                <w:sz w:val="24"/>
              </w:rPr>
              <w:t>Articolo 364, paragrafo 3, lettera b), del regolamento (UE) n. 575/2013</w:t>
            </w:r>
          </w:p>
          <w:p w14:paraId="3111F404" w14:textId="77777777" w:rsidR="005970B6" w:rsidRPr="002D60D7" w:rsidRDefault="005970B6" w:rsidP="004C445F">
            <w:pPr>
              <w:suppressAutoHyphens/>
              <w:autoSpaceDE w:val="0"/>
              <w:autoSpaceDN w:val="0"/>
              <w:adjustRightInd w:val="0"/>
              <w:spacing w:before="0" w:after="0"/>
              <w:rPr>
                <w:rFonts w:ascii="Times New Roman" w:hAnsi="Times New Roman"/>
                <w:bCs/>
                <w:sz w:val="24"/>
                <w:u w:val="single"/>
                <w:lang w:eastAsia="nl-BE"/>
              </w:rPr>
            </w:pPr>
          </w:p>
        </w:tc>
      </w:tr>
      <w:tr w:rsidR="005970B6" w:rsidRPr="002D60D7" w14:paraId="320867DB" w14:textId="77777777">
        <w:tc>
          <w:tcPr>
            <w:tcW w:w="993" w:type="dxa"/>
          </w:tcPr>
          <w:p w14:paraId="42D6439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869" w:type="dxa"/>
          </w:tcPr>
          <w:p w14:paraId="30EB7A67"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ULTIMA MISURA</w:t>
            </w:r>
          </w:p>
          <w:p w14:paraId="54C3A200" w14:textId="77777777" w:rsidR="005970B6" w:rsidRPr="002D60D7" w:rsidRDefault="005970B6" w:rsidP="004C445F">
            <w:pPr>
              <w:suppressAutoHyphens/>
              <w:autoSpaceDE w:val="0"/>
              <w:autoSpaceDN w:val="0"/>
              <w:adjustRightInd w:val="0"/>
              <w:spacing w:before="0" w:after="0"/>
              <w:rPr>
                <w:rFonts w:ascii="Times New Roman" w:hAnsi="Times New Roman"/>
                <w:bCs/>
                <w:sz w:val="24"/>
              </w:rPr>
            </w:pPr>
            <w:r>
              <w:rPr>
                <w:rFonts w:ascii="Times New Roman" w:hAnsi="Times New Roman"/>
                <w:sz w:val="24"/>
              </w:rPr>
              <w:t>Articolo 364, paragrafo 3, lettera a), del regolamento (UE) n. 575/2013</w:t>
            </w:r>
          </w:p>
          <w:p w14:paraId="702AB90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6AF4AFCB" w14:textId="77777777">
        <w:tc>
          <w:tcPr>
            <w:tcW w:w="993" w:type="dxa"/>
          </w:tcPr>
          <w:p w14:paraId="07850638"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0120</w:t>
            </w:r>
          </w:p>
        </w:tc>
        <w:tc>
          <w:tcPr>
            <w:tcW w:w="7869" w:type="dxa"/>
          </w:tcPr>
          <w:p w14:paraId="154C34A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REQUISITI DI FONDI PROPRI</w:t>
            </w:r>
          </w:p>
          <w:p w14:paraId="278D1894" w14:textId="52D1C515"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Requisiti di fondi propri citati nell</w:t>
            </w:r>
            <w:r w:rsidR="00516AD5">
              <w:rPr>
                <w:rFonts w:ascii="Times New Roman" w:hAnsi="Times New Roman"/>
                <w:sz w:val="24"/>
              </w:rPr>
              <w:t>'</w:t>
            </w:r>
            <w:r>
              <w:rPr>
                <w:rFonts w:ascii="Times New Roman" w:hAnsi="Times New Roman"/>
                <w:sz w:val="24"/>
              </w:rPr>
              <w:t xml:space="preserve">articolo 364 del regolamento (UE) n. 575/2013 per tutti i fattori di rischio, tenuto conto degli effetti di correlazione, ove applicabili, più il rischio incrementale di default e di migrazione e tutti i rischi di prezzo per il CTP, esclusi però le coperture patrimoniali delle posizioni </w:t>
            </w:r>
            <w:r>
              <w:rPr>
                <w:rFonts w:ascii="Times New Roman" w:hAnsi="Times New Roman"/>
                <w:sz w:val="24"/>
              </w:rPr>
              <w:lastRenderedPageBreak/>
              <w:t>verso la cartolarizzazione e i derivati su crediti di tipo nth-to-default conformemente all</w:t>
            </w:r>
            <w:r w:rsidR="00516AD5">
              <w:rPr>
                <w:rFonts w:ascii="Times New Roman" w:hAnsi="Times New Roman"/>
                <w:sz w:val="24"/>
              </w:rPr>
              <w:t>'</w:t>
            </w:r>
            <w:r>
              <w:rPr>
                <w:rFonts w:ascii="Times New Roman" w:hAnsi="Times New Roman"/>
                <w:sz w:val="24"/>
              </w:rPr>
              <w:t xml:space="preserve">articolo 364, paragrafo 2, del regolamento (UE) n. 575/2013. </w:t>
            </w:r>
          </w:p>
        </w:tc>
      </w:tr>
      <w:tr w:rsidR="005970B6" w:rsidRPr="002D60D7" w14:paraId="321F7641" w14:textId="77777777">
        <w:tc>
          <w:tcPr>
            <w:tcW w:w="993" w:type="dxa"/>
          </w:tcPr>
          <w:p w14:paraId="4808EA4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0130</w:t>
            </w:r>
          </w:p>
        </w:tc>
        <w:tc>
          <w:tcPr>
            <w:tcW w:w="7869" w:type="dxa"/>
          </w:tcPr>
          <w:p w14:paraId="191025B9" w14:textId="2ED08A12"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IMPORTO COMPLESSIVO DELL</w:t>
            </w:r>
            <w:r w:rsidR="00516AD5">
              <w:rPr>
                <w:rFonts w:ascii="Times New Roman" w:hAnsi="Times New Roman"/>
                <w:b/>
                <w:sz w:val="24"/>
                <w:u w:val="single"/>
              </w:rPr>
              <w:t>'</w:t>
            </w:r>
            <w:r>
              <w:rPr>
                <w:rFonts w:ascii="Times New Roman" w:hAnsi="Times New Roman"/>
                <w:b/>
                <w:sz w:val="24"/>
                <w:u w:val="single"/>
              </w:rPr>
              <w:t>ESPOSIZIONE AL RISCHIO</w:t>
            </w:r>
          </w:p>
          <w:p w14:paraId="1B83D6B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2BD10046" w14:textId="2F594400"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 xml:space="preserve">Articolo 92, paragrafo 6, lettera b), del regolamento (UE) n. 575/2013. </w:t>
            </w:r>
          </w:p>
          <w:p w14:paraId="0C045673" w14:textId="570D1A63"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Risultato della moltiplicazione dei requisiti di fondi propri per 12,5</w:t>
            </w:r>
          </w:p>
          <w:p w14:paraId="1D75252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230D32EA" w14:textId="77777777">
        <w:tc>
          <w:tcPr>
            <w:tcW w:w="993" w:type="dxa"/>
          </w:tcPr>
          <w:p w14:paraId="7C0865B7"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0140</w:t>
            </w:r>
          </w:p>
        </w:tc>
        <w:tc>
          <w:tcPr>
            <w:tcW w:w="7869" w:type="dxa"/>
          </w:tcPr>
          <w:p w14:paraId="69330FF8"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Numero di scostamenti (durante i 250 giorni lavorativi precedenti)</w:t>
            </w:r>
          </w:p>
          <w:p w14:paraId="66F88BE9" w14:textId="69FCC9DE"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Di cui all</w:t>
            </w:r>
            <w:r w:rsidR="00516AD5">
              <w:rPr>
                <w:rFonts w:ascii="Times New Roman" w:hAnsi="Times New Roman"/>
                <w:sz w:val="24"/>
              </w:rPr>
              <w:t>'</w:t>
            </w:r>
            <w:r>
              <w:rPr>
                <w:rFonts w:ascii="Times New Roman" w:hAnsi="Times New Roman"/>
                <w:sz w:val="24"/>
              </w:rPr>
              <w:t>articolo 366 del regolamento (UE) n. 575/2013</w:t>
            </w:r>
          </w:p>
          <w:p w14:paraId="681C5C48" w14:textId="60CE0C34"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sz w:val="24"/>
              </w:rPr>
              <w:t>È indicato il numero di scostamenti in base al quale è determinato l</w:t>
            </w:r>
            <w:r w:rsidR="00516AD5">
              <w:rPr>
                <w:rFonts w:ascii="Times New Roman" w:hAnsi="Times New Roman"/>
                <w:sz w:val="24"/>
              </w:rPr>
              <w:t>'</w:t>
            </w:r>
            <w:r>
              <w:rPr>
                <w:rFonts w:ascii="Times New Roman" w:hAnsi="Times New Roman"/>
                <w:sz w:val="24"/>
              </w:rPr>
              <w:t>addendo. Quando alle imprese di investimento è consentito escludere taluni scostamenti dal calcolo dell</w:t>
            </w:r>
            <w:r w:rsidR="00516AD5">
              <w:rPr>
                <w:rFonts w:ascii="Times New Roman" w:hAnsi="Times New Roman"/>
                <w:sz w:val="24"/>
              </w:rPr>
              <w:t>'</w:t>
            </w:r>
            <w:r>
              <w:rPr>
                <w:rFonts w:ascii="Times New Roman" w:hAnsi="Times New Roman"/>
                <w:sz w:val="24"/>
              </w:rPr>
              <w:t>addendo conformemente all</w:t>
            </w:r>
            <w:r w:rsidR="00516AD5">
              <w:rPr>
                <w:rFonts w:ascii="Times New Roman" w:hAnsi="Times New Roman"/>
                <w:sz w:val="24"/>
              </w:rPr>
              <w:t>'</w:t>
            </w:r>
            <w:r>
              <w:rPr>
                <w:rFonts w:ascii="Times New Roman" w:hAnsi="Times New Roman"/>
                <w:sz w:val="24"/>
              </w:rPr>
              <w:t>articolo 500 quater del regolamento (UE) n. 575/2013, il numero degli scostamenti segnalati in questa colonna è al netto degli scostamenti esclusi.</w:t>
            </w:r>
          </w:p>
        </w:tc>
      </w:tr>
      <w:tr w:rsidR="005970B6" w:rsidRPr="002D60D7" w14:paraId="44599020" w14:textId="77777777">
        <w:tc>
          <w:tcPr>
            <w:tcW w:w="993" w:type="dxa"/>
          </w:tcPr>
          <w:p w14:paraId="4C66FF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0150-0160</w:t>
            </w:r>
          </w:p>
        </w:tc>
        <w:tc>
          <w:tcPr>
            <w:tcW w:w="7869" w:type="dxa"/>
          </w:tcPr>
          <w:p w14:paraId="26532024" w14:textId="77777777" w:rsidR="005970B6" w:rsidRPr="002D60D7" w:rsidRDefault="005970B6" w:rsidP="004C445F">
            <w:pPr>
              <w:suppressAutoHyphens/>
              <w:autoSpaceDE w:val="0"/>
              <w:autoSpaceDN w:val="0"/>
              <w:adjustRightInd w:val="0"/>
              <w:spacing w:before="0"/>
              <w:rPr>
                <w:rFonts w:ascii="Times New Roman" w:hAnsi="Times New Roman"/>
                <w:b/>
                <w:bCs/>
                <w:sz w:val="24"/>
                <w:u w:val="single"/>
              </w:rPr>
            </w:pPr>
            <w:r>
              <w:rPr>
                <w:rFonts w:ascii="Times New Roman" w:hAnsi="Times New Roman"/>
                <w:b/>
                <w:sz w:val="24"/>
                <w:u w:val="single"/>
              </w:rPr>
              <w:t>Fattore moltiplicativo del valore a rischio (mc) e fattore moltiplicativo del valore a rischio in condizioni di stress (ms)</w:t>
            </w:r>
          </w:p>
          <w:p w14:paraId="5E04C211" w14:textId="19F31982"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Di cui all</w:t>
            </w:r>
            <w:r w:rsidR="00516AD5">
              <w:rPr>
                <w:rFonts w:ascii="Times New Roman" w:hAnsi="Times New Roman"/>
                <w:sz w:val="24"/>
              </w:rPr>
              <w:t>'</w:t>
            </w:r>
            <w:r>
              <w:rPr>
                <w:rFonts w:ascii="Times New Roman" w:hAnsi="Times New Roman"/>
                <w:sz w:val="24"/>
              </w:rPr>
              <w:t>articolo 366 del regolamento (UE) n. 575/2013</w:t>
            </w:r>
          </w:p>
          <w:p w14:paraId="779600D5" w14:textId="01D0B4A5" w:rsidR="005970B6" w:rsidRPr="002D60D7" w:rsidRDefault="005970B6" w:rsidP="004C445F">
            <w:pPr>
              <w:suppressAutoHyphens/>
              <w:autoSpaceDE w:val="0"/>
              <w:autoSpaceDN w:val="0"/>
              <w:adjustRightInd w:val="0"/>
              <w:spacing w:before="0" w:after="0"/>
              <w:rPr>
                <w:rStyle w:val="InstructionsTabelleberschrift"/>
              </w:rPr>
            </w:pPr>
            <w:r>
              <w:rPr>
                <w:rFonts w:ascii="Times New Roman" w:hAnsi="Times New Roman"/>
                <w:sz w:val="24"/>
              </w:rPr>
              <w:t>Sono segnalati i fattori moltiplicativi effettivamente applicabili per il calcolo dei requisiti di fondi propri; se del caso, dopo l</w:t>
            </w:r>
            <w:r w:rsidR="00516AD5">
              <w:rPr>
                <w:rFonts w:ascii="Times New Roman" w:hAnsi="Times New Roman"/>
                <w:sz w:val="24"/>
              </w:rPr>
              <w:t>'</w:t>
            </w:r>
            <w:r>
              <w:rPr>
                <w:rFonts w:ascii="Times New Roman" w:hAnsi="Times New Roman"/>
                <w:sz w:val="24"/>
              </w:rPr>
              <w:t>applicazione dell</w:t>
            </w:r>
            <w:r w:rsidR="00516AD5">
              <w:rPr>
                <w:rFonts w:ascii="Times New Roman" w:hAnsi="Times New Roman"/>
                <w:sz w:val="24"/>
              </w:rPr>
              <w:t>'</w:t>
            </w:r>
            <w:r>
              <w:rPr>
                <w:rFonts w:ascii="Times New Roman" w:hAnsi="Times New Roman"/>
                <w:sz w:val="24"/>
              </w:rPr>
              <w:t>articolo 500 quater del regolamento (UE) n. 575/2013.</w:t>
            </w:r>
          </w:p>
          <w:p w14:paraId="50AAD27B"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fr-FR"/>
              </w:rPr>
            </w:pPr>
          </w:p>
        </w:tc>
      </w:tr>
      <w:tr w:rsidR="005970B6" w:rsidRPr="002D60D7" w14:paraId="470DEC4A" w14:textId="77777777">
        <w:tc>
          <w:tcPr>
            <w:tcW w:w="993" w:type="dxa"/>
          </w:tcPr>
          <w:p w14:paraId="3AFAF47E"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0170-0180</w:t>
            </w:r>
          </w:p>
        </w:tc>
        <w:tc>
          <w:tcPr>
            <w:tcW w:w="7869" w:type="dxa"/>
          </w:tcPr>
          <w:p w14:paraId="48824995" w14:textId="54BE7ADF"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COPERTURA PRESUNTA PER IL REQUISITO MINIMO DEL CTP – POSIZIONI NETTE LUNGHE/CORTE PONDERATE DOPO L</w:t>
            </w:r>
            <w:r w:rsidR="00516AD5">
              <w:rPr>
                <w:rFonts w:ascii="Times New Roman" w:hAnsi="Times New Roman"/>
                <w:b/>
                <w:sz w:val="24"/>
                <w:u w:val="single"/>
              </w:rPr>
              <w:t>'</w:t>
            </w:r>
            <w:r>
              <w:rPr>
                <w:rFonts w:ascii="Times New Roman" w:hAnsi="Times New Roman"/>
                <w:b/>
                <w:sz w:val="24"/>
                <w:u w:val="single"/>
              </w:rPr>
              <w:t>APPLICAZIONE DEL MASSIMALE</w:t>
            </w:r>
          </w:p>
          <w:p w14:paraId="494DC1BB" w14:textId="5809CF13" w:rsidR="005970B6" w:rsidRPr="002D60D7" w:rsidRDefault="005970B6" w:rsidP="004C445F">
            <w:pPr>
              <w:suppressAutoHyphens/>
              <w:autoSpaceDE w:val="0"/>
              <w:autoSpaceDN w:val="0"/>
              <w:adjustRightInd w:val="0"/>
              <w:rPr>
                <w:rStyle w:val="InstructionsTabelleberschrift"/>
                <w:rFonts w:ascii="Times New Roman" w:hAnsi="Times New Roman"/>
                <w:sz w:val="24"/>
              </w:rPr>
            </w:pPr>
            <w:r>
              <w:rPr>
                <w:rFonts w:ascii="Times New Roman" w:hAnsi="Times New Roman"/>
                <w:sz w:val="24"/>
              </w:rPr>
              <w:t>L</w:t>
            </w:r>
            <w:r w:rsidR="00516AD5">
              <w:rPr>
                <w:rFonts w:ascii="Times New Roman" w:hAnsi="Times New Roman"/>
                <w:sz w:val="24"/>
              </w:rPr>
              <w:t>'</w:t>
            </w:r>
            <w:r>
              <w:rPr>
                <w:rFonts w:ascii="Times New Roman" w:hAnsi="Times New Roman"/>
                <w:sz w:val="24"/>
              </w:rPr>
              <w:t>importo segnalato e che serve da base di calcolo del requisito minimo di copertura patrimoniale per tutti i rischi di prezzo conformemente all</w:t>
            </w:r>
            <w:r w:rsidR="00516AD5">
              <w:rPr>
                <w:rFonts w:ascii="Times New Roman" w:hAnsi="Times New Roman"/>
                <w:sz w:val="24"/>
              </w:rPr>
              <w:t>'</w:t>
            </w:r>
            <w:r>
              <w:rPr>
                <w:rFonts w:ascii="Times New Roman" w:hAnsi="Times New Roman"/>
                <w:sz w:val="24"/>
              </w:rPr>
              <w:t>articolo 364, paragrafo 3, lettera c), del regolamento (UE) n. 575/2013, tenendo conto della facoltà di cui all</w:t>
            </w:r>
            <w:r w:rsidR="00516AD5">
              <w:rPr>
                <w:rFonts w:ascii="Times New Roman" w:hAnsi="Times New Roman"/>
                <w:sz w:val="24"/>
              </w:rPr>
              <w:t>'</w:t>
            </w:r>
            <w:r>
              <w:rPr>
                <w:rFonts w:ascii="Times New Roman" w:hAnsi="Times New Roman"/>
                <w:sz w:val="24"/>
              </w:rPr>
              <w:t xml:space="preserve">articolo 335 di tale regolamento, che permette a un ente di fissare, per il prodotto della ponderazione e della posizione netta, un massimale pari alla perdita massima possibile relativa al rischio di default. </w:t>
            </w:r>
          </w:p>
        </w:tc>
      </w:tr>
    </w:tbl>
    <w:p w14:paraId="7C2EA60D" w14:textId="77777777" w:rsidR="005970B6" w:rsidRPr="002D60D7" w:rsidRDefault="005970B6" w:rsidP="004C445F">
      <w:pPr>
        <w:suppressAutoHyphens/>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903"/>
      </w:tblGrid>
      <w:tr w:rsidR="005970B6" w:rsidRPr="002D60D7" w14:paraId="708AEEEE" w14:textId="77777777" w:rsidTr="00332B2A">
        <w:trPr>
          <w:trHeight w:val="566"/>
        </w:trPr>
        <w:tc>
          <w:tcPr>
            <w:tcW w:w="8896" w:type="dxa"/>
            <w:gridSpan w:val="2"/>
            <w:shd w:val="clear" w:color="auto" w:fill="CCCCCC"/>
          </w:tcPr>
          <w:p w14:paraId="24A53264" w14:textId="77777777" w:rsidR="005970B6" w:rsidRPr="002D60D7" w:rsidRDefault="005970B6" w:rsidP="004C445F">
            <w:pPr>
              <w:suppressAutoHyphens/>
              <w:autoSpaceDE w:val="0"/>
              <w:autoSpaceDN w:val="0"/>
              <w:adjustRightInd w:val="0"/>
              <w:spacing w:after="0"/>
              <w:rPr>
                <w:rFonts w:ascii="Times New Roman" w:hAnsi="Times New Roman"/>
                <w:b/>
                <w:sz w:val="24"/>
              </w:rPr>
            </w:pPr>
            <w:r>
              <w:rPr>
                <w:rFonts w:ascii="Times New Roman" w:hAnsi="Times New Roman"/>
                <w:b/>
                <w:sz w:val="24"/>
              </w:rPr>
              <w:t>Righe</w:t>
            </w:r>
          </w:p>
        </w:tc>
      </w:tr>
      <w:tr w:rsidR="005970B6" w:rsidRPr="002D60D7" w14:paraId="02CF19A0" w14:textId="77777777" w:rsidTr="00332B2A">
        <w:tc>
          <w:tcPr>
            <w:tcW w:w="993" w:type="dxa"/>
          </w:tcPr>
          <w:p w14:paraId="1CFD210A"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0010</w:t>
            </w:r>
          </w:p>
        </w:tc>
        <w:tc>
          <w:tcPr>
            <w:tcW w:w="7903" w:type="dxa"/>
          </w:tcPr>
          <w:p w14:paraId="35E94AC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POSIZIONI TOTALI</w:t>
            </w:r>
          </w:p>
          <w:p w14:paraId="51E6C5C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1D3F3FF0" w14:textId="778F2ECC" w:rsidR="005970B6" w:rsidRPr="002D60D7" w:rsidRDefault="005970B6" w:rsidP="004C445F">
            <w:pPr>
              <w:suppressAutoHyphens/>
              <w:autoSpaceDE w:val="0"/>
              <w:autoSpaceDN w:val="0"/>
              <w:adjustRightInd w:val="0"/>
              <w:spacing w:before="0"/>
              <w:rPr>
                <w:rFonts w:ascii="Times New Roman" w:hAnsi="Times New Roman"/>
                <w:sz w:val="24"/>
              </w:rPr>
            </w:pPr>
            <w:r>
              <w:rPr>
                <w:rFonts w:ascii="Times New Roman" w:hAnsi="Times New Roman"/>
                <w:sz w:val="24"/>
              </w:rPr>
              <w:t>Parte del rischio di posizione, di cambio e di posizione in merci di cui all</w:t>
            </w:r>
            <w:r w:rsidR="00516AD5">
              <w:rPr>
                <w:rFonts w:ascii="Times New Roman" w:hAnsi="Times New Roman"/>
                <w:sz w:val="24"/>
              </w:rPr>
              <w:t>'</w:t>
            </w:r>
            <w:r>
              <w:rPr>
                <w:rFonts w:ascii="Times New Roman" w:hAnsi="Times New Roman"/>
                <w:sz w:val="24"/>
              </w:rPr>
              <w:t>articolo 363, paragrafo 1, del regolamento (UE) n. 575/2013 correlata ai fattori di rischio di cui all</w:t>
            </w:r>
            <w:r w:rsidR="00516AD5">
              <w:rPr>
                <w:rFonts w:ascii="Times New Roman" w:hAnsi="Times New Roman"/>
                <w:sz w:val="24"/>
              </w:rPr>
              <w:t>'</w:t>
            </w:r>
            <w:r>
              <w:rPr>
                <w:rFonts w:ascii="Times New Roman" w:hAnsi="Times New Roman"/>
                <w:sz w:val="24"/>
              </w:rPr>
              <w:t>articolo 367, paragrafo 2, di tale regolamento.</w:t>
            </w:r>
          </w:p>
          <w:p w14:paraId="1E849456"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Nelle colonne da 0030 a 0060 (VaR e SVaR), le cifre segnalate nella riga del totale non sono uguali alla scomposizione delle cifre del VaR/SVaR delle pertinenti componenti del rischio.</w:t>
            </w:r>
          </w:p>
          <w:p w14:paraId="5F3B58EB"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fr-FR"/>
              </w:rPr>
            </w:pPr>
          </w:p>
        </w:tc>
      </w:tr>
      <w:tr w:rsidR="005970B6" w:rsidRPr="002D60D7" w14:paraId="38DA43E4" w14:textId="77777777" w:rsidTr="00332B2A">
        <w:tc>
          <w:tcPr>
            <w:tcW w:w="993" w:type="dxa"/>
          </w:tcPr>
          <w:p w14:paraId="5E16B1F7" w14:textId="77777777" w:rsidR="005970B6" w:rsidRPr="002D60D7" w:rsidRDefault="005970B6" w:rsidP="000261AF">
            <w:pPr>
              <w:keepNext/>
              <w:suppressAutoHyphens/>
              <w:autoSpaceDE w:val="0"/>
              <w:autoSpaceDN w:val="0"/>
              <w:adjustRightInd w:val="0"/>
              <w:spacing w:before="0" w:after="0"/>
              <w:rPr>
                <w:rFonts w:ascii="Times New Roman" w:hAnsi="Times New Roman"/>
                <w:sz w:val="24"/>
              </w:rPr>
            </w:pPr>
            <w:r>
              <w:rPr>
                <w:rFonts w:ascii="Times New Roman" w:hAnsi="Times New Roman"/>
                <w:sz w:val="24"/>
              </w:rPr>
              <w:lastRenderedPageBreak/>
              <w:t>0020</w:t>
            </w:r>
          </w:p>
        </w:tc>
        <w:tc>
          <w:tcPr>
            <w:tcW w:w="7903" w:type="dxa"/>
          </w:tcPr>
          <w:p w14:paraId="27B63C55" w14:textId="77777777" w:rsidR="005970B6" w:rsidRPr="002D60D7" w:rsidRDefault="005970B6" w:rsidP="000261AF">
            <w:pPr>
              <w:keepNext/>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STRUMENTI DI DEBITO NEGOZIATI</w:t>
            </w:r>
          </w:p>
          <w:p w14:paraId="15354D11" w14:textId="173398E8" w:rsidR="005970B6" w:rsidRPr="002D60D7" w:rsidRDefault="005970B6" w:rsidP="000261AF">
            <w:pPr>
              <w:keepNext/>
              <w:suppressAutoHyphens/>
              <w:autoSpaceDE w:val="0"/>
              <w:autoSpaceDN w:val="0"/>
              <w:adjustRightInd w:val="0"/>
              <w:rPr>
                <w:rFonts w:ascii="Times New Roman" w:hAnsi="Times New Roman"/>
                <w:sz w:val="24"/>
              </w:rPr>
            </w:pPr>
            <w:r>
              <w:rPr>
                <w:rFonts w:ascii="Times New Roman" w:hAnsi="Times New Roman"/>
                <w:sz w:val="24"/>
              </w:rPr>
              <w:t>Parte del rischio di posizione di cui all</w:t>
            </w:r>
            <w:r w:rsidR="00516AD5">
              <w:rPr>
                <w:rFonts w:ascii="Times New Roman" w:hAnsi="Times New Roman"/>
                <w:sz w:val="24"/>
              </w:rPr>
              <w:t>'</w:t>
            </w:r>
            <w:r>
              <w:rPr>
                <w:rFonts w:ascii="Times New Roman" w:hAnsi="Times New Roman"/>
                <w:sz w:val="24"/>
              </w:rPr>
              <w:t>articolo 363, paragrafo 1, del regolamento (UE) n. 575/2013 correlata ai fattori di rischio di tasso d</w:t>
            </w:r>
            <w:r w:rsidR="00516AD5">
              <w:rPr>
                <w:rFonts w:ascii="Times New Roman" w:hAnsi="Times New Roman"/>
                <w:sz w:val="24"/>
              </w:rPr>
              <w:t>'</w:t>
            </w:r>
            <w:r>
              <w:rPr>
                <w:rFonts w:ascii="Times New Roman" w:hAnsi="Times New Roman"/>
                <w:sz w:val="24"/>
              </w:rPr>
              <w:t>interesse di cui all</w:t>
            </w:r>
            <w:r w:rsidR="00516AD5">
              <w:rPr>
                <w:rFonts w:ascii="Times New Roman" w:hAnsi="Times New Roman"/>
                <w:sz w:val="24"/>
              </w:rPr>
              <w:t>'</w:t>
            </w:r>
            <w:r>
              <w:rPr>
                <w:rFonts w:ascii="Times New Roman" w:hAnsi="Times New Roman"/>
                <w:sz w:val="24"/>
              </w:rPr>
              <w:t>articolo 367, paragrafo 2, lettera a), di tale regolamento.</w:t>
            </w:r>
          </w:p>
        </w:tc>
      </w:tr>
      <w:tr w:rsidR="005970B6" w:rsidRPr="002D60D7" w14:paraId="49E5F163" w14:textId="77777777" w:rsidTr="00332B2A">
        <w:tc>
          <w:tcPr>
            <w:tcW w:w="993" w:type="dxa"/>
          </w:tcPr>
          <w:p w14:paraId="286B5CF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0030</w:t>
            </w:r>
          </w:p>
        </w:tc>
        <w:tc>
          <w:tcPr>
            <w:tcW w:w="7903" w:type="dxa"/>
          </w:tcPr>
          <w:p w14:paraId="39D95E98"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STRUMENTO DI DEBITO NEGOZIATI – RISCHIO GENERICO</w:t>
            </w:r>
          </w:p>
          <w:p w14:paraId="630ECD46" w14:textId="3D597C52" w:rsidR="005970B6" w:rsidRPr="002D60D7" w:rsidRDefault="005970B6" w:rsidP="004C445F">
            <w:pPr>
              <w:suppressAutoHyphens/>
              <w:autoSpaceDE w:val="0"/>
              <w:autoSpaceDN w:val="0"/>
              <w:adjustRightInd w:val="0"/>
              <w:rPr>
                <w:rFonts w:ascii="Times New Roman" w:hAnsi="Times New Roman"/>
                <w:sz w:val="24"/>
              </w:rPr>
            </w:pPr>
            <w:r>
              <w:rPr>
                <w:rFonts w:ascii="Times New Roman" w:hAnsi="Times New Roman"/>
                <w:sz w:val="24"/>
              </w:rPr>
              <w:t>Componente del rischio generico di cui all</w:t>
            </w:r>
            <w:r w:rsidR="00516AD5">
              <w:rPr>
                <w:rFonts w:ascii="Times New Roman" w:hAnsi="Times New Roman"/>
                <w:sz w:val="24"/>
              </w:rPr>
              <w:t>'</w:t>
            </w:r>
            <w:r>
              <w:rPr>
                <w:rFonts w:ascii="Times New Roman" w:hAnsi="Times New Roman"/>
                <w:sz w:val="24"/>
              </w:rPr>
              <w:t xml:space="preserve">articolo 362 del regolamento (UE) n. 575/2013 </w:t>
            </w:r>
          </w:p>
        </w:tc>
      </w:tr>
      <w:tr w:rsidR="005970B6" w:rsidRPr="002D60D7" w14:paraId="2085F588" w14:textId="77777777" w:rsidTr="00332B2A">
        <w:tc>
          <w:tcPr>
            <w:tcW w:w="993" w:type="dxa"/>
          </w:tcPr>
          <w:p w14:paraId="156A3F94"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0040</w:t>
            </w:r>
          </w:p>
        </w:tc>
        <w:tc>
          <w:tcPr>
            <w:tcW w:w="7903" w:type="dxa"/>
          </w:tcPr>
          <w:p w14:paraId="2815D7B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STRUMENTO DI DEBITO NEGOZIATI – RISCHIO SPECIFICO</w:t>
            </w:r>
          </w:p>
          <w:p w14:paraId="6901AE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0092F321" w14:textId="6FEAB24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Componente del rischio specifico di cui all</w:t>
            </w:r>
            <w:r w:rsidR="00516AD5">
              <w:rPr>
                <w:rFonts w:ascii="Times New Roman" w:hAnsi="Times New Roman"/>
                <w:sz w:val="24"/>
              </w:rPr>
              <w:t>'</w:t>
            </w:r>
            <w:r>
              <w:rPr>
                <w:rFonts w:ascii="Times New Roman" w:hAnsi="Times New Roman"/>
                <w:sz w:val="24"/>
              </w:rPr>
              <w:t xml:space="preserve">articolo 362 del regolamento (UE) n. 575/2013 </w:t>
            </w:r>
          </w:p>
        </w:tc>
      </w:tr>
      <w:tr w:rsidR="005970B6" w:rsidRPr="002D60D7" w14:paraId="3B749D99" w14:textId="77777777" w:rsidTr="00332B2A">
        <w:tc>
          <w:tcPr>
            <w:tcW w:w="993" w:type="dxa"/>
          </w:tcPr>
          <w:p w14:paraId="4E293341"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0050</w:t>
            </w:r>
          </w:p>
        </w:tc>
        <w:tc>
          <w:tcPr>
            <w:tcW w:w="7903" w:type="dxa"/>
          </w:tcPr>
          <w:p w14:paraId="1DA0299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STRUMENTI DI CAPITALE</w:t>
            </w:r>
          </w:p>
          <w:p w14:paraId="2467F692" w14:textId="77777777" w:rsidR="005970B6" w:rsidRPr="002D60D7" w:rsidRDefault="005970B6" w:rsidP="004C445F">
            <w:pPr>
              <w:suppressAutoHyphens/>
              <w:autoSpaceDE w:val="0"/>
              <w:autoSpaceDN w:val="0"/>
              <w:adjustRightInd w:val="0"/>
              <w:spacing w:before="0" w:after="0"/>
              <w:rPr>
                <w:rFonts w:ascii="Times New Roman" w:hAnsi="Times New Roman"/>
                <w:sz w:val="24"/>
                <w:lang w:eastAsia="de-DE"/>
              </w:rPr>
            </w:pPr>
          </w:p>
          <w:p w14:paraId="436B16C8" w14:textId="594FDB49"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Parte del rischio di posizione di cui all</w:t>
            </w:r>
            <w:r w:rsidR="00516AD5">
              <w:rPr>
                <w:rFonts w:ascii="Times New Roman" w:hAnsi="Times New Roman"/>
                <w:sz w:val="24"/>
              </w:rPr>
              <w:t>'</w:t>
            </w:r>
            <w:r>
              <w:rPr>
                <w:rFonts w:ascii="Times New Roman" w:hAnsi="Times New Roman"/>
                <w:sz w:val="24"/>
              </w:rPr>
              <w:t>articolo 363, paragrafo 1, del regolamento (UE) n. 575/2013 correlata ai fattori di rischio di strumenti di capitale di cui all</w:t>
            </w:r>
            <w:r w:rsidR="00516AD5">
              <w:rPr>
                <w:rFonts w:ascii="Times New Roman" w:hAnsi="Times New Roman"/>
                <w:sz w:val="24"/>
              </w:rPr>
              <w:t>'</w:t>
            </w:r>
            <w:r>
              <w:rPr>
                <w:rFonts w:ascii="Times New Roman" w:hAnsi="Times New Roman"/>
                <w:sz w:val="24"/>
              </w:rPr>
              <w:t xml:space="preserve">articolo 367, paragrafo 2, lettera c), di tale regolamento. </w:t>
            </w:r>
          </w:p>
          <w:p w14:paraId="7E55C507"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2D60D7" w14:paraId="0B6B921A" w14:textId="77777777" w:rsidTr="00332B2A">
        <w:tc>
          <w:tcPr>
            <w:tcW w:w="993" w:type="dxa"/>
          </w:tcPr>
          <w:p w14:paraId="03CEBA6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0060</w:t>
            </w:r>
          </w:p>
        </w:tc>
        <w:tc>
          <w:tcPr>
            <w:tcW w:w="7903" w:type="dxa"/>
          </w:tcPr>
          <w:p w14:paraId="2CD176EE"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STRUMENTI DI CAPITALE – RISCHIO GENERICO</w:t>
            </w:r>
          </w:p>
          <w:p w14:paraId="7ACC51D0" w14:textId="75F73A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Componente del rischio generico di cui all</w:t>
            </w:r>
            <w:r w:rsidR="00516AD5">
              <w:rPr>
                <w:rFonts w:ascii="Times New Roman" w:hAnsi="Times New Roman"/>
                <w:sz w:val="24"/>
              </w:rPr>
              <w:t>'</w:t>
            </w:r>
            <w:r>
              <w:rPr>
                <w:rFonts w:ascii="Times New Roman" w:hAnsi="Times New Roman"/>
                <w:sz w:val="24"/>
              </w:rPr>
              <w:t>articolo 362 del regolamento (UE) n. 575/2013</w:t>
            </w:r>
          </w:p>
        </w:tc>
      </w:tr>
      <w:tr w:rsidR="005970B6" w:rsidRPr="002D60D7" w14:paraId="50D0A347" w14:textId="77777777" w:rsidTr="00332B2A">
        <w:tc>
          <w:tcPr>
            <w:tcW w:w="993" w:type="dxa"/>
          </w:tcPr>
          <w:p w14:paraId="38D09489"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0070</w:t>
            </w:r>
          </w:p>
        </w:tc>
        <w:tc>
          <w:tcPr>
            <w:tcW w:w="7903" w:type="dxa"/>
          </w:tcPr>
          <w:p w14:paraId="34DF223D"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STRUMENTI DI CAPITALE – RISCHIO SPECIFICO</w:t>
            </w:r>
          </w:p>
          <w:p w14:paraId="6F314929" w14:textId="190E8C02"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Componente del rischio specifico di cui all</w:t>
            </w:r>
            <w:r w:rsidR="00516AD5">
              <w:rPr>
                <w:rFonts w:ascii="Times New Roman" w:hAnsi="Times New Roman"/>
                <w:sz w:val="24"/>
              </w:rPr>
              <w:t>'</w:t>
            </w:r>
            <w:r>
              <w:rPr>
                <w:rFonts w:ascii="Times New Roman" w:hAnsi="Times New Roman"/>
                <w:sz w:val="24"/>
              </w:rPr>
              <w:t xml:space="preserve">articolo 362 del regolamento (UE) n. 575/2013 </w:t>
            </w:r>
          </w:p>
        </w:tc>
      </w:tr>
      <w:tr w:rsidR="005970B6" w:rsidRPr="002D60D7" w14:paraId="5B986D45" w14:textId="77777777" w:rsidTr="00332B2A">
        <w:tc>
          <w:tcPr>
            <w:tcW w:w="993" w:type="dxa"/>
          </w:tcPr>
          <w:p w14:paraId="6F14BE85"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0080</w:t>
            </w:r>
          </w:p>
        </w:tc>
        <w:tc>
          <w:tcPr>
            <w:tcW w:w="7903" w:type="dxa"/>
          </w:tcPr>
          <w:p w14:paraId="09DDEB75"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RISCHIO DI CAMBIO</w:t>
            </w:r>
          </w:p>
          <w:p w14:paraId="219E93CA" w14:textId="77777777"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Articolo 363, paragrafo 1, e articolo 367, paragrafo 2, lettera b), del regolamento (UE) n. 575/2013</w:t>
            </w:r>
          </w:p>
        </w:tc>
      </w:tr>
      <w:tr w:rsidR="005970B6" w:rsidRPr="002D60D7" w14:paraId="6242B7DB" w14:textId="77777777" w:rsidTr="00332B2A">
        <w:tc>
          <w:tcPr>
            <w:tcW w:w="993" w:type="dxa"/>
          </w:tcPr>
          <w:p w14:paraId="01A4D573"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0090</w:t>
            </w:r>
          </w:p>
        </w:tc>
        <w:tc>
          <w:tcPr>
            <w:tcW w:w="7903" w:type="dxa"/>
          </w:tcPr>
          <w:p w14:paraId="2B9D470A"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RISCHIO DI POSIZIONE IN MERCI</w:t>
            </w:r>
          </w:p>
          <w:p w14:paraId="4BBB0F31" w14:textId="4679FFC1" w:rsidR="005970B6" w:rsidRPr="002D60D7" w:rsidRDefault="005970B6" w:rsidP="004C445F">
            <w:pPr>
              <w:suppressAutoHyphens/>
              <w:autoSpaceDE w:val="0"/>
              <w:autoSpaceDN w:val="0"/>
              <w:adjustRightInd w:val="0"/>
              <w:rPr>
                <w:rFonts w:ascii="Times New Roman" w:hAnsi="Times New Roman"/>
                <w:b/>
                <w:bCs/>
                <w:sz w:val="24"/>
                <w:u w:val="single"/>
              </w:rPr>
            </w:pPr>
            <w:r>
              <w:rPr>
                <w:rFonts w:ascii="Times New Roman" w:hAnsi="Times New Roman"/>
                <w:sz w:val="24"/>
              </w:rPr>
              <w:t xml:space="preserve">Articolo 363, paragrafo 1, e articolo 367, paragrafo 2, lettera d), del regolamento (UE) n. 575/2013 </w:t>
            </w:r>
          </w:p>
        </w:tc>
      </w:tr>
      <w:tr w:rsidR="005970B6" w:rsidRPr="002D60D7" w14:paraId="5165C26D" w14:textId="77777777" w:rsidTr="00332B2A">
        <w:tc>
          <w:tcPr>
            <w:tcW w:w="993" w:type="dxa"/>
          </w:tcPr>
          <w:p w14:paraId="3494480B"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0100</w:t>
            </w:r>
          </w:p>
        </w:tc>
        <w:tc>
          <w:tcPr>
            <w:tcW w:w="7903" w:type="dxa"/>
          </w:tcPr>
          <w:p w14:paraId="379C8EA9"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IMPORTO COMPLESSIVO PER IL RISCHIO GENERICO</w:t>
            </w:r>
          </w:p>
          <w:p w14:paraId="0C19B9DF"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p w14:paraId="51FC56A2"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Style w:val="InstructionsTabelleText"/>
                <w:rFonts w:ascii="Times New Roman" w:hAnsi="Times New Roman"/>
                <w:sz w:val="24"/>
              </w:rPr>
              <w:t xml:space="preserve">Rischio di mercato dovuto a movimenti generali di mercato di strumenti di debito negoziati, strumenti di capitale, cambio e merci. VaR del rischio generico di tutti i fattori di rischio (tenuto conto degli effetti di correlazione, ove applicabili). </w:t>
            </w:r>
          </w:p>
          <w:p w14:paraId="58946EA6"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lang w:eastAsia="nl-BE"/>
              </w:rPr>
            </w:pPr>
          </w:p>
        </w:tc>
      </w:tr>
      <w:tr w:rsidR="005970B6" w:rsidRPr="00696301" w14:paraId="5EA545F0" w14:textId="77777777" w:rsidTr="00332B2A">
        <w:tc>
          <w:tcPr>
            <w:tcW w:w="993" w:type="dxa"/>
          </w:tcPr>
          <w:p w14:paraId="47E0AD8F" w14:textId="77777777" w:rsidR="005970B6" w:rsidRPr="002D60D7" w:rsidRDefault="005970B6" w:rsidP="004C445F">
            <w:pPr>
              <w:suppressAutoHyphens/>
              <w:autoSpaceDE w:val="0"/>
              <w:autoSpaceDN w:val="0"/>
              <w:adjustRightInd w:val="0"/>
              <w:spacing w:before="0" w:after="0"/>
              <w:rPr>
                <w:rFonts w:ascii="Times New Roman" w:hAnsi="Times New Roman"/>
                <w:sz w:val="24"/>
              </w:rPr>
            </w:pPr>
            <w:r>
              <w:rPr>
                <w:rFonts w:ascii="Times New Roman" w:hAnsi="Times New Roman"/>
                <w:sz w:val="24"/>
              </w:rPr>
              <w:t>0110</w:t>
            </w:r>
          </w:p>
        </w:tc>
        <w:tc>
          <w:tcPr>
            <w:tcW w:w="7903" w:type="dxa"/>
          </w:tcPr>
          <w:p w14:paraId="116F1840" w14:textId="77777777" w:rsidR="005970B6" w:rsidRPr="002D60D7" w:rsidRDefault="005970B6" w:rsidP="004C445F">
            <w:pPr>
              <w:suppressAutoHyphens/>
              <w:autoSpaceDE w:val="0"/>
              <w:autoSpaceDN w:val="0"/>
              <w:adjustRightInd w:val="0"/>
              <w:spacing w:before="0" w:after="0"/>
              <w:rPr>
                <w:rFonts w:ascii="Times New Roman" w:hAnsi="Times New Roman"/>
                <w:b/>
                <w:bCs/>
                <w:sz w:val="24"/>
                <w:u w:val="single"/>
              </w:rPr>
            </w:pPr>
            <w:r>
              <w:rPr>
                <w:rFonts w:ascii="Times New Roman" w:hAnsi="Times New Roman"/>
                <w:b/>
                <w:sz w:val="24"/>
                <w:u w:val="single"/>
              </w:rPr>
              <w:t>IMPORTO COMPLESSIVO PER IL RISCHIO SPECIFICO</w:t>
            </w:r>
          </w:p>
          <w:p w14:paraId="6E0205CC" w14:textId="77777777" w:rsidR="005970B6" w:rsidRPr="00696301" w:rsidRDefault="005970B6" w:rsidP="004C445F">
            <w:pPr>
              <w:suppressAutoHyphens/>
              <w:autoSpaceDE w:val="0"/>
              <w:autoSpaceDN w:val="0"/>
              <w:adjustRightInd w:val="0"/>
              <w:rPr>
                <w:rFonts w:ascii="Times New Roman" w:hAnsi="Times New Roman"/>
                <w:b/>
                <w:bCs/>
                <w:sz w:val="24"/>
                <w:u w:val="single"/>
              </w:rPr>
            </w:pPr>
            <w:r>
              <w:rPr>
                <w:rStyle w:val="InstructionsTabelleText"/>
                <w:rFonts w:ascii="Times New Roman" w:hAnsi="Times New Roman"/>
                <w:sz w:val="24"/>
              </w:rPr>
              <w:t>Componente del rischio specifico di strumenti di debito negoziati e strumenti di capitale. VaR del rischio specifico degli strumenti di capitale e strumenti di debito negoziati interni al portafoglio di negoziazione (tenuto conto degli effetti di correlazione, ove applicabili).</w:t>
            </w:r>
          </w:p>
        </w:tc>
      </w:tr>
    </w:tbl>
    <w:p w14:paraId="0578F882" w14:textId="77777777" w:rsidR="005970B6" w:rsidRPr="00696301" w:rsidRDefault="005970B6" w:rsidP="004C445F">
      <w:pPr>
        <w:suppressAutoHyphens/>
        <w:spacing w:before="0" w:after="0"/>
        <w:jc w:val="left"/>
        <w:rPr>
          <w:rStyle w:val="InstructionsTabelleText"/>
          <w:rFonts w:ascii="Times New Roman" w:hAnsi="Times New Roman"/>
          <w:sz w:val="24"/>
        </w:rPr>
      </w:pPr>
    </w:p>
    <w:p w14:paraId="59BBB927" w14:textId="141D9EDD" w:rsidR="00DD00B4" w:rsidRPr="00696301" w:rsidRDefault="00516AD5" w:rsidP="004C445F">
      <w:pPr>
        <w:suppressAutoHyphens/>
        <w:spacing w:before="0" w:after="0"/>
        <w:jc w:val="left"/>
        <w:rPr>
          <w:rStyle w:val="InstructionsTabelleText"/>
          <w:rFonts w:ascii="Times New Roman" w:hAnsi="Times New Roman"/>
          <w:sz w:val="24"/>
        </w:rPr>
      </w:pPr>
      <w:r>
        <w:rPr>
          <w:rStyle w:val="InstructionsTabelleText"/>
          <w:rFonts w:ascii="Times New Roman" w:hAnsi="Times New Roman"/>
          <w:sz w:val="24"/>
        </w:rPr>
        <w:t>"</w:t>
      </w:r>
    </w:p>
    <w:sectPr w:rsidR="00DD00B4" w:rsidRPr="00696301"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71557" w14:textId="77777777" w:rsidR="001D7222" w:rsidRDefault="001D7222" w:rsidP="00D946DB">
      <w:pPr>
        <w:spacing w:before="0" w:after="0"/>
      </w:pPr>
      <w:r>
        <w:separator/>
      </w:r>
    </w:p>
  </w:endnote>
  <w:endnote w:type="continuationSeparator" w:id="0">
    <w:p w14:paraId="78405556" w14:textId="77777777" w:rsidR="001D7222" w:rsidRDefault="001D7222" w:rsidP="00D946DB">
      <w:pPr>
        <w:spacing w:before="0" w:after="0"/>
      </w:pPr>
      <w:r>
        <w:continuationSeparator/>
      </w:r>
    </w:p>
  </w:endnote>
  <w:endnote w:type="continuationNotice" w:id="1">
    <w:p w14:paraId="1E4D48D1" w14:textId="77777777" w:rsidR="001D7222" w:rsidRDefault="001D72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FB1" w14:textId="77777777" w:rsidR="004E7DCF" w:rsidRDefault="004E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685E" w14:textId="7A2643B3" w:rsidR="00C3070C" w:rsidRPr="00ED1956" w:rsidRDefault="00C3070C">
    <w:pPr>
      <w:pStyle w:val="Footer"/>
      <w:jc w:val="right"/>
      <w:rPr>
        <w:rFonts w:ascii="Times New Roman" w:hAnsi="Times New Roman"/>
        <w:sz w:val="22"/>
        <w:szCs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p>
  <w:p w14:paraId="4D97BBA9" w14:textId="77777777" w:rsidR="00C3070C" w:rsidRDefault="00C3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102A" w14:textId="7C6C6999" w:rsidR="00C3070C" w:rsidRPr="00E85358" w:rsidRDefault="00C3070C">
    <w:pPr>
      <w:pStyle w:val="Footer"/>
      <w:jc w:val="right"/>
      <w:rPr>
        <w:sz w:val="22"/>
        <w:szCs w:val="22"/>
      </w:rP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14:paraId="0503D57B" w14:textId="77777777" w:rsidR="00C3070C" w:rsidRDefault="00C307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A5" w14:textId="77777777" w:rsidR="00C3070C" w:rsidRDefault="00C3070C">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68B5799" w14:textId="77777777" w:rsidR="00C3070C" w:rsidRDefault="00C30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5885" w14:textId="71A1082C" w:rsidR="00C3070C" w:rsidRPr="00ED1956" w:rsidRDefault="00C3070C">
    <w:pPr>
      <w:pStyle w:val="Footer"/>
      <w:jc w:val="right"/>
      <w:rPr>
        <w:rFonts w:ascii="Times New Roman" w:hAnsi="Times New Roman"/>
        <w:sz w:val="20"/>
        <w:szCs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rPr>
      <w:t>42</w:t>
    </w:r>
    <w:r>
      <w:rPr>
        <w:rFonts w:ascii="Times New Roman" w:hAnsi="Times New Roman"/>
        <w:sz w:val="20"/>
      </w:rPr>
      <w:fldChar w:fldCharType="end"/>
    </w:r>
  </w:p>
  <w:p w14:paraId="416ED6B6" w14:textId="77777777" w:rsidR="00C3070C" w:rsidRPr="00A772B4" w:rsidRDefault="00C3070C"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E7FAA" w14:textId="77777777" w:rsidR="001D7222" w:rsidRDefault="001D7222" w:rsidP="00D946DB">
      <w:pPr>
        <w:spacing w:before="0" w:after="0"/>
      </w:pPr>
      <w:r>
        <w:separator/>
      </w:r>
    </w:p>
  </w:footnote>
  <w:footnote w:type="continuationSeparator" w:id="0">
    <w:p w14:paraId="6DB92C41" w14:textId="77777777" w:rsidR="001D7222" w:rsidRDefault="001D7222" w:rsidP="00D946DB">
      <w:pPr>
        <w:spacing w:before="0" w:after="0"/>
      </w:pPr>
      <w:r>
        <w:continuationSeparator/>
      </w:r>
    </w:p>
  </w:footnote>
  <w:footnote w:type="continuationNotice" w:id="1">
    <w:p w14:paraId="7F31BD24" w14:textId="77777777" w:rsidR="001D7222" w:rsidRDefault="001D7222">
      <w:pPr>
        <w:spacing w:before="0" w:after="0"/>
      </w:pPr>
    </w:p>
  </w:footnote>
  <w:footnote w:id="2">
    <w:p w14:paraId="3507A652" w14:textId="37318E6F" w:rsidR="00C3070C" w:rsidRPr="00B828CC" w:rsidRDefault="00C3070C" w:rsidP="00C91751">
      <w:r>
        <w:rPr>
          <w:rStyle w:val="FootnoteReference"/>
        </w:rPr>
        <w:footnoteRef/>
      </w:r>
      <w:r>
        <w:t xml:space="preserve"> </w:t>
      </w:r>
      <w:r>
        <w:rPr>
          <w:rFonts w:ascii="Times New Roman" w:hAnsi="Times New Roman"/>
        </w:rPr>
        <w:t xml:space="preserve">Regolamento delegato (UE) n. 525/2014 della Commissione, del 12 marzo 2014, che integra il regolamento (UE) n. 575/2013 del Parlamento europeo e del Consiglio per quanto riguarda le norme tecniche di regolamentazione relative alla definizione del termine </w:t>
      </w:r>
      <w:r w:rsidR="00516AD5">
        <w:rPr>
          <w:rFonts w:ascii="Times New Roman" w:hAnsi="Times New Roman"/>
        </w:rPr>
        <w:t>"</w:t>
      </w:r>
      <w:r>
        <w:rPr>
          <w:rFonts w:ascii="Times New Roman" w:hAnsi="Times New Roman"/>
        </w:rPr>
        <w:t>mercato</w:t>
      </w:r>
      <w:r w:rsidR="00516AD5">
        <w:rPr>
          <w:rFonts w:ascii="Times New Roman" w:hAnsi="Times New Roman"/>
        </w:rPr>
        <w:t>"</w:t>
      </w:r>
      <w:r>
        <w:rPr>
          <w:rFonts w:ascii="Times New Roman" w:hAnsi="Times New Roman"/>
        </w:rPr>
        <w:t xml:space="preserve"> (GU L 148 del 20.5.2014, pag. 15,</w:t>
      </w:r>
      <w:r>
        <w:t xml:space="preserve"> </w:t>
      </w:r>
      <w:r>
        <w:rPr>
          <w:rFonts w:ascii="Times New Roman" w:hAnsi="Times New Roman"/>
        </w:rPr>
        <w:t>ELI: http://data.europa.eu/eli/reg_del/2014/525/oj)</w:t>
      </w:r>
      <w:r>
        <w:rPr>
          <w:rFonts w:ascii="Times New Roman" w:hAnsi="Times New Roman"/>
          <w:i/>
        </w:rPr>
        <w:t>.</w:t>
      </w:r>
    </w:p>
  </w:footnote>
  <w:footnote w:id="3">
    <w:p w14:paraId="018474C7" w14:textId="41242D1D" w:rsidR="00C3070C" w:rsidRPr="00A11C6E" w:rsidRDefault="00C3070C">
      <w:pPr>
        <w:pStyle w:val="FootnoteText"/>
      </w:pPr>
      <w:r>
        <w:rPr>
          <w:rStyle w:val="FootnoteReference"/>
        </w:rPr>
        <w:footnoteRef/>
      </w:r>
      <w:r>
        <w:t xml:space="preserve"> </w:t>
      </w:r>
      <w:r w:rsidRPr="00516AD5">
        <w:rPr>
          <w:rFonts w:ascii="Times New Roman" w:hAnsi="Times New Roman"/>
          <w:sz w:val="20"/>
          <w:szCs w:val="20"/>
        </w:rPr>
        <w:t>Regolamento di esecuzione (UE) n. 945/2014 della Commissione, del 4 settembre 2014, che stabilisce norme tecniche di attuazione per quanto riguarda gli indici pertinenti adeguatamente diversificati conformemente al regolamento (UE) n. 575/2013 del Parlamento europeo e del Consiglio (GU L 265 del 5.9.2014, pag. 3, ELI:</w:t>
      </w:r>
      <w:r w:rsidR="00516AD5" w:rsidRPr="00516AD5">
        <w:rPr>
          <w:rFonts w:ascii="Times New Roman" w:hAnsi="Times New Roman"/>
          <w:sz w:val="20"/>
          <w:szCs w:val="20"/>
        </w:rPr>
        <w:t> </w:t>
      </w:r>
      <w:r w:rsidRPr="00516AD5">
        <w:rPr>
          <w:rFonts w:ascii="Times New Roman" w:hAnsi="Times New Roman"/>
          <w:sz w:val="20"/>
          <w:szCs w:val="20"/>
        </w:rPr>
        <w:t>http://data.europa.eu/eli/reg_impl/2014/945/oj).</w:t>
      </w:r>
    </w:p>
  </w:footnote>
  <w:footnote w:id="4">
    <w:p w14:paraId="22A9C113" w14:textId="5D688A5C" w:rsidR="0014702F" w:rsidRPr="006B7076" w:rsidRDefault="0014702F" w:rsidP="00516AD5">
      <w:pPr>
        <w:pStyle w:val="FootnoteText"/>
      </w:pPr>
      <w:r>
        <w:rPr>
          <w:rStyle w:val="FootnoteReference"/>
        </w:rPr>
        <w:footnoteRef/>
      </w:r>
      <w:r>
        <w:t xml:space="preserve"> </w:t>
      </w:r>
      <w:r w:rsidRPr="00516AD5">
        <w:rPr>
          <w:rFonts w:ascii="Times New Roman" w:hAnsi="Times New Roman"/>
          <w:sz w:val="20"/>
          <w:szCs w:val="20"/>
        </w:rPr>
        <w:t xml:space="preserve">Direttiva 2014/65/UE </w:t>
      </w:r>
      <w:bookmarkStart w:id="129" w:name="_Hlk204078738"/>
      <w:r w:rsidRPr="00516AD5">
        <w:rPr>
          <w:rFonts w:ascii="Times New Roman" w:hAnsi="Times New Roman"/>
          <w:sz w:val="20"/>
          <w:szCs w:val="20"/>
        </w:rPr>
        <w:t>del Parlamento europeo e del Consiglio</w:t>
      </w:r>
      <w:bookmarkEnd w:id="129"/>
      <w:r w:rsidRPr="00516AD5">
        <w:rPr>
          <w:rFonts w:ascii="Times New Roman" w:hAnsi="Times New Roman"/>
          <w:sz w:val="20"/>
          <w:szCs w:val="20"/>
        </w:rPr>
        <w:t>, del 15 maggio 2014, relativa ai mercati degli strumenti finanziari e che modifica la direttiva 2002/92/CE e la direttiva 2011/61/UE (GU L 173 del 12.6.2014, pag. 349, ELI: http://data.europa.eu/eli/dir/2014/65/oj).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71A" w14:textId="7B4511CB" w:rsidR="00C3070C" w:rsidRDefault="00C3070C">
    <w:pPr>
      <w:pStyle w:val="Header"/>
    </w:pPr>
    <w:r>
      <w:rPr>
        <w:noProof/>
      </w:rPr>
      <mc:AlternateContent>
        <mc:Choice Requires="wps">
          <w:drawing>
            <wp:anchor distT="0" distB="0" distL="0" distR="0" simplePos="0" relativeHeight="251658240" behindDoc="0" locked="0" layoutInCell="1" allowOverlap="1" wp14:anchorId="23C8943B" wp14:editId="41043202">
              <wp:simplePos x="635" y="635"/>
              <wp:positionH relativeFrom="leftMargin">
                <wp:align>left</wp:align>
              </wp:positionH>
              <wp:positionV relativeFrom="paragraph">
                <wp:posOffset>635</wp:posOffset>
              </wp:positionV>
              <wp:extent cx="443865" cy="443865"/>
              <wp:effectExtent l="0" t="0" r="3175" b="4445"/>
              <wp:wrapSquare wrapText="bothSides"/>
              <wp:docPr id="18" name="Text Box 18" descr="Per l'uso ordinario dell'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175392" w14:textId="71B30900" w:rsidR="00C3070C" w:rsidRPr="003B6094" w:rsidRDefault="00C3070C">
                          <w:pPr>
                            <w:rPr>
                              <w:rFonts w:ascii="Calibri" w:eastAsia="Calibri" w:hAnsi="Calibri" w:cs="Calibri"/>
                              <w:color w:val="000000"/>
                              <w:sz w:val="24"/>
                            </w:rPr>
                          </w:pPr>
                          <w:r>
                            <w:rPr>
                              <w:rFonts w:ascii="Calibri" w:hAnsi="Calibri"/>
                              <w:color w:val="000000"/>
                              <w:sz w:val="24"/>
                            </w:rPr>
                            <w:t>Per l</w:t>
                          </w:r>
                          <w:r w:rsidR="00516AD5">
                            <w:rPr>
                              <w:rFonts w:ascii="Calibri" w:hAnsi="Calibri"/>
                              <w:color w:val="000000"/>
                              <w:sz w:val="24"/>
                            </w:rPr>
                            <w:t>'</w:t>
                          </w:r>
                          <w:r>
                            <w:rPr>
                              <w:rFonts w:ascii="Calibri" w:hAnsi="Calibri"/>
                              <w:color w:val="000000"/>
                              <w:sz w:val="24"/>
                            </w:rPr>
                            <w:t>uso ordinario dell</w:t>
                          </w:r>
                          <w:r w:rsidR="00516AD5">
                            <w:rPr>
                              <w:rFonts w:ascii="Calibri" w:hAnsi="Calibri"/>
                              <w:color w:val="000000"/>
                              <w:sz w:val="24"/>
                            </w:rPr>
                            <w:t>'</w:t>
                          </w:r>
                          <w:r>
                            <w:rPr>
                              <w:rFonts w:ascii="Calibri" w:hAnsi="Calibri"/>
                              <w:color w:val="000000"/>
                              <w:sz w:val="24"/>
                            </w:rPr>
                            <w:t>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C8943B" id="_x0000_t202" coordsize="21600,21600" o:spt="202" path="m,l,21600r21600,l21600,xe">
              <v:stroke joinstyle="miter"/>
              <v:path gradientshapeok="t" o:connecttype="rect"/>
            </v:shapetype>
            <v:shape id="Text Box 18" o:spid="_x0000_s1026" type="#_x0000_t202" alt="Per l'uso ordinario dell'AB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5175392" w14:textId="71B30900" w:rsidR="00C3070C" w:rsidRPr="003B6094" w:rsidRDefault="00C3070C">
                    <w:pPr>
                      <w:rPr>
                        <w:rFonts w:ascii="Calibri" w:eastAsia="Calibri" w:hAnsi="Calibri" w:cs="Calibri"/>
                        <w:color w:val="000000"/>
                        <w:sz w:val="24"/>
                      </w:rPr>
                    </w:pPr>
                    <w:r>
                      <w:rPr>
                        <w:rFonts w:ascii="Calibri" w:hAnsi="Calibri"/>
                        <w:color w:val="000000"/>
                        <w:sz w:val="24"/>
                      </w:rPr>
                      <w:t>Per l</w:t>
                    </w:r>
                    <w:r w:rsidR="00516AD5">
                      <w:rPr>
                        <w:rFonts w:ascii="Calibri" w:hAnsi="Calibri"/>
                        <w:color w:val="000000"/>
                        <w:sz w:val="24"/>
                      </w:rPr>
                      <w:t>'</w:t>
                    </w:r>
                    <w:r>
                      <w:rPr>
                        <w:rFonts w:ascii="Calibri" w:hAnsi="Calibri"/>
                        <w:color w:val="000000"/>
                        <w:sz w:val="24"/>
                      </w:rPr>
                      <w:t>uso ordinario dell</w:t>
                    </w:r>
                    <w:r w:rsidR="00516AD5">
                      <w:rPr>
                        <w:rFonts w:ascii="Calibri" w:hAnsi="Calibri"/>
                        <w:color w:val="000000"/>
                        <w:sz w:val="24"/>
                      </w:rPr>
                      <w:t>'</w:t>
                    </w:r>
                    <w:r>
                      <w:rPr>
                        <w:rFonts w:ascii="Calibri" w:hAnsi="Calibri"/>
                        <w:color w:val="000000"/>
                        <w:sz w:val="24"/>
                      </w:rPr>
                      <w:t>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7757" w14:textId="77777777" w:rsidR="004E7DCF" w:rsidRDefault="004E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03B2" w14:textId="77777777" w:rsidR="004E7DCF" w:rsidRDefault="004E7D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98C1" w14:textId="7C971337" w:rsidR="00C3070C" w:rsidRDefault="00C3070C">
    <w:pPr>
      <w:pStyle w:val="Header"/>
    </w:pPr>
    <w:r>
      <w:rPr>
        <w:noProof/>
      </w:rPr>
      <mc:AlternateContent>
        <mc:Choice Requires="wps">
          <w:drawing>
            <wp:anchor distT="0" distB="0" distL="0" distR="0" simplePos="0" relativeHeight="251658242"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Per l'uso ordinario dell'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02FFA40" w:rsidR="00C3070C" w:rsidRPr="003B6094" w:rsidRDefault="00C3070C">
                          <w:pPr>
                            <w:rPr>
                              <w:rFonts w:ascii="Calibri" w:eastAsia="Calibri" w:hAnsi="Calibri" w:cs="Calibri"/>
                              <w:color w:val="000000"/>
                              <w:sz w:val="24"/>
                            </w:rPr>
                          </w:pPr>
                          <w:r>
                            <w:rPr>
                              <w:rFonts w:ascii="Calibri" w:hAnsi="Calibri"/>
                              <w:color w:val="000000"/>
                              <w:sz w:val="24"/>
                            </w:rPr>
                            <w:t>Per l</w:t>
                          </w:r>
                          <w:r w:rsidR="00516AD5">
                            <w:rPr>
                              <w:rFonts w:ascii="Calibri" w:hAnsi="Calibri"/>
                              <w:color w:val="000000"/>
                              <w:sz w:val="24"/>
                            </w:rPr>
                            <w:t>'</w:t>
                          </w:r>
                          <w:r>
                            <w:rPr>
                              <w:rFonts w:ascii="Calibri" w:hAnsi="Calibri"/>
                              <w:color w:val="000000"/>
                              <w:sz w:val="24"/>
                            </w:rPr>
                            <w:t>uso ordinario dell</w:t>
                          </w:r>
                          <w:r w:rsidR="00516AD5">
                            <w:rPr>
                              <w:rFonts w:ascii="Calibri" w:hAnsi="Calibri"/>
                              <w:color w:val="000000"/>
                              <w:sz w:val="24"/>
                            </w:rPr>
                            <w:t>'</w:t>
                          </w:r>
                          <w:r>
                            <w:rPr>
                              <w:rFonts w:ascii="Calibri" w:hAnsi="Calibri"/>
                              <w:color w:val="000000"/>
                              <w:sz w:val="24"/>
                            </w:rPr>
                            <w:t>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7" type="#_x0000_t202" alt="Per l'uso ordinario dell'AB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E3DFA35" w14:textId="002FFA40" w:rsidR="00C3070C" w:rsidRPr="003B6094" w:rsidRDefault="00C3070C">
                    <w:pPr>
                      <w:rPr>
                        <w:rFonts w:ascii="Calibri" w:eastAsia="Calibri" w:hAnsi="Calibri" w:cs="Calibri"/>
                        <w:color w:val="000000"/>
                        <w:sz w:val="24"/>
                      </w:rPr>
                    </w:pPr>
                    <w:r>
                      <w:rPr>
                        <w:rFonts w:ascii="Calibri" w:hAnsi="Calibri"/>
                        <w:color w:val="000000"/>
                        <w:sz w:val="24"/>
                      </w:rPr>
                      <w:t>Per l</w:t>
                    </w:r>
                    <w:r w:rsidR="00516AD5">
                      <w:rPr>
                        <w:rFonts w:ascii="Calibri" w:hAnsi="Calibri"/>
                        <w:color w:val="000000"/>
                        <w:sz w:val="24"/>
                      </w:rPr>
                      <w:t>'</w:t>
                    </w:r>
                    <w:r>
                      <w:rPr>
                        <w:rFonts w:ascii="Calibri" w:hAnsi="Calibri"/>
                        <w:color w:val="000000"/>
                        <w:sz w:val="24"/>
                      </w:rPr>
                      <w:t>uso ordinario dell</w:t>
                    </w:r>
                    <w:r w:rsidR="00516AD5">
                      <w:rPr>
                        <w:rFonts w:ascii="Calibri" w:hAnsi="Calibri"/>
                        <w:color w:val="000000"/>
                        <w:sz w:val="24"/>
                      </w:rPr>
                      <w:t>'</w:t>
                    </w:r>
                    <w:r>
                      <w:rPr>
                        <w:rFonts w:ascii="Calibri" w:hAnsi="Calibri"/>
                        <w:color w:val="000000"/>
                        <w:sz w:val="24"/>
                      </w:rPr>
                      <w:t>ABE</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BBC0" w14:textId="57E2581D" w:rsidR="00C3070C" w:rsidRDefault="00C30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55F" w14:textId="0211D059" w:rsidR="00C3070C" w:rsidRDefault="00C3070C">
    <w:pPr>
      <w:rPr>
        <w:rFonts w:ascii="Arial" w:hAnsi="Arial" w:cs="Arial"/>
      </w:rPr>
    </w:pPr>
    <w:r>
      <w:rPr>
        <w:rFonts w:ascii="Arial" w:hAnsi="Arial"/>
        <w:noProof/>
      </w:rPr>
      <mc:AlternateContent>
        <mc:Choice Requires="wps">
          <w:drawing>
            <wp:anchor distT="0" distB="0" distL="0" distR="0" simplePos="0" relativeHeight="251658241"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Per l'uso ordinario dell'AB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2033D83B" w:rsidR="00C3070C" w:rsidRPr="003B6094" w:rsidRDefault="00C3070C">
                          <w:pPr>
                            <w:rPr>
                              <w:rFonts w:ascii="Calibri" w:eastAsia="Calibri" w:hAnsi="Calibri" w:cs="Calibri"/>
                              <w:color w:val="000000"/>
                              <w:sz w:val="24"/>
                            </w:rPr>
                          </w:pPr>
                          <w:r>
                            <w:rPr>
                              <w:rFonts w:ascii="Calibri" w:hAnsi="Calibri"/>
                              <w:color w:val="000000"/>
                              <w:sz w:val="24"/>
                            </w:rPr>
                            <w:t>Per l</w:t>
                          </w:r>
                          <w:r w:rsidR="00516AD5">
                            <w:rPr>
                              <w:rFonts w:ascii="Calibri" w:hAnsi="Calibri"/>
                              <w:color w:val="000000"/>
                              <w:sz w:val="24"/>
                            </w:rPr>
                            <w:t>'</w:t>
                          </w:r>
                          <w:r>
                            <w:rPr>
                              <w:rFonts w:ascii="Calibri" w:hAnsi="Calibri"/>
                              <w:color w:val="000000"/>
                              <w:sz w:val="24"/>
                            </w:rPr>
                            <w:t>uso ordinario dell</w:t>
                          </w:r>
                          <w:r w:rsidR="00516AD5">
                            <w:rPr>
                              <w:rFonts w:ascii="Calibri" w:hAnsi="Calibri"/>
                              <w:color w:val="000000"/>
                              <w:sz w:val="24"/>
                            </w:rPr>
                            <w:t>'</w:t>
                          </w:r>
                          <w:r>
                            <w:rPr>
                              <w:rFonts w:ascii="Calibri" w:hAnsi="Calibri"/>
                              <w:color w:val="000000"/>
                              <w:sz w:val="24"/>
                            </w:rPr>
                            <w:t>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Per l'uso ordinario dell'AB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338E9168" w14:textId="2033D83B" w:rsidR="00C3070C" w:rsidRPr="003B6094" w:rsidRDefault="00C3070C">
                    <w:pPr>
                      <w:rPr>
                        <w:rFonts w:ascii="Calibri" w:eastAsia="Calibri" w:hAnsi="Calibri" w:cs="Calibri"/>
                        <w:color w:val="000000"/>
                        <w:sz w:val="24"/>
                      </w:rPr>
                    </w:pPr>
                    <w:r>
                      <w:rPr>
                        <w:rFonts w:ascii="Calibri" w:hAnsi="Calibri"/>
                        <w:color w:val="000000"/>
                        <w:sz w:val="24"/>
                      </w:rPr>
                      <w:t>Per l</w:t>
                    </w:r>
                    <w:r w:rsidR="00516AD5">
                      <w:rPr>
                        <w:rFonts w:ascii="Calibri" w:hAnsi="Calibri"/>
                        <w:color w:val="000000"/>
                        <w:sz w:val="24"/>
                      </w:rPr>
                      <w:t>'</w:t>
                    </w:r>
                    <w:r>
                      <w:rPr>
                        <w:rFonts w:ascii="Calibri" w:hAnsi="Calibri"/>
                        <w:color w:val="000000"/>
                        <w:sz w:val="24"/>
                      </w:rPr>
                      <w:t>uso ordinario dell</w:t>
                    </w:r>
                    <w:r w:rsidR="00516AD5">
                      <w:rPr>
                        <w:rFonts w:ascii="Calibri" w:hAnsi="Calibri"/>
                        <w:color w:val="000000"/>
                        <w:sz w:val="24"/>
                      </w:rPr>
                      <w:t>'</w:t>
                    </w:r>
                    <w:r>
                      <w:rPr>
                        <w:rFonts w:ascii="Calibri" w:hAnsi="Calibri"/>
                        <w:color w:val="000000"/>
                        <w:sz w:val="24"/>
                      </w:rPr>
                      <w:t>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E0F25"/>
    <w:multiLevelType w:val="hybridMultilevel"/>
    <w:tmpl w:val="756E5EAE"/>
    <w:lvl w:ilvl="0" w:tplc="0809000F">
      <w:start w:val="1"/>
      <w:numFmt w:val="decimal"/>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C2500"/>
    <w:multiLevelType w:val="hybridMultilevel"/>
    <w:tmpl w:val="76A055C0"/>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2027752466">
    <w:abstractNumId w:val="3"/>
  </w:num>
  <w:num w:numId="2" w16cid:durableId="873691100">
    <w:abstractNumId w:val="21"/>
  </w:num>
  <w:num w:numId="3" w16cid:durableId="64646718">
    <w:abstractNumId w:val="29"/>
  </w:num>
  <w:num w:numId="4" w16cid:durableId="2143423029">
    <w:abstractNumId w:val="15"/>
  </w:num>
  <w:num w:numId="5" w16cid:durableId="248462709">
    <w:abstractNumId w:val="24"/>
  </w:num>
  <w:num w:numId="6" w16cid:durableId="1615551260">
    <w:abstractNumId w:val="13"/>
  </w:num>
  <w:num w:numId="7" w16cid:durableId="1802721498">
    <w:abstractNumId w:val="28"/>
  </w:num>
  <w:num w:numId="8" w16cid:durableId="1196040528">
    <w:abstractNumId w:val="5"/>
  </w:num>
  <w:num w:numId="9" w16cid:durableId="394359329">
    <w:abstractNumId w:val="22"/>
  </w:num>
  <w:num w:numId="10" w16cid:durableId="919633677">
    <w:abstractNumId w:val="11"/>
  </w:num>
  <w:num w:numId="11" w16cid:durableId="666446483">
    <w:abstractNumId w:val="17"/>
  </w:num>
  <w:num w:numId="12" w16cid:durableId="1545752287">
    <w:abstractNumId w:val="6"/>
  </w:num>
  <w:num w:numId="13" w16cid:durableId="318656491">
    <w:abstractNumId w:val="23"/>
  </w:num>
  <w:num w:numId="14" w16cid:durableId="943851024">
    <w:abstractNumId w:val="20"/>
  </w:num>
  <w:num w:numId="15" w16cid:durableId="2068988913">
    <w:abstractNumId w:val="10"/>
  </w:num>
  <w:num w:numId="16" w16cid:durableId="750932434">
    <w:abstractNumId w:val="16"/>
  </w:num>
  <w:num w:numId="17" w16cid:durableId="1147473194">
    <w:abstractNumId w:val="9"/>
  </w:num>
  <w:num w:numId="18" w16cid:durableId="916598601">
    <w:abstractNumId w:val="25"/>
  </w:num>
  <w:num w:numId="19" w16cid:durableId="420293218">
    <w:abstractNumId w:val="4"/>
  </w:num>
  <w:num w:numId="20" w16cid:durableId="963775391">
    <w:abstractNumId w:val="14"/>
  </w:num>
  <w:num w:numId="21" w16cid:durableId="813450315">
    <w:abstractNumId w:val="2"/>
  </w:num>
  <w:num w:numId="22" w16cid:durableId="367880198">
    <w:abstractNumId w:val="12"/>
  </w:num>
  <w:num w:numId="23" w16cid:durableId="1272010103">
    <w:abstractNumId w:val="27"/>
  </w:num>
  <w:num w:numId="24" w16cid:durableId="1006593110">
    <w:abstractNumId w:val="1"/>
  </w:num>
  <w:num w:numId="25" w16cid:durableId="1965580885">
    <w:abstractNumId w:val="26"/>
  </w:num>
  <w:num w:numId="26" w16cid:durableId="402915401">
    <w:abstractNumId w:val="18"/>
  </w:num>
  <w:num w:numId="27" w16cid:durableId="627201129">
    <w:abstractNumId w:val="0"/>
  </w:num>
  <w:num w:numId="28" w16cid:durableId="297565844">
    <w:abstractNumId w:val="7"/>
  </w:num>
  <w:num w:numId="29" w16cid:durableId="1297876156">
    <w:abstractNumId w:val="19"/>
  </w:num>
  <w:num w:numId="30" w16cid:durableId="247811965">
    <w:abstractNumId w:val="8"/>
  </w:num>
  <w:num w:numId="31" w16cid:durableId="34455418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cs-CZ" w:vendorID="64" w:dllVersion="0" w:nlCheck="1" w:checkStyle="0"/>
  <w:activeWritingStyle w:appName="MSWord" w:lang="it-IT"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70"/>
    <w:rsid w:val="000017F3"/>
    <w:rsid w:val="00001AF1"/>
    <w:rsid w:val="000020E5"/>
    <w:rsid w:val="00002933"/>
    <w:rsid w:val="00002D28"/>
    <w:rsid w:val="00002E14"/>
    <w:rsid w:val="00004478"/>
    <w:rsid w:val="000044B7"/>
    <w:rsid w:val="00004978"/>
    <w:rsid w:val="00004D21"/>
    <w:rsid w:val="00004FE8"/>
    <w:rsid w:val="00005078"/>
    <w:rsid w:val="00005765"/>
    <w:rsid w:val="00005FFC"/>
    <w:rsid w:val="00007605"/>
    <w:rsid w:val="00007D0D"/>
    <w:rsid w:val="00010124"/>
    <w:rsid w:val="00011AFA"/>
    <w:rsid w:val="00011BD0"/>
    <w:rsid w:val="000120EB"/>
    <w:rsid w:val="000139D4"/>
    <w:rsid w:val="00014890"/>
    <w:rsid w:val="00014DC3"/>
    <w:rsid w:val="0001693F"/>
    <w:rsid w:val="000169A0"/>
    <w:rsid w:val="00020200"/>
    <w:rsid w:val="00020516"/>
    <w:rsid w:val="00020857"/>
    <w:rsid w:val="00020AF9"/>
    <w:rsid w:val="000212B7"/>
    <w:rsid w:val="0002157C"/>
    <w:rsid w:val="00021A05"/>
    <w:rsid w:val="0002267E"/>
    <w:rsid w:val="00023102"/>
    <w:rsid w:val="000232E2"/>
    <w:rsid w:val="00023383"/>
    <w:rsid w:val="000242CC"/>
    <w:rsid w:val="000243CE"/>
    <w:rsid w:val="000261AF"/>
    <w:rsid w:val="0002657F"/>
    <w:rsid w:val="00027235"/>
    <w:rsid w:val="00027D90"/>
    <w:rsid w:val="000313B7"/>
    <w:rsid w:val="00031FA5"/>
    <w:rsid w:val="000326C1"/>
    <w:rsid w:val="00032937"/>
    <w:rsid w:val="00033301"/>
    <w:rsid w:val="00033B7C"/>
    <w:rsid w:val="00033C55"/>
    <w:rsid w:val="00034431"/>
    <w:rsid w:val="000346A9"/>
    <w:rsid w:val="00034834"/>
    <w:rsid w:val="000359E1"/>
    <w:rsid w:val="00035DCC"/>
    <w:rsid w:val="00035E44"/>
    <w:rsid w:val="000364CE"/>
    <w:rsid w:val="00037093"/>
    <w:rsid w:val="000377CC"/>
    <w:rsid w:val="00037FCC"/>
    <w:rsid w:val="00041480"/>
    <w:rsid w:val="000433C4"/>
    <w:rsid w:val="00043C7C"/>
    <w:rsid w:val="00045036"/>
    <w:rsid w:val="0004590F"/>
    <w:rsid w:val="00050E97"/>
    <w:rsid w:val="00052CAE"/>
    <w:rsid w:val="000530BC"/>
    <w:rsid w:val="0005400A"/>
    <w:rsid w:val="000548A2"/>
    <w:rsid w:val="0005609F"/>
    <w:rsid w:val="000565B6"/>
    <w:rsid w:val="00056C0F"/>
    <w:rsid w:val="00056C8D"/>
    <w:rsid w:val="00057154"/>
    <w:rsid w:val="00057362"/>
    <w:rsid w:val="0005746D"/>
    <w:rsid w:val="00061C24"/>
    <w:rsid w:val="00061E48"/>
    <w:rsid w:val="00062A1F"/>
    <w:rsid w:val="00063085"/>
    <w:rsid w:val="00063B3F"/>
    <w:rsid w:val="00064158"/>
    <w:rsid w:val="0006666B"/>
    <w:rsid w:val="00067DC1"/>
    <w:rsid w:val="00067EEA"/>
    <w:rsid w:val="00070113"/>
    <w:rsid w:val="00070518"/>
    <w:rsid w:val="00070AF9"/>
    <w:rsid w:val="00070E18"/>
    <w:rsid w:val="00071341"/>
    <w:rsid w:val="00071622"/>
    <w:rsid w:val="000716F4"/>
    <w:rsid w:val="00071D95"/>
    <w:rsid w:val="000726BC"/>
    <w:rsid w:val="000737D3"/>
    <w:rsid w:val="000758FE"/>
    <w:rsid w:val="00076091"/>
    <w:rsid w:val="000763E0"/>
    <w:rsid w:val="00076880"/>
    <w:rsid w:val="00077C5F"/>
    <w:rsid w:val="00080DDC"/>
    <w:rsid w:val="0008111C"/>
    <w:rsid w:val="0008126E"/>
    <w:rsid w:val="00082265"/>
    <w:rsid w:val="000828C6"/>
    <w:rsid w:val="00084339"/>
    <w:rsid w:val="000843B3"/>
    <w:rsid w:val="00084A4D"/>
    <w:rsid w:val="00085019"/>
    <w:rsid w:val="000858A9"/>
    <w:rsid w:val="000860B6"/>
    <w:rsid w:val="00086A31"/>
    <w:rsid w:val="00086C6E"/>
    <w:rsid w:val="00087700"/>
    <w:rsid w:val="00087E1A"/>
    <w:rsid w:val="000903FA"/>
    <w:rsid w:val="000904F3"/>
    <w:rsid w:val="00090583"/>
    <w:rsid w:val="000911FE"/>
    <w:rsid w:val="0009195D"/>
    <w:rsid w:val="00091CBC"/>
    <w:rsid w:val="000921E0"/>
    <w:rsid w:val="0009290C"/>
    <w:rsid w:val="00092F67"/>
    <w:rsid w:val="00093686"/>
    <w:rsid w:val="00093BF7"/>
    <w:rsid w:val="00094D25"/>
    <w:rsid w:val="00095191"/>
    <w:rsid w:val="00095CAD"/>
    <w:rsid w:val="00096566"/>
    <w:rsid w:val="00096876"/>
    <w:rsid w:val="0009761E"/>
    <w:rsid w:val="00097A17"/>
    <w:rsid w:val="00097C81"/>
    <w:rsid w:val="00097E91"/>
    <w:rsid w:val="000A0FC4"/>
    <w:rsid w:val="000A1955"/>
    <w:rsid w:val="000A368E"/>
    <w:rsid w:val="000A3B1A"/>
    <w:rsid w:val="000A46E0"/>
    <w:rsid w:val="000A4B61"/>
    <w:rsid w:val="000A4C10"/>
    <w:rsid w:val="000A57BC"/>
    <w:rsid w:val="000A6BBC"/>
    <w:rsid w:val="000A7D27"/>
    <w:rsid w:val="000A7F37"/>
    <w:rsid w:val="000B0694"/>
    <w:rsid w:val="000B0B09"/>
    <w:rsid w:val="000B0E46"/>
    <w:rsid w:val="000B0EBE"/>
    <w:rsid w:val="000B13A1"/>
    <w:rsid w:val="000B22F6"/>
    <w:rsid w:val="000B267A"/>
    <w:rsid w:val="000B3C33"/>
    <w:rsid w:val="000B3E00"/>
    <w:rsid w:val="000B4DFF"/>
    <w:rsid w:val="000B6A14"/>
    <w:rsid w:val="000B70E1"/>
    <w:rsid w:val="000B73C4"/>
    <w:rsid w:val="000C0127"/>
    <w:rsid w:val="000C0A34"/>
    <w:rsid w:val="000C24B5"/>
    <w:rsid w:val="000C30A6"/>
    <w:rsid w:val="000C4A6C"/>
    <w:rsid w:val="000C5A1A"/>
    <w:rsid w:val="000C5EA7"/>
    <w:rsid w:val="000C6938"/>
    <w:rsid w:val="000C7632"/>
    <w:rsid w:val="000C7B1D"/>
    <w:rsid w:val="000C7EAA"/>
    <w:rsid w:val="000D04B6"/>
    <w:rsid w:val="000D0A23"/>
    <w:rsid w:val="000D194E"/>
    <w:rsid w:val="000D1FBE"/>
    <w:rsid w:val="000D220D"/>
    <w:rsid w:val="000D3222"/>
    <w:rsid w:val="000D3CBC"/>
    <w:rsid w:val="000D4352"/>
    <w:rsid w:val="000D5292"/>
    <w:rsid w:val="000D5958"/>
    <w:rsid w:val="000D6B9B"/>
    <w:rsid w:val="000E093A"/>
    <w:rsid w:val="000E1572"/>
    <w:rsid w:val="000E197A"/>
    <w:rsid w:val="000E2774"/>
    <w:rsid w:val="000E29C9"/>
    <w:rsid w:val="000E3F99"/>
    <w:rsid w:val="000E40DD"/>
    <w:rsid w:val="000E6835"/>
    <w:rsid w:val="000E7BA8"/>
    <w:rsid w:val="000E7F08"/>
    <w:rsid w:val="000F0D99"/>
    <w:rsid w:val="000F11B2"/>
    <w:rsid w:val="000F13F9"/>
    <w:rsid w:val="000F1CEA"/>
    <w:rsid w:val="000F2470"/>
    <w:rsid w:val="000F2EC8"/>
    <w:rsid w:val="000F2F09"/>
    <w:rsid w:val="000F33AF"/>
    <w:rsid w:val="000F46D5"/>
    <w:rsid w:val="000F4702"/>
    <w:rsid w:val="000F6A80"/>
    <w:rsid w:val="000F6B25"/>
    <w:rsid w:val="000F7045"/>
    <w:rsid w:val="000F70EC"/>
    <w:rsid w:val="0010177C"/>
    <w:rsid w:val="00102C6F"/>
    <w:rsid w:val="00104370"/>
    <w:rsid w:val="0010455D"/>
    <w:rsid w:val="00104A65"/>
    <w:rsid w:val="0010559F"/>
    <w:rsid w:val="00105A75"/>
    <w:rsid w:val="0010605A"/>
    <w:rsid w:val="00106FC5"/>
    <w:rsid w:val="001102E5"/>
    <w:rsid w:val="00110F40"/>
    <w:rsid w:val="0011240A"/>
    <w:rsid w:val="00113D25"/>
    <w:rsid w:val="00113E45"/>
    <w:rsid w:val="00113EA5"/>
    <w:rsid w:val="001151C1"/>
    <w:rsid w:val="0011539B"/>
    <w:rsid w:val="00115685"/>
    <w:rsid w:val="0012049B"/>
    <w:rsid w:val="00121008"/>
    <w:rsid w:val="001219C2"/>
    <w:rsid w:val="00121BFD"/>
    <w:rsid w:val="001235ED"/>
    <w:rsid w:val="00123D62"/>
    <w:rsid w:val="00124A44"/>
    <w:rsid w:val="00124B85"/>
    <w:rsid w:val="001250CC"/>
    <w:rsid w:val="00125707"/>
    <w:rsid w:val="00125D44"/>
    <w:rsid w:val="00125DEE"/>
    <w:rsid w:val="00126395"/>
    <w:rsid w:val="001273B5"/>
    <w:rsid w:val="00127986"/>
    <w:rsid w:val="00127FEA"/>
    <w:rsid w:val="00130586"/>
    <w:rsid w:val="00130EEF"/>
    <w:rsid w:val="001323BF"/>
    <w:rsid w:val="00132563"/>
    <w:rsid w:val="00132778"/>
    <w:rsid w:val="00133107"/>
    <w:rsid w:val="001331F5"/>
    <w:rsid w:val="00133396"/>
    <w:rsid w:val="00133AC1"/>
    <w:rsid w:val="001357A2"/>
    <w:rsid w:val="00136316"/>
    <w:rsid w:val="001379D4"/>
    <w:rsid w:val="00137AC5"/>
    <w:rsid w:val="00137C09"/>
    <w:rsid w:val="001402DB"/>
    <w:rsid w:val="00140571"/>
    <w:rsid w:val="001409D9"/>
    <w:rsid w:val="00140F6E"/>
    <w:rsid w:val="00141DD1"/>
    <w:rsid w:val="0014209A"/>
    <w:rsid w:val="0014210E"/>
    <w:rsid w:val="00142917"/>
    <w:rsid w:val="001432EE"/>
    <w:rsid w:val="00144F03"/>
    <w:rsid w:val="001452FC"/>
    <w:rsid w:val="0014657C"/>
    <w:rsid w:val="00146D50"/>
    <w:rsid w:val="0014702F"/>
    <w:rsid w:val="001474E0"/>
    <w:rsid w:val="0015008C"/>
    <w:rsid w:val="00151071"/>
    <w:rsid w:val="00151B44"/>
    <w:rsid w:val="00151D8A"/>
    <w:rsid w:val="0015288B"/>
    <w:rsid w:val="00152B33"/>
    <w:rsid w:val="00153BEC"/>
    <w:rsid w:val="00154859"/>
    <w:rsid w:val="001550FA"/>
    <w:rsid w:val="00155114"/>
    <w:rsid w:val="00156555"/>
    <w:rsid w:val="00156849"/>
    <w:rsid w:val="001570C4"/>
    <w:rsid w:val="00157883"/>
    <w:rsid w:val="00157B19"/>
    <w:rsid w:val="0016072E"/>
    <w:rsid w:val="0016282F"/>
    <w:rsid w:val="001628F4"/>
    <w:rsid w:val="00162CCF"/>
    <w:rsid w:val="00162E47"/>
    <w:rsid w:val="0016365E"/>
    <w:rsid w:val="00163DBA"/>
    <w:rsid w:val="001644B8"/>
    <w:rsid w:val="00164970"/>
    <w:rsid w:val="00164B62"/>
    <w:rsid w:val="00167602"/>
    <w:rsid w:val="00167619"/>
    <w:rsid w:val="00167E59"/>
    <w:rsid w:val="001721BD"/>
    <w:rsid w:val="001734AB"/>
    <w:rsid w:val="0017440D"/>
    <w:rsid w:val="00175957"/>
    <w:rsid w:val="00176495"/>
    <w:rsid w:val="001771A4"/>
    <w:rsid w:val="00181174"/>
    <w:rsid w:val="00181888"/>
    <w:rsid w:val="00181AC7"/>
    <w:rsid w:val="001822DF"/>
    <w:rsid w:val="00183B7A"/>
    <w:rsid w:val="00184045"/>
    <w:rsid w:val="001840A5"/>
    <w:rsid w:val="001843F9"/>
    <w:rsid w:val="0018450D"/>
    <w:rsid w:val="00184E8A"/>
    <w:rsid w:val="0018533B"/>
    <w:rsid w:val="001854F6"/>
    <w:rsid w:val="00185877"/>
    <w:rsid w:val="00185A19"/>
    <w:rsid w:val="00185FA8"/>
    <w:rsid w:val="00187348"/>
    <w:rsid w:val="00187488"/>
    <w:rsid w:val="0019088A"/>
    <w:rsid w:val="00190FA3"/>
    <w:rsid w:val="001919E9"/>
    <w:rsid w:val="001924F4"/>
    <w:rsid w:val="00192744"/>
    <w:rsid w:val="0019394E"/>
    <w:rsid w:val="001959EF"/>
    <w:rsid w:val="00195FDC"/>
    <w:rsid w:val="0019727D"/>
    <w:rsid w:val="00197C28"/>
    <w:rsid w:val="001A0143"/>
    <w:rsid w:val="001A2115"/>
    <w:rsid w:val="001A217F"/>
    <w:rsid w:val="001A370B"/>
    <w:rsid w:val="001A388F"/>
    <w:rsid w:val="001A3980"/>
    <w:rsid w:val="001A40DB"/>
    <w:rsid w:val="001A44B3"/>
    <w:rsid w:val="001A523B"/>
    <w:rsid w:val="001A531E"/>
    <w:rsid w:val="001A627D"/>
    <w:rsid w:val="001A741B"/>
    <w:rsid w:val="001A7742"/>
    <w:rsid w:val="001A7FE5"/>
    <w:rsid w:val="001B023A"/>
    <w:rsid w:val="001B140A"/>
    <w:rsid w:val="001B1531"/>
    <w:rsid w:val="001B17E6"/>
    <w:rsid w:val="001B1F77"/>
    <w:rsid w:val="001B21AE"/>
    <w:rsid w:val="001B21EA"/>
    <w:rsid w:val="001B43AF"/>
    <w:rsid w:val="001B43BD"/>
    <w:rsid w:val="001B44EE"/>
    <w:rsid w:val="001B4EA5"/>
    <w:rsid w:val="001B5499"/>
    <w:rsid w:val="001B5725"/>
    <w:rsid w:val="001B6114"/>
    <w:rsid w:val="001B6D4D"/>
    <w:rsid w:val="001B7D0F"/>
    <w:rsid w:val="001B7F1A"/>
    <w:rsid w:val="001C1392"/>
    <w:rsid w:val="001C1571"/>
    <w:rsid w:val="001C24B0"/>
    <w:rsid w:val="001C2A41"/>
    <w:rsid w:val="001C2BA5"/>
    <w:rsid w:val="001C3443"/>
    <w:rsid w:val="001C36B0"/>
    <w:rsid w:val="001C3D30"/>
    <w:rsid w:val="001C5557"/>
    <w:rsid w:val="001C5CA8"/>
    <w:rsid w:val="001C6166"/>
    <w:rsid w:val="001C6416"/>
    <w:rsid w:val="001C743D"/>
    <w:rsid w:val="001C7897"/>
    <w:rsid w:val="001C79CB"/>
    <w:rsid w:val="001C7AB7"/>
    <w:rsid w:val="001C7F2A"/>
    <w:rsid w:val="001D1D37"/>
    <w:rsid w:val="001D1F64"/>
    <w:rsid w:val="001D2FE6"/>
    <w:rsid w:val="001D3409"/>
    <w:rsid w:val="001D3CE7"/>
    <w:rsid w:val="001D4848"/>
    <w:rsid w:val="001D4B9D"/>
    <w:rsid w:val="001D5403"/>
    <w:rsid w:val="001D54D3"/>
    <w:rsid w:val="001D6D7C"/>
    <w:rsid w:val="001D7222"/>
    <w:rsid w:val="001D7382"/>
    <w:rsid w:val="001D7C9D"/>
    <w:rsid w:val="001E01BA"/>
    <w:rsid w:val="001E0C80"/>
    <w:rsid w:val="001E332C"/>
    <w:rsid w:val="001E38FD"/>
    <w:rsid w:val="001E39E5"/>
    <w:rsid w:val="001E3EF1"/>
    <w:rsid w:val="001E4D45"/>
    <w:rsid w:val="001E5A75"/>
    <w:rsid w:val="001E6127"/>
    <w:rsid w:val="001E6B9D"/>
    <w:rsid w:val="001E71B5"/>
    <w:rsid w:val="001E7AE4"/>
    <w:rsid w:val="001E7EA7"/>
    <w:rsid w:val="001F0111"/>
    <w:rsid w:val="001F0D60"/>
    <w:rsid w:val="001F1711"/>
    <w:rsid w:val="001F1B80"/>
    <w:rsid w:val="001F2389"/>
    <w:rsid w:val="001F2830"/>
    <w:rsid w:val="001F2920"/>
    <w:rsid w:val="001F3BBE"/>
    <w:rsid w:val="001F3D6A"/>
    <w:rsid w:val="001F4225"/>
    <w:rsid w:val="001F5AC3"/>
    <w:rsid w:val="001F5BC1"/>
    <w:rsid w:val="001F60B8"/>
    <w:rsid w:val="001F6487"/>
    <w:rsid w:val="001F73EA"/>
    <w:rsid w:val="00200D6E"/>
    <w:rsid w:val="00200E8E"/>
    <w:rsid w:val="002013B1"/>
    <w:rsid w:val="00201704"/>
    <w:rsid w:val="00201F3E"/>
    <w:rsid w:val="00202198"/>
    <w:rsid w:val="00202466"/>
    <w:rsid w:val="00202742"/>
    <w:rsid w:val="0020282E"/>
    <w:rsid w:val="00204265"/>
    <w:rsid w:val="00204383"/>
    <w:rsid w:val="00205AE8"/>
    <w:rsid w:val="00206687"/>
    <w:rsid w:val="00206BD0"/>
    <w:rsid w:val="00206D7E"/>
    <w:rsid w:val="00211293"/>
    <w:rsid w:val="00213102"/>
    <w:rsid w:val="0021389C"/>
    <w:rsid w:val="00213DC3"/>
    <w:rsid w:val="00213E0E"/>
    <w:rsid w:val="00214FDA"/>
    <w:rsid w:val="002154E5"/>
    <w:rsid w:val="00215548"/>
    <w:rsid w:val="00215CD7"/>
    <w:rsid w:val="00216D67"/>
    <w:rsid w:val="0021767A"/>
    <w:rsid w:val="00220265"/>
    <w:rsid w:val="00220B85"/>
    <w:rsid w:val="00221103"/>
    <w:rsid w:val="00221C2F"/>
    <w:rsid w:val="00222596"/>
    <w:rsid w:val="002229FF"/>
    <w:rsid w:val="00222AC6"/>
    <w:rsid w:val="00222CD3"/>
    <w:rsid w:val="0022311E"/>
    <w:rsid w:val="0022315F"/>
    <w:rsid w:val="00224016"/>
    <w:rsid w:val="00224828"/>
    <w:rsid w:val="002249DB"/>
    <w:rsid w:val="00224FE5"/>
    <w:rsid w:val="0022597E"/>
    <w:rsid w:val="00225D42"/>
    <w:rsid w:val="00225D63"/>
    <w:rsid w:val="002272E2"/>
    <w:rsid w:val="002300C6"/>
    <w:rsid w:val="002301C6"/>
    <w:rsid w:val="00230536"/>
    <w:rsid w:val="002305D2"/>
    <w:rsid w:val="00230DA8"/>
    <w:rsid w:val="00230E9F"/>
    <w:rsid w:val="00232217"/>
    <w:rsid w:val="00232702"/>
    <w:rsid w:val="0023276A"/>
    <w:rsid w:val="002327CE"/>
    <w:rsid w:val="00232921"/>
    <w:rsid w:val="002331CC"/>
    <w:rsid w:val="00233577"/>
    <w:rsid w:val="002339F2"/>
    <w:rsid w:val="0023488F"/>
    <w:rsid w:val="00234E7D"/>
    <w:rsid w:val="0023571F"/>
    <w:rsid w:val="002357EA"/>
    <w:rsid w:val="00235897"/>
    <w:rsid w:val="002367E6"/>
    <w:rsid w:val="00236E33"/>
    <w:rsid w:val="0023700C"/>
    <w:rsid w:val="00237276"/>
    <w:rsid w:val="0023738B"/>
    <w:rsid w:val="0023769E"/>
    <w:rsid w:val="002376B2"/>
    <w:rsid w:val="002409C1"/>
    <w:rsid w:val="00240B06"/>
    <w:rsid w:val="00241190"/>
    <w:rsid w:val="00241845"/>
    <w:rsid w:val="00242134"/>
    <w:rsid w:val="002423CA"/>
    <w:rsid w:val="0024244E"/>
    <w:rsid w:val="0024258C"/>
    <w:rsid w:val="002446F1"/>
    <w:rsid w:val="00244B6A"/>
    <w:rsid w:val="002450B6"/>
    <w:rsid w:val="002451F4"/>
    <w:rsid w:val="00245325"/>
    <w:rsid w:val="00245E37"/>
    <w:rsid w:val="00246BCA"/>
    <w:rsid w:val="00246F65"/>
    <w:rsid w:val="00247193"/>
    <w:rsid w:val="00250176"/>
    <w:rsid w:val="002506A3"/>
    <w:rsid w:val="002514C9"/>
    <w:rsid w:val="00251CF4"/>
    <w:rsid w:val="00251F24"/>
    <w:rsid w:val="00252454"/>
    <w:rsid w:val="0025267A"/>
    <w:rsid w:val="0025290C"/>
    <w:rsid w:val="00253022"/>
    <w:rsid w:val="002530E8"/>
    <w:rsid w:val="002540B2"/>
    <w:rsid w:val="002547C1"/>
    <w:rsid w:val="00254DF6"/>
    <w:rsid w:val="00255BA9"/>
    <w:rsid w:val="0025607F"/>
    <w:rsid w:val="002562F9"/>
    <w:rsid w:val="00257BF5"/>
    <w:rsid w:val="00257FBC"/>
    <w:rsid w:val="002601AB"/>
    <w:rsid w:val="00260AA2"/>
    <w:rsid w:val="002618F4"/>
    <w:rsid w:val="00261B63"/>
    <w:rsid w:val="002625C0"/>
    <w:rsid w:val="00262B22"/>
    <w:rsid w:val="00262B48"/>
    <w:rsid w:val="00262C1B"/>
    <w:rsid w:val="002630FB"/>
    <w:rsid w:val="0026352F"/>
    <w:rsid w:val="002647D2"/>
    <w:rsid w:val="0026485D"/>
    <w:rsid w:val="002648B0"/>
    <w:rsid w:val="00264C8C"/>
    <w:rsid w:val="002664C7"/>
    <w:rsid w:val="002669F8"/>
    <w:rsid w:val="002678CE"/>
    <w:rsid w:val="00267A21"/>
    <w:rsid w:val="0027034D"/>
    <w:rsid w:val="00271C8B"/>
    <w:rsid w:val="00272F65"/>
    <w:rsid w:val="00273432"/>
    <w:rsid w:val="002735FE"/>
    <w:rsid w:val="00273A4D"/>
    <w:rsid w:val="002754C0"/>
    <w:rsid w:val="00276720"/>
    <w:rsid w:val="00276B41"/>
    <w:rsid w:val="00277058"/>
    <w:rsid w:val="002771C5"/>
    <w:rsid w:val="002805FD"/>
    <w:rsid w:val="0028072E"/>
    <w:rsid w:val="00280B99"/>
    <w:rsid w:val="002816EA"/>
    <w:rsid w:val="00283B5F"/>
    <w:rsid w:val="00283C5E"/>
    <w:rsid w:val="00284A6D"/>
    <w:rsid w:val="0028519C"/>
    <w:rsid w:val="00285E2F"/>
    <w:rsid w:val="0028628A"/>
    <w:rsid w:val="00290286"/>
    <w:rsid w:val="0029097C"/>
    <w:rsid w:val="00290CAD"/>
    <w:rsid w:val="002917CA"/>
    <w:rsid w:val="002920FF"/>
    <w:rsid w:val="00292409"/>
    <w:rsid w:val="00292A20"/>
    <w:rsid w:val="00294B07"/>
    <w:rsid w:val="0029520F"/>
    <w:rsid w:val="00295225"/>
    <w:rsid w:val="0029630E"/>
    <w:rsid w:val="00297074"/>
    <w:rsid w:val="0029716F"/>
    <w:rsid w:val="0029726F"/>
    <w:rsid w:val="002A04D3"/>
    <w:rsid w:val="002A09D5"/>
    <w:rsid w:val="002A1B49"/>
    <w:rsid w:val="002A36BB"/>
    <w:rsid w:val="002A4B85"/>
    <w:rsid w:val="002A5969"/>
    <w:rsid w:val="002A5BC5"/>
    <w:rsid w:val="002A677E"/>
    <w:rsid w:val="002A67C8"/>
    <w:rsid w:val="002A6913"/>
    <w:rsid w:val="002A7C84"/>
    <w:rsid w:val="002B004B"/>
    <w:rsid w:val="002B15B5"/>
    <w:rsid w:val="002B1600"/>
    <w:rsid w:val="002B2B6E"/>
    <w:rsid w:val="002B2BA3"/>
    <w:rsid w:val="002B3E36"/>
    <w:rsid w:val="002B5403"/>
    <w:rsid w:val="002B5492"/>
    <w:rsid w:val="002B5B50"/>
    <w:rsid w:val="002B5CD1"/>
    <w:rsid w:val="002B5F2D"/>
    <w:rsid w:val="002B66BD"/>
    <w:rsid w:val="002C0206"/>
    <w:rsid w:val="002C053E"/>
    <w:rsid w:val="002C06FD"/>
    <w:rsid w:val="002C0985"/>
    <w:rsid w:val="002C1068"/>
    <w:rsid w:val="002C1251"/>
    <w:rsid w:val="002C1FEC"/>
    <w:rsid w:val="002C37D9"/>
    <w:rsid w:val="002C41F1"/>
    <w:rsid w:val="002C4D74"/>
    <w:rsid w:val="002C5671"/>
    <w:rsid w:val="002C6263"/>
    <w:rsid w:val="002C66A4"/>
    <w:rsid w:val="002C674A"/>
    <w:rsid w:val="002D102E"/>
    <w:rsid w:val="002D2C75"/>
    <w:rsid w:val="002D318D"/>
    <w:rsid w:val="002D31E5"/>
    <w:rsid w:val="002D3982"/>
    <w:rsid w:val="002D4561"/>
    <w:rsid w:val="002D4E10"/>
    <w:rsid w:val="002D4F6A"/>
    <w:rsid w:val="002D60D7"/>
    <w:rsid w:val="002D68CE"/>
    <w:rsid w:val="002D6B9E"/>
    <w:rsid w:val="002D7779"/>
    <w:rsid w:val="002E0148"/>
    <w:rsid w:val="002E0174"/>
    <w:rsid w:val="002E053A"/>
    <w:rsid w:val="002E0DDB"/>
    <w:rsid w:val="002E12E6"/>
    <w:rsid w:val="002E136A"/>
    <w:rsid w:val="002E2061"/>
    <w:rsid w:val="002E2164"/>
    <w:rsid w:val="002E27B0"/>
    <w:rsid w:val="002E3720"/>
    <w:rsid w:val="002E4EB7"/>
    <w:rsid w:val="002E5096"/>
    <w:rsid w:val="002E587F"/>
    <w:rsid w:val="002E58AF"/>
    <w:rsid w:val="002E7287"/>
    <w:rsid w:val="002E796C"/>
    <w:rsid w:val="002F07EA"/>
    <w:rsid w:val="002F0FB3"/>
    <w:rsid w:val="002F1163"/>
    <w:rsid w:val="002F11F3"/>
    <w:rsid w:val="002F170E"/>
    <w:rsid w:val="002F1920"/>
    <w:rsid w:val="002F19BB"/>
    <w:rsid w:val="002F1E8D"/>
    <w:rsid w:val="002F2663"/>
    <w:rsid w:val="002F29AF"/>
    <w:rsid w:val="002F29CB"/>
    <w:rsid w:val="002F3261"/>
    <w:rsid w:val="002F39A7"/>
    <w:rsid w:val="002F4A67"/>
    <w:rsid w:val="002F4A87"/>
    <w:rsid w:val="002F5571"/>
    <w:rsid w:val="002F707B"/>
    <w:rsid w:val="002F78EA"/>
    <w:rsid w:val="002F79EA"/>
    <w:rsid w:val="002F7E28"/>
    <w:rsid w:val="00300224"/>
    <w:rsid w:val="00302C3F"/>
    <w:rsid w:val="003030A3"/>
    <w:rsid w:val="00303974"/>
    <w:rsid w:val="00304CA5"/>
    <w:rsid w:val="0030572F"/>
    <w:rsid w:val="00305C70"/>
    <w:rsid w:val="00306163"/>
    <w:rsid w:val="00306AD1"/>
    <w:rsid w:val="00306F71"/>
    <w:rsid w:val="00306F8E"/>
    <w:rsid w:val="003073B2"/>
    <w:rsid w:val="0031001C"/>
    <w:rsid w:val="0031055A"/>
    <w:rsid w:val="003105C6"/>
    <w:rsid w:val="00310F05"/>
    <w:rsid w:val="00310F96"/>
    <w:rsid w:val="00311119"/>
    <w:rsid w:val="00311B2D"/>
    <w:rsid w:val="00312BA3"/>
    <w:rsid w:val="00313274"/>
    <w:rsid w:val="003132E6"/>
    <w:rsid w:val="003137B9"/>
    <w:rsid w:val="00313D20"/>
    <w:rsid w:val="003141F6"/>
    <w:rsid w:val="00314971"/>
    <w:rsid w:val="003150E6"/>
    <w:rsid w:val="003172C8"/>
    <w:rsid w:val="00317451"/>
    <w:rsid w:val="003175FE"/>
    <w:rsid w:val="00320BB4"/>
    <w:rsid w:val="00321A3B"/>
    <w:rsid w:val="003220BD"/>
    <w:rsid w:val="003232D5"/>
    <w:rsid w:val="00325654"/>
    <w:rsid w:val="003259DA"/>
    <w:rsid w:val="0032635E"/>
    <w:rsid w:val="0032755B"/>
    <w:rsid w:val="003276AF"/>
    <w:rsid w:val="003300FF"/>
    <w:rsid w:val="00330199"/>
    <w:rsid w:val="00331FE6"/>
    <w:rsid w:val="00332B2A"/>
    <w:rsid w:val="00333A44"/>
    <w:rsid w:val="00334093"/>
    <w:rsid w:val="0033476C"/>
    <w:rsid w:val="003374C1"/>
    <w:rsid w:val="00337849"/>
    <w:rsid w:val="00337BEA"/>
    <w:rsid w:val="00340094"/>
    <w:rsid w:val="003400BB"/>
    <w:rsid w:val="00342261"/>
    <w:rsid w:val="00342B6A"/>
    <w:rsid w:val="00342BB2"/>
    <w:rsid w:val="00342C4B"/>
    <w:rsid w:val="003438E8"/>
    <w:rsid w:val="003459F8"/>
    <w:rsid w:val="00345A82"/>
    <w:rsid w:val="00345E53"/>
    <w:rsid w:val="00346C65"/>
    <w:rsid w:val="0034786E"/>
    <w:rsid w:val="00347FF9"/>
    <w:rsid w:val="00350AC4"/>
    <w:rsid w:val="00350DDB"/>
    <w:rsid w:val="00351DD4"/>
    <w:rsid w:val="00352A45"/>
    <w:rsid w:val="00352C6E"/>
    <w:rsid w:val="00352FB3"/>
    <w:rsid w:val="00353D40"/>
    <w:rsid w:val="0035403D"/>
    <w:rsid w:val="003541BA"/>
    <w:rsid w:val="003556A3"/>
    <w:rsid w:val="003557B5"/>
    <w:rsid w:val="00356773"/>
    <w:rsid w:val="00357CD1"/>
    <w:rsid w:val="00357F63"/>
    <w:rsid w:val="003616A1"/>
    <w:rsid w:val="00361D60"/>
    <w:rsid w:val="00363505"/>
    <w:rsid w:val="00363969"/>
    <w:rsid w:val="0036415F"/>
    <w:rsid w:val="00364EBB"/>
    <w:rsid w:val="00366794"/>
    <w:rsid w:val="00366CAF"/>
    <w:rsid w:val="00370576"/>
    <w:rsid w:val="0037077A"/>
    <w:rsid w:val="00370D79"/>
    <w:rsid w:val="00371593"/>
    <w:rsid w:val="00371653"/>
    <w:rsid w:val="00373E3E"/>
    <w:rsid w:val="00375C47"/>
    <w:rsid w:val="00380D47"/>
    <w:rsid w:val="003812AC"/>
    <w:rsid w:val="003813DF"/>
    <w:rsid w:val="0038147E"/>
    <w:rsid w:val="00381685"/>
    <w:rsid w:val="003826D9"/>
    <w:rsid w:val="00383D4B"/>
    <w:rsid w:val="00383FF2"/>
    <w:rsid w:val="00384770"/>
    <w:rsid w:val="00386492"/>
    <w:rsid w:val="00387E40"/>
    <w:rsid w:val="003908C5"/>
    <w:rsid w:val="00390DDA"/>
    <w:rsid w:val="00391406"/>
    <w:rsid w:val="003927BE"/>
    <w:rsid w:val="00392C11"/>
    <w:rsid w:val="00392FFD"/>
    <w:rsid w:val="0039346B"/>
    <w:rsid w:val="00393539"/>
    <w:rsid w:val="00393FF2"/>
    <w:rsid w:val="00394410"/>
    <w:rsid w:val="00394FF1"/>
    <w:rsid w:val="003953E6"/>
    <w:rsid w:val="00397314"/>
    <w:rsid w:val="00397A77"/>
    <w:rsid w:val="003A0532"/>
    <w:rsid w:val="003A07D6"/>
    <w:rsid w:val="003A0835"/>
    <w:rsid w:val="003A0C05"/>
    <w:rsid w:val="003A1469"/>
    <w:rsid w:val="003A1B96"/>
    <w:rsid w:val="003A200A"/>
    <w:rsid w:val="003A3877"/>
    <w:rsid w:val="003A3899"/>
    <w:rsid w:val="003A449C"/>
    <w:rsid w:val="003A497B"/>
    <w:rsid w:val="003A4C8B"/>
    <w:rsid w:val="003A5266"/>
    <w:rsid w:val="003A5743"/>
    <w:rsid w:val="003A5D8C"/>
    <w:rsid w:val="003A7214"/>
    <w:rsid w:val="003A7336"/>
    <w:rsid w:val="003B00F4"/>
    <w:rsid w:val="003B05AE"/>
    <w:rsid w:val="003B06B9"/>
    <w:rsid w:val="003B09EA"/>
    <w:rsid w:val="003B0B15"/>
    <w:rsid w:val="003B20D7"/>
    <w:rsid w:val="003B219A"/>
    <w:rsid w:val="003B256A"/>
    <w:rsid w:val="003B25F0"/>
    <w:rsid w:val="003B2712"/>
    <w:rsid w:val="003B3112"/>
    <w:rsid w:val="003B3533"/>
    <w:rsid w:val="003B3DBB"/>
    <w:rsid w:val="003B43BA"/>
    <w:rsid w:val="003B6094"/>
    <w:rsid w:val="003B66A1"/>
    <w:rsid w:val="003B7060"/>
    <w:rsid w:val="003C050A"/>
    <w:rsid w:val="003C0FB5"/>
    <w:rsid w:val="003C1BB1"/>
    <w:rsid w:val="003C2409"/>
    <w:rsid w:val="003C2566"/>
    <w:rsid w:val="003C3168"/>
    <w:rsid w:val="003C3AAB"/>
    <w:rsid w:val="003C3B79"/>
    <w:rsid w:val="003C3FD5"/>
    <w:rsid w:val="003C4307"/>
    <w:rsid w:val="003C4BA6"/>
    <w:rsid w:val="003C60B9"/>
    <w:rsid w:val="003C76A2"/>
    <w:rsid w:val="003C7853"/>
    <w:rsid w:val="003D07E3"/>
    <w:rsid w:val="003D10E9"/>
    <w:rsid w:val="003D11AD"/>
    <w:rsid w:val="003D14AE"/>
    <w:rsid w:val="003D1657"/>
    <w:rsid w:val="003D17D0"/>
    <w:rsid w:val="003D199D"/>
    <w:rsid w:val="003D3CED"/>
    <w:rsid w:val="003D431C"/>
    <w:rsid w:val="003D485B"/>
    <w:rsid w:val="003D56DE"/>
    <w:rsid w:val="003D655D"/>
    <w:rsid w:val="003D69CB"/>
    <w:rsid w:val="003D725D"/>
    <w:rsid w:val="003D7822"/>
    <w:rsid w:val="003D7F50"/>
    <w:rsid w:val="003E02B3"/>
    <w:rsid w:val="003E0950"/>
    <w:rsid w:val="003E098F"/>
    <w:rsid w:val="003E3102"/>
    <w:rsid w:val="003E47C5"/>
    <w:rsid w:val="003E4EF2"/>
    <w:rsid w:val="003E5145"/>
    <w:rsid w:val="003E52DA"/>
    <w:rsid w:val="003E7AEC"/>
    <w:rsid w:val="003F0298"/>
    <w:rsid w:val="003F05A0"/>
    <w:rsid w:val="003F0E76"/>
    <w:rsid w:val="003F1103"/>
    <w:rsid w:val="003F15BB"/>
    <w:rsid w:val="003F17BB"/>
    <w:rsid w:val="003F19BA"/>
    <w:rsid w:val="003F3523"/>
    <w:rsid w:val="00401111"/>
    <w:rsid w:val="0040156B"/>
    <w:rsid w:val="00401E48"/>
    <w:rsid w:val="00402284"/>
    <w:rsid w:val="00403B9F"/>
    <w:rsid w:val="0040521E"/>
    <w:rsid w:val="00405C0A"/>
    <w:rsid w:val="00407110"/>
    <w:rsid w:val="00407505"/>
    <w:rsid w:val="00407936"/>
    <w:rsid w:val="00410796"/>
    <w:rsid w:val="004120DF"/>
    <w:rsid w:val="004127F7"/>
    <w:rsid w:val="004129D0"/>
    <w:rsid w:val="00412D44"/>
    <w:rsid w:val="004133D9"/>
    <w:rsid w:val="004134E6"/>
    <w:rsid w:val="004157CC"/>
    <w:rsid w:val="00415A1B"/>
    <w:rsid w:val="00417984"/>
    <w:rsid w:val="00422449"/>
    <w:rsid w:val="00422B88"/>
    <w:rsid w:val="00423372"/>
    <w:rsid w:val="00423556"/>
    <w:rsid w:val="00423D6C"/>
    <w:rsid w:val="00423F7E"/>
    <w:rsid w:val="004255D6"/>
    <w:rsid w:val="0042594B"/>
    <w:rsid w:val="00425F4C"/>
    <w:rsid w:val="0042766A"/>
    <w:rsid w:val="0043001B"/>
    <w:rsid w:val="004304C0"/>
    <w:rsid w:val="00430F6F"/>
    <w:rsid w:val="0043168D"/>
    <w:rsid w:val="004317F7"/>
    <w:rsid w:val="004319EB"/>
    <w:rsid w:val="0043231D"/>
    <w:rsid w:val="004350F2"/>
    <w:rsid w:val="004357B9"/>
    <w:rsid w:val="00435BA9"/>
    <w:rsid w:val="00435EB0"/>
    <w:rsid w:val="00436204"/>
    <w:rsid w:val="00436490"/>
    <w:rsid w:val="00436A46"/>
    <w:rsid w:val="00436BBC"/>
    <w:rsid w:val="004377DA"/>
    <w:rsid w:val="004377E2"/>
    <w:rsid w:val="004408E7"/>
    <w:rsid w:val="004415C8"/>
    <w:rsid w:val="00441F78"/>
    <w:rsid w:val="00443003"/>
    <w:rsid w:val="00443DD0"/>
    <w:rsid w:val="0044539D"/>
    <w:rsid w:val="00445E06"/>
    <w:rsid w:val="0044639C"/>
    <w:rsid w:val="00446FAC"/>
    <w:rsid w:val="0045099E"/>
    <w:rsid w:val="00450A2E"/>
    <w:rsid w:val="00451220"/>
    <w:rsid w:val="00451B63"/>
    <w:rsid w:val="0045251C"/>
    <w:rsid w:val="00452AB0"/>
    <w:rsid w:val="00452FEF"/>
    <w:rsid w:val="00453999"/>
    <w:rsid w:val="00454026"/>
    <w:rsid w:val="00454082"/>
    <w:rsid w:val="00454139"/>
    <w:rsid w:val="00454CFC"/>
    <w:rsid w:val="00455314"/>
    <w:rsid w:val="00455364"/>
    <w:rsid w:val="00455B49"/>
    <w:rsid w:val="004600E4"/>
    <w:rsid w:val="004603C7"/>
    <w:rsid w:val="00460A9C"/>
    <w:rsid w:val="00461A5A"/>
    <w:rsid w:val="004629A2"/>
    <w:rsid w:val="00462BAB"/>
    <w:rsid w:val="00463E3C"/>
    <w:rsid w:val="00463F88"/>
    <w:rsid w:val="00464DCB"/>
    <w:rsid w:val="00464F34"/>
    <w:rsid w:val="0046517B"/>
    <w:rsid w:val="004656E1"/>
    <w:rsid w:val="00467F08"/>
    <w:rsid w:val="00467F65"/>
    <w:rsid w:val="00471159"/>
    <w:rsid w:val="00471A96"/>
    <w:rsid w:val="00474C49"/>
    <w:rsid w:val="0047503C"/>
    <w:rsid w:val="0047563E"/>
    <w:rsid w:val="00475B6A"/>
    <w:rsid w:val="0047602E"/>
    <w:rsid w:val="00476209"/>
    <w:rsid w:val="00476566"/>
    <w:rsid w:val="004766D4"/>
    <w:rsid w:val="0047693D"/>
    <w:rsid w:val="004773AB"/>
    <w:rsid w:val="00477C45"/>
    <w:rsid w:val="00477CB6"/>
    <w:rsid w:val="00480A69"/>
    <w:rsid w:val="00480AF8"/>
    <w:rsid w:val="0048116C"/>
    <w:rsid w:val="0048143B"/>
    <w:rsid w:val="0048345E"/>
    <w:rsid w:val="00483FC9"/>
    <w:rsid w:val="00484DDA"/>
    <w:rsid w:val="004852B9"/>
    <w:rsid w:val="00486DA5"/>
    <w:rsid w:val="00487597"/>
    <w:rsid w:val="00487A02"/>
    <w:rsid w:val="004901BE"/>
    <w:rsid w:val="0049092A"/>
    <w:rsid w:val="004913CE"/>
    <w:rsid w:val="00491F4D"/>
    <w:rsid w:val="004928AC"/>
    <w:rsid w:val="00492D77"/>
    <w:rsid w:val="00493D5E"/>
    <w:rsid w:val="00495C50"/>
    <w:rsid w:val="00496C53"/>
    <w:rsid w:val="00496F5D"/>
    <w:rsid w:val="004970FA"/>
    <w:rsid w:val="00497D60"/>
    <w:rsid w:val="004A01BF"/>
    <w:rsid w:val="004A0885"/>
    <w:rsid w:val="004A0D4A"/>
    <w:rsid w:val="004A11BD"/>
    <w:rsid w:val="004A1D97"/>
    <w:rsid w:val="004A3247"/>
    <w:rsid w:val="004A3A58"/>
    <w:rsid w:val="004A3B3D"/>
    <w:rsid w:val="004A47BA"/>
    <w:rsid w:val="004A5880"/>
    <w:rsid w:val="004A6C52"/>
    <w:rsid w:val="004A6FAC"/>
    <w:rsid w:val="004A705D"/>
    <w:rsid w:val="004A7B60"/>
    <w:rsid w:val="004B031B"/>
    <w:rsid w:val="004B135C"/>
    <w:rsid w:val="004B2A17"/>
    <w:rsid w:val="004B38D3"/>
    <w:rsid w:val="004B38D7"/>
    <w:rsid w:val="004B3B58"/>
    <w:rsid w:val="004B4075"/>
    <w:rsid w:val="004B4DF9"/>
    <w:rsid w:val="004B572C"/>
    <w:rsid w:val="004B584D"/>
    <w:rsid w:val="004B5870"/>
    <w:rsid w:val="004B67ED"/>
    <w:rsid w:val="004B6F60"/>
    <w:rsid w:val="004B7F4A"/>
    <w:rsid w:val="004C03BC"/>
    <w:rsid w:val="004C0508"/>
    <w:rsid w:val="004C15A0"/>
    <w:rsid w:val="004C1ACF"/>
    <w:rsid w:val="004C445F"/>
    <w:rsid w:val="004C4478"/>
    <w:rsid w:val="004C6E6F"/>
    <w:rsid w:val="004C74EC"/>
    <w:rsid w:val="004D0C15"/>
    <w:rsid w:val="004D2031"/>
    <w:rsid w:val="004D2753"/>
    <w:rsid w:val="004D36B6"/>
    <w:rsid w:val="004D3C0E"/>
    <w:rsid w:val="004D4419"/>
    <w:rsid w:val="004D45AA"/>
    <w:rsid w:val="004D4BDB"/>
    <w:rsid w:val="004D5161"/>
    <w:rsid w:val="004D6755"/>
    <w:rsid w:val="004D6C74"/>
    <w:rsid w:val="004D780C"/>
    <w:rsid w:val="004E0244"/>
    <w:rsid w:val="004E04BF"/>
    <w:rsid w:val="004E081B"/>
    <w:rsid w:val="004E0A91"/>
    <w:rsid w:val="004E2725"/>
    <w:rsid w:val="004E28B1"/>
    <w:rsid w:val="004E2BE7"/>
    <w:rsid w:val="004E5B02"/>
    <w:rsid w:val="004E6AC0"/>
    <w:rsid w:val="004E6D5F"/>
    <w:rsid w:val="004E7936"/>
    <w:rsid w:val="004E7D09"/>
    <w:rsid w:val="004E7DCF"/>
    <w:rsid w:val="004E7DF2"/>
    <w:rsid w:val="004F0068"/>
    <w:rsid w:val="004F0474"/>
    <w:rsid w:val="004F0D16"/>
    <w:rsid w:val="004F0F3D"/>
    <w:rsid w:val="004F1DDB"/>
    <w:rsid w:val="004F2AB4"/>
    <w:rsid w:val="004F2B30"/>
    <w:rsid w:val="004F3766"/>
    <w:rsid w:val="004F458D"/>
    <w:rsid w:val="004F4775"/>
    <w:rsid w:val="004F4BB8"/>
    <w:rsid w:val="004F50AF"/>
    <w:rsid w:val="004F5C89"/>
    <w:rsid w:val="004F6B6B"/>
    <w:rsid w:val="00502363"/>
    <w:rsid w:val="00502FC6"/>
    <w:rsid w:val="0050394C"/>
    <w:rsid w:val="0050399F"/>
    <w:rsid w:val="00503F93"/>
    <w:rsid w:val="00504A16"/>
    <w:rsid w:val="005050CE"/>
    <w:rsid w:val="00505B5C"/>
    <w:rsid w:val="005067A1"/>
    <w:rsid w:val="00507065"/>
    <w:rsid w:val="00512CC7"/>
    <w:rsid w:val="005130D9"/>
    <w:rsid w:val="005135D6"/>
    <w:rsid w:val="00513822"/>
    <w:rsid w:val="00514158"/>
    <w:rsid w:val="00514783"/>
    <w:rsid w:val="00516AD5"/>
    <w:rsid w:val="00517EE9"/>
    <w:rsid w:val="00520B00"/>
    <w:rsid w:val="00521D56"/>
    <w:rsid w:val="00522F33"/>
    <w:rsid w:val="0052367C"/>
    <w:rsid w:val="00523DD6"/>
    <w:rsid w:val="0052490C"/>
    <w:rsid w:val="0052508A"/>
    <w:rsid w:val="00525295"/>
    <w:rsid w:val="0053078D"/>
    <w:rsid w:val="00530BA1"/>
    <w:rsid w:val="00530FC7"/>
    <w:rsid w:val="00531FC9"/>
    <w:rsid w:val="00532026"/>
    <w:rsid w:val="0053327A"/>
    <w:rsid w:val="00533D6A"/>
    <w:rsid w:val="00533D84"/>
    <w:rsid w:val="00533E53"/>
    <w:rsid w:val="005342A5"/>
    <w:rsid w:val="00535350"/>
    <w:rsid w:val="00535792"/>
    <w:rsid w:val="00535A98"/>
    <w:rsid w:val="00536B6D"/>
    <w:rsid w:val="0053702D"/>
    <w:rsid w:val="0054122B"/>
    <w:rsid w:val="0054224E"/>
    <w:rsid w:val="005429A0"/>
    <w:rsid w:val="00542C33"/>
    <w:rsid w:val="00542EAE"/>
    <w:rsid w:val="00543964"/>
    <w:rsid w:val="00543DBD"/>
    <w:rsid w:val="00544DA4"/>
    <w:rsid w:val="00544E37"/>
    <w:rsid w:val="00547047"/>
    <w:rsid w:val="005474CB"/>
    <w:rsid w:val="00550113"/>
    <w:rsid w:val="00550997"/>
    <w:rsid w:val="005511AD"/>
    <w:rsid w:val="00551271"/>
    <w:rsid w:val="0055144E"/>
    <w:rsid w:val="0055245C"/>
    <w:rsid w:val="005528C1"/>
    <w:rsid w:val="00552A83"/>
    <w:rsid w:val="00552BF3"/>
    <w:rsid w:val="00552E3E"/>
    <w:rsid w:val="00554261"/>
    <w:rsid w:val="00554886"/>
    <w:rsid w:val="00554A32"/>
    <w:rsid w:val="005563DA"/>
    <w:rsid w:val="0055657F"/>
    <w:rsid w:val="0055791B"/>
    <w:rsid w:val="00557D09"/>
    <w:rsid w:val="0056002D"/>
    <w:rsid w:val="00560A14"/>
    <w:rsid w:val="005617F7"/>
    <w:rsid w:val="00562181"/>
    <w:rsid w:val="00563313"/>
    <w:rsid w:val="005643EA"/>
    <w:rsid w:val="00564A89"/>
    <w:rsid w:val="00565031"/>
    <w:rsid w:val="00566665"/>
    <w:rsid w:val="005666F4"/>
    <w:rsid w:val="00566A45"/>
    <w:rsid w:val="00566DB5"/>
    <w:rsid w:val="005723E9"/>
    <w:rsid w:val="00572C82"/>
    <w:rsid w:val="0057350E"/>
    <w:rsid w:val="00573DB4"/>
    <w:rsid w:val="00576215"/>
    <w:rsid w:val="0057632A"/>
    <w:rsid w:val="00576664"/>
    <w:rsid w:val="00577AA3"/>
    <w:rsid w:val="005808DE"/>
    <w:rsid w:val="00581FA5"/>
    <w:rsid w:val="00582399"/>
    <w:rsid w:val="00582923"/>
    <w:rsid w:val="00583884"/>
    <w:rsid w:val="00584165"/>
    <w:rsid w:val="00585466"/>
    <w:rsid w:val="00585B5B"/>
    <w:rsid w:val="0058617B"/>
    <w:rsid w:val="00587E96"/>
    <w:rsid w:val="00590386"/>
    <w:rsid w:val="005911AC"/>
    <w:rsid w:val="0059138D"/>
    <w:rsid w:val="00592A08"/>
    <w:rsid w:val="00593E1F"/>
    <w:rsid w:val="00595FAD"/>
    <w:rsid w:val="0059657D"/>
    <w:rsid w:val="005965CE"/>
    <w:rsid w:val="005970B6"/>
    <w:rsid w:val="00597BBC"/>
    <w:rsid w:val="005A020C"/>
    <w:rsid w:val="005A1898"/>
    <w:rsid w:val="005A18FB"/>
    <w:rsid w:val="005A2182"/>
    <w:rsid w:val="005A2363"/>
    <w:rsid w:val="005A2C21"/>
    <w:rsid w:val="005A43B1"/>
    <w:rsid w:val="005A6305"/>
    <w:rsid w:val="005A760D"/>
    <w:rsid w:val="005A7CA9"/>
    <w:rsid w:val="005B02DE"/>
    <w:rsid w:val="005B0463"/>
    <w:rsid w:val="005B04C9"/>
    <w:rsid w:val="005B0C8D"/>
    <w:rsid w:val="005B13A0"/>
    <w:rsid w:val="005B321D"/>
    <w:rsid w:val="005B3AEF"/>
    <w:rsid w:val="005B3B7C"/>
    <w:rsid w:val="005B5390"/>
    <w:rsid w:val="005B54BB"/>
    <w:rsid w:val="005B57EC"/>
    <w:rsid w:val="005B591C"/>
    <w:rsid w:val="005B5C89"/>
    <w:rsid w:val="005B5D85"/>
    <w:rsid w:val="005B76D3"/>
    <w:rsid w:val="005C0B75"/>
    <w:rsid w:val="005C14B0"/>
    <w:rsid w:val="005C1BC9"/>
    <w:rsid w:val="005C287F"/>
    <w:rsid w:val="005C29CD"/>
    <w:rsid w:val="005C2A1D"/>
    <w:rsid w:val="005C5136"/>
    <w:rsid w:val="005C517E"/>
    <w:rsid w:val="005C6CF7"/>
    <w:rsid w:val="005C6DEB"/>
    <w:rsid w:val="005C7542"/>
    <w:rsid w:val="005C7A65"/>
    <w:rsid w:val="005C7A91"/>
    <w:rsid w:val="005D0B5D"/>
    <w:rsid w:val="005D2F62"/>
    <w:rsid w:val="005D3034"/>
    <w:rsid w:val="005D3318"/>
    <w:rsid w:val="005D35A0"/>
    <w:rsid w:val="005D3DD9"/>
    <w:rsid w:val="005D3E00"/>
    <w:rsid w:val="005D40D9"/>
    <w:rsid w:val="005D411E"/>
    <w:rsid w:val="005D423C"/>
    <w:rsid w:val="005D479B"/>
    <w:rsid w:val="005D5914"/>
    <w:rsid w:val="005E0301"/>
    <w:rsid w:val="005E03B8"/>
    <w:rsid w:val="005E0917"/>
    <w:rsid w:val="005E1B10"/>
    <w:rsid w:val="005E3471"/>
    <w:rsid w:val="005E3ABC"/>
    <w:rsid w:val="005E4BEC"/>
    <w:rsid w:val="005E5070"/>
    <w:rsid w:val="005E59EB"/>
    <w:rsid w:val="005E61A3"/>
    <w:rsid w:val="005E7377"/>
    <w:rsid w:val="005E7DF2"/>
    <w:rsid w:val="005E7F24"/>
    <w:rsid w:val="005E7FAD"/>
    <w:rsid w:val="005F05ED"/>
    <w:rsid w:val="005F1095"/>
    <w:rsid w:val="005F12F9"/>
    <w:rsid w:val="005F1957"/>
    <w:rsid w:val="005F1EB8"/>
    <w:rsid w:val="005F266B"/>
    <w:rsid w:val="005F3409"/>
    <w:rsid w:val="005F3BBE"/>
    <w:rsid w:val="005F5B6B"/>
    <w:rsid w:val="005F5DF8"/>
    <w:rsid w:val="005F6354"/>
    <w:rsid w:val="005F6603"/>
    <w:rsid w:val="005F6FDF"/>
    <w:rsid w:val="0060043C"/>
    <w:rsid w:val="00600733"/>
    <w:rsid w:val="00601450"/>
    <w:rsid w:val="006015FF"/>
    <w:rsid w:val="0060179C"/>
    <w:rsid w:val="006022CB"/>
    <w:rsid w:val="00602764"/>
    <w:rsid w:val="00602FA5"/>
    <w:rsid w:val="0060500C"/>
    <w:rsid w:val="00605A9A"/>
    <w:rsid w:val="00605F23"/>
    <w:rsid w:val="00606735"/>
    <w:rsid w:val="0060673F"/>
    <w:rsid w:val="00606885"/>
    <w:rsid w:val="0060723F"/>
    <w:rsid w:val="00607523"/>
    <w:rsid w:val="006108B8"/>
    <w:rsid w:val="00610920"/>
    <w:rsid w:val="00610B56"/>
    <w:rsid w:val="00611073"/>
    <w:rsid w:val="0061222C"/>
    <w:rsid w:val="0061248F"/>
    <w:rsid w:val="00612780"/>
    <w:rsid w:val="006128D7"/>
    <w:rsid w:val="00613578"/>
    <w:rsid w:val="0061382B"/>
    <w:rsid w:val="00614509"/>
    <w:rsid w:val="006147CF"/>
    <w:rsid w:val="0061482E"/>
    <w:rsid w:val="00615252"/>
    <w:rsid w:val="0061552A"/>
    <w:rsid w:val="006161E5"/>
    <w:rsid w:val="00616264"/>
    <w:rsid w:val="00616690"/>
    <w:rsid w:val="00616E90"/>
    <w:rsid w:val="00620AB3"/>
    <w:rsid w:val="006219A7"/>
    <w:rsid w:val="00622B37"/>
    <w:rsid w:val="00622B8C"/>
    <w:rsid w:val="00622DF8"/>
    <w:rsid w:val="0062362F"/>
    <w:rsid w:val="00623BD2"/>
    <w:rsid w:val="00623EAD"/>
    <w:rsid w:val="00624117"/>
    <w:rsid w:val="00624624"/>
    <w:rsid w:val="0062558D"/>
    <w:rsid w:val="006259C7"/>
    <w:rsid w:val="006269F7"/>
    <w:rsid w:val="00626A88"/>
    <w:rsid w:val="00627143"/>
    <w:rsid w:val="00630711"/>
    <w:rsid w:val="00630EF6"/>
    <w:rsid w:val="00631405"/>
    <w:rsid w:val="006317A9"/>
    <w:rsid w:val="0063337F"/>
    <w:rsid w:val="00633D3C"/>
    <w:rsid w:val="00633DEB"/>
    <w:rsid w:val="0063493E"/>
    <w:rsid w:val="00634EC4"/>
    <w:rsid w:val="00635440"/>
    <w:rsid w:val="006364E5"/>
    <w:rsid w:val="0063773C"/>
    <w:rsid w:val="00640475"/>
    <w:rsid w:val="006418A0"/>
    <w:rsid w:val="00643011"/>
    <w:rsid w:val="00643362"/>
    <w:rsid w:val="00643B18"/>
    <w:rsid w:val="0064497A"/>
    <w:rsid w:val="006452A4"/>
    <w:rsid w:val="00645573"/>
    <w:rsid w:val="006455B0"/>
    <w:rsid w:val="00646287"/>
    <w:rsid w:val="00646D1B"/>
    <w:rsid w:val="006477B8"/>
    <w:rsid w:val="00647F9C"/>
    <w:rsid w:val="00650529"/>
    <w:rsid w:val="00650B6C"/>
    <w:rsid w:val="00650D5A"/>
    <w:rsid w:val="00650DB8"/>
    <w:rsid w:val="00651C18"/>
    <w:rsid w:val="00652460"/>
    <w:rsid w:val="00652DF7"/>
    <w:rsid w:val="00652F11"/>
    <w:rsid w:val="00652FA2"/>
    <w:rsid w:val="00654A02"/>
    <w:rsid w:val="00655B6E"/>
    <w:rsid w:val="00656BF0"/>
    <w:rsid w:val="00661595"/>
    <w:rsid w:val="0066173C"/>
    <w:rsid w:val="0066186C"/>
    <w:rsid w:val="00662545"/>
    <w:rsid w:val="00662E37"/>
    <w:rsid w:val="00664361"/>
    <w:rsid w:val="006646B6"/>
    <w:rsid w:val="00664874"/>
    <w:rsid w:val="006657C2"/>
    <w:rsid w:val="006660B9"/>
    <w:rsid w:val="00666996"/>
    <w:rsid w:val="00667262"/>
    <w:rsid w:val="006674B5"/>
    <w:rsid w:val="00670758"/>
    <w:rsid w:val="00672D2A"/>
    <w:rsid w:val="0067375E"/>
    <w:rsid w:val="006746DB"/>
    <w:rsid w:val="00674BF5"/>
    <w:rsid w:val="00674FCA"/>
    <w:rsid w:val="006750B8"/>
    <w:rsid w:val="00676B42"/>
    <w:rsid w:val="00676B98"/>
    <w:rsid w:val="006771CE"/>
    <w:rsid w:val="006778A2"/>
    <w:rsid w:val="00677A2F"/>
    <w:rsid w:val="00677A91"/>
    <w:rsid w:val="00680478"/>
    <w:rsid w:val="00681382"/>
    <w:rsid w:val="00684DC8"/>
    <w:rsid w:val="00685182"/>
    <w:rsid w:val="006855AB"/>
    <w:rsid w:val="0068594D"/>
    <w:rsid w:val="00690B40"/>
    <w:rsid w:val="00690D01"/>
    <w:rsid w:val="006916DC"/>
    <w:rsid w:val="00691F49"/>
    <w:rsid w:val="00691F9C"/>
    <w:rsid w:val="00692A55"/>
    <w:rsid w:val="00692B10"/>
    <w:rsid w:val="0069572F"/>
    <w:rsid w:val="00695A63"/>
    <w:rsid w:val="00695ABB"/>
    <w:rsid w:val="00696301"/>
    <w:rsid w:val="00696434"/>
    <w:rsid w:val="006966FF"/>
    <w:rsid w:val="00696F12"/>
    <w:rsid w:val="006972E8"/>
    <w:rsid w:val="006A01F5"/>
    <w:rsid w:val="006A14F6"/>
    <w:rsid w:val="006A20A0"/>
    <w:rsid w:val="006A2ED8"/>
    <w:rsid w:val="006A3201"/>
    <w:rsid w:val="006A3A82"/>
    <w:rsid w:val="006A4B1B"/>
    <w:rsid w:val="006A6049"/>
    <w:rsid w:val="006A66C9"/>
    <w:rsid w:val="006A6822"/>
    <w:rsid w:val="006A6CCF"/>
    <w:rsid w:val="006A7AEE"/>
    <w:rsid w:val="006A7EC8"/>
    <w:rsid w:val="006B08A5"/>
    <w:rsid w:val="006B0EEE"/>
    <w:rsid w:val="006B19A0"/>
    <w:rsid w:val="006B1A77"/>
    <w:rsid w:val="006B2333"/>
    <w:rsid w:val="006B2A31"/>
    <w:rsid w:val="006B2B59"/>
    <w:rsid w:val="006B2C9D"/>
    <w:rsid w:val="006B36C2"/>
    <w:rsid w:val="006B3BAE"/>
    <w:rsid w:val="006B42A7"/>
    <w:rsid w:val="006B4AC8"/>
    <w:rsid w:val="006B4E35"/>
    <w:rsid w:val="006B5308"/>
    <w:rsid w:val="006B55D6"/>
    <w:rsid w:val="006B5A2B"/>
    <w:rsid w:val="006B5BA8"/>
    <w:rsid w:val="006B7076"/>
    <w:rsid w:val="006B7228"/>
    <w:rsid w:val="006B72F3"/>
    <w:rsid w:val="006B73A3"/>
    <w:rsid w:val="006C0691"/>
    <w:rsid w:val="006C0915"/>
    <w:rsid w:val="006C0EF3"/>
    <w:rsid w:val="006C0F5D"/>
    <w:rsid w:val="006C11BB"/>
    <w:rsid w:val="006C163A"/>
    <w:rsid w:val="006C1758"/>
    <w:rsid w:val="006C1FB5"/>
    <w:rsid w:val="006C2F61"/>
    <w:rsid w:val="006C35BA"/>
    <w:rsid w:val="006C3FF9"/>
    <w:rsid w:val="006C4136"/>
    <w:rsid w:val="006C4174"/>
    <w:rsid w:val="006C45C6"/>
    <w:rsid w:val="006C4A8F"/>
    <w:rsid w:val="006C4D76"/>
    <w:rsid w:val="006C52E6"/>
    <w:rsid w:val="006C5419"/>
    <w:rsid w:val="006C5A49"/>
    <w:rsid w:val="006C66DB"/>
    <w:rsid w:val="006C6D3F"/>
    <w:rsid w:val="006C6EE0"/>
    <w:rsid w:val="006C7201"/>
    <w:rsid w:val="006D0C24"/>
    <w:rsid w:val="006D1BC0"/>
    <w:rsid w:val="006D2499"/>
    <w:rsid w:val="006D35FC"/>
    <w:rsid w:val="006D3B1A"/>
    <w:rsid w:val="006D49F3"/>
    <w:rsid w:val="006D665A"/>
    <w:rsid w:val="006D6AE0"/>
    <w:rsid w:val="006D7512"/>
    <w:rsid w:val="006E01DA"/>
    <w:rsid w:val="006E0809"/>
    <w:rsid w:val="006E0E76"/>
    <w:rsid w:val="006E3440"/>
    <w:rsid w:val="006E347B"/>
    <w:rsid w:val="006E52E7"/>
    <w:rsid w:val="006E5764"/>
    <w:rsid w:val="006E5D07"/>
    <w:rsid w:val="006E6778"/>
    <w:rsid w:val="006E6AEF"/>
    <w:rsid w:val="006F07BF"/>
    <w:rsid w:val="006F0968"/>
    <w:rsid w:val="006F1CCF"/>
    <w:rsid w:val="006F20A4"/>
    <w:rsid w:val="006F2637"/>
    <w:rsid w:val="006F2989"/>
    <w:rsid w:val="006F3626"/>
    <w:rsid w:val="006F3B33"/>
    <w:rsid w:val="006F503D"/>
    <w:rsid w:val="006F53D7"/>
    <w:rsid w:val="00700D33"/>
    <w:rsid w:val="00700DE8"/>
    <w:rsid w:val="00700DFD"/>
    <w:rsid w:val="007027F2"/>
    <w:rsid w:val="007038D5"/>
    <w:rsid w:val="00703C87"/>
    <w:rsid w:val="00705025"/>
    <w:rsid w:val="007062FD"/>
    <w:rsid w:val="007063EE"/>
    <w:rsid w:val="007065FE"/>
    <w:rsid w:val="00706D25"/>
    <w:rsid w:val="00706FD8"/>
    <w:rsid w:val="0070781A"/>
    <w:rsid w:val="007079CE"/>
    <w:rsid w:val="007106FB"/>
    <w:rsid w:val="007111B3"/>
    <w:rsid w:val="00711F3A"/>
    <w:rsid w:val="00711F45"/>
    <w:rsid w:val="007121C9"/>
    <w:rsid w:val="00712B6C"/>
    <w:rsid w:val="00712C8C"/>
    <w:rsid w:val="00712DE1"/>
    <w:rsid w:val="00712F56"/>
    <w:rsid w:val="0071377A"/>
    <w:rsid w:val="00713E91"/>
    <w:rsid w:val="00714734"/>
    <w:rsid w:val="007158B2"/>
    <w:rsid w:val="007172B2"/>
    <w:rsid w:val="00717926"/>
    <w:rsid w:val="00720ADC"/>
    <w:rsid w:val="00721A22"/>
    <w:rsid w:val="00721CEA"/>
    <w:rsid w:val="0072265E"/>
    <w:rsid w:val="00722A10"/>
    <w:rsid w:val="007233B1"/>
    <w:rsid w:val="00723A50"/>
    <w:rsid w:val="00724108"/>
    <w:rsid w:val="007241D3"/>
    <w:rsid w:val="007247ED"/>
    <w:rsid w:val="007248BD"/>
    <w:rsid w:val="007260DA"/>
    <w:rsid w:val="00727756"/>
    <w:rsid w:val="00730040"/>
    <w:rsid w:val="0073242B"/>
    <w:rsid w:val="00732D6D"/>
    <w:rsid w:val="00733B77"/>
    <w:rsid w:val="00733F21"/>
    <w:rsid w:val="007345D3"/>
    <w:rsid w:val="0073473E"/>
    <w:rsid w:val="0073527C"/>
    <w:rsid w:val="0073581C"/>
    <w:rsid w:val="00735F76"/>
    <w:rsid w:val="00736AD5"/>
    <w:rsid w:val="00736D27"/>
    <w:rsid w:val="00736F34"/>
    <w:rsid w:val="00741BA6"/>
    <w:rsid w:val="007420C6"/>
    <w:rsid w:val="007421F4"/>
    <w:rsid w:val="007434D0"/>
    <w:rsid w:val="007445C4"/>
    <w:rsid w:val="00745142"/>
    <w:rsid w:val="00745369"/>
    <w:rsid w:val="007463E2"/>
    <w:rsid w:val="007466A4"/>
    <w:rsid w:val="00747FFA"/>
    <w:rsid w:val="007503D4"/>
    <w:rsid w:val="0075112B"/>
    <w:rsid w:val="00751FBE"/>
    <w:rsid w:val="00752B94"/>
    <w:rsid w:val="0075303E"/>
    <w:rsid w:val="0075306B"/>
    <w:rsid w:val="00754ADC"/>
    <w:rsid w:val="0075517F"/>
    <w:rsid w:val="0075706D"/>
    <w:rsid w:val="007574C3"/>
    <w:rsid w:val="00757C76"/>
    <w:rsid w:val="007608E4"/>
    <w:rsid w:val="00760D4A"/>
    <w:rsid w:val="007615A8"/>
    <w:rsid w:val="00761856"/>
    <w:rsid w:val="00761891"/>
    <w:rsid w:val="0076257F"/>
    <w:rsid w:val="0076375E"/>
    <w:rsid w:val="00763A4B"/>
    <w:rsid w:val="00763B4B"/>
    <w:rsid w:val="00764BC5"/>
    <w:rsid w:val="00764E61"/>
    <w:rsid w:val="00765008"/>
    <w:rsid w:val="007676ED"/>
    <w:rsid w:val="007679BF"/>
    <w:rsid w:val="00770830"/>
    <w:rsid w:val="0077085A"/>
    <w:rsid w:val="00770D40"/>
    <w:rsid w:val="00770EAF"/>
    <w:rsid w:val="00770F0C"/>
    <w:rsid w:val="00771068"/>
    <w:rsid w:val="007711E7"/>
    <w:rsid w:val="007715D6"/>
    <w:rsid w:val="00771E97"/>
    <w:rsid w:val="0077276E"/>
    <w:rsid w:val="007745EB"/>
    <w:rsid w:val="0077559A"/>
    <w:rsid w:val="0078015D"/>
    <w:rsid w:val="00781160"/>
    <w:rsid w:val="007827A3"/>
    <w:rsid w:val="00782DD2"/>
    <w:rsid w:val="00783881"/>
    <w:rsid w:val="00783DA7"/>
    <w:rsid w:val="00784477"/>
    <w:rsid w:val="00784A19"/>
    <w:rsid w:val="0078506A"/>
    <w:rsid w:val="00785E60"/>
    <w:rsid w:val="00785F3E"/>
    <w:rsid w:val="00785F88"/>
    <w:rsid w:val="007864CA"/>
    <w:rsid w:val="00787028"/>
    <w:rsid w:val="00787733"/>
    <w:rsid w:val="00787CDE"/>
    <w:rsid w:val="00790738"/>
    <w:rsid w:val="00791DA9"/>
    <w:rsid w:val="0079311D"/>
    <w:rsid w:val="00795EC6"/>
    <w:rsid w:val="007968EE"/>
    <w:rsid w:val="007969A4"/>
    <w:rsid w:val="00796EBB"/>
    <w:rsid w:val="00797715"/>
    <w:rsid w:val="00797C89"/>
    <w:rsid w:val="007A00D6"/>
    <w:rsid w:val="007A0CE8"/>
    <w:rsid w:val="007A1067"/>
    <w:rsid w:val="007A1D61"/>
    <w:rsid w:val="007A1E2E"/>
    <w:rsid w:val="007A212A"/>
    <w:rsid w:val="007A3184"/>
    <w:rsid w:val="007A40CB"/>
    <w:rsid w:val="007A49AC"/>
    <w:rsid w:val="007A4CFD"/>
    <w:rsid w:val="007B0068"/>
    <w:rsid w:val="007B025E"/>
    <w:rsid w:val="007B0AC3"/>
    <w:rsid w:val="007B16A3"/>
    <w:rsid w:val="007B2006"/>
    <w:rsid w:val="007B2F85"/>
    <w:rsid w:val="007B4067"/>
    <w:rsid w:val="007B42DB"/>
    <w:rsid w:val="007B4F0B"/>
    <w:rsid w:val="007B4FD3"/>
    <w:rsid w:val="007B54D6"/>
    <w:rsid w:val="007B5523"/>
    <w:rsid w:val="007B741C"/>
    <w:rsid w:val="007C099C"/>
    <w:rsid w:val="007C2334"/>
    <w:rsid w:val="007C2F65"/>
    <w:rsid w:val="007C3B71"/>
    <w:rsid w:val="007C4C33"/>
    <w:rsid w:val="007C5DF2"/>
    <w:rsid w:val="007C64F7"/>
    <w:rsid w:val="007C6E13"/>
    <w:rsid w:val="007C6E66"/>
    <w:rsid w:val="007C795D"/>
    <w:rsid w:val="007C7C9C"/>
    <w:rsid w:val="007D0ABB"/>
    <w:rsid w:val="007D1696"/>
    <w:rsid w:val="007D183F"/>
    <w:rsid w:val="007D1F12"/>
    <w:rsid w:val="007D2AEF"/>
    <w:rsid w:val="007D2CE6"/>
    <w:rsid w:val="007D4FF8"/>
    <w:rsid w:val="007D633B"/>
    <w:rsid w:val="007D63B3"/>
    <w:rsid w:val="007D7D73"/>
    <w:rsid w:val="007E16E5"/>
    <w:rsid w:val="007E18BB"/>
    <w:rsid w:val="007E33D4"/>
    <w:rsid w:val="007E39E6"/>
    <w:rsid w:val="007E3DCF"/>
    <w:rsid w:val="007E475F"/>
    <w:rsid w:val="007E4981"/>
    <w:rsid w:val="007E5285"/>
    <w:rsid w:val="007E617C"/>
    <w:rsid w:val="007E6F35"/>
    <w:rsid w:val="007E7340"/>
    <w:rsid w:val="007F0343"/>
    <w:rsid w:val="007F0442"/>
    <w:rsid w:val="007F097C"/>
    <w:rsid w:val="007F0999"/>
    <w:rsid w:val="007F1856"/>
    <w:rsid w:val="007F1970"/>
    <w:rsid w:val="007F3089"/>
    <w:rsid w:val="007F360A"/>
    <w:rsid w:val="007F5225"/>
    <w:rsid w:val="007F5488"/>
    <w:rsid w:val="007F638B"/>
    <w:rsid w:val="007F6D99"/>
    <w:rsid w:val="007F6E9E"/>
    <w:rsid w:val="007F7831"/>
    <w:rsid w:val="007F7842"/>
    <w:rsid w:val="007F7A60"/>
    <w:rsid w:val="007F7D3B"/>
    <w:rsid w:val="007F7FC3"/>
    <w:rsid w:val="008004DF"/>
    <w:rsid w:val="008015A0"/>
    <w:rsid w:val="00802421"/>
    <w:rsid w:val="008024B2"/>
    <w:rsid w:val="00802958"/>
    <w:rsid w:val="00803C30"/>
    <w:rsid w:val="00804D12"/>
    <w:rsid w:val="00804D43"/>
    <w:rsid w:val="00805255"/>
    <w:rsid w:val="00810D73"/>
    <w:rsid w:val="00810F87"/>
    <w:rsid w:val="0081176B"/>
    <w:rsid w:val="008122CC"/>
    <w:rsid w:val="00812582"/>
    <w:rsid w:val="008125D7"/>
    <w:rsid w:val="008126F5"/>
    <w:rsid w:val="008136B4"/>
    <w:rsid w:val="00813B8E"/>
    <w:rsid w:val="008143A4"/>
    <w:rsid w:val="008145C0"/>
    <w:rsid w:val="008151A6"/>
    <w:rsid w:val="00815EE9"/>
    <w:rsid w:val="00816B32"/>
    <w:rsid w:val="00816F2D"/>
    <w:rsid w:val="0082014C"/>
    <w:rsid w:val="00820E23"/>
    <w:rsid w:val="0082105B"/>
    <w:rsid w:val="008221EB"/>
    <w:rsid w:val="008226CF"/>
    <w:rsid w:val="00822727"/>
    <w:rsid w:val="008233A4"/>
    <w:rsid w:val="008241B9"/>
    <w:rsid w:val="008248E0"/>
    <w:rsid w:val="00826E25"/>
    <w:rsid w:val="00827BBD"/>
    <w:rsid w:val="00827C9A"/>
    <w:rsid w:val="008304E8"/>
    <w:rsid w:val="00830F86"/>
    <w:rsid w:val="0083278B"/>
    <w:rsid w:val="0083285E"/>
    <w:rsid w:val="0083287C"/>
    <w:rsid w:val="00833EC0"/>
    <w:rsid w:val="008343BD"/>
    <w:rsid w:val="0083444D"/>
    <w:rsid w:val="00834E93"/>
    <w:rsid w:val="00836845"/>
    <w:rsid w:val="00837612"/>
    <w:rsid w:val="00840A22"/>
    <w:rsid w:val="00840F72"/>
    <w:rsid w:val="00841322"/>
    <w:rsid w:val="00841645"/>
    <w:rsid w:val="008420D9"/>
    <w:rsid w:val="008427C5"/>
    <w:rsid w:val="00842A5C"/>
    <w:rsid w:val="00843119"/>
    <w:rsid w:val="00844689"/>
    <w:rsid w:val="00845545"/>
    <w:rsid w:val="00845551"/>
    <w:rsid w:val="008469DF"/>
    <w:rsid w:val="008503E1"/>
    <w:rsid w:val="00850412"/>
    <w:rsid w:val="00850C75"/>
    <w:rsid w:val="00851278"/>
    <w:rsid w:val="00852CAD"/>
    <w:rsid w:val="00852EA6"/>
    <w:rsid w:val="00854146"/>
    <w:rsid w:val="00854E5A"/>
    <w:rsid w:val="0085520E"/>
    <w:rsid w:val="00855D5F"/>
    <w:rsid w:val="00855EAC"/>
    <w:rsid w:val="008564FF"/>
    <w:rsid w:val="00856854"/>
    <w:rsid w:val="0085692D"/>
    <w:rsid w:val="00856E42"/>
    <w:rsid w:val="00860B35"/>
    <w:rsid w:val="0086119A"/>
    <w:rsid w:val="0086634C"/>
    <w:rsid w:val="00866C27"/>
    <w:rsid w:val="00867C62"/>
    <w:rsid w:val="00867EDC"/>
    <w:rsid w:val="00870531"/>
    <w:rsid w:val="00871877"/>
    <w:rsid w:val="00871CAF"/>
    <w:rsid w:val="008726CA"/>
    <w:rsid w:val="00872B0F"/>
    <w:rsid w:val="008737EA"/>
    <w:rsid w:val="00873855"/>
    <w:rsid w:val="00873BC6"/>
    <w:rsid w:val="0087411F"/>
    <w:rsid w:val="008744A5"/>
    <w:rsid w:val="008745D3"/>
    <w:rsid w:val="0087489F"/>
    <w:rsid w:val="00874F0C"/>
    <w:rsid w:val="00875044"/>
    <w:rsid w:val="00875C7F"/>
    <w:rsid w:val="00877CEF"/>
    <w:rsid w:val="00880E92"/>
    <w:rsid w:val="008815DE"/>
    <w:rsid w:val="0088172D"/>
    <w:rsid w:val="00881778"/>
    <w:rsid w:val="00882103"/>
    <w:rsid w:val="008824B3"/>
    <w:rsid w:val="00883142"/>
    <w:rsid w:val="00884384"/>
    <w:rsid w:val="00884B2C"/>
    <w:rsid w:val="00884FEB"/>
    <w:rsid w:val="00885185"/>
    <w:rsid w:val="00885309"/>
    <w:rsid w:val="0088587E"/>
    <w:rsid w:val="0088630E"/>
    <w:rsid w:val="00887637"/>
    <w:rsid w:val="00887929"/>
    <w:rsid w:val="00887A83"/>
    <w:rsid w:val="0089010B"/>
    <w:rsid w:val="00893133"/>
    <w:rsid w:val="008932B5"/>
    <w:rsid w:val="00894221"/>
    <w:rsid w:val="008968A4"/>
    <w:rsid w:val="00897812"/>
    <w:rsid w:val="008A05EC"/>
    <w:rsid w:val="008A0983"/>
    <w:rsid w:val="008A1203"/>
    <w:rsid w:val="008A15A6"/>
    <w:rsid w:val="008A1A1E"/>
    <w:rsid w:val="008A1C51"/>
    <w:rsid w:val="008A301C"/>
    <w:rsid w:val="008A3152"/>
    <w:rsid w:val="008A3D96"/>
    <w:rsid w:val="008A49E8"/>
    <w:rsid w:val="008A509C"/>
    <w:rsid w:val="008A5DBC"/>
    <w:rsid w:val="008A61B3"/>
    <w:rsid w:val="008A7A5D"/>
    <w:rsid w:val="008B17E8"/>
    <w:rsid w:val="008B1A0F"/>
    <w:rsid w:val="008B2119"/>
    <w:rsid w:val="008B23C9"/>
    <w:rsid w:val="008B2F5E"/>
    <w:rsid w:val="008B37B1"/>
    <w:rsid w:val="008B3A5F"/>
    <w:rsid w:val="008B3E8F"/>
    <w:rsid w:val="008B6066"/>
    <w:rsid w:val="008B695F"/>
    <w:rsid w:val="008B6B86"/>
    <w:rsid w:val="008B7267"/>
    <w:rsid w:val="008B73EE"/>
    <w:rsid w:val="008C017D"/>
    <w:rsid w:val="008C09FE"/>
    <w:rsid w:val="008C1133"/>
    <w:rsid w:val="008C122C"/>
    <w:rsid w:val="008C2330"/>
    <w:rsid w:val="008C26F8"/>
    <w:rsid w:val="008C2DC4"/>
    <w:rsid w:val="008C5233"/>
    <w:rsid w:val="008C5886"/>
    <w:rsid w:val="008C624D"/>
    <w:rsid w:val="008C66C7"/>
    <w:rsid w:val="008C6A9B"/>
    <w:rsid w:val="008C6E0B"/>
    <w:rsid w:val="008C732E"/>
    <w:rsid w:val="008D0D6A"/>
    <w:rsid w:val="008D1D6C"/>
    <w:rsid w:val="008D2210"/>
    <w:rsid w:val="008D230A"/>
    <w:rsid w:val="008D24A6"/>
    <w:rsid w:val="008D274F"/>
    <w:rsid w:val="008D2979"/>
    <w:rsid w:val="008D30F0"/>
    <w:rsid w:val="008D4535"/>
    <w:rsid w:val="008D53B8"/>
    <w:rsid w:val="008D5CDE"/>
    <w:rsid w:val="008D6256"/>
    <w:rsid w:val="008D6581"/>
    <w:rsid w:val="008D696E"/>
    <w:rsid w:val="008D7455"/>
    <w:rsid w:val="008D7D83"/>
    <w:rsid w:val="008E0688"/>
    <w:rsid w:val="008E0E86"/>
    <w:rsid w:val="008E0F08"/>
    <w:rsid w:val="008E10EF"/>
    <w:rsid w:val="008E20BD"/>
    <w:rsid w:val="008E38E8"/>
    <w:rsid w:val="008E3CA9"/>
    <w:rsid w:val="008E47D2"/>
    <w:rsid w:val="008E5ADB"/>
    <w:rsid w:val="008F0BB5"/>
    <w:rsid w:val="008F1D51"/>
    <w:rsid w:val="008F2C6B"/>
    <w:rsid w:val="008F2D4E"/>
    <w:rsid w:val="008F3052"/>
    <w:rsid w:val="008F42E6"/>
    <w:rsid w:val="008F50DF"/>
    <w:rsid w:val="008F54B0"/>
    <w:rsid w:val="008F5BFE"/>
    <w:rsid w:val="008F6C88"/>
    <w:rsid w:val="008F7C56"/>
    <w:rsid w:val="0090036A"/>
    <w:rsid w:val="00900C1D"/>
    <w:rsid w:val="00901501"/>
    <w:rsid w:val="00901574"/>
    <w:rsid w:val="00902B4D"/>
    <w:rsid w:val="00902BCE"/>
    <w:rsid w:val="00902EFC"/>
    <w:rsid w:val="00905EA9"/>
    <w:rsid w:val="009068C9"/>
    <w:rsid w:val="00907115"/>
    <w:rsid w:val="00907513"/>
    <w:rsid w:val="00907AF9"/>
    <w:rsid w:val="00910210"/>
    <w:rsid w:val="009109C8"/>
    <w:rsid w:val="009118EE"/>
    <w:rsid w:val="00912DF5"/>
    <w:rsid w:val="00913A2F"/>
    <w:rsid w:val="00913FC0"/>
    <w:rsid w:val="00914623"/>
    <w:rsid w:val="00916197"/>
    <w:rsid w:val="00920491"/>
    <w:rsid w:val="00921700"/>
    <w:rsid w:val="00922B19"/>
    <w:rsid w:val="00922F04"/>
    <w:rsid w:val="009239A1"/>
    <w:rsid w:val="0092451B"/>
    <w:rsid w:val="009247A0"/>
    <w:rsid w:val="00924EEF"/>
    <w:rsid w:val="00924FE7"/>
    <w:rsid w:val="009258A2"/>
    <w:rsid w:val="009265F9"/>
    <w:rsid w:val="009270FE"/>
    <w:rsid w:val="00927A7A"/>
    <w:rsid w:val="00927A8B"/>
    <w:rsid w:val="00927B49"/>
    <w:rsid w:val="00927F02"/>
    <w:rsid w:val="009301D3"/>
    <w:rsid w:val="0093055F"/>
    <w:rsid w:val="00930817"/>
    <w:rsid w:val="009308DB"/>
    <w:rsid w:val="00931528"/>
    <w:rsid w:val="009317AA"/>
    <w:rsid w:val="0093202C"/>
    <w:rsid w:val="00932E47"/>
    <w:rsid w:val="009339C1"/>
    <w:rsid w:val="00933C5E"/>
    <w:rsid w:val="00934BDB"/>
    <w:rsid w:val="00934F04"/>
    <w:rsid w:val="00936395"/>
    <w:rsid w:val="00936BB3"/>
    <w:rsid w:val="00936DD1"/>
    <w:rsid w:val="009371BA"/>
    <w:rsid w:val="00937A7D"/>
    <w:rsid w:val="0094162B"/>
    <w:rsid w:val="00941843"/>
    <w:rsid w:val="00942368"/>
    <w:rsid w:val="009433BC"/>
    <w:rsid w:val="0094380A"/>
    <w:rsid w:val="00944530"/>
    <w:rsid w:val="00945ED3"/>
    <w:rsid w:val="00947028"/>
    <w:rsid w:val="00947A01"/>
    <w:rsid w:val="00950950"/>
    <w:rsid w:val="00950EE5"/>
    <w:rsid w:val="00951204"/>
    <w:rsid w:val="00952ECC"/>
    <w:rsid w:val="0095353C"/>
    <w:rsid w:val="00954485"/>
    <w:rsid w:val="00954A0C"/>
    <w:rsid w:val="00955AA6"/>
    <w:rsid w:val="00955C81"/>
    <w:rsid w:val="00955F25"/>
    <w:rsid w:val="00960B47"/>
    <w:rsid w:val="00962BBD"/>
    <w:rsid w:val="009633A5"/>
    <w:rsid w:val="0096378F"/>
    <w:rsid w:val="00964E1D"/>
    <w:rsid w:val="00965272"/>
    <w:rsid w:val="00965D27"/>
    <w:rsid w:val="00966663"/>
    <w:rsid w:val="00967868"/>
    <w:rsid w:val="00967FAE"/>
    <w:rsid w:val="00971A2C"/>
    <w:rsid w:val="009720F9"/>
    <w:rsid w:val="009721E6"/>
    <w:rsid w:val="00972A1C"/>
    <w:rsid w:val="00973707"/>
    <w:rsid w:val="00973973"/>
    <w:rsid w:val="00973B8E"/>
    <w:rsid w:val="00974150"/>
    <w:rsid w:val="009742FC"/>
    <w:rsid w:val="00974E3F"/>
    <w:rsid w:val="00974F0C"/>
    <w:rsid w:val="00975344"/>
    <w:rsid w:val="00975CA2"/>
    <w:rsid w:val="00975F7F"/>
    <w:rsid w:val="009769DE"/>
    <w:rsid w:val="009807C6"/>
    <w:rsid w:val="00981540"/>
    <w:rsid w:val="009817E3"/>
    <w:rsid w:val="0098182F"/>
    <w:rsid w:val="0098245F"/>
    <w:rsid w:val="00984A5C"/>
    <w:rsid w:val="00985397"/>
    <w:rsid w:val="00985B99"/>
    <w:rsid w:val="00986D41"/>
    <w:rsid w:val="00986FA9"/>
    <w:rsid w:val="0098757C"/>
    <w:rsid w:val="0098778D"/>
    <w:rsid w:val="00991C37"/>
    <w:rsid w:val="00991D59"/>
    <w:rsid w:val="009921F0"/>
    <w:rsid w:val="0099270E"/>
    <w:rsid w:val="00992C04"/>
    <w:rsid w:val="00994D07"/>
    <w:rsid w:val="00995A7F"/>
    <w:rsid w:val="00995B12"/>
    <w:rsid w:val="0099694B"/>
    <w:rsid w:val="009A0C4E"/>
    <w:rsid w:val="009A1317"/>
    <w:rsid w:val="009A1662"/>
    <w:rsid w:val="009A1A9B"/>
    <w:rsid w:val="009A2864"/>
    <w:rsid w:val="009A2E43"/>
    <w:rsid w:val="009A3874"/>
    <w:rsid w:val="009A4399"/>
    <w:rsid w:val="009A455A"/>
    <w:rsid w:val="009A47E2"/>
    <w:rsid w:val="009A4B3E"/>
    <w:rsid w:val="009A6E08"/>
    <w:rsid w:val="009A7A38"/>
    <w:rsid w:val="009B09F5"/>
    <w:rsid w:val="009B0E38"/>
    <w:rsid w:val="009B25C7"/>
    <w:rsid w:val="009B3008"/>
    <w:rsid w:val="009B355E"/>
    <w:rsid w:val="009B4D6A"/>
    <w:rsid w:val="009B511B"/>
    <w:rsid w:val="009B526D"/>
    <w:rsid w:val="009B591B"/>
    <w:rsid w:val="009B5985"/>
    <w:rsid w:val="009B627A"/>
    <w:rsid w:val="009B688D"/>
    <w:rsid w:val="009B6CE4"/>
    <w:rsid w:val="009C001E"/>
    <w:rsid w:val="009C083D"/>
    <w:rsid w:val="009C2C58"/>
    <w:rsid w:val="009C3801"/>
    <w:rsid w:val="009C3D16"/>
    <w:rsid w:val="009C3DD6"/>
    <w:rsid w:val="009C4291"/>
    <w:rsid w:val="009C43C7"/>
    <w:rsid w:val="009C44E7"/>
    <w:rsid w:val="009C4702"/>
    <w:rsid w:val="009C5582"/>
    <w:rsid w:val="009C68BF"/>
    <w:rsid w:val="009C7899"/>
    <w:rsid w:val="009C7D6A"/>
    <w:rsid w:val="009D288A"/>
    <w:rsid w:val="009D30AF"/>
    <w:rsid w:val="009D3244"/>
    <w:rsid w:val="009D50E7"/>
    <w:rsid w:val="009D5501"/>
    <w:rsid w:val="009D5D1A"/>
    <w:rsid w:val="009D6EDB"/>
    <w:rsid w:val="009D7A90"/>
    <w:rsid w:val="009E283E"/>
    <w:rsid w:val="009E2BBD"/>
    <w:rsid w:val="009E42EE"/>
    <w:rsid w:val="009E4A27"/>
    <w:rsid w:val="009E4FA0"/>
    <w:rsid w:val="009E563E"/>
    <w:rsid w:val="009E5CC6"/>
    <w:rsid w:val="009E5DCC"/>
    <w:rsid w:val="009E61D8"/>
    <w:rsid w:val="009E655E"/>
    <w:rsid w:val="009E718A"/>
    <w:rsid w:val="009E7D0C"/>
    <w:rsid w:val="009E7D4D"/>
    <w:rsid w:val="009E7DDE"/>
    <w:rsid w:val="009F0653"/>
    <w:rsid w:val="009F1084"/>
    <w:rsid w:val="009F1550"/>
    <w:rsid w:val="009F19E9"/>
    <w:rsid w:val="009F1F3F"/>
    <w:rsid w:val="009F2B54"/>
    <w:rsid w:val="009F362C"/>
    <w:rsid w:val="009F3AD0"/>
    <w:rsid w:val="009F3BF5"/>
    <w:rsid w:val="009F45B7"/>
    <w:rsid w:val="009F5262"/>
    <w:rsid w:val="009F78B4"/>
    <w:rsid w:val="009F7C08"/>
    <w:rsid w:val="00A01C72"/>
    <w:rsid w:val="00A0239C"/>
    <w:rsid w:val="00A02850"/>
    <w:rsid w:val="00A03C89"/>
    <w:rsid w:val="00A03DC9"/>
    <w:rsid w:val="00A045D1"/>
    <w:rsid w:val="00A0483F"/>
    <w:rsid w:val="00A04CFA"/>
    <w:rsid w:val="00A07646"/>
    <w:rsid w:val="00A10210"/>
    <w:rsid w:val="00A10C90"/>
    <w:rsid w:val="00A11C6E"/>
    <w:rsid w:val="00A12B66"/>
    <w:rsid w:val="00A136CD"/>
    <w:rsid w:val="00A14679"/>
    <w:rsid w:val="00A159E2"/>
    <w:rsid w:val="00A15AAC"/>
    <w:rsid w:val="00A16FFF"/>
    <w:rsid w:val="00A201CF"/>
    <w:rsid w:val="00A20B73"/>
    <w:rsid w:val="00A2220F"/>
    <w:rsid w:val="00A232F8"/>
    <w:rsid w:val="00A24751"/>
    <w:rsid w:val="00A248E2"/>
    <w:rsid w:val="00A26662"/>
    <w:rsid w:val="00A2674E"/>
    <w:rsid w:val="00A2757B"/>
    <w:rsid w:val="00A27BBC"/>
    <w:rsid w:val="00A30C4C"/>
    <w:rsid w:val="00A31125"/>
    <w:rsid w:val="00A31E59"/>
    <w:rsid w:val="00A320B1"/>
    <w:rsid w:val="00A325F5"/>
    <w:rsid w:val="00A33695"/>
    <w:rsid w:val="00A33C55"/>
    <w:rsid w:val="00A34026"/>
    <w:rsid w:val="00A3453C"/>
    <w:rsid w:val="00A369B8"/>
    <w:rsid w:val="00A369C3"/>
    <w:rsid w:val="00A37988"/>
    <w:rsid w:val="00A37A04"/>
    <w:rsid w:val="00A402A8"/>
    <w:rsid w:val="00A41661"/>
    <w:rsid w:val="00A4281F"/>
    <w:rsid w:val="00A4309F"/>
    <w:rsid w:val="00A4319E"/>
    <w:rsid w:val="00A433ED"/>
    <w:rsid w:val="00A44410"/>
    <w:rsid w:val="00A4645E"/>
    <w:rsid w:val="00A50EB7"/>
    <w:rsid w:val="00A51AA9"/>
    <w:rsid w:val="00A5221E"/>
    <w:rsid w:val="00A53185"/>
    <w:rsid w:val="00A532F5"/>
    <w:rsid w:val="00A53C11"/>
    <w:rsid w:val="00A5427A"/>
    <w:rsid w:val="00A5527A"/>
    <w:rsid w:val="00A55DC4"/>
    <w:rsid w:val="00A56F0F"/>
    <w:rsid w:val="00A60195"/>
    <w:rsid w:val="00A6393D"/>
    <w:rsid w:val="00A6394C"/>
    <w:rsid w:val="00A64421"/>
    <w:rsid w:val="00A648C2"/>
    <w:rsid w:val="00A66053"/>
    <w:rsid w:val="00A6683C"/>
    <w:rsid w:val="00A66EC6"/>
    <w:rsid w:val="00A6706B"/>
    <w:rsid w:val="00A672A8"/>
    <w:rsid w:val="00A675D9"/>
    <w:rsid w:val="00A700A3"/>
    <w:rsid w:val="00A70159"/>
    <w:rsid w:val="00A70245"/>
    <w:rsid w:val="00A707F3"/>
    <w:rsid w:val="00A72DF3"/>
    <w:rsid w:val="00A73282"/>
    <w:rsid w:val="00A732AE"/>
    <w:rsid w:val="00A7376F"/>
    <w:rsid w:val="00A74B40"/>
    <w:rsid w:val="00A74D8D"/>
    <w:rsid w:val="00A75338"/>
    <w:rsid w:val="00A76381"/>
    <w:rsid w:val="00A767BE"/>
    <w:rsid w:val="00A772B4"/>
    <w:rsid w:val="00A774C1"/>
    <w:rsid w:val="00A779E9"/>
    <w:rsid w:val="00A801A9"/>
    <w:rsid w:val="00A807E1"/>
    <w:rsid w:val="00A80A02"/>
    <w:rsid w:val="00A80C2E"/>
    <w:rsid w:val="00A826E9"/>
    <w:rsid w:val="00A8286E"/>
    <w:rsid w:val="00A82F95"/>
    <w:rsid w:val="00A8318E"/>
    <w:rsid w:val="00A840BE"/>
    <w:rsid w:val="00A840D5"/>
    <w:rsid w:val="00A85CE0"/>
    <w:rsid w:val="00A85E91"/>
    <w:rsid w:val="00A85EDB"/>
    <w:rsid w:val="00A86139"/>
    <w:rsid w:val="00A86C99"/>
    <w:rsid w:val="00A86EB4"/>
    <w:rsid w:val="00A90BDF"/>
    <w:rsid w:val="00A92865"/>
    <w:rsid w:val="00A92CFF"/>
    <w:rsid w:val="00A92F0D"/>
    <w:rsid w:val="00A94497"/>
    <w:rsid w:val="00A94F5F"/>
    <w:rsid w:val="00A94FBC"/>
    <w:rsid w:val="00A95150"/>
    <w:rsid w:val="00A9559C"/>
    <w:rsid w:val="00A95FD0"/>
    <w:rsid w:val="00A97C62"/>
    <w:rsid w:val="00A97DCA"/>
    <w:rsid w:val="00A97FED"/>
    <w:rsid w:val="00AA02BE"/>
    <w:rsid w:val="00AA1B66"/>
    <w:rsid w:val="00AA3189"/>
    <w:rsid w:val="00AA629F"/>
    <w:rsid w:val="00AA6A66"/>
    <w:rsid w:val="00AA72D7"/>
    <w:rsid w:val="00AA7658"/>
    <w:rsid w:val="00AB01A1"/>
    <w:rsid w:val="00AB0412"/>
    <w:rsid w:val="00AB0885"/>
    <w:rsid w:val="00AB1C4B"/>
    <w:rsid w:val="00AB2389"/>
    <w:rsid w:val="00AB2C97"/>
    <w:rsid w:val="00AB2F46"/>
    <w:rsid w:val="00AB393F"/>
    <w:rsid w:val="00AB3FE1"/>
    <w:rsid w:val="00AB4C74"/>
    <w:rsid w:val="00AB4E51"/>
    <w:rsid w:val="00AB5C94"/>
    <w:rsid w:val="00AB63E5"/>
    <w:rsid w:val="00AB6610"/>
    <w:rsid w:val="00AB67AA"/>
    <w:rsid w:val="00AB68B2"/>
    <w:rsid w:val="00AB7835"/>
    <w:rsid w:val="00AB7B8D"/>
    <w:rsid w:val="00AB7EF6"/>
    <w:rsid w:val="00AC06B8"/>
    <w:rsid w:val="00AC0C9F"/>
    <w:rsid w:val="00AC0F2C"/>
    <w:rsid w:val="00AC14E2"/>
    <w:rsid w:val="00AC1F38"/>
    <w:rsid w:val="00AC3054"/>
    <w:rsid w:val="00AC4299"/>
    <w:rsid w:val="00AC4E3A"/>
    <w:rsid w:val="00AC5975"/>
    <w:rsid w:val="00AC5D72"/>
    <w:rsid w:val="00AC5F45"/>
    <w:rsid w:val="00AC6255"/>
    <w:rsid w:val="00AC654C"/>
    <w:rsid w:val="00AC6570"/>
    <w:rsid w:val="00AC6619"/>
    <w:rsid w:val="00AC7107"/>
    <w:rsid w:val="00AD061B"/>
    <w:rsid w:val="00AD0C6F"/>
    <w:rsid w:val="00AD1A08"/>
    <w:rsid w:val="00AD4571"/>
    <w:rsid w:val="00AD70F1"/>
    <w:rsid w:val="00AD7567"/>
    <w:rsid w:val="00AE0C1B"/>
    <w:rsid w:val="00AE1CD7"/>
    <w:rsid w:val="00AE3D79"/>
    <w:rsid w:val="00AE7CD3"/>
    <w:rsid w:val="00AF003B"/>
    <w:rsid w:val="00AF07E2"/>
    <w:rsid w:val="00AF1037"/>
    <w:rsid w:val="00AF1E50"/>
    <w:rsid w:val="00AF1F57"/>
    <w:rsid w:val="00AF2910"/>
    <w:rsid w:val="00AF3C10"/>
    <w:rsid w:val="00AF3C69"/>
    <w:rsid w:val="00AF3D7A"/>
    <w:rsid w:val="00AF4ED2"/>
    <w:rsid w:val="00AF61D0"/>
    <w:rsid w:val="00AF6219"/>
    <w:rsid w:val="00AF62BC"/>
    <w:rsid w:val="00AF672F"/>
    <w:rsid w:val="00AF6862"/>
    <w:rsid w:val="00AF6F2C"/>
    <w:rsid w:val="00AF7FA5"/>
    <w:rsid w:val="00B006E9"/>
    <w:rsid w:val="00B01163"/>
    <w:rsid w:val="00B024AD"/>
    <w:rsid w:val="00B024D7"/>
    <w:rsid w:val="00B03CD3"/>
    <w:rsid w:val="00B048F1"/>
    <w:rsid w:val="00B049B4"/>
    <w:rsid w:val="00B04D23"/>
    <w:rsid w:val="00B057CA"/>
    <w:rsid w:val="00B06C38"/>
    <w:rsid w:val="00B11505"/>
    <w:rsid w:val="00B11D0D"/>
    <w:rsid w:val="00B12E10"/>
    <w:rsid w:val="00B12EA6"/>
    <w:rsid w:val="00B13F06"/>
    <w:rsid w:val="00B14047"/>
    <w:rsid w:val="00B14253"/>
    <w:rsid w:val="00B145A2"/>
    <w:rsid w:val="00B15280"/>
    <w:rsid w:val="00B15761"/>
    <w:rsid w:val="00B15DB6"/>
    <w:rsid w:val="00B15F2D"/>
    <w:rsid w:val="00B17100"/>
    <w:rsid w:val="00B171C0"/>
    <w:rsid w:val="00B17999"/>
    <w:rsid w:val="00B20317"/>
    <w:rsid w:val="00B20E5D"/>
    <w:rsid w:val="00B212C5"/>
    <w:rsid w:val="00B21DE2"/>
    <w:rsid w:val="00B21E50"/>
    <w:rsid w:val="00B22110"/>
    <w:rsid w:val="00B22E27"/>
    <w:rsid w:val="00B23005"/>
    <w:rsid w:val="00B267A1"/>
    <w:rsid w:val="00B26927"/>
    <w:rsid w:val="00B30046"/>
    <w:rsid w:val="00B31D8A"/>
    <w:rsid w:val="00B32AFB"/>
    <w:rsid w:val="00B34001"/>
    <w:rsid w:val="00B34B0B"/>
    <w:rsid w:val="00B34B77"/>
    <w:rsid w:val="00B34DD6"/>
    <w:rsid w:val="00B35F80"/>
    <w:rsid w:val="00B3602B"/>
    <w:rsid w:val="00B36BA6"/>
    <w:rsid w:val="00B36EAA"/>
    <w:rsid w:val="00B4088C"/>
    <w:rsid w:val="00B4177D"/>
    <w:rsid w:val="00B429FB"/>
    <w:rsid w:val="00B431BD"/>
    <w:rsid w:val="00B439B1"/>
    <w:rsid w:val="00B43C2A"/>
    <w:rsid w:val="00B43F29"/>
    <w:rsid w:val="00B4423C"/>
    <w:rsid w:val="00B442BD"/>
    <w:rsid w:val="00B44FD0"/>
    <w:rsid w:val="00B4512A"/>
    <w:rsid w:val="00B45BCF"/>
    <w:rsid w:val="00B47F0C"/>
    <w:rsid w:val="00B50194"/>
    <w:rsid w:val="00B50C55"/>
    <w:rsid w:val="00B50D11"/>
    <w:rsid w:val="00B51A5D"/>
    <w:rsid w:val="00B51CC6"/>
    <w:rsid w:val="00B51F42"/>
    <w:rsid w:val="00B522A4"/>
    <w:rsid w:val="00B52872"/>
    <w:rsid w:val="00B53030"/>
    <w:rsid w:val="00B53847"/>
    <w:rsid w:val="00B53939"/>
    <w:rsid w:val="00B542AB"/>
    <w:rsid w:val="00B62635"/>
    <w:rsid w:val="00B64EB6"/>
    <w:rsid w:val="00B65593"/>
    <w:rsid w:val="00B65598"/>
    <w:rsid w:val="00B704AB"/>
    <w:rsid w:val="00B71CD5"/>
    <w:rsid w:val="00B71DAC"/>
    <w:rsid w:val="00B723C6"/>
    <w:rsid w:val="00B725F9"/>
    <w:rsid w:val="00B72E87"/>
    <w:rsid w:val="00B730C7"/>
    <w:rsid w:val="00B734C4"/>
    <w:rsid w:val="00B7350E"/>
    <w:rsid w:val="00B74792"/>
    <w:rsid w:val="00B74827"/>
    <w:rsid w:val="00B7583B"/>
    <w:rsid w:val="00B759BA"/>
    <w:rsid w:val="00B811B0"/>
    <w:rsid w:val="00B814CA"/>
    <w:rsid w:val="00B816A3"/>
    <w:rsid w:val="00B822A4"/>
    <w:rsid w:val="00B828CC"/>
    <w:rsid w:val="00B83834"/>
    <w:rsid w:val="00B83DDE"/>
    <w:rsid w:val="00B846EC"/>
    <w:rsid w:val="00B8560C"/>
    <w:rsid w:val="00B856D5"/>
    <w:rsid w:val="00B8575F"/>
    <w:rsid w:val="00B85B8C"/>
    <w:rsid w:val="00B85C48"/>
    <w:rsid w:val="00B85F75"/>
    <w:rsid w:val="00B86114"/>
    <w:rsid w:val="00B86CA9"/>
    <w:rsid w:val="00B912BF"/>
    <w:rsid w:val="00B91440"/>
    <w:rsid w:val="00B918B1"/>
    <w:rsid w:val="00B92AAD"/>
    <w:rsid w:val="00B93FA1"/>
    <w:rsid w:val="00B94F66"/>
    <w:rsid w:val="00B96FBD"/>
    <w:rsid w:val="00B976B5"/>
    <w:rsid w:val="00B976CF"/>
    <w:rsid w:val="00B97F1B"/>
    <w:rsid w:val="00BA05FE"/>
    <w:rsid w:val="00BA1BF6"/>
    <w:rsid w:val="00BA1C6C"/>
    <w:rsid w:val="00BA1CD6"/>
    <w:rsid w:val="00BA2863"/>
    <w:rsid w:val="00BA325A"/>
    <w:rsid w:val="00BA4A8E"/>
    <w:rsid w:val="00BA5699"/>
    <w:rsid w:val="00BA58FE"/>
    <w:rsid w:val="00BA5C1F"/>
    <w:rsid w:val="00BA6384"/>
    <w:rsid w:val="00BA6E03"/>
    <w:rsid w:val="00BA7308"/>
    <w:rsid w:val="00BA7CE0"/>
    <w:rsid w:val="00BB169C"/>
    <w:rsid w:val="00BB18C2"/>
    <w:rsid w:val="00BB1DFE"/>
    <w:rsid w:val="00BB225B"/>
    <w:rsid w:val="00BB22D4"/>
    <w:rsid w:val="00BB3CBE"/>
    <w:rsid w:val="00BB50BB"/>
    <w:rsid w:val="00BB5B5D"/>
    <w:rsid w:val="00BB6397"/>
    <w:rsid w:val="00BB6B9C"/>
    <w:rsid w:val="00BB73C8"/>
    <w:rsid w:val="00BB7E19"/>
    <w:rsid w:val="00BC068F"/>
    <w:rsid w:val="00BC0A7F"/>
    <w:rsid w:val="00BC1220"/>
    <w:rsid w:val="00BC177F"/>
    <w:rsid w:val="00BC2C58"/>
    <w:rsid w:val="00BC3A29"/>
    <w:rsid w:val="00BC3F13"/>
    <w:rsid w:val="00BC40B5"/>
    <w:rsid w:val="00BC43FD"/>
    <w:rsid w:val="00BC47BF"/>
    <w:rsid w:val="00BC4F1C"/>
    <w:rsid w:val="00BC51F5"/>
    <w:rsid w:val="00BC61CD"/>
    <w:rsid w:val="00BC61F2"/>
    <w:rsid w:val="00BC67C0"/>
    <w:rsid w:val="00BC6F32"/>
    <w:rsid w:val="00BC6F41"/>
    <w:rsid w:val="00BC793E"/>
    <w:rsid w:val="00BC7E64"/>
    <w:rsid w:val="00BD1270"/>
    <w:rsid w:val="00BD1342"/>
    <w:rsid w:val="00BD1379"/>
    <w:rsid w:val="00BD2FE7"/>
    <w:rsid w:val="00BD36DE"/>
    <w:rsid w:val="00BD4E13"/>
    <w:rsid w:val="00BD52C3"/>
    <w:rsid w:val="00BD5485"/>
    <w:rsid w:val="00BD5A14"/>
    <w:rsid w:val="00BD5F43"/>
    <w:rsid w:val="00BD661B"/>
    <w:rsid w:val="00BD687C"/>
    <w:rsid w:val="00BD6DB9"/>
    <w:rsid w:val="00BD71A3"/>
    <w:rsid w:val="00BD75D1"/>
    <w:rsid w:val="00BE0363"/>
    <w:rsid w:val="00BE0A45"/>
    <w:rsid w:val="00BE1233"/>
    <w:rsid w:val="00BE1277"/>
    <w:rsid w:val="00BE1311"/>
    <w:rsid w:val="00BE19C2"/>
    <w:rsid w:val="00BE358B"/>
    <w:rsid w:val="00BE4109"/>
    <w:rsid w:val="00BE447B"/>
    <w:rsid w:val="00BE4782"/>
    <w:rsid w:val="00BE47D8"/>
    <w:rsid w:val="00BE4FD9"/>
    <w:rsid w:val="00BE57BF"/>
    <w:rsid w:val="00BE5D73"/>
    <w:rsid w:val="00BE6DFE"/>
    <w:rsid w:val="00BE79AB"/>
    <w:rsid w:val="00BF0637"/>
    <w:rsid w:val="00BF124A"/>
    <w:rsid w:val="00BF37A9"/>
    <w:rsid w:val="00BF3C23"/>
    <w:rsid w:val="00BF4770"/>
    <w:rsid w:val="00BF540A"/>
    <w:rsid w:val="00BF67D7"/>
    <w:rsid w:val="00BF6EC1"/>
    <w:rsid w:val="00BF7257"/>
    <w:rsid w:val="00BF7347"/>
    <w:rsid w:val="00C017D1"/>
    <w:rsid w:val="00C029BC"/>
    <w:rsid w:val="00C04D37"/>
    <w:rsid w:val="00C05941"/>
    <w:rsid w:val="00C0657C"/>
    <w:rsid w:val="00C074C4"/>
    <w:rsid w:val="00C10CD4"/>
    <w:rsid w:val="00C11B8D"/>
    <w:rsid w:val="00C12AE0"/>
    <w:rsid w:val="00C12FEB"/>
    <w:rsid w:val="00C1357C"/>
    <w:rsid w:val="00C140C6"/>
    <w:rsid w:val="00C144EF"/>
    <w:rsid w:val="00C1534E"/>
    <w:rsid w:val="00C211DC"/>
    <w:rsid w:val="00C2135F"/>
    <w:rsid w:val="00C22B34"/>
    <w:rsid w:val="00C233C6"/>
    <w:rsid w:val="00C23D4E"/>
    <w:rsid w:val="00C24ED2"/>
    <w:rsid w:val="00C24F3F"/>
    <w:rsid w:val="00C25670"/>
    <w:rsid w:val="00C259E2"/>
    <w:rsid w:val="00C2636B"/>
    <w:rsid w:val="00C26C3A"/>
    <w:rsid w:val="00C27140"/>
    <w:rsid w:val="00C277FB"/>
    <w:rsid w:val="00C27CEA"/>
    <w:rsid w:val="00C30639"/>
    <w:rsid w:val="00C306B3"/>
    <w:rsid w:val="00C306F6"/>
    <w:rsid w:val="00C3070C"/>
    <w:rsid w:val="00C3194E"/>
    <w:rsid w:val="00C31BBB"/>
    <w:rsid w:val="00C3220C"/>
    <w:rsid w:val="00C345ED"/>
    <w:rsid w:val="00C34837"/>
    <w:rsid w:val="00C348B3"/>
    <w:rsid w:val="00C34F38"/>
    <w:rsid w:val="00C3548F"/>
    <w:rsid w:val="00C356C8"/>
    <w:rsid w:val="00C367B4"/>
    <w:rsid w:val="00C36B2D"/>
    <w:rsid w:val="00C37615"/>
    <w:rsid w:val="00C37B29"/>
    <w:rsid w:val="00C40D60"/>
    <w:rsid w:val="00C43A7D"/>
    <w:rsid w:val="00C4425F"/>
    <w:rsid w:val="00C44421"/>
    <w:rsid w:val="00C44A04"/>
    <w:rsid w:val="00C44C83"/>
    <w:rsid w:val="00C46058"/>
    <w:rsid w:val="00C4623C"/>
    <w:rsid w:val="00C46DB1"/>
    <w:rsid w:val="00C4706F"/>
    <w:rsid w:val="00C47BD3"/>
    <w:rsid w:val="00C47E57"/>
    <w:rsid w:val="00C504D3"/>
    <w:rsid w:val="00C536B3"/>
    <w:rsid w:val="00C53836"/>
    <w:rsid w:val="00C53B22"/>
    <w:rsid w:val="00C53C4E"/>
    <w:rsid w:val="00C53D24"/>
    <w:rsid w:val="00C542A9"/>
    <w:rsid w:val="00C54763"/>
    <w:rsid w:val="00C55547"/>
    <w:rsid w:val="00C55649"/>
    <w:rsid w:val="00C563A1"/>
    <w:rsid w:val="00C576F8"/>
    <w:rsid w:val="00C57F07"/>
    <w:rsid w:val="00C604F5"/>
    <w:rsid w:val="00C61583"/>
    <w:rsid w:val="00C61B48"/>
    <w:rsid w:val="00C61FF5"/>
    <w:rsid w:val="00C62CD3"/>
    <w:rsid w:val="00C635CF"/>
    <w:rsid w:val="00C635FD"/>
    <w:rsid w:val="00C63986"/>
    <w:rsid w:val="00C64027"/>
    <w:rsid w:val="00C66473"/>
    <w:rsid w:val="00C67004"/>
    <w:rsid w:val="00C679E4"/>
    <w:rsid w:val="00C7073E"/>
    <w:rsid w:val="00C707EE"/>
    <w:rsid w:val="00C7103D"/>
    <w:rsid w:val="00C717C8"/>
    <w:rsid w:val="00C7187C"/>
    <w:rsid w:val="00C71AF2"/>
    <w:rsid w:val="00C71B86"/>
    <w:rsid w:val="00C71D62"/>
    <w:rsid w:val="00C723EA"/>
    <w:rsid w:val="00C731CE"/>
    <w:rsid w:val="00C76804"/>
    <w:rsid w:val="00C76E4A"/>
    <w:rsid w:val="00C80231"/>
    <w:rsid w:val="00C80731"/>
    <w:rsid w:val="00C80811"/>
    <w:rsid w:val="00C81C8B"/>
    <w:rsid w:val="00C82BBD"/>
    <w:rsid w:val="00C82C15"/>
    <w:rsid w:val="00C82F83"/>
    <w:rsid w:val="00C839AF"/>
    <w:rsid w:val="00C84BAF"/>
    <w:rsid w:val="00C84C64"/>
    <w:rsid w:val="00C8571F"/>
    <w:rsid w:val="00C85EAB"/>
    <w:rsid w:val="00C86C33"/>
    <w:rsid w:val="00C87CEE"/>
    <w:rsid w:val="00C9009E"/>
    <w:rsid w:val="00C91751"/>
    <w:rsid w:val="00C917B0"/>
    <w:rsid w:val="00C91DC9"/>
    <w:rsid w:val="00C931A3"/>
    <w:rsid w:val="00C93697"/>
    <w:rsid w:val="00C93FC2"/>
    <w:rsid w:val="00C941FF"/>
    <w:rsid w:val="00C94812"/>
    <w:rsid w:val="00C94AFD"/>
    <w:rsid w:val="00C95414"/>
    <w:rsid w:val="00C95E48"/>
    <w:rsid w:val="00C960CE"/>
    <w:rsid w:val="00C9673B"/>
    <w:rsid w:val="00C973FB"/>
    <w:rsid w:val="00CA0C40"/>
    <w:rsid w:val="00CA126C"/>
    <w:rsid w:val="00CA13B9"/>
    <w:rsid w:val="00CA21CA"/>
    <w:rsid w:val="00CA236C"/>
    <w:rsid w:val="00CA270D"/>
    <w:rsid w:val="00CA2E80"/>
    <w:rsid w:val="00CA2E92"/>
    <w:rsid w:val="00CA4EB2"/>
    <w:rsid w:val="00CA61EE"/>
    <w:rsid w:val="00CA6F54"/>
    <w:rsid w:val="00CB1F27"/>
    <w:rsid w:val="00CB256D"/>
    <w:rsid w:val="00CB3146"/>
    <w:rsid w:val="00CB3376"/>
    <w:rsid w:val="00CB3C8D"/>
    <w:rsid w:val="00CB484B"/>
    <w:rsid w:val="00CB4E0C"/>
    <w:rsid w:val="00CB5059"/>
    <w:rsid w:val="00CB6C8D"/>
    <w:rsid w:val="00CB7F46"/>
    <w:rsid w:val="00CC030A"/>
    <w:rsid w:val="00CC112B"/>
    <w:rsid w:val="00CC2508"/>
    <w:rsid w:val="00CC26A6"/>
    <w:rsid w:val="00CC2B5B"/>
    <w:rsid w:val="00CC2F2F"/>
    <w:rsid w:val="00CC47A1"/>
    <w:rsid w:val="00CC4F4F"/>
    <w:rsid w:val="00CC4F94"/>
    <w:rsid w:val="00CC6811"/>
    <w:rsid w:val="00CC6A7B"/>
    <w:rsid w:val="00CC7195"/>
    <w:rsid w:val="00CC73DA"/>
    <w:rsid w:val="00CD1420"/>
    <w:rsid w:val="00CD1762"/>
    <w:rsid w:val="00CD1B30"/>
    <w:rsid w:val="00CD33AB"/>
    <w:rsid w:val="00CD35F2"/>
    <w:rsid w:val="00CD385E"/>
    <w:rsid w:val="00CD3F0E"/>
    <w:rsid w:val="00CD4356"/>
    <w:rsid w:val="00CD6CEB"/>
    <w:rsid w:val="00CD7623"/>
    <w:rsid w:val="00CD7D5B"/>
    <w:rsid w:val="00CD7ED8"/>
    <w:rsid w:val="00CE04E5"/>
    <w:rsid w:val="00CE1093"/>
    <w:rsid w:val="00CE2A31"/>
    <w:rsid w:val="00CE2B78"/>
    <w:rsid w:val="00CE31F7"/>
    <w:rsid w:val="00CE47AF"/>
    <w:rsid w:val="00CE4BEB"/>
    <w:rsid w:val="00CE4C49"/>
    <w:rsid w:val="00CE51FF"/>
    <w:rsid w:val="00CE5491"/>
    <w:rsid w:val="00CE5754"/>
    <w:rsid w:val="00CE5ACF"/>
    <w:rsid w:val="00CE7048"/>
    <w:rsid w:val="00CE7221"/>
    <w:rsid w:val="00CE797B"/>
    <w:rsid w:val="00CE7F91"/>
    <w:rsid w:val="00CF0568"/>
    <w:rsid w:val="00CF0D1C"/>
    <w:rsid w:val="00CF1093"/>
    <w:rsid w:val="00CF206F"/>
    <w:rsid w:val="00CF2D64"/>
    <w:rsid w:val="00CF4C30"/>
    <w:rsid w:val="00CF5466"/>
    <w:rsid w:val="00CF5957"/>
    <w:rsid w:val="00CF5CD0"/>
    <w:rsid w:val="00CF6B09"/>
    <w:rsid w:val="00CF6D85"/>
    <w:rsid w:val="00CF6F63"/>
    <w:rsid w:val="00D02151"/>
    <w:rsid w:val="00D021AF"/>
    <w:rsid w:val="00D024BD"/>
    <w:rsid w:val="00D02770"/>
    <w:rsid w:val="00D02E89"/>
    <w:rsid w:val="00D054C0"/>
    <w:rsid w:val="00D057A6"/>
    <w:rsid w:val="00D05A94"/>
    <w:rsid w:val="00D06F70"/>
    <w:rsid w:val="00D10700"/>
    <w:rsid w:val="00D11201"/>
    <w:rsid w:val="00D11D41"/>
    <w:rsid w:val="00D11E4C"/>
    <w:rsid w:val="00D1223C"/>
    <w:rsid w:val="00D14A32"/>
    <w:rsid w:val="00D14EE0"/>
    <w:rsid w:val="00D15808"/>
    <w:rsid w:val="00D16380"/>
    <w:rsid w:val="00D1690D"/>
    <w:rsid w:val="00D16FBF"/>
    <w:rsid w:val="00D17259"/>
    <w:rsid w:val="00D1786A"/>
    <w:rsid w:val="00D2018B"/>
    <w:rsid w:val="00D20799"/>
    <w:rsid w:val="00D209AF"/>
    <w:rsid w:val="00D20C67"/>
    <w:rsid w:val="00D212FE"/>
    <w:rsid w:val="00D21548"/>
    <w:rsid w:val="00D21B29"/>
    <w:rsid w:val="00D2428D"/>
    <w:rsid w:val="00D24331"/>
    <w:rsid w:val="00D2506C"/>
    <w:rsid w:val="00D27F99"/>
    <w:rsid w:val="00D300D9"/>
    <w:rsid w:val="00D30A68"/>
    <w:rsid w:val="00D30BE6"/>
    <w:rsid w:val="00D30C04"/>
    <w:rsid w:val="00D314D5"/>
    <w:rsid w:val="00D318BC"/>
    <w:rsid w:val="00D31C7A"/>
    <w:rsid w:val="00D32447"/>
    <w:rsid w:val="00D33AA1"/>
    <w:rsid w:val="00D3421C"/>
    <w:rsid w:val="00D34F75"/>
    <w:rsid w:val="00D35BD5"/>
    <w:rsid w:val="00D35C30"/>
    <w:rsid w:val="00D36501"/>
    <w:rsid w:val="00D3686E"/>
    <w:rsid w:val="00D412C0"/>
    <w:rsid w:val="00D4194D"/>
    <w:rsid w:val="00D424CA"/>
    <w:rsid w:val="00D42942"/>
    <w:rsid w:val="00D42EDE"/>
    <w:rsid w:val="00D4457C"/>
    <w:rsid w:val="00D44F8B"/>
    <w:rsid w:val="00D459F5"/>
    <w:rsid w:val="00D45B15"/>
    <w:rsid w:val="00D47551"/>
    <w:rsid w:val="00D47CD7"/>
    <w:rsid w:val="00D51A17"/>
    <w:rsid w:val="00D52387"/>
    <w:rsid w:val="00D5285D"/>
    <w:rsid w:val="00D52A03"/>
    <w:rsid w:val="00D52FC3"/>
    <w:rsid w:val="00D52FEA"/>
    <w:rsid w:val="00D533DD"/>
    <w:rsid w:val="00D53774"/>
    <w:rsid w:val="00D5433B"/>
    <w:rsid w:val="00D548CD"/>
    <w:rsid w:val="00D54C42"/>
    <w:rsid w:val="00D550E7"/>
    <w:rsid w:val="00D55777"/>
    <w:rsid w:val="00D5668A"/>
    <w:rsid w:val="00D5689B"/>
    <w:rsid w:val="00D56AF5"/>
    <w:rsid w:val="00D57780"/>
    <w:rsid w:val="00D60795"/>
    <w:rsid w:val="00D60F96"/>
    <w:rsid w:val="00D61651"/>
    <w:rsid w:val="00D618CD"/>
    <w:rsid w:val="00D634CB"/>
    <w:rsid w:val="00D645B2"/>
    <w:rsid w:val="00D6494A"/>
    <w:rsid w:val="00D64ADE"/>
    <w:rsid w:val="00D64B66"/>
    <w:rsid w:val="00D6607A"/>
    <w:rsid w:val="00D66CAA"/>
    <w:rsid w:val="00D66F87"/>
    <w:rsid w:val="00D67483"/>
    <w:rsid w:val="00D70AD1"/>
    <w:rsid w:val="00D70F07"/>
    <w:rsid w:val="00D7242F"/>
    <w:rsid w:val="00D731E3"/>
    <w:rsid w:val="00D742A8"/>
    <w:rsid w:val="00D74308"/>
    <w:rsid w:val="00D75438"/>
    <w:rsid w:val="00D768D3"/>
    <w:rsid w:val="00D77799"/>
    <w:rsid w:val="00D8096D"/>
    <w:rsid w:val="00D81422"/>
    <w:rsid w:val="00D81C35"/>
    <w:rsid w:val="00D8254C"/>
    <w:rsid w:val="00D826AC"/>
    <w:rsid w:val="00D82913"/>
    <w:rsid w:val="00D82B60"/>
    <w:rsid w:val="00D8369E"/>
    <w:rsid w:val="00D8416E"/>
    <w:rsid w:val="00D84EB7"/>
    <w:rsid w:val="00D8545A"/>
    <w:rsid w:val="00D85AC7"/>
    <w:rsid w:val="00D8617F"/>
    <w:rsid w:val="00D87007"/>
    <w:rsid w:val="00D87BAB"/>
    <w:rsid w:val="00D90713"/>
    <w:rsid w:val="00D90BFF"/>
    <w:rsid w:val="00D92396"/>
    <w:rsid w:val="00D946DB"/>
    <w:rsid w:val="00D95045"/>
    <w:rsid w:val="00D95228"/>
    <w:rsid w:val="00D956C2"/>
    <w:rsid w:val="00D967FA"/>
    <w:rsid w:val="00D96E61"/>
    <w:rsid w:val="00DA040A"/>
    <w:rsid w:val="00DA0B84"/>
    <w:rsid w:val="00DA0BDB"/>
    <w:rsid w:val="00DA0D0F"/>
    <w:rsid w:val="00DA0DB4"/>
    <w:rsid w:val="00DA1253"/>
    <w:rsid w:val="00DA1525"/>
    <w:rsid w:val="00DA3B36"/>
    <w:rsid w:val="00DA3E72"/>
    <w:rsid w:val="00DA3FEB"/>
    <w:rsid w:val="00DA4727"/>
    <w:rsid w:val="00DA4A2F"/>
    <w:rsid w:val="00DA4AAA"/>
    <w:rsid w:val="00DA4AAE"/>
    <w:rsid w:val="00DA4D9D"/>
    <w:rsid w:val="00DA6CB8"/>
    <w:rsid w:val="00DA77E1"/>
    <w:rsid w:val="00DA7C34"/>
    <w:rsid w:val="00DA7F01"/>
    <w:rsid w:val="00DB0274"/>
    <w:rsid w:val="00DB0F07"/>
    <w:rsid w:val="00DB2DD0"/>
    <w:rsid w:val="00DB3B68"/>
    <w:rsid w:val="00DB3EEA"/>
    <w:rsid w:val="00DB40CA"/>
    <w:rsid w:val="00DB4C59"/>
    <w:rsid w:val="00DB5503"/>
    <w:rsid w:val="00DB61BB"/>
    <w:rsid w:val="00DC03E0"/>
    <w:rsid w:val="00DC0817"/>
    <w:rsid w:val="00DC09EA"/>
    <w:rsid w:val="00DC0A81"/>
    <w:rsid w:val="00DC1E40"/>
    <w:rsid w:val="00DC1FD1"/>
    <w:rsid w:val="00DC2D05"/>
    <w:rsid w:val="00DC3A83"/>
    <w:rsid w:val="00DC3B38"/>
    <w:rsid w:val="00DC40DA"/>
    <w:rsid w:val="00DC4CE4"/>
    <w:rsid w:val="00DD00B4"/>
    <w:rsid w:val="00DD07FF"/>
    <w:rsid w:val="00DD092D"/>
    <w:rsid w:val="00DD156E"/>
    <w:rsid w:val="00DD1906"/>
    <w:rsid w:val="00DD1E64"/>
    <w:rsid w:val="00DD2C1E"/>
    <w:rsid w:val="00DD41BE"/>
    <w:rsid w:val="00DD4CFC"/>
    <w:rsid w:val="00DD5F87"/>
    <w:rsid w:val="00DD60DF"/>
    <w:rsid w:val="00DD6D54"/>
    <w:rsid w:val="00DD6F35"/>
    <w:rsid w:val="00DD72AA"/>
    <w:rsid w:val="00DD791B"/>
    <w:rsid w:val="00DE0157"/>
    <w:rsid w:val="00DE08E6"/>
    <w:rsid w:val="00DE0962"/>
    <w:rsid w:val="00DE21B5"/>
    <w:rsid w:val="00DE223B"/>
    <w:rsid w:val="00DE230A"/>
    <w:rsid w:val="00DE26F2"/>
    <w:rsid w:val="00DE3389"/>
    <w:rsid w:val="00DE4001"/>
    <w:rsid w:val="00DE489B"/>
    <w:rsid w:val="00DE48EF"/>
    <w:rsid w:val="00DE4EF2"/>
    <w:rsid w:val="00DE583B"/>
    <w:rsid w:val="00DE5A31"/>
    <w:rsid w:val="00DE73B4"/>
    <w:rsid w:val="00DE7B41"/>
    <w:rsid w:val="00DE7C81"/>
    <w:rsid w:val="00DF0BF5"/>
    <w:rsid w:val="00DF0EF2"/>
    <w:rsid w:val="00DF30EB"/>
    <w:rsid w:val="00DF3475"/>
    <w:rsid w:val="00DF4FF2"/>
    <w:rsid w:val="00DF65DF"/>
    <w:rsid w:val="00DF70AE"/>
    <w:rsid w:val="00DF7382"/>
    <w:rsid w:val="00E01601"/>
    <w:rsid w:val="00E0175F"/>
    <w:rsid w:val="00E01F9D"/>
    <w:rsid w:val="00E026FB"/>
    <w:rsid w:val="00E02F76"/>
    <w:rsid w:val="00E03E51"/>
    <w:rsid w:val="00E03E93"/>
    <w:rsid w:val="00E050F3"/>
    <w:rsid w:val="00E052A9"/>
    <w:rsid w:val="00E0639C"/>
    <w:rsid w:val="00E06628"/>
    <w:rsid w:val="00E06E19"/>
    <w:rsid w:val="00E07C8E"/>
    <w:rsid w:val="00E10726"/>
    <w:rsid w:val="00E10B85"/>
    <w:rsid w:val="00E11731"/>
    <w:rsid w:val="00E11F7B"/>
    <w:rsid w:val="00E120F4"/>
    <w:rsid w:val="00E1421C"/>
    <w:rsid w:val="00E143FD"/>
    <w:rsid w:val="00E14C4D"/>
    <w:rsid w:val="00E16498"/>
    <w:rsid w:val="00E1685B"/>
    <w:rsid w:val="00E1696D"/>
    <w:rsid w:val="00E172EA"/>
    <w:rsid w:val="00E1750A"/>
    <w:rsid w:val="00E17AB7"/>
    <w:rsid w:val="00E20FAC"/>
    <w:rsid w:val="00E2178E"/>
    <w:rsid w:val="00E2447E"/>
    <w:rsid w:val="00E249EF"/>
    <w:rsid w:val="00E25862"/>
    <w:rsid w:val="00E26CB6"/>
    <w:rsid w:val="00E27969"/>
    <w:rsid w:val="00E31A99"/>
    <w:rsid w:val="00E3279F"/>
    <w:rsid w:val="00E32BAE"/>
    <w:rsid w:val="00E32DA2"/>
    <w:rsid w:val="00E33BF7"/>
    <w:rsid w:val="00E340D7"/>
    <w:rsid w:val="00E34533"/>
    <w:rsid w:val="00E41A58"/>
    <w:rsid w:val="00E41E4F"/>
    <w:rsid w:val="00E42A4D"/>
    <w:rsid w:val="00E4334F"/>
    <w:rsid w:val="00E43CD2"/>
    <w:rsid w:val="00E440D2"/>
    <w:rsid w:val="00E44336"/>
    <w:rsid w:val="00E449CC"/>
    <w:rsid w:val="00E45F52"/>
    <w:rsid w:val="00E46936"/>
    <w:rsid w:val="00E46AC0"/>
    <w:rsid w:val="00E473B0"/>
    <w:rsid w:val="00E47B54"/>
    <w:rsid w:val="00E47CCD"/>
    <w:rsid w:val="00E50750"/>
    <w:rsid w:val="00E509EA"/>
    <w:rsid w:val="00E50E79"/>
    <w:rsid w:val="00E50FA0"/>
    <w:rsid w:val="00E515D5"/>
    <w:rsid w:val="00E52782"/>
    <w:rsid w:val="00E53E55"/>
    <w:rsid w:val="00E543B2"/>
    <w:rsid w:val="00E54B05"/>
    <w:rsid w:val="00E5703B"/>
    <w:rsid w:val="00E5715E"/>
    <w:rsid w:val="00E60B53"/>
    <w:rsid w:val="00E60C82"/>
    <w:rsid w:val="00E610EA"/>
    <w:rsid w:val="00E61840"/>
    <w:rsid w:val="00E6373B"/>
    <w:rsid w:val="00E63DC8"/>
    <w:rsid w:val="00E64990"/>
    <w:rsid w:val="00E64BFE"/>
    <w:rsid w:val="00E66040"/>
    <w:rsid w:val="00E6616A"/>
    <w:rsid w:val="00E67B4A"/>
    <w:rsid w:val="00E67F16"/>
    <w:rsid w:val="00E70AB0"/>
    <w:rsid w:val="00E71171"/>
    <w:rsid w:val="00E7205D"/>
    <w:rsid w:val="00E721D9"/>
    <w:rsid w:val="00E72404"/>
    <w:rsid w:val="00E73F4B"/>
    <w:rsid w:val="00E74C2C"/>
    <w:rsid w:val="00E75993"/>
    <w:rsid w:val="00E764E7"/>
    <w:rsid w:val="00E80172"/>
    <w:rsid w:val="00E804CC"/>
    <w:rsid w:val="00E81DB9"/>
    <w:rsid w:val="00E81F69"/>
    <w:rsid w:val="00E822F7"/>
    <w:rsid w:val="00E8231C"/>
    <w:rsid w:val="00E8262F"/>
    <w:rsid w:val="00E84C8E"/>
    <w:rsid w:val="00E85358"/>
    <w:rsid w:val="00E863C1"/>
    <w:rsid w:val="00E86638"/>
    <w:rsid w:val="00E86B98"/>
    <w:rsid w:val="00E871FE"/>
    <w:rsid w:val="00E87B6C"/>
    <w:rsid w:val="00E91D08"/>
    <w:rsid w:val="00E9217C"/>
    <w:rsid w:val="00E921F1"/>
    <w:rsid w:val="00E92C04"/>
    <w:rsid w:val="00E92C65"/>
    <w:rsid w:val="00E92EE4"/>
    <w:rsid w:val="00E93AB5"/>
    <w:rsid w:val="00E96511"/>
    <w:rsid w:val="00E96A85"/>
    <w:rsid w:val="00E9758A"/>
    <w:rsid w:val="00E979E9"/>
    <w:rsid w:val="00E97CD2"/>
    <w:rsid w:val="00EA050A"/>
    <w:rsid w:val="00EA0754"/>
    <w:rsid w:val="00EA0BAB"/>
    <w:rsid w:val="00EA0F2F"/>
    <w:rsid w:val="00EA11F0"/>
    <w:rsid w:val="00EA1C37"/>
    <w:rsid w:val="00EA1F5A"/>
    <w:rsid w:val="00EA2AFF"/>
    <w:rsid w:val="00EA3FEF"/>
    <w:rsid w:val="00EA4108"/>
    <w:rsid w:val="00EA419C"/>
    <w:rsid w:val="00EA45F4"/>
    <w:rsid w:val="00EA4F4F"/>
    <w:rsid w:val="00EA56D1"/>
    <w:rsid w:val="00EA6388"/>
    <w:rsid w:val="00EA7544"/>
    <w:rsid w:val="00EB0EE6"/>
    <w:rsid w:val="00EB154B"/>
    <w:rsid w:val="00EB1DBE"/>
    <w:rsid w:val="00EB1EEE"/>
    <w:rsid w:val="00EB5013"/>
    <w:rsid w:val="00EB53AD"/>
    <w:rsid w:val="00EB5804"/>
    <w:rsid w:val="00EB5C9A"/>
    <w:rsid w:val="00EB6224"/>
    <w:rsid w:val="00EB62C2"/>
    <w:rsid w:val="00EB6DEA"/>
    <w:rsid w:val="00EB6E04"/>
    <w:rsid w:val="00EB6FC2"/>
    <w:rsid w:val="00EC0AAB"/>
    <w:rsid w:val="00EC0B74"/>
    <w:rsid w:val="00EC153B"/>
    <w:rsid w:val="00EC19AE"/>
    <w:rsid w:val="00EC1EA0"/>
    <w:rsid w:val="00EC2E9B"/>
    <w:rsid w:val="00EC3017"/>
    <w:rsid w:val="00EC38B2"/>
    <w:rsid w:val="00EC4E70"/>
    <w:rsid w:val="00EC5046"/>
    <w:rsid w:val="00EC53E0"/>
    <w:rsid w:val="00EC5513"/>
    <w:rsid w:val="00EC57C6"/>
    <w:rsid w:val="00EC5FA2"/>
    <w:rsid w:val="00EC7AB4"/>
    <w:rsid w:val="00EC7E81"/>
    <w:rsid w:val="00ED048B"/>
    <w:rsid w:val="00ED1379"/>
    <w:rsid w:val="00ED1956"/>
    <w:rsid w:val="00ED1D0F"/>
    <w:rsid w:val="00ED1D99"/>
    <w:rsid w:val="00ED20CB"/>
    <w:rsid w:val="00ED4629"/>
    <w:rsid w:val="00ED52BC"/>
    <w:rsid w:val="00ED55F7"/>
    <w:rsid w:val="00ED66A4"/>
    <w:rsid w:val="00ED6B13"/>
    <w:rsid w:val="00ED6D84"/>
    <w:rsid w:val="00ED78AD"/>
    <w:rsid w:val="00ED7C8E"/>
    <w:rsid w:val="00ED7F35"/>
    <w:rsid w:val="00EE079A"/>
    <w:rsid w:val="00EE0B9D"/>
    <w:rsid w:val="00EE2205"/>
    <w:rsid w:val="00EE2BDA"/>
    <w:rsid w:val="00EE2BEA"/>
    <w:rsid w:val="00EE2CD5"/>
    <w:rsid w:val="00EE34F2"/>
    <w:rsid w:val="00EE5691"/>
    <w:rsid w:val="00EE63B4"/>
    <w:rsid w:val="00EE690D"/>
    <w:rsid w:val="00EE6F6C"/>
    <w:rsid w:val="00EF03E6"/>
    <w:rsid w:val="00EF0C0C"/>
    <w:rsid w:val="00EF0DA4"/>
    <w:rsid w:val="00EF36D2"/>
    <w:rsid w:val="00EF3F40"/>
    <w:rsid w:val="00EF451F"/>
    <w:rsid w:val="00EF6FD5"/>
    <w:rsid w:val="00F004BA"/>
    <w:rsid w:val="00F006CF"/>
    <w:rsid w:val="00F00A38"/>
    <w:rsid w:val="00F015E6"/>
    <w:rsid w:val="00F02E37"/>
    <w:rsid w:val="00F0322C"/>
    <w:rsid w:val="00F04C31"/>
    <w:rsid w:val="00F052D1"/>
    <w:rsid w:val="00F1041F"/>
    <w:rsid w:val="00F1062E"/>
    <w:rsid w:val="00F11185"/>
    <w:rsid w:val="00F114E6"/>
    <w:rsid w:val="00F117D1"/>
    <w:rsid w:val="00F12EA3"/>
    <w:rsid w:val="00F1455C"/>
    <w:rsid w:val="00F14A2E"/>
    <w:rsid w:val="00F14A91"/>
    <w:rsid w:val="00F14B07"/>
    <w:rsid w:val="00F163FF"/>
    <w:rsid w:val="00F176BA"/>
    <w:rsid w:val="00F177C6"/>
    <w:rsid w:val="00F17B2E"/>
    <w:rsid w:val="00F20C33"/>
    <w:rsid w:val="00F215C7"/>
    <w:rsid w:val="00F217D5"/>
    <w:rsid w:val="00F219A4"/>
    <w:rsid w:val="00F2228C"/>
    <w:rsid w:val="00F22648"/>
    <w:rsid w:val="00F23247"/>
    <w:rsid w:val="00F249CD"/>
    <w:rsid w:val="00F24D8C"/>
    <w:rsid w:val="00F2521E"/>
    <w:rsid w:val="00F25413"/>
    <w:rsid w:val="00F26B14"/>
    <w:rsid w:val="00F26CE4"/>
    <w:rsid w:val="00F271B3"/>
    <w:rsid w:val="00F30076"/>
    <w:rsid w:val="00F30E8D"/>
    <w:rsid w:val="00F315FD"/>
    <w:rsid w:val="00F325B9"/>
    <w:rsid w:val="00F32D09"/>
    <w:rsid w:val="00F33ABB"/>
    <w:rsid w:val="00F34382"/>
    <w:rsid w:val="00F348D2"/>
    <w:rsid w:val="00F356CE"/>
    <w:rsid w:val="00F358AF"/>
    <w:rsid w:val="00F36287"/>
    <w:rsid w:val="00F372AF"/>
    <w:rsid w:val="00F37BEE"/>
    <w:rsid w:val="00F41508"/>
    <w:rsid w:val="00F423F0"/>
    <w:rsid w:val="00F42FE9"/>
    <w:rsid w:val="00F4393C"/>
    <w:rsid w:val="00F45359"/>
    <w:rsid w:val="00F45413"/>
    <w:rsid w:val="00F46113"/>
    <w:rsid w:val="00F463F5"/>
    <w:rsid w:val="00F47628"/>
    <w:rsid w:val="00F47A9F"/>
    <w:rsid w:val="00F47CA5"/>
    <w:rsid w:val="00F50709"/>
    <w:rsid w:val="00F5132F"/>
    <w:rsid w:val="00F519A4"/>
    <w:rsid w:val="00F52DF6"/>
    <w:rsid w:val="00F52FC6"/>
    <w:rsid w:val="00F530D8"/>
    <w:rsid w:val="00F535E7"/>
    <w:rsid w:val="00F5381F"/>
    <w:rsid w:val="00F5524C"/>
    <w:rsid w:val="00F56546"/>
    <w:rsid w:val="00F56641"/>
    <w:rsid w:val="00F56956"/>
    <w:rsid w:val="00F57838"/>
    <w:rsid w:val="00F57A08"/>
    <w:rsid w:val="00F57ED1"/>
    <w:rsid w:val="00F60315"/>
    <w:rsid w:val="00F60F37"/>
    <w:rsid w:val="00F61095"/>
    <w:rsid w:val="00F61AC4"/>
    <w:rsid w:val="00F620A2"/>
    <w:rsid w:val="00F63080"/>
    <w:rsid w:val="00F63903"/>
    <w:rsid w:val="00F63AB7"/>
    <w:rsid w:val="00F63BA7"/>
    <w:rsid w:val="00F65282"/>
    <w:rsid w:val="00F65D43"/>
    <w:rsid w:val="00F66294"/>
    <w:rsid w:val="00F66371"/>
    <w:rsid w:val="00F66830"/>
    <w:rsid w:val="00F66DFB"/>
    <w:rsid w:val="00F67634"/>
    <w:rsid w:val="00F71DF2"/>
    <w:rsid w:val="00F73854"/>
    <w:rsid w:val="00F7387F"/>
    <w:rsid w:val="00F75233"/>
    <w:rsid w:val="00F75FD2"/>
    <w:rsid w:val="00F777C7"/>
    <w:rsid w:val="00F800B6"/>
    <w:rsid w:val="00F8071F"/>
    <w:rsid w:val="00F80A11"/>
    <w:rsid w:val="00F811C6"/>
    <w:rsid w:val="00F811F8"/>
    <w:rsid w:val="00F82AF8"/>
    <w:rsid w:val="00F834C3"/>
    <w:rsid w:val="00F8411E"/>
    <w:rsid w:val="00F84B2D"/>
    <w:rsid w:val="00F84BC7"/>
    <w:rsid w:val="00F855D5"/>
    <w:rsid w:val="00F85D06"/>
    <w:rsid w:val="00F87E46"/>
    <w:rsid w:val="00F913DC"/>
    <w:rsid w:val="00F9145F"/>
    <w:rsid w:val="00F91E30"/>
    <w:rsid w:val="00F93400"/>
    <w:rsid w:val="00F93B5F"/>
    <w:rsid w:val="00F9591C"/>
    <w:rsid w:val="00FA3858"/>
    <w:rsid w:val="00FA3865"/>
    <w:rsid w:val="00FA46C8"/>
    <w:rsid w:val="00FA4E19"/>
    <w:rsid w:val="00FA610E"/>
    <w:rsid w:val="00FA641C"/>
    <w:rsid w:val="00FA67D6"/>
    <w:rsid w:val="00FA6E69"/>
    <w:rsid w:val="00FA77E4"/>
    <w:rsid w:val="00FB1578"/>
    <w:rsid w:val="00FB199D"/>
    <w:rsid w:val="00FB1C26"/>
    <w:rsid w:val="00FB1D44"/>
    <w:rsid w:val="00FB2410"/>
    <w:rsid w:val="00FB25EE"/>
    <w:rsid w:val="00FB2CD7"/>
    <w:rsid w:val="00FB2E7B"/>
    <w:rsid w:val="00FB4960"/>
    <w:rsid w:val="00FB5258"/>
    <w:rsid w:val="00FB5985"/>
    <w:rsid w:val="00FC019F"/>
    <w:rsid w:val="00FC04E6"/>
    <w:rsid w:val="00FC0624"/>
    <w:rsid w:val="00FC0B81"/>
    <w:rsid w:val="00FC0DB2"/>
    <w:rsid w:val="00FC1030"/>
    <w:rsid w:val="00FC1715"/>
    <w:rsid w:val="00FC20DD"/>
    <w:rsid w:val="00FC223C"/>
    <w:rsid w:val="00FC371D"/>
    <w:rsid w:val="00FC41EC"/>
    <w:rsid w:val="00FC4A4B"/>
    <w:rsid w:val="00FC4D06"/>
    <w:rsid w:val="00FC5515"/>
    <w:rsid w:val="00FC6275"/>
    <w:rsid w:val="00FC6D7A"/>
    <w:rsid w:val="00FC70BF"/>
    <w:rsid w:val="00FC7C03"/>
    <w:rsid w:val="00FD0193"/>
    <w:rsid w:val="00FD0FAA"/>
    <w:rsid w:val="00FD16F5"/>
    <w:rsid w:val="00FD239F"/>
    <w:rsid w:val="00FD2AE8"/>
    <w:rsid w:val="00FD380B"/>
    <w:rsid w:val="00FD3883"/>
    <w:rsid w:val="00FD38B8"/>
    <w:rsid w:val="00FD457C"/>
    <w:rsid w:val="00FD54FC"/>
    <w:rsid w:val="00FD5ABD"/>
    <w:rsid w:val="00FD6675"/>
    <w:rsid w:val="00FD6CCB"/>
    <w:rsid w:val="00FD6D27"/>
    <w:rsid w:val="00FD7524"/>
    <w:rsid w:val="00FD7960"/>
    <w:rsid w:val="00FD7CAF"/>
    <w:rsid w:val="00FD7E66"/>
    <w:rsid w:val="00FD7FB3"/>
    <w:rsid w:val="00FE052A"/>
    <w:rsid w:val="00FE219F"/>
    <w:rsid w:val="00FE21F5"/>
    <w:rsid w:val="00FE28F4"/>
    <w:rsid w:val="00FE30C1"/>
    <w:rsid w:val="00FE3BD8"/>
    <w:rsid w:val="00FE43D5"/>
    <w:rsid w:val="00FE4AE0"/>
    <w:rsid w:val="00FE4D22"/>
    <w:rsid w:val="00FE5F0E"/>
    <w:rsid w:val="00FE64C6"/>
    <w:rsid w:val="00FE6995"/>
    <w:rsid w:val="00FE69AC"/>
    <w:rsid w:val="00FE6CFB"/>
    <w:rsid w:val="00FE74CE"/>
    <w:rsid w:val="00FF0040"/>
    <w:rsid w:val="00FF1422"/>
    <w:rsid w:val="00FF15C6"/>
    <w:rsid w:val="00FF1617"/>
    <w:rsid w:val="00FF208F"/>
    <w:rsid w:val="00FF2658"/>
    <w:rsid w:val="00FF2818"/>
    <w:rsid w:val="00FF2D0E"/>
    <w:rsid w:val="00FF36A5"/>
    <w:rsid w:val="00FF3B3B"/>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15:docId w15:val="{FA6400FB-6AD4-4A30-AE61-1F1D2D07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it-IT"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it-IT"/>
    </w:rPr>
  </w:style>
  <w:style w:type="character" w:customStyle="1" w:styleId="Heading2Char">
    <w:name w:val="Heading 2 Char"/>
    <w:link w:val="Heading2"/>
    <w:uiPriority w:val="99"/>
    <w:locked/>
    <w:rsid w:val="00EC5046"/>
    <w:rPr>
      <w:rFonts w:ascii="Verdana" w:hAnsi="Verdana" w:cs="Times New Roman"/>
      <w:b/>
      <w:sz w:val="24"/>
      <w:szCs w:val="24"/>
      <w:u w:val="single"/>
      <w:lang w:val="it-IT"/>
    </w:rPr>
  </w:style>
  <w:style w:type="character" w:customStyle="1" w:styleId="Heading3Char">
    <w:name w:val="Heading 3 Char"/>
    <w:aliases w:val="Title 2 Char"/>
    <w:uiPriority w:val="99"/>
    <w:locked/>
    <w:rsid w:val="00884FEB"/>
    <w:rPr>
      <w:rFonts w:cs="Times New Roman"/>
      <w:sz w:val="24"/>
      <w:szCs w:val="24"/>
      <w:lang w:val="it-IT"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it-IT"/>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it-IT"/>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it-IT"/>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B212C5"/>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it-IT"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B212C5"/>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it-IT"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it-IT"/>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it-IT"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it-IT"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it-IT"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it-IT"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A3453C"/>
    <w:rPr>
      <w:color w:val="605E5C"/>
      <w:shd w:val="clear" w:color="auto" w:fill="E1DFDD"/>
    </w:rPr>
  </w:style>
  <w:style w:type="paragraph" w:customStyle="1" w:styleId="LegalNumPar">
    <w:name w:val="LegalNumPar"/>
    <w:basedOn w:val="Normal"/>
    <w:rsid w:val="00A92865"/>
    <w:pPr>
      <w:numPr>
        <w:numId w:val="30"/>
      </w:numPr>
      <w:spacing w:line="360" w:lineRule="auto"/>
    </w:pPr>
    <w:rPr>
      <w:sz w:val="24"/>
    </w:rPr>
  </w:style>
  <w:style w:type="paragraph" w:customStyle="1" w:styleId="LegalNumPar2">
    <w:name w:val="LegalNumPar2"/>
    <w:basedOn w:val="Normal"/>
    <w:rsid w:val="00A92865"/>
    <w:pPr>
      <w:numPr>
        <w:ilvl w:val="1"/>
        <w:numId w:val="30"/>
      </w:numPr>
      <w:spacing w:line="360" w:lineRule="auto"/>
    </w:pPr>
    <w:rPr>
      <w:sz w:val="24"/>
    </w:rPr>
  </w:style>
  <w:style w:type="paragraph" w:customStyle="1" w:styleId="LegalNumPar3">
    <w:name w:val="LegalNumPar3"/>
    <w:basedOn w:val="Normal"/>
    <w:rsid w:val="00A92865"/>
    <w:pPr>
      <w:numPr>
        <w:ilvl w:val="2"/>
        <w:numId w:val="30"/>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563683181">
      <w:bodyDiv w:val="1"/>
      <w:marLeft w:val="0"/>
      <w:marRight w:val="0"/>
      <w:marTop w:val="0"/>
      <w:marBottom w:val="0"/>
      <w:divBdr>
        <w:top w:val="none" w:sz="0" w:space="0" w:color="auto"/>
        <w:left w:val="none" w:sz="0" w:space="0" w:color="auto"/>
        <w:bottom w:val="none" w:sz="0" w:space="0" w:color="auto"/>
        <w:right w:val="none" w:sz="0" w:space="0" w:color="auto"/>
      </w:divBdr>
      <w:divsChild>
        <w:div w:id="392656648">
          <w:marLeft w:val="0"/>
          <w:marRight w:val="0"/>
          <w:marTop w:val="0"/>
          <w:marBottom w:val="0"/>
          <w:divBdr>
            <w:top w:val="none" w:sz="0" w:space="0" w:color="auto"/>
            <w:left w:val="none" w:sz="0" w:space="0" w:color="auto"/>
            <w:bottom w:val="none" w:sz="0" w:space="0" w:color="auto"/>
            <w:right w:val="none" w:sz="0" w:space="0" w:color="auto"/>
          </w:divBdr>
          <w:divsChild>
            <w:div w:id="19446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18991263">
      <w:bodyDiv w:val="1"/>
      <w:marLeft w:val="0"/>
      <w:marRight w:val="0"/>
      <w:marTop w:val="0"/>
      <w:marBottom w:val="0"/>
      <w:divBdr>
        <w:top w:val="none" w:sz="0" w:space="0" w:color="auto"/>
        <w:left w:val="none" w:sz="0" w:space="0" w:color="auto"/>
        <w:bottom w:val="none" w:sz="0" w:space="0" w:color="auto"/>
        <w:right w:val="none" w:sz="0" w:space="0" w:color="auto"/>
      </w:divBdr>
      <w:divsChild>
        <w:div w:id="1222013779">
          <w:marLeft w:val="0"/>
          <w:marRight w:val="0"/>
          <w:marTop w:val="0"/>
          <w:marBottom w:val="0"/>
          <w:divBdr>
            <w:top w:val="none" w:sz="0" w:space="0" w:color="auto"/>
            <w:left w:val="none" w:sz="0" w:space="0" w:color="auto"/>
            <w:bottom w:val="none" w:sz="0" w:space="0" w:color="auto"/>
            <w:right w:val="none" w:sz="0" w:space="0" w:color="auto"/>
          </w:divBdr>
          <w:divsChild>
            <w:div w:id="126904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358239719">
      <w:bodyDiv w:val="1"/>
      <w:marLeft w:val="0"/>
      <w:marRight w:val="0"/>
      <w:marTop w:val="0"/>
      <w:marBottom w:val="0"/>
      <w:divBdr>
        <w:top w:val="none" w:sz="0" w:space="0" w:color="auto"/>
        <w:left w:val="none" w:sz="0" w:space="0" w:color="auto"/>
        <w:bottom w:val="none" w:sz="0" w:space="0" w:color="auto"/>
        <w:right w:val="none" w:sz="0" w:space="0" w:color="auto"/>
      </w:divBdr>
      <w:divsChild>
        <w:div w:id="830485595">
          <w:marLeft w:val="0"/>
          <w:marRight w:val="0"/>
          <w:marTop w:val="0"/>
          <w:marBottom w:val="0"/>
          <w:divBdr>
            <w:top w:val="none" w:sz="0" w:space="0" w:color="auto"/>
            <w:left w:val="none" w:sz="0" w:space="0" w:color="auto"/>
            <w:bottom w:val="none" w:sz="0" w:space="0" w:color="auto"/>
            <w:right w:val="none" w:sz="0" w:space="0" w:color="auto"/>
          </w:divBdr>
          <w:divsChild>
            <w:div w:id="11159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75DD7EF5-F4B4-4298-BB10-9571695752A2}">
  <ds:schemaRefs>
    <ds:schemaRef ds:uri="http://schemas.microsoft.com/sharepoint/v3/contenttype/forms"/>
  </ds:schemaRefs>
</ds:datastoreItem>
</file>

<file path=customXml/itemProps2.xml><?xml version="1.0" encoding="utf-8"?>
<ds:datastoreItem xmlns:ds="http://schemas.openxmlformats.org/officeDocument/2006/customXml" ds:itemID="{A9C7FCEC-B9F8-4143-9AC6-DB4208C0D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F78C3AAD-8455-486E-BE4D-E17672BF9E69}">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127</TotalTime>
  <Pages>24</Pages>
  <Words>7355</Words>
  <Characters>43588</Characters>
  <Application>Microsoft Office Word</Application>
  <DocSecurity>0</DocSecurity>
  <Lines>1178</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 Gheorghe-Cristian (FISMA)</dc:creator>
  <cp:keywords/>
  <cp:lastModifiedBy>PAUN Irina (DGT)</cp:lastModifiedBy>
  <cp:revision>12</cp:revision>
  <dcterms:created xsi:type="dcterms:W3CDTF">2025-10-06T12:40:00Z</dcterms:created>
  <dcterms:modified xsi:type="dcterms:W3CDTF">2025-10-09T15:35:00Z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11,12,13,14,15,16</vt:lpwstr>
  </property>
  <property fmtid="{D5CDD505-2E9C-101B-9397-08002B2CF9AE}" pid="3" name="ClassificationContentMarkingHeaderFontProps">
    <vt:lpwstr>#000000,12,Calibri</vt:lpwstr>
  </property>
  <property fmtid="{D5CDD505-2E9C-101B-9397-08002B2CF9AE}" pid="4" name="ClassificationContentMarkingHeaderText">
    <vt:lpwstr>EBA Regular Use</vt:lpwstr>
  </property>
  <property fmtid="{D5CDD505-2E9C-101B-9397-08002B2CF9AE}" pid="5" name="MSIP_Label_5c7eb9de-735b-4a68-8fe4-c9c62709b012_Enabled">
    <vt:lpwstr>true</vt:lpwstr>
  </property>
  <property fmtid="{D5CDD505-2E9C-101B-9397-08002B2CF9AE}" pid="6" name="MSIP_Label_5c7eb9de-735b-4a68-8fe4-c9c62709b012_SetDate">
    <vt:lpwstr>2022-02-23T15:37:29Z</vt:lpwstr>
  </property>
  <property fmtid="{D5CDD505-2E9C-101B-9397-08002B2CF9AE}" pid="7" name="MSIP_Label_5c7eb9de-735b-4a68-8fe4-c9c62709b012_Method">
    <vt:lpwstr>Standard</vt:lpwstr>
  </property>
  <property fmtid="{D5CDD505-2E9C-101B-9397-08002B2CF9AE}" pid="8" name="MSIP_Label_5c7eb9de-735b-4a68-8fe4-c9c62709b012_Name">
    <vt:lpwstr>EBA Regular Use</vt:lpwstr>
  </property>
  <property fmtid="{D5CDD505-2E9C-101B-9397-08002B2CF9AE}" pid="9" name="MSIP_Label_5c7eb9de-735b-4a68-8fe4-c9c62709b012_SiteId">
    <vt:lpwstr>3bacb4ff-f1a2-4c92-b96c-e99fec826b68</vt:lpwstr>
  </property>
  <property fmtid="{D5CDD505-2E9C-101B-9397-08002B2CF9AE}" pid="10" name="MSIP_Label_5c7eb9de-735b-4a68-8fe4-c9c62709b012_ActionId">
    <vt:lpwstr>c0e9743e-53b1-40b4-9ccb-01bae716cb10</vt:lpwstr>
  </property>
  <property fmtid="{D5CDD505-2E9C-101B-9397-08002B2CF9AE}" pid="11" name="MSIP_Label_5c7eb9de-735b-4a68-8fe4-c9c62709b012_ContentBits">
    <vt:lpwstr>1</vt:lpwstr>
  </property>
  <property fmtid="{D5CDD505-2E9C-101B-9397-08002B2CF9AE}" pid="12" name="MSIP_Label_6bd9ddd1-4d20-43f6-abfa-fc3c07406f94_Enabled">
    <vt:lpwstr>true</vt:lpwstr>
  </property>
  <property fmtid="{D5CDD505-2E9C-101B-9397-08002B2CF9AE}" pid="13" name="MSIP_Label_6bd9ddd1-4d20-43f6-abfa-fc3c07406f94_SetDate">
    <vt:lpwstr>2025-06-27T15:01:33Z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9200d526-cd81-4958-bd82-a146b1debf77</vt:lpwstr>
  </property>
  <property fmtid="{D5CDD505-2E9C-101B-9397-08002B2CF9AE}" pid="18" name="MSIP_Label_6bd9ddd1-4d20-43f6-abfa-fc3c07406f94_ContentBits">
    <vt:lpwstr>0</vt:lpwstr>
  </property>
  <property fmtid="{D5CDD505-2E9C-101B-9397-08002B2CF9AE}" pid="19" name="ContentTypeId">
    <vt:lpwstr>0x010100BAD999D84E12C74482EA5120F5227F6F00217DECAAC21D6B43958DFE68658C192E</vt:lpwstr>
  </property>
  <property fmtid="{D5CDD505-2E9C-101B-9397-08002B2CF9AE}" pid="20" name="MediaServiceImageTags">
    <vt:lpwstr/>
  </property>
</Properties>
</file>