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696301" w:rsidRDefault="009E7D0C" w:rsidP="0076375E">
      <w:pPr>
        <w:jc w:val="center"/>
        <w:rPr>
          <w:rFonts w:ascii="Times New Roman" w:hAnsi="Times New Roman"/>
          <w:sz w:val="24"/>
        </w:rPr>
      </w:pPr>
      <w:bookmarkStart w:id="0" w:name="_Toc262568021"/>
      <w:bookmarkStart w:id="1" w:name="_Toc295829847"/>
      <w:r>
        <w:rPr>
          <w:rFonts w:ascii="Times New Roman" w:hAnsi="Times New Roman"/>
          <w:sz w:val="24"/>
        </w:rPr>
        <w:t>HU</w:t>
      </w:r>
    </w:p>
    <w:p w14:paraId="24333E7A" w14:textId="068FF302" w:rsidR="008D696E" w:rsidRDefault="008D696E" w:rsidP="00A33695">
      <w:pPr>
        <w:jc w:val="center"/>
        <w:rPr>
          <w:rFonts w:ascii="Times New Roman" w:hAnsi="Times New Roman"/>
          <w:sz w:val="24"/>
        </w:rPr>
      </w:pPr>
      <w:r>
        <w:rPr>
          <w:rFonts w:ascii="Times New Roman" w:hAnsi="Times New Roman"/>
          <w:sz w:val="24"/>
        </w:rPr>
        <w:t>II. MELLÉKLET</w:t>
      </w:r>
    </w:p>
    <w:p w14:paraId="37362007" w14:textId="08E6D03A" w:rsidR="002648B0" w:rsidRPr="00696301" w:rsidRDefault="008D696E" w:rsidP="00A33695">
      <w:pPr>
        <w:jc w:val="center"/>
        <w:rPr>
          <w:rFonts w:ascii="Times New Roman" w:hAnsi="Times New Roman"/>
          <w:sz w:val="24"/>
        </w:rPr>
      </w:pPr>
      <w:r>
        <w:rPr>
          <w:rFonts w:ascii="Times New Roman" w:hAnsi="Times New Roman"/>
          <w:sz w:val="24"/>
        </w:rPr>
        <w:t xml:space="preserve">„XI. MELLÉKLET </w:t>
      </w:r>
    </w:p>
    <w:p w14:paraId="2C40683C" w14:textId="26F597FA" w:rsidR="00436204" w:rsidRPr="00696301" w:rsidRDefault="00D11E4C" w:rsidP="004E7DCF">
      <w:pPr>
        <w:jc w:val="center"/>
        <w:rPr>
          <w:rFonts w:ascii="Times New Roman" w:hAnsi="Times New Roman"/>
          <w:b/>
          <w:sz w:val="24"/>
        </w:rPr>
      </w:pPr>
      <w:r>
        <w:rPr>
          <w:rFonts w:ascii="Times New Roman" w:hAnsi="Times New Roman"/>
          <w:b/>
          <w:sz w:val="24"/>
        </w:rPr>
        <w:t>ÚTMUTATÓ A K-NPR ALAPJÁN SZÁMÍTOTT RtM K-FAKTOR KÖVETELMÉNYRE VONATKOZÓ ADATSZOLGÁLTATÁSHOZ</w:t>
      </w:r>
    </w:p>
    <w:p w14:paraId="3DEB94EC" w14:textId="77777777" w:rsidR="00783881" w:rsidRPr="00696301" w:rsidRDefault="002648B0" w:rsidP="00487A02">
      <w:pPr>
        <w:pStyle w:val="InstructionsText"/>
      </w:pPr>
      <w:r>
        <w:t>Tartalomjegyzék</w:t>
      </w:r>
    </w:p>
    <w:p w14:paraId="0D1BE542" w14:textId="7F59D7C1" w:rsidR="00392F86" w:rsidRDefault="00745369">
      <w:pPr>
        <w:pStyle w:val="TOC2"/>
        <w:rPr>
          <w:rFonts w:asciiTheme="minorHAnsi" w:eastAsiaTheme="minorEastAsia" w:hAnsiTheme="minorHAnsi" w:cstheme="minorBidi"/>
          <w:b w:val="0"/>
          <w:smallCaps w:val="0"/>
          <w:kern w:val="2"/>
          <w:sz w:val="24"/>
          <w:szCs w:val="24"/>
          <w:lang w:val="de-DE" w:eastAsia="de-DE"/>
          <w14:ligatures w14:val="standardContextual"/>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210833233" w:history="1">
        <w:r w:rsidR="00392F86" w:rsidRPr="00A84505">
          <w:rPr>
            <w:rStyle w:val="Hyperlink"/>
            <w:rFonts w:ascii="Times New Roman" w:hAnsi="Times New Roman"/>
          </w:rPr>
          <w:t>I. RÉSZ: ÁLTALÁNOS ÚTMUTATÓ</w:t>
        </w:r>
        <w:r w:rsidR="00392F86">
          <w:rPr>
            <w:webHidden/>
          </w:rPr>
          <w:tab/>
        </w:r>
        <w:r w:rsidR="00392F86">
          <w:rPr>
            <w:webHidden/>
          </w:rPr>
          <w:fldChar w:fldCharType="begin"/>
        </w:r>
        <w:r w:rsidR="00392F86">
          <w:rPr>
            <w:webHidden/>
          </w:rPr>
          <w:instrText xml:space="preserve"> PAGEREF _Toc210833233 \h </w:instrText>
        </w:r>
        <w:r w:rsidR="00392F86">
          <w:rPr>
            <w:webHidden/>
          </w:rPr>
        </w:r>
        <w:r w:rsidR="00392F86">
          <w:rPr>
            <w:webHidden/>
          </w:rPr>
          <w:fldChar w:fldCharType="separate"/>
        </w:r>
        <w:r w:rsidR="00392F86">
          <w:rPr>
            <w:webHidden/>
          </w:rPr>
          <w:t>2</w:t>
        </w:r>
        <w:r w:rsidR="00392F86">
          <w:rPr>
            <w:webHidden/>
          </w:rPr>
          <w:fldChar w:fldCharType="end"/>
        </w:r>
      </w:hyperlink>
    </w:p>
    <w:p w14:paraId="0236C1F0" w14:textId="3157746C"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34" w:history="1">
        <w:r w:rsidRPr="00A84505">
          <w:rPr>
            <w:rStyle w:val="Hyperlink"/>
            <w:rFonts w:ascii="Times New Roman" w:hAnsi="Times New Roman"/>
          </w:rPr>
          <w:t>1.</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SZABÁLYOK</w:t>
        </w:r>
        <w:r>
          <w:rPr>
            <w:webHidden/>
          </w:rPr>
          <w:tab/>
        </w:r>
        <w:r>
          <w:rPr>
            <w:webHidden/>
          </w:rPr>
          <w:fldChar w:fldCharType="begin"/>
        </w:r>
        <w:r>
          <w:rPr>
            <w:webHidden/>
          </w:rPr>
          <w:instrText xml:space="preserve"> PAGEREF _Toc210833234 \h </w:instrText>
        </w:r>
        <w:r>
          <w:rPr>
            <w:webHidden/>
          </w:rPr>
        </w:r>
        <w:r>
          <w:rPr>
            <w:webHidden/>
          </w:rPr>
          <w:fldChar w:fldCharType="separate"/>
        </w:r>
        <w:r>
          <w:rPr>
            <w:webHidden/>
          </w:rPr>
          <w:t>2</w:t>
        </w:r>
        <w:r>
          <w:rPr>
            <w:webHidden/>
          </w:rPr>
          <w:fldChar w:fldCharType="end"/>
        </w:r>
      </w:hyperlink>
    </w:p>
    <w:p w14:paraId="09BAC711" w14:textId="3E6E424A"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35" w:history="1">
        <w:r w:rsidRPr="00A84505">
          <w:rPr>
            <w:rStyle w:val="Hyperlink"/>
            <w:rFonts w:ascii="Times New Roman" w:hAnsi="Times New Roman"/>
          </w:rPr>
          <w:t>1.1.</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Számozási szabályok</w:t>
        </w:r>
        <w:r>
          <w:rPr>
            <w:webHidden/>
          </w:rPr>
          <w:tab/>
        </w:r>
        <w:r>
          <w:rPr>
            <w:webHidden/>
          </w:rPr>
          <w:fldChar w:fldCharType="begin"/>
        </w:r>
        <w:r>
          <w:rPr>
            <w:webHidden/>
          </w:rPr>
          <w:instrText xml:space="preserve"> PAGEREF _Toc210833235 \h </w:instrText>
        </w:r>
        <w:r>
          <w:rPr>
            <w:webHidden/>
          </w:rPr>
        </w:r>
        <w:r>
          <w:rPr>
            <w:webHidden/>
          </w:rPr>
          <w:fldChar w:fldCharType="separate"/>
        </w:r>
        <w:r>
          <w:rPr>
            <w:webHidden/>
          </w:rPr>
          <w:t>2</w:t>
        </w:r>
        <w:r>
          <w:rPr>
            <w:webHidden/>
          </w:rPr>
          <w:fldChar w:fldCharType="end"/>
        </w:r>
      </w:hyperlink>
    </w:p>
    <w:p w14:paraId="5D739777" w14:textId="03B38904"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36" w:history="1">
        <w:r w:rsidRPr="00A84505">
          <w:rPr>
            <w:rStyle w:val="Hyperlink"/>
            <w:rFonts w:ascii="Times New Roman" w:hAnsi="Times New Roman"/>
          </w:rPr>
          <w:t>1.2.</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Előjelre vonatkozó szabályok</w:t>
        </w:r>
        <w:r>
          <w:rPr>
            <w:webHidden/>
          </w:rPr>
          <w:tab/>
        </w:r>
        <w:r>
          <w:rPr>
            <w:webHidden/>
          </w:rPr>
          <w:fldChar w:fldCharType="begin"/>
        </w:r>
        <w:r>
          <w:rPr>
            <w:webHidden/>
          </w:rPr>
          <w:instrText xml:space="preserve"> PAGEREF _Toc210833236 \h </w:instrText>
        </w:r>
        <w:r>
          <w:rPr>
            <w:webHidden/>
          </w:rPr>
        </w:r>
        <w:r>
          <w:rPr>
            <w:webHidden/>
          </w:rPr>
          <w:fldChar w:fldCharType="separate"/>
        </w:r>
        <w:r>
          <w:rPr>
            <w:webHidden/>
          </w:rPr>
          <w:t>2</w:t>
        </w:r>
        <w:r>
          <w:rPr>
            <w:webHidden/>
          </w:rPr>
          <w:fldChar w:fldCharType="end"/>
        </w:r>
      </w:hyperlink>
    </w:p>
    <w:p w14:paraId="36869B38" w14:textId="1FF03510"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37" w:history="1">
        <w:r w:rsidRPr="00A84505">
          <w:rPr>
            <w:rStyle w:val="Hyperlink"/>
            <w:rFonts w:ascii="Times New Roman" w:hAnsi="Times New Roman"/>
          </w:rPr>
          <w:t>1.3.</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Hivatkozások az 575/2013/EU rendeletre</w:t>
        </w:r>
        <w:r>
          <w:rPr>
            <w:webHidden/>
          </w:rPr>
          <w:tab/>
        </w:r>
        <w:r>
          <w:rPr>
            <w:webHidden/>
          </w:rPr>
          <w:fldChar w:fldCharType="begin"/>
        </w:r>
        <w:r>
          <w:rPr>
            <w:webHidden/>
          </w:rPr>
          <w:instrText xml:space="preserve"> PAGEREF _Toc210833237 \h </w:instrText>
        </w:r>
        <w:r>
          <w:rPr>
            <w:webHidden/>
          </w:rPr>
        </w:r>
        <w:r>
          <w:rPr>
            <w:webHidden/>
          </w:rPr>
          <w:fldChar w:fldCharType="separate"/>
        </w:r>
        <w:r>
          <w:rPr>
            <w:webHidden/>
          </w:rPr>
          <w:t>2</w:t>
        </w:r>
        <w:r>
          <w:rPr>
            <w:webHidden/>
          </w:rPr>
          <w:fldChar w:fldCharType="end"/>
        </w:r>
      </w:hyperlink>
    </w:p>
    <w:p w14:paraId="64FD8C95" w14:textId="0E51A593"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38" w:history="1">
        <w:r w:rsidRPr="00A84505">
          <w:rPr>
            <w:rStyle w:val="Hyperlink"/>
            <w:rFonts w:ascii="Times New Roman" w:hAnsi="Times New Roman"/>
          </w:rPr>
          <w:t>II. RÉSZ: TÁBLASPECIFIKUS ÚTMUTATÓ PIACI KOCKÁZATI TÁBLACSOPORT</w:t>
        </w:r>
        <w:r>
          <w:rPr>
            <w:webHidden/>
          </w:rPr>
          <w:tab/>
        </w:r>
        <w:r>
          <w:rPr>
            <w:webHidden/>
          </w:rPr>
          <w:fldChar w:fldCharType="begin"/>
        </w:r>
        <w:r>
          <w:rPr>
            <w:webHidden/>
          </w:rPr>
          <w:instrText xml:space="preserve"> PAGEREF _Toc210833238 \h </w:instrText>
        </w:r>
        <w:r>
          <w:rPr>
            <w:webHidden/>
          </w:rPr>
        </w:r>
        <w:r>
          <w:rPr>
            <w:webHidden/>
          </w:rPr>
          <w:fldChar w:fldCharType="separate"/>
        </w:r>
        <w:r>
          <w:rPr>
            <w:webHidden/>
          </w:rPr>
          <w:t>3</w:t>
        </w:r>
        <w:r>
          <w:rPr>
            <w:webHidden/>
          </w:rPr>
          <w:fldChar w:fldCharType="end"/>
        </w:r>
      </w:hyperlink>
    </w:p>
    <w:p w14:paraId="6E0716C7" w14:textId="20145D8B"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39" w:history="1">
        <w:r w:rsidRPr="00A84505">
          <w:rPr>
            <w:rStyle w:val="Hyperlink"/>
            <w:rFonts w:ascii="Times New Roman" w:hAnsi="Times New Roman"/>
          </w:rPr>
          <w:t>1.</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Általános megjegyzések</w:t>
        </w:r>
        <w:r>
          <w:rPr>
            <w:webHidden/>
          </w:rPr>
          <w:tab/>
        </w:r>
        <w:r>
          <w:rPr>
            <w:webHidden/>
          </w:rPr>
          <w:fldChar w:fldCharType="begin"/>
        </w:r>
        <w:r>
          <w:rPr>
            <w:webHidden/>
          </w:rPr>
          <w:instrText xml:space="preserve"> PAGEREF _Toc210833239 \h </w:instrText>
        </w:r>
        <w:r>
          <w:rPr>
            <w:webHidden/>
          </w:rPr>
        </w:r>
        <w:r>
          <w:rPr>
            <w:webHidden/>
          </w:rPr>
          <w:fldChar w:fldCharType="separate"/>
        </w:r>
        <w:r>
          <w:rPr>
            <w:webHidden/>
          </w:rPr>
          <w:t>3</w:t>
        </w:r>
        <w:r>
          <w:rPr>
            <w:webHidden/>
          </w:rPr>
          <w:fldChar w:fldCharType="end"/>
        </w:r>
      </w:hyperlink>
    </w:p>
    <w:p w14:paraId="2101CAA7" w14:textId="61DD7FC7"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40" w:history="1">
        <w:r w:rsidRPr="00A84505">
          <w:rPr>
            <w:rStyle w:val="Hyperlink"/>
            <w:rFonts w:ascii="Times New Roman" w:hAnsi="Times New Roman"/>
          </w:rPr>
          <w:t>2.</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C 18.00 – Piaci kockázat: A kereskedett, hitelviszonyt megtestesítő értékpapírok pozíciókockázatának sztenderd módszere (MKR SA TDI)</w:t>
        </w:r>
        <w:r>
          <w:rPr>
            <w:webHidden/>
          </w:rPr>
          <w:tab/>
        </w:r>
        <w:r>
          <w:rPr>
            <w:webHidden/>
          </w:rPr>
          <w:fldChar w:fldCharType="begin"/>
        </w:r>
        <w:r>
          <w:rPr>
            <w:webHidden/>
          </w:rPr>
          <w:instrText xml:space="preserve"> PAGEREF _Toc210833240 \h </w:instrText>
        </w:r>
        <w:r>
          <w:rPr>
            <w:webHidden/>
          </w:rPr>
        </w:r>
        <w:r>
          <w:rPr>
            <w:webHidden/>
          </w:rPr>
          <w:fldChar w:fldCharType="separate"/>
        </w:r>
        <w:r>
          <w:rPr>
            <w:webHidden/>
          </w:rPr>
          <w:t>3</w:t>
        </w:r>
        <w:r>
          <w:rPr>
            <w:webHidden/>
          </w:rPr>
          <w:fldChar w:fldCharType="end"/>
        </w:r>
      </w:hyperlink>
    </w:p>
    <w:p w14:paraId="5CC833F8" w14:textId="797E4F7B"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41" w:history="1">
        <w:r w:rsidRPr="00A84505">
          <w:rPr>
            <w:rStyle w:val="Hyperlink"/>
            <w:rFonts w:ascii="Times New Roman" w:hAnsi="Times New Roman"/>
          </w:rPr>
          <w:t>2.1.</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Általános megjegyzések</w:t>
        </w:r>
        <w:r>
          <w:rPr>
            <w:webHidden/>
          </w:rPr>
          <w:tab/>
        </w:r>
        <w:r>
          <w:rPr>
            <w:webHidden/>
          </w:rPr>
          <w:fldChar w:fldCharType="begin"/>
        </w:r>
        <w:r>
          <w:rPr>
            <w:webHidden/>
          </w:rPr>
          <w:instrText xml:space="preserve"> PAGEREF _Toc210833241 \h </w:instrText>
        </w:r>
        <w:r>
          <w:rPr>
            <w:webHidden/>
          </w:rPr>
        </w:r>
        <w:r>
          <w:rPr>
            <w:webHidden/>
          </w:rPr>
          <w:fldChar w:fldCharType="separate"/>
        </w:r>
        <w:r>
          <w:rPr>
            <w:webHidden/>
          </w:rPr>
          <w:t>3</w:t>
        </w:r>
        <w:r>
          <w:rPr>
            <w:webHidden/>
          </w:rPr>
          <w:fldChar w:fldCharType="end"/>
        </w:r>
      </w:hyperlink>
    </w:p>
    <w:p w14:paraId="077E9FFE" w14:textId="24BE7E6F"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42" w:history="1">
        <w:r w:rsidRPr="00A84505">
          <w:rPr>
            <w:rStyle w:val="Hyperlink"/>
            <w:rFonts w:ascii="Times New Roman" w:hAnsi="Times New Roman"/>
          </w:rPr>
          <w:t>2.2.</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A tábla egyes részeire vonatkozó útmutató</w:t>
        </w:r>
        <w:r>
          <w:rPr>
            <w:webHidden/>
          </w:rPr>
          <w:tab/>
        </w:r>
        <w:r>
          <w:rPr>
            <w:webHidden/>
          </w:rPr>
          <w:fldChar w:fldCharType="begin"/>
        </w:r>
        <w:r>
          <w:rPr>
            <w:webHidden/>
          </w:rPr>
          <w:instrText xml:space="preserve"> PAGEREF _Toc210833242 \h </w:instrText>
        </w:r>
        <w:r>
          <w:rPr>
            <w:webHidden/>
          </w:rPr>
        </w:r>
        <w:r>
          <w:rPr>
            <w:webHidden/>
          </w:rPr>
          <w:fldChar w:fldCharType="separate"/>
        </w:r>
        <w:r>
          <w:rPr>
            <w:webHidden/>
          </w:rPr>
          <w:t>4</w:t>
        </w:r>
        <w:r>
          <w:rPr>
            <w:webHidden/>
          </w:rPr>
          <w:fldChar w:fldCharType="end"/>
        </w:r>
      </w:hyperlink>
    </w:p>
    <w:p w14:paraId="1FCC8028" w14:textId="1F58E983"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43" w:history="1">
        <w:r w:rsidRPr="00A84505">
          <w:rPr>
            <w:rStyle w:val="Hyperlink"/>
            <w:rFonts w:ascii="Times New Roman" w:hAnsi="Times New Roman"/>
          </w:rPr>
          <w:t>3.</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C 19.00 – PIACI KOCKÁZAT: AZ ÉRTÉKPAPÍROSÍTÁSOK EGYEDI KOCKÁZATÁNAK SZTENDERD MÓDSZERE (MKR SA SEC)</w:t>
        </w:r>
        <w:r>
          <w:rPr>
            <w:webHidden/>
          </w:rPr>
          <w:tab/>
        </w:r>
        <w:r>
          <w:rPr>
            <w:webHidden/>
          </w:rPr>
          <w:fldChar w:fldCharType="begin"/>
        </w:r>
        <w:r>
          <w:rPr>
            <w:webHidden/>
          </w:rPr>
          <w:instrText xml:space="preserve"> PAGEREF _Toc210833243 \h </w:instrText>
        </w:r>
        <w:r>
          <w:rPr>
            <w:webHidden/>
          </w:rPr>
        </w:r>
        <w:r>
          <w:rPr>
            <w:webHidden/>
          </w:rPr>
          <w:fldChar w:fldCharType="separate"/>
        </w:r>
        <w:r>
          <w:rPr>
            <w:webHidden/>
          </w:rPr>
          <w:t>6</w:t>
        </w:r>
        <w:r>
          <w:rPr>
            <w:webHidden/>
          </w:rPr>
          <w:fldChar w:fldCharType="end"/>
        </w:r>
      </w:hyperlink>
    </w:p>
    <w:p w14:paraId="035D50CE" w14:textId="402B7A89"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44" w:history="1">
        <w:r w:rsidRPr="00A84505">
          <w:rPr>
            <w:rStyle w:val="Hyperlink"/>
            <w:rFonts w:ascii="Times New Roman" w:hAnsi="Times New Roman"/>
          </w:rPr>
          <w:t>3.1.</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Általános megjegyzések</w:t>
        </w:r>
        <w:r>
          <w:rPr>
            <w:webHidden/>
          </w:rPr>
          <w:tab/>
        </w:r>
        <w:r>
          <w:rPr>
            <w:webHidden/>
          </w:rPr>
          <w:fldChar w:fldCharType="begin"/>
        </w:r>
        <w:r>
          <w:rPr>
            <w:webHidden/>
          </w:rPr>
          <w:instrText xml:space="preserve"> PAGEREF _Toc210833244 \h </w:instrText>
        </w:r>
        <w:r>
          <w:rPr>
            <w:webHidden/>
          </w:rPr>
        </w:r>
        <w:r>
          <w:rPr>
            <w:webHidden/>
          </w:rPr>
          <w:fldChar w:fldCharType="separate"/>
        </w:r>
        <w:r>
          <w:rPr>
            <w:webHidden/>
          </w:rPr>
          <w:t>6</w:t>
        </w:r>
        <w:r>
          <w:rPr>
            <w:webHidden/>
          </w:rPr>
          <w:fldChar w:fldCharType="end"/>
        </w:r>
      </w:hyperlink>
    </w:p>
    <w:p w14:paraId="2DF1B33F" w14:textId="5084CFDD"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45" w:history="1">
        <w:r w:rsidRPr="00A84505">
          <w:rPr>
            <w:rStyle w:val="Hyperlink"/>
            <w:rFonts w:ascii="Times New Roman" w:hAnsi="Times New Roman"/>
          </w:rPr>
          <w:t>3.2.</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A tábla egyes részeire vonatkozó útmutató</w:t>
        </w:r>
        <w:r>
          <w:rPr>
            <w:webHidden/>
          </w:rPr>
          <w:tab/>
        </w:r>
        <w:r>
          <w:rPr>
            <w:webHidden/>
          </w:rPr>
          <w:fldChar w:fldCharType="begin"/>
        </w:r>
        <w:r>
          <w:rPr>
            <w:webHidden/>
          </w:rPr>
          <w:instrText xml:space="preserve"> PAGEREF _Toc210833245 \h </w:instrText>
        </w:r>
        <w:r>
          <w:rPr>
            <w:webHidden/>
          </w:rPr>
        </w:r>
        <w:r>
          <w:rPr>
            <w:webHidden/>
          </w:rPr>
          <w:fldChar w:fldCharType="separate"/>
        </w:r>
        <w:r>
          <w:rPr>
            <w:webHidden/>
          </w:rPr>
          <w:t>7</w:t>
        </w:r>
        <w:r>
          <w:rPr>
            <w:webHidden/>
          </w:rPr>
          <w:fldChar w:fldCharType="end"/>
        </w:r>
      </w:hyperlink>
    </w:p>
    <w:p w14:paraId="2C764B82" w14:textId="1E769B8B"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46" w:history="1">
        <w:r w:rsidRPr="00A84505">
          <w:rPr>
            <w:rStyle w:val="Hyperlink"/>
            <w:rFonts w:ascii="Times New Roman" w:hAnsi="Times New Roman"/>
          </w:rPr>
          <w:t>4.</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C 20.00 – PIACI KOCKÁZAT: A KORRELÁCIÓKERESKEDÉSI PORTFÓLIÓBA SOROLT POZÍCIÓK EGYEDI KOCKÁZATÁNAK SZTENDERD MÓDSZERE (MKR SA CTP)</w:t>
        </w:r>
        <w:r>
          <w:rPr>
            <w:webHidden/>
          </w:rPr>
          <w:tab/>
        </w:r>
        <w:r>
          <w:rPr>
            <w:webHidden/>
          </w:rPr>
          <w:fldChar w:fldCharType="begin"/>
        </w:r>
        <w:r>
          <w:rPr>
            <w:webHidden/>
          </w:rPr>
          <w:instrText xml:space="preserve"> PAGEREF _Toc210833246 \h </w:instrText>
        </w:r>
        <w:r>
          <w:rPr>
            <w:webHidden/>
          </w:rPr>
        </w:r>
        <w:r>
          <w:rPr>
            <w:webHidden/>
          </w:rPr>
          <w:fldChar w:fldCharType="separate"/>
        </w:r>
        <w:r>
          <w:rPr>
            <w:webHidden/>
          </w:rPr>
          <w:t>9</w:t>
        </w:r>
        <w:r>
          <w:rPr>
            <w:webHidden/>
          </w:rPr>
          <w:fldChar w:fldCharType="end"/>
        </w:r>
      </w:hyperlink>
    </w:p>
    <w:p w14:paraId="513B88FA" w14:textId="69465B00"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47" w:history="1">
        <w:r w:rsidRPr="00A84505">
          <w:rPr>
            <w:rStyle w:val="Hyperlink"/>
            <w:rFonts w:ascii="Times New Roman" w:hAnsi="Times New Roman"/>
          </w:rPr>
          <w:t>4.1.</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Általános megjegyzések</w:t>
        </w:r>
        <w:r>
          <w:rPr>
            <w:webHidden/>
          </w:rPr>
          <w:tab/>
        </w:r>
        <w:r>
          <w:rPr>
            <w:webHidden/>
          </w:rPr>
          <w:fldChar w:fldCharType="begin"/>
        </w:r>
        <w:r>
          <w:rPr>
            <w:webHidden/>
          </w:rPr>
          <w:instrText xml:space="preserve"> PAGEREF _Toc210833247 \h </w:instrText>
        </w:r>
        <w:r>
          <w:rPr>
            <w:webHidden/>
          </w:rPr>
        </w:r>
        <w:r>
          <w:rPr>
            <w:webHidden/>
          </w:rPr>
          <w:fldChar w:fldCharType="separate"/>
        </w:r>
        <w:r>
          <w:rPr>
            <w:webHidden/>
          </w:rPr>
          <w:t>9</w:t>
        </w:r>
        <w:r>
          <w:rPr>
            <w:webHidden/>
          </w:rPr>
          <w:fldChar w:fldCharType="end"/>
        </w:r>
      </w:hyperlink>
    </w:p>
    <w:p w14:paraId="7402B4FC" w14:textId="623A91AF"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48" w:history="1">
        <w:r w:rsidRPr="00A84505">
          <w:rPr>
            <w:rStyle w:val="Hyperlink"/>
            <w:rFonts w:ascii="Times New Roman" w:hAnsi="Times New Roman"/>
          </w:rPr>
          <w:t>4.2.</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A tábla egyes részeire vonatkozó útmutató</w:t>
        </w:r>
        <w:r>
          <w:rPr>
            <w:webHidden/>
          </w:rPr>
          <w:tab/>
        </w:r>
        <w:r>
          <w:rPr>
            <w:webHidden/>
          </w:rPr>
          <w:fldChar w:fldCharType="begin"/>
        </w:r>
        <w:r>
          <w:rPr>
            <w:webHidden/>
          </w:rPr>
          <w:instrText xml:space="preserve"> PAGEREF _Toc210833248 \h </w:instrText>
        </w:r>
        <w:r>
          <w:rPr>
            <w:webHidden/>
          </w:rPr>
        </w:r>
        <w:r>
          <w:rPr>
            <w:webHidden/>
          </w:rPr>
          <w:fldChar w:fldCharType="separate"/>
        </w:r>
        <w:r>
          <w:rPr>
            <w:webHidden/>
          </w:rPr>
          <w:t>9</w:t>
        </w:r>
        <w:r>
          <w:rPr>
            <w:webHidden/>
          </w:rPr>
          <w:fldChar w:fldCharType="end"/>
        </w:r>
      </w:hyperlink>
    </w:p>
    <w:p w14:paraId="26E62368" w14:textId="51BD2222"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49" w:history="1">
        <w:r w:rsidRPr="00A84505">
          <w:rPr>
            <w:rStyle w:val="Hyperlink"/>
            <w:rFonts w:ascii="Times New Roman" w:hAnsi="Times New Roman"/>
          </w:rPr>
          <w:t>5.</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C 21.00 – Piaci kockázat: A részények pozíciókockázatának sztenderd módszere (MKR SA EQU)</w:t>
        </w:r>
        <w:r>
          <w:rPr>
            <w:webHidden/>
          </w:rPr>
          <w:tab/>
        </w:r>
        <w:r>
          <w:rPr>
            <w:webHidden/>
          </w:rPr>
          <w:fldChar w:fldCharType="begin"/>
        </w:r>
        <w:r>
          <w:rPr>
            <w:webHidden/>
          </w:rPr>
          <w:instrText xml:space="preserve"> PAGEREF _Toc210833249 \h </w:instrText>
        </w:r>
        <w:r>
          <w:rPr>
            <w:webHidden/>
          </w:rPr>
        </w:r>
        <w:r>
          <w:rPr>
            <w:webHidden/>
          </w:rPr>
          <w:fldChar w:fldCharType="separate"/>
        </w:r>
        <w:r>
          <w:rPr>
            <w:webHidden/>
          </w:rPr>
          <w:t>12</w:t>
        </w:r>
        <w:r>
          <w:rPr>
            <w:webHidden/>
          </w:rPr>
          <w:fldChar w:fldCharType="end"/>
        </w:r>
      </w:hyperlink>
    </w:p>
    <w:p w14:paraId="65E909FF" w14:textId="7E945EE6"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50" w:history="1">
        <w:r w:rsidRPr="00A84505">
          <w:rPr>
            <w:rStyle w:val="Hyperlink"/>
            <w:rFonts w:ascii="Times New Roman" w:hAnsi="Times New Roman"/>
          </w:rPr>
          <w:t>5.1.</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Általános megjegyzések</w:t>
        </w:r>
        <w:r>
          <w:rPr>
            <w:webHidden/>
          </w:rPr>
          <w:tab/>
        </w:r>
        <w:r>
          <w:rPr>
            <w:webHidden/>
          </w:rPr>
          <w:fldChar w:fldCharType="begin"/>
        </w:r>
        <w:r>
          <w:rPr>
            <w:webHidden/>
          </w:rPr>
          <w:instrText xml:space="preserve"> PAGEREF _Toc210833250 \h </w:instrText>
        </w:r>
        <w:r>
          <w:rPr>
            <w:webHidden/>
          </w:rPr>
        </w:r>
        <w:r>
          <w:rPr>
            <w:webHidden/>
          </w:rPr>
          <w:fldChar w:fldCharType="separate"/>
        </w:r>
        <w:r>
          <w:rPr>
            <w:webHidden/>
          </w:rPr>
          <w:t>12</w:t>
        </w:r>
        <w:r>
          <w:rPr>
            <w:webHidden/>
          </w:rPr>
          <w:fldChar w:fldCharType="end"/>
        </w:r>
      </w:hyperlink>
    </w:p>
    <w:p w14:paraId="383164D6" w14:textId="7681F3C1"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51" w:history="1">
        <w:r w:rsidRPr="00A84505">
          <w:rPr>
            <w:rStyle w:val="Hyperlink"/>
            <w:rFonts w:ascii="Times New Roman" w:hAnsi="Times New Roman"/>
          </w:rPr>
          <w:t>5.2.</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A tábla egyes részeire vonatkozó útmutató</w:t>
        </w:r>
        <w:r>
          <w:rPr>
            <w:webHidden/>
          </w:rPr>
          <w:tab/>
        </w:r>
        <w:r>
          <w:rPr>
            <w:webHidden/>
          </w:rPr>
          <w:fldChar w:fldCharType="begin"/>
        </w:r>
        <w:r>
          <w:rPr>
            <w:webHidden/>
          </w:rPr>
          <w:instrText xml:space="preserve"> PAGEREF _Toc210833251 \h </w:instrText>
        </w:r>
        <w:r>
          <w:rPr>
            <w:webHidden/>
          </w:rPr>
        </w:r>
        <w:r>
          <w:rPr>
            <w:webHidden/>
          </w:rPr>
          <w:fldChar w:fldCharType="separate"/>
        </w:r>
        <w:r>
          <w:rPr>
            <w:webHidden/>
          </w:rPr>
          <w:t>13</w:t>
        </w:r>
        <w:r>
          <w:rPr>
            <w:webHidden/>
          </w:rPr>
          <w:fldChar w:fldCharType="end"/>
        </w:r>
      </w:hyperlink>
    </w:p>
    <w:p w14:paraId="59F6407B" w14:textId="4FF90DCF"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52" w:history="1">
        <w:r w:rsidRPr="00A84505">
          <w:rPr>
            <w:rStyle w:val="Hyperlink"/>
            <w:rFonts w:ascii="Times New Roman" w:hAnsi="Times New Roman"/>
          </w:rPr>
          <w:t>6.</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C 22.00 – Piaci kockázat: a devizaárfolyam-kockázat sztenderd módszerei (MKR SA FX)</w:t>
        </w:r>
        <w:r>
          <w:rPr>
            <w:webHidden/>
          </w:rPr>
          <w:tab/>
        </w:r>
        <w:r>
          <w:rPr>
            <w:webHidden/>
          </w:rPr>
          <w:fldChar w:fldCharType="begin"/>
        </w:r>
        <w:r>
          <w:rPr>
            <w:webHidden/>
          </w:rPr>
          <w:instrText xml:space="preserve"> PAGEREF _Toc210833252 \h </w:instrText>
        </w:r>
        <w:r>
          <w:rPr>
            <w:webHidden/>
          </w:rPr>
        </w:r>
        <w:r>
          <w:rPr>
            <w:webHidden/>
          </w:rPr>
          <w:fldChar w:fldCharType="separate"/>
        </w:r>
        <w:r>
          <w:rPr>
            <w:webHidden/>
          </w:rPr>
          <w:t>15</w:t>
        </w:r>
        <w:r>
          <w:rPr>
            <w:webHidden/>
          </w:rPr>
          <w:fldChar w:fldCharType="end"/>
        </w:r>
      </w:hyperlink>
    </w:p>
    <w:p w14:paraId="5714873F" w14:textId="237C2274"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53" w:history="1">
        <w:r w:rsidRPr="00A84505">
          <w:rPr>
            <w:rStyle w:val="Hyperlink"/>
            <w:rFonts w:ascii="Times New Roman" w:hAnsi="Times New Roman"/>
          </w:rPr>
          <w:t>6.1.</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Általános megjegyzések</w:t>
        </w:r>
        <w:r>
          <w:rPr>
            <w:webHidden/>
          </w:rPr>
          <w:tab/>
        </w:r>
        <w:r>
          <w:rPr>
            <w:webHidden/>
          </w:rPr>
          <w:fldChar w:fldCharType="begin"/>
        </w:r>
        <w:r>
          <w:rPr>
            <w:webHidden/>
          </w:rPr>
          <w:instrText xml:space="preserve"> PAGEREF _Toc210833253 \h </w:instrText>
        </w:r>
        <w:r>
          <w:rPr>
            <w:webHidden/>
          </w:rPr>
        </w:r>
        <w:r>
          <w:rPr>
            <w:webHidden/>
          </w:rPr>
          <w:fldChar w:fldCharType="separate"/>
        </w:r>
        <w:r>
          <w:rPr>
            <w:webHidden/>
          </w:rPr>
          <w:t>15</w:t>
        </w:r>
        <w:r>
          <w:rPr>
            <w:webHidden/>
          </w:rPr>
          <w:fldChar w:fldCharType="end"/>
        </w:r>
      </w:hyperlink>
    </w:p>
    <w:p w14:paraId="4995708D" w14:textId="13211392"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54" w:history="1">
        <w:r w:rsidRPr="00A84505">
          <w:rPr>
            <w:rStyle w:val="Hyperlink"/>
            <w:rFonts w:ascii="Times New Roman" w:hAnsi="Times New Roman"/>
          </w:rPr>
          <w:t>6.2.</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A tábla egyes részeire vonatkozó útmutató</w:t>
        </w:r>
        <w:r>
          <w:rPr>
            <w:webHidden/>
          </w:rPr>
          <w:tab/>
        </w:r>
        <w:r>
          <w:rPr>
            <w:webHidden/>
          </w:rPr>
          <w:fldChar w:fldCharType="begin"/>
        </w:r>
        <w:r>
          <w:rPr>
            <w:webHidden/>
          </w:rPr>
          <w:instrText xml:space="preserve"> PAGEREF _Toc210833254 \h </w:instrText>
        </w:r>
        <w:r>
          <w:rPr>
            <w:webHidden/>
          </w:rPr>
        </w:r>
        <w:r>
          <w:rPr>
            <w:webHidden/>
          </w:rPr>
          <w:fldChar w:fldCharType="separate"/>
        </w:r>
        <w:r>
          <w:rPr>
            <w:webHidden/>
          </w:rPr>
          <w:t>15</w:t>
        </w:r>
        <w:r>
          <w:rPr>
            <w:webHidden/>
          </w:rPr>
          <w:fldChar w:fldCharType="end"/>
        </w:r>
      </w:hyperlink>
    </w:p>
    <w:p w14:paraId="050BA3F3" w14:textId="287B6A1C"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55" w:history="1">
        <w:r w:rsidRPr="00A84505">
          <w:rPr>
            <w:rStyle w:val="Hyperlink"/>
            <w:rFonts w:ascii="Times New Roman" w:hAnsi="Times New Roman"/>
          </w:rPr>
          <w:t>7.</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C 23.00 – Piaci kockázat: az árukockázat sztenderd módszerei (MKR SA COM)</w:t>
        </w:r>
        <w:r>
          <w:rPr>
            <w:webHidden/>
          </w:rPr>
          <w:tab/>
        </w:r>
        <w:r>
          <w:rPr>
            <w:webHidden/>
          </w:rPr>
          <w:fldChar w:fldCharType="begin"/>
        </w:r>
        <w:r>
          <w:rPr>
            <w:webHidden/>
          </w:rPr>
          <w:instrText xml:space="preserve"> PAGEREF _Toc210833255 \h </w:instrText>
        </w:r>
        <w:r>
          <w:rPr>
            <w:webHidden/>
          </w:rPr>
        </w:r>
        <w:r>
          <w:rPr>
            <w:webHidden/>
          </w:rPr>
          <w:fldChar w:fldCharType="separate"/>
        </w:r>
        <w:r>
          <w:rPr>
            <w:webHidden/>
          </w:rPr>
          <w:t>19</w:t>
        </w:r>
        <w:r>
          <w:rPr>
            <w:webHidden/>
          </w:rPr>
          <w:fldChar w:fldCharType="end"/>
        </w:r>
      </w:hyperlink>
    </w:p>
    <w:p w14:paraId="2A9D42C6" w14:textId="2910FF97"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56" w:history="1">
        <w:r w:rsidRPr="00A84505">
          <w:rPr>
            <w:rStyle w:val="Hyperlink"/>
            <w:rFonts w:ascii="Times New Roman" w:hAnsi="Times New Roman"/>
          </w:rPr>
          <w:t>7.1.</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Általános megjegyzések</w:t>
        </w:r>
        <w:r>
          <w:rPr>
            <w:webHidden/>
          </w:rPr>
          <w:tab/>
        </w:r>
        <w:r>
          <w:rPr>
            <w:webHidden/>
          </w:rPr>
          <w:fldChar w:fldCharType="begin"/>
        </w:r>
        <w:r>
          <w:rPr>
            <w:webHidden/>
          </w:rPr>
          <w:instrText xml:space="preserve"> PAGEREF _Toc210833256 \h </w:instrText>
        </w:r>
        <w:r>
          <w:rPr>
            <w:webHidden/>
          </w:rPr>
        </w:r>
        <w:r>
          <w:rPr>
            <w:webHidden/>
          </w:rPr>
          <w:fldChar w:fldCharType="separate"/>
        </w:r>
        <w:r>
          <w:rPr>
            <w:webHidden/>
          </w:rPr>
          <w:t>19</w:t>
        </w:r>
        <w:r>
          <w:rPr>
            <w:webHidden/>
          </w:rPr>
          <w:fldChar w:fldCharType="end"/>
        </w:r>
      </w:hyperlink>
    </w:p>
    <w:p w14:paraId="6E1760D2" w14:textId="4E9AD35E"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57" w:history="1">
        <w:r w:rsidRPr="00A84505">
          <w:rPr>
            <w:rStyle w:val="Hyperlink"/>
            <w:rFonts w:ascii="Times New Roman" w:hAnsi="Times New Roman"/>
          </w:rPr>
          <w:t>7.2.</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A tábla egyes részeire vonatkozó útmutató</w:t>
        </w:r>
        <w:r>
          <w:rPr>
            <w:webHidden/>
          </w:rPr>
          <w:tab/>
        </w:r>
        <w:r>
          <w:rPr>
            <w:webHidden/>
          </w:rPr>
          <w:fldChar w:fldCharType="begin"/>
        </w:r>
        <w:r>
          <w:rPr>
            <w:webHidden/>
          </w:rPr>
          <w:instrText xml:space="preserve"> PAGEREF _Toc210833257 \h </w:instrText>
        </w:r>
        <w:r>
          <w:rPr>
            <w:webHidden/>
          </w:rPr>
        </w:r>
        <w:r>
          <w:rPr>
            <w:webHidden/>
          </w:rPr>
          <w:fldChar w:fldCharType="separate"/>
        </w:r>
        <w:r>
          <w:rPr>
            <w:webHidden/>
          </w:rPr>
          <w:t>19</w:t>
        </w:r>
        <w:r>
          <w:rPr>
            <w:webHidden/>
          </w:rPr>
          <w:fldChar w:fldCharType="end"/>
        </w:r>
      </w:hyperlink>
    </w:p>
    <w:p w14:paraId="11EA4FA7" w14:textId="4F5BA037"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58" w:history="1">
        <w:r w:rsidRPr="00A84505">
          <w:rPr>
            <w:rStyle w:val="Hyperlink"/>
            <w:rFonts w:ascii="Times New Roman" w:hAnsi="Times New Roman"/>
          </w:rPr>
          <w:t>8.</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C 24.00 – Piaci kockázat: belső modell (MKR IM)</w:t>
        </w:r>
        <w:r>
          <w:rPr>
            <w:webHidden/>
          </w:rPr>
          <w:tab/>
        </w:r>
        <w:r>
          <w:rPr>
            <w:webHidden/>
          </w:rPr>
          <w:fldChar w:fldCharType="begin"/>
        </w:r>
        <w:r>
          <w:rPr>
            <w:webHidden/>
          </w:rPr>
          <w:instrText xml:space="preserve"> PAGEREF _Toc210833258 \h </w:instrText>
        </w:r>
        <w:r>
          <w:rPr>
            <w:webHidden/>
          </w:rPr>
        </w:r>
        <w:r>
          <w:rPr>
            <w:webHidden/>
          </w:rPr>
          <w:fldChar w:fldCharType="separate"/>
        </w:r>
        <w:r>
          <w:rPr>
            <w:webHidden/>
          </w:rPr>
          <w:t>20</w:t>
        </w:r>
        <w:r>
          <w:rPr>
            <w:webHidden/>
          </w:rPr>
          <w:fldChar w:fldCharType="end"/>
        </w:r>
      </w:hyperlink>
    </w:p>
    <w:p w14:paraId="64FE7AC7" w14:textId="6D50923C"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59" w:history="1">
        <w:r w:rsidRPr="00A84505">
          <w:rPr>
            <w:rStyle w:val="Hyperlink"/>
            <w:rFonts w:ascii="Times New Roman" w:hAnsi="Times New Roman"/>
          </w:rPr>
          <w:t>8.1.</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Általános megjegyzések</w:t>
        </w:r>
        <w:r>
          <w:rPr>
            <w:webHidden/>
          </w:rPr>
          <w:tab/>
        </w:r>
        <w:r>
          <w:rPr>
            <w:webHidden/>
          </w:rPr>
          <w:fldChar w:fldCharType="begin"/>
        </w:r>
        <w:r>
          <w:rPr>
            <w:webHidden/>
          </w:rPr>
          <w:instrText xml:space="preserve"> PAGEREF _Toc210833259 \h </w:instrText>
        </w:r>
        <w:r>
          <w:rPr>
            <w:webHidden/>
          </w:rPr>
        </w:r>
        <w:r>
          <w:rPr>
            <w:webHidden/>
          </w:rPr>
          <w:fldChar w:fldCharType="separate"/>
        </w:r>
        <w:r>
          <w:rPr>
            <w:webHidden/>
          </w:rPr>
          <w:t>20</w:t>
        </w:r>
        <w:r>
          <w:rPr>
            <w:webHidden/>
          </w:rPr>
          <w:fldChar w:fldCharType="end"/>
        </w:r>
      </w:hyperlink>
    </w:p>
    <w:p w14:paraId="11B91E94" w14:textId="25C46EEF" w:rsidR="00392F86" w:rsidRDefault="00392F86">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833260" w:history="1">
        <w:r w:rsidRPr="00A84505">
          <w:rPr>
            <w:rStyle w:val="Hyperlink"/>
            <w:rFonts w:ascii="Times New Roman" w:hAnsi="Times New Roman"/>
          </w:rPr>
          <w:t>8.2.</w:t>
        </w:r>
        <w:r>
          <w:rPr>
            <w:rFonts w:asciiTheme="minorHAnsi" w:eastAsiaTheme="minorEastAsia" w:hAnsiTheme="minorHAnsi" w:cstheme="minorBidi"/>
            <w:b w:val="0"/>
            <w:smallCaps w:val="0"/>
            <w:kern w:val="2"/>
            <w:sz w:val="24"/>
            <w:szCs w:val="24"/>
            <w:lang w:val="de-DE" w:eastAsia="de-DE"/>
            <w14:ligatures w14:val="standardContextual"/>
          </w:rPr>
          <w:tab/>
        </w:r>
        <w:r w:rsidRPr="00A84505">
          <w:rPr>
            <w:rStyle w:val="Hyperlink"/>
            <w:rFonts w:ascii="Times New Roman" w:hAnsi="Times New Roman"/>
          </w:rPr>
          <w:t>A tábla egyes részeire vonatkozó útmutató</w:t>
        </w:r>
        <w:r>
          <w:rPr>
            <w:webHidden/>
          </w:rPr>
          <w:tab/>
        </w:r>
        <w:r>
          <w:rPr>
            <w:webHidden/>
          </w:rPr>
          <w:fldChar w:fldCharType="begin"/>
        </w:r>
        <w:r>
          <w:rPr>
            <w:webHidden/>
          </w:rPr>
          <w:instrText xml:space="preserve"> PAGEREF _Toc210833260 \h </w:instrText>
        </w:r>
        <w:r>
          <w:rPr>
            <w:webHidden/>
          </w:rPr>
        </w:r>
        <w:r>
          <w:rPr>
            <w:webHidden/>
          </w:rPr>
          <w:fldChar w:fldCharType="separate"/>
        </w:r>
        <w:r>
          <w:rPr>
            <w:webHidden/>
          </w:rPr>
          <w:t>20</w:t>
        </w:r>
        <w:r>
          <w:rPr>
            <w:webHidden/>
          </w:rPr>
          <w:fldChar w:fldCharType="end"/>
        </w:r>
      </w:hyperlink>
    </w:p>
    <w:p w14:paraId="4325A1DC" w14:textId="05D6D807"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rFonts w:ascii="Times New Roman" w:hAnsi="Times New Roman"/>
          <w:sz w:val="24"/>
        </w:rPr>
        <w:fldChar w:fldCharType="end"/>
      </w:r>
    </w:p>
    <w:p w14:paraId="65DEB04A" w14:textId="77777777" w:rsidR="002648B0" w:rsidRPr="002D60D7"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833233"/>
      <w:r>
        <w:rPr>
          <w:rFonts w:ascii="Times New Roman" w:hAnsi="Times New Roman"/>
        </w:rPr>
        <w:lastRenderedPageBreak/>
        <w:t>I. RÉSZ:</w:t>
      </w:r>
      <w:bookmarkEnd w:id="2"/>
      <w:r>
        <w:rPr>
          <w:rFonts w:ascii="Times New Roman" w:hAnsi="Times New Roman"/>
        </w:rPr>
        <w:t xml:space="preserve"> ÁLTALÁNOS ÚTMUTATÓ</w:t>
      </w:r>
      <w:bookmarkEnd w:id="3"/>
      <w:bookmarkEnd w:id="4"/>
      <w:bookmarkEnd w:id="5"/>
    </w:p>
    <w:p w14:paraId="2B1DE452" w14:textId="3C4AA749"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833234"/>
      <w:r>
        <w:rPr>
          <w:rFonts w:ascii="Times New Roman" w:hAnsi="Times New Roman"/>
          <w:sz w:val="24"/>
          <w:u w:val="none"/>
        </w:rPr>
        <w:t>1.</w:t>
      </w:r>
      <w:r w:rsidRPr="00B63D96">
        <w:rPr>
          <w:u w:val="none"/>
        </w:rPr>
        <w:tab/>
      </w:r>
      <w:r>
        <w:rPr>
          <w:rFonts w:ascii="Times New Roman" w:hAnsi="Times New Roman"/>
          <w:sz w:val="24"/>
          <w:u w:val="none"/>
        </w:rPr>
        <w:t>SZABÁLYOK</w:t>
      </w:r>
      <w:bookmarkEnd w:id="6"/>
      <w:bookmarkEnd w:id="7"/>
      <w:bookmarkEnd w:id="8"/>
    </w:p>
    <w:p w14:paraId="691FE691" w14:textId="6FA2FF51"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10833235"/>
      <w:bookmarkStart w:id="12" w:name="_Toc264038399"/>
      <w:bookmarkStart w:id="13" w:name="_Toc294018834"/>
      <w:r>
        <w:rPr>
          <w:rFonts w:ascii="Times New Roman" w:hAnsi="Times New Roman"/>
          <w:sz w:val="24"/>
          <w:u w:val="none"/>
        </w:rPr>
        <w:t>1.1.</w:t>
      </w:r>
      <w:r w:rsidRPr="00B63D96">
        <w:rPr>
          <w:u w:val="none"/>
        </w:rPr>
        <w:tab/>
      </w:r>
      <w:r>
        <w:rPr>
          <w:rFonts w:ascii="Times New Roman" w:hAnsi="Times New Roman"/>
          <w:sz w:val="24"/>
          <w:u w:val="none"/>
        </w:rPr>
        <w:t>Számozási szabályok</w:t>
      </w:r>
      <w:bookmarkEnd w:id="9"/>
      <w:bookmarkEnd w:id="10"/>
      <w:bookmarkEnd w:id="11"/>
    </w:p>
    <w:p w14:paraId="07DD29A3" w14:textId="3ADB010A" w:rsidR="002648B0" w:rsidRPr="002D60D7" w:rsidRDefault="002648B0" w:rsidP="00E172EA">
      <w:pPr>
        <w:pStyle w:val="InstructionsText2"/>
        <w:numPr>
          <w:ilvl w:val="0"/>
          <w:numId w:val="29"/>
        </w:numPr>
        <w:suppressAutoHyphens/>
      </w:pPr>
      <w:r>
        <w:t>A táblák oszlopaira, soraira és celláira való hivatkozáskor a dokumentum a 2–5. pontban meghatározott jelölési szabályokat követi. A numerikus kódokat kimerítően használják a validálási szabályok.</w:t>
      </w:r>
    </w:p>
    <w:p w14:paraId="4A930757" w14:textId="35786EEA" w:rsidR="005643EA" w:rsidRPr="002D60D7" w:rsidRDefault="002648B0" w:rsidP="00E172EA">
      <w:pPr>
        <w:pStyle w:val="InstructionsText2"/>
        <w:numPr>
          <w:ilvl w:val="0"/>
          <w:numId w:val="29"/>
        </w:numPr>
        <w:suppressAutoHyphens/>
      </w:pPr>
      <w:r>
        <w:t>Az útmutató a következő általános jelölést követi: {Tábla; Sor; Oszlop}.</w:t>
      </w:r>
    </w:p>
    <w:p w14:paraId="058D6622" w14:textId="0D8EC818" w:rsidR="002648B0" w:rsidRPr="002D60D7" w:rsidRDefault="002648B0" w:rsidP="00E172EA">
      <w:pPr>
        <w:pStyle w:val="InstructionsText2"/>
        <w:numPr>
          <w:ilvl w:val="0"/>
          <w:numId w:val="29"/>
        </w:numPr>
        <w:suppressAutoHyphens/>
      </w:pPr>
      <w:r>
        <w:t>Olyan táblán belüli validálás esetén, amelynél az adott táblából csak adatpontokat használunk, a jelölés nem hivatkozik a táblára: {Sor; Oszlop}.</w:t>
      </w:r>
    </w:p>
    <w:p w14:paraId="1C93CB72" w14:textId="27E06172" w:rsidR="005643EA" w:rsidRPr="002D60D7" w:rsidRDefault="002648B0" w:rsidP="00E172EA">
      <w:pPr>
        <w:pStyle w:val="InstructionsText2"/>
        <w:numPr>
          <w:ilvl w:val="0"/>
          <w:numId w:val="29"/>
        </w:numPr>
        <w:suppressAutoHyphens/>
      </w:pPr>
      <w:r>
        <w:t>Az olyan táblák esetében, amelyek csak egy oszlopot tartalmaznak, a jelölés csak a sorokra hivatkozik. {Tábla; Sor}.</w:t>
      </w:r>
    </w:p>
    <w:p w14:paraId="6CF08484" w14:textId="337CEEA0" w:rsidR="002648B0" w:rsidRPr="002D60D7" w:rsidRDefault="002648B0" w:rsidP="00E172EA">
      <w:pPr>
        <w:pStyle w:val="InstructionsText2"/>
        <w:numPr>
          <w:ilvl w:val="0"/>
          <w:numId w:val="29"/>
        </w:numPr>
        <w:suppressAutoHyphens/>
      </w:pPr>
      <w:r>
        <w:t>Csillag jelöli, hogy a validálás a korábban meghatározott sorra vagy oszlopra megtörtént.</w:t>
      </w:r>
    </w:p>
    <w:p w14:paraId="6218AD51" w14:textId="365F36D8"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833236"/>
      <w:r>
        <w:rPr>
          <w:rFonts w:ascii="Times New Roman" w:hAnsi="Times New Roman"/>
          <w:sz w:val="24"/>
          <w:u w:val="none"/>
        </w:rPr>
        <w:t>1.2.</w:t>
      </w:r>
      <w:r w:rsidRPr="00B63D96">
        <w:rPr>
          <w:u w:val="none"/>
        </w:rPr>
        <w:tab/>
      </w:r>
      <w:r>
        <w:rPr>
          <w:rFonts w:ascii="Times New Roman" w:hAnsi="Times New Roman"/>
          <w:sz w:val="24"/>
          <w:u w:val="none"/>
        </w:rPr>
        <w:t>Előjelre vonatkozó szabályok</w:t>
      </w:r>
      <w:bookmarkEnd w:id="12"/>
      <w:bookmarkEnd w:id="13"/>
      <w:bookmarkEnd w:id="14"/>
      <w:bookmarkEnd w:id="15"/>
      <w:bookmarkEnd w:id="16"/>
    </w:p>
    <w:p w14:paraId="67BDF5E2" w14:textId="769DF459" w:rsidR="002648B0" w:rsidRDefault="002648B0" w:rsidP="00E172EA">
      <w:pPr>
        <w:pStyle w:val="InstructionsText2"/>
        <w:numPr>
          <w:ilvl w:val="0"/>
          <w:numId w:val="29"/>
        </w:numPr>
        <w:suppressAutoHyphens/>
      </w:pPr>
      <w:r>
        <w:t>A szavatolótőkét vagy a tőkekövetelményeket növelő összegeket pozitív számként kell feltüntetni. Ugyanakkor a szavatolótőke teljes összegét vagy a tőkekövetelményeket csökkentő bármely összeg előjele negatív. Ha egy tétel megnevezése előtt mínuszjel (–) található, akkor az adott tételről nem szolgáltatható pozitív adat.</w:t>
      </w:r>
    </w:p>
    <w:p w14:paraId="21FCA11B" w14:textId="044801DB" w:rsidR="00843119" w:rsidRPr="00843119"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833237"/>
      <w:r>
        <w:rPr>
          <w:rFonts w:ascii="Times New Roman" w:hAnsi="Times New Roman"/>
          <w:sz w:val="24"/>
          <w:u w:val="none"/>
        </w:rPr>
        <w:t>1.3.</w:t>
      </w:r>
      <w:r w:rsidRPr="00B63D96">
        <w:rPr>
          <w:u w:val="none"/>
        </w:rPr>
        <w:tab/>
      </w:r>
      <w:r>
        <w:rPr>
          <w:rFonts w:ascii="Times New Roman" w:hAnsi="Times New Roman"/>
          <w:sz w:val="24"/>
          <w:u w:val="none"/>
        </w:rPr>
        <w:t>Hivatkozások az 575/2013/EU rendeletre</w:t>
      </w:r>
      <w:bookmarkEnd w:id="17"/>
    </w:p>
    <w:p w14:paraId="59845808" w14:textId="11AE211B" w:rsidR="00843119" w:rsidRPr="002D60D7" w:rsidRDefault="00843119" w:rsidP="00E172EA">
      <w:pPr>
        <w:pStyle w:val="InstructionsText2"/>
        <w:numPr>
          <w:ilvl w:val="0"/>
          <w:numId w:val="29"/>
        </w:numPr>
        <w:suppressAutoHyphens/>
      </w:pPr>
      <w:r>
        <w:t xml:space="preserve">Az 575/2013/EU rendelet 325–377. cikkére való hivatkozásokat az említett rendelet 2019. június 26-án hatályos változatára vonatkozó hivatkozásként kell értelmezni. </w:t>
      </w:r>
    </w:p>
    <w:p w14:paraId="178F0A93" w14:textId="77777777" w:rsidR="00843119" w:rsidRPr="002D60D7" w:rsidRDefault="00843119" w:rsidP="00843119">
      <w:pPr>
        <w:pStyle w:val="InstructionsText2"/>
        <w:numPr>
          <w:ilvl w:val="0"/>
          <w:numId w:val="0"/>
        </w:numPr>
        <w:suppressAutoHyphens/>
      </w:pPr>
    </w:p>
    <w:p w14:paraId="69E08A1F" w14:textId="26A864E9" w:rsidR="00304CA5" w:rsidRPr="002D60D7" w:rsidRDefault="00304CA5" w:rsidP="004C445F">
      <w:pPr>
        <w:pStyle w:val="InstructionsText2"/>
        <w:numPr>
          <w:ilvl w:val="0"/>
          <w:numId w:val="0"/>
        </w:numPr>
        <w:suppressAutoHyphens/>
        <w:ind w:left="1353" w:hanging="360"/>
      </w:pPr>
    </w:p>
    <w:p w14:paraId="661FC092" w14:textId="77777777" w:rsidR="00304CA5" w:rsidRPr="002D60D7" w:rsidRDefault="00304CA5" w:rsidP="004C445F">
      <w:pPr>
        <w:pStyle w:val="InstructionsText2"/>
        <w:numPr>
          <w:ilvl w:val="0"/>
          <w:numId w:val="0"/>
        </w:numPr>
        <w:suppressAutoHyphens/>
        <w:ind w:left="1353" w:hanging="360"/>
      </w:pPr>
    </w:p>
    <w:p w14:paraId="6B2B7DCC" w14:textId="77777777" w:rsidR="002648B0" w:rsidRPr="002D60D7" w:rsidRDefault="002648B0" w:rsidP="004C445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D60D7" w:rsidRDefault="002648B0" w:rsidP="004C445F">
      <w:pPr>
        <w:suppressAutoHyphens/>
        <w:rPr>
          <w:rFonts w:ascii="Times New Roman" w:hAnsi="Times New Roman"/>
          <w:sz w:val="24"/>
        </w:rPr>
      </w:pPr>
    </w:p>
    <w:p w14:paraId="5C0CD8F3" w14:textId="25D58192" w:rsidR="00AC6255" w:rsidRPr="002D60D7"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833238"/>
      <w:r>
        <w:rPr>
          <w:rFonts w:ascii="Times New Roman" w:hAnsi="Times New Roman"/>
        </w:rPr>
        <w:t>II. RÉSZ: TÁBLASPECIFIKUS ÚTMUTATÓ</w:t>
      </w:r>
      <w:bookmarkEnd w:id="18"/>
      <w:bookmarkEnd w:id="19"/>
      <w:r>
        <w:rPr>
          <w:rFonts w:ascii="Times New Roman" w:hAnsi="Times New Roman"/>
        </w:rPr>
        <w:t xml:space="preserve"> PIACI KOCKÁZATI TÁBLACSOPORT</w:t>
      </w:r>
      <w:bookmarkEnd w:id="0"/>
      <w:bookmarkEnd w:id="1"/>
      <w:bookmarkEnd w:id="20"/>
    </w:p>
    <w:p w14:paraId="73EBDC1C" w14:textId="2EF76A90" w:rsidR="000B0B09" w:rsidRPr="002D60D7"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833239"/>
      <w:r>
        <w:rPr>
          <w:rFonts w:ascii="Times New Roman" w:hAnsi="Times New Roman"/>
          <w:sz w:val="24"/>
          <w:u w:val="none"/>
        </w:rPr>
        <w:t>1.</w:t>
      </w:r>
      <w:r w:rsidRPr="00B63D96">
        <w:rPr>
          <w:u w:val="none"/>
        </w:rPr>
        <w:tab/>
      </w:r>
      <w:bookmarkEnd w:id="21"/>
      <w:bookmarkEnd w:id="22"/>
      <w:bookmarkEnd w:id="23"/>
      <w:bookmarkEnd w:id="24"/>
      <w:bookmarkEnd w:id="25"/>
      <w:bookmarkEnd w:id="26"/>
      <w:r>
        <w:rPr>
          <w:rFonts w:ascii="Times New Roman" w:hAnsi="Times New Roman"/>
          <w:sz w:val="24"/>
        </w:rPr>
        <w:t>Általános megjegyzések</w:t>
      </w:r>
      <w:bookmarkEnd w:id="27"/>
    </w:p>
    <w:p w14:paraId="3A680559" w14:textId="018BA68A" w:rsidR="000B0B09" w:rsidRPr="002D60D7" w:rsidRDefault="000B0B09" w:rsidP="00E172EA">
      <w:pPr>
        <w:pStyle w:val="InstructionsText2"/>
        <w:numPr>
          <w:ilvl w:val="0"/>
          <w:numId w:val="29"/>
        </w:numPr>
        <w:suppressAutoHyphens/>
      </w:pPr>
      <w:bookmarkStart w:id="28" w:name="_Toc308426672"/>
      <w:r>
        <w:t xml:space="preserve">Az itt megadott útmutató a devizaárfolyam-kockázathoz (MKR SA FX), árukockázathoz (MKR SA COM), kamatlábkockázathoz (MKR SA TDI, MKR SA SEC, MKR SA CTP) és részvénypiaci kockázathoz (MKR SA EQU) kapcsolódó szavatolótőke-követelmény sztenderd módszer szerinti kiszámításáról történő adatszolgáltatáshoz használt táblákra terjed ki. Ebben a részben útmutató található továbbá a szavatolótőke-követelmény belső modelleken alapuló módszer szerinti kiszámításáról történő adatszolgáltatáshoz használt táblára vonatkozóan (MKR IM) is. </w:t>
      </w:r>
    </w:p>
    <w:p w14:paraId="43A205D1" w14:textId="5DC446A2" w:rsidR="000B0B09" w:rsidRPr="002D60D7" w:rsidRDefault="000B0B09" w:rsidP="00E172EA">
      <w:pPr>
        <w:pStyle w:val="InstructionsText2"/>
        <w:numPr>
          <w:ilvl w:val="0"/>
          <w:numId w:val="29"/>
        </w:numPr>
        <w:suppressAutoHyphens/>
      </w:pPr>
      <w:r>
        <w:t xml:space="preserve">A kereskedett, hitelviszonyt megtestesítő értékpapírok vagy tulajdoni részesedést megtestesítő instrumentumok, illetve ezek származtatott eszközének pozíciókockázatát tőkeszükségletük kiszámítása céljából két összetevőre kell bontani. Az első az egyedi kockázatra vonatkozik – azaz az adott eszköz árváltozásának kockázatára, ami a kibocsátójával, illetve, származtatott eszköz esetében, az alapul szolgáló eszköz kibocsátójával kapcsolatos tényezőkből adódik. A második az általános kockázatot foglalja magában: az eszköz árváltozásának azt a kockázatát, amely kereskedett, hitelviszonyt megtestesítő értékpapírok vagy azok származtatott eszköze esetében a kamatszintek változásából, tőkeinstrumentum vagy annak származtatott eszköze esetében az egyes értékpapírok sajátos tulajdonságaival kapcsolatban nem lévő, általános részvénypiaci mozgásokból adódik. </w:t>
      </w:r>
      <w:bookmarkEnd w:id="28"/>
      <w:r>
        <w:t xml:space="preserve">Az egyes instrumentumok és nettósítási eljárások általános kezelését az 575/2013/EU rendelet 326–333. cikke határozza meg. </w:t>
      </w:r>
    </w:p>
    <w:p w14:paraId="39C5FEA4" w14:textId="3A15092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833240"/>
      <w:r>
        <w:rPr>
          <w:rFonts w:ascii="Times New Roman" w:hAnsi="Times New Roman"/>
          <w:sz w:val="24"/>
          <w:u w:val="none"/>
        </w:rPr>
        <w:t>2.</w:t>
      </w:r>
      <w:r w:rsidRPr="00B63D96">
        <w:rPr>
          <w:u w:val="none"/>
        </w:rPr>
        <w:tab/>
      </w:r>
      <w:r>
        <w:rPr>
          <w:rFonts w:ascii="Times New Roman" w:hAnsi="Times New Roman"/>
          <w:sz w:val="24"/>
        </w:rPr>
        <w:t>C 18.00 – Piaci kockázat: A kereskedett, hitelviszonyt megtestesítő értékpapírok pozíciókockázatának sztenderd módszere</w:t>
      </w:r>
      <w:bookmarkEnd w:id="29"/>
      <w:bookmarkEnd w:id="30"/>
      <w:bookmarkEnd w:id="31"/>
      <w:bookmarkEnd w:id="32"/>
      <w:bookmarkEnd w:id="33"/>
      <w:bookmarkEnd w:id="34"/>
      <w:r>
        <w:rPr>
          <w:rFonts w:ascii="Times New Roman" w:hAnsi="Times New Roman"/>
          <w:sz w:val="24"/>
        </w:rPr>
        <w:t xml:space="preserve"> (MKR SA TDI)</w:t>
      </w:r>
      <w:bookmarkEnd w:id="35"/>
      <w:bookmarkEnd w:id="36"/>
    </w:p>
    <w:p w14:paraId="7BC699A3" w14:textId="5102524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833241"/>
      <w:r>
        <w:rPr>
          <w:rFonts w:ascii="Times New Roman" w:hAnsi="Times New Roman"/>
          <w:sz w:val="24"/>
          <w:u w:val="none"/>
        </w:rPr>
        <w:t>2.1.</w:t>
      </w:r>
      <w:r w:rsidRPr="00B63D96">
        <w:rPr>
          <w:u w:val="none"/>
        </w:rPr>
        <w:tab/>
      </w:r>
      <w:r>
        <w:rPr>
          <w:rFonts w:ascii="Times New Roman" w:hAnsi="Times New Roman"/>
          <w:sz w:val="24"/>
        </w:rPr>
        <w:t>Általános megjegyzések</w:t>
      </w:r>
      <w:bookmarkEnd w:id="37"/>
      <w:bookmarkEnd w:id="38"/>
      <w:bookmarkEnd w:id="39"/>
      <w:bookmarkEnd w:id="40"/>
      <w:bookmarkEnd w:id="41"/>
      <w:bookmarkEnd w:id="42"/>
      <w:bookmarkEnd w:id="43"/>
    </w:p>
    <w:p w14:paraId="0D010E09" w14:textId="7FC9D177" w:rsidR="000B0B09" w:rsidRPr="002D60D7" w:rsidRDefault="000B0B09" w:rsidP="00E172EA">
      <w:pPr>
        <w:pStyle w:val="InstructionsText2"/>
        <w:numPr>
          <w:ilvl w:val="0"/>
          <w:numId w:val="29"/>
        </w:numPr>
        <w:suppressAutoHyphens/>
        <w:ind w:left="1349" w:hanging="357"/>
      </w:pPr>
      <w:r>
        <w:t>Ez a tábla a kereskedett, hitelviszonyt megtestesítő értékpapírok sztenderd módszer szerinti pozíciókockázatát érintő pozíciókat és az azokhoz kapcsolódó szavatolótőke-követelményt rögzíti (az 575/2013/EU rendelet 325. cikke (2) bekezdésének a) pontja). A különböző kockázatok és az 575/2013/EU rendelet alapján alkalmazható módszerek az egyes sorokban vehetők figyelembe. Az MKR SA SEC és MKR SA CTP táblán szereplő kitettségekkel összefüggő egyedi kockázatok kizárólag az MKR SA TDI Total táblán tüntethetők fel. Az említett táblákon feltüntetett szavatolótőke-követelményt át kell vinni a 0325;0060 (értékpapírosítások), illetve 0330;0060 (CTP) cellába.</w:t>
      </w:r>
    </w:p>
    <w:p w14:paraId="7C8420A5" w14:textId="3BAA75DB" w:rsidR="000B0B09" w:rsidRPr="002D60D7" w:rsidRDefault="000B0B09" w:rsidP="00E172EA">
      <w:pPr>
        <w:pStyle w:val="InstructionsText2"/>
        <w:numPr>
          <w:ilvl w:val="0"/>
          <w:numId w:val="29"/>
        </w:numPr>
        <w:suppressAutoHyphens/>
      </w:pPr>
      <w:r>
        <w:t xml:space="preserve">A táblát külön ki kell tölteni az „Összesen” értékre vonatkozóan, valamint az alábbi előre meghatározott felsorolásban szereplő pénznemekre vonatkozóan: </w:t>
      </w:r>
      <w:bookmarkStart w:id="44" w:name="OLE_LINK1"/>
      <w:r>
        <w:t>EUR, ALL, BGN, CZK, DKK, EGP, GBP, HUF, ISK, JPY, MKD, NOK, PLN, RON, RUB, RSD, SEK, CHF, TRY, UAH, USD</w:t>
      </w:r>
      <w:bookmarkEnd w:id="44"/>
      <w:r>
        <w:t xml:space="preserve">, továbbá egy táblát minden egyéb pénznemre összevontan. </w:t>
      </w:r>
    </w:p>
    <w:p w14:paraId="73E54EAD" w14:textId="5995991C"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833242"/>
      <w:r>
        <w:rPr>
          <w:rFonts w:ascii="Times New Roman" w:hAnsi="Times New Roman"/>
          <w:sz w:val="24"/>
          <w:u w:val="none"/>
        </w:rPr>
        <w:t>2.2.</w:t>
      </w:r>
      <w:r w:rsidRPr="00B63D96">
        <w:rPr>
          <w:u w:val="none"/>
        </w:rPr>
        <w:tab/>
      </w:r>
      <w:r>
        <w:rPr>
          <w:rFonts w:ascii="Times New Roman" w:hAnsi="Times New Roman"/>
          <w:sz w:val="24"/>
        </w:rPr>
        <w:t>A tábla egyes részeire vonatkozó útmutató</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Oszlop</w:t>
            </w:r>
          </w:p>
        </w:tc>
      </w:tr>
      <w:tr w:rsidR="000B0B09" w:rsidRPr="002D60D7" w14:paraId="2FB66B69" w14:textId="77777777" w:rsidTr="00672D2A">
        <w:tc>
          <w:tcPr>
            <w:tcW w:w="988" w:type="dxa"/>
          </w:tcPr>
          <w:p w14:paraId="3487AAF4"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3B61C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ÖSSZES POZÍCIÓ (HOSSZÚ ÉS RÖVID)</w:t>
            </w:r>
          </w:p>
          <w:p w14:paraId="0C799784" w14:textId="3AE5C422" w:rsidR="000B0B09" w:rsidRPr="002D60D7" w:rsidRDefault="000B0B09" w:rsidP="004C445F">
            <w:pPr>
              <w:suppressAutoHyphens/>
              <w:rPr>
                <w:rFonts w:ascii="Times New Roman" w:hAnsi="Times New Roman"/>
                <w:sz w:val="24"/>
              </w:rPr>
            </w:pPr>
            <w:r>
              <w:rPr>
                <w:rFonts w:ascii="Times New Roman" w:hAnsi="Times New Roman"/>
                <w:sz w:val="24"/>
              </w:rPr>
              <w:t>Az 575/2013/EU rendelet 102. cikke, valamint 105. cikkének (1) bekezdése. Bruttó, instrumentumonként nem nettósított pozíciók azon jegyzési pozíciók levonásával, amelyeket harmadik fél lejegyzett, vagy amelyekre jegyzési garanciát vállal az 575/2013/EU rendelet 345. cikke (1) bekezdése, első albekezdése második mondatának megfelelően. A hosszú és rövid pozícióknak az említett bruttó pozíciókra is alkalmazandó megkülönböztetésével kapcsolatban lásd az említett rendelet 328. cikkének (2) bekezdését.</w:t>
            </w:r>
          </w:p>
        </w:tc>
      </w:tr>
      <w:tr w:rsidR="000B0B09" w:rsidRPr="002D60D7" w14:paraId="05A2AFD3" w14:textId="77777777" w:rsidTr="00672D2A">
        <w:tc>
          <w:tcPr>
            <w:tcW w:w="988" w:type="dxa"/>
          </w:tcPr>
          <w:p w14:paraId="0443676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28E370A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NETTÓ POZÍCIÓK (HOSSZÚ ÉS RÖVID)</w:t>
            </w:r>
          </w:p>
          <w:p w14:paraId="38649486" w14:textId="2801053C" w:rsidR="000B0B09" w:rsidRPr="002D60D7" w:rsidRDefault="000B0B09" w:rsidP="004C445F">
            <w:pPr>
              <w:suppressAutoHyphens/>
              <w:rPr>
                <w:rFonts w:ascii="Times New Roman" w:hAnsi="Times New Roman"/>
                <w:sz w:val="24"/>
              </w:rPr>
            </w:pPr>
            <w:r>
              <w:rPr>
                <w:rFonts w:ascii="Times New Roman" w:hAnsi="Times New Roman"/>
                <w:sz w:val="24"/>
              </w:rPr>
              <w:t>Az 575/2013/EU rendelet 327–329., valamint 334. cikke. A hosszú és rövid pozíciók megkülönböztetésével kapcsolatban lásd az említett rendelet 328. cikkének (2) bekezdését.</w:t>
            </w:r>
          </w:p>
        </w:tc>
      </w:tr>
      <w:tr w:rsidR="000B0B09" w:rsidRPr="002D60D7" w14:paraId="4C7D46FF" w14:textId="77777777" w:rsidTr="00672D2A">
        <w:tc>
          <w:tcPr>
            <w:tcW w:w="988" w:type="dxa"/>
          </w:tcPr>
          <w:p w14:paraId="4D3FEEA5"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B3043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TŐKEKÖVETELMÉNNYEL ÉRINTETT POZÍCIÓK</w:t>
            </w:r>
          </w:p>
          <w:p w14:paraId="76B658E5" w14:textId="79039FA9" w:rsidR="000B0B09" w:rsidRPr="002D60D7" w:rsidRDefault="000B0B09" w:rsidP="004C445F">
            <w:pPr>
              <w:suppressAutoHyphens/>
              <w:rPr>
                <w:rFonts w:ascii="Times New Roman" w:hAnsi="Times New Roman"/>
                <w:b/>
                <w:bCs/>
                <w:sz w:val="24"/>
                <w:u w:val="single"/>
              </w:rPr>
            </w:pPr>
            <w:r>
              <w:rPr>
                <w:rFonts w:ascii="Times New Roman" w:hAnsi="Times New Roman"/>
                <w:sz w:val="24"/>
              </w:rPr>
              <w:t>Azok a nettó pozíciók, amelyekre az 575/2013/EU rendelet harmadik része IV. címének 2. fejezetében foglalt különböző módszerek szerint tőkekövetelmény vonatkozik.</w:t>
            </w:r>
          </w:p>
        </w:tc>
      </w:tr>
      <w:tr w:rsidR="000B0B09" w:rsidRPr="002D60D7" w14:paraId="017C014C" w14:textId="77777777" w:rsidTr="00672D2A">
        <w:tc>
          <w:tcPr>
            <w:tcW w:w="988" w:type="dxa"/>
          </w:tcPr>
          <w:p w14:paraId="7D197D9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55F3618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SZAVATOLÓTŐKE-KÖVETELMÉNYEK</w:t>
            </w:r>
          </w:p>
          <w:p w14:paraId="74F1F61F" w14:textId="12ADC1C1" w:rsidR="000B0B09" w:rsidRPr="002D60D7" w:rsidRDefault="000B0B09" w:rsidP="004C445F">
            <w:pPr>
              <w:suppressAutoHyphens/>
              <w:rPr>
                <w:rFonts w:ascii="Times New Roman" w:hAnsi="Times New Roman"/>
                <w:b/>
                <w:bCs/>
                <w:sz w:val="24"/>
                <w:u w:val="single"/>
              </w:rPr>
            </w:pPr>
            <w:r>
              <w:rPr>
                <w:rFonts w:ascii="Times New Roman" w:hAnsi="Times New Roman"/>
                <w:sz w:val="24"/>
              </w:rPr>
              <w:t>Az 575/2013/EU rendelet harmadik része IV. címének 2. fejezete szerinti releváns pozíciók tőkekövetelménye.</w:t>
            </w:r>
          </w:p>
        </w:tc>
      </w:tr>
      <w:tr w:rsidR="000B0B09" w:rsidRPr="002D60D7" w14:paraId="56717AD1" w14:textId="77777777" w:rsidTr="00672D2A">
        <w:tc>
          <w:tcPr>
            <w:tcW w:w="988" w:type="dxa"/>
          </w:tcPr>
          <w:p w14:paraId="0D4A61CE"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7996E138"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TELJES KOCKÁZATI KITETTSÉGÉRTÉK</w:t>
            </w:r>
          </w:p>
          <w:p w14:paraId="2C4B0E54" w14:textId="5566DB68"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Az 575/2013/EU rendelet 92. cikke (6) bekezdésének b) pontja. A szavatolótőke-követelmény 12,5-del való szorzásának az eredménye. </w:t>
            </w:r>
          </w:p>
        </w:tc>
      </w:tr>
    </w:tbl>
    <w:p w14:paraId="5A8176A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Sor</w:t>
            </w:r>
          </w:p>
        </w:tc>
      </w:tr>
      <w:tr w:rsidR="000B0B09" w:rsidRPr="002D60D7" w14:paraId="278DCECA" w14:textId="77777777" w:rsidTr="00672D2A">
        <w:trPr>
          <w:trHeight w:val="1168"/>
        </w:trPr>
        <w:tc>
          <w:tcPr>
            <w:tcW w:w="987" w:type="dxa"/>
          </w:tcPr>
          <w:p w14:paraId="2275EBA9"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0010–0350</w:t>
            </w:r>
          </w:p>
        </w:tc>
        <w:tc>
          <w:tcPr>
            <w:tcW w:w="7875" w:type="dxa"/>
          </w:tcPr>
          <w:p w14:paraId="20DE7F5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KERESKEDÉSI KÖNYVBEN NYILVÁNTARTOTT, KERESKEDETT, HITELVISZONYT MEGTESTESÍTŐ INSTRUMENTUMOK</w:t>
            </w:r>
          </w:p>
          <w:p w14:paraId="12C841B7" w14:textId="65FC0FB4" w:rsidR="000B0B09" w:rsidRPr="002D60D7" w:rsidRDefault="000B0B09" w:rsidP="004C445F">
            <w:pPr>
              <w:suppressAutoHyphens/>
              <w:rPr>
                <w:rFonts w:ascii="Times New Roman" w:hAnsi="Times New Roman"/>
                <w:sz w:val="24"/>
              </w:rPr>
            </w:pPr>
            <w:r>
              <w:rPr>
                <w:rFonts w:ascii="Times New Roman" w:hAnsi="Times New Roman"/>
                <w:sz w:val="24"/>
              </w:rPr>
              <w:t>A kereskedett, hitelviszonyt megtestesítő értékpapírokban meglévő, kereskedési könyvben nyilvántartott pozíciókat és az azoknak megfelelő, az 575/2013/EU rendelet 92. cikke (4) bekezdése b) pontjának i. alpontja, valamint az említett rendelet harmadik része IV. címének 2. fejezete szerinti pozíciókockázathoz kapcsolódó szavatolótőke-követelményt a kockázati kategóriától, a lejárattól és az alkalmazott módszertől függően kell feltüntetni.</w:t>
            </w:r>
          </w:p>
        </w:tc>
      </w:tr>
      <w:tr w:rsidR="000B0B09" w:rsidRPr="002D60D7" w14:paraId="2272E4A5" w14:textId="77777777" w:rsidTr="00672D2A">
        <w:tc>
          <w:tcPr>
            <w:tcW w:w="987" w:type="dxa"/>
          </w:tcPr>
          <w:p w14:paraId="0642F5E6"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0011</w:t>
            </w:r>
          </w:p>
        </w:tc>
        <w:tc>
          <w:tcPr>
            <w:tcW w:w="7875" w:type="dxa"/>
          </w:tcPr>
          <w:p w14:paraId="51E03C3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 xml:space="preserve">ÁLTALÁNOS KOCKÁZAT </w:t>
            </w:r>
          </w:p>
        </w:tc>
      </w:tr>
      <w:tr w:rsidR="000B0B09" w:rsidRPr="002D60D7" w14:paraId="55F30C33" w14:textId="77777777" w:rsidTr="00672D2A">
        <w:tc>
          <w:tcPr>
            <w:tcW w:w="987" w:type="dxa"/>
          </w:tcPr>
          <w:p w14:paraId="2CBA5F8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0012</w:t>
            </w:r>
          </w:p>
        </w:tc>
        <w:tc>
          <w:tcPr>
            <w:tcW w:w="7875" w:type="dxa"/>
          </w:tcPr>
          <w:p w14:paraId="04F0038F"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Származtatott ügyletek</w:t>
            </w:r>
          </w:p>
          <w:p w14:paraId="06C530F0" w14:textId="7A78F919" w:rsidR="000B0B09" w:rsidRPr="002D60D7" w:rsidRDefault="000B0B09" w:rsidP="004C445F">
            <w:pPr>
              <w:suppressAutoHyphens/>
              <w:rPr>
                <w:rFonts w:ascii="Times New Roman" w:hAnsi="Times New Roman"/>
                <w:b/>
                <w:bCs/>
                <w:sz w:val="24"/>
                <w:u w:val="single"/>
              </w:rPr>
            </w:pPr>
            <w:r>
              <w:rPr>
                <w:rFonts w:ascii="Times New Roman" w:hAnsi="Times New Roman"/>
                <w:sz w:val="24"/>
              </w:rPr>
              <w:t>A kereskedési könyvi pozíciók kamatlábkockázatának számítása során figyelembe vett származtatott ügyletek, az 575/2013/EU rendelet 328–331. cikkének figyelembevételével, ha e cikkek alkalmazhatók.</w:t>
            </w:r>
          </w:p>
        </w:tc>
      </w:tr>
      <w:tr w:rsidR="000B0B09" w:rsidRPr="002D60D7" w14:paraId="36851B46" w14:textId="77777777" w:rsidTr="00672D2A">
        <w:tc>
          <w:tcPr>
            <w:tcW w:w="987" w:type="dxa"/>
          </w:tcPr>
          <w:p w14:paraId="6827F66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0013</w:t>
            </w:r>
          </w:p>
        </w:tc>
        <w:tc>
          <w:tcPr>
            <w:tcW w:w="7875" w:type="dxa"/>
          </w:tcPr>
          <w:p w14:paraId="6024297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Egyéb eszközök és kötelezettségek</w:t>
            </w:r>
          </w:p>
          <w:p w14:paraId="665719C9" w14:textId="77777777"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A kereskedési könyvi pozíciók kamatlábkockázatának számítása során figyelembe vett származtatott ügyleteken kívüli instrumentumok. </w:t>
            </w:r>
          </w:p>
        </w:tc>
      </w:tr>
      <w:tr w:rsidR="000B0B09" w:rsidRPr="002D60D7" w14:paraId="177EBA5C" w14:textId="77777777" w:rsidTr="00672D2A">
        <w:tc>
          <w:tcPr>
            <w:tcW w:w="987" w:type="dxa"/>
          </w:tcPr>
          <w:p w14:paraId="2B740B7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0020–0200</w:t>
            </w:r>
          </w:p>
        </w:tc>
        <w:tc>
          <w:tcPr>
            <w:tcW w:w="7875" w:type="dxa"/>
          </w:tcPr>
          <w:p w14:paraId="1DE7E50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LEJÁRATON ALAPULÓ MÓDSZER</w:t>
            </w:r>
          </w:p>
          <w:p w14:paraId="644A7531" w14:textId="671AD153" w:rsidR="000B0B09" w:rsidRPr="002D60D7" w:rsidRDefault="000B0B09" w:rsidP="004C445F">
            <w:pPr>
              <w:suppressAutoHyphens/>
              <w:rPr>
                <w:rFonts w:ascii="Times New Roman" w:hAnsi="Times New Roman"/>
                <w:b/>
                <w:bCs/>
                <w:sz w:val="24"/>
                <w:u w:val="single"/>
              </w:rPr>
            </w:pPr>
            <w:r>
              <w:rPr>
                <w:rFonts w:ascii="Times New Roman" w:hAnsi="Times New Roman"/>
                <w:sz w:val="24"/>
              </w:rPr>
              <w:t>A kereskedett, hitelviszonyt megtestesítő értékpapírokban meglévő pozíciók, amelyek az 575/2013/EU rendelet 339. cikkének (1)–(8) bekezdésében említett, lejáraton alapuló módszer, valamint az annak megfelelő, az említett rendelet 339. cikkének (9) bekezdése szerint kiszámított szavatolótőke-követelmények alkalmazási körébe tartoznak. A pozíciót 1., 2. és 3. zónára, ezeket pedig az instrumentumok lejárata szerint kell felosztani.</w:t>
            </w:r>
          </w:p>
        </w:tc>
      </w:tr>
      <w:tr w:rsidR="000B0B09" w:rsidRPr="002D60D7" w14:paraId="79DAC997" w14:textId="77777777" w:rsidTr="00672D2A">
        <w:tc>
          <w:tcPr>
            <w:tcW w:w="987" w:type="dxa"/>
          </w:tcPr>
          <w:p w14:paraId="73C021E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0210–0240</w:t>
            </w:r>
          </w:p>
        </w:tc>
        <w:tc>
          <w:tcPr>
            <w:tcW w:w="7875" w:type="dxa"/>
          </w:tcPr>
          <w:p w14:paraId="2CE27E6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ÁLTALÁNOS KOCKÁZAT. AZ ÁTLAGOS HÁTRALÉVŐ FUTAMIDŐN ALAPULÓ MÓDSZER</w:t>
            </w:r>
          </w:p>
          <w:p w14:paraId="08171DB1" w14:textId="5B3E8AB1" w:rsidR="000B0B09" w:rsidRPr="002D60D7" w:rsidRDefault="000B0B09" w:rsidP="004C445F">
            <w:pPr>
              <w:suppressAutoHyphens/>
              <w:rPr>
                <w:rFonts w:ascii="Times New Roman" w:hAnsi="Times New Roman"/>
                <w:b/>
                <w:bCs/>
                <w:sz w:val="24"/>
                <w:u w:val="single"/>
              </w:rPr>
            </w:pPr>
            <w:r>
              <w:rPr>
                <w:rFonts w:ascii="Times New Roman" w:hAnsi="Times New Roman"/>
                <w:sz w:val="24"/>
              </w:rPr>
              <w:t>A kereskedett, hitelviszonyt megtestesítő értékpapírokban meglévő pozíciók, amelyek az 575/2013/EU rendelet 340. cikkének (1)–(6) bekezdésében említett, átlagos hátralévő futamidőn alapuló módszer, valamint az annak megfelelő, az említett rendelet 340. cikkének (7) bekezdése szerint kiszámított szavatolótőke-követelmények alkalmazási körébe tartoznak. A pozíciót 1., 2. és 3. zónára kell felosztani.</w:t>
            </w:r>
          </w:p>
        </w:tc>
      </w:tr>
      <w:tr w:rsidR="000B0B09" w:rsidRPr="002D60D7" w14:paraId="7DD483EC" w14:textId="77777777" w:rsidTr="00672D2A">
        <w:tc>
          <w:tcPr>
            <w:tcW w:w="987" w:type="dxa"/>
          </w:tcPr>
          <w:p w14:paraId="5974B23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0250</w:t>
            </w:r>
          </w:p>
        </w:tc>
        <w:tc>
          <w:tcPr>
            <w:tcW w:w="7875" w:type="dxa"/>
          </w:tcPr>
          <w:p w14:paraId="6CE50A3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EGYEDI KOCKÁZAT</w:t>
            </w:r>
          </w:p>
          <w:p w14:paraId="29C6E3D0" w14:textId="77777777" w:rsidR="000B0B09" w:rsidRPr="002D60D7" w:rsidRDefault="000B0B09" w:rsidP="004C445F">
            <w:pPr>
              <w:suppressAutoHyphens/>
              <w:rPr>
                <w:rFonts w:ascii="Times New Roman" w:hAnsi="Times New Roman"/>
                <w:sz w:val="24"/>
              </w:rPr>
            </w:pPr>
            <w:r>
              <w:rPr>
                <w:rFonts w:ascii="Times New Roman" w:hAnsi="Times New Roman"/>
                <w:sz w:val="24"/>
              </w:rPr>
              <w:t xml:space="preserve">A 0251-es, 0325-ös és 0330-as sorban megadott értékek összege. </w:t>
            </w:r>
          </w:p>
          <w:p w14:paraId="4E1E5CA2" w14:textId="0C1E6FCB" w:rsidR="000B0B09" w:rsidRPr="002D60D7" w:rsidRDefault="000B0B09" w:rsidP="004C445F">
            <w:pPr>
              <w:suppressAutoHyphens/>
              <w:rPr>
                <w:rFonts w:ascii="Times New Roman" w:hAnsi="Times New Roman"/>
                <w:b/>
                <w:bCs/>
                <w:sz w:val="24"/>
                <w:u w:val="single"/>
              </w:rPr>
            </w:pPr>
            <w:r>
              <w:rPr>
                <w:rFonts w:ascii="Times New Roman" w:hAnsi="Times New Roman"/>
                <w:sz w:val="24"/>
              </w:rPr>
              <w:t>A kereskedett, hitelviszonyt megtestesítő értékpapírokban meglévő pozíciók, amelyek az egyedi kockázathoz kapcsolódó tőkekövetelmény hatálya alá tartoznak, valamint a rájuk vonatkozó tőkekövetelmények az 575/2013/EU rendelet 92. cikke (3) bekezdésének b) pontja, 335. cikke, 336. cikkének (1), (2) és (3) bekezdése, valamint 337. és 338. cikke szerint. Figyelembe kell venni továbbá az említett rendelet 327. cikke (1) bekezdésének utolsó mondatát.</w:t>
            </w:r>
          </w:p>
        </w:tc>
      </w:tr>
      <w:tr w:rsidR="000B0B09" w:rsidRPr="002D60D7" w14:paraId="6F8691E7" w14:textId="77777777" w:rsidTr="00672D2A">
        <w:tc>
          <w:tcPr>
            <w:tcW w:w="987" w:type="dxa"/>
          </w:tcPr>
          <w:p w14:paraId="5CD5E31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0251–0321</w:t>
            </w:r>
          </w:p>
        </w:tc>
        <w:tc>
          <w:tcPr>
            <w:tcW w:w="7875" w:type="dxa"/>
          </w:tcPr>
          <w:p w14:paraId="14764BB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 nem értékpapírosítási pozíciót jelentő, hitelviszonyt megtestesítő instrumentumok szavatolótőke-követelménye</w:t>
            </w:r>
          </w:p>
          <w:p w14:paraId="19437B35" w14:textId="77777777" w:rsidR="000B0B09" w:rsidRPr="002D60D7" w:rsidRDefault="000B0B09" w:rsidP="004C445F">
            <w:pPr>
              <w:suppressAutoHyphens/>
              <w:rPr>
                <w:rFonts w:ascii="Times New Roman" w:hAnsi="Times New Roman"/>
                <w:sz w:val="24"/>
              </w:rPr>
            </w:pPr>
            <w:r>
              <w:rPr>
                <w:rFonts w:ascii="Times New Roman" w:hAnsi="Times New Roman"/>
                <w:sz w:val="24"/>
              </w:rPr>
              <w:t>A 260–321-es sorokban megadott értékek összege.</w:t>
            </w:r>
          </w:p>
          <w:p w14:paraId="4CDA5DEB" w14:textId="4AB00123" w:rsidR="000B0B09" w:rsidRPr="002D60D7" w:rsidRDefault="000B0B09" w:rsidP="004C445F">
            <w:pPr>
              <w:suppressAutoHyphens/>
              <w:rPr>
                <w:rFonts w:ascii="Times New Roman" w:hAnsi="Times New Roman"/>
                <w:sz w:val="24"/>
              </w:rPr>
            </w:pPr>
            <w:r>
              <w:rPr>
                <w:rFonts w:ascii="Times New Roman" w:hAnsi="Times New Roman"/>
                <w:sz w:val="24"/>
              </w:rPr>
              <w:t xml:space="preserve">A külső minősítéssel nem rendelkező, n-edik nemteljesítéskor lehívható hitelderivatívák szavatolótőke-követelményét az alaptermék-kibocsátók kockázati súlyainak összeadásával kell kiszámítani (az 575/2013/EU rendelet 332. cikke (1) bekezdésének e) pontja és 332. cikke (1) bekezdésének második albekezdése – az alapul szolgáló eszközök vizsgálata). A külső minősítéssel rendelkező, n-edik nemteljesítéskor lehívható hitelderivatívákat (az 575/2013/EU rendelet 332. cikke (1) bekezdésének harmadik albekezdése) külön kell feltüntetni a 321-es sorban. </w:t>
            </w:r>
          </w:p>
          <w:p w14:paraId="7051ED04" w14:textId="439958FE" w:rsidR="000B0B09" w:rsidRPr="002D60D7" w:rsidRDefault="000B0B09" w:rsidP="004C445F">
            <w:pPr>
              <w:suppressAutoHyphens/>
              <w:rPr>
                <w:rFonts w:ascii="Times New Roman" w:hAnsi="Times New Roman"/>
                <w:sz w:val="24"/>
              </w:rPr>
            </w:pPr>
            <w:r>
              <w:rPr>
                <w:rFonts w:ascii="Times New Roman" w:hAnsi="Times New Roman"/>
                <w:sz w:val="24"/>
              </w:rPr>
              <w:t xml:space="preserve">Az 575/2013/EU rendelet 336. cikkének (3) bekezdése szerinti pozíciókkal kapcsolatos adatszolgáltatás: </w:t>
            </w:r>
            <w:r>
              <w:t>az említett rendelet 129. cikkének (3) bekezdése szerint speciálisan kezelendők azok a kötvények, amelyek a banki könyvben 10 %-ot elérő kockázati súlyt képviselnek (fedezett kötvények).</w:t>
            </w:r>
            <w:r>
              <w:rPr>
                <w:rFonts w:ascii="Times New Roman" w:hAnsi="Times New Roman"/>
                <w:sz w:val="24"/>
              </w:rPr>
              <w:t xml:space="preserve"> Az egyedi szavatolótőke-követelmény az 575/2013/EU rendelet 336. cikke 1. táblázatának második kategóriájában említett százalékos arány fele. Ezeket a pozíciókat a végső lejáratig hátralévő idő alapján kell a 0280–0300-as sorokban feltüntetni.</w:t>
            </w:r>
          </w:p>
          <w:p w14:paraId="11FE9AD5" w14:textId="6CF7D4D9" w:rsidR="000B0B09" w:rsidRPr="002D60D7" w:rsidRDefault="00F41508" w:rsidP="004C445F">
            <w:pPr>
              <w:suppressAutoHyphens/>
              <w:rPr>
                <w:rFonts w:ascii="Times New Roman" w:hAnsi="Times New Roman"/>
                <w:b/>
                <w:bCs/>
                <w:sz w:val="24"/>
                <w:u w:val="single"/>
              </w:rPr>
            </w:pPr>
            <w:r>
              <w:rPr>
                <w:rFonts w:ascii="Times New Roman" w:hAnsi="Times New Roman"/>
                <w:sz w:val="24"/>
              </w:rPr>
              <w:t xml:space="preserve">Ha a kamatláb-pozíciók általános kockázatát hitelderivatíva fedezi, akkor az 575/2013/EU rendelet 346. és 347. cikke alkalmazandó. </w:t>
            </w:r>
          </w:p>
        </w:tc>
      </w:tr>
      <w:tr w:rsidR="000B0B09" w:rsidRPr="002D60D7" w14:paraId="3F2475A8" w14:textId="77777777" w:rsidTr="00672D2A">
        <w:tc>
          <w:tcPr>
            <w:tcW w:w="987" w:type="dxa"/>
          </w:tcPr>
          <w:p w14:paraId="1898316C"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0325</w:t>
            </w:r>
          </w:p>
        </w:tc>
        <w:tc>
          <w:tcPr>
            <w:tcW w:w="7875" w:type="dxa"/>
          </w:tcPr>
          <w:p w14:paraId="21ACC24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Az értékpapírosított eszközök szavatolótőke-követelménye</w:t>
            </w:r>
          </w:p>
          <w:p w14:paraId="7BA68AB7"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Az MKR SA SEC tábla 0601-es oszlopában feltüntetett teljes szavatolótőke-követelmény. Az említett teljes szavatolótőke-követelményt csak az MKR SA TDI „Összesen” sorában kell megadni.</w:t>
            </w:r>
          </w:p>
        </w:tc>
      </w:tr>
      <w:tr w:rsidR="000B0B09" w:rsidRPr="002D60D7" w14:paraId="55688787" w14:textId="77777777" w:rsidTr="00672D2A">
        <w:tc>
          <w:tcPr>
            <w:tcW w:w="987" w:type="dxa"/>
          </w:tcPr>
          <w:p w14:paraId="74C28C83"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0330</w:t>
            </w:r>
          </w:p>
        </w:tc>
        <w:tc>
          <w:tcPr>
            <w:tcW w:w="7875" w:type="dxa"/>
          </w:tcPr>
          <w:p w14:paraId="66957FA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 korrelációkereskedési portfólió szavatolótőke-követelménye</w:t>
            </w:r>
          </w:p>
          <w:p w14:paraId="104F8330"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Az MKR SA CTP tábla 0450-es oszlopában feltüntetett teljes szavatolótőke-követelmény. Az említett teljes szavatolótőke-követelményt csak az MKR SA TDI „Összesen” sorában kell megadni.</w:t>
            </w:r>
          </w:p>
        </w:tc>
      </w:tr>
      <w:tr w:rsidR="000B0B09" w:rsidRPr="002D60D7" w14:paraId="230D0723" w14:textId="77777777" w:rsidTr="00672D2A">
        <w:tc>
          <w:tcPr>
            <w:tcW w:w="987" w:type="dxa"/>
          </w:tcPr>
          <w:p w14:paraId="26241DA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0350–0390</w:t>
            </w:r>
          </w:p>
        </w:tc>
        <w:tc>
          <w:tcPr>
            <w:tcW w:w="7875" w:type="dxa"/>
          </w:tcPr>
          <w:p w14:paraId="5291B6A7" w14:textId="77777777" w:rsidR="000B0B09" w:rsidRPr="002D60D7" w:rsidRDefault="000B0B09"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berschrift"/>
                <w:rFonts w:ascii="Times New Roman" w:hAnsi="Times New Roman"/>
                <w:sz w:val="24"/>
              </w:rPr>
              <w:t xml:space="preserve">OPCIÓKRA VONATKOZÓ TOVÁBBI KÖVETELMÉNYEK (NEM DELTA KOCKÁZATOK) </w:t>
            </w:r>
          </w:p>
          <w:p w14:paraId="3B19069A" w14:textId="2AE3D272" w:rsidR="000B0B09" w:rsidRPr="002D60D7" w:rsidRDefault="000B0B09" w:rsidP="004C445F">
            <w:pPr>
              <w:suppressAutoHyphens/>
              <w:rPr>
                <w:rFonts w:ascii="Times New Roman" w:hAnsi="Times New Roman"/>
                <w:sz w:val="24"/>
              </w:rPr>
            </w:pPr>
            <w:r>
              <w:rPr>
                <w:rFonts w:ascii="Times New Roman" w:hAnsi="Times New Roman"/>
                <w:sz w:val="24"/>
              </w:rPr>
              <w:t>Az 575/2013/EU rendelet 329. cikkének (3) bekezdése.</w:t>
            </w:r>
          </w:p>
          <w:p w14:paraId="4A1F04EE" w14:textId="77777777" w:rsidR="000B0B09" w:rsidRPr="002D60D7" w:rsidRDefault="000B0B09" w:rsidP="004C445F">
            <w:pPr>
              <w:suppressAutoHyphens/>
              <w:rPr>
                <w:rFonts w:ascii="Times New Roman" w:hAnsi="Times New Roman"/>
                <w:bCs/>
                <w:sz w:val="24"/>
              </w:rPr>
            </w:pPr>
            <w:r>
              <w:rPr>
                <w:rFonts w:ascii="Times New Roman" w:hAnsi="Times New Roman"/>
                <w:sz w:val="24"/>
              </w:rPr>
              <w:t>A nem delta kockázatokkal kapcsolatos, opciókra vonatkozó további követelményeket a kiszámításukhoz használt módszer szerinti bontásban kell feltüntetni.</w:t>
            </w:r>
          </w:p>
        </w:tc>
      </w:tr>
    </w:tbl>
    <w:p w14:paraId="45D79A0A"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833243"/>
      <w:r>
        <w:rPr>
          <w:rFonts w:ascii="Times New Roman" w:hAnsi="Times New Roman"/>
          <w:sz w:val="24"/>
          <w:u w:val="none"/>
        </w:rPr>
        <w:t>3.</w:t>
      </w:r>
      <w:r w:rsidRPr="00B73089">
        <w:rPr>
          <w:u w:val="none"/>
        </w:rPr>
        <w:tab/>
      </w:r>
      <w:r>
        <w:rPr>
          <w:rFonts w:ascii="Times New Roman" w:hAnsi="Times New Roman"/>
          <w:sz w:val="24"/>
        </w:rPr>
        <w:t>C 19.00 – PIACI KOCKÁZAT: AZ ÉRTÉKPAPÍROSÍTÁSOK EGYEDI KOCKÁZATÁNAK SZTENDERD MÓDSZERE (MKR SA SEC)</w:t>
      </w:r>
      <w:bookmarkEnd w:id="52"/>
      <w:bookmarkEnd w:id="53"/>
      <w:bookmarkEnd w:id="54"/>
      <w:bookmarkEnd w:id="55"/>
      <w:bookmarkEnd w:id="56"/>
      <w:bookmarkEnd w:id="57"/>
      <w:bookmarkEnd w:id="58"/>
    </w:p>
    <w:p w14:paraId="77E74540" w14:textId="159B56B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833244"/>
      <w:r>
        <w:rPr>
          <w:rFonts w:ascii="Times New Roman" w:hAnsi="Times New Roman"/>
          <w:sz w:val="24"/>
          <w:u w:val="none"/>
        </w:rPr>
        <w:t>3.1.</w:t>
      </w:r>
      <w:r w:rsidRPr="00B73089">
        <w:rPr>
          <w:u w:val="none"/>
        </w:rPr>
        <w:tab/>
      </w:r>
      <w:r>
        <w:rPr>
          <w:rFonts w:ascii="Times New Roman" w:hAnsi="Times New Roman"/>
          <w:sz w:val="24"/>
        </w:rPr>
        <w:t>Általános megjegyzések</w:t>
      </w:r>
      <w:bookmarkEnd w:id="59"/>
      <w:bookmarkEnd w:id="60"/>
      <w:bookmarkEnd w:id="61"/>
      <w:bookmarkEnd w:id="62"/>
      <w:bookmarkEnd w:id="63"/>
      <w:bookmarkEnd w:id="64"/>
      <w:bookmarkEnd w:id="65"/>
    </w:p>
    <w:p w14:paraId="7E5893C5" w14:textId="18DD7193" w:rsidR="00FC6275" w:rsidRPr="002D60D7"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 xml:space="preserve">Ezen a táblán a sztenderd módszer alkalmazási körébe tartozó pozíciókról (összes/nettó, hosszú/rövid), valamint az ezekhez kapcsolódóan a kereskedési könyvben nyilvántartott (a korrelációkereskedési portfólióban figyelembe nem vehető) értékpapírosítások és újra-értékpapírosítások pozíciókockázatán belüli egyedi kockázatra vonatkozó szavatolótőke-követelményről kell adatot szolgáltatni. </w:t>
      </w:r>
    </w:p>
    <w:p w14:paraId="2729DF95" w14:textId="1BA228E4" w:rsidR="00FC6275" w:rsidRPr="002D60D7" w:rsidRDefault="00FC6275" w:rsidP="00E172EA">
      <w:pPr>
        <w:pStyle w:val="InstructionsText2"/>
        <w:numPr>
          <w:ilvl w:val="0"/>
          <w:numId w:val="29"/>
        </w:numPr>
        <w:suppressAutoHyphens/>
      </w:pPr>
      <w:r>
        <w:t xml:space="preserve">Az MKR SA SEC tábla kizárólag az 575/2013/EU rendelet 335. cikke, valamint azzal összefüggésben az említett rendelet 337. cikke szerinti értékpapírosítási pozíciók egyedi kockázatához kapcsolódó szavatolótőke-követelményt adja meg. Ha a kereskedési könyvben nyilvántartott értékpapírosítási pozíciókat hitelderivatívákkal fedezik, akkor az 575/2013/EU rendelet 346. és 347. cikkét kell alkalmazni. Valamennyi kereskedési könyvi pozícióról egy táblán kell adatot szolgáltatni attól függetlenül, hogy a befektetési vállalkozás melyik módszert alkalmazza az 575/2013/EU rendelet harmadik része II. címének 5. fejezete szerinti egyes pozíciók kockázati súlyának meghatározásakor. Az e pozíciók általános kockázatához kapcsolódó szavatolótőke-követelményre vonatkozó adatszolgáltatás az MKR SA TDI vagy az MKR IM táblán történik. </w:t>
      </w:r>
    </w:p>
    <w:p w14:paraId="0C732A14" w14:textId="3FF74494" w:rsidR="00FC6275" w:rsidRPr="002D60D7" w:rsidRDefault="00FC6275" w:rsidP="00E172EA">
      <w:pPr>
        <w:pStyle w:val="InstructionsText2"/>
        <w:numPr>
          <w:ilvl w:val="0"/>
          <w:numId w:val="29"/>
        </w:numPr>
        <w:suppressAutoHyphens/>
      </w:pPr>
      <w:r>
        <w:t>Az 1 250 %-os kockázati súlyú pozíciók az elsődleges alapvető tőkéből (CET1) is levonhatók (lásd az 575/2013/EU rendelet 244. cikke (1) bekezdésének b) pontját, 245. cikke (1) bekezdésének b) pontját és 253. cikkét). Az említett pozíciókat ebben a táblában kell feltüntetni, még akkor is, ha az intézmény él a levonás lehetőségével.</w:t>
      </w:r>
    </w:p>
    <w:p w14:paraId="3921F7AA" w14:textId="2BCB0F9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2" w:name="_Toc210833245"/>
      <w:r>
        <w:rPr>
          <w:rFonts w:ascii="Times New Roman" w:hAnsi="Times New Roman"/>
          <w:sz w:val="24"/>
          <w:u w:val="none"/>
        </w:rPr>
        <w:t>3.2.</w:t>
      </w:r>
      <w:r w:rsidRPr="00B73089">
        <w:rPr>
          <w:u w:val="none"/>
        </w:rPr>
        <w:tab/>
      </w:r>
      <w:r>
        <w:rPr>
          <w:rFonts w:ascii="Times New Roman" w:hAnsi="Times New Roman"/>
          <w:sz w:val="24"/>
        </w:rPr>
        <w:t>A tábla egyes részeire vonatkozó útmutató</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Oszlop</w:t>
            </w:r>
          </w:p>
        </w:tc>
      </w:tr>
      <w:tr w:rsidR="00C55547" w:rsidRPr="002D60D7" w14:paraId="25DD94D3" w14:textId="77777777" w:rsidTr="000911FE">
        <w:tc>
          <w:tcPr>
            <w:tcW w:w="1413" w:type="dxa"/>
          </w:tcPr>
          <w:p w14:paraId="1C45AB39"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605" w:type="dxa"/>
          </w:tcPr>
          <w:p w14:paraId="37C65F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ÖSSZES POZÍCIÓ (HOSSZÚ ÉS RÖVID)</w:t>
            </w:r>
          </w:p>
          <w:p w14:paraId="503F4241" w14:textId="0DAFF941" w:rsidR="00C55547" w:rsidRPr="002D60D7" w:rsidRDefault="00C55547" w:rsidP="004C445F">
            <w:pPr>
              <w:suppressAutoHyphens/>
              <w:rPr>
                <w:rFonts w:ascii="Times New Roman" w:hAnsi="Times New Roman"/>
                <w:sz w:val="24"/>
              </w:rPr>
            </w:pPr>
            <w:r>
              <w:rPr>
                <w:rFonts w:ascii="Times New Roman" w:hAnsi="Times New Roman"/>
                <w:sz w:val="24"/>
              </w:rPr>
              <w:t xml:space="preserve">Az 575/2013/EU rendelet </w:t>
            </w:r>
            <w:r>
              <w:rPr>
                <w:rStyle w:val="InstructionsTabelleText"/>
                <w:rFonts w:ascii="Times New Roman" w:hAnsi="Times New Roman"/>
                <w:sz w:val="24"/>
              </w:rPr>
              <w:t>102. cikke, valamint 105.</w:t>
            </w:r>
            <w:r>
              <w:rPr>
                <w:rFonts w:ascii="Times New Roman" w:hAnsi="Times New Roman"/>
                <w:sz w:val="24"/>
              </w:rPr>
              <w:t xml:space="preserve"> cikkének (1) bekezdése az említett rendelet </w:t>
            </w:r>
            <w:r>
              <w:rPr>
                <w:rStyle w:val="InstructionsTabelleText"/>
                <w:rFonts w:ascii="Times New Roman" w:hAnsi="Times New Roman"/>
                <w:sz w:val="24"/>
              </w:rPr>
              <w:t>337. cikkével összefüggésben</w:t>
            </w:r>
            <w:r>
              <w:rPr>
                <w:rFonts w:ascii="Times New Roman" w:hAnsi="Times New Roman"/>
                <w:sz w:val="24"/>
              </w:rPr>
              <w:t xml:space="preserve"> </w:t>
            </w:r>
            <w:r>
              <w:rPr>
                <w:rStyle w:val="InstructionsTabelleText"/>
                <w:rFonts w:ascii="Times New Roman" w:hAnsi="Times New Roman"/>
                <w:sz w:val="24"/>
              </w:rPr>
              <w:t>(értékpapírosítási pozíciók)</w:t>
            </w:r>
            <w:r>
              <w:rPr>
                <w:rFonts w:ascii="Times New Roman" w:hAnsi="Times New Roman"/>
                <w:sz w:val="24"/>
              </w:rPr>
              <w:t>.</w:t>
            </w:r>
            <w:r>
              <w:rPr>
                <w:rStyle w:val="InstructionsTabelleText"/>
                <w:rFonts w:ascii="Times New Roman" w:hAnsi="Times New Roman"/>
                <w:sz w:val="24"/>
              </w:rPr>
              <w:t xml:space="preserve"> A hosszú és rövid pozícióknak az említett bruttó pozíciókra is alkalmazandó megkülönböztetésével kapcsolatban lásd az említett rendelet 328. cikkének (2) bekezdését. </w:t>
            </w:r>
          </w:p>
        </w:tc>
      </w:tr>
      <w:tr w:rsidR="00C55547" w:rsidRPr="002D60D7" w14:paraId="22839602" w14:textId="77777777" w:rsidTr="000911FE">
        <w:tc>
          <w:tcPr>
            <w:tcW w:w="1413" w:type="dxa"/>
          </w:tcPr>
          <w:p w14:paraId="40A33AF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605" w:type="dxa"/>
          </w:tcPr>
          <w:p w14:paraId="511B020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SZAVATOLÓTŐKÉBŐL LEVONT POZÍCIÓK</w:t>
            </w:r>
            <w:r>
              <w:rPr>
                <w:rFonts w:ascii="Times New Roman" w:hAnsi="Times New Roman"/>
                <w:sz w:val="24"/>
              </w:rPr>
              <w:t xml:space="preserve"> </w:t>
            </w:r>
            <w:r>
              <w:rPr>
                <w:rFonts w:ascii="Times New Roman" w:hAnsi="Times New Roman"/>
                <w:b/>
                <w:sz w:val="24"/>
                <w:u w:val="single"/>
              </w:rPr>
              <w:t>(HOSSZÚ ÉS RÖVID)</w:t>
            </w:r>
          </w:p>
          <w:p w14:paraId="1429CBFE" w14:textId="1A440B37" w:rsidR="00C55547" w:rsidRPr="002D60D7" w:rsidRDefault="00705025"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 </w:t>
            </w:r>
            <w:r>
              <w:rPr>
                <w:rFonts w:ascii="Times New Roman" w:hAnsi="Times New Roman"/>
                <w:sz w:val="24"/>
              </w:rPr>
              <w:t xml:space="preserve">Az 575/2013/EU rendelet </w:t>
            </w:r>
            <w:r>
              <w:rPr>
                <w:rStyle w:val="InstructionsTabelleText"/>
                <w:rFonts w:ascii="Times New Roman" w:hAnsi="Times New Roman"/>
                <w:sz w:val="24"/>
              </w:rPr>
              <w:t>244. cikke (1) bekezdésének b) pontja, 245. cikke (1) bekezdésének b) pontja, valamint 253. cikke</w:t>
            </w:r>
          </w:p>
        </w:tc>
      </w:tr>
      <w:tr w:rsidR="00C55547" w:rsidRPr="002D60D7" w14:paraId="16C58348" w14:textId="77777777" w:rsidTr="000911FE">
        <w:tc>
          <w:tcPr>
            <w:tcW w:w="1413" w:type="dxa"/>
          </w:tcPr>
          <w:p w14:paraId="2D1E9030"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605" w:type="dxa"/>
          </w:tcPr>
          <w:p w14:paraId="088E438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NETTÓ POZÍCIÓK</w:t>
            </w:r>
            <w:r>
              <w:rPr>
                <w:rFonts w:ascii="Times New Roman" w:hAnsi="Times New Roman"/>
                <w:sz w:val="24"/>
              </w:rPr>
              <w:t xml:space="preserve"> </w:t>
            </w:r>
            <w:r>
              <w:rPr>
                <w:rFonts w:ascii="Times New Roman" w:hAnsi="Times New Roman"/>
                <w:b/>
                <w:sz w:val="24"/>
                <w:u w:val="single"/>
              </w:rPr>
              <w:t>(HOSSZÚ ÉS RÖVID)</w:t>
            </w:r>
          </w:p>
          <w:p w14:paraId="54C14D76" w14:textId="32F9EC29" w:rsidR="00C55547" w:rsidRPr="002D60D7" w:rsidRDefault="00C55547" w:rsidP="004C445F">
            <w:pPr>
              <w:suppressAutoHyphens/>
              <w:rPr>
                <w:rStyle w:val="InstructionsTabelleText"/>
                <w:rFonts w:ascii="Times New Roman" w:hAnsi="Times New Roman"/>
                <w:sz w:val="24"/>
              </w:rPr>
            </w:pPr>
            <w:r>
              <w:rPr>
                <w:rFonts w:ascii="Times New Roman" w:hAnsi="Times New Roman"/>
                <w:sz w:val="24"/>
              </w:rPr>
              <w:t xml:space="preserve">Az 575/2013/EU rendelet </w:t>
            </w:r>
            <w:r>
              <w:rPr>
                <w:rStyle w:val="InstructionsTabelleText"/>
                <w:rFonts w:ascii="Times New Roman" w:hAnsi="Times New Roman"/>
                <w:sz w:val="24"/>
              </w:rPr>
              <w:t>327., 328., 329 és 334.</w:t>
            </w:r>
            <w:r>
              <w:rPr>
                <w:rFonts w:ascii="Times New Roman" w:hAnsi="Times New Roman"/>
                <w:sz w:val="24"/>
              </w:rPr>
              <w:t xml:space="preserve"> cikke</w:t>
            </w:r>
            <w:r>
              <w:rPr>
                <w:rStyle w:val="InstructionsTabelleText"/>
                <w:rFonts w:ascii="Times New Roman" w:hAnsi="Times New Roman"/>
                <w:sz w:val="24"/>
              </w:rPr>
              <w:t>. A hosszú és rövid pozíciók megkülönböztetésével kapcsolatban lásd</w:t>
            </w:r>
            <w:r>
              <w:rPr>
                <w:rFonts w:ascii="Times New Roman" w:hAnsi="Times New Roman"/>
                <w:sz w:val="24"/>
              </w:rPr>
              <w:t xml:space="preserve"> az említett rendelet 328. cikkének (2) bekezdését</w:t>
            </w:r>
            <w:r>
              <w:rPr>
                <w:rStyle w:val="InstructionsTabelleText"/>
                <w:rFonts w:ascii="Times New Roman" w:hAnsi="Times New Roman"/>
                <w:sz w:val="24"/>
              </w:rPr>
              <w:t>.</w:t>
            </w:r>
          </w:p>
        </w:tc>
      </w:tr>
      <w:tr w:rsidR="00C55547" w:rsidRPr="002D60D7" w14:paraId="0BDF729C" w14:textId="77777777" w:rsidTr="000911FE">
        <w:tc>
          <w:tcPr>
            <w:tcW w:w="1413" w:type="dxa"/>
          </w:tcPr>
          <w:p w14:paraId="324A2BB6"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0061–0104</w:t>
            </w:r>
          </w:p>
        </w:tc>
        <w:tc>
          <w:tcPr>
            <w:tcW w:w="7605" w:type="dxa"/>
          </w:tcPr>
          <w:p w14:paraId="627BB4B0"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 NETTÓ POZÍCIÓK KOCKÁZATI SÚLY SZERINTI BONTÁSA</w:t>
            </w:r>
          </w:p>
          <w:p w14:paraId="3ECFC065" w14:textId="41D71775" w:rsidR="00C3548F" w:rsidRPr="002D60D7" w:rsidRDefault="00C55547" w:rsidP="004C445F">
            <w:pPr>
              <w:suppressAutoHyphens/>
              <w:rPr>
                <w:rStyle w:val="InstructionsTabelleText"/>
                <w:rFonts w:ascii="Times New Roman" w:hAnsi="Times New Roman"/>
                <w:sz w:val="24"/>
              </w:rPr>
            </w:pPr>
            <w:r>
              <w:rPr>
                <w:rFonts w:ascii="Times New Roman" w:hAnsi="Times New Roman"/>
                <w:sz w:val="24"/>
              </w:rPr>
              <w:t xml:space="preserve">Az 575/2013/EU rendelet </w:t>
            </w:r>
            <w:r>
              <w:rPr>
                <w:rStyle w:val="InstructionsTabelleText"/>
                <w:rFonts w:ascii="Times New Roman" w:hAnsi="Times New Roman"/>
                <w:sz w:val="24"/>
              </w:rPr>
              <w:t xml:space="preserve">259–262. cikke, 263. cikkének 1. és 2. táblázata, 264. cikkének 3. és 4. táblázata, valamint 266. cikke. </w:t>
            </w:r>
          </w:p>
          <w:p w14:paraId="4314B137" w14:textId="77777777"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A hosszú és rövid pozíciókat külön kell csoportosítani.</w:t>
            </w:r>
          </w:p>
        </w:tc>
      </w:tr>
      <w:tr w:rsidR="00C55547" w:rsidRPr="002D60D7" w14:paraId="2A20E80A" w14:textId="77777777" w:rsidTr="000911FE">
        <w:tc>
          <w:tcPr>
            <w:tcW w:w="1413" w:type="dxa"/>
          </w:tcPr>
          <w:p w14:paraId="163C862B"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0402–0406</w:t>
            </w:r>
          </w:p>
        </w:tc>
        <w:tc>
          <w:tcPr>
            <w:tcW w:w="7605" w:type="dxa"/>
          </w:tcPr>
          <w:p w14:paraId="2AF3DB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 NETTÓ POZÍCIÓK MÓDSZEREK SZERINTI BONTÁSA</w:t>
            </w:r>
          </w:p>
          <w:p w14:paraId="683DE902" w14:textId="55DF04AD"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Az 575/2013/EU rendelet </w:t>
            </w:r>
            <w:r>
              <w:rPr>
                <w:rStyle w:val="InstructionsTabelleText"/>
                <w:rFonts w:ascii="Times New Roman" w:hAnsi="Times New Roman"/>
                <w:sz w:val="24"/>
              </w:rPr>
              <w:t>254.</w:t>
            </w:r>
            <w:r>
              <w:rPr>
                <w:rFonts w:ascii="Times New Roman" w:hAnsi="Times New Roman"/>
                <w:sz w:val="24"/>
              </w:rPr>
              <w:t xml:space="preserve"> cikke</w:t>
            </w:r>
            <w:r>
              <w:rPr>
                <w:rStyle w:val="InstructionsTabelleText"/>
                <w:rFonts w:ascii="Times New Roman" w:hAnsi="Times New Roman"/>
                <w:sz w:val="24"/>
              </w:rPr>
              <w:t xml:space="preserve"> </w:t>
            </w:r>
          </w:p>
        </w:tc>
      </w:tr>
      <w:tr w:rsidR="00C55547" w:rsidRPr="002D60D7" w14:paraId="6061874B" w14:textId="77777777" w:rsidTr="000911FE">
        <w:tc>
          <w:tcPr>
            <w:tcW w:w="1413" w:type="dxa"/>
          </w:tcPr>
          <w:p w14:paraId="4B729A34"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w:t>
            </w:r>
          </w:p>
        </w:tc>
        <w:tc>
          <w:tcPr>
            <w:tcW w:w="7605" w:type="dxa"/>
          </w:tcPr>
          <w:p w14:paraId="06929D2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41A48A7C" w14:textId="67C34C11"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Az 575/2013/EU rendelet </w:t>
            </w:r>
            <w:r>
              <w:rPr>
                <w:rStyle w:val="InstructionsTabelleText"/>
                <w:rFonts w:ascii="Times New Roman" w:hAnsi="Times New Roman"/>
                <w:sz w:val="24"/>
              </w:rPr>
              <w:t>259. és 260. cikke</w:t>
            </w:r>
          </w:p>
        </w:tc>
      </w:tr>
      <w:tr w:rsidR="00C55547" w:rsidRPr="002D60D7" w14:paraId="16BB3DCB" w14:textId="77777777" w:rsidTr="000911FE">
        <w:tc>
          <w:tcPr>
            <w:tcW w:w="1413" w:type="dxa"/>
          </w:tcPr>
          <w:p w14:paraId="189036B1"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0403</w:t>
            </w:r>
          </w:p>
        </w:tc>
        <w:tc>
          <w:tcPr>
            <w:tcW w:w="7605" w:type="dxa"/>
          </w:tcPr>
          <w:p w14:paraId="6F8EF419"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5A374E14" w14:textId="4A4A259B" w:rsidR="00C55547" w:rsidRPr="002D60D7" w:rsidRDefault="00C55547" w:rsidP="004C445F">
            <w:pPr>
              <w:suppressAutoHyphens/>
              <w:autoSpaceDE w:val="0"/>
              <w:autoSpaceDN w:val="0"/>
              <w:adjustRightInd w:val="0"/>
              <w:jc w:val="left"/>
              <w:rPr>
                <w:rFonts w:ascii="Times New Roman" w:hAnsi="Times New Roman"/>
                <w:b/>
                <w:bCs/>
                <w:sz w:val="24"/>
                <w:u w:val="single"/>
              </w:rPr>
            </w:pPr>
            <w:r>
              <w:rPr>
                <w:rFonts w:ascii="Times New Roman" w:hAnsi="Times New Roman"/>
                <w:sz w:val="24"/>
              </w:rPr>
              <w:t xml:space="preserve">Az 575/2013/EU rendelet </w:t>
            </w:r>
            <w:r>
              <w:rPr>
                <w:rStyle w:val="InstructionsTabelleText"/>
                <w:rFonts w:ascii="Times New Roman" w:hAnsi="Times New Roman"/>
                <w:sz w:val="24"/>
              </w:rPr>
              <w:t>261. és 262. cikke</w:t>
            </w:r>
          </w:p>
        </w:tc>
      </w:tr>
      <w:tr w:rsidR="00C55547" w:rsidRPr="002D60D7" w14:paraId="0B1E8511" w14:textId="77777777" w:rsidTr="000911FE">
        <w:tc>
          <w:tcPr>
            <w:tcW w:w="1413" w:type="dxa"/>
          </w:tcPr>
          <w:p w14:paraId="283E5722"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0404</w:t>
            </w:r>
          </w:p>
        </w:tc>
        <w:tc>
          <w:tcPr>
            <w:tcW w:w="7605" w:type="dxa"/>
          </w:tcPr>
          <w:p w14:paraId="7AA18A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2250A6DF" w14:textId="199187B3"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Az 575/2013/EU rendelet </w:t>
            </w:r>
            <w:r>
              <w:rPr>
                <w:rStyle w:val="InstructionsTabelleText"/>
                <w:rFonts w:ascii="Times New Roman" w:hAnsi="Times New Roman"/>
                <w:sz w:val="24"/>
              </w:rPr>
              <w:t>263. és 264.</w:t>
            </w:r>
            <w:r>
              <w:rPr>
                <w:rFonts w:ascii="Times New Roman" w:hAnsi="Times New Roman"/>
                <w:sz w:val="24"/>
              </w:rPr>
              <w:t xml:space="preserve"> cikke</w:t>
            </w:r>
          </w:p>
        </w:tc>
      </w:tr>
      <w:tr w:rsidR="00C55547" w:rsidRPr="002D60D7" w14:paraId="76051CC7" w14:textId="77777777" w:rsidTr="000911FE">
        <w:tc>
          <w:tcPr>
            <w:tcW w:w="1413" w:type="dxa"/>
          </w:tcPr>
          <w:p w14:paraId="2CE39EA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0405</w:t>
            </w:r>
          </w:p>
        </w:tc>
        <w:tc>
          <w:tcPr>
            <w:tcW w:w="7605" w:type="dxa"/>
          </w:tcPr>
          <w:p w14:paraId="334AB028"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BELSŐ ÉRTÉKELÉSI MÓDSZER</w:t>
            </w:r>
          </w:p>
          <w:p w14:paraId="5354C48C" w14:textId="38E5A78D" w:rsidR="00C55547" w:rsidRPr="002D60D7" w:rsidRDefault="00C55547" w:rsidP="004C445F">
            <w:pPr>
              <w:suppressAutoHyphens/>
              <w:rPr>
                <w:rFonts w:ascii="Times New Roman" w:hAnsi="Times New Roman"/>
                <w:bCs/>
                <w:sz w:val="24"/>
                <w:u w:val="single"/>
              </w:rPr>
            </w:pPr>
            <w:r>
              <w:rPr>
                <w:rFonts w:ascii="Times New Roman" w:hAnsi="Times New Roman"/>
                <w:sz w:val="24"/>
              </w:rPr>
              <w:t xml:space="preserve">Az 575/2013/EU rendelet </w:t>
            </w:r>
            <w:r>
              <w:rPr>
                <w:rStyle w:val="InstructionsTabelleText"/>
                <w:rFonts w:ascii="Times New Roman" w:hAnsi="Times New Roman"/>
                <w:sz w:val="24"/>
              </w:rPr>
              <w:t>254. és 265. cikke, valamint 266. cikkének (5) bekezdése.</w:t>
            </w:r>
          </w:p>
        </w:tc>
      </w:tr>
      <w:tr w:rsidR="0033476C" w:rsidRPr="002D60D7" w14:paraId="00803C23" w14:textId="77777777" w:rsidTr="000911FE">
        <w:tc>
          <w:tcPr>
            <w:tcW w:w="1413" w:type="dxa"/>
          </w:tcPr>
          <w:p w14:paraId="6969B7D6" w14:textId="7D0DF91C" w:rsidR="0033476C" w:rsidRPr="002D60D7" w:rsidRDefault="0033476C"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0900</w:t>
            </w:r>
          </w:p>
        </w:tc>
        <w:tc>
          <w:tcPr>
            <w:tcW w:w="7605" w:type="dxa"/>
          </w:tcPr>
          <w:p w14:paraId="1E2E9907" w14:textId="3152DD84" w:rsidR="0033476C" w:rsidRPr="002D60D7" w:rsidRDefault="0033476C" w:rsidP="004C445F">
            <w:pPr>
              <w:suppressAutoHyphens/>
              <w:spacing w:before="0" w:after="0"/>
              <w:jc w:val="left"/>
              <w:rPr>
                <w:rFonts w:ascii="Times New Roman" w:hAnsi="Times New Roman"/>
                <w:b/>
                <w:sz w:val="24"/>
                <w:u w:val="single"/>
              </w:rPr>
            </w:pPr>
            <w:r>
              <w:rPr>
                <w:rFonts w:ascii="Times New Roman" w:hAnsi="Times New Roman"/>
                <w:b/>
                <w:sz w:val="24"/>
                <w:u w:val="single"/>
              </w:rPr>
              <w:t>A FIGYELEMBE VEHETŐ NEMTELJESÍTŐ KITETTSÉGEK ÉRTÉKPAPÍROSÍTÁSAI ELŐRESOROLT ÜGYLETRÉSZSOROZATAINAK EGYEDI KEZELÉSE</w:t>
            </w:r>
          </w:p>
          <w:p w14:paraId="17BE744C" w14:textId="40B8EA94" w:rsidR="0033476C" w:rsidRPr="002D60D7" w:rsidRDefault="0033476C" w:rsidP="004C445F">
            <w:pPr>
              <w:suppressAutoHyphens/>
              <w:rPr>
                <w:rFonts w:ascii="Times New Roman" w:hAnsi="Times New Roman"/>
                <w:b/>
                <w:bCs/>
                <w:sz w:val="24"/>
                <w:u w:val="single"/>
              </w:rPr>
            </w:pPr>
            <w:r>
              <w:rPr>
                <w:rFonts w:ascii="Times New Roman" w:hAnsi="Times New Roman"/>
                <w:sz w:val="24"/>
              </w:rPr>
              <w:t>Az 575/2013/EU rendelet 269a. cikkének (3) bekezdése</w:t>
            </w:r>
          </w:p>
        </w:tc>
      </w:tr>
      <w:tr w:rsidR="00C55547" w:rsidRPr="002D60D7" w14:paraId="05BEB883" w14:textId="77777777" w:rsidTr="000911FE">
        <w:tc>
          <w:tcPr>
            <w:tcW w:w="1413" w:type="dxa"/>
          </w:tcPr>
          <w:p w14:paraId="3D2DEA0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0406</w:t>
            </w:r>
          </w:p>
        </w:tc>
        <w:tc>
          <w:tcPr>
            <w:tcW w:w="7605" w:type="dxa"/>
          </w:tcPr>
          <w:p w14:paraId="25786344" w14:textId="4EFB7A5E"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EGYÉB (KOCKÁZATI SÚLY = 1 250</w:t>
            </w:r>
            <w:r>
              <w:t> </w:t>
            </w:r>
            <w:r>
              <w:rPr>
                <w:rFonts w:ascii="Times New Roman" w:hAnsi="Times New Roman"/>
                <w:b/>
                <w:sz w:val="24"/>
                <w:u w:val="single"/>
              </w:rPr>
              <w:t>%</w:t>
            </w:r>
            <w:r>
              <w:t>)</w:t>
            </w:r>
          </w:p>
          <w:p w14:paraId="1684F52F" w14:textId="43F3FE5E"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Az 575/2013/EU rendelet </w:t>
            </w:r>
            <w:r>
              <w:rPr>
                <w:rStyle w:val="InstructionsTabelleText"/>
                <w:rFonts w:ascii="Times New Roman" w:hAnsi="Times New Roman"/>
                <w:sz w:val="24"/>
              </w:rPr>
              <w:t>254. cikkének (7) bekezdése</w:t>
            </w:r>
          </w:p>
        </w:tc>
      </w:tr>
      <w:tr w:rsidR="00C55547" w:rsidRPr="002D60D7" w14:paraId="11316298" w14:textId="77777777" w:rsidTr="000911FE">
        <w:tc>
          <w:tcPr>
            <w:tcW w:w="1413" w:type="dxa"/>
          </w:tcPr>
          <w:p w14:paraId="00B9220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0530–0540</w:t>
            </w:r>
          </w:p>
        </w:tc>
        <w:tc>
          <w:tcPr>
            <w:tcW w:w="7605" w:type="dxa"/>
          </w:tcPr>
          <w:p w14:paraId="595C29DB"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AZ (EU) 2017/2402 RENDELET 2. FEJEZETÉNEK MEGSÉRTÉSE MIATTI ÁLTALÁNOS HATÁS (KORREKCIÓ)</w:t>
            </w:r>
          </w:p>
          <w:p w14:paraId="3FBEAE4C" w14:textId="027236BE"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Az 575/2013/EU rendelet </w:t>
            </w:r>
            <w:r>
              <w:rPr>
                <w:rStyle w:val="InstructionsTabelleText"/>
                <w:rFonts w:ascii="Times New Roman" w:hAnsi="Times New Roman"/>
                <w:sz w:val="24"/>
              </w:rPr>
              <w:t>270a. cikke</w:t>
            </w:r>
          </w:p>
        </w:tc>
      </w:tr>
      <w:tr w:rsidR="00C55547" w:rsidRPr="002D60D7" w14:paraId="2BA98A90" w14:textId="77777777" w:rsidTr="000911FE">
        <w:tc>
          <w:tcPr>
            <w:tcW w:w="1413" w:type="dxa"/>
          </w:tcPr>
          <w:p w14:paraId="2EA0118D"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0570</w:t>
            </w:r>
          </w:p>
        </w:tc>
        <w:tc>
          <w:tcPr>
            <w:tcW w:w="7605" w:type="dxa"/>
          </w:tcPr>
          <w:p w14:paraId="4DCE07C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FELSŐ KORLÁT FIGYELEMBEVÉTELE ELŐTT </w:t>
            </w:r>
          </w:p>
          <w:p w14:paraId="740CD739" w14:textId="54EB1279" w:rsidR="00C55547" w:rsidRPr="002D60D7" w:rsidRDefault="00C55547" w:rsidP="004C445F">
            <w:pPr>
              <w:suppressAutoHyphens/>
              <w:rPr>
                <w:rFonts w:ascii="Times New Roman" w:hAnsi="Times New Roman"/>
                <w:bCs/>
                <w:sz w:val="24"/>
              </w:rPr>
            </w:pPr>
            <w:r>
              <w:rPr>
                <w:rFonts w:ascii="Times New Roman" w:hAnsi="Times New Roman"/>
                <w:sz w:val="24"/>
              </w:rPr>
              <w:t>Az 575/2013/EU rendelet 337. cikke, figyelmen kívül hagyva az említett rendelet 335. cikkében meghatározott jogosultságot, amely alapján egy intézmény a nemteljesítési kockázathoz kapcsolódó veszteség lehetséges maximális összegében korlátozhatja a súly és a nettó pozíció szorzatát.</w:t>
            </w:r>
          </w:p>
        </w:tc>
      </w:tr>
      <w:tr w:rsidR="00C55547" w:rsidRPr="002D60D7" w14:paraId="247B0FB8" w14:textId="77777777" w:rsidTr="000911FE">
        <w:tc>
          <w:tcPr>
            <w:tcW w:w="1413" w:type="dxa"/>
          </w:tcPr>
          <w:p w14:paraId="22357CAC"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0601</w:t>
            </w:r>
          </w:p>
        </w:tc>
        <w:tc>
          <w:tcPr>
            <w:tcW w:w="7605" w:type="dxa"/>
          </w:tcPr>
          <w:p w14:paraId="78FC9B76"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FELSŐ KORLÁT FIGYELEMBEVÉTELE UTÁN / TELJES SZAVATOLÓTŐKE-KÖVETELMÉNY </w:t>
            </w:r>
          </w:p>
          <w:p w14:paraId="0DE4FAED" w14:textId="59308D5D" w:rsidR="00C55547" w:rsidRPr="002D60D7" w:rsidRDefault="00C55547" w:rsidP="004C445F">
            <w:pPr>
              <w:suppressAutoHyphens/>
              <w:rPr>
                <w:rFonts w:ascii="Times New Roman" w:hAnsi="Times New Roman"/>
                <w:bCs/>
                <w:sz w:val="24"/>
              </w:rPr>
            </w:pPr>
            <w:r>
              <w:rPr>
                <w:rFonts w:ascii="Times New Roman" w:hAnsi="Times New Roman"/>
                <w:sz w:val="24"/>
              </w:rPr>
              <w:t xml:space="preserve">Az 575/2013/EU rendelet 337. cikke, figyelembe </w:t>
            </w:r>
            <w:r>
              <w:rPr>
                <w:rStyle w:val="InstructionsTabelleText"/>
                <w:rFonts w:ascii="Times New Roman" w:hAnsi="Times New Roman"/>
                <w:sz w:val="24"/>
              </w:rPr>
              <w:t>véve</w:t>
            </w:r>
            <w:r>
              <w:rPr>
                <w:rFonts w:ascii="Times New Roman" w:hAnsi="Times New Roman"/>
                <w:sz w:val="24"/>
              </w:rPr>
              <w:t xml:space="preserve"> az említett rendelet 335. cikkében meghatározott jogosultságot.</w:t>
            </w:r>
          </w:p>
        </w:tc>
      </w:tr>
    </w:tbl>
    <w:p w14:paraId="2016D379"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Sor</w:t>
            </w:r>
          </w:p>
        </w:tc>
      </w:tr>
      <w:tr w:rsidR="00C55547" w:rsidRPr="002D60D7" w14:paraId="32F42F75" w14:textId="77777777" w:rsidTr="000911FE">
        <w:tc>
          <w:tcPr>
            <w:tcW w:w="1413" w:type="dxa"/>
          </w:tcPr>
          <w:p w14:paraId="4D0640F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537" w:type="dxa"/>
          </w:tcPr>
          <w:p w14:paraId="03F7346E" w14:textId="77777777" w:rsidR="00C55547" w:rsidRPr="002D60D7" w:rsidRDefault="00C55547" w:rsidP="004C445F">
            <w:pPr>
              <w:suppressAutoHyphens/>
              <w:rPr>
                <w:rFonts w:ascii="Times New Roman" w:hAnsi="Times New Roman"/>
                <w:sz w:val="24"/>
              </w:rPr>
            </w:pPr>
            <w:r>
              <w:rPr>
                <w:rStyle w:val="InstructionsTabelleberschrift"/>
                <w:rFonts w:ascii="Times New Roman" w:hAnsi="Times New Roman"/>
                <w:sz w:val="24"/>
              </w:rPr>
              <w:t>TELJES KITETTSÉG</w:t>
            </w:r>
          </w:p>
          <w:p w14:paraId="3DA30B45" w14:textId="36AC07B8" w:rsidR="00C55547" w:rsidRPr="002D60D7" w:rsidRDefault="00C55547" w:rsidP="004C445F">
            <w:pPr>
              <w:suppressAutoHyphens/>
              <w:autoSpaceDE w:val="0"/>
              <w:autoSpaceDN w:val="0"/>
              <w:adjustRightInd w:val="0"/>
              <w:spacing w:before="0" w:after="0"/>
              <w:rPr>
                <w:rFonts w:ascii="Times New Roman" w:hAnsi="Times New Roman"/>
                <w:sz w:val="24"/>
              </w:rPr>
            </w:pPr>
            <w:r>
              <w:rPr>
                <w:rStyle w:val="InstructionsTabelleText"/>
                <w:rFonts w:ascii="Times New Roman" w:hAnsi="Times New Roman"/>
                <w:sz w:val="24"/>
              </w:rPr>
              <w:t>A kereskedési könyvben nyilvántartott, fennálló értékpapírosítások és újra-értékpapírosítások összértéke az értékpapírosítást kezdeményező vagy befektető vagy szponzor szerepét betöltő intézmény adatszolgáltatása szerint.</w:t>
            </w:r>
          </w:p>
        </w:tc>
      </w:tr>
      <w:tr w:rsidR="00C55547" w:rsidRPr="002D60D7" w14:paraId="21E51D59" w14:textId="77777777" w:rsidTr="000911FE">
        <w:tc>
          <w:tcPr>
            <w:tcW w:w="1413" w:type="dxa"/>
          </w:tcPr>
          <w:p w14:paraId="5CCD69B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és 0100</w:t>
            </w:r>
          </w:p>
        </w:tc>
        <w:tc>
          <w:tcPr>
            <w:tcW w:w="7537" w:type="dxa"/>
          </w:tcPr>
          <w:p w14:paraId="4F5DF6A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ÉRTÉKPAPÍROSÍTÁSI POZÍCIÓK</w:t>
            </w:r>
          </w:p>
          <w:p w14:paraId="62CD89EA" w14:textId="30BF22B1" w:rsidR="00C55547" w:rsidRPr="002D60D7" w:rsidRDefault="0053202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 Az 575/2013/EU rendelet 4. cikke (1) bekezdésének 62. pontja</w:t>
            </w:r>
          </w:p>
          <w:p w14:paraId="0230B6E5"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 0050, 0080 és 0110</w:t>
            </w:r>
          </w:p>
        </w:tc>
        <w:tc>
          <w:tcPr>
            <w:tcW w:w="7537" w:type="dxa"/>
          </w:tcPr>
          <w:p w14:paraId="3C62BCE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ÚJRA-ÉRTÉKPAPÍROSÍTÁSI POZÍCIÓK</w:t>
            </w:r>
          </w:p>
          <w:p w14:paraId="32F5BAEB" w14:textId="2FA2B3C6"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Az 575/2013/EU rendelet 4. cikke (1) bekezdésének 64. pontja</w:t>
            </w:r>
          </w:p>
          <w:p w14:paraId="18108A69"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0041, 0071 és 0101</w:t>
            </w:r>
          </w:p>
        </w:tc>
        <w:tc>
          <w:tcPr>
            <w:tcW w:w="7537" w:type="dxa"/>
          </w:tcPr>
          <w:p w14:paraId="17D8E88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EBBŐL: DIFFERENCIÁLT TŐKEKÖVETELMÉNY-MEGÁLLAPÍTÁSRA JOGOSULT</w:t>
            </w:r>
          </w:p>
          <w:p w14:paraId="775DD0A5" w14:textId="5E8A13EA" w:rsidR="00C55547" w:rsidRPr="002D60D7" w:rsidRDefault="00C55547" w:rsidP="004C445F">
            <w:pPr>
              <w:suppressAutoHyphens/>
              <w:rPr>
                <w:rStyle w:val="InstructionsTabelleberschrift"/>
                <w:rFonts w:ascii="Times New Roman" w:hAnsi="Times New Roman"/>
                <w:sz w:val="24"/>
              </w:rPr>
            </w:pPr>
            <w:r>
              <w:rPr>
                <w:rFonts w:ascii="Times New Roman" w:hAnsi="Times New Roman"/>
                <w:sz w:val="24"/>
              </w:rPr>
              <w:t xml:space="preserve">Azon értékpapírosítási pozíciók teljes összege, amelyek megfelelnek az 575/2013/EU rendelet 243. vagy 270. cikkében meghatározott kritériumoknak, és ezért differenciált tőkekövetelmény-megállapításra jogosultak. </w:t>
            </w:r>
          </w:p>
        </w:tc>
      </w:tr>
      <w:tr w:rsidR="00C55547" w:rsidRPr="002D60D7" w14:paraId="5FAF4052" w14:textId="77777777" w:rsidTr="000911FE">
        <w:tc>
          <w:tcPr>
            <w:tcW w:w="1413" w:type="dxa"/>
          </w:tcPr>
          <w:p w14:paraId="39486578"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0030–0050</w:t>
            </w:r>
          </w:p>
        </w:tc>
        <w:tc>
          <w:tcPr>
            <w:tcW w:w="7537" w:type="dxa"/>
          </w:tcPr>
          <w:p w14:paraId="29698529"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ÉRTÉKPAPÍROSÍTÁST KEZDEMÉNYEZŐ</w:t>
            </w:r>
          </w:p>
          <w:p w14:paraId="50264432" w14:textId="0FD773BF"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Az 575/2013/EU rendelet 4. cikke (1) bekezdésének 13. pontja</w:t>
            </w:r>
          </w:p>
          <w:p w14:paraId="671304E2"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537" w:type="dxa"/>
          </w:tcPr>
          <w:p w14:paraId="726E7C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BEFEKTETŐ</w:t>
            </w:r>
          </w:p>
          <w:p w14:paraId="13A59676" w14:textId="722AE4F3" w:rsidR="00C55547" w:rsidRPr="002D60D7" w:rsidRDefault="00C55547"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Olyan hitelintézet, amely értékpapírosítási pozícióval rendelkezik egy olyan értékpapírosítási ügyletben, amelyben sem az értékpapírosítást kezdeményező, sem a szponzor, sem az eredeti hitelező szerepét nem tölti be. </w:t>
            </w:r>
          </w:p>
          <w:p w14:paraId="5289F9D1"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537" w:type="dxa"/>
          </w:tcPr>
          <w:p w14:paraId="1405E24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SZPONZOR</w:t>
            </w:r>
          </w:p>
          <w:p w14:paraId="40C5E800" w14:textId="57801E6F" w:rsidR="000242CC" w:rsidRPr="002D60D7" w:rsidRDefault="00D24331" w:rsidP="004C445F">
            <w:pPr>
              <w:suppressAutoHyphens/>
              <w:autoSpaceDE w:val="0"/>
              <w:autoSpaceDN w:val="0"/>
              <w:adjustRightInd w:val="0"/>
              <w:spacing w:before="0" w:after="0"/>
              <w:rPr>
                <w:rStyle w:val="InstructionsTabelleText"/>
                <w:rFonts w:ascii="Times New Roman" w:hAnsi="Times New Roman"/>
                <w:sz w:val="24"/>
              </w:rPr>
            </w:pPr>
            <w:r>
              <w:rPr>
                <w:rFonts w:ascii="Times New Roman" w:hAnsi="Times New Roman"/>
                <w:sz w:val="24"/>
              </w:rPr>
              <w:t>Az 575/2013/EU rendelet 4. cikke (1) bekezdésének 14. pontja</w:t>
            </w:r>
            <w:r>
              <w:rPr>
                <w:rStyle w:val="InstructionsTabelleText"/>
                <w:rFonts w:ascii="Times New Roman" w:hAnsi="Times New Roman"/>
                <w:sz w:val="24"/>
              </w:rPr>
              <w:t xml:space="preserve">. </w:t>
            </w:r>
          </w:p>
          <w:p w14:paraId="036222AB" w14:textId="77777777" w:rsidR="00C55547" w:rsidRPr="002D60D7" w:rsidRDefault="00532026"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Annak a szponzornak, aki saját eszközt is értékpapírosít, a saját értékpapírosított eszközökkel kapcsolatos információkat az értékpapírosítást kezdeményezőre vonatkozó sorokban kell megadnia.</w:t>
            </w:r>
          </w:p>
        </w:tc>
      </w:tr>
    </w:tbl>
    <w:p w14:paraId="2E044F0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833246"/>
      <w:r>
        <w:rPr>
          <w:rFonts w:ascii="Times New Roman" w:hAnsi="Times New Roman"/>
          <w:sz w:val="24"/>
          <w:u w:val="none"/>
        </w:rPr>
        <w:t>4.</w:t>
      </w:r>
      <w:r w:rsidRPr="00B73089">
        <w:rPr>
          <w:u w:val="none"/>
        </w:rPr>
        <w:tab/>
      </w:r>
      <w:r>
        <w:rPr>
          <w:rFonts w:ascii="Times New Roman" w:hAnsi="Times New Roman"/>
          <w:sz w:val="24"/>
        </w:rPr>
        <w:t>C 20.00 – PIACI KOCKÁZAT: A KORRELÁCIÓKERESKEDÉSI PORTFÓLIÓBA SOROLT POZÍCIÓK EGYEDI KOCKÁZATÁNAK SZTENDERD MÓDSZERE (MKR SA CTP</w:t>
      </w:r>
      <w:bookmarkEnd w:id="73"/>
      <w:bookmarkEnd w:id="74"/>
      <w:bookmarkEnd w:id="75"/>
      <w:bookmarkEnd w:id="76"/>
      <w:r>
        <w:rPr>
          <w:rFonts w:ascii="Times New Roman" w:hAnsi="Times New Roman"/>
          <w:sz w:val="24"/>
        </w:rPr>
        <w:t>)</w:t>
      </w:r>
      <w:bookmarkEnd w:id="77"/>
      <w:bookmarkEnd w:id="78"/>
      <w:bookmarkEnd w:id="79"/>
    </w:p>
    <w:p w14:paraId="43960D05" w14:textId="0A1B0018"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833247"/>
      <w:r>
        <w:rPr>
          <w:rFonts w:ascii="Times New Roman" w:hAnsi="Times New Roman"/>
          <w:sz w:val="24"/>
          <w:u w:val="none"/>
        </w:rPr>
        <w:t>4.1.</w:t>
      </w:r>
      <w:r w:rsidRPr="00B73089">
        <w:rPr>
          <w:u w:val="none"/>
        </w:rPr>
        <w:tab/>
      </w:r>
      <w:r>
        <w:rPr>
          <w:rFonts w:ascii="Times New Roman" w:hAnsi="Times New Roman"/>
          <w:sz w:val="24"/>
        </w:rPr>
        <w:t>Általános megjegyzések</w:t>
      </w:r>
      <w:bookmarkEnd w:id="80"/>
      <w:bookmarkEnd w:id="81"/>
      <w:bookmarkEnd w:id="82"/>
      <w:bookmarkEnd w:id="83"/>
      <w:bookmarkEnd w:id="84"/>
      <w:bookmarkEnd w:id="85"/>
      <w:bookmarkEnd w:id="86"/>
    </w:p>
    <w:p w14:paraId="6E7E4803" w14:textId="7EB80912" w:rsidR="00C55547" w:rsidRPr="002D60D7"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Ezen a táblán a sztenderd módszer alkalmazási körébe tartozó korrelációkereskedési portfólióban (CTP) levő pozíciókról (értékpapírosításokról, n-edik nemteljesítéskor lehívható hitelderivatívákról és az 575/2013/EU rendelet 338. cikkének (3) bekezdése alapján besorolt egyéb CTP-pozíciókról), valamint az ezekhez kapcsolódó szavatolótőke-követelményről kell adatot szolgáltatni.</w:t>
      </w:r>
    </w:p>
    <w:p w14:paraId="7D9D9B10" w14:textId="1F1EFDEB" w:rsidR="00C55547" w:rsidRPr="002D60D7" w:rsidRDefault="00C55547" w:rsidP="00E172EA">
      <w:pPr>
        <w:pStyle w:val="InstructionsText2"/>
        <w:numPr>
          <w:ilvl w:val="0"/>
          <w:numId w:val="29"/>
        </w:numPr>
        <w:suppressAutoHyphens/>
      </w:pPr>
      <w:r>
        <w:t>Az MKR SA CTP tábla kizárólag az 575/2013/EU rendelet 335. cikke, valamint azzal összefüggésben az említett rendelet 338. cikkének (2) és (3) bekezdése szerint a CTP-be sorolt pozíciók egyedi kockázatához kapcsolódó szavatolótőke-követelményt mutatja be. Ha a kereskedési könyvben nyilvántartott CTP-pozíciókat hitelderivatívákkal fedezik, akkor az 575/2013/EU rendelet 346. és 347. cikkét kell alkalmazni. Valamennyi kereskedési könyvi CTP-pozícióról egy táblán kell adatot szolgáltatni attól függetlenül, hogy a befektetési vállalkozás melyik módszert alkalmazza az 575/2013/EU rendelet harmadik része II. címének 5. fejezete szerinti egyes pozíciók kockázati súlyának meghatározásakor. Az említett pozíciók általános kockázatához kapcsolódó szavatolótőke-követelményre vonatkozó adatszolgáltatás az MKR SA TDI vagy az MKR IM táblán történik.</w:t>
      </w:r>
    </w:p>
    <w:p w14:paraId="2252BE4F" w14:textId="4513CABA" w:rsidR="00C55547" w:rsidRPr="002D60D7" w:rsidRDefault="00C55547" w:rsidP="00E172EA">
      <w:pPr>
        <w:pStyle w:val="InstructionsText2"/>
        <w:numPr>
          <w:ilvl w:val="0"/>
          <w:numId w:val="29"/>
        </w:numPr>
        <w:suppressAutoHyphens/>
      </w:pPr>
      <w:r>
        <w:t xml:space="preserve">Ez a tábla elkülöníti az értékpapírosítási pozíciókat, az n-edik nemteljesítéskor lehívható hitelderivatívákat, valamint az egyéb CTP-pozíciókat. Az értékpapírosítási pozíciókat minden esetben a 0030-as, 0060-as vagy 0090-es sorban kell feltüntetni az intézmény által az értékpapírosításban betöltött szereptől függően. Az n-edik nemteljesítéskor lehívható hitelderivatívákat minden esetben a 0110-es sorban kell feltüntetni. Az „egyéb CTP-pozíciók” nem értékpapírosítási pozíciók és nem az n-edik nemteljesítéskor lehívható hitelderivatívák (lásd az 575/2013/EU rendelet 338. cikkének (3) bekezdését), de a fedezési szándék miatt egyértelműen kapcsolódnak e két pozíció egyikéhez. </w:t>
      </w:r>
    </w:p>
    <w:p w14:paraId="5E92EBD9" w14:textId="77777777" w:rsidR="00B73089" w:rsidRDefault="00C55547" w:rsidP="00E172EA">
      <w:pPr>
        <w:pStyle w:val="InstructionsText2"/>
        <w:numPr>
          <w:ilvl w:val="0"/>
          <w:numId w:val="29"/>
        </w:numPr>
        <w:suppressAutoHyphens/>
      </w:pPr>
      <w:r>
        <w:t>Az 1 250 %-os kockázati súlyú pozíciók az elsődleges alapvető tőkéből (CET1) is levonhatók (lásd az 575/2013/EU rendelet 244. cikke (1) bekezdésének b) pontját, 245. cikke (1) bekezdésének b) pontját és 253. cikkét). Az említett pozíciókat ebben a táblában kell feltüntetni, még akkor is, ha az intézmény él a levonás lehetőségével.</w:t>
      </w:r>
    </w:p>
    <w:p w14:paraId="46E1E4F7" w14:textId="77777777" w:rsidR="00B73089" w:rsidRDefault="00B73089">
      <w:pPr>
        <w:spacing w:before="0" w:after="0"/>
        <w:jc w:val="left"/>
        <w:rPr>
          <w:rFonts w:ascii="Times New Roman" w:hAnsi="Times New Roman"/>
          <w:sz w:val="24"/>
          <w:lang w:eastAsia="de-DE"/>
        </w:rPr>
      </w:pPr>
      <w:r>
        <w:br w:type="page"/>
      </w:r>
    </w:p>
    <w:p w14:paraId="6482CB53" w14:textId="4A90E23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833248"/>
      <w:r>
        <w:rPr>
          <w:rFonts w:ascii="Times New Roman" w:hAnsi="Times New Roman"/>
          <w:sz w:val="24"/>
          <w:u w:val="none"/>
        </w:rPr>
        <w:t>4.2.</w:t>
      </w:r>
      <w:r w:rsidRPr="00B73089">
        <w:rPr>
          <w:u w:val="none"/>
        </w:rPr>
        <w:tab/>
      </w:r>
      <w:r>
        <w:rPr>
          <w:rFonts w:ascii="Times New Roman" w:hAnsi="Times New Roman"/>
          <w:sz w:val="24"/>
        </w:rPr>
        <w:t>A tábla egyes részeire vonatkozó útmutató</w:t>
      </w:r>
      <w:bookmarkEnd w:id="87"/>
      <w:bookmarkEnd w:id="88"/>
      <w:bookmarkEnd w:id="89"/>
      <w:bookmarkEnd w:id="90"/>
      <w:bookmarkEnd w:id="91"/>
      <w:bookmarkEnd w:id="92"/>
      <w:bookmarkEnd w:id="93"/>
    </w:p>
    <w:p w14:paraId="08BF27B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Oszlop</w:t>
            </w:r>
          </w:p>
        </w:tc>
      </w:tr>
      <w:tr w:rsidR="00C55547" w:rsidRPr="002D60D7" w14:paraId="697D3EB6" w14:textId="77777777" w:rsidTr="00E10B85">
        <w:tc>
          <w:tcPr>
            <w:tcW w:w="1016" w:type="dxa"/>
          </w:tcPr>
          <w:p w14:paraId="5A814BB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2D41C5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ÖSSZES POZÍCIÓ (HOSSZÚ ÉS RÖVID)</w:t>
            </w:r>
          </w:p>
          <w:p w14:paraId="4F3CF7CB" w14:textId="3DE2B427" w:rsidR="005C14B0" w:rsidRPr="002D60D7" w:rsidRDefault="00C55547" w:rsidP="004C445F">
            <w:pPr>
              <w:suppressAutoHyphens/>
              <w:rPr>
                <w:rFonts w:ascii="Times New Roman" w:hAnsi="Times New Roman"/>
                <w:sz w:val="24"/>
              </w:rPr>
            </w:pPr>
            <w:r>
              <w:rPr>
                <w:rFonts w:ascii="Times New Roman" w:hAnsi="Times New Roman"/>
                <w:sz w:val="24"/>
              </w:rPr>
              <w:t>Az 575/2013/EU rendelet 102. cikke, valamint 105. cikkének (1) bekezdése az említett rendelet 338. cikke (2) és (3) bekezdésével összefüggésben (a korrelációkereskedési portfólióba sorolt pozíciókkal)</w:t>
            </w:r>
          </w:p>
          <w:p w14:paraId="70FB0860" w14:textId="54994400" w:rsidR="00C55547" w:rsidRPr="002D60D7" w:rsidRDefault="00C55547" w:rsidP="004C445F">
            <w:pPr>
              <w:suppressAutoHyphens/>
              <w:rPr>
                <w:rFonts w:ascii="Times New Roman" w:hAnsi="Times New Roman"/>
                <w:sz w:val="24"/>
              </w:rPr>
            </w:pPr>
            <w:r>
              <w:rPr>
                <w:rFonts w:ascii="Times New Roman" w:hAnsi="Times New Roman"/>
                <w:sz w:val="24"/>
              </w:rPr>
              <w:t>A hosszú és rövid pozícióknak az említett bruttó pozíciókra is alkalmazandó megkülönböztetésével kapcsolatban lásd az 575/2013/EU rendelet 328. cikkének (2) bekezdését.</w:t>
            </w:r>
          </w:p>
        </w:tc>
      </w:tr>
      <w:tr w:rsidR="00C55547" w:rsidRPr="002D60D7" w14:paraId="3641769F" w14:textId="77777777" w:rsidTr="00E10B85">
        <w:tc>
          <w:tcPr>
            <w:tcW w:w="1016" w:type="dxa"/>
          </w:tcPr>
          <w:p w14:paraId="04DBC56E"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7E31C3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SZAVATOLÓTŐKÉBŐL LEVONT POZÍCIÓK (HOSSZÚ ÉS RÖVID)</w:t>
            </w:r>
          </w:p>
          <w:p w14:paraId="56207551" w14:textId="0069D39B" w:rsidR="00C55547" w:rsidRPr="002D60D7" w:rsidRDefault="00C55547" w:rsidP="004C445F">
            <w:pPr>
              <w:suppressAutoHyphens/>
              <w:rPr>
                <w:rFonts w:ascii="Times New Roman" w:hAnsi="Times New Roman"/>
                <w:sz w:val="24"/>
              </w:rPr>
            </w:pPr>
            <w:r>
              <w:rPr>
                <w:rFonts w:ascii="Times New Roman" w:hAnsi="Times New Roman"/>
                <w:sz w:val="24"/>
              </w:rPr>
              <w:t xml:space="preserve">Az 575/2013/EU rendelet 253. cikke </w:t>
            </w:r>
          </w:p>
        </w:tc>
      </w:tr>
      <w:tr w:rsidR="00C55547" w:rsidRPr="002D60D7" w14:paraId="6E312180" w14:textId="77777777" w:rsidTr="00E10B85">
        <w:tc>
          <w:tcPr>
            <w:tcW w:w="1016" w:type="dxa"/>
          </w:tcPr>
          <w:p w14:paraId="0870959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74" w:type="dxa"/>
          </w:tcPr>
          <w:p w14:paraId="6226B3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NETTÓ POZÍCIÓK (HOSSZÚ ÉS RÖVID)</w:t>
            </w:r>
          </w:p>
          <w:p w14:paraId="01BDDE40" w14:textId="76E789A7" w:rsidR="005C14B0" w:rsidRPr="002D60D7" w:rsidRDefault="00C55547" w:rsidP="004C445F">
            <w:pPr>
              <w:suppressAutoHyphens/>
              <w:rPr>
                <w:rFonts w:ascii="Times New Roman" w:hAnsi="Times New Roman"/>
                <w:sz w:val="24"/>
              </w:rPr>
            </w:pPr>
            <w:r>
              <w:rPr>
                <w:rFonts w:ascii="Times New Roman" w:hAnsi="Times New Roman"/>
                <w:sz w:val="24"/>
              </w:rPr>
              <w:t xml:space="preserve">Az 575/2013/EU rendelet 327., 328., 329 és 334. cikke. </w:t>
            </w:r>
          </w:p>
          <w:p w14:paraId="6C03F093" w14:textId="3D25FE7B" w:rsidR="00C55547" w:rsidRPr="002D60D7" w:rsidRDefault="00C55547" w:rsidP="004C445F">
            <w:pPr>
              <w:suppressAutoHyphens/>
              <w:rPr>
                <w:rFonts w:ascii="Times New Roman" w:hAnsi="Times New Roman"/>
                <w:sz w:val="24"/>
              </w:rPr>
            </w:pPr>
            <w:r>
              <w:rPr>
                <w:rFonts w:ascii="Times New Roman" w:hAnsi="Times New Roman"/>
                <w:sz w:val="24"/>
              </w:rPr>
              <w:t>A hosszú és rövid pozíciók megkülönböztetésével kapcsolatban lásd az említett rendelet 328. cikkének (2) bekezdését.</w:t>
            </w:r>
          </w:p>
        </w:tc>
      </w:tr>
      <w:tr w:rsidR="00C55547" w:rsidRPr="002D60D7" w14:paraId="6F83AB99" w14:textId="77777777" w:rsidTr="00E10B85">
        <w:tc>
          <w:tcPr>
            <w:tcW w:w="1016" w:type="dxa"/>
          </w:tcPr>
          <w:p w14:paraId="6DDF2435"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0071–0097</w:t>
            </w:r>
          </w:p>
        </w:tc>
        <w:tc>
          <w:tcPr>
            <w:tcW w:w="7874" w:type="dxa"/>
          </w:tcPr>
          <w:p w14:paraId="247CF712"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A NETTÓ POZÍCIÓK KOCKÁZATI SÚLY SZERINTI BONTÁSA</w:t>
            </w:r>
          </w:p>
          <w:p w14:paraId="691F4414" w14:textId="75A08501" w:rsidR="00C55547" w:rsidRPr="002D60D7" w:rsidRDefault="00133396" w:rsidP="004C445F">
            <w:pPr>
              <w:suppressAutoHyphens/>
              <w:rPr>
                <w:rFonts w:ascii="Times New Roman" w:hAnsi="Times New Roman"/>
                <w:sz w:val="24"/>
              </w:rPr>
            </w:pPr>
            <w:r>
              <w:rPr>
                <w:rFonts w:ascii="Times New Roman" w:hAnsi="Times New Roman"/>
                <w:sz w:val="24"/>
              </w:rPr>
              <w:t xml:space="preserve">Az 575/2013/EU rendelet </w:t>
            </w:r>
            <w:r>
              <w:rPr>
                <w:rStyle w:val="InstructionsTabelleText"/>
                <w:rFonts w:ascii="Times New Roman" w:hAnsi="Times New Roman"/>
                <w:sz w:val="24"/>
              </w:rPr>
              <w:t>259–262. cikke, 263. cikkének 1. és 2. táblázata, 264. cikkének 3. és 4. táblázata, valamint 266. cikke</w:t>
            </w:r>
          </w:p>
        </w:tc>
      </w:tr>
      <w:tr w:rsidR="00C55547" w:rsidRPr="002D60D7" w14:paraId="495D2FD0" w14:textId="77777777" w:rsidTr="00E10B85">
        <w:tc>
          <w:tcPr>
            <w:tcW w:w="1016" w:type="dxa"/>
          </w:tcPr>
          <w:p w14:paraId="295B01D9" w14:textId="77777777" w:rsidR="00C55547" w:rsidRPr="002D60D7" w:rsidRDefault="002F79EA" w:rsidP="004C445F">
            <w:pPr>
              <w:suppressAutoHyphens/>
              <w:rPr>
                <w:rFonts w:ascii="Times New Roman" w:hAnsi="Times New Roman"/>
                <w:sz w:val="24"/>
              </w:rPr>
            </w:pPr>
            <w:r>
              <w:rPr>
                <w:rFonts w:ascii="Times New Roman" w:hAnsi="Times New Roman"/>
                <w:sz w:val="24"/>
              </w:rPr>
              <w:t>0402–0406</w:t>
            </w:r>
          </w:p>
        </w:tc>
        <w:tc>
          <w:tcPr>
            <w:tcW w:w="7874" w:type="dxa"/>
          </w:tcPr>
          <w:p w14:paraId="23629FA6" w14:textId="77777777" w:rsidR="00C55547" w:rsidRPr="002D60D7" w:rsidRDefault="00543964"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 NETTÓ POZÍCIÓK MÓDSZEREK SZERINTI BONTÁSA</w:t>
            </w:r>
          </w:p>
          <w:p w14:paraId="19937787" w14:textId="465ADE79" w:rsidR="00C55547" w:rsidRPr="002D60D7" w:rsidRDefault="00C55547" w:rsidP="004C445F">
            <w:pPr>
              <w:suppressAutoHyphens/>
              <w:autoSpaceDE w:val="0"/>
              <w:autoSpaceDN w:val="0"/>
              <w:adjustRightInd w:val="0"/>
              <w:spacing w:before="0" w:after="0"/>
              <w:rPr>
                <w:rStyle w:val="InstructionsTabelleberschrift"/>
                <w:rFonts w:ascii="Times New Roman" w:hAnsi="Times New Roman"/>
                <w:sz w:val="24"/>
              </w:rPr>
            </w:pPr>
            <w:r>
              <w:rPr>
                <w:rFonts w:ascii="Times New Roman" w:hAnsi="Times New Roman"/>
                <w:sz w:val="24"/>
              </w:rPr>
              <w:t xml:space="preserve">Az 575/2013/EU rendelet </w:t>
            </w:r>
            <w:r>
              <w:rPr>
                <w:rStyle w:val="InstructionsTabelleText"/>
                <w:rFonts w:ascii="Times New Roman" w:hAnsi="Times New Roman"/>
                <w:sz w:val="24"/>
              </w:rPr>
              <w:t xml:space="preserve">254. cikke </w:t>
            </w:r>
          </w:p>
        </w:tc>
      </w:tr>
      <w:tr w:rsidR="00C55547" w:rsidRPr="002D60D7" w14:paraId="18FE6247" w14:textId="77777777" w:rsidTr="00E10B85">
        <w:tc>
          <w:tcPr>
            <w:tcW w:w="1016" w:type="dxa"/>
          </w:tcPr>
          <w:p w14:paraId="17001A21" w14:textId="77777777" w:rsidR="00C55547" w:rsidRPr="002D60D7" w:rsidRDefault="002F79EA" w:rsidP="004C445F">
            <w:pPr>
              <w:suppressAutoHyphens/>
              <w:rPr>
                <w:rFonts w:ascii="Times New Roman" w:hAnsi="Times New Roman"/>
                <w:sz w:val="24"/>
              </w:rPr>
            </w:pPr>
            <w:r>
              <w:rPr>
                <w:rFonts w:ascii="Times New Roman" w:hAnsi="Times New Roman"/>
                <w:sz w:val="24"/>
              </w:rPr>
              <w:t>0402</w:t>
            </w:r>
          </w:p>
        </w:tc>
        <w:tc>
          <w:tcPr>
            <w:tcW w:w="7874" w:type="dxa"/>
          </w:tcPr>
          <w:p w14:paraId="79F7161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1718443C" w14:textId="27159510"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 xml:space="preserve">Az 575/2013/EU rendelet </w:t>
            </w:r>
            <w:r>
              <w:rPr>
                <w:rStyle w:val="InstructionsTabelleText"/>
                <w:rFonts w:ascii="Times New Roman" w:hAnsi="Times New Roman"/>
                <w:sz w:val="24"/>
              </w:rPr>
              <w:t>259. és 260. cikke</w:t>
            </w:r>
          </w:p>
        </w:tc>
      </w:tr>
      <w:tr w:rsidR="00C55547" w:rsidRPr="002D60D7" w14:paraId="35656008" w14:textId="77777777" w:rsidTr="00E10B85">
        <w:tc>
          <w:tcPr>
            <w:tcW w:w="1016" w:type="dxa"/>
          </w:tcPr>
          <w:p w14:paraId="720D0546" w14:textId="77777777" w:rsidR="00C55547" w:rsidRPr="002D60D7" w:rsidRDefault="002F79EA" w:rsidP="004C445F">
            <w:pPr>
              <w:suppressAutoHyphens/>
              <w:rPr>
                <w:rFonts w:ascii="Times New Roman" w:hAnsi="Times New Roman"/>
                <w:sz w:val="24"/>
              </w:rPr>
            </w:pPr>
            <w:r>
              <w:rPr>
                <w:rFonts w:ascii="Times New Roman" w:hAnsi="Times New Roman"/>
                <w:sz w:val="24"/>
              </w:rPr>
              <w:t>0403</w:t>
            </w:r>
          </w:p>
        </w:tc>
        <w:tc>
          <w:tcPr>
            <w:tcW w:w="7874" w:type="dxa"/>
          </w:tcPr>
          <w:p w14:paraId="789033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4F095DEE" w14:textId="02044DC6"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 xml:space="preserve">Az 575/2013/EU rendelet </w:t>
            </w:r>
            <w:r>
              <w:rPr>
                <w:rStyle w:val="InstructionsTabelleText"/>
                <w:rFonts w:ascii="Times New Roman" w:hAnsi="Times New Roman"/>
                <w:sz w:val="24"/>
              </w:rPr>
              <w:t>261. és 262. cikke</w:t>
            </w:r>
          </w:p>
        </w:tc>
      </w:tr>
      <w:tr w:rsidR="00C55547" w:rsidRPr="002D60D7" w14:paraId="7B54B7CF" w14:textId="77777777" w:rsidTr="00E10B85">
        <w:tc>
          <w:tcPr>
            <w:tcW w:w="1016" w:type="dxa"/>
          </w:tcPr>
          <w:p w14:paraId="0D21F451" w14:textId="77777777" w:rsidR="00C55547" w:rsidRPr="002D60D7" w:rsidRDefault="002F79EA" w:rsidP="004C445F">
            <w:pPr>
              <w:suppressAutoHyphens/>
              <w:rPr>
                <w:rFonts w:ascii="Times New Roman" w:hAnsi="Times New Roman"/>
                <w:sz w:val="24"/>
              </w:rPr>
            </w:pPr>
            <w:r>
              <w:rPr>
                <w:rFonts w:ascii="Times New Roman" w:hAnsi="Times New Roman"/>
                <w:sz w:val="24"/>
              </w:rPr>
              <w:t>0404</w:t>
            </w:r>
          </w:p>
        </w:tc>
        <w:tc>
          <w:tcPr>
            <w:tcW w:w="7874" w:type="dxa"/>
          </w:tcPr>
          <w:p w14:paraId="6AA67FFF"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108938CD" w14:textId="7A2858ED"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 xml:space="preserve">Az 575/2013/EU rendelet </w:t>
            </w:r>
            <w:r>
              <w:rPr>
                <w:rStyle w:val="InstructionsTabelleText"/>
                <w:rFonts w:ascii="Times New Roman" w:hAnsi="Times New Roman"/>
                <w:sz w:val="24"/>
              </w:rPr>
              <w:t>263. és 264. cikke</w:t>
            </w:r>
          </w:p>
        </w:tc>
      </w:tr>
      <w:tr w:rsidR="00C55547" w:rsidRPr="002D60D7" w14:paraId="7979A32D" w14:textId="77777777" w:rsidTr="00E10B85">
        <w:tc>
          <w:tcPr>
            <w:tcW w:w="1016" w:type="dxa"/>
          </w:tcPr>
          <w:p w14:paraId="7C1C67E6" w14:textId="77777777" w:rsidR="00C55547" w:rsidRPr="002D60D7" w:rsidRDefault="002F79EA" w:rsidP="004C445F">
            <w:pPr>
              <w:suppressAutoHyphens/>
              <w:rPr>
                <w:rFonts w:ascii="Times New Roman" w:hAnsi="Times New Roman"/>
                <w:sz w:val="24"/>
              </w:rPr>
            </w:pPr>
            <w:r>
              <w:rPr>
                <w:rFonts w:ascii="Times New Roman" w:hAnsi="Times New Roman"/>
                <w:sz w:val="24"/>
              </w:rPr>
              <w:t>0405</w:t>
            </w:r>
          </w:p>
        </w:tc>
        <w:tc>
          <w:tcPr>
            <w:tcW w:w="7874" w:type="dxa"/>
          </w:tcPr>
          <w:p w14:paraId="68CACB61"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BELSŐ ÉRTÉKELÉSI MÓDSZER</w:t>
            </w:r>
          </w:p>
          <w:p w14:paraId="46E92693" w14:textId="2A1B6CC7"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 xml:space="preserve">Az 575/2013/EU rendelet </w:t>
            </w:r>
            <w:r>
              <w:rPr>
                <w:rStyle w:val="InstructionsTabelleText"/>
                <w:rFonts w:ascii="Times New Roman" w:hAnsi="Times New Roman"/>
                <w:sz w:val="24"/>
              </w:rPr>
              <w:t>254. és 265. cikke, valamint 266. cikkének (5) bekezdése</w:t>
            </w:r>
          </w:p>
        </w:tc>
      </w:tr>
      <w:tr w:rsidR="00A97C62" w:rsidRPr="002D60D7" w14:paraId="412C0D2A" w14:textId="77777777" w:rsidTr="00E10B85">
        <w:tc>
          <w:tcPr>
            <w:tcW w:w="1016" w:type="dxa"/>
          </w:tcPr>
          <w:p w14:paraId="184EAC6C" w14:textId="26696219" w:rsidR="00A97C62" w:rsidRPr="002D60D7" w:rsidRDefault="00A97C62" w:rsidP="004C445F">
            <w:pPr>
              <w:suppressAutoHyphens/>
              <w:rPr>
                <w:rFonts w:ascii="Times New Roman" w:hAnsi="Times New Roman"/>
                <w:sz w:val="24"/>
              </w:rPr>
            </w:pPr>
            <w:r>
              <w:rPr>
                <w:rFonts w:ascii="Times New Roman" w:hAnsi="Times New Roman"/>
                <w:sz w:val="24"/>
              </w:rPr>
              <w:t>0900</w:t>
            </w:r>
          </w:p>
        </w:tc>
        <w:tc>
          <w:tcPr>
            <w:tcW w:w="7874" w:type="dxa"/>
          </w:tcPr>
          <w:p w14:paraId="33E51780" w14:textId="77777777" w:rsidR="00A97C62" w:rsidRPr="002D60D7" w:rsidRDefault="00A97C62" w:rsidP="004C445F">
            <w:pPr>
              <w:suppressAutoHyphens/>
              <w:spacing w:before="0" w:after="0"/>
              <w:jc w:val="left"/>
              <w:rPr>
                <w:rFonts w:ascii="Times New Roman" w:hAnsi="Times New Roman"/>
                <w:b/>
                <w:sz w:val="24"/>
                <w:u w:val="single"/>
              </w:rPr>
            </w:pPr>
            <w:r>
              <w:rPr>
                <w:rFonts w:ascii="Times New Roman" w:hAnsi="Times New Roman"/>
                <w:b/>
                <w:sz w:val="24"/>
                <w:u w:val="single"/>
              </w:rPr>
              <w:t>A FIGYELEMBE VEHETŐ NEMTELJESÍTŐ KITETTSÉGEK ÉRTÉKPAPÍROSÍTÁSAI ELŐRESOROLT ÜGYLETRÉSZSOROZATAINAK EGYEDI KEZELÉSE</w:t>
            </w:r>
          </w:p>
          <w:p w14:paraId="1D397AE3" w14:textId="76C348BD" w:rsidR="00A97C62" w:rsidRPr="002D60D7" w:rsidRDefault="00A97C62" w:rsidP="004C445F">
            <w:pPr>
              <w:suppressAutoHyphens/>
              <w:autoSpaceDE w:val="0"/>
              <w:autoSpaceDN w:val="0"/>
              <w:adjustRightInd w:val="0"/>
              <w:jc w:val="left"/>
              <w:rPr>
                <w:rFonts w:ascii="Times New Roman" w:hAnsi="Times New Roman"/>
                <w:b/>
                <w:bCs/>
                <w:sz w:val="24"/>
                <w:u w:val="single"/>
              </w:rPr>
            </w:pPr>
            <w:r>
              <w:rPr>
                <w:rFonts w:ascii="Times New Roman" w:hAnsi="Times New Roman"/>
                <w:sz w:val="24"/>
              </w:rPr>
              <w:t xml:space="preserve">Az 575/2013/EU rendelet </w:t>
            </w:r>
            <w:r>
              <w:rPr>
                <w:rStyle w:val="InstructionsTabelleText"/>
                <w:rFonts w:ascii="Times New Roman" w:hAnsi="Times New Roman"/>
                <w:sz w:val="24"/>
              </w:rPr>
              <w:t>269a.</w:t>
            </w:r>
            <w:r>
              <w:rPr>
                <w:rFonts w:ascii="Times New Roman" w:hAnsi="Times New Roman"/>
                <w:sz w:val="24"/>
              </w:rPr>
              <w:t xml:space="preserve"> cikkének (3) bekezdése</w:t>
            </w:r>
          </w:p>
        </w:tc>
      </w:tr>
      <w:tr w:rsidR="00C55547" w:rsidRPr="002D60D7" w14:paraId="5C0D49CC" w14:textId="77777777" w:rsidTr="00E10B85">
        <w:tc>
          <w:tcPr>
            <w:tcW w:w="1016" w:type="dxa"/>
          </w:tcPr>
          <w:p w14:paraId="4A75E404" w14:textId="77777777" w:rsidR="00C55547" w:rsidRPr="002D60D7" w:rsidRDefault="002F79EA" w:rsidP="004C445F">
            <w:pPr>
              <w:suppressAutoHyphens/>
              <w:rPr>
                <w:rFonts w:ascii="Times New Roman" w:hAnsi="Times New Roman"/>
                <w:sz w:val="24"/>
              </w:rPr>
            </w:pPr>
            <w:r>
              <w:rPr>
                <w:rFonts w:ascii="Times New Roman" w:hAnsi="Times New Roman"/>
                <w:sz w:val="24"/>
              </w:rPr>
              <w:t>0406</w:t>
            </w:r>
          </w:p>
        </w:tc>
        <w:tc>
          <w:tcPr>
            <w:tcW w:w="7874" w:type="dxa"/>
          </w:tcPr>
          <w:p w14:paraId="27B9523C" w14:textId="26593451"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EGYÉB (KOCKÁZATI SÚLY = 1 250</w:t>
            </w:r>
            <w:r>
              <w:t> </w:t>
            </w:r>
            <w:r>
              <w:rPr>
                <w:rFonts w:ascii="Times New Roman" w:hAnsi="Times New Roman"/>
                <w:b/>
                <w:sz w:val="24"/>
                <w:u w:val="single"/>
              </w:rPr>
              <w:t>%</w:t>
            </w:r>
            <w:r>
              <w:t>)</w:t>
            </w:r>
          </w:p>
          <w:p w14:paraId="0B94870A" w14:textId="0A4BBAC5"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 xml:space="preserve">Az 575/2013/EU rendelet </w:t>
            </w:r>
            <w:r>
              <w:rPr>
                <w:rStyle w:val="InstructionsTabelleText"/>
                <w:rFonts w:ascii="Times New Roman" w:hAnsi="Times New Roman"/>
                <w:sz w:val="24"/>
              </w:rPr>
              <w:t>254. cikkének (7) bekezdése</w:t>
            </w:r>
          </w:p>
        </w:tc>
      </w:tr>
      <w:tr w:rsidR="00C55547" w:rsidRPr="002D60D7" w14:paraId="16A48520" w14:textId="77777777" w:rsidTr="00E10B85">
        <w:tc>
          <w:tcPr>
            <w:tcW w:w="1016" w:type="dxa"/>
          </w:tcPr>
          <w:p w14:paraId="04D4F5AC" w14:textId="77777777" w:rsidR="00C55547" w:rsidRPr="002D60D7" w:rsidRDefault="002F79EA" w:rsidP="004C445F">
            <w:pPr>
              <w:suppressAutoHyphens/>
              <w:rPr>
                <w:rFonts w:ascii="Times New Roman" w:hAnsi="Times New Roman"/>
                <w:sz w:val="24"/>
              </w:rPr>
            </w:pPr>
            <w:r>
              <w:rPr>
                <w:rFonts w:ascii="Times New Roman" w:hAnsi="Times New Roman"/>
                <w:sz w:val="24"/>
              </w:rPr>
              <w:t>0410–0420</w:t>
            </w:r>
          </w:p>
        </w:tc>
        <w:tc>
          <w:tcPr>
            <w:tcW w:w="7874" w:type="dxa"/>
          </w:tcPr>
          <w:p w14:paraId="78E183CC"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FELSŐ KORLÁT FIGYELEMBEVÉTELE ELŐTT – SÚLYOZOTT NETTÓ HOSSZÚ ÉS RÖVID POZÍCIÓK</w:t>
            </w:r>
          </w:p>
          <w:p w14:paraId="7E8A31C6" w14:textId="7928DA0B" w:rsidR="00C55547" w:rsidRPr="002D60D7" w:rsidRDefault="00C55547" w:rsidP="004C445F">
            <w:pPr>
              <w:suppressAutoHyphens/>
              <w:rPr>
                <w:rFonts w:ascii="Times New Roman" w:hAnsi="Times New Roman"/>
                <w:sz w:val="24"/>
              </w:rPr>
            </w:pPr>
            <w:r>
              <w:rPr>
                <w:rFonts w:ascii="Times New Roman" w:hAnsi="Times New Roman"/>
                <w:sz w:val="24"/>
              </w:rPr>
              <w:t xml:space="preserve">Az 575/2013/EU rendelet 338. cikke, figyelmen kívül hagyva az említett rendelet 335. cikkében meghatározott jogosultságot </w:t>
            </w:r>
          </w:p>
        </w:tc>
      </w:tr>
      <w:tr w:rsidR="00C55547" w:rsidRPr="002D60D7" w14:paraId="566ACCB3" w14:textId="77777777" w:rsidTr="00E10B85">
        <w:tc>
          <w:tcPr>
            <w:tcW w:w="1016" w:type="dxa"/>
          </w:tcPr>
          <w:p w14:paraId="4093CA68" w14:textId="77777777" w:rsidR="00C55547" w:rsidRPr="002D60D7" w:rsidRDefault="002F79EA" w:rsidP="004C445F">
            <w:pPr>
              <w:suppressAutoHyphens/>
              <w:rPr>
                <w:rFonts w:ascii="Times New Roman" w:hAnsi="Times New Roman"/>
                <w:sz w:val="24"/>
              </w:rPr>
            </w:pPr>
            <w:r>
              <w:rPr>
                <w:rFonts w:ascii="Times New Roman" w:hAnsi="Times New Roman"/>
                <w:sz w:val="24"/>
              </w:rPr>
              <w:t>0430–0440</w:t>
            </w:r>
          </w:p>
        </w:tc>
        <w:tc>
          <w:tcPr>
            <w:tcW w:w="7874" w:type="dxa"/>
          </w:tcPr>
          <w:p w14:paraId="00C8D0F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FELSŐ KORLÁT FIGYELEMBEVÉTELE UTÁN – SÚLYOZOTT NETTÓ HOSSZÚ ÉS RÖVID POZÍCIÓK</w:t>
            </w:r>
          </w:p>
          <w:p w14:paraId="3304B399" w14:textId="2F41CA57" w:rsidR="00C55547" w:rsidRPr="002D60D7" w:rsidRDefault="00C55547" w:rsidP="004C445F">
            <w:pPr>
              <w:suppressAutoHyphens/>
              <w:rPr>
                <w:rFonts w:ascii="Times New Roman" w:hAnsi="Times New Roman"/>
                <w:sz w:val="24"/>
              </w:rPr>
            </w:pPr>
            <w:r>
              <w:rPr>
                <w:rFonts w:ascii="Times New Roman" w:hAnsi="Times New Roman"/>
                <w:sz w:val="24"/>
              </w:rPr>
              <w:t xml:space="preserve">Az 575/2013/EU rendelet 338. cikke, figyelembe véve az említett rendelet 335. cikkében meghatározott jogosultságot. </w:t>
            </w:r>
          </w:p>
        </w:tc>
      </w:tr>
      <w:tr w:rsidR="00C55547" w:rsidRPr="002D60D7" w14:paraId="23063B74" w14:textId="77777777" w:rsidTr="00E10B85">
        <w:tc>
          <w:tcPr>
            <w:tcW w:w="1016" w:type="dxa"/>
          </w:tcPr>
          <w:p w14:paraId="5A3BC562" w14:textId="77777777" w:rsidR="00C55547" w:rsidRPr="002D60D7" w:rsidRDefault="002F79EA" w:rsidP="004C445F">
            <w:pPr>
              <w:suppressAutoHyphens/>
              <w:rPr>
                <w:rFonts w:ascii="Times New Roman" w:hAnsi="Times New Roman"/>
                <w:sz w:val="24"/>
              </w:rPr>
            </w:pPr>
            <w:r>
              <w:rPr>
                <w:rFonts w:ascii="Times New Roman" w:hAnsi="Times New Roman"/>
                <w:sz w:val="24"/>
              </w:rPr>
              <w:t>0450</w:t>
            </w:r>
          </w:p>
        </w:tc>
        <w:tc>
          <w:tcPr>
            <w:tcW w:w="7874" w:type="dxa"/>
          </w:tcPr>
          <w:p w14:paraId="4210145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TELJES SZAVATOLÓTŐKE-KÖVETELMÉNY</w:t>
            </w:r>
          </w:p>
          <w:p w14:paraId="58A6824C" w14:textId="7AE8FACA" w:rsidR="00733F21" w:rsidRPr="002D60D7" w:rsidRDefault="00C55547" w:rsidP="004C445F">
            <w:pPr>
              <w:suppressAutoHyphens/>
              <w:rPr>
                <w:rFonts w:ascii="Times New Roman" w:hAnsi="Times New Roman"/>
                <w:sz w:val="24"/>
              </w:rPr>
            </w:pPr>
            <w:r>
              <w:rPr>
                <w:rFonts w:ascii="Times New Roman" w:hAnsi="Times New Roman"/>
                <w:sz w:val="24"/>
              </w:rPr>
              <w:t>A szavatolótőke-követelmény a következők közül a nagyobb érték:</w:t>
            </w:r>
          </w:p>
          <w:p w14:paraId="6F610485" w14:textId="33CC9A69" w:rsidR="00733F21" w:rsidRPr="002D60D7" w:rsidRDefault="00A92865" w:rsidP="004C445F">
            <w:pPr>
              <w:suppressAutoHyphens/>
              <w:rPr>
                <w:rFonts w:ascii="Times New Roman" w:hAnsi="Times New Roman"/>
                <w:sz w:val="24"/>
              </w:rPr>
            </w:pPr>
            <w:r>
              <w:rPr>
                <w:rFonts w:ascii="Times New Roman" w:hAnsi="Times New Roman"/>
                <w:sz w:val="24"/>
              </w:rPr>
              <w:t>a) kizárólag a nettó hosszú pozíciók egyedi kockázatához kapcsolódó szavatolótőke-követelmény (0430-as oszlop);</w:t>
            </w:r>
          </w:p>
          <w:p w14:paraId="7DEA5D32" w14:textId="370772D1" w:rsidR="00C55547" w:rsidRPr="002D60D7" w:rsidRDefault="00A92865" w:rsidP="004C445F">
            <w:pPr>
              <w:suppressAutoHyphens/>
              <w:rPr>
                <w:rFonts w:ascii="Times New Roman" w:hAnsi="Times New Roman"/>
                <w:sz w:val="24"/>
              </w:rPr>
            </w:pPr>
            <w:r>
              <w:rPr>
                <w:rFonts w:ascii="Times New Roman" w:hAnsi="Times New Roman"/>
                <w:sz w:val="24"/>
              </w:rPr>
              <w:t>b) kizárólag a nettó rövid pozíciók egyedi kockázatához kapcsolódó szavatolótőke-követelmény (0440-es oszlop).</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2D60D7"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8059"/>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Sor</w:t>
            </w:r>
          </w:p>
        </w:tc>
      </w:tr>
      <w:tr w:rsidR="00C55547" w:rsidRPr="002D60D7" w14:paraId="51303CB0" w14:textId="77777777" w:rsidTr="00E10B85">
        <w:tc>
          <w:tcPr>
            <w:tcW w:w="1008" w:type="dxa"/>
          </w:tcPr>
          <w:p w14:paraId="4EF580E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8204" w:type="dxa"/>
          </w:tcPr>
          <w:p w14:paraId="3B5F07DE"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TELJES KITETTSÉG</w:t>
            </w:r>
          </w:p>
          <w:p w14:paraId="47BDA358" w14:textId="43CE2ADE" w:rsidR="00C55547" w:rsidRPr="002D60D7" w:rsidRDefault="00C55547" w:rsidP="004C445F">
            <w:pPr>
              <w:suppressAutoHyphens/>
              <w:rPr>
                <w:rFonts w:ascii="Times New Roman" w:hAnsi="Times New Roman"/>
                <w:sz w:val="24"/>
              </w:rPr>
            </w:pPr>
            <w:r>
              <w:rPr>
                <w:rFonts w:ascii="Times New Roman" w:hAnsi="Times New Roman"/>
                <w:sz w:val="24"/>
              </w:rPr>
              <w:t>A korrelációkereskedési portfólióban nyilvántartott, fennálló pozíciók összértéke az értékpapírosítást kezdeményező, befektető vagy szponzor szerepét betöltő intézmény adatszolgáltatása szerint.</w:t>
            </w:r>
          </w:p>
        </w:tc>
      </w:tr>
      <w:tr w:rsidR="00C55547" w:rsidRPr="002D60D7" w14:paraId="4F9E3B66" w14:textId="77777777" w:rsidTr="00E10B85">
        <w:tc>
          <w:tcPr>
            <w:tcW w:w="1008" w:type="dxa"/>
          </w:tcPr>
          <w:p w14:paraId="4294FDFC"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68E082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ÉRTÉKPAPÍROSÍTÁST KEZDEMÉNYEZŐ</w:t>
            </w:r>
          </w:p>
          <w:p w14:paraId="07F7FC7F" w14:textId="691C5D11" w:rsidR="00C55547" w:rsidRPr="002D60D7" w:rsidRDefault="00C55547" w:rsidP="004C445F">
            <w:pPr>
              <w:suppressAutoHyphens/>
              <w:rPr>
                <w:rFonts w:ascii="Times New Roman" w:hAnsi="Times New Roman"/>
                <w:sz w:val="24"/>
              </w:rPr>
            </w:pPr>
            <w:r>
              <w:rPr>
                <w:rFonts w:ascii="Times New Roman" w:hAnsi="Times New Roman"/>
                <w:sz w:val="24"/>
              </w:rPr>
              <w:t xml:space="preserve">Az 575/2013/EU rendelet 4. cikke (1) bekezdésének 13. pontja </w:t>
            </w:r>
          </w:p>
        </w:tc>
      </w:tr>
      <w:tr w:rsidR="00C55547" w:rsidRPr="002D60D7" w14:paraId="1113CFCE" w14:textId="77777777" w:rsidTr="00E10B85">
        <w:tc>
          <w:tcPr>
            <w:tcW w:w="1008" w:type="dxa"/>
          </w:tcPr>
          <w:p w14:paraId="045998C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0050–0070</w:t>
            </w:r>
          </w:p>
        </w:tc>
        <w:tc>
          <w:tcPr>
            <w:tcW w:w="8204" w:type="dxa"/>
          </w:tcPr>
          <w:p w14:paraId="7C4743F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BEFEKTETŐ</w:t>
            </w:r>
          </w:p>
          <w:p w14:paraId="5507389D" w14:textId="574F527A" w:rsidR="00C55547" w:rsidRPr="002D60D7" w:rsidRDefault="00C55547" w:rsidP="004C445F">
            <w:pPr>
              <w:suppressAutoHyphens/>
              <w:rPr>
                <w:rFonts w:ascii="Times New Roman" w:hAnsi="Times New Roman"/>
                <w:sz w:val="24"/>
              </w:rPr>
            </w:pPr>
            <w:r>
              <w:rPr>
                <w:rFonts w:ascii="Times New Roman" w:hAnsi="Times New Roman"/>
                <w:sz w:val="24"/>
              </w:rPr>
              <w:t>Olyan hitelintézet, amely értékpapírosítási pozícióval rendelkezik egy olyan értékpapírosítási ügyletben, amelyben sem az értékpapírosítást kezdeményező, sem a szponzor, sem az eredeti hitelező szerepét nem tölti be.</w:t>
            </w:r>
          </w:p>
        </w:tc>
      </w:tr>
      <w:tr w:rsidR="00C55547" w:rsidRPr="002D60D7" w14:paraId="3AE4557E" w14:textId="77777777" w:rsidTr="00E10B85">
        <w:tc>
          <w:tcPr>
            <w:tcW w:w="1008" w:type="dxa"/>
          </w:tcPr>
          <w:p w14:paraId="4017D3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0080–0100</w:t>
            </w:r>
          </w:p>
        </w:tc>
        <w:tc>
          <w:tcPr>
            <w:tcW w:w="8204" w:type="dxa"/>
          </w:tcPr>
          <w:p w14:paraId="6D18A74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SZPONZOR</w:t>
            </w:r>
          </w:p>
          <w:p w14:paraId="65D6B605" w14:textId="002B3FBA" w:rsidR="005C14B0" w:rsidRPr="002D60D7" w:rsidRDefault="00E64BFE" w:rsidP="004C445F">
            <w:pPr>
              <w:suppressAutoHyphens/>
              <w:rPr>
                <w:rFonts w:ascii="Times New Roman" w:hAnsi="Times New Roman"/>
                <w:sz w:val="24"/>
              </w:rPr>
            </w:pPr>
            <w:r>
              <w:rPr>
                <w:rFonts w:ascii="Times New Roman" w:hAnsi="Times New Roman"/>
                <w:sz w:val="24"/>
              </w:rPr>
              <w:t xml:space="preserve"> Az 575/2013/EU rendelet 4. cikke (1) bekezdésének 14. pontja </w:t>
            </w:r>
          </w:p>
          <w:p w14:paraId="7911CCA2" w14:textId="77777777" w:rsidR="00C55547" w:rsidRPr="002D60D7" w:rsidRDefault="005F3BBE" w:rsidP="004C445F">
            <w:pPr>
              <w:suppressAutoHyphens/>
              <w:rPr>
                <w:rFonts w:ascii="Times New Roman" w:hAnsi="Times New Roman"/>
                <w:sz w:val="24"/>
              </w:rPr>
            </w:pPr>
            <w:r>
              <w:rPr>
                <w:rFonts w:ascii="Times New Roman" w:hAnsi="Times New Roman"/>
                <w:sz w:val="24"/>
              </w:rPr>
              <w:t>Annak a szponzornak, aki saját eszközt is értékpapírosít, a saját értékpapírosított eszközökkel kapcsolatos információkat az értékpapírosítást kezdeményezőre vonatkozó sorokban kell megadnia.</w:t>
            </w:r>
          </w:p>
        </w:tc>
      </w:tr>
      <w:tr w:rsidR="00C55547" w:rsidRPr="002D60D7" w14:paraId="5A0251A3" w14:textId="77777777" w:rsidTr="00E10B85">
        <w:tc>
          <w:tcPr>
            <w:tcW w:w="1008" w:type="dxa"/>
          </w:tcPr>
          <w:p w14:paraId="64B09950"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 0060 és 0090</w:t>
            </w:r>
          </w:p>
        </w:tc>
        <w:tc>
          <w:tcPr>
            <w:tcW w:w="8204" w:type="dxa"/>
          </w:tcPr>
          <w:p w14:paraId="65F68A65"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ÉRTÉKPAPÍROSÍTÁSI POZÍCIÓK</w:t>
            </w:r>
          </w:p>
          <w:p w14:paraId="3E2839F4" w14:textId="5E373E76" w:rsidR="00C55547" w:rsidRPr="002D60D7" w:rsidRDefault="00C55547" w:rsidP="004C445F">
            <w:pPr>
              <w:suppressAutoHyphens/>
              <w:rPr>
                <w:rFonts w:ascii="Times New Roman" w:hAnsi="Times New Roman"/>
                <w:sz w:val="24"/>
              </w:rPr>
            </w:pPr>
            <w:r>
              <w:rPr>
                <w:rFonts w:ascii="Times New Roman" w:hAnsi="Times New Roman"/>
                <w:sz w:val="24"/>
              </w:rPr>
              <w:t>A korrelációkereskedési portfólió értékpapírosításokat, n-edik nemteljesítéskor lehívható hitelderivatívákat, valamint esetlegesen az 575/2013/EU rendelet 338. cikkének (2) és (3) bekezdésében előírt kritériumokat teljesítő egyéb fedezeti pozíciókat foglal magában.</w:t>
            </w:r>
          </w:p>
          <w:p w14:paraId="284429BF" w14:textId="77777777" w:rsidR="00C55547" w:rsidRPr="002D60D7" w:rsidRDefault="00C55547" w:rsidP="004C445F">
            <w:pPr>
              <w:suppressAutoHyphens/>
              <w:rPr>
                <w:rFonts w:ascii="Times New Roman" w:hAnsi="Times New Roman"/>
                <w:sz w:val="24"/>
              </w:rPr>
            </w:pPr>
            <w:r>
              <w:rPr>
                <w:rFonts w:ascii="Times New Roman" w:hAnsi="Times New Roman"/>
                <w:sz w:val="24"/>
              </w:rPr>
              <w:t>Az értékpapírosítási kitettségek arányos részesedést biztosító származtatott ügyleteit, valamint a CTP-pozíciókat fedező pozíciókat az „Egyéb CTP-pozíciók” sorban kell feltüntetni.</w:t>
            </w:r>
          </w:p>
        </w:tc>
      </w:tr>
      <w:tr w:rsidR="00C55547" w:rsidRPr="002D60D7" w14:paraId="310FE06B" w14:textId="77777777" w:rsidTr="00E10B85">
        <w:tc>
          <w:tcPr>
            <w:tcW w:w="1008" w:type="dxa"/>
          </w:tcPr>
          <w:p w14:paraId="2602BE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8204" w:type="dxa"/>
          </w:tcPr>
          <w:p w14:paraId="5251DCC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N-EDIK NEMTELJESÍTÉSKOR LEHÍVHATÓ HITELDERIVATÍVÁK</w:t>
            </w:r>
          </w:p>
          <w:p w14:paraId="298FC0AB" w14:textId="5115C116" w:rsidR="00C55547" w:rsidRPr="002D60D7" w:rsidRDefault="00C55547" w:rsidP="004C445F">
            <w:pPr>
              <w:suppressAutoHyphens/>
              <w:rPr>
                <w:rFonts w:ascii="Times New Roman" w:hAnsi="Times New Roman"/>
                <w:sz w:val="24"/>
              </w:rPr>
            </w:pPr>
            <w:r>
              <w:rPr>
                <w:rFonts w:ascii="Times New Roman" w:hAnsi="Times New Roman"/>
                <w:sz w:val="24"/>
              </w:rPr>
              <w:t>Itt az n-edik nemteljesítéskor lehívható hitelderivatívákat, valamint az azokat az 575/2013/EU rendelet 347. cikke szerint fedező n-edik nemteljesítéskor lehívható hitelderivatívákat kell megadni.</w:t>
            </w:r>
          </w:p>
          <w:p w14:paraId="0ADF3C10" w14:textId="08643021" w:rsidR="00C55547" w:rsidRPr="002D60D7" w:rsidRDefault="00C55547" w:rsidP="004C445F">
            <w:pPr>
              <w:suppressAutoHyphens/>
              <w:rPr>
                <w:rFonts w:ascii="Times New Roman" w:hAnsi="Times New Roman"/>
                <w:sz w:val="24"/>
              </w:rPr>
            </w:pPr>
            <w:r>
              <w:rPr>
                <w:rFonts w:ascii="Times New Roman" w:hAnsi="Times New Roman"/>
                <w:sz w:val="24"/>
              </w:rPr>
              <w:t>Az értékpapírosítást kezdeményező, a befektető és szponzor pozíciói az n-edik nemteljesítéskor lehívható hitelderivatívákkal nem egyeztethetők össze. Emiatt az értékpapírosítási pozícióknál alkalmazott megbontás az n-edik nemteljesítéskor lehívható hitelderivatívák esetében nem alkalmazható.</w:t>
            </w:r>
          </w:p>
        </w:tc>
      </w:tr>
      <w:tr w:rsidR="00C55547" w:rsidRPr="002D60D7" w14:paraId="3804EA7A" w14:textId="77777777" w:rsidTr="00E10B85">
        <w:tc>
          <w:tcPr>
            <w:tcW w:w="1008" w:type="dxa"/>
          </w:tcPr>
          <w:p w14:paraId="492141F6"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0100 és 0120</w:t>
            </w:r>
          </w:p>
        </w:tc>
        <w:tc>
          <w:tcPr>
            <w:tcW w:w="8204" w:type="dxa"/>
          </w:tcPr>
          <w:p w14:paraId="1BEC531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EGYÉB CTP-POZÍCIÓK</w:t>
            </w:r>
          </w:p>
          <w:p w14:paraId="543C28DD" w14:textId="77777777" w:rsidR="00C55547" w:rsidRPr="002D60D7" w:rsidRDefault="00C55547" w:rsidP="004C445F">
            <w:pPr>
              <w:suppressAutoHyphens/>
              <w:rPr>
                <w:rFonts w:ascii="Times New Roman" w:hAnsi="Times New Roman"/>
                <w:sz w:val="24"/>
              </w:rPr>
            </w:pPr>
            <w:r>
              <w:rPr>
                <w:rFonts w:ascii="Times New Roman" w:hAnsi="Times New Roman"/>
                <w:sz w:val="24"/>
              </w:rPr>
              <w:t xml:space="preserve">Az alábbi pozíciók tartoznak ide: </w:t>
            </w:r>
          </w:p>
          <w:p w14:paraId="009DBFDC" w14:textId="71465A30" w:rsidR="002272E2"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az értékpapírosítási kitettségek arányos részesedést biztosító származtatott ügyletei, valamint a CTP-pozíciókat fedező pozíciók;</w:t>
            </w:r>
          </w:p>
          <w:p w14:paraId="6225E087" w14:textId="0E1CE11C" w:rsidR="002272E2" w:rsidRPr="002D60D7" w:rsidRDefault="00C55547"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az 575/2013/EU rendelet 346. cikke szerint hitelderivatívákkal fedezett CTP-pozíciók;</w:t>
            </w:r>
          </w:p>
          <w:p w14:paraId="37D9C26F" w14:textId="118835A5" w:rsidR="00C55547"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az 575/2013/EU rendelet 338. cikkének (3) bekezdése szerinti egyéb pozíciók.</w:t>
            </w:r>
          </w:p>
        </w:tc>
      </w:tr>
    </w:tbl>
    <w:p w14:paraId="2FA40F1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833249"/>
      <w:r>
        <w:rPr>
          <w:rFonts w:ascii="Times New Roman" w:hAnsi="Times New Roman"/>
          <w:sz w:val="24"/>
          <w:u w:val="none"/>
        </w:rPr>
        <w:t>5.</w:t>
      </w:r>
      <w:r>
        <w:tab/>
      </w:r>
      <w:r>
        <w:rPr>
          <w:rFonts w:ascii="Times New Roman" w:hAnsi="Times New Roman"/>
          <w:sz w:val="24"/>
        </w:rPr>
        <w:t>C 21.00 – Piaci kockázat: A részények pozíciókockázatának sztenderd módszere</w:t>
      </w:r>
      <w:bookmarkEnd w:id="94"/>
      <w:bookmarkEnd w:id="95"/>
      <w:bookmarkEnd w:id="96"/>
      <w:bookmarkEnd w:id="97"/>
      <w:bookmarkEnd w:id="98"/>
      <w:r>
        <w:rPr>
          <w:rFonts w:ascii="Times New Roman" w:hAnsi="Times New Roman"/>
          <w:sz w:val="24"/>
        </w:rPr>
        <w:t xml:space="preserve"> (MKR SA EQU)</w:t>
      </w:r>
      <w:bookmarkEnd w:id="99"/>
      <w:bookmarkEnd w:id="100"/>
    </w:p>
    <w:p w14:paraId="28B3FACA" w14:textId="344FF54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833250"/>
      <w:r>
        <w:rPr>
          <w:rFonts w:ascii="Times New Roman" w:hAnsi="Times New Roman"/>
          <w:sz w:val="24"/>
          <w:u w:val="none"/>
        </w:rPr>
        <w:t>5.1.</w:t>
      </w:r>
      <w:r w:rsidRPr="00B73089">
        <w:rPr>
          <w:u w:val="none"/>
        </w:rPr>
        <w:tab/>
      </w:r>
      <w:r>
        <w:rPr>
          <w:rFonts w:ascii="Times New Roman" w:hAnsi="Times New Roman"/>
          <w:sz w:val="24"/>
        </w:rPr>
        <w:t>Általános megjegyzések</w:t>
      </w:r>
      <w:bookmarkEnd w:id="101"/>
      <w:bookmarkEnd w:id="102"/>
      <w:bookmarkEnd w:id="103"/>
      <w:bookmarkEnd w:id="104"/>
      <w:bookmarkEnd w:id="105"/>
      <w:bookmarkEnd w:id="106"/>
      <w:bookmarkEnd w:id="107"/>
    </w:p>
    <w:p w14:paraId="1BA8EF6D" w14:textId="368B1B75" w:rsidR="000B0B09" w:rsidRPr="002D60D7" w:rsidRDefault="000B0B09" w:rsidP="00E172EA">
      <w:pPr>
        <w:pStyle w:val="InstructionsText2"/>
        <w:numPr>
          <w:ilvl w:val="0"/>
          <w:numId w:val="29"/>
        </w:numPr>
        <w:suppressAutoHyphens/>
      </w:pPr>
      <w:r>
        <w:t>Ezen a táblán a sztenderd módszer alkalmazási körébe tartozó pozíciókról, valamint az ezekhez kapcsolódóan a kereskedési könyvben nyilvántartott részvények pozíciókockázatára vonatkozó szavatolótőke-követelményről kell adatot szolgáltatni.</w:t>
      </w:r>
    </w:p>
    <w:p w14:paraId="3AF5EC7C" w14:textId="570FEDBA" w:rsidR="00B828CC" w:rsidRPr="002D60D7" w:rsidRDefault="000B0B09" w:rsidP="00E172EA">
      <w:pPr>
        <w:pStyle w:val="InstructionsText2"/>
        <w:numPr>
          <w:ilvl w:val="0"/>
          <w:numId w:val="29"/>
        </w:numPr>
        <w:suppressAutoHyphens/>
      </w:pPr>
      <w:r>
        <w:t>A táblát külön ki kell tölteni összesítve, valamint az alábbi előre meghatározott felsorolásban szereplő piacokra vonatkozóan: Albánia, Bulgária, Csehország, Dánia, Egyesült Államok, Egyesült Királyság, Egyiptom, Észak-Macedónia, Izland, Japán, Lengyelország, Liechtenstein, Magyarország, Norvégia, Oroszország, Románia, Svájc, Svédország, Szerbia, Törökország, Ukrajna, az euroövezet, továbbá egy tábla az összes többi piacra összesítve. Ezen adatszolgáltatási kötelezettség alkalmazásában piac alatt országot kell érteni (kivéve az euroövezethez tartozó országokat, lásd az 525/2014/EU felhatalmazáson alapuló bizottsági rendeletet</w:t>
      </w:r>
      <w:r>
        <w:rPr>
          <w:rStyle w:val="FootnoteReference"/>
        </w:rPr>
        <w:footnoteReference w:id="2"/>
      </w:r>
      <w:r>
        <w:t>).</w:t>
      </w:r>
    </w:p>
    <w:p w14:paraId="077E1A41" w14:textId="7E9E2DA4"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833251"/>
      <w:r>
        <w:rPr>
          <w:rFonts w:ascii="Times New Roman" w:hAnsi="Times New Roman"/>
          <w:sz w:val="24"/>
          <w:u w:val="none"/>
        </w:rPr>
        <w:t>5.2.</w:t>
      </w:r>
      <w:r w:rsidRPr="00B73089">
        <w:rPr>
          <w:u w:val="none"/>
        </w:rPr>
        <w:tab/>
      </w:r>
      <w:r>
        <w:rPr>
          <w:rFonts w:ascii="Times New Roman" w:hAnsi="Times New Roman"/>
          <w:sz w:val="24"/>
        </w:rPr>
        <w:t>A tábla egyes részeire vonatkozó útmutató</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Oszlop</w:t>
            </w:r>
          </w:p>
        </w:tc>
      </w:tr>
      <w:tr w:rsidR="000B0B09" w:rsidRPr="002D60D7" w14:paraId="1B6DCA2D" w14:textId="77777777" w:rsidTr="00672D2A">
        <w:tc>
          <w:tcPr>
            <w:tcW w:w="988" w:type="dxa"/>
          </w:tcPr>
          <w:p w14:paraId="2E10DD0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7FBE31B"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b/>
                <w:sz w:val="24"/>
                <w:u w:val="single"/>
              </w:rPr>
              <w:t>ÖSSZES POZÍCIÓ (HOSSZÚ ÉS RÖVID)</w:t>
            </w:r>
          </w:p>
          <w:p w14:paraId="754457ED" w14:textId="6411188D"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Az 575/2013/EU rendelet 102. cikke, valamint 105. cikkének (1) bekezdése. </w:t>
            </w:r>
          </w:p>
          <w:p w14:paraId="59EE061F" w14:textId="31066C7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Bruttó, instrumentumonként nem nettósított pozíciók azon jegyzési pozíciók levonásával, amelyeket harmadik fél az intézménytől lejegyzett, vagy amelyekre jegyzési garanciát vállalt az említett rendelet 345. cikke (1) bekezdése első albekezdésének második mondatában említettek szerint. </w:t>
            </w:r>
          </w:p>
        </w:tc>
      </w:tr>
      <w:tr w:rsidR="000B0B09" w:rsidRPr="002D60D7" w14:paraId="518A8218" w14:textId="77777777" w:rsidTr="00672D2A">
        <w:tc>
          <w:tcPr>
            <w:tcW w:w="988" w:type="dxa"/>
          </w:tcPr>
          <w:p w14:paraId="5DF1DDF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4" w:type="dxa"/>
          </w:tcPr>
          <w:p w14:paraId="22DC25D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NETTÓ POZÍCIÓK (HOSSZÚ ÉS RÖVID)</w:t>
            </w:r>
          </w:p>
          <w:p w14:paraId="72A57BC7" w14:textId="1B6E0BBC"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Az 575/2013/EU rendelet 327., 329., 332., 341. és 345. cikke. </w:t>
            </w:r>
          </w:p>
        </w:tc>
      </w:tr>
      <w:tr w:rsidR="000B0B09" w:rsidRPr="002D60D7" w14:paraId="1ED40A34" w14:textId="77777777" w:rsidTr="00672D2A">
        <w:tc>
          <w:tcPr>
            <w:tcW w:w="988" w:type="dxa"/>
          </w:tcPr>
          <w:p w14:paraId="49ADB5D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262B96" w14:textId="77777777" w:rsidR="000B0B09" w:rsidRPr="002D60D7"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TŐKEKÖVETELMÉNNYEL ÉRINTETT POZÍCIÓK</w:t>
            </w:r>
          </w:p>
          <w:p w14:paraId="5B62E698" w14:textId="1711E988"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Azok a nettó pozíciók, amelyekre az 575/2013/EU rendelet harmadik része IV. címének 2. fejezetében foglalt különböző módszerek szerint tőkekövetelmény vonatkozik. A tőkekövetelményt az egyes nemzeti piacokra külön kell kiszámítani. Az 575/2013/EU rendelet 344. cikke (4) bekezdésének második mondatában említett tőzsdei határidős részvényindex-ügyletekben levő pozíciókat nem kell feltüntetni ebben az oszlopban.</w:t>
            </w:r>
          </w:p>
          <w:p w14:paraId="7C352B8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3258053C"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SZAVATOLÓTŐKE-KÖVETELMÉNYEK</w:t>
            </w:r>
          </w:p>
          <w:p w14:paraId="75CDA27D" w14:textId="087571B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Az 575/2013/EU rendelet harmadik része IV. címe 2. fejezete szerint megállapított, bármely releváns pozícióra vonatkozó szavatolótőke-követelmény.</w:t>
            </w:r>
          </w:p>
          <w:p w14:paraId="6CDF917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1A727463"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TELJES KOCKÁZATI KITETTSÉGÉRTÉK</w:t>
            </w:r>
          </w:p>
          <w:p w14:paraId="33E7C378" w14:textId="4FC9A55B" w:rsidR="00E64BFE" w:rsidRPr="002D60D7" w:rsidRDefault="000B0B09" w:rsidP="004C445F">
            <w:pPr>
              <w:tabs>
                <w:tab w:val="left" w:pos="1665"/>
              </w:tabs>
              <w:suppressAutoHyphens/>
              <w:autoSpaceDE w:val="0"/>
              <w:autoSpaceDN w:val="0"/>
              <w:adjustRightInd w:val="0"/>
              <w:spacing w:after="0"/>
              <w:rPr>
                <w:rFonts w:ascii="Times New Roman" w:hAnsi="Times New Roman"/>
                <w:sz w:val="24"/>
              </w:rPr>
            </w:pPr>
            <w:r>
              <w:rPr>
                <w:rFonts w:ascii="Times New Roman" w:hAnsi="Times New Roman"/>
                <w:sz w:val="24"/>
              </w:rPr>
              <w:t xml:space="preserve">Az 575/2013/EU rendelet 92. cikke (6) bekezdésének b) pontja. </w:t>
            </w:r>
          </w:p>
          <w:p w14:paraId="5D42B3B3" w14:textId="77777777"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A szavatolótőke-követelmény 12,5-del való szorzásának az eredménye. </w:t>
            </w:r>
          </w:p>
        </w:tc>
      </w:tr>
    </w:tbl>
    <w:p w14:paraId="62FB026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8059"/>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Sor</w:t>
            </w:r>
          </w:p>
        </w:tc>
      </w:tr>
      <w:tr w:rsidR="000B0B09" w:rsidRPr="002D60D7" w14:paraId="7546B05C" w14:textId="77777777" w:rsidTr="00672D2A">
        <w:tc>
          <w:tcPr>
            <w:tcW w:w="1008" w:type="dxa"/>
          </w:tcPr>
          <w:p w14:paraId="7BE875B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0010–0130</w:t>
            </w:r>
          </w:p>
        </w:tc>
        <w:tc>
          <w:tcPr>
            <w:tcW w:w="8204" w:type="dxa"/>
          </w:tcPr>
          <w:p w14:paraId="1FF7DE1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KERESKEDÉSI KÖNYVBEN NYILVÁNTARTOTT RÉSZVÉNYEK</w:t>
            </w:r>
          </w:p>
          <w:p w14:paraId="030F1935" w14:textId="785DC9DE"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Az 575/2013/EU rendelet 92. cikke (3) bekezdése b) pontjának i. alpontjában, valamint az említett rendelet harmadik része IV. címe 2. fejezetének 3. szakaszában említett pozíciókockázathoz kapcsolódó szavatolótőke-követelmény.</w:t>
            </w:r>
          </w:p>
        </w:tc>
      </w:tr>
      <w:tr w:rsidR="000B0B09" w:rsidRPr="002D60D7" w14:paraId="06FCC7F1" w14:textId="77777777" w:rsidTr="00672D2A">
        <w:tc>
          <w:tcPr>
            <w:tcW w:w="1008" w:type="dxa"/>
          </w:tcPr>
          <w:p w14:paraId="33E8BCC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029ED2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ÁLTALÁNOS KOCKÁZAT</w:t>
            </w:r>
          </w:p>
          <w:p w14:paraId="21F94335" w14:textId="41165158"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Az általános kockázattal érintett részvényekben lévő pozíciók (az 575/2013/EU rendelet 343. cikke), valamint az azoknak megfelelő, az említett rendelet harmadik része IV. címe 2. fejezetének 3. szakasza szerinti szavatolótőke-követelmény. </w:t>
            </w:r>
          </w:p>
          <w:p w14:paraId="729400AD" w14:textId="77777777" w:rsidR="001E0C8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Mindkét felosztás (0021/0022-es sorok és 0030/0040-es sorok) valamennyi olyan pozícióhoz kapcsolódik, amelyet általános kockázat érint.</w:t>
            </w:r>
          </w:p>
          <w:p w14:paraId="32EAD513" w14:textId="77777777" w:rsidR="004E2725"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 0021-es és 0022-es sorban az információkat eszközönkénti bontásban kell megadni. </w:t>
            </w:r>
          </w:p>
          <w:p w14:paraId="75FD06DA" w14:textId="77777777"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A szavatolótőke-követelmény számításakor kizárólag a 0030-as és 0040-es sorban csoportosított adatok vehetők figyelembe.</w:t>
            </w:r>
          </w:p>
        </w:tc>
      </w:tr>
      <w:tr w:rsidR="000B0B09" w:rsidRPr="002D60D7" w14:paraId="7E2E7066" w14:textId="77777777" w:rsidTr="00672D2A">
        <w:tc>
          <w:tcPr>
            <w:tcW w:w="1008" w:type="dxa"/>
          </w:tcPr>
          <w:p w14:paraId="2A8F2E0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0021</w:t>
            </w:r>
          </w:p>
        </w:tc>
        <w:tc>
          <w:tcPr>
            <w:tcW w:w="8204" w:type="dxa"/>
          </w:tcPr>
          <w:p w14:paraId="51E4EB2D"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Származtatott ügyletek</w:t>
            </w:r>
          </w:p>
          <w:p w14:paraId="561EFF21" w14:textId="424FAD2D"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A kereskedési könyvi pozíciók részvénypiaci kockázatának számítása során figyelembe vett származtatott ügyletek, az 575/2013/EU rendelet 329. és 332. cikkének figyelembevételével, ha e cikkek alkalmazhatók.</w:t>
            </w:r>
          </w:p>
        </w:tc>
      </w:tr>
      <w:tr w:rsidR="000B0B09" w:rsidRPr="002D60D7" w14:paraId="70CC2A6A" w14:textId="77777777" w:rsidTr="00672D2A">
        <w:tc>
          <w:tcPr>
            <w:tcW w:w="1008" w:type="dxa"/>
          </w:tcPr>
          <w:p w14:paraId="569AE9F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0022</w:t>
            </w:r>
          </w:p>
        </w:tc>
        <w:tc>
          <w:tcPr>
            <w:tcW w:w="8204" w:type="dxa"/>
          </w:tcPr>
          <w:p w14:paraId="100EC51C"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Egyéb eszközök és kötelezettségek</w:t>
            </w:r>
          </w:p>
          <w:p w14:paraId="21AC79DF"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 kereskedési könyvi pozíciók részvénypiaci kockázatának számítása során figyelembe vett származtatott ügyleteken kívüli instrumentumok. </w:t>
            </w:r>
          </w:p>
        </w:tc>
      </w:tr>
      <w:tr w:rsidR="000B0B09" w:rsidRPr="002D60D7" w14:paraId="2ECBC519" w14:textId="77777777" w:rsidTr="00672D2A">
        <w:tc>
          <w:tcPr>
            <w:tcW w:w="1008" w:type="dxa"/>
          </w:tcPr>
          <w:p w14:paraId="63840C82"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8204" w:type="dxa"/>
          </w:tcPr>
          <w:p w14:paraId="5BE0B58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Megfelelően diverzifikált, egyedi módszer alkalmazási körébe tartozó tőzsdei határidős részvényindex-ügyletek</w:t>
            </w:r>
          </w:p>
          <w:p w14:paraId="56A22316" w14:textId="77777777" w:rsidR="005C14B0"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Megfelelően diverzifikált, a 945/2014/EU bizottsági végrehajtási rendelet</w:t>
            </w:r>
            <w:r>
              <w:rPr>
                <w:rStyle w:val="FootnoteReference"/>
              </w:rPr>
              <w:footnoteReference w:id="3"/>
            </w:r>
            <w:r>
              <w:rPr>
                <w:rFonts w:ascii="Times New Roman" w:hAnsi="Times New Roman"/>
                <w:sz w:val="24"/>
              </w:rPr>
              <w:t xml:space="preserve"> szerint egyedi módszer alkalmazási körébe tartozó tőzsdei határidős részvényindex-ügyletek</w:t>
            </w:r>
          </w:p>
          <w:p w14:paraId="2528F1AA" w14:textId="103B7503"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Ezeknél a pozícióknál csak általános kockázat áll fenn, így azok a 0050-es sorban nem tüntethetők fel.</w:t>
            </w:r>
          </w:p>
        </w:tc>
      </w:tr>
      <w:tr w:rsidR="000B0B09" w:rsidRPr="002D60D7" w14:paraId="132F7A31" w14:textId="77777777" w:rsidTr="00672D2A">
        <w:tc>
          <w:tcPr>
            <w:tcW w:w="1008" w:type="dxa"/>
          </w:tcPr>
          <w:p w14:paraId="5A552EB7"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8204" w:type="dxa"/>
          </w:tcPr>
          <w:p w14:paraId="10EE0C2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Megfelelően diverzifikált tőzsdei határidős részvényindex-ügyleteken kívüli részvények</w:t>
            </w:r>
          </w:p>
          <w:p w14:paraId="17542C2D" w14:textId="5412BB06"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Az egyedi kockázattal érintett részvényekben lévő egyéb pozíciók, valamint az azoknak megfelelő szavatolótőke-követelmények az 575/2013/EU rendelet 343. cikkének megfelelően, ideértve az említett rendelet 344. cikke (3) bekezdésének megfelelően kezelt tőzsdei határidős részvényindex-ügyletekben lévő pozíciókat.</w:t>
            </w:r>
          </w:p>
        </w:tc>
      </w:tr>
      <w:tr w:rsidR="000B0B09" w:rsidRPr="002D60D7" w14:paraId="10C7ACD9" w14:textId="77777777" w:rsidTr="00672D2A">
        <w:tc>
          <w:tcPr>
            <w:tcW w:w="1008" w:type="dxa"/>
          </w:tcPr>
          <w:p w14:paraId="1F6F53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0050 </w:t>
            </w:r>
          </w:p>
        </w:tc>
        <w:tc>
          <w:tcPr>
            <w:tcW w:w="8204" w:type="dxa"/>
          </w:tcPr>
          <w:p w14:paraId="0CF5CE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EGYEDI KOCKÁZAT</w:t>
            </w:r>
          </w:p>
          <w:p w14:paraId="4CFFEA2D" w14:textId="693CE9A9"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Az egyedi kockázattal érintett részvényekben lévő pozíciók, valamint az azoknak megfelelő szavatolótőke-követelmények az 575/2013/EU rendelet 342. cikkének megfelelően, kivéve az említett rendelet 344. cikke (4) bekezdése második mondatának megfelelően kezelt tőzsdei határidős részvényindex-ügyletekben lévő pozíciókat. </w:t>
            </w:r>
          </w:p>
        </w:tc>
      </w:tr>
      <w:tr w:rsidR="000B0B09" w:rsidRPr="002D60D7" w14:paraId="63780725" w14:textId="77777777" w:rsidTr="00672D2A">
        <w:tc>
          <w:tcPr>
            <w:tcW w:w="1008" w:type="dxa"/>
          </w:tcPr>
          <w:p w14:paraId="573EB4E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0090–0130</w:t>
            </w:r>
          </w:p>
        </w:tc>
        <w:tc>
          <w:tcPr>
            <w:tcW w:w="8204" w:type="dxa"/>
          </w:tcPr>
          <w:p w14:paraId="1BAF0B5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OPCIÓKRA VONATKOZÓ TOVÁBBI KÖVETELMÉNYEK (NEM DELTA KOCKÁZATOK)</w:t>
            </w:r>
          </w:p>
          <w:p w14:paraId="2552C107" w14:textId="66B48CCE"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Az 575/2013/EU rendelet 329. cikkének 2. és 3. pontja </w:t>
            </w:r>
          </w:p>
          <w:p w14:paraId="72C3FAC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 nem delta kockázatokkal kapcsolatos, opciókra vonatkozó további követelményeket a számítási módszerben kell feltüntetni.</w:t>
            </w:r>
          </w:p>
        </w:tc>
      </w:tr>
    </w:tbl>
    <w:p w14:paraId="0EB6FD79"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833252"/>
      <w:r>
        <w:rPr>
          <w:rFonts w:ascii="Times New Roman" w:hAnsi="Times New Roman"/>
          <w:sz w:val="24"/>
          <w:u w:val="none"/>
        </w:rPr>
        <w:t>6.</w:t>
      </w:r>
      <w:r w:rsidRPr="00997ABE">
        <w:rPr>
          <w:u w:val="none"/>
        </w:rPr>
        <w:tab/>
      </w:r>
      <w:r>
        <w:rPr>
          <w:rFonts w:ascii="Times New Roman" w:hAnsi="Times New Roman"/>
          <w:sz w:val="24"/>
        </w:rPr>
        <w:t>C 22.00 – Piaci kockázat: a devizaárfolyam-kockázat sztenderd módszerei</w:t>
      </w:r>
      <w:bookmarkEnd w:id="115"/>
      <w:bookmarkEnd w:id="116"/>
      <w:bookmarkEnd w:id="117"/>
      <w:bookmarkEnd w:id="118"/>
      <w:bookmarkEnd w:id="119"/>
      <w:r>
        <w:rPr>
          <w:rFonts w:ascii="Times New Roman" w:hAnsi="Times New Roman"/>
          <w:sz w:val="24"/>
        </w:rPr>
        <w:t xml:space="preserve"> (MKR SA FX)</w:t>
      </w:r>
      <w:bookmarkEnd w:id="120"/>
      <w:bookmarkEnd w:id="121"/>
    </w:p>
    <w:p w14:paraId="70FD2A29" w14:textId="503A292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833253"/>
      <w:r>
        <w:rPr>
          <w:rFonts w:ascii="Times New Roman" w:hAnsi="Times New Roman"/>
          <w:sz w:val="24"/>
          <w:u w:val="none"/>
        </w:rPr>
        <w:t>6.1.</w:t>
      </w:r>
      <w:r w:rsidRPr="00997ABE">
        <w:rPr>
          <w:u w:val="none"/>
        </w:rPr>
        <w:tab/>
      </w:r>
      <w:r>
        <w:rPr>
          <w:rFonts w:ascii="Times New Roman" w:hAnsi="Times New Roman"/>
          <w:sz w:val="24"/>
        </w:rPr>
        <w:t>Általános megjegyzések</w:t>
      </w:r>
      <w:bookmarkEnd w:id="122"/>
      <w:bookmarkEnd w:id="123"/>
      <w:bookmarkEnd w:id="124"/>
      <w:bookmarkEnd w:id="125"/>
      <w:bookmarkEnd w:id="126"/>
      <w:bookmarkEnd w:id="127"/>
      <w:bookmarkEnd w:id="128"/>
    </w:p>
    <w:p w14:paraId="3B4750B2" w14:textId="2C7BE8FA" w:rsidR="00F71DF2" w:rsidRPr="002D60D7" w:rsidRDefault="00A807E1" w:rsidP="00E172EA">
      <w:pPr>
        <w:pStyle w:val="InstructionsText2"/>
        <w:numPr>
          <w:ilvl w:val="0"/>
          <w:numId w:val="29"/>
        </w:numPr>
        <w:suppressAutoHyphens/>
      </w:pPr>
      <w:r>
        <w:t>Ezen a táblán az egyes devizákban lévő pozíciókról (ideértve a beszámoló pénznemét is), valamint ezekhez kapcsolódóan a devizaárfolyam-kockázatra vonatkozó, sztenderd módszer szerinti szavatolótőke-követelményről kell a befektetési vállalkozásoknak adatot szolgáltatniuk. A pozíciót az egyes pénznemekre (ideértve az EUR-t is), aranyra, valamint a kollektív befektetési formákra is ki kell számítani.</w:t>
      </w:r>
    </w:p>
    <w:p w14:paraId="39EF826C" w14:textId="60814CC7" w:rsidR="000B0B09" w:rsidRPr="002D60D7" w:rsidRDefault="00B31D8A" w:rsidP="00E172EA">
      <w:pPr>
        <w:pStyle w:val="InstructionsText2"/>
        <w:numPr>
          <w:ilvl w:val="0"/>
          <w:numId w:val="29"/>
        </w:numPr>
        <w:suppressAutoHyphens/>
      </w:pPr>
      <w:r>
        <w:t>E tábla 0100–0470-es sorát ki kell tölteni, ha a befektetési vállalkozás engedéllyel rendelkezik a 2014/65/EU európai parlamenti és tanácsi irányelv</w:t>
      </w:r>
      <w:r>
        <w:rPr>
          <w:rStyle w:val="FootnoteReference"/>
        </w:rPr>
        <w:footnoteReference w:id="4"/>
      </w:r>
      <w:r>
        <w:t xml:space="preserve"> I. mellékletének A. szakaszában meghatározott 3. vagy 6. tevékenység végzésére, még akkor is, ha a befektetési vállalkozás nem köteles szavatolótőke-követelményt számolni a devizaárfolyam-kockázatra az 575/2013/EU rendelet 351. cikke szerint. E tájékoztató adatok körében a beszámoló pénznemében lévő összes pozíciót jelenteni kell a 0100–0470-es sorban, függetlenül attól, hogy ezeket figyelembe veszik-e az 575/2013/EU rendelet 354. cikkének alkalmazásában. A tábla tájékoztató adatainak 0130–0470-es sorát külön-külön ki kell tölteni az Unió tagállamaiban használt valamennyi pénznemre, a következő pénznemekre: GBP, USD, CHF, JPY, RUB, TRY, AUD, CAD, RSD, ALL, UAH, MKD, EGP, ARS, BRL, MXN, HKD, ICK, TWD, NZD, NOK, SGD, KRW, CNY, valamint minden egyéb pénznemre.</w:t>
      </w:r>
    </w:p>
    <w:p w14:paraId="346B4732" w14:textId="0BDCE786"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833254"/>
      <w:r>
        <w:rPr>
          <w:rFonts w:ascii="Times New Roman" w:hAnsi="Times New Roman"/>
          <w:sz w:val="24"/>
          <w:u w:val="none"/>
        </w:rPr>
        <w:t>6.2.</w:t>
      </w:r>
      <w:r w:rsidRPr="00997ABE">
        <w:rPr>
          <w:u w:val="none"/>
        </w:rPr>
        <w:tab/>
      </w:r>
      <w:r>
        <w:rPr>
          <w:rFonts w:ascii="Times New Roman" w:hAnsi="Times New Roman"/>
          <w:sz w:val="24"/>
        </w:rPr>
        <w:t>A tábla egyes részeire vonatkozó útmutató</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Oszlop</w:t>
            </w:r>
          </w:p>
        </w:tc>
      </w:tr>
      <w:tr w:rsidR="000B0B09" w:rsidRPr="002D60D7" w14:paraId="159B4B41" w14:textId="77777777" w:rsidTr="00672D2A">
        <w:tc>
          <w:tcPr>
            <w:tcW w:w="988" w:type="dxa"/>
          </w:tcPr>
          <w:p w14:paraId="0ABA9E2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0020–0030</w:t>
            </w:r>
          </w:p>
        </w:tc>
        <w:tc>
          <w:tcPr>
            <w:tcW w:w="7874" w:type="dxa"/>
          </w:tcPr>
          <w:p w14:paraId="3450FB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ÖSSZES POZÍCIÓ (HOSSZÚ ÉS RÖVID)</w:t>
            </w:r>
          </w:p>
          <w:p w14:paraId="21CD617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Az eszközökből, a jövőben befolyó összegekből és az 575/2013/EU rendelet 352. cikkének (1) bekezdésében említett egyéb tételekből eredő bruttó pozíciók.</w:t>
            </w:r>
          </w:p>
          <w:p w14:paraId="754DB1BB" w14:textId="2FEAA29E" w:rsidR="000B0B09" w:rsidRPr="002D60D7" w:rsidRDefault="00BB22D4"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Az 575/2013/EU rendelet 352. cikkének (2) bekezdése alapján és az illetékes hatóságok engedélyének függvényében nem tüntetendők fel azok a pozíciók, amelyeket az intézmény kifejezetten azért vállal, hogy ezzel a devizaárfolyamnak az említett rendelet 92. cikkének (1) bekezdése szerinti tőkemegfelelési mutatókra gyakorolt negatív hatását fedezze, és az olyan tételekhez kapcsolódó pozíciók sem, amelyeket a szavatolótőke-számítás során már levontak.</w:t>
            </w:r>
          </w:p>
          <w:p w14:paraId="40A85A4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0040–0050</w:t>
            </w:r>
          </w:p>
        </w:tc>
        <w:tc>
          <w:tcPr>
            <w:tcW w:w="7874" w:type="dxa"/>
          </w:tcPr>
          <w:p w14:paraId="5A21CA5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NETTÓ POZÍCIÓK (HOSSZÚ ÉS RÖVID)</w:t>
            </w:r>
          </w:p>
          <w:p w14:paraId="5D5BCFB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110C5AF2" w:rsidR="00283B5F"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Az 575/2013/EU rendelet 352. cikkének (3) bekezdése, 352. cikke (4) bekezdésének első két mondata, valamint 353. cikke.</w:t>
            </w:r>
          </w:p>
          <w:p w14:paraId="1436375E" w14:textId="14467FBC"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 nettó pozíciókat pénznemenként kell kiszámítani az említett rendelet 352. cikkének (1) bekezdése szerint. Következésképpen a hosszú és a rövid pozíciókat egyszerre lehet jelenteni.</w:t>
            </w:r>
          </w:p>
          <w:p w14:paraId="7EF6C18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874" w:type="dxa"/>
          </w:tcPr>
          <w:p w14:paraId="23461A4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TŐKEKÖVETELMÉNNYEL ÉRINTETT POZÍCIÓK</w:t>
            </w:r>
          </w:p>
          <w:p w14:paraId="536B211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4FE1162B" w14:textId="273CC04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Az 575/2013/EU rendelet 352. cikke (4) bekezdésének harmadik mondata, valamint 353. és 354. cikke </w:t>
            </w:r>
          </w:p>
          <w:p w14:paraId="091C4CE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0060–0070</w:t>
            </w:r>
          </w:p>
        </w:tc>
        <w:tc>
          <w:tcPr>
            <w:tcW w:w="7874" w:type="dxa"/>
          </w:tcPr>
          <w:p w14:paraId="4917443B"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TŐKEKÖVETELMÉNNYEL ÉRINTETT POZÍCIÓK (HOSSZÚ ÉS RÖVID)</w:t>
            </w:r>
          </w:p>
          <w:p w14:paraId="1CA17503"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Az egyes pénznemekben lévő nettó hosszú és rövid pozíciókat a rövid pozíciók összegének a hosszú pozíciók összegéből való kivonásával kell kiszámítani.</w:t>
            </w:r>
          </w:p>
          <w:p w14:paraId="7912A4F1"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Egy pénznemben meglévő nettó hosszú pozíció az adott pénznemben végrehajtott műveletekhez tartozó nettó hosszú pozíciók összeadásával számítható ki.</w:t>
            </w:r>
          </w:p>
          <w:p w14:paraId="5B4E9BD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Egy pénznemben meglévő nettó rövid pozíció az adott pénznemben végrehajtott műveletekhez tartozó nettó rövid pozíciók összeadásával számítható ki.</w:t>
            </w:r>
          </w:p>
          <w:p w14:paraId="71BEB09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A beszámoló pénznemén kívüli pénznemben lévő kiegyenlítetlen pozíciókat az egyéb pénznemben lévő, tőkekövetelménnyel érintett pozíciókhoz (030-as sor) kell adni a 060-as vagy 070-es oszlopban attól függően, hogy a pozíciók rövidek vagy hosszúak.</w:t>
            </w:r>
          </w:p>
          <w:p w14:paraId="3B8AB235"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4" w:type="dxa"/>
          </w:tcPr>
          <w:p w14:paraId="50779B2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TŐKEKÖVETELMÉNNYEL ÉRINTETT POZÍCIÓK (KIEGYENLÍTETT)</w:t>
            </w:r>
          </w:p>
          <w:p w14:paraId="1787EA62"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Egymással nagymértékben korreláló pénznemekben lévő kiegyenlített pozíciók.</w:t>
            </w:r>
          </w:p>
          <w:p w14:paraId="6BC8E67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4" w:type="dxa"/>
          </w:tcPr>
          <w:p w14:paraId="4FC12DD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SZAVATOLÓTŐKE-KÖVETELMÉNYEK</w:t>
            </w:r>
          </w:p>
          <w:p w14:paraId="4108E69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Az 575/2013/EU rendelet harmadik része IV. címének 3. fejezete szerinti releváns pozíciók tőkekövetelménye. </w:t>
            </w:r>
          </w:p>
          <w:p w14:paraId="62C9AE7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4" w:type="dxa"/>
          </w:tcPr>
          <w:p w14:paraId="0647EAC0"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TELJES KOCKÁZATI KITETTSÉGÉRTÉK</w:t>
            </w:r>
          </w:p>
          <w:p w14:paraId="1005789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Az 575/2013/EU rendelet 92. cikke (6) bekezdésének b) pontja.</w:t>
            </w:r>
          </w:p>
          <w:p w14:paraId="74C1A53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 szavatolótőke-követelmény 12,5-del való szorzásának az eredménye. </w:t>
            </w:r>
          </w:p>
          <w:p w14:paraId="43ECFCA3" w14:textId="77777777" w:rsidR="00DE48EF" w:rsidRPr="002D60D7"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Sor</w:t>
            </w:r>
          </w:p>
        </w:tc>
      </w:tr>
      <w:tr w:rsidR="000B0B09" w:rsidRPr="002D60D7" w14:paraId="7E8F93AD" w14:textId="77777777" w:rsidTr="00672D2A">
        <w:tc>
          <w:tcPr>
            <w:tcW w:w="991" w:type="dxa"/>
          </w:tcPr>
          <w:p w14:paraId="308DA05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1" w:type="dxa"/>
          </w:tcPr>
          <w:p w14:paraId="444D3E4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POZÍCIÓK ÖSSZESEN</w:t>
            </w:r>
          </w:p>
          <w:p w14:paraId="625A8F9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78AA241E" w:rsidR="000B0B09"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 nem a beszámoló pénznemében meglévő összes pozíció és a beszámoló pénznemében lévő azon pozíciók, amelyeket figyelembe vesznek az 575/2013/EU rendelet 354. cikke alkalmazásában, valamint az ezekhez kapcsolódó, a devizaárfolyam-kockázatra vonatkozó szavatolótőke-követelmény az említett rendelet 92. cikke (3) bekezdése c) pontjának i. alpontjában említettek szerint, figyelembe véve az 575/2013/EU rendelet 352. cikkének (2) és (4) bekezdését (a beszámoló pénznemére történő átváltás tekintetében).</w:t>
            </w:r>
          </w:p>
          <w:p w14:paraId="60C8486E"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871" w:type="dxa"/>
          </w:tcPr>
          <w:p w14:paraId="49A2740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EGYMÁSSAL NAGYMÉRTÉKBEN KORRELÁLÓ PÉNZNEMEK</w:t>
            </w:r>
          </w:p>
          <w:p w14:paraId="784B138D"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323891C1"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Az 575/2013/EU rendelet 354. cikkében említett, egymással nagymértékben korreláló pénznemekben lévő pozíciók, valamint az ezekhez kapcsolódó szavatolótőke-követelmény.</w:t>
            </w:r>
          </w:p>
          <w:p w14:paraId="1228E8F4"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0025</w:t>
            </w:r>
          </w:p>
        </w:tc>
        <w:tc>
          <w:tcPr>
            <w:tcW w:w="7871" w:type="dxa"/>
          </w:tcPr>
          <w:p w14:paraId="596531B8"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Egymással nagymértékben korreláló pénznemek: </w:t>
            </w:r>
            <w:r>
              <w:rPr>
                <w:rFonts w:ascii="Times New Roman" w:hAnsi="Times New Roman"/>
                <w:b/>
                <w:i/>
                <w:sz w:val="24"/>
                <w:u w:val="single"/>
              </w:rPr>
              <w:t>ebből</w:t>
            </w:r>
            <w:r>
              <w:rPr>
                <w:rFonts w:ascii="Times New Roman" w:hAnsi="Times New Roman"/>
                <w:b/>
                <w:sz w:val="24"/>
                <w:u w:val="single"/>
              </w:rPr>
              <w:t>: a beszámoló pénzneme</w:t>
            </w:r>
          </w:p>
          <w:p w14:paraId="1A313604" w14:textId="77777777" w:rsidR="00491F4D" w:rsidRPr="002D60D7" w:rsidRDefault="00491F4D" w:rsidP="004C445F">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 beszámoló pénznemében lévő pozíciók, amelyeket figyelembe vesznek a tőkekövetelmény 575/2013/EU rendelet 354. cikke szerinti kiszámítása során.</w:t>
            </w:r>
          </w:p>
          <w:p w14:paraId="1727C5A3"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71" w:type="dxa"/>
          </w:tcPr>
          <w:p w14:paraId="0BAA11C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MINDEN EGYÉB PÉNZNEM (ideértve a külön pénznemként kezelt kollektív befektetési formákat is)</w:t>
            </w:r>
          </w:p>
          <w:p w14:paraId="1677D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Az 575/2013/EU rendelet 351. cikkében, valamint 352. cikkének (2) és (4) bekezdésében említett általános eljárás alkalmazási körébe tartozó pénznemekben lévő pozíciók, valamint az ezekhez kapcsolódó szavatolótőke-követelmény.</w:t>
            </w:r>
          </w:p>
          <w:p w14:paraId="0D0C93F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u w:val="single"/>
              </w:rPr>
              <w:t>Az 575/2013/EU rendelet 353. cikke szerint külön pénznemként kezelt kollektív befektetési formákkal kapcsolatos adatszolgáltatás:</w:t>
            </w:r>
          </w:p>
          <w:p w14:paraId="77B7A43F" w14:textId="77777777" w:rsidR="000B0B09" w:rsidRPr="002D60D7" w:rsidRDefault="000B0B09"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 külön pénznemként kezelt kollektív befektetési formák tőkekövetelménye kétféle módszerrel számítható ki:</w:t>
            </w:r>
          </w:p>
          <w:p w14:paraId="5B250982" w14:textId="5A8D3F48"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a) a módosított aranymódszerrel, ha a KBF-ek befektetésének az iránya nem ismert (az ilyen KBF-eket az intézmény teljes nettó devizapozíciójához kell hozzáadni);</w:t>
            </w:r>
          </w:p>
          <w:p w14:paraId="36EAAD8C" w14:textId="570B6ECE"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b) ha a KBF-ek befektetésének az iránya ismert, akkor a KBF-eket a teljes nyitott devizapozícióhoz kell hozzáadni (hosszú vagy rövid, az egyes KBF-ek irányától függően).</w:t>
            </w:r>
          </w:p>
          <w:p w14:paraId="6410AE39" w14:textId="77777777"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rPr>
              <w:t>Az érintett KBF-ekről a tőkekövetelmény számításának megfelelően kell adatot szolgáltatni.</w:t>
            </w:r>
          </w:p>
          <w:p w14:paraId="6EF89CCB"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71" w:type="dxa"/>
          </w:tcPr>
          <w:p w14:paraId="0E1B066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ARANY</w:t>
            </w:r>
          </w:p>
          <w:p w14:paraId="3DD20C3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E2B6F8D" w14:textId="0A74E970"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Az 575/2013/EU rendelet 351. cikkében, valamint 352. cikkének (2) és (4) bekezdésében említett általános eljárás alkalmazási körébe tartozó pénznemekben lévő pozíciók, valamint az ezekhez kapcsolódó szavatolótőke-követelmény. </w:t>
            </w:r>
          </w:p>
          <w:p w14:paraId="2363385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0050–0090</w:t>
            </w:r>
          </w:p>
        </w:tc>
        <w:tc>
          <w:tcPr>
            <w:tcW w:w="7871" w:type="dxa"/>
          </w:tcPr>
          <w:p w14:paraId="76D7671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OPCIÓKRA VONATKOZÓ TOVÁBBI KÖVETELMÉNYEK (NEM DELTA KOCKÁZATOK)</w:t>
            </w:r>
          </w:p>
          <w:p w14:paraId="409B80C0" w14:textId="3123C3E4"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 xml:space="preserve">Az 575/2013/EU rendelet 352. cikkének 5. és 6. pontja </w:t>
            </w:r>
          </w:p>
          <w:p w14:paraId="28A72F0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0C3DAE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 nem delta kockázatokkal kapcsolatos, opciókra vonatkozó további követelményeket a kiszámításukhoz használt módszer szerinti bontásban kell feltüntetni. </w:t>
            </w:r>
          </w:p>
          <w:p w14:paraId="64B10AE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0100–0120</w:t>
            </w:r>
          </w:p>
        </w:tc>
        <w:tc>
          <w:tcPr>
            <w:tcW w:w="7871" w:type="dxa"/>
          </w:tcPr>
          <w:p w14:paraId="4D32EE9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 beszámoló pénznemével együtt számított összes pozíció kitettségtípus szerinti bontása</w:t>
            </w:r>
          </w:p>
          <w:p w14:paraId="35F84DA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Az összes pozíciót származtatott ügyletek, egyéb eszközök és kötelezettségek, valamint mérlegen kívüli tételek szerint kell felosztani.</w:t>
            </w:r>
          </w:p>
          <w:p w14:paraId="645944F1"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1" w:type="dxa"/>
          </w:tcPr>
          <w:p w14:paraId="2B5ED8B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Mérlegen kívüli tételnek és származtatott ügyletnek nem minősülő egyéb eszközök és kötelezettségek</w:t>
            </w:r>
          </w:p>
          <w:p w14:paraId="70ABA94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 0110-es vagy 0120-as sorban nem szerepeltetett pozíciókat itt kell megadni. </w:t>
            </w:r>
          </w:p>
          <w:p w14:paraId="68474F8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 xml:space="preserve"> </w:t>
            </w:r>
          </w:p>
        </w:tc>
      </w:tr>
      <w:tr w:rsidR="000B0B09" w:rsidRPr="002D60D7" w14:paraId="68F25686" w14:textId="77777777" w:rsidTr="00672D2A">
        <w:tc>
          <w:tcPr>
            <w:tcW w:w="991" w:type="dxa"/>
          </w:tcPr>
          <w:p w14:paraId="76AEDC5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71" w:type="dxa"/>
          </w:tcPr>
          <w:p w14:paraId="2D48760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Mérlegen kívüli tételek</w:t>
            </w:r>
          </w:p>
          <w:p w14:paraId="4FE41A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Az 575/2013/EU rendelet 352. cikkének hatályába tartozó tételek, tekintet nélkül a denomináció pénznemére, amely tételek az említett rendelet I. mellékletében szerepelnek az értékpapír-finanszírozási ügyletként vagy hosszú teljesítési idejű ügyletként beszámított, vagy eltérő termékkategóriák közötti nettósításról szóló szerződéses megállapodásból eredő tételek kivételével.</w:t>
            </w:r>
          </w:p>
          <w:p w14:paraId="25D49F5C"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71" w:type="dxa"/>
          </w:tcPr>
          <w:p w14:paraId="56E0717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Származtatott ügyletek</w:t>
            </w:r>
          </w:p>
          <w:p w14:paraId="7B6CC85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Az 575/2013/EU rendelet 352. cikkének megfelelően értékelt pozíciók</w:t>
            </w:r>
          </w:p>
          <w:p w14:paraId="2984F2C2" w14:textId="77777777" w:rsidR="00902EFC" w:rsidRPr="002D60D7"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0459354E"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0130–0470</w:t>
            </w:r>
          </w:p>
        </w:tc>
        <w:tc>
          <w:tcPr>
            <w:tcW w:w="7871" w:type="dxa"/>
          </w:tcPr>
          <w:p w14:paraId="26286B4C" w14:textId="3843381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TÁJÉKOZTATÓ ADATOK: DEVIZAPOZÍCIÓK</w:t>
            </w:r>
          </w:p>
          <w:p w14:paraId="77A906DE" w14:textId="77777777" w:rsidR="000B0B09" w:rsidRPr="002D60D7" w:rsidRDefault="000B0B09" w:rsidP="004C445F">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 tábla tájékoztató adatait külön-külön meg kell adni az Unió tagállamaiban használt valamennyi pénznemre, a következő pénznemekre: GBP, USD, CHF, JPY, RUB, TRY, AUD, CAD, RSD, ALL, UAH, MKD, EGP, ARS, BRL, MXN, HKD, ICK, TWD, NZD, NOK, SGD, KRW, CNY, valamint összevontan minden egyéb pénznemre. </w:t>
            </w:r>
          </w:p>
          <w:p w14:paraId="09723CAF" w14:textId="77777777" w:rsidR="003E0950" w:rsidRPr="002D60D7"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 0470-es soron az aranyban lévő és az 575/2013/EU rendelet 353. cikkének (3) bekezdésével összhangban külön pénznemként kezelt kollektív befektetési formákban lévő pozíciókat kell feltüntetni.</w:t>
            </w:r>
          </w:p>
          <w:p w14:paraId="2A795EB2" w14:textId="3FA18151" w:rsidR="0055144E" w:rsidRPr="002D60D7"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4C445F">
      <w:pPr>
        <w:suppressAutoHyphens/>
        <w:rPr>
          <w:rFonts w:ascii="Times New Roman" w:hAnsi="Times New Roman"/>
          <w:sz w:val="24"/>
        </w:rPr>
      </w:pPr>
    </w:p>
    <w:p w14:paraId="53515718" w14:textId="54673A1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833255"/>
      <w:r>
        <w:rPr>
          <w:rFonts w:ascii="Times New Roman" w:hAnsi="Times New Roman"/>
          <w:sz w:val="24"/>
          <w:u w:val="none"/>
        </w:rPr>
        <w:t>7.</w:t>
      </w:r>
      <w:r w:rsidRPr="00997ABE">
        <w:rPr>
          <w:u w:val="none"/>
        </w:rPr>
        <w:tab/>
      </w:r>
      <w:r>
        <w:rPr>
          <w:rFonts w:ascii="Times New Roman" w:hAnsi="Times New Roman"/>
          <w:sz w:val="24"/>
        </w:rPr>
        <w:t>C 23.00 – Piaci kockázat: az árukockázat sztenderd módszerei</w:t>
      </w:r>
      <w:bookmarkEnd w:id="137"/>
      <w:bookmarkEnd w:id="138"/>
      <w:bookmarkEnd w:id="139"/>
      <w:bookmarkEnd w:id="140"/>
      <w:bookmarkEnd w:id="141"/>
      <w:r>
        <w:rPr>
          <w:rFonts w:ascii="Times New Roman" w:hAnsi="Times New Roman"/>
          <w:sz w:val="24"/>
        </w:rPr>
        <w:t xml:space="preserve"> (MKR SA COM)</w:t>
      </w:r>
      <w:bookmarkEnd w:id="142"/>
      <w:bookmarkEnd w:id="143"/>
    </w:p>
    <w:p w14:paraId="72871AE4" w14:textId="0AF1A4E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833256"/>
      <w:r>
        <w:rPr>
          <w:rFonts w:ascii="Times New Roman" w:hAnsi="Times New Roman"/>
          <w:sz w:val="24"/>
          <w:u w:val="none"/>
        </w:rPr>
        <w:t>7.1.</w:t>
      </w:r>
      <w:r w:rsidRPr="00997ABE">
        <w:rPr>
          <w:u w:val="none"/>
        </w:rPr>
        <w:tab/>
      </w:r>
      <w:r>
        <w:rPr>
          <w:rFonts w:ascii="Times New Roman" w:hAnsi="Times New Roman"/>
          <w:sz w:val="24"/>
        </w:rPr>
        <w:t>Általános megjegyzések</w:t>
      </w:r>
      <w:bookmarkEnd w:id="144"/>
      <w:bookmarkEnd w:id="145"/>
      <w:bookmarkEnd w:id="146"/>
      <w:bookmarkEnd w:id="147"/>
      <w:bookmarkEnd w:id="148"/>
      <w:bookmarkEnd w:id="149"/>
      <w:bookmarkEnd w:id="150"/>
    </w:p>
    <w:p w14:paraId="441FA19A" w14:textId="36832BFC" w:rsidR="000B0B09" w:rsidRPr="002D60D7" w:rsidRDefault="000B0B09" w:rsidP="00E172EA">
      <w:pPr>
        <w:pStyle w:val="InstructionsText2"/>
        <w:numPr>
          <w:ilvl w:val="0"/>
          <w:numId w:val="29"/>
        </w:numPr>
        <w:suppressAutoHyphens/>
      </w:pPr>
      <w:r>
        <w:t>Ezen a táblán a sztenderd módszer alkalmazási körébe tartozó árupozíciókról, valamint a rájuk vonatkozó szavatolótőke-követelményről kell adatot szolgáltatni.</w:t>
      </w:r>
    </w:p>
    <w:p w14:paraId="0C8765B1" w14:textId="613B31E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833257"/>
      <w:r>
        <w:rPr>
          <w:rFonts w:ascii="Times New Roman" w:hAnsi="Times New Roman"/>
          <w:sz w:val="24"/>
          <w:u w:val="none"/>
        </w:rPr>
        <w:t>7.2.</w:t>
      </w:r>
      <w:r w:rsidRPr="00997ABE">
        <w:rPr>
          <w:u w:val="none"/>
        </w:rPr>
        <w:tab/>
      </w:r>
      <w:r>
        <w:rPr>
          <w:rFonts w:ascii="Times New Roman" w:hAnsi="Times New Roman"/>
          <w:sz w:val="24"/>
        </w:rPr>
        <w:t>A tábla egyes részeire vonatkozó útmutató</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Oszlop</w:t>
            </w:r>
          </w:p>
        </w:tc>
      </w:tr>
      <w:tr w:rsidR="000B0B09" w:rsidRPr="002D60D7" w14:paraId="12CECACA" w14:textId="77777777" w:rsidTr="00672D2A">
        <w:tc>
          <w:tcPr>
            <w:tcW w:w="986" w:type="dxa"/>
          </w:tcPr>
          <w:p w14:paraId="6FA50BB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6" w:type="dxa"/>
          </w:tcPr>
          <w:p w14:paraId="29C026B5"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ÖSSZES POZÍCIÓ (HOSSZÚ ÉS RÖVID)</w:t>
            </w:r>
          </w:p>
          <w:p w14:paraId="4B99A78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Az 575/2013/EU rendelet 357. cikkének (4) bekezdése szerint azonos áruban lévő pozícióknak minősülő bruttó hosszú/rövid pozíciók (lásd még az említett rendelet 359. cikkének (1) bekezdését).</w:t>
            </w:r>
          </w:p>
          <w:p w14:paraId="3E9C720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4AB4396B" w14:textId="77777777" w:rsidTr="00672D2A">
        <w:tc>
          <w:tcPr>
            <w:tcW w:w="986" w:type="dxa"/>
          </w:tcPr>
          <w:p w14:paraId="224657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6" w:type="dxa"/>
          </w:tcPr>
          <w:p w14:paraId="7FA580C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NETTÓ POZÍCIÓK (HOSSZÚ ÉS RÖVID)</w:t>
            </w:r>
          </w:p>
          <w:p w14:paraId="0B49C3F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7B41C090"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Az 575/2013/EU rendelet 357. cikkének (3) bekezdése szerint. </w:t>
            </w:r>
          </w:p>
        </w:tc>
      </w:tr>
      <w:tr w:rsidR="000B0B09" w:rsidRPr="002D60D7" w14:paraId="0A46320C" w14:textId="77777777" w:rsidTr="00672D2A">
        <w:tc>
          <w:tcPr>
            <w:tcW w:w="986" w:type="dxa"/>
          </w:tcPr>
          <w:p w14:paraId="7F0B984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6" w:type="dxa"/>
          </w:tcPr>
          <w:p w14:paraId="7ADEF1C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TŐKEKÖVETELMÉNNYEL ÉRINTETT POZÍCIÓK</w:t>
            </w:r>
          </w:p>
          <w:p w14:paraId="55ED580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Azok a nettó pozíciók, amelyekre az 575/2013/EU rendelet harmadik része IV. címének 4. fejezetében foglalt különböző módszerek szerint tőkekövetelmény vonatkozik.</w:t>
            </w:r>
          </w:p>
          <w:p w14:paraId="762BD2E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6" w:type="dxa"/>
          </w:tcPr>
          <w:p w14:paraId="4AA26DC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SZAVATOLÓTŐKE-KÖVETELMÉNY</w:t>
            </w:r>
          </w:p>
          <w:p w14:paraId="545A19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2D60D7" w:rsidRDefault="000B0B09"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Az 575/2013/EU rendelet harmadik része IV. címének 4. fejezete szerint számított szavatolótőke-követelmény bármely releváns pozícióra vonatkozóan</w:t>
            </w:r>
          </w:p>
        </w:tc>
      </w:tr>
      <w:tr w:rsidR="000B0B09" w:rsidRPr="002D60D7" w14:paraId="380AB4E0" w14:textId="77777777" w:rsidTr="00672D2A">
        <w:tc>
          <w:tcPr>
            <w:tcW w:w="986" w:type="dxa"/>
          </w:tcPr>
          <w:p w14:paraId="0EE22EDA"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6" w:type="dxa"/>
          </w:tcPr>
          <w:p w14:paraId="162C1DF7"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TELJES KOCKÁZATI KITETTSÉGÉRTÉK</w:t>
            </w:r>
          </w:p>
          <w:p w14:paraId="35864C1F"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 xml:space="preserve">Az 575/2013/EU rendelet 92. cikke (6) bekezdésének b) pontja. </w:t>
            </w:r>
          </w:p>
          <w:p w14:paraId="67EADC1A" w14:textId="77777777" w:rsidR="000B0B09" w:rsidRPr="002D60D7"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Pr>
                <w:rFonts w:ascii="Times New Roman" w:hAnsi="Times New Roman"/>
                <w:sz w:val="24"/>
              </w:rPr>
              <w:t>A szavatolótőke-követelmény 12,5-del való szorzásának az eredménye.</w:t>
            </w:r>
          </w:p>
        </w:tc>
      </w:tr>
    </w:tbl>
    <w:p w14:paraId="0DC9D0A4"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6C9A3A8"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Sor</w:t>
            </w:r>
          </w:p>
        </w:tc>
      </w:tr>
      <w:tr w:rsidR="000B0B09" w:rsidRPr="002D60D7" w14:paraId="3F19FB75" w14:textId="77777777" w:rsidTr="00672D2A">
        <w:tc>
          <w:tcPr>
            <w:tcW w:w="987" w:type="dxa"/>
          </w:tcPr>
          <w:p w14:paraId="6200338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5" w:type="dxa"/>
          </w:tcPr>
          <w:p w14:paraId="3CC5979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ÁRUPOZÍCIÓK ÖSSZESEN</w:t>
            </w:r>
          </w:p>
          <w:p w14:paraId="0356262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p>
          <w:p w14:paraId="1B02378E" w14:textId="7E4205C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Árupozíciók és a rájuk vonatkozó piaci kockázat szavatolótőke-követelménye az 575/2013/EU rendelet 92. cikke (4) bekezdésének c) pontja, valamint az említett rendelet harmadik része IV. címének 4. fejezete szerint. </w:t>
            </w:r>
          </w:p>
        </w:tc>
      </w:tr>
      <w:tr w:rsidR="000B0B09" w:rsidRPr="002D60D7" w14:paraId="216F1AEE" w14:textId="77777777" w:rsidTr="00672D2A">
        <w:tc>
          <w:tcPr>
            <w:tcW w:w="987" w:type="dxa"/>
          </w:tcPr>
          <w:p w14:paraId="62D08C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0020–0060</w:t>
            </w:r>
          </w:p>
        </w:tc>
        <w:tc>
          <w:tcPr>
            <w:tcW w:w="7875" w:type="dxa"/>
          </w:tcPr>
          <w:p w14:paraId="759E579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POZÍCIÓK ÁRUKATEGÓRIA SZERINT</w:t>
            </w:r>
          </w:p>
          <w:p w14:paraId="5692188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Adatszolgáltatás céljából az árukat az 575/2013/EU rendelet 361. cikkében található 2. táblázatban említett négy árucsoportba kell sorolni.</w:t>
            </w:r>
          </w:p>
          <w:p w14:paraId="04BB531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5" w:type="dxa"/>
          </w:tcPr>
          <w:p w14:paraId="5AACA5E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LEJÁRATI TÁBLÁS MÓDSZER</w:t>
            </w:r>
          </w:p>
          <w:p w14:paraId="2C667CB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Az 575/2013/EU rendelet 359. cikkében említett lejárati táblás módszer alkalmazási körébe tartozó árupozíciók.</w:t>
            </w:r>
          </w:p>
          <w:p w14:paraId="018E7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5" w:type="dxa"/>
          </w:tcPr>
          <w:p w14:paraId="7D3D047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KITERJESZTETT LEJÁRATI TÁBLÁS MÓDSZER</w:t>
            </w:r>
          </w:p>
          <w:p w14:paraId="28E2284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Az 575/2013/EU rendelet 361. cikkében említett kiterjesztett lejárati táblás módszer alkalmazási körébe tartozó árupozíciók.</w:t>
            </w:r>
          </w:p>
          <w:p w14:paraId="4CC42EB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5" w:type="dxa"/>
          </w:tcPr>
          <w:p w14:paraId="5AEA8FE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EGYSZERŰSÍTETT MÓDSZER</w:t>
            </w:r>
          </w:p>
          <w:p w14:paraId="739EF26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Az 575/2013/EU rendelet 360. cikkében említett egyszerűsített módszer alkalmazási körébe tartozó árupozíciók. </w:t>
            </w:r>
          </w:p>
          <w:p w14:paraId="72D24CC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0100–0140</w:t>
            </w:r>
          </w:p>
        </w:tc>
        <w:tc>
          <w:tcPr>
            <w:tcW w:w="7875" w:type="dxa"/>
          </w:tcPr>
          <w:p w14:paraId="1AB2469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OPCIÓKRA VONATKOZÓ TOVÁBBI KÖVETELMÉNYEK (NEM DELTA KOCKÁZATOK)</w:t>
            </w:r>
          </w:p>
          <w:p w14:paraId="444B7110" w14:textId="08585130"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Az 575/2013/EU rendelet 358. cikkének (4) bekezdése </w:t>
            </w:r>
          </w:p>
          <w:p w14:paraId="1D3D5AF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 nem delta kockázatokkal kapcsolatos, opciókra vonatkozó további követelményeket a számítási módszerben kell feltüntetni.</w:t>
            </w:r>
          </w:p>
          <w:p w14:paraId="55D77BA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4C445F">
      <w:pPr>
        <w:suppressAutoHyphens/>
        <w:rPr>
          <w:rFonts w:ascii="Times New Roman" w:hAnsi="Times New Roman"/>
          <w:sz w:val="24"/>
        </w:rPr>
      </w:pPr>
    </w:p>
    <w:p w14:paraId="60EF2674" w14:textId="77777777" w:rsidR="000B0B09" w:rsidRPr="002D60D7"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4C445F">
      <w:pPr>
        <w:pStyle w:val="Instructionsberschrift2"/>
        <w:numPr>
          <w:ilvl w:val="0"/>
          <w:numId w:val="0"/>
        </w:numPr>
        <w:suppressAutoHyphens/>
        <w:ind w:left="357" w:hanging="357"/>
        <w:rPr>
          <w:rFonts w:ascii="Times New Roman" w:hAnsi="Times New Roman"/>
          <w:sz w:val="24"/>
        </w:rPr>
      </w:pPr>
      <w:bookmarkStart w:id="158" w:name="_Toc210833258"/>
      <w:r>
        <w:rPr>
          <w:rFonts w:ascii="Times New Roman" w:hAnsi="Times New Roman"/>
          <w:sz w:val="24"/>
        </w:rPr>
        <w:t>8.</w:t>
      </w:r>
      <w:r w:rsidRPr="00997ABE">
        <w:rPr>
          <w:u w:val="none"/>
        </w:rPr>
        <w:tab/>
      </w:r>
      <w:r>
        <w:rPr>
          <w:rFonts w:ascii="Times New Roman" w:hAnsi="Times New Roman"/>
          <w:sz w:val="24"/>
        </w:rPr>
        <w:t>C 24.00 – Piaci kockázat: belső modell (MKR IM)</w:t>
      </w:r>
      <w:bookmarkEnd w:id="158"/>
    </w:p>
    <w:p w14:paraId="4EE11059" w14:textId="6831F2FC"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833259"/>
      <w:r>
        <w:rPr>
          <w:rFonts w:ascii="Times New Roman" w:hAnsi="Times New Roman"/>
          <w:sz w:val="24"/>
          <w:u w:val="none"/>
        </w:rPr>
        <w:t>8.1.</w:t>
      </w:r>
      <w:r w:rsidRPr="00997ABE">
        <w:rPr>
          <w:u w:val="none"/>
        </w:rPr>
        <w:tab/>
      </w:r>
      <w:r>
        <w:rPr>
          <w:rFonts w:ascii="Times New Roman" w:hAnsi="Times New Roman"/>
          <w:sz w:val="24"/>
        </w:rPr>
        <w:t>Általános megjegyzések</w:t>
      </w:r>
      <w:bookmarkEnd w:id="159"/>
      <w:bookmarkEnd w:id="160"/>
    </w:p>
    <w:p w14:paraId="2B3D1454" w14:textId="708078C0" w:rsidR="005970B6" w:rsidRPr="002D60D7" w:rsidRDefault="005970B6" w:rsidP="00E172EA">
      <w:pPr>
        <w:pStyle w:val="InstructionsText2"/>
        <w:numPr>
          <w:ilvl w:val="0"/>
          <w:numId w:val="29"/>
        </w:numPr>
        <w:suppressAutoHyphens/>
      </w:pPr>
      <w:r>
        <w:t>Ez a tábla a kockáztatott érték (VaR) és a stresszhelyzeti kockáztatott érték (sVaR) adatait mutatja be különböző (adósságinstrumentumokkal, részvényekkel, külföldi pénznemekkel vagy áruval kapcsolatos) piaci kockázatok szerinti bontásban, továbbá a szavatolótőke-követelmény számítása szempontjából lényeges egyéb információkat.</w:t>
      </w:r>
    </w:p>
    <w:p w14:paraId="6141A6DE" w14:textId="106A2D11" w:rsidR="005970B6" w:rsidRDefault="005970B6" w:rsidP="00E172EA">
      <w:pPr>
        <w:pStyle w:val="InstructionsText2"/>
        <w:numPr>
          <w:ilvl w:val="0"/>
          <w:numId w:val="29"/>
        </w:numPr>
        <w:suppressAutoHyphens/>
      </w:pPr>
      <w:r>
        <w:t xml:space="preserve">Általában a befektetési vállalkozás modelljének felépítésétől függ, hogy az általános és egyedi kockázatra vonatkozó adatokat elkülönítve vagy csak összesítve lehet-e meghatározni és feltüntetni. Ugyanez vonatkozik a VaR/Stress-VaR értékek kockázati kategóriák (kamatlábkockázat, részvénypiaci kockázat, árukockázat, valamint devizaárfolyam-kockázat) szerinti bontására is. Az intézmény eltekinthet a fenti bontásban történő adatszolgáltatástól, ha bizonyítani tudja, hogy az indokolatlan terhet jelentene számára. </w:t>
      </w:r>
    </w:p>
    <w:p w14:paraId="2EAB7003" w14:textId="035AB67F"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833260"/>
      <w:r>
        <w:rPr>
          <w:rFonts w:ascii="Times New Roman" w:hAnsi="Times New Roman"/>
          <w:sz w:val="24"/>
          <w:u w:val="none"/>
        </w:rPr>
        <w:t>8.2.</w:t>
      </w:r>
      <w:r w:rsidRPr="00997ABE">
        <w:rPr>
          <w:u w:val="none"/>
        </w:rPr>
        <w:tab/>
      </w:r>
      <w:r>
        <w:rPr>
          <w:rFonts w:ascii="Times New Roman" w:hAnsi="Times New Roman"/>
          <w:sz w:val="24"/>
        </w:rPr>
        <w:t>A tábla egyes részeire vonatkozó útmutató</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Oszlop</w:t>
            </w:r>
          </w:p>
        </w:tc>
      </w:tr>
      <w:tr w:rsidR="005970B6" w:rsidRPr="002D60D7" w14:paraId="52E77425" w14:textId="77777777">
        <w:tc>
          <w:tcPr>
            <w:tcW w:w="993" w:type="dxa"/>
          </w:tcPr>
          <w:p w14:paraId="0E51BB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69" w:type="dxa"/>
          </w:tcPr>
          <w:p w14:paraId="7095CD1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Kockáztatott érték (VaR)</w:t>
            </w:r>
          </w:p>
          <w:p w14:paraId="3DE9F1A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Egy adott valószínűséggel, meghatározott időtávon bekövetkező árváltozásból származó veszteség maximális lehetséges mértéke.</w:t>
            </w:r>
          </w:p>
        </w:tc>
      </w:tr>
      <w:tr w:rsidR="005970B6" w:rsidRPr="002D60D7" w14:paraId="0C4757E9" w14:textId="77777777">
        <w:tc>
          <w:tcPr>
            <w:tcW w:w="993" w:type="dxa"/>
          </w:tcPr>
          <w:p w14:paraId="145F944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69" w:type="dxa"/>
          </w:tcPr>
          <w:p w14:paraId="31C8EDD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Szorzó (mc) x Előző 60 munkanap átalagos kockáztatott értéke (VaRavg)</w:t>
            </w:r>
          </w:p>
          <w:p w14:paraId="04584C5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Az 575/2013/EU rendelet 364. cikke (1) bekezdése a) pontjának ii. alpontja, valamint 365. cikkének (1) bekezdése </w:t>
            </w:r>
          </w:p>
          <w:p w14:paraId="0DEB05BA"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69" w:type="dxa"/>
          </w:tcPr>
          <w:p w14:paraId="4723F4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Előző napi kockáztatott érték (VaRt–1)</w:t>
            </w:r>
          </w:p>
          <w:p w14:paraId="4954CEF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Az 575/2013/EU rendelet 364. cikke (1) bekezdése a) pontjának i. alpontja, valamint 365. cikkének (1) bekezdése </w:t>
            </w:r>
          </w:p>
          <w:p w14:paraId="645E0D45"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69" w:type="dxa"/>
          </w:tcPr>
          <w:p w14:paraId="34BD64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Stresszhelyzeti kockáztatott érték</w:t>
            </w:r>
          </w:p>
          <w:p w14:paraId="60CDE98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Egy adott valószínűséggel, meghatározott időtávon bekövetkező árváltozásból származó veszteség maximális lehetséges mértéke, amelynek kiszámításához a bemeneti adatokat az intézmény portfóliója szempontjából lényeges, számottevő pénzügyi stresszhelyzetet jelentő, folyamatos 12 hónapos időszak történeti adatai alapján kell kalibrálni.</w:t>
            </w:r>
          </w:p>
        </w:tc>
      </w:tr>
      <w:tr w:rsidR="005970B6" w:rsidRPr="002D60D7" w14:paraId="3411CEBC" w14:textId="77777777">
        <w:tc>
          <w:tcPr>
            <w:tcW w:w="993" w:type="dxa"/>
          </w:tcPr>
          <w:p w14:paraId="026E758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69" w:type="dxa"/>
          </w:tcPr>
          <w:p w14:paraId="629F86A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Szorzó (ms) x Előző 60 munkanap átlaga (SVaRavg)</w:t>
            </w:r>
          </w:p>
          <w:p w14:paraId="1CFE4B08"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b w:val="0"/>
                <w:bCs w:val="0"/>
                <w:sz w:val="24"/>
              </w:rPr>
            </w:pPr>
            <w:r>
              <w:rPr>
                <w:rFonts w:ascii="Times New Roman" w:hAnsi="Times New Roman"/>
                <w:sz w:val="24"/>
              </w:rPr>
              <w:t>Az 575/2013/EU rendelet 364. cikke (1) bekezdése b) pontjának ii. alpontja, valamint 365. cikkének (1) bekezdése</w:t>
            </w:r>
            <w:r>
              <w:rPr>
                <w:rStyle w:val="InstructionsTabelleberschrift"/>
                <w:rFonts w:ascii="Times New Roman" w:hAnsi="Times New Roman"/>
                <w:sz w:val="24"/>
              </w:rPr>
              <w:t xml:space="preserve"> </w:t>
            </w:r>
          </w:p>
          <w:p w14:paraId="77989826"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69" w:type="dxa"/>
          </w:tcPr>
          <w:p w14:paraId="470B121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Legfrissebb (SVaRt–1)</w:t>
            </w:r>
          </w:p>
          <w:p w14:paraId="0EC2BDB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5FF53E38" w14:textId="0054C4C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Az 575/2013/EU rendelet 364. cikke (1) bekezdése b) pontjának i. alpontja, valamint 365. cikkének (1) bekezdése </w:t>
            </w:r>
          </w:p>
          <w:p w14:paraId="5E60C64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0070–0080</w:t>
            </w:r>
          </w:p>
        </w:tc>
        <w:tc>
          <w:tcPr>
            <w:tcW w:w="7869" w:type="dxa"/>
          </w:tcPr>
          <w:p w14:paraId="0A6B8E3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 JÁRULÉKOS NEMTELJESÍTÉSI ÉS ÁTMINŐSÍTÉSI KOCKÁZATRA VONATKOZÓ TŐKEKÖVETELMÉNY</w:t>
            </w:r>
          </w:p>
          <w:p w14:paraId="5B3AF066" w14:textId="72000B27" w:rsidR="005970B6" w:rsidRPr="002D60D7" w:rsidRDefault="005970B6" w:rsidP="004C445F">
            <w:pPr>
              <w:suppressAutoHyphens/>
              <w:rPr>
                <w:rFonts w:ascii="Times New Roman" w:hAnsi="Times New Roman"/>
                <w:b/>
                <w:bCs/>
                <w:sz w:val="24"/>
                <w:u w:val="single"/>
              </w:rPr>
            </w:pPr>
            <w:r>
              <w:rPr>
                <w:rFonts w:ascii="Times New Roman" w:hAnsi="Times New Roman"/>
                <w:sz w:val="24"/>
              </w:rPr>
              <w:t xml:space="preserve">A járulékos nemteljesítési és átminősítési kockázatra vonatkozó tőkekövetelmény a nemteljesítési és átminősítési kockázatokkal összefüggésben bekövetkező árváltozásból származó veszteség maximális lehetséges mértéke, amelynek kiszámítása az 575/2013/EU rendelet harmadik része IV. címe 5. fejezetének 4. szakaszával összefüggésben a rendelet 364. cikke (2) bekezdésének b) pontja alapján történik. </w:t>
            </w:r>
          </w:p>
        </w:tc>
      </w:tr>
      <w:tr w:rsidR="005970B6" w:rsidRPr="002D60D7" w14:paraId="17515745" w14:textId="77777777">
        <w:tc>
          <w:tcPr>
            <w:tcW w:w="993" w:type="dxa"/>
          </w:tcPr>
          <w:p w14:paraId="595C652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69" w:type="dxa"/>
          </w:tcPr>
          <w:p w14:paraId="48A1B02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12 hetes átlagos mérőszám</w:t>
            </w:r>
          </w:p>
          <w:p w14:paraId="7DF0D03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Az 575/2013/EU rendelet 364. cikke (2) bekezdése b) pontjának ii. alpontja, a rendelet harmadik része IV. címe 5. fejezetének 4. szakaszával összefüggésben</w:t>
            </w:r>
          </w:p>
          <w:p w14:paraId="4E5E6B9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69" w:type="dxa"/>
          </w:tcPr>
          <w:p w14:paraId="24DAC2B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Legfrissebb mérőszám</w:t>
            </w:r>
          </w:p>
          <w:p w14:paraId="776D80B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Az 575/2013/EU rendelet 364. cikke (2) bekezdése b) pontjának i. alpontja, a rendelet harmadik része IV. címe 5. fejezetének 4. szakaszával összefüggésben</w:t>
            </w:r>
          </w:p>
          <w:p w14:paraId="2DB84E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869" w:type="dxa"/>
          </w:tcPr>
          <w:p w14:paraId="1C6A0111"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TELJES ÁRKOCKÁZATI TŐKEKÖVETELMÉNY A CTP-RE VONATKOZÓAN</w:t>
            </w:r>
          </w:p>
          <w:p w14:paraId="29B7ABA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69" w:type="dxa"/>
          </w:tcPr>
          <w:p w14:paraId="1E696B6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ALSÓ KORLÁT</w:t>
            </w:r>
          </w:p>
          <w:p w14:paraId="4D4AA5D6" w14:textId="77777777" w:rsidR="005970B6" w:rsidRPr="002D60D7" w:rsidRDefault="005970B6" w:rsidP="004C445F">
            <w:pPr>
              <w:suppressAutoHyphens/>
              <w:rPr>
                <w:rFonts w:ascii="Times New Roman" w:hAnsi="Times New Roman"/>
                <w:sz w:val="24"/>
              </w:rPr>
            </w:pPr>
            <w:r>
              <w:rPr>
                <w:rFonts w:ascii="Times New Roman" w:hAnsi="Times New Roman"/>
                <w:sz w:val="24"/>
              </w:rPr>
              <w:t>Az 575/2013/EU rendelet 364. cikke (3) bekezdésének c) pontja</w:t>
            </w:r>
          </w:p>
          <w:p w14:paraId="43C8E4E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 azon tőkekövetelmény 8 %-a, amely az 575/2013/EU rendelet 338. cikkének (1) bekezdése szerint került volna kiszámításra a teljes árkockázati tőkekövetelménnyel érintett valamennyi pozíció tekintetében.</w:t>
            </w:r>
            <w:r>
              <w:rPr>
                <w:rFonts w:ascii="Times New Roman" w:hAnsi="Times New Roman"/>
                <w:b/>
                <w:sz w:val="24"/>
                <w:u w:val="single"/>
              </w:rPr>
              <w:t xml:space="preserve"> </w:t>
            </w:r>
          </w:p>
          <w:p w14:paraId="0D02237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0100–0110</w:t>
            </w:r>
          </w:p>
        </w:tc>
        <w:tc>
          <w:tcPr>
            <w:tcW w:w="7869" w:type="dxa"/>
          </w:tcPr>
          <w:p w14:paraId="7CEDB94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12 HETES ÁTLAGOS MÉRŐSZÁM ÉS LEGFRISSEBB MÉRŐSZÁM</w:t>
            </w:r>
          </w:p>
          <w:p w14:paraId="46EA9990" w14:textId="77777777" w:rsidR="005970B6" w:rsidRPr="002D60D7" w:rsidRDefault="005970B6" w:rsidP="004C445F">
            <w:pPr>
              <w:suppressAutoHyphens/>
              <w:autoSpaceDE w:val="0"/>
              <w:autoSpaceDN w:val="0"/>
              <w:adjustRightInd w:val="0"/>
              <w:spacing w:after="0"/>
              <w:rPr>
                <w:rFonts w:ascii="Times New Roman" w:hAnsi="Times New Roman"/>
                <w:bCs/>
                <w:sz w:val="24"/>
              </w:rPr>
            </w:pPr>
            <w:r>
              <w:rPr>
                <w:rFonts w:ascii="Times New Roman" w:hAnsi="Times New Roman"/>
                <w:sz w:val="24"/>
              </w:rPr>
              <w:t>Az 575/2013/EU rendelet 364. cikke (3) bekezdésének b) pontja</w:t>
            </w:r>
          </w:p>
          <w:p w14:paraId="3111F404" w14:textId="77777777" w:rsidR="005970B6" w:rsidRPr="002D60D7"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69" w:type="dxa"/>
          </w:tcPr>
          <w:p w14:paraId="30EB7A67"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LEGFRISSEBB MÉRŐSZÁM</w:t>
            </w:r>
          </w:p>
          <w:p w14:paraId="54C3A200" w14:textId="77777777" w:rsidR="005970B6" w:rsidRPr="002D60D7" w:rsidRDefault="005970B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Az 575/2013/EU rendelet 364. cikke (3) bekezdésének a) pontja</w:t>
            </w:r>
          </w:p>
          <w:p w14:paraId="702AB9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69" w:type="dxa"/>
          </w:tcPr>
          <w:p w14:paraId="154C34A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SZAVATOLÓTŐKE-KÖVETELMÉNYEK</w:t>
            </w:r>
          </w:p>
          <w:p w14:paraId="278D1894" w14:textId="31D5182C"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Az 575/2013/EU rendelet 364. cikkében említett szavatolótőke-követelmények az összes kockázati tényezőre vonatkozóan, adott esetben figyelembe véve a korrelációs hatásokat, valamint a járulékos nemteljesítési és átminősítési kockázatot és a CTP-ben árazott valamennyi kockázatot, figyelmen kívül hagyva azonban az említett rendelet 364. cikkének (2) bekezdése szerinti, az értékpapírosításhoz és az n-edik nemteljesítéskor lehívható hitelderivatívákhoz kapcsolódó tőkekövetelményt. </w:t>
            </w:r>
          </w:p>
        </w:tc>
      </w:tr>
      <w:tr w:rsidR="005970B6" w:rsidRPr="002D60D7" w14:paraId="321F7641" w14:textId="77777777">
        <w:tc>
          <w:tcPr>
            <w:tcW w:w="993" w:type="dxa"/>
          </w:tcPr>
          <w:p w14:paraId="4808EA4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w:t>
            </w:r>
          </w:p>
        </w:tc>
        <w:tc>
          <w:tcPr>
            <w:tcW w:w="7869" w:type="dxa"/>
          </w:tcPr>
          <w:p w14:paraId="191025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TELJES KOCKÁZATI KITETTSÉGÉRTÉK</w:t>
            </w:r>
          </w:p>
          <w:p w14:paraId="1B83D6B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Az 575/2013/EU rendelet 92. cikke (6) bekezdésének b) pontja. </w:t>
            </w:r>
          </w:p>
          <w:p w14:paraId="0C045673" w14:textId="570D1A6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 szavatolótőke-követelmény 12,5-del való szorzásának az eredménye.</w:t>
            </w:r>
          </w:p>
          <w:p w14:paraId="1D75252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0140</w:t>
            </w:r>
          </w:p>
        </w:tc>
        <w:tc>
          <w:tcPr>
            <w:tcW w:w="7869" w:type="dxa"/>
          </w:tcPr>
          <w:p w14:paraId="69330FF8"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Túllépések száma az előző 250 munkanap során</w:t>
            </w:r>
          </w:p>
          <w:p w14:paraId="66F88BE9"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Az 575/2013/EU rendelet 366. cikkében említettek szerint</w:t>
            </w:r>
          </w:p>
          <w:p w14:paraId="681C5C48" w14:textId="5946ADCD"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Azon túllépések számát kell feltüntetni, amelyek alapján a kiegészítő tétel meghatározásra kerül. Amennyiben a befektetési vállalkozások az 575/2013/EU rendelet 500c. cikke szerint kizárhatnak bizonyos túllépéseket a kiegészítő tételek számításából, az ebben az oszlopban feltüntetett túllépések száma nem tartalmazhatja e kizárt túllépéseket.</w:t>
            </w:r>
          </w:p>
        </w:tc>
      </w:tr>
      <w:tr w:rsidR="005970B6" w:rsidRPr="002D60D7" w14:paraId="44599020" w14:textId="77777777">
        <w:tc>
          <w:tcPr>
            <w:tcW w:w="993" w:type="dxa"/>
          </w:tcPr>
          <w:p w14:paraId="4C66FF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0150–0160</w:t>
            </w:r>
          </w:p>
        </w:tc>
        <w:tc>
          <w:tcPr>
            <w:tcW w:w="7869" w:type="dxa"/>
          </w:tcPr>
          <w:p w14:paraId="26532024"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VaR szorzó (mc) és SVaR szorzó (ms)</w:t>
            </w:r>
          </w:p>
          <w:p w14:paraId="5E04C211"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Az 575/2013/EU rendelet 366. cikkében említettek szerint</w:t>
            </w:r>
          </w:p>
          <w:p w14:paraId="779600D5" w14:textId="77777777" w:rsidR="005970B6" w:rsidRPr="002D60D7" w:rsidRDefault="005970B6" w:rsidP="004C445F">
            <w:pPr>
              <w:suppressAutoHyphens/>
              <w:autoSpaceDE w:val="0"/>
              <w:autoSpaceDN w:val="0"/>
              <w:adjustRightInd w:val="0"/>
              <w:spacing w:before="0" w:after="0"/>
              <w:rPr>
                <w:rStyle w:val="InstructionsTabelleberschrift"/>
              </w:rPr>
            </w:pPr>
            <w:r>
              <w:rPr>
                <w:rFonts w:ascii="Times New Roman" w:hAnsi="Times New Roman"/>
                <w:sz w:val="24"/>
              </w:rPr>
              <w:t>A szavatolótőke-követelmények kiszámításához ténylegesen alkalmazandó szorzókat kell megadni, adott esetben az 575/2013/EU rendelet 500c. cikkének alkalmazása után.</w:t>
            </w:r>
          </w:p>
          <w:p w14:paraId="50AAD27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0170–0180</w:t>
            </w:r>
          </w:p>
        </w:tc>
        <w:tc>
          <w:tcPr>
            <w:tcW w:w="7869" w:type="dxa"/>
          </w:tcPr>
          <w:p w14:paraId="48824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 CTP-TŐKEKÖVETELMÉNY FELTÉTELEZETT ALSÓ KORLÁTJA – SÚLYOZOTT NETTÓ HOSSZÚ/RÖVID POZÍCIÓK A FELSŐ KORLÁT FIGYELEMBEVÉTELÉVEL</w:t>
            </w:r>
          </w:p>
          <w:p w14:paraId="494DC1BB" w14:textId="2CBA2FF8" w:rsidR="005970B6" w:rsidRPr="002D60D7" w:rsidRDefault="005970B6" w:rsidP="004C445F">
            <w:pPr>
              <w:suppressAutoHyphens/>
              <w:autoSpaceDE w:val="0"/>
              <w:autoSpaceDN w:val="0"/>
              <w:adjustRightInd w:val="0"/>
              <w:rPr>
                <w:rStyle w:val="InstructionsTabelleberschrift"/>
                <w:rFonts w:ascii="Times New Roman" w:hAnsi="Times New Roman"/>
                <w:sz w:val="24"/>
              </w:rPr>
            </w:pPr>
            <w:r>
              <w:rPr>
                <w:rFonts w:ascii="Times New Roman" w:hAnsi="Times New Roman"/>
                <w:sz w:val="24"/>
              </w:rPr>
              <w:t xml:space="preserve">A feltüntetett és a teljes árkockázati tőkekövetelményre vonatkozó, az 575/2013/EU rendelet 364. cikke (3) bekezdésének c) pontja szerinti alsó határ kiszámításához felhasznált összeg figyelembe veszi az említett rendelet 335. cikkében meghatározott jogosultságot, amely előírja, hogy egy intézmény a nemteljesítési kockázathoz kapcsolódó veszteség lehetséges maximális összegében korlátozhatja a súly és a nettó pozíció szorzatát. </w:t>
            </w:r>
          </w:p>
        </w:tc>
      </w:tr>
    </w:tbl>
    <w:p w14:paraId="7C2EA60D" w14:textId="77777777" w:rsidR="005970B6" w:rsidRPr="002D60D7"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5E9E0252" w:rsidR="005970B6" w:rsidRPr="002D60D7" w:rsidRDefault="005970B6"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Sor</w:t>
            </w:r>
          </w:p>
        </w:tc>
      </w:tr>
      <w:tr w:rsidR="005970B6" w:rsidRPr="002D60D7" w14:paraId="02CF19A0" w14:textId="77777777" w:rsidTr="00332B2A">
        <w:tc>
          <w:tcPr>
            <w:tcW w:w="993" w:type="dxa"/>
          </w:tcPr>
          <w:p w14:paraId="1CFD210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903" w:type="dxa"/>
          </w:tcPr>
          <w:p w14:paraId="35E94AC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POZÍCIÓK ÖSSZESEN</w:t>
            </w:r>
          </w:p>
          <w:p w14:paraId="51E6C5C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Az 575/2013/EU rendelet 363. cikkének (1) bekezdésében említett pozíció-, devizaárfolyam- és árukockázatnak az a része, amely az említett rendelet 367. cikkének (2) bekezdésében említett kockázati tényezőkhöz kapcsolódik.</w:t>
            </w:r>
          </w:p>
          <w:p w14:paraId="1E849456"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 0030–0060-as oszlop VaR és Stress-VaR értékeit illetően az összesítő sorban szereplő adatok nem egyeznek meg a vonatkozó kockázati elemek szerint lebontott VaR és Stress-VaR értékekkel.</w:t>
            </w:r>
          </w:p>
          <w:p w14:paraId="5F3B58EB"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903" w:type="dxa"/>
          </w:tcPr>
          <w:p w14:paraId="27B63C5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KERESKEDETT, HITELVISZONYT MEGTESTESÍTŐ ÉRTÉKPAPÍROK</w:t>
            </w:r>
          </w:p>
          <w:p w14:paraId="15354D11" w14:textId="079C5AF5"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Az 575/2013/EU rendelet 363. cikkének (1) bekezdésében említett pozíciókockázatnak az a része, amely az említett rendelet 367. cikke (2) bekezdésének a) pontjában meghatározott kamatláb-kockázati tényezőkhöz kapcsolódik.</w:t>
            </w:r>
          </w:p>
        </w:tc>
      </w:tr>
      <w:tr w:rsidR="005970B6" w:rsidRPr="002D60D7" w14:paraId="49E5F163" w14:textId="77777777" w:rsidTr="00332B2A">
        <w:tc>
          <w:tcPr>
            <w:tcW w:w="993" w:type="dxa"/>
          </w:tcPr>
          <w:p w14:paraId="286B5CF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903" w:type="dxa"/>
          </w:tcPr>
          <w:p w14:paraId="39D95E9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TDI – ÁLTALÁNOS KOCKÁZAT</w:t>
            </w:r>
          </w:p>
          <w:p w14:paraId="630ECD46" w14:textId="77777777"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 xml:space="preserve">Az 575/2013/EU rendelet 362. cikkében említett általános kockázati elem </w:t>
            </w:r>
          </w:p>
        </w:tc>
      </w:tr>
      <w:tr w:rsidR="005970B6" w:rsidRPr="002D60D7" w14:paraId="2085F588" w14:textId="77777777" w:rsidTr="00332B2A">
        <w:tc>
          <w:tcPr>
            <w:tcW w:w="993" w:type="dxa"/>
          </w:tcPr>
          <w:p w14:paraId="156A3F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903" w:type="dxa"/>
          </w:tcPr>
          <w:p w14:paraId="2815D7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TDI – EGYEDI KOCKÁZAT</w:t>
            </w:r>
          </w:p>
          <w:p w14:paraId="6901AE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Az 575/2013/EU rendelet 362. cikkében említett egyedi kockázati elem </w:t>
            </w:r>
          </w:p>
        </w:tc>
      </w:tr>
      <w:tr w:rsidR="005970B6" w:rsidRPr="002D60D7" w14:paraId="3B749D99" w14:textId="77777777" w:rsidTr="00332B2A">
        <w:tc>
          <w:tcPr>
            <w:tcW w:w="993" w:type="dxa"/>
          </w:tcPr>
          <w:p w14:paraId="4E29334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903" w:type="dxa"/>
          </w:tcPr>
          <w:p w14:paraId="1DA02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RÉSZVÉNYEK</w:t>
            </w:r>
          </w:p>
          <w:p w14:paraId="2467F6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436B16C8" w14:textId="145A0B19"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Az 575/2013/EU rendelet 363. cikkének (1) bekezdésében említett pozíciókockázatnak az a része, amely az említett rendelet 367. cikke (2) bekezdésének c) pontjában meghatározott részvénypiaci kockázati tényezőkhöz kapcsolódik. </w:t>
            </w:r>
          </w:p>
          <w:p w14:paraId="7E55C50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903" w:type="dxa"/>
          </w:tcPr>
          <w:p w14:paraId="2CD176E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RÉSZVÉNYEK – ÁLTALÁNOS KOCKÁZAT</w:t>
            </w:r>
          </w:p>
          <w:p w14:paraId="7ACC51D0"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Az 575/2013/EU rendelet 362. cikkében említett általános kockázati elem</w:t>
            </w:r>
          </w:p>
        </w:tc>
      </w:tr>
      <w:tr w:rsidR="005970B6" w:rsidRPr="002D60D7" w14:paraId="50D0A347" w14:textId="77777777" w:rsidTr="00332B2A">
        <w:tc>
          <w:tcPr>
            <w:tcW w:w="993" w:type="dxa"/>
          </w:tcPr>
          <w:p w14:paraId="38D0948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903" w:type="dxa"/>
          </w:tcPr>
          <w:p w14:paraId="34DF223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RÉSZVÉNYEK – EGYEDI KOCKÁZAT</w:t>
            </w:r>
          </w:p>
          <w:p w14:paraId="6F314929"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Az 575/2013/EU rendelet 362. cikkében említett egyedi kockázati elem </w:t>
            </w:r>
          </w:p>
        </w:tc>
      </w:tr>
      <w:tr w:rsidR="005970B6" w:rsidRPr="002D60D7" w14:paraId="5B986D45" w14:textId="77777777" w:rsidTr="00332B2A">
        <w:tc>
          <w:tcPr>
            <w:tcW w:w="993" w:type="dxa"/>
          </w:tcPr>
          <w:p w14:paraId="6F14BE8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903" w:type="dxa"/>
          </w:tcPr>
          <w:p w14:paraId="09DDEB7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DEVIZAÁRFOLYAM-KOCKÁZAT</w:t>
            </w:r>
          </w:p>
          <w:p w14:paraId="219E93CA"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Az 575/2013/EU rendelet 363. cikkének (1) bekezdése, valamint 367. cikke (2) bekezdésének b) pontja</w:t>
            </w:r>
          </w:p>
        </w:tc>
      </w:tr>
      <w:tr w:rsidR="005970B6" w:rsidRPr="002D60D7" w14:paraId="6242B7DB" w14:textId="77777777" w:rsidTr="00332B2A">
        <w:tc>
          <w:tcPr>
            <w:tcW w:w="993" w:type="dxa"/>
          </w:tcPr>
          <w:p w14:paraId="01A4D573"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903" w:type="dxa"/>
          </w:tcPr>
          <w:p w14:paraId="2B9D470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ÁRUKOCKÁZAT</w:t>
            </w:r>
          </w:p>
          <w:p w14:paraId="4BBB0F31" w14:textId="4679FFC1"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Az 575/2013/EU rendelet 363. cikkének (1) bekezdése, valamint 367. cikke (2) bekezdésének d) pontja. </w:t>
            </w:r>
          </w:p>
        </w:tc>
      </w:tr>
      <w:tr w:rsidR="005970B6" w:rsidRPr="002D60D7" w14:paraId="5165C26D" w14:textId="77777777" w:rsidTr="00332B2A">
        <w:tc>
          <w:tcPr>
            <w:tcW w:w="993" w:type="dxa"/>
          </w:tcPr>
          <w:p w14:paraId="349448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903" w:type="dxa"/>
          </w:tcPr>
          <w:p w14:paraId="379C8EA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ÁLTALÁNOS KOCKÁZAT ÖSSZESEN</w:t>
            </w:r>
          </w:p>
          <w:p w14:paraId="0C19B9D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Style w:val="InstructionsTabelleText"/>
                <w:rFonts w:ascii="Times New Roman" w:hAnsi="Times New Roman"/>
                <w:sz w:val="24"/>
              </w:rPr>
              <w:t xml:space="preserve">A kereskedett, hitelviszonyt megtestesítő értékpapírok, részvények, külföldi pénznemek és áruk általános piaci mozgásaiból eredő piaci kockázat. Az összes kockázati tényező általános kockázatára vonatkozó VaR érték (az esetleges korrelációs hatások figyelembevételével). </w:t>
            </w:r>
          </w:p>
          <w:p w14:paraId="58946EA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903" w:type="dxa"/>
          </w:tcPr>
          <w:p w14:paraId="116F184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EGYEDI KOCKÁZAT ÖSSZESEN</w:t>
            </w:r>
          </w:p>
          <w:p w14:paraId="6E0205CC" w14:textId="77777777" w:rsidR="005970B6" w:rsidRPr="00696301" w:rsidRDefault="005970B6" w:rsidP="004C445F">
            <w:pPr>
              <w:suppressAutoHyphens/>
              <w:autoSpaceDE w:val="0"/>
              <w:autoSpaceDN w:val="0"/>
              <w:adjustRightInd w:val="0"/>
              <w:rPr>
                <w:rFonts w:ascii="Times New Roman" w:hAnsi="Times New Roman"/>
                <w:b/>
                <w:bCs/>
                <w:sz w:val="24"/>
                <w:u w:val="single"/>
              </w:rPr>
            </w:pPr>
            <w:r>
              <w:rPr>
                <w:rStyle w:val="InstructionsTabelleText"/>
                <w:rFonts w:ascii="Times New Roman" w:hAnsi="Times New Roman"/>
                <w:sz w:val="24"/>
              </w:rPr>
              <w:t>A kereskedett, hitelviszonyt megtestesítő értékpapírok és részvények egyedi kockázati eleme. A kereskedési könyvben nyilvántartott, kereskedett, hitelviszonyt megtestesítő értékpapírok és részvények egyedi kockázatára vonatkozó VaR érték (az esetleges korrelációs hatások figyelembevételével).</w:t>
            </w:r>
          </w:p>
        </w:tc>
      </w:tr>
    </w:tbl>
    <w:p w14:paraId="0578F882" w14:textId="77777777" w:rsidR="005970B6" w:rsidRPr="00696301"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696301" w:rsidRDefault="0076375E" w:rsidP="004C445F">
      <w:pPr>
        <w:suppressAutoHyphens/>
        <w:spacing w:before="0" w:after="0"/>
        <w:jc w:val="left"/>
        <w:rPr>
          <w:rStyle w:val="InstructionsTabelleText"/>
          <w:rFonts w:ascii="Times New Roman" w:hAnsi="Times New Roman"/>
          <w:sz w:val="24"/>
        </w:rPr>
      </w:pPr>
      <w:r>
        <w:rPr>
          <w:rStyle w:val="InstructionsTabelleText"/>
          <w:rFonts w:ascii="Times New Roman" w:hAnsi="Times New Roman"/>
          <w:sz w:val="24"/>
        </w:rPr>
        <w:t>”</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359F" w14:textId="77777777" w:rsidR="00DB38A6" w:rsidRDefault="00DB38A6" w:rsidP="00D946DB">
      <w:pPr>
        <w:spacing w:before="0" w:after="0"/>
      </w:pPr>
      <w:r>
        <w:separator/>
      </w:r>
    </w:p>
  </w:endnote>
  <w:endnote w:type="continuationSeparator" w:id="0">
    <w:p w14:paraId="18AC8C6A" w14:textId="77777777" w:rsidR="00DB38A6" w:rsidRDefault="00DB38A6" w:rsidP="00D946DB">
      <w:pPr>
        <w:spacing w:before="0" w:after="0"/>
      </w:pPr>
      <w:r>
        <w:continuationSeparator/>
      </w:r>
    </w:p>
  </w:endnote>
  <w:endnote w:type="continuationNotice" w:id="1">
    <w:p w14:paraId="6E038E9D" w14:textId="77777777" w:rsidR="00DB38A6" w:rsidRDefault="00DB38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63BC" w14:textId="77777777" w:rsidR="00DB38A6" w:rsidRDefault="00DB38A6" w:rsidP="00D946DB">
      <w:pPr>
        <w:spacing w:before="0" w:after="0"/>
      </w:pPr>
      <w:r>
        <w:separator/>
      </w:r>
    </w:p>
  </w:footnote>
  <w:footnote w:type="continuationSeparator" w:id="0">
    <w:p w14:paraId="07966F64" w14:textId="77777777" w:rsidR="00DB38A6" w:rsidRDefault="00DB38A6" w:rsidP="00D946DB">
      <w:pPr>
        <w:spacing w:before="0" w:after="0"/>
      </w:pPr>
      <w:r>
        <w:continuationSeparator/>
      </w:r>
    </w:p>
  </w:footnote>
  <w:footnote w:type="continuationNotice" w:id="1">
    <w:p w14:paraId="68B42E71" w14:textId="77777777" w:rsidR="00DB38A6" w:rsidRDefault="00DB38A6">
      <w:pPr>
        <w:spacing w:before="0" w:after="0"/>
      </w:pPr>
    </w:p>
  </w:footnote>
  <w:footnote w:id="2">
    <w:p w14:paraId="3507A652" w14:textId="1546AF66" w:rsidR="00C3070C" w:rsidRPr="00B828CC" w:rsidRDefault="00C3070C" w:rsidP="00C91751">
      <w:r>
        <w:rPr>
          <w:rStyle w:val="FootnoteReference"/>
        </w:rPr>
        <w:footnoteRef/>
      </w:r>
      <w:r>
        <w:t xml:space="preserve"> </w:t>
      </w:r>
      <w:r w:rsidRPr="00B73089">
        <w:rPr>
          <w:rFonts w:ascii="Times New Roman" w:hAnsi="Times New Roman"/>
        </w:rPr>
        <w:t>A Bizottság 525/2014/EU felhatalmazáson alapuló rendelete (2014. március 12.) az 575/2013/EU európai parlamenti és tanácsi rendeletnek a piac fogalmát meghatározó szabályozástechnikai standardok tekintetében való kiegészítéséről (HL L 148., 2014.5.20., 15. o., ELI: http://data.europa.eu/eli/reg_del/2014/525/oj)</w:t>
      </w:r>
      <w:r w:rsidRPr="00B73089">
        <w:rPr>
          <w:rFonts w:ascii="Times New Roman" w:hAnsi="Times New Roman"/>
          <w:i/>
        </w:rPr>
        <w:t>.</w:t>
      </w:r>
    </w:p>
  </w:footnote>
  <w:footnote w:id="3">
    <w:p w14:paraId="018474C7" w14:textId="4B859446" w:rsidR="00C3070C" w:rsidRPr="00A11C6E" w:rsidRDefault="00C3070C">
      <w:pPr>
        <w:pStyle w:val="FootnoteText"/>
      </w:pPr>
      <w:r>
        <w:rPr>
          <w:rStyle w:val="FootnoteReference"/>
        </w:rPr>
        <w:footnoteRef/>
      </w:r>
      <w:r>
        <w:t xml:space="preserve"> A Bizottság 945/2014/EU végrehajtási rendelete (2014. szeptember 4.) az 575/2013/EU európai parlamenti és tanácsi rendelet szerinti releváns, megfelelően diverzifikált indexek tekintetében végrehajtás-technikai standardok megállapításáról (HL L 265., 2014.9.5., 3. o., ELI: http://data.europa.eu/eli/reg_impl/2014/945/oj).</w:t>
      </w:r>
    </w:p>
  </w:footnote>
  <w:footnote w:id="4">
    <w:p w14:paraId="22A9C113" w14:textId="5D688A5C" w:rsidR="0014702F" w:rsidRPr="006B7076" w:rsidRDefault="0014702F" w:rsidP="006B7076">
      <w:pPr>
        <w:pStyle w:val="FootnoteText"/>
        <w:jc w:val="left"/>
      </w:pPr>
      <w:r>
        <w:rPr>
          <w:rStyle w:val="FootnoteReference"/>
        </w:rPr>
        <w:footnoteRef/>
      </w:r>
      <w:r>
        <w:t xml:space="preserve"> Az </w:t>
      </w:r>
      <w:bookmarkStart w:id="129" w:name="_Hlk204078738"/>
      <w:r>
        <w:t>Európai Parlament és a Tanács</w:t>
      </w:r>
      <w:bookmarkEnd w:id="129"/>
      <w:r>
        <w:t xml:space="preserve"> 2014/65/EU irányelve (2014. május 15.) a pénzügyi eszközök piacairól, valamint a 2002/92/EK irányelv és a 2011/61/EU irányelv módosításáról (HL L 173., 2014.6.12., 349. o.,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EBH – szokásos felhasználásra"/>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EBH – szokásos felhasználásra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EBH – szokásos felhasználásra"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EBH – szokásos felhasználásra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H – szokásos felhasználásra"/>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EBH – szokásos felhasználásra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EBH – szokásos felhasználásra"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EBH – szokásos felhasználásra</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H – szokásos felhasználásra"/>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EBH – szokásos felhasználásra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H – szokásos felhasználásra"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EBH – szokásos felhasználásra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2BFB"/>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86"/>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1A3B"/>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97ABE"/>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193"/>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171"/>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3D96"/>
    <w:rsid w:val="00B64EB6"/>
    <w:rsid w:val="00B65593"/>
    <w:rsid w:val="00B65598"/>
    <w:rsid w:val="00B704AB"/>
    <w:rsid w:val="00B71CD5"/>
    <w:rsid w:val="00B71DAC"/>
    <w:rsid w:val="00B723C6"/>
    <w:rsid w:val="00B72E87"/>
    <w:rsid w:val="00B73089"/>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950"/>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8A6"/>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hu-HU"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hu-HU"/>
    </w:rPr>
  </w:style>
  <w:style w:type="character" w:customStyle="1" w:styleId="Heading2Char">
    <w:name w:val="Heading 2 Char"/>
    <w:link w:val="Heading2"/>
    <w:uiPriority w:val="99"/>
    <w:locked/>
    <w:rsid w:val="00EC5046"/>
    <w:rPr>
      <w:rFonts w:ascii="Verdana" w:hAnsi="Verdana" w:cs="Times New Roman"/>
      <w:b/>
      <w:sz w:val="24"/>
      <w:szCs w:val="24"/>
      <w:u w:val="single"/>
      <w:lang w:val="hu-HU"/>
    </w:rPr>
  </w:style>
  <w:style w:type="character" w:customStyle="1" w:styleId="Heading3Char">
    <w:name w:val="Heading 3 Char"/>
    <w:aliases w:val="Title 2 Char"/>
    <w:uiPriority w:val="99"/>
    <w:locked/>
    <w:rsid w:val="00884FEB"/>
    <w:rPr>
      <w:rFonts w:cs="Times New Roman"/>
      <w:sz w:val="24"/>
      <w:szCs w:val="24"/>
      <w:lang w:val="hu-HU"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hu-HU"/>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hu-HU"/>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hu-HU"/>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hu-HU"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hu-HU"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hu-HU"/>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hu-HU"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hu-HU"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hu-HU"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hu-HU"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2.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4.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24</Pages>
  <Words>5805</Words>
  <Characters>43175</Characters>
  <Application>Microsoft Office Word</Application>
  <DocSecurity>0</DocSecurity>
  <Lines>1199</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LOVASZIK Gabor (DGT)</cp:lastModifiedBy>
  <cp:revision>12</cp:revision>
  <dcterms:created xsi:type="dcterms:W3CDTF">2025-10-06T12:40:00Z</dcterms:created>
  <dcterms:modified xsi:type="dcterms:W3CDTF">2025-10-09T07:47:00Z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