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045F71" w:rsidRDefault="009E7D0C" w:rsidP="0076375E">
      <w:pPr>
        <w:jc w:val="center"/>
        <w:rPr>
          <w:rFonts w:ascii="Times New Roman" w:hAnsi="Times New Roman"/>
          <w:sz w:val="24"/>
        </w:rPr>
      </w:pPr>
      <w:bookmarkStart w:id="0" w:name="_Toc262568021"/>
      <w:bookmarkStart w:id="1" w:name="_Toc295829847"/>
      <w:r w:rsidRPr="00045F71">
        <w:rPr>
          <w:rFonts w:ascii="Times New Roman" w:hAnsi="Times New Roman"/>
          <w:sz w:val="24"/>
        </w:rPr>
        <w:t>CS</w:t>
      </w:r>
    </w:p>
    <w:p w14:paraId="24333E7A" w14:textId="068FF302" w:rsidR="008D696E" w:rsidRPr="00045F71" w:rsidRDefault="008D696E" w:rsidP="00A33695">
      <w:pPr>
        <w:jc w:val="center"/>
        <w:rPr>
          <w:rFonts w:ascii="Times New Roman" w:hAnsi="Times New Roman"/>
          <w:sz w:val="24"/>
        </w:rPr>
      </w:pPr>
      <w:r w:rsidRPr="00045F71">
        <w:rPr>
          <w:rFonts w:ascii="Times New Roman" w:hAnsi="Times New Roman"/>
          <w:sz w:val="24"/>
        </w:rPr>
        <w:t>PŘÍLOHA II</w:t>
      </w:r>
    </w:p>
    <w:p w14:paraId="37362007" w14:textId="08E6D03A" w:rsidR="002648B0" w:rsidRPr="00045F71" w:rsidRDefault="008D696E" w:rsidP="00A33695">
      <w:pPr>
        <w:jc w:val="center"/>
        <w:rPr>
          <w:rFonts w:ascii="Times New Roman" w:hAnsi="Times New Roman"/>
          <w:sz w:val="24"/>
        </w:rPr>
      </w:pPr>
      <w:r w:rsidRPr="00045F71">
        <w:rPr>
          <w:rFonts w:ascii="Times New Roman" w:hAnsi="Times New Roman"/>
          <w:sz w:val="24"/>
        </w:rPr>
        <w:t xml:space="preserve">„PŘÍLOHA XI </w:t>
      </w:r>
    </w:p>
    <w:p w14:paraId="2C40683C" w14:textId="26F597FA" w:rsidR="00436204" w:rsidRPr="00045F71" w:rsidRDefault="00D11E4C" w:rsidP="004E7DCF">
      <w:pPr>
        <w:jc w:val="center"/>
        <w:rPr>
          <w:rFonts w:ascii="Times New Roman" w:hAnsi="Times New Roman"/>
          <w:b/>
          <w:sz w:val="24"/>
        </w:rPr>
      </w:pPr>
      <w:r w:rsidRPr="00045F71">
        <w:rPr>
          <w:rFonts w:ascii="Times New Roman" w:hAnsi="Times New Roman"/>
          <w:b/>
          <w:sz w:val="24"/>
        </w:rPr>
        <w:t>POKYNY PRO PODÁVÁNÍ ZPRÁV O POŽADAVKU DLE K-FAKTORŮ VE VZTAHU K RIZIKU PRO TRH (RtM) NA ZÁKLADĚ K-NPR</w:t>
      </w:r>
    </w:p>
    <w:p w14:paraId="3DEB94EC" w14:textId="77777777" w:rsidR="00783881" w:rsidRPr="00045F71" w:rsidRDefault="002648B0" w:rsidP="00487A02">
      <w:pPr>
        <w:pStyle w:val="InstructionsText"/>
      </w:pPr>
      <w:r w:rsidRPr="00045F71">
        <w:t>Obsah</w:t>
      </w:r>
    </w:p>
    <w:p w14:paraId="389135A8" w14:textId="18412690" w:rsidR="00DE3FAD" w:rsidRDefault="00745369">
      <w:pPr>
        <w:pStyle w:val="TOC2"/>
        <w:rPr>
          <w:rFonts w:asciiTheme="minorHAnsi" w:eastAsiaTheme="minorEastAsia" w:hAnsiTheme="minorHAnsi" w:cstheme="minorBidi"/>
          <w:b w:val="0"/>
          <w:smallCaps w:val="0"/>
          <w:kern w:val="2"/>
          <w:sz w:val="24"/>
          <w:szCs w:val="24"/>
          <w:lang w:val="en-IE" w:eastAsia="en-IE"/>
          <w14:ligatures w14:val="standardContextual"/>
        </w:rPr>
      </w:pPr>
      <w:r w:rsidRPr="00045F71">
        <w:rPr>
          <w:rFonts w:ascii="Times New Roman" w:hAnsi="Times New Roman"/>
          <w:noProof w:val="0"/>
          <w:sz w:val="24"/>
        </w:rPr>
        <w:fldChar w:fldCharType="begin"/>
      </w:r>
      <w:r w:rsidRPr="00045F71">
        <w:rPr>
          <w:rFonts w:ascii="Times New Roman" w:hAnsi="Times New Roman"/>
          <w:noProof w:val="0"/>
          <w:sz w:val="24"/>
        </w:rPr>
        <w:instrText xml:space="preserve"> TOC \o "1-3" \h \z \u </w:instrText>
      </w:r>
      <w:r w:rsidRPr="00045F71">
        <w:rPr>
          <w:rFonts w:ascii="Times New Roman" w:hAnsi="Times New Roman"/>
          <w:noProof w:val="0"/>
          <w:sz w:val="24"/>
        </w:rPr>
        <w:fldChar w:fldCharType="separate"/>
      </w:r>
      <w:hyperlink w:anchor="_Toc210917301" w:history="1">
        <w:r w:rsidR="00DE3FAD" w:rsidRPr="00A13B32">
          <w:rPr>
            <w:rStyle w:val="Hyperlink"/>
            <w:rFonts w:ascii="Times New Roman" w:hAnsi="Times New Roman"/>
          </w:rPr>
          <w:t>ČÁST I: OBECNÉ POKYNY</w:t>
        </w:r>
        <w:r w:rsidR="00DE3FAD">
          <w:rPr>
            <w:webHidden/>
          </w:rPr>
          <w:tab/>
        </w:r>
        <w:r w:rsidR="00DE3FAD">
          <w:rPr>
            <w:webHidden/>
          </w:rPr>
          <w:fldChar w:fldCharType="begin"/>
        </w:r>
        <w:r w:rsidR="00DE3FAD">
          <w:rPr>
            <w:webHidden/>
          </w:rPr>
          <w:instrText xml:space="preserve"> PAGEREF _Toc210917301 \h </w:instrText>
        </w:r>
        <w:r w:rsidR="00DE3FAD">
          <w:rPr>
            <w:webHidden/>
          </w:rPr>
        </w:r>
        <w:r w:rsidR="00DE3FAD">
          <w:rPr>
            <w:webHidden/>
          </w:rPr>
          <w:fldChar w:fldCharType="separate"/>
        </w:r>
        <w:r w:rsidR="00DE3FAD">
          <w:rPr>
            <w:webHidden/>
          </w:rPr>
          <w:t>2</w:t>
        </w:r>
        <w:r w:rsidR="00DE3FAD">
          <w:rPr>
            <w:webHidden/>
          </w:rPr>
          <w:fldChar w:fldCharType="end"/>
        </w:r>
      </w:hyperlink>
    </w:p>
    <w:p w14:paraId="35C44A6B" w14:textId="4493BA24"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02" w:history="1">
        <w:r w:rsidRPr="00A13B32">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KONVENCE</w:t>
        </w:r>
        <w:r>
          <w:rPr>
            <w:webHidden/>
          </w:rPr>
          <w:tab/>
        </w:r>
        <w:r>
          <w:rPr>
            <w:webHidden/>
          </w:rPr>
          <w:fldChar w:fldCharType="begin"/>
        </w:r>
        <w:r>
          <w:rPr>
            <w:webHidden/>
          </w:rPr>
          <w:instrText xml:space="preserve"> PAGEREF _Toc210917302 \h </w:instrText>
        </w:r>
        <w:r>
          <w:rPr>
            <w:webHidden/>
          </w:rPr>
        </w:r>
        <w:r>
          <w:rPr>
            <w:webHidden/>
          </w:rPr>
          <w:fldChar w:fldCharType="separate"/>
        </w:r>
        <w:r>
          <w:rPr>
            <w:webHidden/>
          </w:rPr>
          <w:t>2</w:t>
        </w:r>
        <w:r>
          <w:rPr>
            <w:webHidden/>
          </w:rPr>
          <w:fldChar w:fldCharType="end"/>
        </w:r>
      </w:hyperlink>
    </w:p>
    <w:p w14:paraId="4667C349" w14:textId="63A615AF"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03" w:history="1">
        <w:r w:rsidRPr="00A13B32">
          <w:rPr>
            <w:rStyle w:val="Hyperlink"/>
            <w:rFonts w:ascii="Times New Roman" w:hAnsi="Times New Roman"/>
          </w:rPr>
          <w:t>1.1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Konvence v oblasti číslování</w:t>
        </w:r>
        <w:r>
          <w:rPr>
            <w:webHidden/>
          </w:rPr>
          <w:tab/>
        </w:r>
        <w:r>
          <w:rPr>
            <w:webHidden/>
          </w:rPr>
          <w:fldChar w:fldCharType="begin"/>
        </w:r>
        <w:r>
          <w:rPr>
            <w:webHidden/>
          </w:rPr>
          <w:instrText xml:space="preserve"> PAGEREF _Toc210917303 \h </w:instrText>
        </w:r>
        <w:r>
          <w:rPr>
            <w:webHidden/>
          </w:rPr>
        </w:r>
        <w:r>
          <w:rPr>
            <w:webHidden/>
          </w:rPr>
          <w:fldChar w:fldCharType="separate"/>
        </w:r>
        <w:r>
          <w:rPr>
            <w:webHidden/>
          </w:rPr>
          <w:t>2</w:t>
        </w:r>
        <w:r>
          <w:rPr>
            <w:webHidden/>
          </w:rPr>
          <w:fldChar w:fldCharType="end"/>
        </w:r>
      </w:hyperlink>
    </w:p>
    <w:p w14:paraId="15BBAE40" w14:textId="35912F23"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04" w:history="1">
        <w:r w:rsidRPr="00A13B32">
          <w:rPr>
            <w:rStyle w:val="Hyperlink"/>
            <w:rFonts w:ascii="Times New Roman" w:hAnsi="Times New Roman"/>
          </w:rPr>
          <w:t>1.2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Konvence v oblasti znamének</w:t>
        </w:r>
        <w:r>
          <w:rPr>
            <w:webHidden/>
          </w:rPr>
          <w:tab/>
        </w:r>
        <w:r>
          <w:rPr>
            <w:webHidden/>
          </w:rPr>
          <w:fldChar w:fldCharType="begin"/>
        </w:r>
        <w:r>
          <w:rPr>
            <w:webHidden/>
          </w:rPr>
          <w:instrText xml:space="preserve"> PAGEREF _Toc210917304 \h </w:instrText>
        </w:r>
        <w:r>
          <w:rPr>
            <w:webHidden/>
          </w:rPr>
        </w:r>
        <w:r>
          <w:rPr>
            <w:webHidden/>
          </w:rPr>
          <w:fldChar w:fldCharType="separate"/>
        </w:r>
        <w:r>
          <w:rPr>
            <w:webHidden/>
          </w:rPr>
          <w:t>2</w:t>
        </w:r>
        <w:r>
          <w:rPr>
            <w:webHidden/>
          </w:rPr>
          <w:fldChar w:fldCharType="end"/>
        </w:r>
      </w:hyperlink>
    </w:p>
    <w:p w14:paraId="5C1881D9" w14:textId="2AE4FCEB"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05" w:history="1">
        <w:r w:rsidRPr="00A13B32">
          <w:rPr>
            <w:rStyle w:val="Hyperlink"/>
            <w:rFonts w:ascii="Times New Roman" w:hAnsi="Times New Roman"/>
          </w:rPr>
          <w:t>1.3</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Odkazy na nařízení (EU) č. 575/2013</w:t>
        </w:r>
        <w:r>
          <w:rPr>
            <w:webHidden/>
          </w:rPr>
          <w:tab/>
        </w:r>
        <w:r>
          <w:rPr>
            <w:webHidden/>
          </w:rPr>
          <w:fldChar w:fldCharType="begin"/>
        </w:r>
        <w:r>
          <w:rPr>
            <w:webHidden/>
          </w:rPr>
          <w:instrText xml:space="preserve"> PAGEREF _Toc210917305 \h </w:instrText>
        </w:r>
        <w:r>
          <w:rPr>
            <w:webHidden/>
          </w:rPr>
        </w:r>
        <w:r>
          <w:rPr>
            <w:webHidden/>
          </w:rPr>
          <w:fldChar w:fldCharType="separate"/>
        </w:r>
        <w:r>
          <w:rPr>
            <w:webHidden/>
          </w:rPr>
          <w:t>2</w:t>
        </w:r>
        <w:r>
          <w:rPr>
            <w:webHidden/>
          </w:rPr>
          <w:fldChar w:fldCharType="end"/>
        </w:r>
      </w:hyperlink>
    </w:p>
    <w:p w14:paraId="333A4F4E" w14:textId="4197FAF2"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06" w:history="1">
        <w:r w:rsidRPr="00A13B32">
          <w:rPr>
            <w:rStyle w:val="Hyperlink"/>
            <w:rFonts w:ascii="Times New Roman" w:hAnsi="Times New Roman"/>
          </w:rPr>
          <w:t>ČÁST II: POKYNY K ŠABLONÁM: ŠABLONY TÝKAJÍCÍ SE TRŽNÍHO RIZIKA</w:t>
        </w:r>
        <w:r>
          <w:rPr>
            <w:webHidden/>
          </w:rPr>
          <w:tab/>
        </w:r>
        <w:r>
          <w:rPr>
            <w:webHidden/>
          </w:rPr>
          <w:fldChar w:fldCharType="begin"/>
        </w:r>
        <w:r>
          <w:rPr>
            <w:webHidden/>
          </w:rPr>
          <w:instrText xml:space="preserve"> PAGEREF _Toc210917306 \h </w:instrText>
        </w:r>
        <w:r>
          <w:rPr>
            <w:webHidden/>
          </w:rPr>
        </w:r>
        <w:r>
          <w:rPr>
            <w:webHidden/>
          </w:rPr>
          <w:fldChar w:fldCharType="separate"/>
        </w:r>
        <w:r>
          <w:rPr>
            <w:webHidden/>
          </w:rPr>
          <w:t>3</w:t>
        </w:r>
        <w:r>
          <w:rPr>
            <w:webHidden/>
          </w:rPr>
          <w:fldChar w:fldCharType="end"/>
        </w:r>
      </w:hyperlink>
    </w:p>
    <w:p w14:paraId="5F012545" w14:textId="32B6EEE0"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07" w:history="1">
        <w:r w:rsidRPr="00A13B32">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Obecné poznámky</w:t>
        </w:r>
        <w:r>
          <w:rPr>
            <w:webHidden/>
          </w:rPr>
          <w:tab/>
        </w:r>
        <w:r>
          <w:rPr>
            <w:webHidden/>
          </w:rPr>
          <w:fldChar w:fldCharType="begin"/>
        </w:r>
        <w:r>
          <w:rPr>
            <w:webHidden/>
          </w:rPr>
          <w:instrText xml:space="preserve"> PAGEREF _Toc210917307 \h </w:instrText>
        </w:r>
        <w:r>
          <w:rPr>
            <w:webHidden/>
          </w:rPr>
        </w:r>
        <w:r>
          <w:rPr>
            <w:webHidden/>
          </w:rPr>
          <w:fldChar w:fldCharType="separate"/>
        </w:r>
        <w:r>
          <w:rPr>
            <w:webHidden/>
          </w:rPr>
          <w:t>3</w:t>
        </w:r>
        <w:r>
          <w:rPr>
            <w:webHidden/>
          </w:rPr>
          <w:fldChar w:fldCharType="end"/>
        </w:r>
      </w:hyperlink>
    </w:p>
    <w:p w14:paraId="49FFC246" w14:textId="7507D2F1"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08" w:history="1">
        <w:r w:rsidRPr="00A13B32">
          <w:rPr>
            <w:rStyle w:val="Hyperlink"/>
            <w:rFonts w:ascii="Times New Roman" w:hAnsi="Times New Roman"/>
          </w:rPr>
          <w:t>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C 18.00 – Tržní riziko: Standardizovaný přístup k pozičním rizikům v obchodovaných dluhových nástrojích (MKR SA TDI)</w:t>
        </w:r>
        <w:r>
          <w:rPr>
            <w:webHidden/>
          </w:rPr>
          <w:tab/>
        </w:r>
        <w:r>
          <w:rPr>
            <w:webHidden/>
          </w:rPr>
          <w:fldChar w:fldCharType="begin"/>
        </w:r>
        <w:r>
          <w:rPr>
            <w:webHidden/>
          </w:rPr>
          <w:instrText xml:space="preserve"> PAGEREF _Toc210917308 \h </w:instrText>
        </w:r>
        <w:r>
          <w:rPr>
            <w:webHidden/>
          </w:rPr>
        </w:r>
        <w:r>
          <w:rPr>
            <w:webHidden/>
          </w:rPr>
          <w:fldChar w:fldCharType="separate"/>
        </w:r>
        <w:r>
          <w:rPr>
            <w:webHidden/>
          </w:rPr>
          <w:t>3</w:t>
        </w:r>
        <w:r>
          <w:rPr>
            <w:webHidden/>
          </w:rPr>
          <w:fldChar w:fldCharType="end"/>
        </w:r>
      </w:hyperlink>
    </w:p>
    <w:p w14:paraId="73CCDB15" w14:textId="1323B27C"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09" w:history="1">
        <w:r w:rsidRPr="00A13B32">
          <w:rPr>
            <w:rStyle w:val="Hyperlink"/>
            <w:rFonts w:ascii="Times New Roman" w:hAnsi="Times New Roman"/>
          </w:rPr>
          <w:t>2.1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Obecné poznámky</w:t>
        </w:r>
        <w:r>
          <w:rPr>
            <w:webHidden/>
          </w:rPr>
          <w:tab/>
        </w:r>
        <w:r>
          <w:rPr>
            <w:webHidden/>
          </w:rPr>
          <w:fldChar w:fldCharType="begin"/>
        </w:r>
        <w:r>
          <w:rPr>
            <w:webHidden/>
          </w:rPr>
          <w:instrText xml:space="preserve"> PAGEREF _Toc210917309 \h </w:instrText>
        </w:r>
        <w:r>
          <w:rPr>
            <w:webHidden/>
          </w:rPr>
        </w:r>
        <w:r>
          <w:rPr>
            <w:webHidden/>
          </w:rPr>
          <w:fldChar w:fldCharType="separate"/>
        </w:r>
        <w:r>
          <w:rPr>
            <w:webHidden/>
          </w:rPr>
          <w:t>3</w:t>
        </w:r>
        <w:r>
          <w:rPr>
            <w:webHidden/>
          </w:rPr>
          <w:fldChar w:fldCharType="end"/>
        </w:r>
      </w:hyperlink>
    </w:p>
    <w:p w14:paraId="14FDA4CD" w14:textId="25875370"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0" w:history="1">
        <w:r w:rsidRPr="00A13B32">
          <w:rPr>
            <w:rStyle w:val="Hyperlink"/>
            <w:rFonts w:ascii="Times New Roman" w:hAnsi="Times New Roman"/>
          </w:rPr>
          <w:t>2.2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Pokyny pro konkrétní pozice</w:t>
        </w:r>
        <w:r>
          <w:rPr>
            <w:webHidden/>
          </w:rPr>
          <w:tab/>
        </w:r>
        <w:r>
          <w:rPr>
            <w:webHidden/>
          </w:rPr>
          <w:fldChar w:fldCharType="begin"/>
        </w:r>
        <w:r>
          <w:rPr>
            <w:webHidden/>
          </w:rPr>
          <w:instrText xml:space="preserve"> PAGEREF _Toc210917310 \h </w:instrText>
        </w:r>
        <w:r>
          <w:rPr>
            <w:webHidden/>
          </w:rPr>
        </w:r>
        <w:r>
          <w:rPr>
            <w:webHidden/>
          </w:rPr>
          <w:fldChar w:fldCharType="separate"/>
        </w:r>
        <w:r>
          <w:rPr>
            <w:webHidden/>
          </w:rPr>
          <w:t>3</w:t>
        </w:r>
        <w:r>
          <w:rPr>
            <w:webHidden/>
          </w:rPr>
          <w:fldChar w:fldCharType="end"/>
        </w:r>
      </w:hyperlink>
    </w:p>
    <w:p w14:paraId="61A7FCCD" w14:textId="024BE887"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1" w:history="1">
        <w:r w:rsidRPr="00A13B32">
          <w:rPr>
            <w:rStyle w:val="Hyperlink"/>
            <w:rFonts w:ascii="Times New Roman" w:hAnsi="Times New Roman"/>
          </w:rPr>
          <w:t>3.</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C 19.00 – TRŽNÍ RIZIKO: STANDARDIZOVANÝ PŘÍSTUP KE SPECIFICKÉMU RIZIKU U SEKURITIZACÍ (MKR SA SEC)</w:t>
        </w:r>
        <w:r>
          <w:rPr>
            <w:webHidden/>
          </w:rPr>
          <w:tab/>
        </w:r>
        <w:r>
          <w:rPr>
            <w:webHidden/>
          </w:rPr>
          <w:fldChar w:fldCharType="begin"/>
        </w:r>
        <w:r>
          <w:rPr>
            <w:webHidden/>
          </w:rPr>
          <w:instrText xml:space="preserve"> PAGEREF _Toc210917311 \h </w:instrText>
        </w:r>
        <w:r>
          <w:rPr>
            <w:webHidden/>
          </w:rPr>
        </w:r>
        <w:r>
          <w:rPr>
            <w:webHidden/>
          </w:rPr>
          <w:fldChar w:fldCharType="separate"/>
        </w:r>
        <w:r>
          <w:rPr>
            <w:webHidden/>
          </w:rPr>
          <w:t>6</w:t>
        </w:r>
        <w:r>
          <w:rPr>
            <w:webHidden/>
          </w:rPr>
          <w:fldChar w:fldCharType="end"/>
        </w:r>
      </w:hyperlink>
    </w:p>
    <w:p w14:paraId="049A2463" w14:textId="433CBA9C"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2" w:history="1">
        <w:r w:rsidRPr="00A13B32">
          <w:rPr>
            <w:rStyle w:val="Hyperlink"/>
            <w:rFonts w:ascii="Times New Roman" w:hAnsi="Times New Roman"/>
          </w:rPr>
          <w:t>3.1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Obecné poznámky</w:t>
        </w:r>
        <w:r>
          <w:rPr>
            <w:webHidden/>
          </w:rPr>
          <w:tab/>
        </w:r>
        <w:r>
          <w:rPr>
            <w:webHidden/>
          </w:rPr>
          <w:fldChar w:fldCharType="begin"/>
        </w:r>
        <w:r>
          <w:rPr>
            <w:webHidden/>
          </w:rPr>
          <w:instrText xml:space="preserve"> PAGEREF _Toc210917312 \h </w:instrText>
        </w:r>
        <w:r>
          <w:rPr>
            <w:webHidden/>
          </w:rPr>
        </w:r>
        <w:r>
          <w:rPr>
            <w:webHidden/>
          </w:rPr>
          <w:fldChar w:fldCharType="separate"/>
        </w:r>
        <w:r>
          <w:rPr>
            <w:webHidden/>
          </w:rPr>
          <w:t>6</w:t>
        </w:r>
        <w:r>
          <w:rPr>
            <w:webHidden/>
          </w:rPr>
          <w:fldChar w:fldCharType="end"/>
        </w:r>
      </w:hyperlink>
    </w:p>
    <w:p w14:paraId="28728A43" w14:textId="57E9B17B"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3" w:history="1">
        <w:r w:rsidRPr="00A13B32">
          <w:rPr>
            <w:rStyle w:val="Hyperlink"/>
            <w:rFonts w:ascii="Times New Roman" w:hAnsi="Times New Roman"/>
          </w:rPr>
          <w:t>3.2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Pokyny pro konkrétní pozice</w:t>
        </w:r>
        <w:r>
          <w:rPr>
            <w:webHidden/>
          </w:rPr>
          <w:tab/>
        </w:r>
        <w:r>
          <w:rPr>
            <w:webHidden/>
          </w:rPr>
          <w:fldChar w:fldCharType="begin"/>
        </w:r>
        <w:r>
          <w:rPr>
            <w:webHidden/>
          </w:rPr>
          <w:instrText xml:space="preserve"> PAGEREF _Toc210917313 \h </w:instrText>
        </w:r>
        <w:r>
          <w:rPr>
            <w:webHidden/>
          </w:rPr>
        </w:r>
        <w:r>
          <w:rPr>
            <w:webHidden/>
          </w:rPr>
          <w:fldChar w:fldCharType="separate"/>
        </w:r>
        <w:r>
          <w:rPr>
            <w:webHidden/>
          </w:rPr>
          <w:t>6</w:t>
        </w:r>
        <w:r>
          <w:rPr>
            <w:webHidden/>
          </w:rPr>
          <w:fldChar w:fldCharType="end"/>
        </w:r>
      </w:hyperlink>
    </w:p>
    <w:p w14:paraId="4D2EEAD4" w14:textId="3E2309CB"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4" w:history="1">
        <w:r w:rsidRPr="00A13B32">
          <w:rPr>
            <w:rStyle w:val="Hyperlink"/>
            <w:rFonts w:ascii="Times New Roman" w:hAnsi="Times New Roman"/>
          </w:rPr>
          <w:t>4.</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C 20.00 – TRŽNÍ RIZIKO: STANDARDIZOVANÝ PŘÍSTUP KE SPECIFICKÉMU RIZIKU U POZIC ZAŘAZENÝCH DO PORTFOLIA OBCHODOVÁNÍ S KORELACÍ (MKR SA CTP)</w:t>
        </w:r>
        <w:r>
          <w:rPr>
            <w:webHidden/>
          </w:rPr>
          <w:tab/>
        </w:r>
        <w:r>
          <w:rPr>
            <w:webHidden/>
          </w:rPr>
          <w:fldChar w:fldCharType="begin"/>
        </w:r>
        <w:r>
          <w:rPr>
            <w:webHidden/>
          </w:rPr>
          <w:instrText xml:space="preserve"> PAGEREF _Toc210917314 \h </w:instrText>
        </w:r>
        <w:r>
          <w:rPr>
            <w:webHidden/>
          </w:rPr>
        </w:r>
        <w:r>
          <w:rPr>
            <w:webHidden/>
          </w:rPr>
          <w:fldChar w:fldCharType="separate"/>
        </w:r>
        <w:r>
          <w:rPr>
            <w:webHidden/>
          </w:rPr>
          <w:t>8</w:t>
        </w:r>
        <w:r>
          <w:rPr>
            <w:webHidden/>
          </w:rPr>
          <w:fldChar w:fldCharType="end"/>
        </w:r>
      </w:hyperlink>
    </w:p>
    <w:p w14:paraId="1BF3B397" w14:textId="383F011C"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5" w:history="1">
        <w:r w:rsidRPr="00A13B32">
          <w:rPr>
            <w:rStyle w:val="Hyperlink"/>
            <w:rFonts w:ascii="Times New Roman" w:hAnsi="Times New Roman"/>
          </w:rPr>
          <w:t>4.1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Obecné poznámky</w:t>
        </w:r>
        <w:r>
          <w:rPr>
            <w:webHidden/>
          </w:rPr>
          <w:tab/>
        </w:r>
        <w:r>
          <w:rPr>
            <w:webHidden/>
          </w:rPr>
          <w:fldChar w:fldCharType="begin"/>
        </w:r>
        <w:r>
          <w:rPr>
            <w:webHidden/>
          </w:rPr>
          <w:instrText xml:space="preserve"> PAGEREF _Toc210917315 \h </w:instrText>
        </w:r>
        <w:r>
          <w:rPr>
            <w:webHidden/>
          </w:rPr>
        </w:r>
        <w:r>
          <w:rPr>
            <w:webHidden/>
          </w:rPr>
          <w:fldChar w:fldCharType="separate"/>
        </w:r>
        <w:r>
          <w:rPr>
            <w:webHidden/>
          </w:rPr>
          <w:t>8</w:t>
        </w:r>
        <w:r>
          <w:rPr>
            <w:webHidden/>
          </w:rPr>
          <w:fldChar w:fldCharType="end"/>
        </w:r>
      </w:hyperlink>
    </w:p>
    <w:p w14:paraId="6F3D62E5" w14:textId="728A2A83"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6" w:history="1">
        <w:r w:rsidRPr="00A13B32">
          <w:rPr>
            <w:rStyle w:val="Hyperlink"/>
            <w:rFonts w:ascii="Times New Roman" w:hAnsi="Times New Roman"/>
          </w:rPr>
          <w:t>4.2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Pokyny pro konkrétní pozice</w:t>
        </w:r>
        <w:r>
          <w:rPr>
            <w:webHidden/>
          </w:rPr>
          <w:tab/>
        </w:r>
        <w:r>
          <w:rPr>
            <w:webHidden/>
          </w:rPr>
          <w:fldChar w:fldCharType="begin"/>
        </w:r>
        <w:r>
          <w:rPr>
            <w:webHidden/>
          </w:rPr>
          <w:instrText xml:space="preserve"> PAGEREF _Toc210917316 \h </w:instrText>
        </w:r>
        <w:r>
          <w:rPr>
            <w:webHidden/>
          </w:rPr>
        </w:r>
        <w:r>
          <w:rPr>
            <w:webHidden/>
          </w:rPr>
          <w:fldChar w:fldCharType="separate"/>
        </w:r>
        <w:r>
          <w:rPr>
            <w:webHidden/>
          </w:rPr>
          <w:t>9</w:t>
        </w:r>
        <w:r>
          <w:rPr>
            <w:webHidden/>
          </w:rPr>
          <w:fldChar w:fldCharType="end"/>
        </w:r>
      </w:hyperlink>
    </w:p>
    <w:p w14:paraId="2107F07E" w14:textId="21C3218F"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7" w:history="1">
        <w:r w:rsidRPr="00A13B32">
          <w:rPr>
            <w:rStyle w:val="Hyperlink"/>
            <w:rFonts w:ascii="Times New Roman" w:hAnsi="Times New Roman"/>
          </w:rPr>
          <w:t>5.</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C 21.00 – Tržní riziko: Standardizovaný přístup k pozičnímu riziku v případě akcií (MKR SA EQU)</w:t>
        </w:r>
        <w:r>
          <w:rPr>
            <w:webHidden/>
          </w:rPr>
          <w:tab/>
        </w:r>
        <w:r>
          <w:rPr>
            <w:webHidden/>
          </w:rPr>
          <w:fldChar w:fldCharType="begin"/>
        </w:r>
        <w:r>
          <w:rPr>
            <w:webHidden/>
          </w:rPr>
          <w:instrText xml:space="preserve"> PAGEREF _Toc210917317 \h </w:instrText>
        </w:r>
        <w:r>
          <w:rPr>
            <w:webHidden/>
          </w:rPr>
        </w:r>
        <w:r>
          <w:rPr>
            <w:webHidden/>
          </w:rPr>
          <w:fldChar w:fldCharType="separate"/>
        </w:r>
        <w:r>
          <w:rPr>
            <w:webHidden/>
          </w:rPr>
          <w:t>11</w:t>
        </w:r>
        <w:r>
          <w:rPr>
            <w:webHidden/>
          </w:rPr>
          <w:fldChar w:fldCharType="end"/>
        </w:r>
      </w:hyperlink>
    </w:p>
    <w:p w14:paraId="48A1CAA5" w14:textId="1D2F159F"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8" w:history="1">
        <w:r w:rsidRPr="00A13B32">
          <w:rPr>
            <w:rStyle w:val="Hyperlink"/>
            <w:rFonts w:ascii="Times New Roman" w:hAnsi="Times New Roman"/>
          </w:rPr>
          <w:t>5.1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Obecné poznámky</w:t>
        </w:r>
        <w:r>
          <w:rPr>
            <w:webHidden/>
          </w:rPr>
          <w:tab/>
        </w:r>
        <w:r>
          <w:rPr>
            <w:webHidden/>
          </w:rPr>
          <w:fldChar w:fldCharType="begin"/>
        </w:r>
        <w:r>
          <w:rPr>
            <w:webHidden/>
          </w:rPr>
          <w:instrText xml:space="preserve"> PAGEREF _Toc210917318 \h </w:instrText>
        </w:r>
        <w:r>
          <w:rPr>
            <w:webHidden/>
          </w:rPr>
        </w:r>
        <w:r>
          <w:rPr>
            <w:webHidden/>
          </w:rPr>
          <w:fldChar w:fldCharType="separate"/>
        </w:r>
        <w:r>
          <w:rPr>
            <w:webHidden/>
          </w:rPr>
          <w:t>11</w:t>
        </w:r>
        <w:r>
          <w:rPr>
            <w:webHidden/>
          </w:rPr>
          <w:fldChar w:fldCharType="end"/>
        </w:r>
      </w:hyperlink>
    </w:p>
    <w:p w14:paraId="01E7F09D" w14:textId="148A2586"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19" w:history="1">
        <w:r w:rsidRPr="00A13B32">
          <w:rPr>
            <w:rStyle w:val="Hyperlink"/>
            <w:rFonts w:ascii="Times New Roman" w:hAnsi="Times New Roman"/>
          </w:rPr>
          <w:t>5.2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Pokyny pro konkrétní pozice</w:t>
        </w:r>
        <w:r>
          <w:rPr>
            <w:webHidden/>
          </w:rPr>
          <w:tab/>
        </w:r>
        <w:r>
          <w:rPr>
            <w:webHidden/>
          </w:rPr>
          <w:fldChar w:fldCharType="begin"/>
        </w:r>
        <w:r>
          <w:rPr>
            <w:webHidden/>
          </w:rPr>
          <w:instrText xml:space="preserve"> PAGEREF _Toc210917319 \h </w:instrText>
        </w:r>
        <w:r>
          <w:rPr>
            <w:webHidden/>
          </w:rPr>
        </w:r>
        <w:r>
          <w:rPr>
            <w:webHidden/>
          </w:rPr>
          <w:fldChar w:fldCharType="separate"/>
        </w:r>
        <w:r>
          <w:rPr>
            <w:webHidden/>
          </w:rPr>
          <w:t>12</w:t>
        </w:r>
        <w:r>
          <w:rPr>
            <w:webHidden/>
          </w:rPr>
          <w:fldChar w:fldCharType="end"/>
        </w:r>
      </w:hyperlink>
    </w:p>
    <w:p w14:paraId="3A067441" w14:textId="5E958EE6"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0" w:history="1">
        <w:r w:rsidRPr="00A13B32">
          <w:rPr>
            <w:rStyle w:val="Hyperlink"/>
            <w:rFonts w:ascii="Times New Roman" w:hAnsi="Times New Roman"/>
          </w:rPr>
          <w:t>6.</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C 22.00 – Tržní riziko: Standardizované přístupy k měnovému riziku (MKR SA FX)</w:t>
        </w:r>
        <w:r>
          <w:rPr>
            <w:webHidden/>
          </w:rPr>
          <w:tab/>
        </w:r>
        <w:r>
          <w:rPr>
            <w:webHidden/>
          </w:rPr>
          <w:fldChar w:fldCharType="begin"/>
        </w:r>
        <w:r>
          <w:rPr>
            <w:webHidden/>
          </w:rPr>
          <w:instrText xml:space="preserve"> PAGEREF _Toc210917320 \h </w:instrText>
        </w:r>
        <w:r>
          <w:rPr>
            <w:webHidden/>
          </w:rPr>
        </w:r>
        <w:r>
          <w:rPr>
            <w:webHidden/>
          </w:rPr>
          <w:fldChar w:fldCharType="separate"/>
        </w:r>
        <w:r>
          <w:rPr>
            <w:webHidden/>
          </w:rPr>
          <w:t>14</w:t>
        </w:r>
        <w:r>
          <w:rPr>
            <w:webHidden/>
          </w:rPr>
          <w:fldChar w:fldCharType="end"/>
        </w:r>
      </w:hyperlink>
    </w:p>
    <w:p w14:paraId="24A6A474" w14:textId="56493F45"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1" w:history="1">
        <w:r w:rsidRPr="00A13B32">
          <w:rPr>
            <w:rStyle w:val="Hyperlink"/>
            <w:rFonts w:ascii="Times New Roman" w:hAnsi="Times New Roman"/>
          </w:rPr>
          <w:t>6.1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Obecné poznámky</w:t>
        </w:r>
        <w:r>
          <w:rPr>
            <w:webHidden/>
          </w:rPr>
          <w:tab/>
        </w:r>
        <w:r>
          <w:rPr>
            <w:webHidden/>
          </w:rPr>
          <w:fldChar w:fldCharType="begin"/>
        </w:r>
        <w:r>
          <w:rPr>
            <w:webHidden/>
          </w:rPr>
          <w:instrText xml:space="preserve"> PAGEREF _Toc210917321 \h </w:instrText>
        </w:r>
        <w:r>
          <w:rPr>
            <w:webHidden/>
          </w:rPr>
        </w:r>
        <w:r>
          <w:rPr>
            <w:webHidden/>
          </w:rPr>
          <w:fldChar w:fldCharType="separate"/>
        </w:r>
        <w:r>
          <w:rPr>
            <w:webHidden/>
          </w:rPr>
          <w:t>14</w:t>
        </w:r>
        <w:r>
          <w:rPr>
            <w:webHidden/>
          </w:rPr>
          <w:fldChar w:fldCharType="end"/>
        </w:r>
      </w:hyperlink>
    </w:p>
    <w:p w14:paraId="27FFC185" w14:textId="18EF7860"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2" w:history="1">
        <w:r w:rsidRPr="00A13B32">
          <w:rPr>
            <w:rStyle w:val="Hyperlink"/>
            <w:rFonts w:ascii="Times New Roman" w:hAnsi="Times New Roman"/>
          </w:rPr>
          <w:t>6.2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Pokyny pro konkrétní pozice</w:t>
        </w:r>
        <w:r>
          <w:rPr>
            <w:webHidden/>
          </w:rPr>
          <w:tab/>
        </w:r>
        <w:r>
          <w:rPr>
            <w:webHidden/>
          </w:rPr>
          <w:fldChar w:fldCharType="begin"/>
        </w:r>
        <w:r>
          <w:rPr>
            <w:webHidden/>
          </w:rPr>
          <w:instrText xml:space="preserve"> PAGEREF _Toc210917322 \h </w:instrText>
        </w:r>
        <w:r>
          <w:rPr>
            <w:webHidden/>
          </w:rPr>
        </w:r>
        <w:r>
          <w:rPr>
            <w:webHidden/>
          </w:rPr>
          <w:fldChar w:fldCharType="separate"/>
        </w:r>
        <w:r>
          <w:rPr>
            <w:webHidden/>
          </w:rPr>
          <w:t>14</w:t>
        </w:r>
        <w:r>
          <w:rPr>
            <w:webHidden/>
          </w:rPr>
          <w:fldChar w:fldCharType="end"/>
        </w:r>
      </w:hyperlink>
    </w:p>
    <w:p w14:paraId="19AFDAD1" w14:textId="639A9A36"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3" w:history="1">
        <w:r w:rsidRPr="00A13B32">
          <w:rPr>
            <w:rStyle w:val="Hyperlink"/>
            <w:rFonts w:ascii="Times New Roman" w:hAnsi="Times New Roman"/>
          </w:rPr>
          <w:t>7.</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C 23.00 – Tržní riziko: Standardizované přístupy pro komodity (MKR SA COM)</w:t>
        </w:r>
        <w:r>
          <w:rPr>
            <w:webHidden/>
          </w:rPr>
          <w:tab/>
        </w:r>
        <w:r>
          <w:rPr>
            <w:webHidden/>
          </w:rPr>
          <w:fldChar w:fldCharType="begin"/>
        </w:r>
        <w:r>
          <w:rPr>
            <w:webHidden/>
          </w:rPr>
          <w:instrText xml:space="preserve"> PAGEREF _Toc210917323 \h </w:instrText>
        </w:r>
        <w:r>
          <w:rPr>
            <w:webHidden/>
          </w:rPr>
        </w:r>
        <w:r>
          <w:rPr>
            <w:webHidden/>
          </w:rPr>
          <w:fldChar w:fldCharType="separate"/>
        </w:r>
        <w:r>
          <w:rPr>
            <w:webHidden/>
          </w:rPr>
          <w:t>17</w:t>
        </w:r>
        <w:r>
          <w:rPr>
            <w:webHidden/>
          </w:rPr>
          <w:fldChar w:fldCharType="end"/>
        </w:r>
      </w:hyperlink>
    </w:p>
    <w:p w14:paraId="0A6A530E" w14:textId="30ABF90F"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4" w:history="1">
        <w:r w:rsidRPr="00A13B32">
          <w:rPr>
            <w:rStyle w:val="Hyperlink"/>
            <w:rFonts w:ascii="Times New Roman" w:hAnsi="Times New Roman"/>
          </w:rPr>
          <w:t>7.1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Obecné poznámky</w:t>
        </w:r>
        <w:r>
          <w:rPr>
            <w:webHidden/>
          </w:rPr>
          <w:tab/>
        </w:r>
        <w:r>
          <w:rPr>
            <w:webHidden/>
          </w:rPr>
          <w:fldChar w:fldCharType="begin"/>
        </w:r>
        <w:r>
          <w:rPr>
            <w:webHidden/>
          </w:rPr>
          <w:instrText xml:space="preserve"> PAGEREF _Toc210917324 \h </w:instrText>
        </w:r>
        <w:r>
          <w:rPr>
            <w:webHidden/>
          </w:rPr>
        </w:r>
        <w:r>
          <w:rPr>
            <w:webHidden/>
          </w:rPr>
          <w:fldChar w:fldCharType="separate"/>
        </w:r>
        <w:r>
          <w:rPr>
            <w:webHidden/>
          </w:rPr>
          <w:t>17</w:t>
        </w:r>
        <w:r>
          <w:rPr>
            <w:webHidden/>
          </w:rPr>
          <w:fldChar w:fldCharType="end"/>
        </w:r>
      </w:hyperlink>
    </w:p>
    <w:p w14:paraId="2C00EC5F" w14:textId="64B77F7A"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5" w:history="1">
        <w:r w:rsidRPr="00A13B32">
          <w:rPr>
            <w:rStyle w:val="Hyperlink"/>
            <w:rFonts w:ascii="Times New Roman" w:hAnsi="Times New Roman"/>
          </w:rPr>
          <w:t>7.2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Pokyny pro konkrétní pozice</w:t>
        </w:r>
        <w:r>
          <w:rPr>
            <w:webHidden/>
          </w:rPr>
          <w:tab/>
        </w:r>
        <w:r>
          <w:rPr>
            <w:webHidden/>
          </w:rPr>
          <w:fldChar w:fldCharType="begin"/>
        </w:r>
        <w:r>
          <w:rPr>
            <w:webHidden/>
          </w:rPr>
          <w:instrText xml:space="preserve"> PAGEREF _Toc210917325 \h </w:instrText>
        </w:r>
        <w:r>
          <w:rPr>
            <w:webHidden/>
          </w:rPr>
        </w:r>
        <w:r>
          <w:rPr>
            <w:webHidden/>
          </w:rPr>
          <w:fldChar w:fldCharType="separate"/>
        </w:r>
        <w:r>
          <w:rPr>
            <w:webHidden/>
          </w:rPr>
          <w:t>17</w:t>
        </w:r>
        <w:r>
          <w:rPr>
            <w:webHidden/>
          </w:rPr>
          <w:fldChar w:fldCharType="end"/>
        </w:r>
      </w:hyperlink>
    </w:p>
    <w:p w14:paraId="3A78B966" w14:textId="6BDD1C9D"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6" w:history="1">
        <w:r w:rsidRPr="00A13B32">
          <w:rPr>
            <w:rStyle w:val="Hyperlink"/>
            <w:rFonts w:ascii="Times New Roman" w:hAnsi="Times New Roman"/>
          </w:rPr>
          <w:t>8.</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C 24.00 – Interní model pro tržní riziko (MKR IM)</w:t>
        </w:r>
        <w:r>
          <w:rPr>
            <w:webHidden/>
          </w:rPr>
          <w:tab/>
        </w:r>
        <w:r>
          <w:rPr>
            <w:webHidden/>
          </w:rPr>
          <w:fldChar w:fldCharType="begin"/>
        </w:r>
        <w:r>
          <w:rPr>
            <w:webHidden/>
          </w:rPr>
          <w:instrText xml:space="preserve"> PAGEREF _Toc210917326 \h </w:instrText>
        </w:r>
        <w:r>
          <w:rPr>
            <w:webHidden/>
          </w:rPr>
        </w:r>
        <w:r>
          <w:rPr>
            <w:webHidden/>
          </w:rPr>
          <w:fldChar w:fldCharType="separate"/>
        </w:r>
        <w:r>
          <w:rPr>
            <w:webHidden/>
          </w:rPr>
          <w:t>19</w:t>
        </w:r>
        <w:r>
          <w:rPr>
            <w:webHidden/>
          </w:rPr>
          <w:fldChar w:fldCharType="end"/>
        </w:r>
      </w:hyperlink>
    </w:p>
    <w:p w14:paraId="446D636F" w14:textId="3631FF1D"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7" w:history="1">
        <w:r w:rsidRPr="00A13B32">
          <w:rPr>
            <w:rStyle w:val="Hyperlink"/>
            <w:rFonts w:ascii="Times New Roman" w:hAnsi="Times New Roman"/>
          </w:rPr>
          <w:t>8.1</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Obecné poznámky</w:t>
        </w:r>
        <w:r>
          <w:rPr>
            <w:webHidden/>
          </w:rPr>
          <w:tab/>
        </w:r>
        <w:r>
          <w:rPr>
            <w:webHidden/>
          </w:rPr>
          <w:fldChar w:fldCharType="begin"/>
        </w:r>
        <w:r>
          <w:rPr>
            <w:webHidden/>
          </w:rPr>
          <w:instrText xml:space="preserve"> PAGEREF _Toc210917327 \h </w:instrText>
        </w:r>
        <w:r>
          <w:rPr>
            <w:webHidden/>
          </w:rPr>
        </w:r>
        <w:r>
          <w:rPr>
            <w:webHidden/>
          </w:rPr>
          <w:fldChar w:fldCharType="separate"/>
        </w:r>
        <w:r>
          <w:rPr>
            <w:webHidden/>
          </w:rPr>
          <w:t>19</w:t>
        </w:r>
        <w:r>
          <w:rPr>
            <w:webHidden/>
          </w:rPr>
          <w:fldChar w:fldCharType="end"/>
        </w:r>
      </w:hyperlink>
    </w:p>
    <w:p w14:paraId="338C69F3" w14:textId="60AC9144" w:rsidR="00DE3FAD" w:rsidRDefault="00DE3FA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17328" w:history="1">
        <w:r w:rsidRPr="00A13B32">
          <w:rPr>
            <w:rStyle w:val="Hyperlink"/>
            <w:rFonts w:ascii="Times New Roman" w:hAnsi="Times New Roman"/>
          </w:rPr>
          <w:t>8.2</w:t>
        </w:r>
        <w:r>
          <w:rPr>
            <w:rFonts w:asciiTheme="minorHAnsi" w:eastAsiaTheme="minorEastAsia" w:hAnsiTheme="minorHAnsi" w:cstheme="minorBidi"/>
            <w:b w:val="0"/>
            <w:smallCaps w:val="0"/>
            <w:kern w:val="2"/>
            <w:sz w:val="24"/>
            <w:szCs w:val="24"/>
            <w:lang w:val="en-IE" w:eastAsia="en-IE"/>
            <w14:ligatures w14:val="standardContextual"/>
          </w:rPr>
          <w:tab/>
        </w:r>
        <w:r w:rsidRPr="00A13B32">
          <w:rPr>
            <w:rStyle w:val="Hyperlink"/>
            <w:rFonts w:ascii="Times New Roman" w:hAnsi="Times New Roman"/>
          </w:rPr>
          <w:t>Pokyny pro konkrétní pozice</w:t>
        </w:r>
        <w:r>
          <w:rPr>
            <w:webHidden/>
          </w:rPr>
          <w:tab/>
        </w:r>
        <w:r>
          <w:rPr>
            <w:webHidden/>
          </w:rPr>
          <w:fldChar w:fldCharType="begin"/>
        </w:r>
        <w:r>
          <w:rPr>
            <w:webHidden/>
          </w:rPr>
          <w:instrText xml:space="preserve"> PAGEREF _Toc210917328 \h </w:instrText>
        </w:r>
        <w:r>
          <w:rPr>
            <w:webHidden/>
          </w:rPr>
        </w:r>
        <w:r>
          <w:rPr>
            <w:webHidden/>
          </w:rPr>
          <w:fldChar w:fldCharType="separate"/>
        </w:r>
        <w:r>
          <w:rPr>
            <w:webHidden/>
          </w:rPr>
          <w:t>19</w:t>
        </w:r>
        <w:r>
          <w:rPr>
            <w:webHidden/>
          </w:rPr>
          <w:fldChar w:fldCharType="end"/>
        </w:r>
      </w:hyperlink>
    </w:p>
    <w:p w14:paraId="4325A1DC" w14:textId="2CC953D7" w:rsidR="002648B0" w:rsidRPr="00045F71" w:rsidRDefault="00745369" w:rsidP="00005FFC">
      <w:pPr>
        <w:rPr>
          <w:rFonts w:ascii="Times New Roman" w:hAnsi="Times New Roman"/>
          <w:sz w:val="24"/>
        </w:rPr>
        <w:sectPr w:rsidR="002648B0" w:rsidRPr="00045F7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sidRPr="00045F71">
        <w:rPr>
          <w:rFonts w:ascii="Times New Roman" w:hAnsi="Times New Roman"/>
          <w:sz w:val="24"/>
        </w:rPr>
        <w:fldChar w:fldCharType="end"/>
      </w:r>
    </w:p>
    <w:p w14:paraId="65DEB04A" w14:textId="77777777" w:rsidR="002648B0" w:rsidRPr="00045F71"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17301"/>
      <w:r w:rsidRPr="00045F71">
        <w:rPr>
          <w:rFonts w:ascii="Times New Roman" w:hAnsi="Times New Roman"/>
        </w:rPr>
        <w:lastRenderedPageBreak/>
        <w:t>ČÁST I:</w:t>
      </w:r>
      <w:bookmarkEnd w:id="2"/>
      <w:r w:rsidRPr="00045F71">
        <w:rPr>
          <w:rFonts w:ascii="Times New Roman" w:hAnsi="Times New Roman"/>
        </w:rPr>
        <w:t xml:space="preserve"> OBECNÉ POKYNY</w:t>
      </w:r>
      <w:bookmarkEnd w:id="3"/>
      <w:bookmarkEnd w:id="4"/>
      <w:bookmarkEnd w:id="5"/>
    </w:p>
    <w:p w14:paraId="2B1DE452" w14:textId="77140B9E" w:rsidR="002648B0" w:rsidRPr="00045F71"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17302"/>
      <w:r w:rsidRPr="00045F71">
        <w:rPr>
          <w:rFonts w:ascii="Times New Roman" w:hAnsi="Times New Roman"/>
          <w:sz w:val="24"/>
          <w:u w:val="none"/>
        </w:rPr>
        <w:t>1.</w:t>
      </w:r>
      <w:r w:rsidR="003A574D" w:rsidRPr="003A574D">
        <w:rPr>
          <w:u w:val="none"/>
        </w:rPr>
        <w:tab/>
      </w:r>
      <w:r w:rsidRPr="00045F71">
        <w:rPr>
          <w:rFonts w:ascii="Times New Roman" w:hAnsi="Times New Roman"/>
          <w:sz w:val="24"/>
          <w:u w:val="none"/>
        </w:rPr>
        <w:t>KONVENCE</w:t>
      </w:r>
      <w:bookmarkEnd w:id="6"/>
      <w:bookmarkEnd w:id="7"/>
      <w:bookmarkEnd w:id="8"/>
    </w:p>
    <w:p w14:paraId="691FE691" w14:textId="570EB4FE" w:rsidR="002648B0" w:rsidRPr="00045F71"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64038399"/>
      <w:bookmarkStart w:id="12" w:name="_Toc294018834"/>
      <w:bookmarkStart w:id="13" w:name="_Toc210917303"/>
      <w:r w:rsidRPr="00045F71">
        <w:rPr>
          <w:rFonts w:ascii="Times New Roman" w:hAnsi="Times New Roman"/>
          <w:sz w:val="24"/>
          <w:u w:val="none"/>
        </w:rPr>
        <w:t>1.1</w:t>
      </w:r>
      <w:r w:rsidR="003A574D">
        <w:rPr>
          <w:rFonts w:ascii="Times New Roman" w:hAnsi="Times New Roman"/>
          <w:sz w:val="24"/>
          <w:u w:val="none"/>
        </w:rPr>
        <w:tab/>
      </w:r>
      <w:r w:rsidRPr="003A574D">
        <w:rPr>
          <w:u w:val="none"/>
        </w:rPr>
        <w:tab/>
      </w:r>
      <w:r w:rsidRPr="00045F71">
        <w:rPr>
          <w:rFonts w:ascii="Times New Roman" w:hAnsi="Times New Roman"/>
          <w:sz w:val="24"/>
          <w:u w:val="none"/>
        </w:rPr>
        <w:t>Konvence v oblasti číslování</w:t>
      </w:r>
      <w:bookmarkEnd w:id="9"/>
      <w:bookmarkEnd w:id="10"/>
      <w:bookmarkEnd w:id="13"/>
    </w:p>
    <w:p w14:paraId="07DD29A3" w14:textId="3ADB010A" w:rsidR="002648B0" w:rsidRPr="00045F71" w:rsidRDefault="002648B0" w:rsidP="00E172EA">
      <w:pPr>
        <w:pStyle w:val="InstructionsText2"/>
        <w:numPr>
          <w:ilvl w:val="0"/>
          <w:numId w:val="29"/>
        </w:numPr>
        <w:suppressAutoHyphens/>
      </w:pPr>
      <w:r w:rsidRPr="00045F71">
        <w:t>Při odkazování na sloupce, řádky a buňky šablon se dokument řídí konvencemi pro označování, které jsou stanoveny v bodech 2 až 5. Uvedené číselné kódy se běžně používají v pravidlech pro validaci.</w:t>
      </w:r>
    </w:p>
    <w:p w14:paraId="4A930757" w14:textId="35786EEA" w:rsidR="005643EA" w:rsidRPr="00045F71" w:rsidRDefault="002648B0" w:rsidP="00E172EA">
      <w:pPr>
        <w:pStyle w:val="InstructionsText2"/>
        <w:numPr>
          <w:ilvl w:val="0"/>
          <w:numId w:val="29"/>
        </w:numPr>
        <w:suppressAutoHyphens/>
      </w:pPr>
      <w:r w:rsidRPr="00045F71">
        <w:t>V pokynech se používá tento obecný zápis: {Šablona; Řádek; Sloupec}.</w:t>
      </w:r>
    </w:p>
    <w:p w14:paraId="058D6622" w14:textId="0D8EC818" w:rsidR="002648B0" w:rsidRPr="00045F71" w:rsidRDefault="002648B0" w:rsidP="00E172EA">
      <w:pPr>
        <w:pStyle w:val="InstructionsText2"/>
        <w:numPr>
          <w:ilvl w:val="0"/>
          <w:numId w:val="29"/>
        </w:numPr>
        <w:suppressAutoHyphens/>
      </w:pPr>
      <w:r w:rsidRPr="00045F71">
        <w:t>V případě validací v rámci šablony, kdy jsou použity pouze datové body z příslušné šablony, se zápisy nevztahují k šabloně: {Řádek; Sloupec}.</w:t>
      </w:r>
    </w:p>
    <w:p w14:paraId="1C93CB72" w14:textId="27E06172" w:rsidR="005643EA" w:rsidRPr="00045F71" w:rsidRDefault="002648B0" w:rsidP="00E172EA">
      <w:pPr>
        <w:pStyle w:val="InstructionsText2"/>
        <w:numPr>
          <w:ilvl w:val="0"/>
          <w:numId w:val="29"/>
        </w:numPr>
        <w:suppressAutoHyphens/>
      </w:pPr>
      <w:r w:rsidRPr="00045F71">
        <w:t>Má-li šablona pouze jeden sloupec, odkazuje se pouze na řádky: {Šablona; Řádek}.</w:t>
      </w:r>
    </w:p>
    <w:p w14:paraId="6CF08484" w14:textId="337CEEA0" w:rsidR="002648B0" w:rsidRPr="00045F71" w:rsidRDefault="002648B0" w:rsidP="00E172EA">
      <w:pPr>
        <w:pStyle w:val="InstructionsText2"/>
        <w:numPr>
          <w:ilvl w:val="0"/>
          <w:numId w:val="29"/>
        </w:numPr>
        <w:suppressAutoHyphens/>
      </w:pPr>
      <w:r w:rsidRPr="00045F71">
        <w:t>Hvězdičkou se označuje skutečnost, že u předem specifikovaných řádků či sloupců byla provedena validace.</w:t>
      </w:r>
    </w:p>
    <w:p w14:paraId="6218AD51" w14:textId="5AE66B35" w:rsidR="002648B0" w:rsidRPr="00045F71"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17304"/>
      <w:r w:rsidRPr="00045F71">
        <w:rPr>
          <w:rFonts w:ascii="Times New Roman" w:hAnsi="Times New Roman"/>
          <w:sz w:val="24"/>
          <w:u w:val="none"/>
        </w:rPr>
        <w:t>1.2</w:t>
      </w:r>
      <w:r w:rsidR="003A574D" w:rsidRPr="003A574D">
        <w:rPr>
          <w:u w:val="none"/>
        </w:rPr>
        <w:tab/>
      </w:r>
      <w:r w:rsidR="003A574D" w:rsidRPr="003A574D">
        <w:rPr>
          <w:u w:val="none"/>
        </w:rPr>
        <w:tab/>
      </w:r>
      <w:r w:rsidRPr="00045F71">
        <w:rPr>
          <w:rFonts w:ascii="Times New Roman" w:hAnsi="Times New Roman"/>
          <w:sz w:val="24"/>
          <w:u w:val="none"/>
        </w:rPr>
        <w:t>Konvence v oblasti znamének</w:t>
      </w:r>
      <w:bookmarkEnd w:id="11"/>
      <w:bookmarkEnd w:id="12"/>
      <w:bookmarkEnd w:id="14"/>
      <w:bookmarkEnd w:id="15"/>
      <w:bookmarkEnd w:id="16"/>
    </w:p>
    <w:p w14:paraId="67BDF5E2" w14:textId="769DF459" w:rsidR="002648B0" w:rsidRPr="00045F71" w:rsidRDefault="002648B0" w:rsidP="00E172EA">
      <w:pPr>
        <w:pStyle w:val="InstructionsText2"/>
        <w:numPr>
          <w:ilvl w:val="0"/>
          <w:numId w:val="29"/>
        </w:numPr>
        <w:suppressAutoHyphens/>
      </w:pPr>
      <w:r w:rsidRPr="00045F71">
        <w:t>Jakákoli částka, která zvyšuje kapitál nebo kapitálové požadavky, se zapisuje jako kladné číslo. Naopak jakákoli částka, která celkový kapitál nebo kapitálové požadavky snižuje, se zapisuje jako záporné číslo. Je-li před označením položky uvedeno záporné znaménko (–), předpokládá se, že u této položky nebude uvedeno kladné číslo.</w:t>
      </w:r>
    </w:p>
    <w:p w14:paraId="21FCA11B" w14:textId="1DFB577E" w:rsidR="00843119" w:rsidRPr="00045F71"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17305"/>
      <w:r w:rsidRPr="00045F71">
        <w:rPr>
          <w:rFonts w:ascii="Times New Roman" w:hAnsi="Times New Roman"/>
          <w:sz w:val="24"/>
          <w:u w:val="none"/>
        </w:rPr>
        <w:t>1.3</w:t>
      </w:r>
      <w:r w:rsidR="003A574D" w:rsidRPr="003A574D">
        <w:rPr>
          <w:u w:val="none"/>
        </w:rPr>
        <w:tab/>
      </w:r>
      <w:r w:rsidR="003A574D" w:rsidRPr="003A574D">
        <w:rPr>
          <w:u w:val="none"/>
        </w:rPr>
        <w:tab/>
      </w:r>
      <w:r w:rsidRPr="00045F71">
        <w:rPr>
          <w:rFonts w:ascii="Times New Roman" w:hAnsi="Times New Roman"/>
          <w:sz w:val="24"/>
          <w:u w:val="none"/>
        </w:rPr>
        <w:t>Odkazy na nařízení (EU) č. 575/2013</w:t>
      </w:r>
      <w:bookmarkEnd w:id="17"/>
    </w:p>
    <w:p w14:paraId="59845808" w14:textId="11AE211B" w:rsidR="00843119" w:rsidRPr="00045F71" w:rsidRDefault="00843119" w:rsidP="00E172EA">
      <w:pPr>
        <w:pStyle w:val="InstructionsText2"/>
        <w:numPr>
          <w:ilvl w:val="0"/>
          <w:numId w:val="29"/>
        </w:numPr>
        <w:suppressAutoHyphens/>
      </w:pPr>
      <w:r w:rsidRPr="00045F71">
        <w:t xml:space="preserve">Všechny odkazy na články 325 až 377 nařízení (EU) č. 575/2013 se považují za odkazy na znění uvedeného nařízení platné ke dni 26. června 2019. </w:t>
      </w:r>
    </w:p>
    <w:p w14:paraId="178F0A93" w14:textId="77777777" w:rsidR="00843119" w:rsidRPr="00045F71" w:rsidRDefault="00843119" w:rsidP="00843119">
      <w:pPr>
        <w:pStyle w:val="InstructionsText2"/>
        <w:numPr>
          <w:ilvl w:val="0"/>
          <w:numId w:val="0"/>
        </w:numPr>
        <w:suppressAutoHyphens/>
      </w:pPr>
    </w:p>
    <w:p w14:paraId="69E08A1F" w14:textId="26A864E9" w:rsidR="00304CA5" w:rsidRPr="00045F71" w:rsidRDefault="00304CA5" w:rsidP="004C445F">
      <w:pPr>
        <w:pStyle w:val="InstructionsText2"/>
        <w:numPr>
          <w:ilvl w:val="0"/>
          <w:numId w:val="0"/>
        </w:numPr>
        <w:suppressAutoHyphens/>
        <w:ind w:left="1353" w:hanging="360"/>
      </w:pPr>
    </w:p>
    <w:p w14:paraId="661FC092" w14:textId="77777777" w:rsidR="00304CA5" w:rsidRPr="00045F71" w:rsidRDefault="00304CA5" w:rsidP="004C445F">
      <w:pPr>
        <w:pStyle w:val="InstructionsText2"/>
        <w:numPr>
          <w:ilvl w:val="0"/>
          <w:numId w:val="0"/>
        </w:numPr>
        <w:suppressAutoHyphens/>
        <w:ind w:left="1353" w:hanging="360"/>
      </w:pPr>
    </w:p>
    <w:p w14:paraId="6B2B7DCC" w14:textId="77777777" w:rsidR="002648B0" w:rsidRPr="00045F71" w:rsidRDefault="002648B0" w:rsidP="004C445F">
      <w:pPr>
        <w:pStyle w:val="InstructionsText2"/>
        <w:suppressAutoHyphens/>
        <w:sectPr w:rsidR="002648B0" w:rsidRPr="00045F71"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045F71" w:rsidRDefault="002648B0" w:rsidP="004C445F">
      <w:pPr>
        <w:suppressAutoHyphens/>
        <w:rPr>
          <w:rFonts w:ascii="Times New Roman" w:hAnsi="Times New Roman"/>
          <w:sz w:val="24"/>
        </w:rPr>
      </w:pPr>
    </w:p>
    <w:p w14:paraId="5C0CD8F3" w14:textId="25D58192" w:rsidR="00AC6255" w:rsidRPr="00045F71"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17306"/>
      <w:r w:rsidRPr="00045F71">
        <w:rPr>
          <w:rFonts w:ascii="Times New Roman" w:hAnsi="Times New Roman"/>
        </w:rPr>
        <w:t>ČÁST II: POKYNY K ŠABLONÁM</w:t>
      </w:r>
      <w:bookmarkEnd w:id="18"/>
      <w:bookmarkEnd w:id="19"/>
      <w:r w:rsidRPr="00045F71">
        <w:rPr>
          <w:rFonts w:ascii="Times New Roman" w:hAnsi="Times New Roman"/>
        </w:rPr>
        <w:t>: ŠABLONY TÝKAJÍCÍ SE TRŽNÍHO RIZIKA</w:t>
      </w:r>
      <w:bookmarkEnd w:id="0"/>
      <w:bookmarkEnd w:id="1"/>
      <w:bookmarkEnd w:id="20"/>
    </w:p>
    <w:p w14:paraId="73EBDC1C" w14:textId="2EF76A90" w:rsidR="000B0B09" w:rsidRPr="00045F71"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17307"/>
      <w:r w:rsidRPr="00045F71">
        <w:rPr>
          <w:rFonts w:ascii="Times New Roman" w:hAnsi="Times New Roman"/>
          <w:sz w:val="24"/>
          <w:u w:val="none"/>
        </w:rPr>
        <w:t>1.</w:t>
      </w:r>
      <w:r w:rsidRPr="009601FC">
        <w:rPr>
          <w:u w:val="none"/>
        </w:rPr>
        <w:tab/>
      </w:r>
      <w:bookmarkEnd w:id="21"/>
      <w:bookmarkEnd w:id="22"/>
      <w:bookmarkEnd w:id="23"/>
      <w:bookmarkEnd w:id="24"/>
      <w:bookmarkEnd w:id="25"/>
      <w:bookmarkEnd w:id="26"/>
      <w:r w:rsidRPr="00045F71">
        <w:rPr>
          <w:rFonts w:ascii="Times New Roman" w:hAnsi="Times New Roman"/>
          <w:sz w:val="24"/>
        </w:rPr>
        <w:t>Obecné poznámky</w:t>
      </w:r>
      <w:bookmarkEnd w:id="27"/>
    </w:p>
    <w:p w14:paraId="3A680559" w14:textId="018BA68A" w:rsidR="000B0B09" w:rsidRPr="00045F71" w:rsidRDefault="000B0B09" w:rsidP="00E172EA">
      <w:pPr>
        <w:pStyle w:val="InstructionsText2"/>
        <w:numPr>
          <w:ilvl w:val="0"/>
          <w:numId w:val="29"/>
        </w:numPr>
        <w:suppressAutoHyphens/>
      </w:pPr>
      <w:bookmarkStart w:id="28" w:name="_Toc308426672"/>
      <w:r w:rsidRPr="00045F71">
        <w:t xml:space="preserve">Tyto pokyny se týkají šablon, v nichž se vykazuje výpočet kapitálových požadavků k měnovému riziku (MKR SA FX), komoditnímu riziku (MKR SA COM), úrokovému riziku (MKR SA TDI, MKR SA SEC, MKR SA CTP) a akciovému riziku (MKR SA EQU), a to ve všech případech na základě standardizovaného přístupu. V této části jsou navíc zahrnuty pokyny pro vyplňování šablony týkající se výpočtu kapitálových požadavků na základě přístupu založeného na interních modelech (MKR IM). </w:t>
      </w:r>
    </w:p>
    <w:p w14:paraId="43A205D1" w14:textId="5DC446A2" w:rsidR="000B0B09" w:rsidRPr="00045F71" w:rsidRDefault="000B0B09" w:rsidP="00E172EA">
      <w:pPr>
        <w:pStyle w:val="InstructionsText2"/>
        <w:numPr>
          <w:ilvl w:val="0"/>
          <w:numId w:val="29"/>
        </w:numPr>
        <w:suppressAutoHyphens/>
      </w:pPr>
      <w:r w:rsidRPr="00045F71">
        <w:t xml:space="preserve">Poziční riziko u obchodovaného dluhového nebo akciového nástroje (nebo dluhového či akciového derivátu) se pro účely výpočtu kapitálového požadavku k tomuto riziku rozděluje na dvě složky. První složka se vztahuje na specifické riziko – to je riziko změny v ceně příslušného nástroje v důsledku faktorů ve vztahu k jeho emitentovi nebo v případě derivátů k emitentovi podkladového nástroje. Druhá složka se vztahuje na obecné riziko – to je riziko změny v ceně příslušného nástroje (v případě obchodovaného dluhového nástroje nebo dluhového derivátu) v důsledku změny v úrovni úrokových sazeb nebo (v případě akcií nebo akciových derivátů) rozsáhlého pohybu na akciovém trhu nespojeného se specifickými atributy jednotlivých cenných papírů. </w:t>
      </w:r>
      <w:bookmarkEnd w:id="28"/>
      <w:r w:rsidRPr="00045F71">
        <w:t xml:space="preserve">Obecný přístup ke zvláštním nástrojům a postupům započtení je stanoven v článcích 326 až 333 nařízení (EU) č. 575/2013. </w:t>
      </w:r>
    </w:p>
    <w:p w14:paraId="39C5FEA4" w14:textId="3A150929"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17308"/>
      <w:r w:rsidRPr="00045F71">
        <w:rPr>
          <w:rFonts w:ascii="Times New Roman" w:hAnsi="Times New Roman"/>
          <w:sz w:val="24"/>
          <w:u w:val="none"/>
        </w:rPr>
        <w:t>2.</w:t>
      </w:r>
      <w:r w:rsidRPr="009601FC">
        <w:rPr>
          <w:u w:val="none"/>
        </w:rPr>
        <w:tab/>
      </w:r>
      <w:r w:rsidRPr="00045F71">
        <w:rPr>
          <w:rFonts w:ascii="Times New Roman" w:hAnsi="Times New Roman"/>
          <w:sz w:val="24"/>
        </w:rPr>
        <w:t>C 18.00 – Tržní riziko: Standardizovaný přístup k pozičním rizikům v obchodovaných dluhových nástrojích</w:t>
      </w:r>
      <w:bookmarkEnd w:id="29"/>
      <w:bookmarkEnd w:id="30"/>
      <w:bookmarkEnd w:id="31"/>
      <w:bookmarkEnd w:id="32"/>
      <w:bookmarkEnd w:id="33"/>
      <w:bookmarkEnd w:id="34"/>
      <w:r w:rsidRPr="00045F71">
        <w:rPr>
          <w:rFonts w:ascii="Times New Roman" w:hAnsi="Times New Roman"/>
          <w:sz w:val="24"/>
        </w:rPr>
        <w:t xml:space="preserve"> (MKR SA TDI)</w:t>
      </w:r>
      <w:bookmarkEnd w:id="35"/>
      <w:bookmarkEnd w:id="36"/>
    </w:p>
    <w:p w14:paraId="7BC699A3" w14:textId="6F36743D"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17309"/>
      <w:r w:rsidRPr="00045F71">
        <w:rPr>
          <w:rFonts w:ascii="Times New Roman" w:hAnsi="Times New Roman"/>
          <w:sz w:val="24"/>
          <w:u w:val="none"/>
        </w:rPr>
        <w:t>2.1</w:t>
      </w:r>
      <w:r w:rsidR="009601FC" w:rsidRPr="009601FC">
        <w:rPr>
          <w:u w:val="none"/>
        </w:rPr>
        <w:tab/>
      </w:r>
      <w:r w:rsidR="009601FC" w:rsidRPr="009601FC">
        <w:rPr>
          <w:u w:val="none"/>
        </w:rPr>
        <w:tab/>
      </w:r>
      <w:r w:rsidRPr="00045F71">
        <w:rPr>
          <w:rFonts w:ascii="Times New Roman" w:hAnsi="Times New Roman"/>
          <w:sz w:val="24"/>
        </w:rPr>
        <w:t>Obecné poznámky</w:t>
      </w:r>
      <w:bookmarkEnd w:id="37"/>
      <w:bookmarkEnd w:id="38"/>
      <w:bookmarkEnd w:id="39"/>
      <w:bookmarkEnd w:id="40"/>
      <w:bookmarkEnd w:id="41"/>
      <w:bookmarkEnd w:id="42"/>
      <w:bookmarkEnd w:id="43"/>
    </w:p>
    <w:p w14:paraId="0D010E09" w14:textId="7FC9D177" w:rsidR="000B0B09" w:rsidRPr="00045F71" w:rsidRDefault="000B0B09" w:rsidP="00E172EA">
      <w:pPr>
        <w:pStyle w:val="InstructionsText2"/>
        <w:numPr>
          <w:ilvl w:val="0"/>
          <w:numId w:val="29"/>
        </w:numPr>
        <w:suppressAutoHyphens/>
        <w:ind w:left="1349" w:hanging="357"/>
      </w:pPr>
      <w:r w:rsidRPr="00045F71">
        <w:t>V této šabloně se uvádějí informace o pozicích a souvisejících kapitálových požadavcích k pozičním rizikům u obchodovaných dluhových nástrojů v rámci standardizovaného přístupu (čl. 325 odst. 2 písm. a) nařízení (EU) č. 575/2013). V jednotlivých řádcích se zohledňují různá rizika a metody dostupné podle nařízení (EU) č. 575/2013. Specifické riziko související s expozicemi uváděnými v šabloně MKR SA SEC a MKR SA CTP se vykazuje pouze v souhrnné šabloně MKR SA TDI. Kapitálové požadavky vykazované v těchto šablonách se převádějí do buňky {0325;0060} (sekuritizace) a {0330;0060} (portfolio obchodování s korelací).</w:t>
      </w:r>
    </w:p>
    <w:p w14:paraId="7C8420A5" w14:textId="3BAA75DB" w:rsidR="000B0B09" w:rsidRPr="00045F71" w:rsidRDefault="000B0B09" w:rsidP="00E172EA">
      <w:pPr>
        <w:pStyle w:val="InstructionsText2"/>
        <w:numPr>
          <w:ilvl w:val="0"/>
          <w:numId w:val="29"/>
        </w:numPr>
        <w:suppressAutoHyphens/>
      </w:pPr>
      <w:r w:rsidRPr="00045F71">
        <w:t xml:space="preserve">Tato šablona se vyplní samostatně za „Úhrn“ a kromě toho za předem definovaný seznam těchto měn: </w:t>
      </w:r>
      <w:bookmarkStart w:id="44" w:name="OLE_LINK1"/>
      <w:r w:rsidRPr="00045F71">
        <w:t xml:space="preserve">EUR, ALL, BGN, CZK, DKK, EGP, GBP, HUF, ISK, JPY, MKD, NOK, PLN, RON, RUB, RSD, SEK, CHF, TRY, UAH, USD </w:t>
      </w:r>
      <w:bookmarkEnd w:id="44"/>
      <w:r w:rsidRPr="00045F71">
        <w:t xml:space="preserve">a jedna zvláštní šablona pro všechny ostatní měny. </w:t>
      </w:r>
    </w:p>
    <w:p w14:paraId="73E54EAD" w14:textId="3CDF065A"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17310"/>
      <w:r w:rsidRPr="00045F71">
        <w:rPr>
          <w:rFonts w:ascii="Times New Roman" w:hAnsi="Times New Roman"/>
          <w:sz w:val="24"/>
          <w:u w:val="none"/>
        </w:rPr>
        <w:t>2.2</w:t>
      </w:r>
      <w:r w:rsidRPr="00EF1542">
        <w:rPr>
          <w:u w:val="none"/>
        </w:rPr>
        <w:tab/>
      </w:r>
      <w:r w:rsidR="00EF1542" w:rsidRPr="00EF1542">
        <w:rPr>
          <w:u w:val="none"/>
        </w:rPr>
        <w:tab/>
      </w:r>
      <w:r w:rsidRPr="00045F71">
        <w:rPr>
          <w:rFonts w:ascii="Times New Roman" w:hAnsi="Times New Roman"/>
          <w:sz w:val="24"/>
        </w:rPr>
        <w:t>Pokyny pro konkrétní pozice</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045F71" w14:paraId="3B011B78" w14:textId="77777777" w:rsidTr="00672D2A">
        <w:trPr>
          <w:trHeight w:val="569"/>
        </w:trPr>
        <w:tc>
          <w:tcPr>
            <w:tcW w:w="8862" w:type="dxa"/>
            <w:gridSpan w:val="2"/>
            <w:shd w:val="clear" w:color="auto" w:fill="CCCCCC"/>
          </w:tcPr>
          <w:p w14:paraId="3F08430D" w14:textId="77777777" w:rsidR="000B0B09" w:rsidRPr="00045F71" w:rsidRDefault="000B0B09"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Sloupce</w:t>
            </w:r>
          </w:p>
        </w:tc>
      </w:tr>
      <w:tr w:rsidR="000B0B09" w:rsidRPr="00045F71" w14:paraId="2FB66B69" w14:textId="77777777" w:rsidTr="00672D2A">
        <w:tc>
          <w:tcPr>
            <w:tcW w:w="988" w:type="dxa"/>
          </w:tcPr>
          <w:p w14:paraId="3487AAF4"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0010–0020</w:t>
            </w:r>
          </w:p>
        </w:tc>
        <w:tc>
          <w:tcPr>
            <w:tcW w:w="7874" w:type="dxa"/>
          </w:tcPr>
          <w:p w14:paraId="53B61CBE"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VŠECHNY POZICE (DLOUHÉ A KRÁTKÉ)</w:t>
            </w:r>
          </w:p>
          <w:p w14:paraId="0C799784" w14:textId="3AE5C422" w:rsidR="000B0B09" w:rsidRPr="00045F71" w:rsidRDefault="000B0B09" w:rsidP="004C445F">
            <w:pPr>
              <w:suppressAutoHyphens/>
              <w:rPr>
                <w:rFonts w:ascii="Times New Roman" w:hAnsi="Times New Roman"/>
                <w:sz w:val="24"/>
              </w:rPr>
            </w:pPr>
            <w:r w:rsidRPr="00045F71">
              <w:rPr>
                <w:rFonts w:ascii="Times New Roman" w:hAnsi="Times New Roman"/>
                <w:sz w:val="24"/>
              </w:rPr>
              <w:t>Ustanovení článku 102 a čl. 105 odst. 1 nařízení (EU) č. 575/2013. Jedná se o hrubé pozice nezapočtené v nástrojích, ale s vyloučením pozic z upisování, které upsaly nebo za které spoluručí třetí strany, v souladu s čl. 345 odst. 1 prvním pododstavcem druhou větou nařízení (EU) č. 575/2013. Pro rozlišení mezi dlouhými a krátkými pozicemi, které platí i pro tyto hrubé pozice, viz čl. 328 odst. 2 uvedeného nařízení.</w:t>
            </w:r>
          </w:p>
        </w:tc>
      </w:tr>
      <w:tr w:rsidR="000B0B09" w:rsidRPr="00045F71" w14:paraId="05A2AFD3" w14:textId="77777777" w:rsidTr="00672D2A">
        <w:tc>
          <w:tcPr>
            <w:tcW w:w="988" w:type="dxa"/>
          </w:tcPr>
          <w:p w14:paraId="0443676D"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0030–0040</w:t>
            </w:r>
          </w:p>
        </w:tc>
        <w:tc>
          <w:tcPr>
            <w:tcW w:w="7874" w:type="dxa"/>
          </w:tcPr>
          <w:p w14:paraId="28E370A1"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ČISTÉ POZICE (DLOUHÉ A KRÁTKÉ)</w:t>
            </w:r>
          </w:p>
          <w:p w14:paraId="38649486" w14:textId="2801053C" w:rsidR="000B0B09" w:rsidRPr="00045F71" w:rsidRDefault="000B0B09" w:rsidP="004C445F">
            <w:pPr>
              <w:suppressAutoHyphens/>
              <w:rPr>
                <w:rFonts w:ascii="Times New Roman" w:hAnsi="Times New Roman"/>
                <w:sz w:val="24"/>
              </w:rPr>
            </w:pPr>
            <w:r w:rsidRPr="00045F71">
              <w:rPr>
                <w:rFonts w:ascii="Times New Roman" w:hAnsi="Times New Roman"/>
                <w:sz w:val="24"/>
              </w:rPr>
              <w:t>Články 327 až 329 a článek 334 nařízení (EU) č. 575/2013. Pro rozlišení mezi dlouhou a krátkou pozicí viz čl. 328 odst. 2 uvedeného nařízení.</w:t>
            </w:r>
          </w:p>
        </w:tc>
      </w:tr>
      <w:tr w:rsidR="000B0B09" w:rsidRPr="00045F71" w14:paraId="4C7D46FF" w14:textId="77777777" w:rsidTr="00672D2A">
        <w:tc>
          <w:tcPr>
            <w:tcW w:w="988" w:type="dxa"/>
          </w:tcPr>
          <w:p w14:paraId="4D3FEEA5"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w:t>
            </w:r>
          </w:p>
        </w:tc>
        <w:tc>
          <w:tcPr>
            <w:tcW w:w="7874" w:type="dxa"/>
          </w:tcPr>
          <w:p w14:paraId="28B3043D"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POZICE PODLÉHAJÍCÍ KAPITÁLOVÉMU POŽADAVKU</w:t>
            </w:r>
          </w:p>
          <w:p w14:paraId="76B658E5" w14:textId="79039FA9" w:rsidR="000B0B09" w:rsidRPr="00045F71" w:rsidRDefault="000B0B09" w:rsidP="004C445F">
            <w:pPr>
              <w:suppressAutoHyphens/>
              <w:rPr>
                <w:rFonts w:ascii="Times New Roman" w:hAnsi="Times New Roman"/>
                <w:b/>
                <w:bCs/>
                <w:sz w:val="24"/>
                <w:u w:val="single"/>
              </w:rPr>
            </w:pPr>
            <w:r w:rsidRPr="00045F71">
              <w:rPr>
                <w:rFonts w:ascii="Times New Roman" w:hAnsi="Times New Roman"/>
                <w:sz w:val="24"/>
              </w:rPr>
              <w:t>Čisté pozice, na něž se podle různých přístupů uvedených v části třetí hlavě IV kapitole 2 nařízení (EU) č. 575/2013 vztahují kapitálové požadavky.</w:t>
            </w:r>
          </w:p>
        </w:tc>
      </w:tr>
      <w:tr w:rsidR="000B0B09" w:rsidRPr="00045F71" w14:paraId="017C014C" w14:textId="77777777" w:rsidTr="00672D2A">
        <w:tc>
          <w:tcPr>
            <w:tcW w:w="988" w:type="dxa"/>
          </w:tcPr>
          <w:p w14:paraId="7D197D93"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0060</w:t>
            </w:r>
          </w:p>
        </w:tc>
        <w:tc>
          <w:tcPr>
            <w:tcW w:w="7874" w:type="dxa"/>
          </w:tcPr>
          <w:p w14:paraId="55F3618B"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KAPITÁLOVÉ POŽADAVKY</w:t>
            </w:r>
          </w:p>
          <w:p w14:paraId="74F1F61F" w14:textId="12ADC1C1" w:rsidR="000B0B09" w:rsidRPr="00045F71" w:rsidRDefault="000B0B09" w:rsidP="004C445F">
            <w:pPr>
              <w:suppressAutoHyphens/>
              <w:rPr>
                <w:rFonts w:ascii="Times New Roman" w:hAnsi="Times New Roman"/>
                <w:b/>
                <w:bCs/>
                <w:sz w:val="24"/>
                <w:u w:val="single"/>
              </w:rPr>
            </w:pPr>
            <w:r w:rsidRPr="00045F71">
              <w:rPr>
                <w:rFonts w:ascii="Times New Roman" w:hAnsi="Times New Roman"/>
                <w:sz w:val="24"/>
              </w:rPr>
              <w:t>Kapitálový požadavek ke kterékoli příslušné pozici podle části třetí hlavy IV kapitoly 2 nařízení (EU) č. 575/2013.</w:t>
            </w:r>
          </w:p>
        </w:tc>
      </w:tr>
      <w:tr w:rsidR="000B0B09" w:rsidRPr="00045F71" w14:paraId="56717AD1" w14:textId="77777777" w:rsidTr="00672D2A">
        <w:tc>
          <w:tcPr>
            <w:tcW w:w="988" w:type="dxa"/>
          </w:tcPr>
          <w:p w14:paraId="0D4A61CE"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0070</w:t>
            </w:r>
          </w:p>
        </w:tc>
        <w:tc>
          <w:tcPr>
            <w:tcW w:w="7874" w:type="dxa"/>
          </w:tcPr>
          <w:p w14:paraId="7996E138"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CELKOVÝ OBJEM RIZIKOVÉ EXPOZICE</w:t>
            </w:r>
          </w:p>
          <w:p w14:paraId="2C4B0E54" w14:textId="5566DB68" w:rsidR="000B0B09" w:rsidRPr="00045F71" w:rsidRDefault="000B0B09" w:rsidP="004C445F">
            <w:pPr>
              <w:suppressAutoHyphens/>
              <w:rPr>
                <w:rFonts w:ascii="Times New Roman" w:hAnsi="Times New Roman"/>
                <w:b/>
                <w:bCs/>
                <w:sz w:val="24"/>
                <w:u w:val="single"/>
              </w:rPr>
            </w:pPr>
            <w:r w:rsidRPr="00045F71">
              <w:rPr>
                <w:rFonts w:ascii="Times New Roman" w:hAnsi="Times New Roman"/>
                <w:sz w:val="24"/>
              </w:rPr>
              <w:t xml:space="preserve">Ustanovení čl. 92 odst. 6 písm. b) nařízení (EU) č. 575/2013. Výsledek vynásobení kapitálových požadavků faktorem 12,5. </w:t>
            </w:r>
          </w:p>
        </w:tc>
      </w:tr>
    </w:tbl>
    <w:p w14:paraId="5A8176A5"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045F71" w14:paraId="64300D2A" w14:textId="77777777" w:rsidTr="00672D2A">
        <w:trPr>
          <w:trHeight w:val="533"/>
        </w:trPr>
        <w:tc>
          <w:tcPr>
            <w:tcW w:w="8862" w:type="dxa"/>
            <w:gridSpan w:val="2"/>
            <w:shd w:val="clear" w:color="auto" w:fill="CCCCCC"/>
          </w:tcPr>
          <w:p w14:paraId="3C74B427" w14:textId="77777777" w:rsidR="000B0B09" w:rsidRPr="00045F71" w:rsidRDefault="000B0B09"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Řádky</w:t>
            </w:r>
          </w:p>
        </w:tc>
      </w:tr>
      <w:tr w:rsidR="000B0B09" w:rsidRPr="00045F71" w14:paraId="278DCECA" w14:textId="77777777" w:rsidTr="00672D2A">
        <w:trPr>
          <w:trHeight w:val="1168"/>
        </w:trPr>
        <w:tc>
          <w:tcPr>
            <w:tcW w:w="987" w:type="dxa"/>
          </w:tcPr>
          <w:p w14:paraId="2275EBA9"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0010–0350</w:t>
            </w:r>
          </w:p>
        </w:tc>
        <w:tc>
          <w:tcPr>
            <w:tcW w:w="7875" w:type="dxa"/>
          </w:tcPr>
          <w:p w14:paraId="20DE7F59"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OBCHODOVANÉ DLUHOVÉ NÁSTROJE V OBCHODNÍM PORTFOLIU</w:t>
            </w:r>
          </w:p>
          <w:p w14:paraId="12C841B7" w14:textId="65FC0FB4" w:rsidR="000B0B09" w:rsidRPr="00045F71" w:rsidRDefault="000B0B09" w:rsidP="004C445F">
            <w:pPr>
              <w:suppressAutoHyphens/>
              <w:rPr>
                <w:rFonts w:ascii="Times New Roman" w:hAnsi="Times New Roman"/>
                <w:sz w:val="24"/>
              </w:rPr>
            </w:pPr>
            <w:r w:rsidRPr="00045F71">
              <w:rPr>
                <w:rFonts w:ascii="Times New Roman" w:hAnsi="Times New Roman"/>
                <w:sz w:val="24"/>
              </w:rPr>
              <w:t>Pozice v obchodovaných dluhových nástrojích v obchodním portfoliu a s nimi související kapitálové požadavky k pozičnímu riziku v souladu s čl. 92 odst. 4 písm. b) bodem i) nařízení (EU) č. 575/2013 a částí třetí hlavou IV kapitolou 2 uvedeného nařízení se vykazují v závislosti na kategorii rizika, splatnosti a používaném přístupu.</w:t>
            </w:r>
          </w:p>
        </w:tc>
      </w:tr>
      <w:tr w:rsidR="000B0B09" w:rsidRPr="00045F71" w14:paraId="2272E4A5" w14:textId="77777777" w:rsidTr="00672D2A">
        <w:tc>
          <w:tcPr>
            <w:tcW w:w="987" w:type="dxa"/>
          </w:tcPr>
          <w:p w14:paraId="0642F5E6"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0011</w:t>
            </w:r>
          </w:p>
        </w:tc>
        <w:tc>
          <w:tcPr>
            <w:tcW w:w="7875" w:type="dxa"/>
          </w:tcPr>
          <w:p w14:paraId="51E03C37"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b/>
                <w:sz w:val="24"/>
                <w:u w:val="single"/>
              </w:rPr>
              <w:t xml:space="preserve">OBECNÉ RIZIKO. </w:t>
            </w:r>
          </w:p>
        </w:tc>
      </w:tr>
      <w:tr w:rsidR="000B0B09" w:rsidRPr="00045F71" w14:paraId="55F30C33" w14:textId="77777777" w:rsidTr="00672D2A">
        <w:tc>
          <w:tcPr>
            <w:tcW w:w="987" w:type="dxa"/>
          </w:tcPr>
          <w:p w14:paraId="2CBA5F8A"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0012</w:t>
            </w:r>
          </w:p>
        </w:tc>
        <w:tc>
          <w:tcPr>
            <w:tcW w:w="7875" w:type="dxa"/>
          </w:tcPr>
          <w:p w14:paraId="04F0038F"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b/>
                <w:sz w:val="24"/>
                <w:u w:val="single"/>
              </w:rPr>
              <w:t>Deriváty</w:t>
            </w:r>
          </w:p>
          <w:p w14:paraId="06C530F0" w14:textId="7A78F919" w:rsidR="000B0B09" w:rsidRPr="00045F71" w:rsidRDefault="000B0B09" w:rsidP="004C445F">
            <w:pPr>
              <w:suppressAutoHyphens/>
              <w:rPr>
                <w:rFonts w:ascii="Times New Roman" w:hAnsi="Times New Roman"/>
                <w:b/>
                <w:bCs/>
                <w:sz w:val="24"/>
                <w:u w:val="single"/>
              </w:rPr>
            </w:pPr>
            <w:r w:rsidRPr="00045F71">
              <w:rPr>
                <w:rFonts w:ascii="Times New Roman" w:hAnsi="Times New Roman"/>
                <w:sz w:val="24"/>
              </w:rPr>
              <w:t>Deriváty zahrnované do výpočtu úrokového rizika u pozic v obchodním portfoliu, v příslušných případech se zohledněním článků 328 až 331 nařízení (EU) č. 575/2013.</w:t>
            </w:r>
          </w:p>
        </w:tc>
      </w:tr>
      <w:tr w:rsidR="000B0B09" w:rsidRPr="00045F71" w14:paraId="36851B46" w14:textId="77777777" w:rsidTr="00672D2A">
        <w:tc>
          <w:tcPr>
            <w:tcW w:w="987" w:type="dxa"/>
          </w:tcPr>
          <w:p w14:paraId="6827F663"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0013</w:t>
            </w:r>
          </w:p>
        </w:tc>
        <w:tc>
          <w:tcPr>
            <w:tcW w:w="7875" w:type="dxa"/>
          </w:tcPr>
          <w:p w14:paraId="60242973"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Ostatní aktiva a pasiva</w:t>
            </w:r>
          </w:p>
          <w:p w14:paraId="665719C9" w14:textId="77777777" w:rsidR="000B0B09" w:rsidRPr="00045F71" w:rsidRDefault="000B0B09" w:rsidP="004C445F">
            <w:pPr>
              <w:suppressAutoHyphens/>
              <w:rPr>
                <w:rFonts w:ascii="Times New Roman" w:hAnsi="Times New Roman"/>
                <w:b/>
                <w:bCs/>
                <w:sz w:val="24"/>
                <w:u w:val="single"/>
              </w:rPr>
            </w:pPr>
            <w:r w:rsidRPr="00045F71">
              <w:rPr>
                <w:rFonts w:ascii="Times New Roman" w:hAnsi="Times New Roman"/>
                <w:sz w:val="24"/>
              </w:rPr>
              <w:t xml:space="preserve">Jiné nástroje než deriváty zahrnované do výpočtu úrokového rizika u pozic v obchodním portfoliu. </w:t>
            </w:r>
          </w:p>
        </w:tc>
      </w:tr>
      <w:tr w:rsidR="000B0B09" w:rsidRPr="00045F71" w14:paraId="177EBA5C" w14:textId="77777777" w:rsidTr="00672D2A">
        <w:tc>
          <w:tcPr>
            <w:tcW w:w="987" w:type="dxa"/>
          </w:tcPr>
          <w:p w14:paraId="2B740B72"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0020–0200</w:t>
            </w:r>
          </w:p>
        </w:tc>
        <w:tc>
          <w:tcPr>
            <w:tcW w:w="7875" w:type="dxa"/>
          </w:tcPr>
          <w:p w14:paraId="1DE7E50A"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PŘÍSTUP ZALOŽENÝ NA SPLATNOSTI</w:t>
            </w:r>
          </w:p>
          <w:p w14:paraId="644A7531" w14:textId="671AD153" w:rsidR="000B0B09" w:rsidRPr="00045F71" w:rsidRDefault="000B0B09" w:rsidP="004C445F">
            <w:pPr>
              <w:suppressAutoHyphens/>
              <w:rPr>
                <w:rFonts w:ascii="Times New Roman" w:hAnsi="Times New Roman"/>
                <w:b/>
                <w:bCs/>
                <w:sz w:val="24"/>
                <w:u w:val="single"/>
              </w:rPr>
            </w:pPr>
            <w:r w:rsidRPr="00045F71">
              <w:rPr>
                <w:rFonts w:ascii="Times New Roman" w:hAnsi="Times New Roman"/>
                <w:sz w:val="24"/>
              </w:rPr>
              <w:t xml:space="preserve">Pozice v obchodovaných dluhových nástrojích, na něž se vztahuje přístup založený na splatnosti podle čl. 339 odst. 1 až 8 nařízení (EU) č. 575/2013, a odpovídající kapitálové požadavky vypočítané v souladu s čl. 339 odst. 9 </w:t>
            </w:r>
            <w:r w:rsidRPr="00045F71">
              <w:rPr>
                <w:rFonts w:ascii="Times New Roman" w:hAnsi="Times New Roman"/>
                <w:sz w:val="24"/>
              </w:rPr>
              <w:lastRenderedPageBreak/>
              <w:t>uvedeného nařízení. Pozice se rozdělují mezi zóny 1, 2 a 3 a tyto zóny se dělí podle splatnosti nástrojů.</w:t>
            </w:r>
          </w:p>
        </w:tc>
      </w:tr>
      <w:tr w:rsidR="000B0B09" w:rsidRPr="00045F71" w14:paraId="79DAC997" w14:textId="77777777" w:rsidTr="00672D2A">
        <w:tc>
          <w:tcPr>
            <w:tcW w:w="987" w:type="dxa"/>
          </w:tcPr>
          <w:p w14:paraId="73C021ED"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0210–0240</w:t>
            </w:r>
          </w:p>
        </w:tc>
        <w:tc>
          <w:tcPr>
            <w:tcW w:w="7875" w:type="dxa"/>
          </w:tcPr>
          <w:p w14:paraId="2CE27E61"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b/>
                <w:sz w:val="24"/>
                <w:u w:val="single"/>
              </w:rPr>
              <w:t>OBECNÉ RIZIKO. PŘÍSTUP ZALOŽENÝ NA DURACI</w:t>
            </w:r>
          </w:p>
          <w:p w14:paraId="08171DB1" w14:textId="5B3E8AB1" w:rsidR="000B0B09" w:rsidRPr="00045F71" w:rsidRDefault="000B0B09" w:rsidP="004C445F">
            <w:pPr>
              <w:suppressAutoHyphens/>
              <w:rPr>
                <w:rFonts w:ascii="Times New Roman" w:hAnsi="Times New Roman"/>
                <w:b/>
                <w:bCs/>
                <w:sz w:val="24"/>
                <w:u w:val="single"/>
              </w:rPr>
            </w:pPr>
            <w:r w:rsidRPr="00045F71">
              <w:rPr>
                <w:rFonts w:ascii="Times New Roman" w:hAnsi="Times New Roman"/>
                <w:sz w:val="24"/>
              </w:rPr>
              <w:t>Pozice v obchodovaných dluhových nástrojích, na něž se vztahuje přístup založený na duraci podle čl. 340 odst. 1 až 6 nařízení (EU) č. 575/2013, a odpovídající kapitálové požadavky vypočítané v souladu s čl. 340 odst. 7 uvedeného nařízení. Pozice se rozdělují mezi zóny 1, 2 a 3.</w:t>
            </w:r>
          </w:p>
        </w:tc>
      </w:tr>
      <w:tr w:rsidR="000B0B09" w:rsidRPr="00045F71" w14:paraId="7DD483EC" w14:textId="77777777" w:rsidTr="00672D2A">
        <w:tc>
          <w:tcPr>
            <w:tcW w:w="987" w:type="dxa"/>
          </w:tcPr>
          <w:p w14:paraId="5974B232"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0250</w:t>
            </w:r>
          </w:p>
        </w:tc>
        <w:tc>
          <w:tcPr>
            <w:tcW w:w="7875" w:type="dxa"/>
          </w:tcPr>
          <w:p w14:paraId="6CE50A3E"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SPECIFICKÉ RIZIKO</w:t>
            </w:r>
          </w:p>
          <w:p w14:paraId="29C6E3D0" w14:textId="77777777" w:rsidR="000B0B09" w:rsidRPr="00045F71" w:rsidRDefault="000B0B09" w:rsidP="004C445F">
            <w:pPr>
              <w:suppressAutoHyphens/>
              <w:rPr>
                <w:rFonts w:ascii="Times New Roman" w:hAnsi="Times New Roman"/>
                <w:sz w:val="24"/>
              </w:rPr>
            </w:pPr>
            <w:r w:rsidRPr="00045F71">
              <w:rPr>
                <w:rFonts w:ascii="Times New Roman" w:hAnsi="Times New Roman"/>
                <w:sz w:val="24"/>
              </w:rPr>
              <w:t xml:space="preserve">Součet částek vykázaných v řádcích 0251, 0325 a 0330. </w:t>
            </w:r>
          </w:p>
          <w:p w14:paraId="4E1E5CA2" w14:textId="0C1E6FCB" w:rsidR="000B0B09" w:rsidRPr="00045F71" w:rsidRDefault="000B0B09" w:rsidP="004C445F">
            <w:pPr>
              <w:suppressAutoHyphens/>
              <w:rPr>
                <w:rFonts w:ascii="Times New Roman" w:hAnsi="Times New Roman"/>
                <w:b/>
                <w:bCs/>
                <w:sz w:val="24"/>
                <w:u w:val="single"/>
              </w:rPr>
            </w:pPr>
            <w:r w:rsidRPr="00045F71">
              <w:rPr>
                <w:rFonts w:ascii="Times New Roman" w:hAnsi="Times New Roman"/>
                <w:sz w:val="24"/>
              </w:rPr>
              <w:t>Pozice v obchodovaných dluhových nástrojích, na něž se vztahují kapitálové požadavky ke specifickému riziku, a jejich odpovídající kapitálové požadavky v souladu s čl. 92 odst. 3 písm. b) a článkem 335, čl. 336 odst. 1, 2 a 3 a články 337 a 338 nařízení (EU) č. 575/2013. Je také nutné vzít na vědomí poslední větu čl. 327 odst. 1 uvedeného nařízení.</w:t>
            </w:r>
          </w:p>
        </w:tc>
      </w:tr>
      <w:tr w:rsidR="000B0B09" w:rsidRPr="00045F71" w14:paraId="6F8691E7" w14:textId="77777777" w:rsidTr="00672D2A">
        <w:tc>
          <w:tcPr>
            <w:tcW w:w="987" w:type="dxa"/>
          </w:tcPr>
          <w:p w14:paraId="5CD5E31A"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0251–0321</w:t>
            </w:r>
          </w:p>
        </w:tc>
        <w:tc>
          <w:tcPr>
            <w:tcW w:w="7875" w:type="dxa"/>
          </w:tcPr>
          <w:p w14:paraId="14764BB8"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Kapitálový požadavek pro nesekuritizované dluhové nástroje</w:t>
            </w:r>
          </w:p>
          <w:p w14:paraId="19437B35" w14:textId="77777777" w:rsidR="000B0B09" w:rsidRPr="00045F71" w:rsidRDefault="000B0B09" w:rsidP="004C445F">
            <w:pPr>
              <w:suppressAutoHyphens/>
              <w:rPr>
                <w:rFonts w:ascii="Times New Roman" w:hAnsi="Times New Roman"/>
                <w:sz w:val="24"/>
              </w:rPr>
            </w:pPr>
            <w:r w:rsidRPr="00045F71">
              <w:rPr>
                <w:rFonts w:ascii="Times New Roman" w:hAnsi="Times New Roman"/>
                <w:sz w:val="24"/>
              </w:rPr>
              <w:t>Součet částek vykázaných v řádcích 260 až 321.</w:t>
            </w:r>
          </w:p>
          <w:p w14:paraId="4CDA5DEB" w14:textId="4AB00123" w:rsidR="000B0B09" w:rsidRPr="00045F71" w:rsidRDefault="000B0B09" w:rsidP="004C445F">
            <w:pPr>
              <w:suppressAutoHyphens/>
              <w:rPr>
                <w:rFonts w:ascii="Times New Roman" w:hAnsi="Times New Roman"/>
                <w:sz w:val="24"/>
              </w:rPr>
            </w:pPr>
            <w:r w:rsidRPr="00045F71">
              <w:rPr>
                <w:rFonts w:ascii="Times New Roman" w:hAnsi="Times New Roman"/>
                <w:sz w:val="24"/>
              </w:rPr>
              <w:t xml:space="preserve">Kapitálový požadavek k úvěrovým derivátům n-tého selhání bez externího ratingu se vypočítá jako součet rizikových vah referenčních subjektů (čl. 332 odst. 1 písm. e) a čl. 332 odst. 1 druhý pododstavec nařízení (EU) č. 575/2013 – „přístup se zohledněním“). Úvěrové deriváty n-tého selhání s externím ratingem (čl. 332 odst. 1 třetí pododstavec nařízení (EU) č. 575/2013) se vykazují samostatně v řádku 321. </w:t>
            </w:r>
          </w:p>
          <w:p w14:paraId="7051ED04" w14:textId="439958FE" w:rsidR="000B0B09" w:rsidRPr="00045F71" w:rsidRDefault="000B0B09" w:rsidP="004C445F">
            <w:pPr>
              <w:suppressAutoHyphens/>
              <w:rPr>
                <w:rFonts w:ascii="Times New Roman" w:hAnsi="Times New Roman"/>
                <w:sz w:val="24"/>
              </w:rPr>
            </w:pPr>
            <w:r w:rsidRPr="00045F71">
              <w:rPr>
                <w:rFonts w:ascii="Times New Roman" w:hAnsi="Times New Roman"/>
                <w:sz w:val="24"/>
              </w:rPr>
              <w:t>Vykazování pozic, na něž se vztahuje čl. 336 odst. 3 nařízení (EU) č. 575/2013: Pro dluhopisy, jimž je v investičním portfoliu přiřazena riziková váha 10</w:t>
            </w:r>
            <w:r w:rsidRPr="00045F71">
              <w:t xml:space="preserve"> </w:t>
            </w:r>
            <w:r w:rsidRPr="00045F71">
              <w:rPr>
                <w:rFonts w:ascii="Times New Roman" w:hAnsi="Times New Roman"/>
                <w:sz w:val="24"/>
              </w:rPr>
              <w:t>%, je podle čl. 129 odst. 3 uvedeného nařízení (kryté dluhopisy) stanoveno zvláštní zacházení. Zvláštní kapitálové požadavky činí polovinu procentního podílu druhé kategorie podle článku 336 tabulky 1 nařízení (EU) č. 575/2013. Tyto pozice se přiřadí do řádků 0280 až 0300 podle jejich zbytkové splatnosti.</w:t>
            </w:r>
          </w:p>
          <w:p w14:paraId="11FE9AD5" w14:textId="6CF7D4D9" w:rsidR="000B0B09" w:rsidRPr="00045F71" w:rsidRDefault="00F41508" w:rsidP="004C445F">
            <w:pPr>
              <w:suppressAutoHyphens/>
              <w:rPr>
                <w:rFonts w:ascii="Times New Roman" w:hAnsi="Times New Roman"/>
                <w:b/>
                <w:bCs/>
                <w:sz w:val="24"/>
                <w:u w:val="single"/>
              </w:rPr>
            </w:pPr>
            <w:r w:rsidRPr="00045F71">
              <w:rPr>
                <w:rFonts w:ascii="Times New Roman" w:hAnsi="Times New Roman"/>
                <w:sz w:val="24"/>
              </w:rPr>
              <w:t xml:space="preserve">Pokud je obecné riziko u úrokových pozic zajištěno úvěrovými deriváty, uplatní se články 346 a 347 nařízení (EU) č. 575/2013. </w:t>
            </w:r>
          </w:p>
        </w:tc>
      </w:tr>
      <w:tr w:rsidR="000B0B09" w:rsidRPr="00045F71" w14:paraId="3F2475A8" w14:textId="77777777" w:rsidTr="00672D2A">
        <w:tc>
          <w:tcPr>
            <w:tcW w:w="987" w:type="dxa"/>
          </w:tcPr>
          <w:p w14:paraId="1898316C" w14:textId="77777777" w:rsidR="000B0B09" w:rsidRPr="00045F71" w:rsidDel="00F27BD6"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0325</w:t>
            </w:r>
          </w:p>
        </w:tc>
        <w:tc>
          <w:tcPr>
            <w:tcW w:w="7875" w:type="dxa"/>
          </w:tcPr>
          <w:p w14:paraId="21ACC24B"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Kapitálový požadavek pro sekuritizované nástroje</w:t>
            </w:r>
          </w:p>
          <w:p w14:paraId="7BA68AB7" w14:textId="77777777" w:rsidR="00722A10" w:rsidRPr="00045F71" w:rsidDel="00F27BD6" w:rsidRDefault="000B0B09" w:rsidP="004C445F">
            <w:pPr>
              <w:suppressAutoHyphens/>
              <w:rPr>
                <w:rFonts w:ascii="Times New Roman" w:hAnsi="Times New Roman"/>
                <w:b/>
                <w:bCs/>
                <w:sz w:val="24"/>
                <w:u w:val="single"/>
              </w:rPr>
            </w:pPr>
            <w:r w:rsidRPr="00045F71">
              <w:rPr>
                <w:rFonts w:ascii="Times New Roman" w:hAnsi="Times New Roman"/>
                <w:sz w:val="24"/>
              </w:rPr>
              <w:t>Celkové kapitálové požadavky vykázané ve sloupci 0601 šablony MKR SA SEC. Tyto celkové kapitálové požadavky se vykazují pouze v celkové výši v šabloně MKR SA TDI.</w:t>
            </w:r>
          </w:p>
        </w:tc>
      </w:tr>
      <w:tr w:rsidR="000B0B09" w:rsidRPr="00045F71" w14:paraId="55688787" w14:textId="77777777" w:rsidTr="00672D2A">
        <w:tc>
          <w:tcPr>
            <w:tcW w:w="987" w:type="dxa"/>
          </w:tcPr>
          <w:p w14:paraId="74C28C83" w14:textId="77777777" w:rsidR="000B0B09" w:rsidRPr="00045F71" w:rsidDel="00F27BD6"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0330</w:t>
            </w:r>
          </w:p>
        </w:tc>
        <w:tc>
          <w:tcPr>
            <w:tcW w:w="7875" w:type="dxa"/>
          </w:tcPr>
          <w:p w14:paraId="66957FAA"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Kapitálový požadavek pro portfolio obchodování s korelací</w:t>
            </w:r>
          </w:p>
          <w:p w14:paraId="104F8330" w14:textId="77777777" w:rsidR="00722A10" w:rsidRPr="00045F71" w:rsidDel="00F27BD6" w:rsidRDefault="000B0B09" w:rsidP="004C445F">
            <w:pPr>
              <w:suppressAutoHyphens/>
              <w:rPr>
                <w:rFonts w:ascii="Times New Roman" w:hAnsi="Times New Roman"/>
                <w:b/>
                <w:bCs/>
                <w:sz w:val="24"/>
                <w:u w:val="single"/>
              </w:rPr>
            </w:pPr>
            <w:r w:rsidRPr="00045F71">
              <w:rPr>
                <w:rFonts w:ascii="Times New Roman" w:hAnsi="Times New Roman"/>
                <w:sz w:val="24"/>
              </w:rPr>
              <w:t>Celkové kapitálové požadavky vykázané ve sloupci 0450 šablony MKR SSA CTP. Tyto celkové kapitálové požadavky se vykazují pouze v celkové výši v šabloně MKR SA TDI.</w:t>
            </w:r>
          </w:p>
        </w:tc>
      </w:tr>
      <w:tr w:rsidR="000B0B09" w:rsidRPr="00045F71" w14:paraId="230D0723" w14:textId="77777777" w:rsidTr="00672D2A">
        <w:tc>
          <w:tcPr>
            <w:tcW w:w="987" w:type="dxa"/>
          </w:tcPr>
          <w:p w14:paraId="26241DA3" w14:textId="77777777" w:rsidR="000B0B09"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0350–0390</w:t>
            </w:r>
          </w:p>
        </w:tc>
        <w:tc>
          <w:tcPr>
            <w:tcW w:w="7875" w:type="dxa"/>
          </w:tcPr>
          <w:p w14:paraId="5291B6A7" w14:textId="77777777" w:rsidR="000B0B09" w:rsidRPr="00045F71" w:rsidRDefault="000B0B09" w:rsidP="004C445F">
            <w:pPr>
              <w:suppressAutoHyphens/>
              <w:autoSpaceDE w:val="0"/>
              <w:autoSpaceDN w:val="0"/>
              <w:adjustRightInd w:val="0"/>
              <w:spacing w:before="0" w:after="0"/>
              <w:rPr>
                <w:rStyle w:val="InstructionsTabelleberschrift"/>
                <w:rFonts w:ascii="Times New Roman" w:hAnsi="Times New Roman"/>
                <w:sz w:val="24"/>
              </w:rPr>
            </w:pPr>
            <w:r w:rsidRPr="00045F71">
              <w:rPr>
                <w:rStyle w:val="InstructionsTabelleberschrift"/>
                <w:rFonts w:ascii="Times New Roman" w:hAnsi="Times New Roman"/>
                <w:sz w:val="24"/>
              </w:rPr>
              <w:t xml:space="preserve">DODATEČNÉ POŽADAVKY K OPCÍM (JINÁ RIZIKA NEŽ RIZIKA DELTA) </w:t>
            </w:r>
          </w:p>
          <w:p w14:paraId="3B19069A" w14:textId="2AE3D272" w:rsidR="000B0B09" w:rsidRPr="00045F71" w:rsidRDefault="000B0B09" w:rsidP="004C445F">
            <w:pPr>
              <w:suppressAutoHyphens/>
              <w:rPr>
                <w:rFonts w:ascii="Times New Roman" w:hAnsi="Times New Roman"/>
                <w:sz w:val="24"/>
              </w:rPr>
            </w:pPr>
            <w:r w:rsidRPr="00045F71">
              <w:rPr>
                <w:rFonts w:ascii="Times New Roman" w:hAnsi="Times New Roman"/>
                <w:sz w:val="24"/>
              </w:rPr>
              <w:t>Ustanovení čl. 329 odst. 3 nařízení (EU) č. 575/2013.</w:t>
            </w:r>
          </w:p>
          <w:p w14:paraId="4A1F04EE" w14:textId="77777777" w:rsidR="000B0B09" w:rsidRPr="00045F71" w:rsidRDefault="000B0B09" w:rsidP="004C445F">
            <w:pPr>
              <w:suppressAutoHyphens/>
              <w:rPr>
                <w:rFonts w:ascii="Times New Roman" w:hAnsi="Times New Roman"/>
                <w:bCs/>
                <w:sz w:val="24"/>
              </w:rPr>
            </w:pPr>
            <w:r w:rsidRPr="00045F71">
              <w:rPr>
                <w:rFonts w:ascii="Times New Roman" w:hAnsi="Times New Roman"/>
                <w:sz w:val="24"/>
              </w:rPr>
              <w:lastRenderedPageBreak/>
              <w:t>Dodatečné požadavky k opcím související s jinými riziky, než jsou rizika delta, se uvádějí v členění podle metody použité k jejich výpočtu.</w:t>
            </w:r>
          </w:p>
        </w:tc>
      </w:tr>
    </w:tbl>
    <w:p w14:paraId="45D79A0A" w14:textId="77777777" w:rsidR="000B0B09" w:rsidRPr="00045F71"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17311"/>
      <w:r w:rsidRPr="00045F71">
        <w:rPr>
          <w:rFonts w:ascii="Times New Roman" w:hAnsi="Times New Roman"/>
          <w:sz w:val="24"/>
          <w:u w:val="none"/>
        </w:rPr>
        <w:t>3.</w:t>
      </w:r>
      <w:r w:rsidRPr="00EF1542">
        <w:rPr>
          <w:u w:val="none"/>
        </w:rPr>
        <w:tab/>
      </w:r>
      <w:r w:rsidRPr="00045F71">
        <w:rPr>
          <w:rFonts w:ascii="Times New Roman" w:hAnsi="Times New Roman"/>
          <w:sz w:val="24"/>
        </w:rPr>
        <w:t>C 19.00 – TRŽNÍ RIZIKO: STANDARDIZOVANÝ PŘÍSTUP KE SPECIFICKÉMU RIZIKU U SEKURITIZACÍ (MKR SA SEC)</w:t>
      </w:r>
      <w:bookmarkEnd w:id="52"/>
      <w:bookmarkEnd w:id="53"/>
      <w:bookmarkEnd w:id="54"/>
      <w:bookmarkEnd w:id="55"/>
      <w:bookmarkEnd w:id="56"/>
      <w:bookmarkEnd w:id="57"/>
      <w:bookmarkEnd w:id="58"/>
    </w:p>
    <w:p w14:paraId="77E74540" w14:textId="681754B9"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17312"/>
      <w:r w:rsidRPr="00045F71">
        <w:rPr>
          <w:rFonts w:ascii="Times New Roman" w:hAnsi="Times New Roman"/>
          <w:sz w:val="24"/>
          <w:u w:val="none"/>
        </w:rPr>
        <w:t>3.1</w:t>
      </w:r>
      <w:r w:rsidR="00EF1542">
        <w:rPr>
          <w:u w:val="none"/>
        </w:rPr>
        <w:tab/>
      </w:r>
      <w:r w:rsidR="00EF1542">
        <w:rPr>
          <w:u w:val="none"/>
        </w:rPr>
        <w:tab/>
      </w:r>
      <w:r w:rsidRPr="00045F71">
        <w:rPr>
          <w:rFonts w:ascii="Times New Roman" w:hAnsi="Times New Roman"/>
          <w:sz w:val="24"/>
        </w:rPr>
        <w:t>Obecné poznámky</w:t>
      </w:r>
      <w:bookmarkEnd w:id="59"/>
      <w:bookmarkEnd w:id="60"/>
      <w:bookmarkEnd w:id="61"/>
      <w:bookmarkEnd w:id="62"/>
      <w:bookmarkEnd w:id="63"/>
      <w:bookmarkEnd w:id="64"/>
      <w:bookmarkEnd w:id="65"/>
    </w:p>
    <w:p w14:paraId="7E5893C5" w14:textId="18DD7193" w:rsidR="00FC6275" w:rsidRPr="00045F71"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rsidRPr="00045F71">
        <w:t xml:space="preserve">V této šabloně se vykazují údaje o pozicích (všech / čistých a dlouhých / krátkých) a souvisejících kapitálových požadavcích ke specifické rizikové složce pozičního rizika v případě pozic v sekuritizacích/resekuritizacích držených v obchodním portfoliu (nezpůsobilých pro portfolio obchodování s korelací) v rámci standardizovaného přístupu. </w:t>
      </w:r>
    </w:p>
    <w:p w14:paraId="2729DF95" w14:textId="1BA228E4" w:rsidR="00FC6275" w:rsidRPr="00045F71" w:rsidRDefault="00FC6275" w:rsidP="00E172EA">
      <w:pPr>
        <w:pStyle w:val="InstructionsText2"/>
        <w:numPr>
          <w:ilvl w:val="0"/>
          <w:numId w:val="29"/>
        </w:numPr>
        <w:suppressAutoHyphens/>
      </w:pPr>
      <w:r w:rsidRPr="00045F71">
        <w:t xml:space="preserve">V šabloně MKR SA SEC se uvádí kapitálový požadavek týkající se pouze specifického rizika sekuritizovaných pozic podle článku 335 ve spojení s článkem 337 nařízení (EU) č. 575/2013. Jsou-li sekuritizované pozice v obchodním portfoliu zajištěny úvěrovými deriváty, uplatní se články 346 a 347 nařízení (EU) č. 575/2013. Pro všechny pozice obchodního portfolia existuje pouze jedna šablona, bez ohledu na přístup, který investiční podniky používají k určení rizikové váhy pro každou z pozic v souladu s částí třetí hlavou II kapitolou 5 nařízení (EU) č. 575/2013. Kapitálové požadavky k obecnému riziku u těchto pozic se vykazují v šabloně MKR SA TDI nebo MKR IM. </w:t>
      </w:r>
    </w:p>
    <w:p w14:paraId="0C732A14" w14:textId="3FF74494" w:rsidR="00FC6275" w:rsidRPr="00045F71" w:rsidRDefault="00FC6275" w:rsidP="00E172EA">
      <w:pPr>
        <w:pStyle w:val="InstructionsText2"/>
        <w:numPr>
          <w:ilvl w:val="0"/>
          <w:numId w:val="29"/>
        </w:numPr>
        <w:suppressAutoHyphens/>
      </w:pPr>
      <w:r w:rsidRPr="00045F71">
        <w:t>Pozice, kterým je přiřazena riziková váha 1 250 %, lze alternativně odečíst od kmenového kapitálu tier 1 (viz čl. 244 odst. 1 písm. b), čl. 245 odst. 1 písm. b) a článek 253 nařízení (EU) č. 575/2013). Tyto pozice se vykazují v této šabloně, i když instituce využívá možnosti odpočtu.</w:t>
      </w:r>
    </w:p>
    <w:p w14:paraId="3921F7AA" w14:textId="72FA7213"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17313"/>
      <w:r w:rsidRPr="00045F71">
        <w:rPr>
          <w:rFonts w:ascii="Times New Roman" w:hAnsi="Times New Roman"/>
          <w:sz w:val="24"/>
          <w:u w:val="none"/>
        </w:rPr>
        <w:t>3.2</w:t>
      </w:r>
      <w:r w:rsidR="00EF1542" w:rsidRPr="00EF1542">
        <w:rPr>
          <w:u w:val="none"/>
        </w:rPr>
        <w:tab/>
      </w:r>
      <w:r w:rsidR="00EF1542" w:rsidRPr="00EF1542">
        <w:rPr>
          <w:u w:val="none"/>
        </w:rPr>
        <w:tab/>
      </w:r>
      <w:r w:rsidRPr="00045F71">
        <w:rPr>
          <w:rFonts w:ascii="Times New Roman" w:hAnsi="Times New Roman"/>
          <w:sz w:val="24"/>
        </w:rPr>
        <w:t>Pokyny pro konkrétní pozice</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045F71" w14:paraId="5FAA1DCA" w14:textId="77777777" w:rsidTr="00E10B85">
        <w:trPr>
          <w:trHeight w:val="631"/>
        </w:trPr>
        <w:tc>
          <w:tcPr>
            <w:tcW w:w="9018" w:type="dxa"/>
            <w:gridSpan w:val="2"/>
            <w:shd w:val="clear" w:color="auto" w:fill="CCCCCC"/>
          </w:tcPr>
          <w:p w14:paraId="672709A6" w14:textId="77777777" w:rsidR="00C55547" w:rsidRPr="00045F71" w:rsidRDefault="00C55547"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Sloupce</w:t>
            </w:r>
          </w:p>
        </w:tc>
      </w:tr>
      <w:tr w:rsidR="00C55547" w:rsidRPr="00045F71" w14:paraId="25DD94D3" w14:textId="77777777" w:rsidTr="000911FE">
        <w:tc>
          <w:tcPr>
            <w:tcW w:w="1413" w:type="dxa"/>
          </w:tcPr>
          <w:p w14:paraId="1C45AB39"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0010–0020</w:t>
            </w:r>
          </w:p>
        </w:tc>
        <w:tc>
          <w:tcPr>
            <w:tcW w:w="7605" w:type="dxa"/>
          </w:tcPr>
          <w:p w14:paraId="37C65F35"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VŠECHNY POZICE (DLOUHÉ A KRÁTKÉ)</w:t>
            </w:r>
          </w:p>
          <w:p w14:paraId="503F4241" w14:textId="0DAFF941" w:rsidR="00C55547" w:rsidRPr="00045F71" w:rsidRDefault="00C55547" w:rsidP="004C445F">
            <w:pPr>
              <w:suppressAutoHyphens/>
              <w:rPr>
                <w:rFonts w:ascii="Times New Roman" w:hAnsi="Times New Roman"/>
                <w:sz w:val="24"/>
              </w:rPr>
            </w:pPr>
            <w:r w:rsidRPr="00045F71">
              <w:rPr>
                <w:rStyle w:val="InstructionsTabelleText"/>
                <w:rFonts w:ascii="Times New Roman" w:hAnsi="Times New Roman"/>
                <w:sz w:val="24"/>
              </w:rPr>
              <w:t xml:space="preserve">Článek 102 a čl. 105 odst. 1 </w:t>
            </w:r>
            <w:r w:rsidRPr="00045F71">
              <w:rPr>
                <w:rFonts w:ascii="Times New Roman" w:hAnsi="Times New Roman"/>
                <w:sz w:val="24"/>
              </w:rPr>
              <w:t>nařízení (EU) č. 575/2013</w:t>
            </w:r>
            <w:r w:rsidRPr="00045F71">
              <w:rPr>
                <w:rStyle w:val="InstructionsTabelleText"/>
                <w:rFonts w:ascii="Times New Roman" w:hAnsi="Times New Roman"/>
                <w:sz w:val="24"/>
              </w:rPr>
              <w:t xml:space="preserve"> ve spojení s článkem 337 </w:t>
            </w:r>
            <w:r w:rsidRPr="00045F71">
              <w:rPr>
                <w:rFonts w:ascii="Times New Roman" w:hAnsi="Times New Roman"/>
                <w:sz w:val="24"/>
              </w:rPr>
              <w:t xml:space="preserve">uvedeného nařízení </w:t>
            </w:r>
            <w:r w:rsidRPr="00045F71">
              <w:rPr>
                <w:rStyle w:val="InstructionsTabelleText"/>
                <w:rFonts w:ascii="Times New Roman" w:hAnsi="Times New Roman"/>
                <w:sz w:val="24"/>
              </w:rPr>
              <w:t xml:space="preserve">(sekuritizované pozice). Pro rozlišení mezi dlouhými a krátkými pozicemi, které platí i pro tyto hrubé pozice, viz čl. 328 odst. 2 </w:t>
            </w:r>
            <w:r w:rsidRPr="00045F71">
              <w:rPr>
                <w:rFonts w:ascii="Times New Roman" w:hAnsi="Times New Roman"/>
                <w:sz w:val="24"/>
              </w:rPr>
              <w:t>uvedeného nařízení</w:t>
            </w:r>
            <w:r w:rsidRPr="00045F71">
              <w:rPr>
                <w:rStyle w:val="InstructionsTabelleText"/>
                <w:rFonts w:ascii="Times New Roman" w:hAnsi="Times New Roman"/>
                <w:sz w:val="24"/>
              </w:rPr>
              <w:t xml:space="preserve">. </w:t>
            </w:r>
          </w:p>
        </w:tc>
      </w:tr>
      <w:tr w:rsidR="00C55547" w:rsidRPr="00045F71" w14:paraId="22839602" w14:textId="77777777" w:rsidTr="000911FE">
        <w:tc>
          <w:tcPr>
            <w:tcW w:w="1413" w:type="dxa"/>
          </w:tcPr>
          <w:p w14:paraId="40A33AFE"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0030–0040</w:t>
            </w:r>
          </w:p>
        </w:tc>
        <w:tc>
          <w:tcPr>
            <w:tcW w:w="7605" w:type="dxa"/>
          </w:tcPr>
          <w:p w14:paraId="511B0208"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 POZICE ODEČTENÉ OD KAPITÁLU</w:t>
            </w:r>
            <w:r w:rsidRPr="00045F71">
              <w:rPr>
                <w:rFonts w:ascii="Times New Roman" w:hAnsi="Times New Roman"/>
                <w:b/>
                <w:sz w:val="24"/>
                <w:u w:val="single"/>
              </w:rPr>
              <w:t xml:space="preserve"> (DLOUHÉ A KRÁTKÉ)</w:t>
            </w:r>
          </w:p>
          <w:p w14:paraId="1429CBFE" w14:textId="1A440B37" w:rsidR="00C55547" w:rsidRPr="00045F71" w:rsidRDefault="00705025" w:rsidP="004C445F">
            <w:pPr>
              <w:suppressAutoHyphens/>
              <w:rPr>
                <w:rStyle w:val="InstructionsTabelleText"/>
                <w:rFonts w:ascii="Times New Roman" w:hAnsi="Times New Roman"/>
                <w:sz w:val="24"/>
              </w:rPr>
            </w:pPr>
            <w:r w:rsidRPr="00045F71">
              <w:rPr>
                <w:rStyle w:val="InstructionsTabelleText"/>
                <w:rFonts w:ascii="Times New Roman" w:hAnsi="Times New Roman"/>
                <w:sz w:val="24"/>
              </w:rPr>
              <w:t xml:space="preserve"> Ustanovení čl. 244 odst. 1 písm. b), čl. 245 odst. 1 písm. b) a článku 253 </w:t>
            </w:r>
            <w:r w:rsidRPr="00045F71">
              <w:rPr>
                <w:rFonts w:ascii="Times New Roman" w:hAnsi="Times New Roman"/>
                <w:sz w:val="24"/>
              </w:rPr>
              <w:t>nařízení (EU) č. 575/2013</w:t>
            </w:r>
          </w:p>
        </w:tc>
      </w:tr>
      <w:tr w:rsidR="00C55547" w:rsidRPr="00045F71" w14:paraId="16C58348" w14:textId="77777777" w:rsidTr="000911FE">
        <w:tc>
          <w:tcPr>
            <w:tcW w:w="1413" w:type="dxa"/>
          </w:tcPr>
          <w:p w14:paraId="2D1E9030"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0050–0060</w:t>
            </w:r>
          </w:p>
        </w:tc>
        <w:tc>
          <w:tcPr>
            <w:tcW w:w="7605" w:type="dxa"/>
          </w:tcPr>
          <w:p w14:paraId="088E4387"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ČISTÉ POZICE</w:t>
            </w:r>
            <w:r w:rsidRPr="00045F71">
              <w:rPr>
                <w:rFonts w:ascii="Times New Roman" w:hAnsi="Times New Roman"/>
                <w:b/>
                <w:sz w:val="24"/>
                <w:u w:val="single"/>
              </w:rPr>
              <w:t xml:space="preserve"> (DLOUHÉ A KRÁTKÉ)</w:t>
            </w:r>
          </w:p>
          <w:p w14:paraId="54C14D76" w14:textId="32F9EC29" w:rsidR="00C55547" w:rsidRPr="00045F71" w:rsidRDefault="00C55547" w:rsidP="004C445F">
            <w:pPr>
              <w:suppressAutoHyphens/>
              <w:rPr>
                <w:rStyle w:val="InstructionsTabelleText"/>
                <w:rFonts w:ascii="Times New Roman" w:hAnsi="Times New Roman"/>
                <w:sz w:val="24"/>
              </w:rPr>
            </w:pPr>
            <w:r w:rsidRPr="00045F71">
              <w:rPr>
                <w:rFonts w:ascii="Times New Roman" w:hAnsi="Times New Roman"/>
                <w:sz w:val="24"/>
              </w:rPr>
              <w:t>Články</w:t>
            </w:r>
            <w:r w:rsidRPr="00045F71">
              <w:rPr>
                <w:rStyle w:val="InstructionsTabelleText"/>
                <w:rFonts w:ascii="Times New Roman" w:hAnsi="Times New Roman"/>
                <w:sz w:val="24"/>
              </w:rPr>
              <w:t> 327, 328, 329 a 334</w:t>
            </w:r>
            <w:r w:rsidRPr="00045F71">
              <w:rPr>
                <w:rFonts w:ascii="Times New Roman" w:hAnsi="Times New Roman"/>
                <w:sz w:val="24"/>
              </w:rPr>
              <w:t xml:space="preserve"> nařízení (EU) č. 575/2013</w:t>
            </w:r>
            <w:r w:rsidRPr="00045F71">
              <w:rPr>
                <w:rStyle w:val="InstructionsTabelleText"/>
                <w:rFonts w:ascii="Times New Roman" w:hAnsi="Times New Roman"/>
                <w:sz w:val="24"/>
              </w:rPr>
              <w:t>. Pro rozlišení mezi dlouhou a krátkou pozicí viz čl. 328 odst. 2</w:t>
            </w:r>
            <w:r w:rsidRPr="00045F71">
              <w:rPr>
                <w:rFonts w:ascii="Times New Roman" w:hAnsi="Times New Roman"/>
                <w:sz w:val="24"/>
              </w:rPr>
              <w:t xml:space="preserve"> uvedeného nařízení</w:t>
            </w:r>
            <w:r w:rsidRPr="00045F71">
              <w:rPr>
                <w:rStyle w:val="InstructionsTabelleText"/>
                <w:rFonts w:ascii="Times New Roman" w:hAnsi="Times New Roman"/>
                <w:sz w:val="24"/>
              </w:rPr>
              <w:t>.</w:t>
            </w:r>
          </w:p>
        </w:tc>
      </w:tr>
      <w:tr w:rsidR="00C55547" w:rsidRPr="00045F71" w14:paraId="0BDF729C" w14:textId="77777777" w:rsidTr="000911FE">
        <w:tc>
          <w:tcPr>
            <w:tcW w:w="1413" w:type="dxa"/>
          </w:tcPr>
          <w:p w14:paraId="324A2BB6"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0061–0104</w:t>
            </w:r>
          </w:p>
        </w:tc>
        <w:tc>
          <w:tcPr>
            <w:tcW w:w="7605" w:type="dxa"/>
          </w:tcPr>
          <w:p w14:paraId="627BB4B0"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ROZČLENĚNÍ ČISTÝCH POZIC PODLE RIZIKOVÝCH VAH</w:t>
            </w:r>
          </w:p>
          <w:p w14:paraId="3ECFC065" w14:textId="41D71775" w:rsidR="00C3548F" w:rsidRPr="00045F71" w:rsidRDefault="00C55547" w:rsidP="004C445F">
            <w:pPr>
              <w:suppressAutoHyphens/>
              <w:rPr>
                <w:rStyle w:val="InstructionsTabelleText"/>
                <w:rFonts w:ascii="Times New Roman" w:hAnsi="Times New Roman"/>
                <w:sz w:val="24"/>
              </w:rPr>
            </w:pPr>
            <w:r w:rsidRPr="00045F71">
              <w:rPr>
                <w:rStyle w:val="InstructionsTabelleText"/>
                <w:rFonts w:ascii="Times New Roman" w:hAnsi="Times New Roman"/>
                <w:sz w:val="24"/>
              </w:rPr>
              <w:lastRenderedPageBreak/>
              <w:t xml:space="preserve">Články 259 až 262, článek 263 tabulky 1 a 2, článek 264 tabulky 3 a 4 a článek 266 </w:t>
            </w:r>
            <w:r w:rsidRPr="00045F71">
              <w:rPr>
                <w:rFonts w:ascii="Times New Roman" w:hAnsi="Times New Roman"/>
                <w:sz w:val="24"/>
              </w:rPr>
              <w:t>nařízení (EU) č. 575/2013</w:t>
            </w:r>
            <w:r w:rsidRPr="00045F71">
              <w:rPr>
                <w:rStyle w:val="InstructionsTabelleText"/>
                <w:rFonts w:ascii="Times New Roman" w:hAnsi="Times New Roman"/>
                <w:sz w:val="24"/>
              </w:rPr>
              <w:t xml:space="preserve">. </w:t>
            </w:r>
          </w:p>
          <w:p w14:paraId="4314B137" w14:textId="77777777" w:rsidR="00C55547" w:rsidRPr="00045F71" w:rsidRDefault="00C55547" w:rsidP="004C445F">
            <w:pPr>
              <w:suppressAutoHyphens/>
              <w:rPr>
                <w:rStyle w:val="InstructionsTabelleText"/>
                <w:rFonts w:ascii="Times New Roman" w:hAnsi="Times New Roman"/>
                <w:sz w:val="24"/>
              </w:rPr>
            </w:pPr>
            <w:r w:rsidRPr="00045F71">
              <w:rPr>
                <w:rStyle w:val="InstructionsTabelleText"/>
                <w:rFonts w:ascii="Times New Roman" w:hAnsi="Times New Roman"/>
                <w:sz w:val="24"/>
              </w:rPr>
              <w:t>Rozčlenění musí být provedeno zvlášť pro dlouhé a pro krátké pozice.</w:t>
            </w:r>
          </w:p>
        </w:tc>
      </w:tr>
      <w:tr w:rsidR="00C55547" w:rsidRPr="00045F71" w14:paraId="2A20E80A" w14:textId="77777777" w:rsidTr="000911FE">
        <w:tc>
          <w:tcPr>
            <w:tcW w:w="1413" w:type="dxa"/>
          </w:tcPr>
          <w:p w14:paraId="163C862B"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0402–0406</w:t>
            </w:r>
          </w:p>
        </w:tc>
        <w:tc>
          <w:tcPr>
            <w:tcW w:w="7605" w:type="dxa"/>
          </w:tcPr>
          <w:p w14:paraId="2AF3DBA4"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ROZČLENĚNÍ ČISTÝCH POZIC PODLE METOD</w:t>
            </w:r>
          </w:p>
          <w:p w14:paraId="683DE902" w14:textId="55DF04AD" w:rsidR="00C55547" w:rsidRPr="00045F71" w:rsidRDefault="00C55547" w:rsidP="004C445F">
            <w:pPr>
              <w:suppressAutoHyphens/>
              <w:rPr>
                <w:rFonts w:ascii="Times New Roman" w:hAnsi="Times New Roman"/>
                <w:b/>
                <w:bCs/>
                <w:sz w:val="24"/>
                <w:u w:val="single"/>
              </w:rPr>
            </w:pPr>
            <w:r w:rsidRPr="00045F71">
              <w:rPr>
                <w:rFonts w:ascii="Times New Roman" w:hAnsi="Times New Roman"/>
                <w:sz w:val="24"/>
              </w:rPr>
              <w:t>Článek</w:t>
            </w:r>
            <w:r w:rsidRPr="00045F71">
              <w:rPr>
                <w:rStyle w:val="InstructionsTabelleText"/>
                <w:rFonts w:ascii="Times New Roman" w:hAnsi="Times New Roman"/>
                <w:sz w:val="24"/>
              </w:rPr>
              <w:t> 254</w:t>
            </w:r>
            <w:r w:rsidRPr="00045F71">
              <w:rPr>
                <w:rFonts w:ascii="Times New Roman" w:hAnsi="Times New Roman"/>
                <w:sz w:val="24"/>
              </w:rPr>
              <w:t xml:space="preserve"> nařízení (EU) č. 575/2013</w:t>
            </w:r>
            <w:r w:rsidRPr="00045F71">
              <w:rPr>
                <w:rStyle w:val="InstructionsTabelleText"/>
                <w:rFonts w:ascii="Times New Roman" w:hAnsi="Times New Roman"/>
                <w:sz w:val="24"/>
              </w:rPr>
              <w:t xml:space="preserve"> </w:t>
            </w:r>
          </w:p>
        </w:tc>
      </w:tr>
      <w:tr w:rsidR="00C55547" w:rsidRPr="00045F71" w14:paraId="6061874B" w14:textId="77777777" w:rsidTr="000911FE">
        <w:tc>
          <w:tcPr>
            <w:tcW w:w="1413" w:type="dxa"/>
          </w:tcPr>
          <w:p w14:paraId="4B729A34"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0402</w:t>
            </w:r>
          </w:p>
        </w:tc>
        <w:tc>
          <w:tcPr>
            <w:tcW w:w="7605" w:type="dxa"/>
          </w:tcPr>
          <w:p w14:paraId="06929D2D"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SEC-IRBA</w:t>
            </w:r>
          </w:p>
          <w:p w14:paraId="41A48A7C" w14:textId="67C34C11" w:rsidR="00C55547" w:rsidRPr="00045F71" w:rsidRDefault="00C55547" w:rsidP="004C445F">
            <w:pPr>
              <w:suppressAutoHyphens/>
              <w:rPr>
                <w:rFonts w:ascii="Times New Roman" w:hAnsi="Times New Roman"/>
                <w:b/>
                <w:bCs/>
                <w:sz w:val="24"/>
                <w:u w:val="single"/>
              </w:rPr>
            </w:pPr>
            <w:r w:rsidRPr="00045F71">
              <w:rPr>
                <w:rStyle w:val="InstructionsTabelleText"/>
                <w:rFonts w:ascii="Times New Roman" w:hAnsi="Times New Roman"/>
                <w:sz w:val="24"/>
              </w:rPr>
              <w:t>Články 259 a 260</w:t>
            </w:r>
            <w:r w:rsidRPr="00045F71">
              <w:rPr>
                <w:rFonts w:ascii="Times New Roman" w:hAnsi="Times New Roman"/>
                <w:sz w:val="24"/>
              </w:rPr>
              <w:t xml:space="preserve"> nařízení (EU) č. 575/2013</w:t>
            </w:r>
          </w:p>
        </w:tc>
      </w:tr>
      <w:tr w:rsidR="00C55547" w:rsidRPr="00045F71" w14:paraId="16BB3DCB" w14:textId="77777777" w:rsidTr="000911FE">
        <w:tc>
          <w:tcPr>
            <w:tcW w:w="1413" w:type="dxa"/>
          </w:tcPr>
          <w:p w14:paraId="189036B1"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0403</w:t>
            </w:r>
          </w:p>
        </w:tc>
        <w:tc>
          <w:tcPr>
            <w:tcW w:w="7605" w:type="dxa"/>
          </w:tcPr>
          <w:p w14:paraId="6F8EF419"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SEC-SA</w:t>
            </w:r>
          </w:p>
          <w:p w14:paraId="5A374E14" w14:textId="4A4A259B" w:rsidR="00C55547" w:rsidRPr="00045F71" w:rsidRDefault="00C55547" w:rsidP="004C445F">
            <w:pPr>
              <w:suppressAutoHyphens/>
              <w:autoSpaceDE w:val="0"/>
              <w:autoSpaceDN w:val="0"/>
              <w:adjustRightInd w:val="0"/>
              <w:jc w:val="left"/>
              <w:rPr>
                <w:rFonts w:ascii="Times New Roman" w:hAnsi="Times New Roman"/>
                <w:b/>
                <w:bCs/>
                <w:sz w:val="24"/>
                <w:u w:val="single"/>
              </w:rPr>
            </w:pPr>
            <w:r w:rsidRPr="00045F71">
              <w:rPr>
                <w:rStyle w:val="InstructionsTabelleText"/>
                <w:rFonts w:ascii="Times New Roman" w:hAnsi="Times New Roman"/>
                <w:sz w:val="24"/>
              </w:rPr>
              <w:t>Články 261 a 262</w:t>
            </w:r>
            <w:r w:rsidRPr="00045F71">
              <w:rPr>
                <w:rFonts w:ascii="Times New Roman" w:hAnsi="Times New Roman"/>
                <w:sz w:val="24"/>
              </w:rPr>
              <w:t xml:space="preserve"> nařízení (EU) č. 575/2013</w:t>
            </w:r>
          </w:p>
        </w:tc>
      </w:tr>
      <w:tr w:rsidR="00C55547" w:rsidRPr="00045F71" w14:paraId="0B1E8511" w14:textId="77777777" w:rsidTr="000911FE">
        <w:tc>
          <w:tcPr>
            <w:tcW w:w="1413" w:type="dxa"/>
          </w:tcPr>
          <w:p w14:paraId="283E5722"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0404</w:t>
            </w:r>
          </w:p>
        </w:tc>
        <w:tc>
          <w:tcPr>
            <w:tcW w:w="7605" w:type="dxa"/>
          </w:tcPr>
          <w:p w14:paraId="7AA18AA4"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SEC-ERBA</w:t>
            </w:r>
          </w:p>
          <w:p w14:paraId="2250A6DF" w14:textId="199187B3" w:rsidR="00C55547" w:rsidRPr="00045F71" w:rsidRDefault="00C55547" w:rsidP="004C445F">
            <w:pPr>
              <w:suppressAutoHyphens/>
              <w:rPr>
                <w:rFonts w:ascii="Times New Roman" w:hAnsi="Times New Roman"/>
                <w:b/>
                <w:bCs/>
                <w:sz w:val="24"/>
                <w:u w:val="single"/>
              </w:rPr>
            </w:pPr>
            <w:r w:rsidRPr="00045F71">
              <w:rPr>
                <w:rStyle w:val="InstructionsTabelleText"/>
                <w:rFonts w:ascii="Times New Roman" w:hAnsi="Times New Roman"/>
                <w:sz w:val="24"/>
              </w:rPr>
              <w:t>Články 263 a 264</w:t>
            </w:r>
            <w:r w:rsidRPr="00045F71">
              <w:rPr>
                <w:rFonts w:ascii="Times New Roman" w:hAnsi="Times New Roman"/>
                <w:sz w:val="24"/>
              </w:rPr>
              <w:t xml:space="preserve"> nařízení (EU) č. 575/2013</w:t>
            </w:r>
          </w:p>
        </w:tc>
      </w:tr>
      <w:tr w:rsidR="00C55547" w:rsidRPr="00045F71" w14:paraId="76051CC7" w14:textId="77777777" w:rsidTr="000911FE">
        <w:tc>
          <w:tcPr>
            <w:tcW w:w="1413" w:type="dxa"/>
          </w:tcPr>
          <w:p w14:paraId="2CE39EAA"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0405</w:t>
            </w:r>
          </w:p>
        </w:tc>
        <w:tc>
          <w:tcPr>
            <w:tcW w:w="7605" w:type="dxa"/>
          </w:tcPr>
          <w:p w14:paraId="334AB028"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METODA INTERNÍHO HODNOCENÍ</w:t>
            </w:r>
          </w:p>
          <w:p w14:paraId="5354C48C" w14:textId="38E5A78D" w:rsidR="00C55547" w:rsidRPr="00045F71" w:rsidRDefault="00C55547" w:rsidP="004C445F">
            <w:pPr>
              <w:suppressAutoHyphens/>
              <w:rPr>
                <w:rFonts w:ascii="Times New Roman" w:hAnsi="Times New Roman"/>
                <w:bCs/>
                <w:sz w:val="24"/>
                <w:u w:val="single"/>
              </w:rPr>
            </w:pPr>
            <w:r w:rsidRPr="00045F71">
              <w:rPr>
                <w:rStyle w:val="InstructionsTabelleText"/>
                <w:rFonts w:ascii="Times New Roman" w:hAnsi="Times New Roman"/>
                <w:sz w:val="24"/>
              </w:rPr>
              <w:t>Ustanovení článků 254 a 265 a čl. 266 odst. 5</w:t>
            </w:r>
            <w:r w:rsidRPr="00045F71">
              <w:rPr>
                <w:rFonts w:ascii="Times New Roman" w:hAnsi="Times New Roman"/>
                <w:sz w:val="24"/>
              </w:rPr>
              <w:t xml:space="preserve"> nařízení (EU) č. 575/2013</w:t>
            </w:r>
            <w:r w:rsidRPr="00045F71">
              <w:rPr>
                <w:rStyle w:val="InstructionsTabelleText"/>
                <w:rFonts w:ascii="Times New Roman" w:hAnsi="Times New Roman"/>
                <w:sz w:val="24"/>
              </w:rPr>
              <w:t>.</w:t>
            </w:r>
          </w:p>
        </w:tc>
      </w:tr>
      <w:tr w:rsidR="0033476C" w:rsidRPr="00045F71" w14:paraId="00803C23" w14:textId="77777777" w:rsidTr="000911FE">
        <w:tc>
          <w:tcPr>
            <w:tcW w:w="1413" w:type="dxa"/>
          </w:tcPr>
          <w:p w14:paraId="6969B7D6" w14:textId="7D0DF91C" w:rsidR="0033476C" w:rsidRPr="00045F71" w:rsidRDefault="0033476C"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0900</w:t>
            </w:r>
          </w:p>
        </w:tc>
        <w:tc>
          <w:tcPr>
            <w:tcW w:w="7605" w:type="dxa"/>
          </w:tcPr>
          <w:p w14:paraId="1E2E9907" w14:textId="3152DD84" w:rsidR="0033476C" w:rsidRPr="00045F71" w:rsidRDefault="0033476C" w:rsidP="004C445F">
            <w:pPr>
              <w:suppressAutoHyphens/>
              <w:spacing w:before="0" w:after="0"/>
              <w:jc w:val="left"/>
              <w:rPr>
                <w:rFonts w:ascii="Times New Roman" w:hAnsi="Times New Roman"/>
                <w:b/>
                <w:sz w:val="24"/>
                <w:u w:val="single"/>
              </w:rPr>
            </w:pPr>
            <w:r w:rsidRPr="00045F71">
              <w:rPr>
                <w:rFonts w:ascii="Times New Roman" w:hAnsi="Times New Roman"/>
                <w:b/>
                <w:sz w:val="24"/>
                <w:u w:val="single"/>
              </w:rPr>
              <w:t>ZVLÁŠTNÍ ZACHÁZENÍ S PŘEDNOSTNÍMI TRANŠEMI KVALIFIKOVANÝCH SEKURITIZACÍ NEVÝKONNÝCH EXPOZIC</w:t>
            </w:r>
          </w:p>
          <w:p w14:paraId="17BE744C" w14:textId="40B8EA94" w:rsidR="0033476C" w:rsidRPr="00045F71" w:rsidRDefault="0033476C" w:rsidP="004C445F">
            <w:pPr>
              <w:suppressAutoHyphens/>
              <w:rPr>
                <w:rFonts w:ascii="Times New Roman" w:hAnsi="Times New Roman"/>
                <w:b/>
                <w:bCs/>
                <w:sz w:val="24"/>
                <w:u w:val="single"/>
              </w:rPr>
            </w:pPr>
            <w:r w:rsidRPr="00045F71">
              <w:rPr>
                <w:rFonts w:ascii="Times New Roman" w:hAnsi="Times New Roman"/>
                <w:sz w:val="24"/>
              </w:rPr>
              <w:t>Ustanovení čl. 269a odst. 3 nařízení (EU) č. 575/2013</w:t>
            </w:r>
          </w:p>
        </w:tc>
      </w:tr>
      <w:tr w:rsidR="00C55547" w:rsidRPr="00045F71" w14:paraId="05BEB883" w14:textId="77777777" w:rsidTr="000911FE">
        <w:tc>
          <w:tcPr>
            <w:tcW w:w="1413" w:type="dxa"/>
          </w:tcPr>
          <w:p w14:paraId="3D2DEA0A"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0406</w:t>
            </w:r>
          </w:p>
        </w:tc>
        <w:tc>
          <w:tcPr>
            <w:tcW w:w="7605" w:type="dxa"/>
          </w:tcPr>
          <w:p w14:paraId="25786344" w14:textId="4EFB7A5E"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OSTATNÍ (RW = 1 250 %)</w:t>
            </w:r>
          </w:p>
          <w:p w14:paraId="1684F52F" w14:textId="43F3FE5E" w:rsidR="00C55547" w:rsidRPr="00045F71" w:rsidRDefault="00C55547" w:rsidP="004C445F">
            <w:pPr>
              <w:suppressAutoHyphens/>
              <w:rPr>
                <w:rFonts w:ascii="Times New Roman" w:hAnsi="Times New Roman"/>
                <w:b/>
                <w:bCs/>
                <w:sz w:val="24"/>
                <w:u w:val="single"/>
              </w:rPr>
            </w:pPr>
            <w:r w:rsidRPr="00045F71">
              <w:rPr>
                <w:rStyle w:val="InstructionsTabelleText"/>
                <w:rFonts w:ascii="Times New Roman" w:hAnsi="Times New Roman"/>
                <w:sz w:val="24"/>
              </w:rPr>
              <w:t xml:space="preserve">Ustanovení čl. 254 odst. 7 </w:t>
            </w:r>
            <w:r w:rsidRPr="00045F71">
              <w:rPr>
                <w:rFonts w:ascii="Times New Roman" w:hAnsi="Times New Roman"/>
                <w:sz w:val="24"/>
              </w:rPr>
              <w:t>nařízení (EU) č. 575/2013</w:t>
            </w:r>
          </w:p>
        </w:tc>
      </w:tr>
      <w:tr w:rsidR="00C55547" w:rsidRPr="00045F71" w14:paraId="11316298" w14:textId="77777777" w:rsidTr="000911FE">
        <w:tc>
          <w:tcPr>
            <w:tcW w:w="1413" w:type="dxa"/>
          </w:tcPr>
          <w:p w14:paraId="00B9220E"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0530–0540</w:t>
            </w:r>
          </w:p>
        </w:tc>
        <w:tc>
          <w:tcPr>
            <w:tcW w:w="7605" w:type="dxa"/>
          </w:tcPr>
          <w:p w14:paraId="595C29DB"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CELKOVÝ DOPAD (ÚPRAVA) V DŮSLEDKU PORUŠENÍ KAPITOLY 2 NAŘÍZENÍ (EU) 2017/2402</w:t>
            </w:r>
          </w:p>
          <w:p w14:paraId="3FBEAE4C" w14:textId="027236BE" w:rsidR="00C55547" w:rsidRPr="00045F71" w:rsidRDefault="00C55547" w:rsidP="004C445F">
            <w:pPr>
              <w:suppressAutoHyphens/>
              <w:rPr>
                <w:rFonts w:ascii="Times New Roman" w:hAnsi="Times New Roman"/>
                <w:b/>
                <w:bCs/>
                <w:sz w:val="24"/>
                <w:u w:val="single"/>
              </w:rPr>
            </w:pPr>
            <w:r w:rsidRPr="00045F71">
              <w:rPr>
                <w:rStyle w:val="InstructionsTabelleText"/>
                <w:rFonts w:ascii="Times New Roman" w:hAnsi="Times New Roman"/>
                <w:sz w:val="24"/>
              </w:rPr>
              <w:t xml:space="preserve">Článek 270a </w:t>
            </w:r>
            <w:r w:rsidRPr="00045F71">
              <w:rPr>
                <w:rFonts w:ascii="Times New Roman" w:hAnsi="Times New Roman"/>
                <w:sz w:val="24"/>
              </w:rPr>
              <w:t>nařízení (EU) č. 575/2013</w:t>
            </w:r>
          </w:p>
        </w:tc>
      </w:tr>
      <w:tr w:rsidR="00C55547" w:rsidRPr="00045F71" w14:paraId="2BA98A90" w14:textId="77777777" w:rsidTr="000911FE">
        <w:tc>
          <w:tcPr>
            <w:tcW w:w="1413" w:type="dxa"/>
          </w:tcPr>
          <w:p w14:paraId="2EA0118D"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0570</w:t>
            </w:r>
          </w:p>
        </w:tc>
        <w:tc>
          <w:tcPr>
            <w:tcW w:w="7605" w:type="dxa"/>
          </w:tcPr>
          <w:p w14:paraId="4DCE07C4"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 xml:space="preserve">PŘED UPLATNĚNÍM STROPU </w:t>
            </w:r>
          </w:p>
          <w:p w14:paraId="740CD739" w14:textId="54EB1279" w:rsidR="00C55547" w:rsidRPr="00045F71" w:rsidRDefault="00C55547" w:rsidP="004C445F">
            <w:pPr>
              <w:suppressAutoHyphens/>
              <w:rPr>
                <w:rFonts w:ascii="Times New Roman" w:hAnsi="Times New Roman"/>
                <w:bCs/>
                <w:sz w:val="24"/>
              </w:rPr>
            </w:pPr>
            <w:r w:rsidRPr="00045F71">
              <w:rPr>
                <w:rFonts w:ascii="Times New Roman" w:hAnsi="Times New Roman"/>
                <w:sz w:val="24"/>
              </w:rPr>
              <w:t>Článek 337 nařízení (EU) č. 575/2013 bez zohlednění možnosti podle článku 335 uvedeného nařízení, který instituci umožňuje stanovit strop pro součin příslušné váhy a čisté pozice ve výši maximální možné ztráty související s rizikem selhání.</w:t>
            </w:r>
          </w:p>
        </w:tc>
      </w:tr>
      <w:tr w:rsidR="00C55547" w:rsidRPr="00045F71" w14:paraId="247B0FB8" w14:textId="77777777" w:rsidTr="000911FE">
        <w:tc>
          <w:tcPr>
            <w:tcW w:w="1413" w:type="dxa"/>
          </w:tcPr>
          <w:p w14:paraId="22357CAC" w14:textId="77777777" w:rsidR="00C55547" w:rsidRPr="00045F71" w:rsidRDefault="00EE2CD5"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0601</w:t>
            </w:r>
          </w:p>
        </w:tc>
        <w:tc>
          <w:tcPr>
            <w:tcW w:w="7605" w:type="dxa"/>
          </w:tcPr>
          <w:p w14:paraId="78FC9B76"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 xml:space="preserve">KAPITÁLOVÉ POŽADAVKY PO UPLATNĚNÍ STROPU / CELKOVÉ </w:t>
            </w:r>
          </w:p>
          <w:p w14:paraId="0DE4FAED" w14:textId="59308D5D" w:rsidR="00C55547" w:rsidRPr="00045F71" w:rsidRDefault="00C55547" w:rsidP="004C445F">
            <w:pPr>
              <w:suppressAutoHyphens/>
              <w:rPr>
                <w:rFonts w:ascii="Times New Roman" w:hAnsi="Times New Roman"/>
                <w:bCs/>
                <w:sz w:val="24"/>
              </w:rPr>
            </w:pPr>
            <w:r w:rsidRPr="00045F71">
              <w:rPr>
                <w:rFonts w:ascii="Times New Roman" w:hAnsi="Times New Roman"/>
                <w:sz w:val="24"/>
              </w:rPr>
              <w:t xml:space="preserve">Článek 337 nařízení (EU) č. 575/2013 se zohledněním </w:t>
            </w:r>
            <w:r w:rsidRPr="00045F71">
              <w:rPr>
                <w:rStyle w:val="InstructionsTabelleText"/>
                <w:rFonts w:ascii="Times New Roman" w:hAnsi="Times New Roman"/>
                <w:sz w:val="24"/>
              </w:rPr>
              <w:t>možnosti</w:t>
            </w:r>
            <w:r w:rsidRPr="00045F71">
              <w:rPr>
                <w:rFonts w:ascii="Times New Roman" w:hAnsi="Times New Roman"/>
                <w:sz w:val="24"/>
              </w:rPr>
              <w:t xml:space="preserve"> uvedené v článku 335 zmíněného nařízení.</w:t>
            </w:r>
          </w:p>
        </w:tc>
      </w:tr>
    </w:tbl>
    <w:p w14:paraId="2016D379" w14:textId="77777777" w:rsidR="00C55547" w:rsidRPr="00045F71"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045F71" w14:paraId="02A9F41A" w14:textId="77777777" w:rsidTr="00E10B85">
        <w:trPr>
          <w:trHeight w:val="537"/>
        </w:trPr>
        <w:tc>
          <w:tcPr>
            <w:tcW w:w="8950" w:type="dxa"/>
            <w:gridSpan w:val="2"/>
            <w:shd w:val="clear" w:color="auto" w:fill="BFBFBF"/>
          </w:tcPr>
          <w:p w14:paraId="26BB8354" w14:textId="77777777" w:rsidR="00C55547" w:rsidRPr="00045F71" w:rsidRDefault="00C55547"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Řádky</w:t>
            </w:r>
          </w:p>
        </w:tc>
      </w:tr>
      <w:tr w:rsidR="00C55547" w:rsidRPr="00045F71" w14:paraId="32F42F75" w14:textId="77777777" w:rsidTr="000911FE">
        <w:tc>
          <w:tcPr>
            <w:tcW w:w="1413" w:type="dxa"/>
          </w:tcPr>
          <w:p w14:paraId="4D0640F7"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w:t>
            </w:r>
          </w:p>
        </w:tc>
        <w:tc>
          <w:tcPr>
            <w:tcW w:w="7537" w:type="dxa"/>
          </w:tcPr>
          <w:p w14:paraId="03F7346E" w14:textId="77777777" w:rsidR="00C55547" w:rsidRPr="00045F71" w:rsidRDefault="00C55547" w:rsidP="004C445F">
            <w:pPr>
              <w:suppressAutoHyphens/>
              <w:rPr>
                <w:rFonts w:ascii="Times New Roman" w:hAnsi="Times New Roman"/>
                <w:sz w:val="24"/>
              </w:rPr>
            </w:pPr>
            <w:r w:rsidRPr="00045F71">
              <w:rPr>
                <w:rStyle w:val="InstructionsTabelleberschrift"/>
                <w:rFonts w:ascii="Times New Roman" w:hAnsi="Times New Roman"/>
                <w:sz w:val="24"/>
              </w:rPr>
              <w:t>CELKOVÉ EXPOZICE</w:t>
            </w:r>
          </w:p>
          <w:p w14:paraId="3DA30B45" w14:textId="36AC07B8" w:rsidR="00C55547" w:rsidRPr="00045F71" w:rsidRDefault="00C55547" w:rsidP="004C445F">
            <w:pPr>
              <w:suppressAutoHyphens/>
              <w:autoSpaceDE w:val="0"/>
              <w:autoSpaceDN w:val="0"/>
              <w:adjustRightInd w:val="0"/>
              <w:spacing w:before="0" w:after="0"/>
              <w:rPr>
                <w:rFonts w:ascii="Times New Roman" w:hAnsi="Times New Roman"/>
                <w:sz w:val="24"/>
              </w:rPr>
            </w:pPr>
            <w:r w:rsidRPr="00045F71">
              <w:rPr>
                <w:rStyle w:val="InstructionsTabelleText"/>
                <w:rFonts w:ascii="Times New Roman" w:hAnsi="Times New Roman"/>
                <w:sz w:val="24"/>
              </w:rPr>
              <w:t>Celková výše nesplacených sekuritizací a resekuritizací (držených v obchodním portfoliu) vykazovaná institucí, která zastává úlohu/y původce nebo investora nebo sponzora.</w:t>
            </w:r>
          </w:p>
        </w:tc>
      </w:tr>
      <w:tr w:rsidR="00C55547" w:rsidRPr="00045F71" w14:paraId="21E51D59" w14:textId="77777777" w:rsidTr="000911FE">
        <w:tc>
          <w:tcPr>
            <w:tcW w:w="1413" w:type="dxa"/>
          </w:tcPr>
          <w:p w14:paraId="5CCD69BA"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0040, 0070 a 0100</w:t>
            </w:r>
          </w:p>
        </w:tc>
        <w:tc>
          <w:tcPr>
            <w:tcW w:w="7537" w:type="dxa"/>
          </w:tcPr>
          <w:p w14:paraId="4F5DF6AF"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SEKURITIZOVANÉ POZICE</w:t>
            </w:r>
          </w:p>
          <w:p w14:paraId="62CD89EA" w14:textId="30BF22B1" w:rsidR="00C55547" w:rsidRPr="00045F71" w:rsidRDefault="00532026" w:rsidP="004C445F">
            <w:pPr>
              <w:suppressAutoHyphens/>
              <w:autoSpaceDE w:val="0"/>
              <w:autoSpaceDN w:val="0"/>
              <w:adjustRightInd w:val="0"/>
              <w:spacing w:before="0" w:after="0"/>
              <w:rPr>
                <w:rFonts w:ascii="Times New Roman" w:hAnsi="Times New Roman"/>
                <w:bCs/>
                <w:sz w:val="24"/>
              </w:rPr>
            </w:pPr>
            <w:r w:rsidRPr="00045F71">
              <w:rPr>
                <w:rFonts w:ascii="Times New Roman" w:hAnsi="Times New Roman"/>
                <w:sz w:val="24"/>
              </w:rPr>
              <w:t xml:space="preserve"> Ustanovení čl. 4 odst. 1 bodu 62 nařízení (EU) č. 575/2013.</w:t>
            </w:r>
          </w:p>
          <w:p w14:paraId="0230B6E5" w14:textId="77777777" w:rsidR="00C55547" w:rsidRPr="00045F71"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045F71" w14:paraId="4D9AAB18" w14:textId="77777777" w:rsidTr="000911FE">
        <w:tc>
          <w:tcPr>
            <w:tcW w:w="1413" w:type="dxa"/>
          </w:tcPr>
          <w:p w14:paraId="6DA3B4FA"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0020, 0050, 0080 a 0110</w:t>
            </w:r>
          </w:p>
        </w:tc>
        <w:tc>
          <w:tcPr>
            <w:tcW w:w="7537" w:type="dxa"/>
          </w:tcPr>
          <w:p w14:paraId="3C62BCE7"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RESEKURITIZOVANÉ POZICE</w:t>
            </w:r>
          </w:p>
          <w:p w14:paraId="32F5BAEB" w14:textId="2FA2B3C6" w:rsidR="00C55547" w:rsidRPr="00045F71" w:rsidRDefault="00D24331" w:rsidP="004C445F">
            <w:pPr>
              <w:suppressAutoHyphens/>
              <w:autoSpaceDE w:val="0"/>
              <w:autoSpaceDN w:val="0"/>
              <w:adjustRightInd w:val="0"/>
              <w:spacing w:before="0" w:after="0"/>
              <w:rPr>
                <w:rFonts w:ascii="Times New Roman" w:hAnsi="Times New Roman"/>
                <w:bCs/>
                <w:sz w:val="24"/>
              </w:rPr>
            </w:pPr>
            <w:r w:rsidRPr="00045F71">
              <w:rPr>
                <w:rFonts w:ascii="Times New Roman" w:hAnsi="Times New Roman"/>
                <w:sz w:val="24"/>
              </w:rPr>
              <w:t>Ustanovení čl. 4 odst. 1 bodu 64 nařízení (EU) č. 575/2013</w:t>
            </w:r>
          </w:p>
          <w:p w14:paraId="18108A69" w14:textId="77777777" w:rsidR="00C55547" w:rsidRPr="00045F71"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045F71" w14:paraId="651A33F7" w14:textId="77777777" w:rsidTr="000911FE">
        <w:tc>
          <w:tcPr>
            <w:tcW w:w="1413" w:type="dxa"/>
          </w:tcPr>
          <w:p w14:paraId="41A2A677"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0041, 0071 a 0101</w:t>
            </w:r>
          </w:p>
        </w:tc>
        <w:tc>
          <w:tcPr>
            <w:tcW w:w="7537" w:type="dxa"/>
          </w:tcPr>
          <w:p w14:paraId="17D8E88B"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Z TOHO: ZPŮSOBILÉ PRO DIFERENCOVANÉ KAPITÁLOVÉ ZACHÁZENÍ</w:t>
            </w:r>
          </w:p>
          <w:p w14:paraId="775DD0A5" w14:textId="5E8A13EA" w:rsidR="00C55547" w:rsidRPr="00045F71" w:rsidRDefault="00C55547" w:rsidP="004C445F">
            <w:pPr>
              <w:suppressAutoHyphens/>
              <w:rPr>
                <w:rStyle w:val="InstructionsTabelleberschrift"/>
                <w:rFonts w:ascii="Times New Roman" w:hAnsi="Times New Roman"/>
                <w:sz w:val="24"/>
              </w:rPr>
            </w:pPr>
            <w:r w:rsidRPr="00045F71">
              <w:rPr>
                <w:rFonts w:ascii="Times New Roman" w:hAnsi="Times New Roman"/>
                <w:sz w:val="24"/>
              </w:rPr>
              <w:t xml:space="preserve">Celkový objem sekuritizovaných pozic, které splňují kritéria stanovená v článku 243 nebo 270 nařízení (EU) č. 575/2013, a tudíž jsou způsobilé pro diferencované kapitálové zacházení. </w:t>
            </w:r>
          </w:p>
        </w:tc>
      </w:tr>
      <w:tr w:rsidR="00C55547" w:rsidRPr="00045F71" w14:paraId="5FAF4052" w14:textId="77777777" w:rsidTr="000911FE">
        <w:tc>
          <w:tcPr>
            <w:tcW w:w="1413" w:type="dxa"/>
          </w:tcPr>
          <w:p w14:paraId="39486578"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0030–0050</w:t>
            </w:r>
          </w:p>
        </w:tc>
        <w:tc>
          <w:tcPr>
            <w:tcW w:w="7537" w:type="dxa"/>
          </w:tcPr>
          <w:p w14:paraId="29698529"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PŮVODCE</w:t>
            </w:r>
          </w:p>
          <w:p w14:paraId="50264432" w14:textId="0FD773BF" w:rsidR="00C55547" w:rsidRPr="00045F71" w:rsidRDefault="00D24331" w:rsidP="004C445F">
            <w:pPr>
              <w:suppressAutoHyphens/>
              <w:autoSpaceDE w:val="0"/>
              <w:autoSpaceDN w:val="0"/>
              <w:adjustRightInd w:val="0"/>
              <w:spacing w:before="0" w:after="0"/>
              <w:rPr>
                <w:rFonts w:ascii="Times New Roman" w:hAnsi="Times New Roman"/>
                <w:bCs/>
                <w:sz w:val="24"/>
              </w:rPr>
            </w:pPr>
            <w:r w:rsidRPr="00045F71">
              <w:rPr>
                <w:rFonts w:ascii="Times New Roman" w:hAnsi="Times New Roman"/>
                <w:sz w:val="24"/>
              </w:rPr>
              <w:t>Ustanovení čl. 4 odst. 1 bodu 13 nařízení (EU) č. 575/2013</w:t>
            </w:r>
          </w:p>
          <w:p w14:paraId="671304E2" w14:textId="77777777" w:rsidR="00C55547" w:rsidRPr="00045F71"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045F71" w14:paraId="1241B5AC" w14:textId="77777777" w:rsidTr="000911FE">
        <w:tc>
          <w:tcPr>
            <w:tcW w:w="1413" w:type="dxa"/>
          </w:tcPr>
          <w:p w14:paraId="61436B0B"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0060–0080</w:t>
            </w:r>
          </w:p>
        </w:tc>
        <w:tc>
          <w:tcPr>
            <w:tcW w:w="7537" w:type="dxa"/>
          </w:tcPr>
          <w:p w14:paraId="726E7C5B"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INVESTOR</w:t>
            </w:r>
          </w:p>
          <w:p w14:paraId="13A59676" w14:textId="722AE4F3" w:rsidR="00C55547" w:rsidRPr="00045F71" w:rsidRDefault="00C55547" w:rsidP="004C445F">
            <w:pPr>
              <w:suppressAutoHyphens/>
              <w:autoSpaceDE w:val="0"/>
              <w:autoSpaceDN w:val="0"/>
              <w:adjustRightInd w:val="0"/>
              <w:spacing w:before="0" w:after="0"/>
              <w:rPr>
                <w:rFonts w:ascii="Times New Roman" w:hAnsi="Times New Roman"/>
                <w:bCs/>
                <w:sz w:val="24"/>
              </w:rPr>
            </w:pPr>
            <w:r w:rsidRPr="00045F71">
              <w:rPr>
                <w:rFonts w:ascii="Times New Roman" w:hAnsi="Times New Roman"/>
                <w:sz w:val="24"/>
              </w:rPr>
              <w:t xml:space="preserve">Úvěrová instituce, která drží sekuritizovanou pozici v sekuritizaci, u níž není původcem, sponzorem ani původním věřitelem. </w:t>
            </w:r>
          </w:p>
          <w:p w14:paraId="5289F9D1" w14:textId="77777777" w:rsidR="00C55547" w:rsidRPr="00045F71"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045F71" w14:paraId="66D8A55A" w14:textId="77777777" w:rsidTr="000911FE">
        <w:tc>
          <w:tcPr>
            <w:tcW w:w="1413" w:type="dxa"/>
          </w:tcPr>
          <w:p w14:paraId="7DE34CCA"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0090–0110</w:t>
            </w:r>
          </w:p>
        </w:tc>
        <w:tc>
          <w:tcPr>
            <w:tcW w:w="7537" w:type="dxa"/>
          </w:tcPr>
          <w:p w14:paraId="1405E243"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SPONZOR</w:t>
            </w:r>
          </w:p>
          <w:p w14:paraId="40C5E800" w14:textId="57801E6F" w:rsidR="000242CC" w:rsidRPr="00045F71" w:rsidRDefault="00D24331" w:rsidP="004C445F">
            <w:pPr>
              <w:suppressAutoHyphens/>
              <w:autoSpaceDE w:val="0"/>
              <w:autoSpaceDN w:val="0"/>
              <w:adjustRightInd w:val="0"/>
              <w:spacing w:before="0" w:after="0"/>
              <w:rPr>
                <w:rStyle w:val="InstructionsTabelleText"/>
                <w:rFonts w:ascii="Times New Roman" w:hAnsi="Times New Roman"/>
                <w:sz w:val="24"/>
              </w:rPr>
            </w:pPr>
            <w:r w:rsidRPr="00045F71">
              <w:rPr>
                <w:rFonts w:ascii="Times New Roman" w:hAnsi="Times New Roman"/>
                <w:sz w:val="24"/>
              </w:rPr>
              <w:t>Ustanovení čl. 4 odst. 1 bodu 14 nařízení (EU) č. 575/2013</w:t>
            </w:r>
            <w:r w:rsidRPr="00045F71">
              <w:rPr>
                <w:rStyle w:val="InstructionsTabelleText"/>
                <w:rFonts w:ascii="Times New Roman" w:hAnsi="Times New Roman"/>
                <w:sz w:val="24"/>
              </w:rPr>
              <w:t xml:space="preserve">. </w:t>
            </w:r>
          </w:p>
          <w:p w14:paraId="036222AB" w14:textId="77777777" w:rsidR="00C55547" w:rsidRPr="00045F71" w:rsidRDefault="00532026" w:rsidP="004C445F">
            <w:pPr>
              <w:suppressAutoHyphens/>
              <w:autoSpaceDE w:val="0"/>
              <w:autoSpaceDN w:val="0"/>
              <w:adjustRightInd w:val="0"/>
              <w:spacing w:before="0" w:after="0"/>
              <w:rPr>
                <w:rStyle w:val="InstructionsTabelleText"/>
                <w:rFonts w:ascii="Times New Roman" w:hAnsi="Times New Roman"/>
                <w:sz w:val="24"/>
              </w:rPr>
            </w:pPr>
            <w:r w:rsidRPr="00045F71">
              <w:rPr>
                <w:rStyle w:val="InstructionsTabelleText"/>
                <w:rFonts w:ascii="Times New Roman" w:hAnsi="Times New Roman"/>
                <w:sz w:val="24"/>
              </w:rPr>
              <w:t>Sponzor, který sekuritizuje rovněž vlastní aktiva, v řádcích určených pro původce vyplní údaje týkající se vlastních sekuritizovaných aktiv.</w:t>
            </w:r>
          </w:p>
        </w:tc>
      </w:tr>
    </w:tbl>
    <w:p w14:paraId="2E044F08"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17314"/>
      <w:r w:rsidRPr="00045F71">
        <w:rPr>
          <w:rFonts w:ascii="Times New Roman" w:hAnsi="Times New Roman"/>
          <w:sz w:val="24"/>
          <w:u w:val="none"/>
        </w:rPr>
        <w:t>4.</w:t>
      </w:r>
      <w:r w:rsidRPr="00EF1542">
        <w:rPr>
          <w:u w:val="none"/>
        </w:rPr>
        <w:tab/>
      </w:r>
      <w:r w:rsidRPr="00045F71">
        <w:rPr>
          <w:rFonts w:ascii="Times New Roman" w:hAnsi="Times New Roman"/>
          <w:sz w:val="24"/>
        </w:rPr>
        <w:t>C 20.00 – TRŽNÍ RIZIKO: STANDARDIZOVANÝ PŘÍSTUP KE SPECIFICKÉMU RIZIKU U POZIC ZAŘAZENÝCH DO PORTFOLIA OBCHODOVÁNÍ S KORELACÍ (MKR SA CTP</w:t>
      </w:r>
      <w:bookmarkEnd w:id="73"/>
      <w:bookmarkEnd w:id="74"/>
      <w:bookmarkEnd w:id="75"/>
      <w:bookmarkEnd w:id="76"/>
      <w:r w:rsidRPr="00045F71">
        <w:rPr>
          <w:rFonts w:ascii="Times New Roman" w:hAnsi="Times New Roman"/>
          <w:sz w:val="24"/>
        </w:rPr>
        <w:t>)</w:t>
      </w:r>
      <w:bookmarkEnd w:id="77"/>
      <w:bookmarkEnd w:id="78"/>
      <w:bookmarkEnd w:id="79"/>
    </w:p>
    <w:p w14:paraId="43960D05" w14:textId="2D3382B7"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17315"/>
      <w:r w:rsidRPr="00045F71">
        <w:rPr>
          <w:rFonts w:ascii="Times New Roman" w:hAnsi="Times New Roman"/>
          <w:sz w:val="24"/>
          <w:u w:val="none"/>
        </w:rPr>
        <w:t>4.1</w:t>
      </w:r>
      <w:r w:rsidR="00EF1542">
        <w:rPr>
          <w:u w:val="none"/>
        </w:rPr>
        <w:tab/>
      </w:r>
      <w:r w:rsidR="00EF1542">
        <w:rPr>
          <w:u w:val="none"/>
        </w:rPr>
        <w:tab/>
      </w:r>
      <w:r w:rsidRPr="00045F71">
        <w:rPr>
          <w:rFonts w:ascii="Times New Roman" w:hAnsi="Times New Roman"/>
          <w:sz w:val="24"/>
        </w:rPr>
        <w:t>Obecné poznámky</w:t>
      </w:r>
      <w:bookmarkEnd w:id="80"/>
      <w:bookmarkEnd w:id="81"/>
      <w:bookmarkEnd w:id="82"/>
      <w:bookmarkEnd w:id="83"/>
      <w:bookmarkEnd w:id="84"/>
      <w:bookmarkEnd w:id="85"/>
      <w:bookmarkEnd w:id="86"/>
    </w:p>
    <w:p w14:paraId="6E7E4803" w14:textId="7EB80912" w:rsidR="00C55547" w:rsidRPr="00045F71"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rsidRPr="00045F71">
        <w:t>V této šabloně se vykazují údaje o pozicích zařazených do portfolia obchodování s korelací (patří sem sekuritizace, úvěrové deriváty n-tého selhání a další pozice v portfoliu obchodování s korelací zahrnuté podle čl. 338 odst. 3 nařízení (EU) č. 575/2013) a odpovídajících kapitálových požadavcích v rámci standardizovaného přístupu.</w:t>
      </w:r>
    </w:p>
    <w:p w14:paraId="7D9D9B10" w14:textId="1F1EFDEB" w:rsidR="00C55547" w:rsidRPr="00045F71" w:rsidRDefault="00C55547" w:rsidP="00E172EA">
      <w:pPr>
        <w:pStyle w:val="InstructionsText2"/>
        <w:numPr>
          <w:ilvl w:val="0"/>
          <w:numId w:val="29"/>
        </w:numPr>
        <w:suppressAutoHyphens/>
      </w:pPr>
      <w:r w:rsidRPr="00045F71">
        <w:t xml:space="preserve">V šabloně MKR SA CTP se uvádí kapitálový požadavek týkající se pouze specifického rizika pozic zařazených do portfolia obchodování s korelací podle článku 335 nařízení (EU) č. 575/2013 ve spojení s čl. 338 odst. 2 a 3 uvedeného nařízení. Jsou-li pozice v portfoliu obchodování s korelací zajištěny úvěrovými deriváty, uplatní se články 346 a 347 nařízení (EU) č. 575/2013. Pro všechny pozice portfolia obchodování s korelací v rámci obchodního portfolia existuje pouze jedna šablona, bez ohledu na přístup, který investiční podniky používají k určení rizikové váhy pro každou z pozic v souladu s částí třetí hlavou II </w:t>
      </w:r>
      <w:r w:rsidRPr="00045F71">
        <w:lastRenderedPageBreak/>
        <w:t>kapitolou 5 nařízení (EU) č. 575/2013. Kapitálové požadavky k obecnému riziku u těchto pozic se vykazují v šabloně MKR SA TDI nebo MKR IM.</w:t>
      </w:r>
    </w:p>
    <w:p w14:paraId="2252BE4F" w14:textId="4513CABA" w:rsidR="00C55547" w:rsidRPr="00045F71" w:rsidRDefault="00C55547" w:rsidP="00E172EA">
      <w:pPr>
        <w:pStyle w:val="InstructionsText2"/>
        <w:numPr>
          <w:ilvl w:val="0"/>
          <w:numId w:val="29"/>
        </w:numPr>
        <w:suppressAutoHyphens/>
      </w:pPr>
      <w:r w:rsidRPr="00045F71">
        <w:t xml:space="preserve">V této šabloně jsou odděleny sekuritizované pozice, úvěrové deriváty n-tého selhání a ostatní pozice v portfoliu obchodování s korelací. Sekuritizované pozice se vždy vykazují v řádcích 0030, 0060 nebo 0090 (v závislosti na úloze instituce v sekuritizaci). Úvěrové deriváty n-tého selhání se vždy vykazují v řádku 0110. „Ostatní pozice v portfoliu obchodování s korelací“ jsou pozice, které nejsou ani sekuritizovanými pozicemi, ani úvěrovými deriváty n-tého selhání (viz čl. 338 odst. 3 nařízení (EU) č. 575/2013), ale jsou výslovně „spojeny“ (kvůli zajišťovacímu záměru) s jednou z těchto dvou pozic. </w:t>
      </w:r>
    </w:p>
    <w:p w14:paraId="5B5B9C2A" w14:textId="127C8328" w:rsidR="00C55547" w:rsidRPr="00045F71" w:rsidRDefault="00C55547" w:rsidP="00E172EA">
      <w:pPr>
        <w:pStyle w:val="InstructionsText2"/>
        <w:numPr>
          <w:ilvl w:val="0"/>
          <w:numId w:val="29"/>
        </w:numPr>
        <w:suppressAutoHyphens/>
      </w:pPr>
      <w:r w:rsidRPr="00045F71">
        <w:t>Pozice, kterým je přiřazena riziková váha 1 250 %, lze alternativně odečíst od kmenového kapitálu tier 1 (viz čl. 244 odst. 1 písm. b), čl. 245 odst. 1 písm. b) a článek 253 nařízení (EU) č. 575/2013). Tyto pozice se vykazují v této šabloně, i když instituce využívá možnosti odpočtu.</w:t>
      </w:r>
    </w:p>
    <w:p w14:paraId="6482CB53" w14:textId="0439E046"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17316"/>
      <w:r w:rsidRPr="00045F71">
        <w:rPr>
          <w:rFonts w:ascii="Times New Roman" w:hAnsi="Times New Roman"/>
          <w:sz w:val="24"/>
          <w:u w:val="none"/>
        </w:rPr>
        <w:t>4.2</w:t>
      </w:r>
      <w:r w:rsidR="00EF1542">
        <w:rPr>
          <w:u w:val="none"/>
        </w:rPr>
        <w:tab/>
      </w:r>
      <w:r w:rsidR="00EF1542">
        <w:rPr>
          <w:u w:val="none"/>
        </w:rPr>
        <w:tab/>
      </w:r>
      <w:r w:rsidRPr="00045F71">
        <w:rPr>
          <w:rFonts w:ascii="Times New Roman" w:hAnsi="Times New Roman"/>
          <w:sz w:val="24"/>
        </w:rPr>
        <w:t>Pokyny pro konkrétní pozice</w:t>
      </w:r>
      <w:bookmarkEnd w:id="87"/>
      <w:bookmarkEnd w:id="88"/>
      <w:bookmarkEnd w:id="89"/>
      <w:bookmarkEnd w:id="90"/>
      <w:bookmarkEnd w:id="91"/>
      <w:bookmarkEnd w:id="92"/>
      <w:bookmarkEnd w:id="93"/>
    </w:p>
    <w:p w14:paraId="08BF27B7"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045F71" w14:paraId="05BDB97B" w14:textId="77777777" w:rsidTr="00E10B85">
        <w:trPr>
          <w:trHeight w:val="602"/>
        </w:trPr>
        <w:tc>
          <w:tcPr>
            <w:tcW w:w="8890" w:type="dxa"/>
            <w:gridSpan w:val="2"/>
            <w:shd w:val="clear" w:color="auto" w:fill="CCCCCC"/>
          </w:tcPr>
          <w:p w14:paraId="286354EC" w14:textId="77777777" w:rsidR="00C55547" w:rsidRPr="00045F71" w:rsidRDefault="00C55547"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Sloupce</w:t>
            </w:r>
          </w:p>
        </w:tc>
      </w:tr>
      <w:tr w:rsidR="00C55547" w:rsidRPr="00045F71" w14:paraId="697D3EB6" w14:textId="77777777" w:rsidTr="00E10B85">
        <w:tc>
          <w:tcPr>
            <w:tcW w:w="1016" w:type="dxa"/>
          </w:tcPr>
          <w:p w14:paraId="5A814BB2"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0010–0020</w:t>
            </w:r>
          </w:p>
        </w:tc>
        <w:tc>
          <w:tcPr>
            <w:tcW w:w="7874" w:type="dxa"/>
          </w:tcPr>
          <w:p w14:paraId="2D41C55B"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VŠECHNY POZICE (DLOUHÉ A KRÁTKÉ)</w:t>
            </w:r>
          </w:p>
          <w:p w14:paraId="4F3CF7CB" w14:textId="3DE2B427" w:rsidR="005C14B0" w:rsidRPr="00045F71" w:rsidRDefault="00C55547" w:rsidP="004C445F">
            <w:pPr>
              <w:suppressAutoHyphens/>
              <w:rPr>
                <w:rFonts w:ascii="Times New Roman" w:hAnsi="Times New Roman"/>
                <w:sz w:val="24"/>
              </w:rPr>
            </w:pPr>
            <w:r w:rsidRPr="00045F71">
              <w:rPr>
                <w:rFonts w:ascii="Times New Roman" w:hAnsi="Times New Roman"/>
                <w:sz w:val="24"/>
              </w:rPr>
              <w:t>Článek 102 a čl. 105 odst. 1 nařízení (EU) č. 575/2013 ve spojení s čl. 338 odst. 2 a 3 uvedeného nařízení (pozice zařazené do portfolia obchodování s korelací)</w:t>
            </w:r>
          </w:p>
          <w:p w14:paraId="70FB0860" w14:textId="54994400" w:rsidR="00C55547" w:rsidRPr="00045F71" w:rsidRDefault="00C55547" w:rsidP="004C445F">
            <w:pPr>
              <w:suppressAutoHyphens/>
              <w:rPr>
                <w:rFonts w:ascii="Times New Roman" w:hAnsi="Times New Roman"/>
                <w:sz w:val="24"/>
              </w:rPr>
            </w:pPr>
            <w:r w:rsidRPr="00045F71">
              <w:rPr>
                <w:rFonts w:ascii="Times New Roman" w:hAnsi="Times New Roman"/>
                <w:sz w:val="24"/>
              </w:rPr>
              <w:t>Pro rozlišení mezi dlouhými a krátkými pozicemi, které platí i pro tyto hrubé pozice, viz čl. 328 odst. 2 nařízení (EU) č. 575/2013.</w:t>
            </w:r>
          </w:p>
        </w:tc>
      </w:tr>
      <w:tr w:rsidR="00C55547" w:rsidRPr="00045F71" w14:paraId="3641769F" w14:textId="77777777" w:rsidTr="00E10B85">
        <w:tc>
          <w:tcPr>
            <w:tcW w:w="1016" w:type="dxa"/>
          </w:tcPr>
          <w:p w14:paraId="04DBC56E"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0030–0040</w:t>
            </w:r>
          </w:p>
        </w:tc>
        <w:tc>
          <w:tcPr>
            <w:tcW w:w="7874" w:type="dxa"/>
          </w:tcPr>
          <w:p w14:paraId="7E31C35B"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 POZICE ODEČTENÉ OD KAPITÁLU (DLOUHÉ A KRÁTKÉ)</w:t>
            </w:r>
          </w:p>
          <w:p w14:paraId="56207551" w14:textId="0069D39B" w:rsidR="00C55547" w:rsidRPr="00045F71" w:rsidRDefault="00C55547" w:rsidP="004C445F">
            <w:pPr>
              <w:suppressAutoHyphens/>
              <w:rPr>
                <w:rFonts w:ascii="Times New Roman" w:hAnsi="Times New Roman"/>
                <w:sz w:val="24"/>
              </w:rPr>
            </w:pPr>
            <w:r w:rsidRPr="00045F71">
              <w:rPr>
                <w:rFonts w:ascii="Times New Roman" w:hAnsi="Times New Roman"/>
                <w:sz w:val="24"/>
              </w:rPr>
              <w:t xml:space="preserve">Článek 253 nařízení (EU) č. 575/2013 </w:t>
            </w:r>
          </w:p>
        </w:tc>
      </w:tr>
      <w:tr w:rsidR="00C55547" w:rsidRPr="00045F71" w14:paraId="6E312180" w14:textId="77777777" w:rsidTr="00E10B85">
        <w:tc>
          <w:tcPr>
            <w:tcW w:w="1016" w:type="dxa"/>
          </w:tcPr>
          <w:p w14:paraId="08709592"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0050–0060</w:t>
            </w:r>
          </w:p>
        </w:tc>
        <w:tc>
          <w:tcPr>
            <w:tcW w:w="7874" w:type="dxa"/>
          </w:tcPr>
          <w:p w14:paraId="6226B36A"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ČISTÉ POZICE (DLOUHÉ A KRÁTKÉ)</w:t>
            </w:r>
          </w:p>
          <w:p w14:paraId="01BDDE40" w14:textId="76E789A7" w:rsidR="005C14B0" w:rsidRPr="00045F71" w:rsidRDefault="00C55547" w:rsidP="004C445F">
            <w:pPr>
              <w:suppressAutoHyphens/>
              <w:rPr>
                <w:rFonts w:ascii="Times New Roman" w:hAnsi="Times New Roman"/>
                <w:sz w:val="24"/>
              </w:rPr>
            </w:pPr>
            <w:r w:rsidRPr="00045F71">
              <w:rPr>
                <w:rFonts w:ascii="Times New Roman" w:hAnsi="Times New Roman"/>
                <w:sz w:val="24"/>
              </w:rPr>
              <w:t xml:space="preserve">Články 327, 328, 329 a 334 nařízení (EU) č. 575/2013 </w:t>
            </w:r>
          </w:p>
          <w:p w14:paraId="6C03F093" w14:textId="3D25FE7B" w:rsidR="00C55547" w:rsidRPr="00045F71" w:rsidRDefault="00C55547" w:rsidP="004C445F">
            <w:pPr>
              <w:suppressAutoHyphens/>
              <w:rPr>
                <w:rFonts w:ascii="Times New Roman" w:hAnsi="Times New Roman"/>
                <w:sz w:val="24"/>
              </w:rPr>
            </w:pPr>
            <w:r w:rsidRPr="00045F71">
              <w:rPr>
                <w:rFonts w:ascii="Times New Roman" w:hAnsi="Times New Roman"/>
                <w:sz w:val="24"/>
              </w:rPr>
              <w:t>Pro rozlišení mezi dlouhou a krátkou pozicí viz čl. 328 odst. 2 uvedeného nařízení.</w:t>
            </w:r>
          </w:p>
        </w:tc>
      </w:tr>
      <w:tr w:rsidR="00C55547" w:rsidRPr="00045F71" w14:paraId="6F83AB99" w14:textId="77777777" w:rsidTr="00E10B85">
        <w:tc>
          <w:tcPr>
            <w:tcW w:w="1016" w:type="dxa"/>
          </w:tcPr>
          <w:p w14:paraId="6DDF2435"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0071–0097</w:t>
            </w:r>
          </w:p>
        </w:tc>
        <w:tc>
          <w:tcPr>
            <w:tcW w:w="7874" w:type="dxa"/>
          </w:tcPr>
          <w:p w14:paraId="247CF712"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ROZČLENĚNÍ ČISTÝCH POZIC PODLE RIZIKOVÝCH VAH</w:t>
            </w:r>
          </w:p>
          <w:p w14:paraId="691F4414" w14:textId="75A08501" w:rsidR="00C55547" w:rsidRPr="00045F71" w:rsidRDefault="00133396" w:rsidP="004C445F">
            <w:pPr>
              <w:suppressAutoHyphens/>
              <w:rPr>
                <w:rFonts w:ascii="Times New Roman" w:hAnsi="Times New Roman"/>
                <w:sz w:val="24"/>
              </w:rPr>
            </w:pPr>
            <w:r w:rsidRPr="00045F71">
              <w:rPr>
                <w:rStyle w:val="InstructionsTabelleText"/>
                <w:rFonts w:ascii="Times New Roman" w:hAnsi="Times New Roman"/>
                <w:sz w:val="24"/>
              </w:rPr>
              <w:t>Články 259 až 262, článek 263 tabulky 1 a 2, článek 264 tabulky 3 a 4 a článek 266</w:t>
            </w:r>
            <w:r w:rsidRPr="00045F71">
              <w:rPr>
                <w:rFonts w:ascii="Times New Roman" w:hAnsi="Times New Roman"/>
                <w:sz w:val="24"/>
              </w:rPr>
              <w:t xml:space="preserve"> nařízení (EU) č. 575/2013</w:t>
            </w:r>
          </w:p>
        </w:tc>
      </w:tr>
      <w:tr w:rsidR="00C55547" w:rsidRPr="00045F71" w14:paraId="495D2FD0" w14:textId="77777777" w:rsidTr="00E10B85">
        <w:tc>
          <w:tcPr>
            <w:tcW w:w="1016" w:type="dxa"/>
          </w:tcPr>
          <w:p w14:paraId="295B01D9"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t>0402–0406</w:t>
            </w:r>
          </w:p>
        </w:tc>
        <w:tc>
          <w:tcPr>
            <w:tcW w:w="7874" w:type="dxa"/>
          </w:tcPr>
          <w:p w14:paraId="23629FA6" w14:textId="77777777" w:rsidR="00C55547" w:rsidRPr="00045F71" w:rsidRDefault="00543964"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ROZČLENĚNÍ ČISTÝCH POZIC PODLE METOD</w:t>
            </w:r>
          </w:p>
          <w:p w14:paraId="19937787" w14:textId="465ADE79" w:rsidR="00C55547" w:rsidRPr="00045F71" w:rsidRDefault="00C55547" w:rsidP="004C445F">
            <w:pPr>
              <w:suppressAutoHyphens/>
              <w:autoSpaceDE w:val="0"/>
              <w:autoSpaceDN w:val="0"/>
              <w:adjustRightInd w:val="0"/>
              <w:spacing w:before="0" w:after="0"/>
              <w:rPr>
                <w:rStyle w:val="InstructionsTabelleberschrift"/>
                <w:rFonts w:ascii="Times New Roman" w:hAnsi="Times New Roman"/>
                <w:sz w:val="24"/>
              </w:rPr>
            </w:pPr>
            <w:r w:rsidRPr="00045F71">
              <w:rPr>
                <w:rStyle w:val="InstructionsTabelleText"/>
                <w:rFonts w:ascii="Times New Roman" w:hAnsi="Times New Roman"/>
                <w:sz w:val="24"/>
              </w:rPr>
              <w:t xml:space="preserve">Článek 254 </w:t>
            </w:r>
            <w:r w:rsidRPr="00045F71">
              <w:rPr>
                <w:rFonts w:ascii="Times New Roman" w:hAnsi="Times New Roman"/>
                <w:sz w:val="24"/>
              </w:rPr>
              <w:t>nařízení (EU) č. 575/2013</w:t>
            </w:r>
            <w:r w:rsidRPr="00045F71">
              <w:rPr>
                <w:rStyle w:val="InstructionsTabelleText"/>
                <w:rFonts w:ascii="Times New Roman" w:hAnsi="Times New Roman"/>
                <w:sz w:val="24"/>
              </w:rPr>
              <w:t xml:space="preserve"> </w:t>
            </w:r>
          </w:p>
        </w:tc>
      </w:tr>
      <w:tr w:rsidR="00C55547" w:rsidRPr="00045F71" w14:paraId="18FE6247" w14:textId="77777777" w:rsidTr="00E10B85">
        <w:tc>
          <w:tcPr>
            <w:tcW w:w="1016" w:type="dxa"/>
          </w:tcPr>
          <w:p w14:paraId="17001A21"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t>0402</w:t>
            </w:r>
          </w:p>
        </w:tc>
        <w:tc>
          <w:tcPr>
            <w:tcW w:w="7874" w:type="dxa"/>
          </w:tcPr>
          <w:p w14:paraId="79F7161D"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SEC-IRBA</w:t>
            </w:r>
          </w:p>
          <w:p w14:paraId="1718443C" w14:textId="27159510" w:rsidR="00C55547" w:rsidRPr="00045F71" w:rsidRDefault="00C55547" w:rsidP="004C445F">
            <w:pPr>
              <w:suppressAutoHyphens/>
              <w:autoSpaceDE w:val="0"/>
              <w:autoSpaceDN w:val="0"/>
              <w:adjustRightInd w:val="0"/>
              <w:jc w:val="left"/>
              <w:rPr>
                <w:rStyle w:val="InstructionsTabelleberschrift"/>
                <w:rFonts w:ascii="Times New Roman" w:hAnsi="Times New Roman"/>
                <w:sz w:val="24"/>
              </w:rPr>
            </w:pPr>
            <w:r w:rsidRPr="00045F71">
              <w:rPr>
                <w:rStyle w:val="InstructionsTabelleText"/>
                <w:rFonts w:ascii="Times New Roman" w:hAnsi="Times New Roman"/>
                <w:sz w:val="24"/>
              </w:rPr>
              <w:t xml:space="preserve">Články 259 a 260 </w:t>
            </w:r>
            <w:r w:rsidRPr="00045F71">
              <w:rPr>
                <w:rFonts w:ascii="Times New Roman" w:hAnsi="Times New Roman"/>
                <w:sz w:val="24"/>
              </w:rPr>
              <w:t>nařízení (EU) č. 575/2013</w:t>
            </w:r>
          </w:p>
        </w:tc>
      </w:tr>
      <w:tr w:rsidR="00C55547" w:rsidRPr="00045F71" w14:paraId="35656008" w14:textId="77777777" w:rsidTr="00E10B85">
        <w:tc>
          <w:tcPr>
            <w:tcW w:w="1016" w:type="dxa"/>
          </w:tcPr>
          <w:p w14:paraId="720D0546"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lastRenderedPageBreak/>
              <w:t>0403</w:t>
            </w:r>
          </w:p>
        </w:tc>
        <w:tc>
          <w:tcPr>
            <w:tcW w:w="7874" w:type="dxa"/>
          </w:tcPr>
          <w:p w14:paraId="78903335"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SEC-SA</w:t>
            </w:r>
          </w:p>
          <w:p w14:paraId="4F095DEE" w14:textId="02044DC6" w:rsidR="00C55547" w:rsidRPr="00045F71" w:rsidRDefault="00C55547" w:rsidP="004C445F">
            <w:pPr>
              <w:suppressAutoHyphens/>
              <w:autoSpaceDE w:val="0"/>
              <w:autoSpaceDN w:val="0"/>
              <w:adjustRightInd w:val="0"/>
              <w:jc w:val="left"/>
              <w:rPr>
                <w:rStyle w:val="InstructionsTabelleberschrift"/>
                <w:rFonts w:ascii="Times New Roman" w:hAnsi="Times New Roman"/>
                <w:sz w:val="24"/>
              </w:rPr>
            </w:pPr>
            <w:r w:rsidRPr="00045F71">
              <w:rPr>
                <w:rStyle w:val="InstructionsTabelleText"/>
                <w:rFonts w:ascii="Times New Roman" w:hAnsi="Times New Roman"/>
                <w:sz w:val="24"/>
              </w:rPr>
              <w:t xml:space="preserve">Články 261 a 262 </w:t>
            </w:r>
            <w:r w:rsidRPr="00045F71">
              <w:rPr>
                <w:rFonts w:ascii="Times New Roman" w:hAnsi="Times New Roman"/>
                <w:sz w:val="24"/>
              </w:rPr>
              <w:t>nařízení (EU) č. 575/2013</w:t>
            </w:r>
          </w:p>
        </w:tc>
      </w:tr>
      <w:tr w:rsidR="00C55547" w:rsidRPr="00045F71" w14:paraId="7B54B7CF" w14:textId="77777777" w:rsidTr="00E10B85">
        <w:tc>
          <w:tcPr>
            <w:tcW w:w="1016" w:type="dxa"/>
          </w:tcPr>
          <w:p w14:paraId="0D21F451"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t>0404</w:t>
            </w:r>
          </w:p>
        </w:tc>
        <w:tc>
          <w:tcPr>
            <w:tcW w:w="7874" w:type="dxa"/>
          </w:tcPr>
          <w:p w14:paraId="6AA67FFF"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SEC-ERBA</w:t>
            </w:r>
          </w:p>
          <w:p w14:paraId="108938CD" w14:textId="7A2858ED" w:rsidR="00C55547" w:rsidRPr="00045F71" w:rsidRDefault="00C55547" w:rsidP="004C445F">
            <w:pPr>
              <w:suppressAutoHyphens/>
              <w:autoSpaceDE w:val="0"/>
              <w:autoSpaceDN w:val="0"/>
              <w:adjustRightInd w:val="0"/>
              <w:jc w:val="left"/>
              <w:rPr>
                <w:rStyle w:val="InstructionsTabelleberschrift"/>
                <w:rFonts w:ascii="Times New Roman" w:hAnsi="Times New Roman"/>
                <w:sz w:val="24"/>
              </w:rPr>
            </w:pPr>
            <w:r w:rsidRPr="00045F71">
              <w:rPr>
                <w:rStyle w:val="InstructionsTabelleText"/>
                <w:rFonts w:ascii="Times New Roman" w:hAnsi="Times New Roman"/>
                <w:sz w:val="24"/>
              </w:rPr>
              <w:t xml:space="preserve">Články 263 a 264 </w:t>
            </w:r>
            <w:r w:rsidRPr="00045F71">
              <w:rPr>
                <w:rFonts w:ascii="Times New Roman" w:hAnsi="Times New Roman"/>
                <w:sz w:val="24"/>
              </w:rPr>
              <w:t>nařízení (EU) č. 575/2013</w:t>
            </w:r>
          </w:p>
        </w:tc>
      </w:tr>
      <w:tr w:rsidR="00C55547" w:rsidRPr="00045F71" w14:paraId="7979A32D" w14:textId="77777777" w:rsidTr="00E10B85">
        <w:tc>
          <w:tcPr>
            <w:tcW w:w="1016" w:type="dxa"/>
          </w:tcPr>
          <w:p w14:paraId="7C1C67E6"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t>0405</w:t>
            </w:r>
          </w:p>
        </w:tc>
        <w:tc>
          <w:tcPr>
            <w:tcW w:w="7874" w:type="dxa"/>
          </w:tcPr>
          <w:p w14:paraId="68CACB61" w14:textId="77777777"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METODA INTERNÍHO HODNOCENÍ</w:t>
            </w:r>
          </w:p>
          <w:p w14:paraId="46E92693" w14:textId="2A1B6CC7" w:rsidR="00C55547" w:rsidRPr="00045F71" w:rsidRDefault="00C55547" w:rsidP="004C445F">
            <w:pPr>
              <w:suppressAutoHyphens/>
              <w:autoSpaceDE w:val="0"/>
              <w:autoSpaceDN w:val="0"/>
              <w:adjustRightInd w:val="0"/>
              <w:jc w:val="left"/>
              <w:rPr>
                <w:rStyle w:val="InstructionsTabelleberschrift"/>
                <w:rFonts w:ascii="Times New Roman" w:hAnsi="Times New Roman"/>
                <w:sz w:val="24"/>
              </w:rPr>
            </w:pPr>
            <w:r w:rsidRPr="00045F71">
              <w:rPr>
                <w:rStyle w:val="InstructionsTabelleText"/>
                <w:rFonts w:ascii="Times New Roman" w:hAnsi="Times New Roman"/>
                <w:sz w:val="24"/>
              </w:rPr>
              <w:t xml:space="preserve">Ustanovení článků 254 a 265 a čl. 266 odst. 5 </w:t>
            </w:r>
            <w:r w:rsidRPr="00045F71">
              <w:rPr>
                <w:rFonts w:ascii="Times New Roman" w:hAnsi="Times New Roman"/>
                <w:sz w:val="24"/>
              </w:rPr>
              <w:t>nařízení (EU) č. 575/2013.</w:t>
            </w:r>
          </w:p>
        </w:tc>
      </w:tr>
      <w:tr w:rsidR="00A97C62" w:rsidRPr="00045F71" w14:paraId="412C0D2A" w14:textId="77777777" w:rsidTr="00E10B85">
        <w:tc>
          <w:tcPr>
            <w:tcW w:w="1016" w:type="dxa"/>
          </w:tcPr>
          <w:p w14:paraId="184EAC6C" w14:textId="26696219" w:rsidR="00A97C62" w:rsidRPr="00045F71" w:rsidRDefault="00A97C62" w:rsidP="004C445F">
            <w:pPr>
              <w:suppressAutoHyphens/>
              <w:rPr>
                <w:rFonts w:ascii="Times New Roman" w:hAnsi="Times New Roman"/>
                <w:sz w:val="24"/>
              </w:rPr>
            </w:pPr>
            <w:r w:rsidRPr="00045F71">
              <w:rPr>
                <w:rFonts w:ascii="Times New Roman" w:hAnsi="Times New Roman"/>
                <w:sz w:val="24"/>
              </w:rPr>
              <w:t>0900</w:t>
            </w:r>
          </w:p>
        </w:tc>
        <w:tc>
          <w:tcPr>
            <w:tcW w:w="7874" w:type="dxa"/>
          </w:tcPr>
          <w:p w14:paraId="33E51780" w14:textId="77777777" w:rsidR="00A97C62" w:rsidRPr="00045F71" w:rsidRDefault="00A97C62" w:rsidP="004C445F">
            <w:pPr>
              <w:suppressAutoHyphens/>
              <w:spacing w:before="0" w:after="0"/>
              <w:jc w:val="left"/>
              <w:rPr>
                <w:rFonts w:ascii="Times New Roman" w:hAnsi="Times New Roman"/>
                <w:b/>
                <w:sz w:val="24"/>
                <w:u w:val="single"/>
              </w:rPr>
            </w:pPr>
            <w:r w:rsidRPr="00045F71">
              <w:rPr>
                <w:rFonts w:ascii="Times New Roman" w:hAnsi="Times New Roman"/>
                <w:b/>
                <w:sz w:val="24"/>
                <w:u w:val="single"/>
              </w:rPr>
              <w:t>ZVLÁŠTNÍ ZACHÁZENÍ S PŘEDNOSTNÍMI TRANŠEMI KVALIFIKOVANÝCH SEKURITIZACÍ NEVÝKONNÝCH EXPOZIC</w:t>
            </w:r>
          </w:p>
          <w:p w14:paraId="1D397AE3" w14:textId="76C348BD" w:rsidR="00A97C62" w:rsidRPr="00045F71" w:rsidRDefault="00A97C62" w:rsidP="004C445F">
            <w:pPr>
              <w:suppressAutoHyphens/>
              <w:autoSpaceDE w:val="0"/>
              <w:autoSpaceDN w:val="0"/>
              <w:adjustRightInd w:val="0"/>
              <w:jc w:val="left"/>
              <w:rPr>
                <w:rFonts w:ascii="Times New Roman" w:hAnsi="Times New Roman"/>
                <w:b/>
                <w:bCs/>
                <w:sz w:val="24"/>
                <w:u w:val="single"/>
              </w:rPr>
            </w:pPr>
            <w:r w:rsidRPr="00045F71">
              <w:rPr>
                <w:rFonts w:ascii="Times New Roman" w:hAnsi="Times New Roman"/>
                <w:sz w:val="24"/>
              </w:rPr>
              <w:t>Ustanovení</w:t>
            </w:r>
            <w:r w:rsidRPr="00045F71">
              <w:rPr>
                <w:rStyle w:val="InstructionsTabelleText"/>
                <w:rFonts w:ascii="Times New Roman" w:hAnsi="Times New Roman"/>
                <w:sz w:val="24"/>
              </w:rPr>
              <w:t xml:space="preserve"> čl. 269a</w:t>
            </w:r>
            <w:r w:rsidRPr="00045F71">
              <w:rPr>
                <w:rFonts w:ascii="Times New Roman" w:hAnsi="Times New Roman"/>
                <w:sz w:val="24"/>
              </w:rPr>
              <w:t xml:space="preserve"> odst. 3 nařízení (EU) č. 575/2013</w:t>
            </w:r>
          </w:p>
        </w:tc>
      </w:tr>
      <w:tr w:rsidR="00C55547" w:rsidRPr="00045F71" w14:paraId="5C0D49CC" w14:textId="77777777" w:rsidTr="00E10B85">
        <w:tc>
          <w:tcPr>
            <w:tcW w:w="1016" w:type="dxa"/>
          </w:tcPr>
          <w:p w14:paraId="4A75E404"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t>0406</w:t>
            </w:r>
          </w:p>
        </w:tc>
        <w:tc>
          <w:tcPr>
            <w:tcW w:w="7874" w:type="dxa"/>
          </w:tcPr>
          <w:p w14:paraId="27B9523C" w14:textId="26593451" w:rsidR="00C55547" w:rsidRPr="00045F71" w:rsidRDefault="00C55547"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OSTATNÍ (RW = 1 250 %)</w:t>
            </w:r>
          </w:p>
          <w:p w14:paraId="0B94870A" w14:textId="0A4BBAC5" w:rsidR="00C55547" w:rsidRPr="00045F71" w:rsidRDefault="00C55547" w:rsidP="004C445F">
            <w:pPr>
              <w:suppressAutoHyphens/>
              <w:autoSpaceDE w:val="0"/>
              <w:autoSpaceDN w:val="0"/>
              <w:adjustRightInd w:val="0"/>
              <w:jc w:val="left"/>
              <w:rPr>
                <w:rStyle w:val="InstructionsTabelleberschrift"/>
                <w:rFonts w:ascii="Times New Roman" w:hAnsi="Times New Roman"/>
                <w:sz w:val="24"/>
              </w:rPr>
            </w:pPr>
            <w:r w:rsidRPr="00045F71">
              <w:rPr>
                <w:rStyle w:val="InstructionsTabelleText"/>
                <w:rFonts w:ascii="Times New Roman" w:hAnsi="Times New Roman"/>
                <w:sz w:val="24"/>
              </w:rPr>
              <w:t xml:space="preserve">Ustanovení čl. 254 odst. 7 </w:t>
            </w:r>
            <w:r w:rsidRPr="00045F71">
              <w:rPr>
                <w:rFonts w:ascii="Times New Roman" w:hAnsi="Times New Roman"/>
                <w:sz w:val="24"/>
              </w:rPr>
              <w:t>nařízení (EU) č. 575/2013</w:t>
            </w:r>
          </w:p>
        </w:tc>
      </w:tr>
      <w:tr w:rsidR="00C55547" w:rsidRPr="00045F71" w14:paraId="16A48520" w14:textId="77777777" w:rsidTr="00E10B85">
        <w:tc>
          <w:tcPr>
            <w:tcW w:w="1016" w:type="dxa"/>
          </w:tcPr>
          <w:p w14:paraId="04D4F5AC"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t>0410–0420</w:t>
            </w:r>
          </w:p>
        </w:tc>
        <w:tc>
          <w:tcPr>
            <w:tcW w:w="7874" w:type="dxa"/>
          </w:tcPr>
          <w:p w14:paraId="78E183CC"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PŘED UPLATNĚNÍM STROPU – VÁŽENÉ ČISTÉ DLOUHÉ/KRÁTKÉ POZICE</w:t>
            </w:r>
          </w:p>
          <w:p w14:paraId="7E8A31C6" w14:textId="7928DA0B" w:rsidR="00C55547" w:rsidRPr="00045F71" w:rsidRDefault="00C55547" w:rsidP="004C445F">
            <w:pPr>
              <w:suppressAutoHyphens/>
              <w:rPr>
                <w:rFonts w:ascii="Times New Roman" w:hAnsi="Times New Roman"/>
                <w:sz w:val="24"/>
              </w:rPr>
            </w:pPr>
            <w:r w:rsidRPr="00045F71">
              <w:rPr>
                <w:rFonts w:ascii="Times New Roman" w:hAnsi="Times New Roman"/>
                <w:sz w:val="24"/>
              </w:rPr>
              <w:t xml:space="preserve">Článek 338 nařízení (EU) č. 575/2013 bez zohlednění možnosti uvedené v článku 335 uvedeného nařízení </w:t>
            </w:r>
          </w:p>
        </w:tc>
      </w:tr>
      <w:tr w:rsidR="00C55547" w:rsidRPr="00045F71" w14:paraId="566ACCB3" w14:textId="77777777" w:rsidTr="00E10B85">
        <w:tc>
          <w:tcPr>
            <w:tcW w:w="1016" w:type="dxa"/>
          </w:tcPr>
          <w:p w14:paraId="4093CA68"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t>0430–0440</w:t>
            </w:r>
          </w:p>
        </w:tc>
        <w:tc>
          <w:tcPr>
            <w:tcW w:w="7874" w:type="dxa"/>
          </w:tcPr>
          <w:p w14:paraId="00C8D0F3"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PO UPLATNĚNÍ STROPU – VÁŽENÉ ČISTÉ DLOUHÉ/KRÁTKÉ POZICE</w:t>
            </w:r>
          </w:p>
          <w:p w14:paraId="3304B399" w14:textId="2F41CA57" w:rsidR="00C55547" w:rsidRPr="00045F71" w:rsidRDefault="00C55547" w:rsidP="004C445F">
            <w:pPr>
              <w:suppressAutoHyphens/>
              <w:rPr>
                <w:rFonts w:ascii="Times New Roman" w:hAnsi="Times New Roman"/>
                <w:sz w:val="24"/>
              </w:rPr>
            </w:pPr>
            <w:r w:rsidRPr="00045F71">
              <w:rPr>
                <w:rFonts w:ascii="Times New Roman" w:hAnsi="Times New Roman"/>
                <w:sz w:val="24"/>
              </w:rPr>
              <w:t xml:space="preserve">Článek 338 nařízení (EU) č. 575/2013 se zohledněním možnosti uvedené v článku 335 uvedeného nařízení </w:t>
            </w:r>
          </w:p>
        </w:tc>
      </w:tr>
      <w:tr w:rsidR="00C55547" w:rsidRPr="00045F71" w14:paraId="23063B74" w14:textId="77777777" w:rsidTr="00E10B85">
        <w:tc>
          <w:tcPr>
            <w:tcW w:w="1016" w:type="dxa"/>
          </w:tcPr>
          <w:p w14:paraId="5A3BC562" w14:textId="77777777" w:rsidR="00C55547" w:rsidRPr="00045F71" w:rsidRDefault="002F79EA" w:rsidP="004C445F">
            <w:pPr>
              <w:suppressAutoHyphens/>
              <w:rPr>
                <w:rFonts w:ascii="Times New Roman" w:hAnsi="Times New Roman"/>
                <w:sz w:val="24"/>
              </w:rPr>
            </w:pPr>
            <w:r w:rsidRPr="00045F71">
              <w:rPr>
                <w:rFonts w:ascii="Times New Roman" w:hAnsi="Times New Roman"/>
                <w:sz w:val="24"/>
              </w:rPr>
              <w:t>0450</w:t>
            </w:r>
          </w:p>
        </w:tc>
        <w:tc>
          <w:tcPr>
            <w:tcW w:w="7874" w:type="dxa"/>
          </w:tcPr>
          <w:p w14:paraId="4210145F"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KAPITÁLOVÉ POŽADAVKY CELKEM</w:t>
            </w:r>
          </w:p>
          <w:p w14:paraId="58A6824C" w14:textId="7AE8FACA" w:rsidR="00733F21" w:rsidRPr="00045F71" w:rsidRDefault="00C55547" w:rsidP="004C445F">
            <w:pPr>
              <w:suppressAutoHyphens/>
              <w:rPr>
                <w:rFonts w:ascii="Times New Roman" w:hAnsi="Times New Roman"/>
                <w:sz w:val="24"/>
              </w:rPr>
            </w:pPr>
            <w:r w:rsidRPr="00045F71">
              <w:rPr>
                <w:rFonts w:ascii="Times New Roman" w:hAnsi="Times New Roman"/>
                <w:sz w:val="24"/>
              </w:rPr>
              <w:t>Kapitálový požadavek se stanoví jako vyšší z těchto hodnot:</w:t>
            </w:r>
          </w:p>
          <w:p w14:paraId="6F610485" w14:textId="33CC9A69" w:rsidR="00733F21" w:rsidRPr="00045F71" w:rsidRDefault="00A92865" w:rsidP="004C445F">
            <w:pPr>
              <w:suppressAutoHyphens/>
              <w:rPr>
                <w:rFonts w:ascii="Times New Roman" w:hAnsi="Times New Roman"/>
                <w:sz w:val="24"/>
              </w:rPr>
            </w:pPr>
            <w:r w:rsidRPr="00045F71">
              <w:rPr>
                <w:rFonts w:ascii="Times New Roman" w:hAnsi="Times New Roman"/>
                <w:sz w:val="24"/>
              </w:rPr>
              <w:t>a) požadavek ke specifickému riziku, který by se vztahoval pouze na čisté dlouhé pozice (sloupec 0430);</w:t>
            </w:r>
          </w:p>
          <w:p w14:paraId="7DEA5D32" w14:textId="370772D1" w:rsidR="00C55547" w:rsidRPr="00045F71" w:rsidRDefault="00A92865" w:rsidP="004C445F">
            <w:pPr>
              <w:suppressAutoHyphens/>
              <w:rPr>
                <w:rFonts w:ascii="Times New Roman" w:hAnsi="Times New Roman"/>
                <w:sz w:val="24"/>
              </w:rPr>
            </w:pPr>
            <w:r w:rsidRPr="00045F71">
              <w:rPr>
                <w:rFonts w:ascii="Times New Roman" w:hAnsi="Times New Roman"/>
                <w:sz w:val="24"/>
              </w:rPr>
              <w:t>b) požadavek ke specifickému riziku, který by se vztahoval pouze na čisté krátké pozice (sloupec 0440).</w:t>
            </w:r>
          </w:p>
        </w:tc>
      </w:tr>
      <w:tr w:rsidR="00A92865" w:rsidRPr="00045F71" w14:paraId="17D4431B" w14:textId="77777777" w:rsidTr="00E10B85">
        <w:tc>
          <w:tcPr>
            <w:tcW w:w="1016" w:type="dxa"/>
          </w:tcPr>
          <w:p w14:paraId="3DE8C69F" w14:textId="77777777" w:rsidR="00A92865" w:rsidRPr="00045F71" w:rsidRDefault="00A92865" w:rsidP="004C445F">
            <w:pPr>
              <w:suppressAutoHyphens/>
              <w:rPr>
                <w:rFonts w:ascii="Times New Roman" w:hAnsi="Times New Roman"/>
                <w:sz w:val="24"/>
              </w:rPr>
            </w:pPr>
          </w:p>
        </w:tc>
        <w:tc>
          <w:tcPr>
            <w:tcW w:w="7874" w:type="dxa"/>
          </w:tcPr>
          <w:p w14:paraId="26189336" w14:textId="77777777" w:rsidR="00A92865" w:rsidRPr="00045F71" w:rsidRDefault="00A92865" w:rsidP="004C445F">
            <w:pPr>
              <w:suppressAutoHyphens/>
              <w:rPr>
                <w:rStyle w:val="InstructionsTabelleberschrift"/>
                <w:rFonts w:ascii="Times New Roman" w:hAnsi="Times New Roman"/>
                <w:sz w:val="24"/>
              </w:rPr>
            </w:pPr>
          </w:p>
        </w:tc>
      </w:tr>
    </w:tbl>
    <w:p w14:paraId="4123A762" w14:textId="77777777" w:rsidR="00C55547" w:rsidRPr="00045F71"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045F71"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8058"/>
      </w:tblGrid>
      <w:tr w:rsidR="00C55547" w:rsidRPr="00045F71" w14:paraId="0C05A0C6" w14:textId="77777777" w:rsidTr="00E10B85">
        <w:trPr>
          <w:trHeight w:val="642"/>
        </w:trPr>
        <w:tc>
          <w:tcPr>
            <w:tcW w:w="9212" w:type="dxa"/>
            <w:gridSpan w:val="2"/>
            <w:shd w:val="clear" w:color="auto" w:fill="CCCCCC"/>
          </w:tcPr>
          <w:p w14:paraId="1B224033" w14:textId="77777777" w:rsidR="00C55547" w:rsidRPr="00045F71" w:rsidRDefault="00C55547"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Řádky</w:t>
            </w:r>
          </w:p>
        </w:tc>
      </w:tr>
      <w:tr w:rsidR="00C55547" w:rsidRPr="00045F71" w14:paraId="51303CB0" w14:textId="77777777" w:rsidTr="00E10B85">
        <w:tc>
          <w:tcPr>
            <w:tcW w:w="1008" w:type="dxa"/>
          </w:tcPr>
          <w:p w14:paraId="4EF580E7"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w:t>
            </w:r>
          </w:p>
        </w:tc>
        <w:tc>
          <w:tcPr>
            <w:tcW w:w="8204" w:type="dxa"/>
          </w:tcPr>
          <w:p w14:paraId="3B5F07DE"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CELKOVÉ EXPOZICE</w:t>
            </w:r>
          </w:p>
          <w:p w14:paraId="47BDA358" w14:textId="43CE2ADE" w:rsidR="00C55547" w:rsidRPr="00045F71" w:rsidRDefault="00C55547" w:rsidP="004C445F">
            <w:pPr>
              <w:suppressAutoHyphens/>
              <w:rPr>
                <w:rFonts w:ascii="Times New Roman" w:hAnsi="Times New Roman"/>
                <w:sz w:val="24"/>
              </w:rPr>
            </w:pPr>
            <w:r w:rsidRPr="00045F71">
              <w:rPr>
                <w:rFonts w:ascii="Times New Roman" w:hAnsi="Times New Roman"/>
                <w:sz w:val="24"/>
              </w:rPr>
              <w:t>Celková výše nesplacených pozic (držených v portfoliu obchodování s korelací) vykazovaná institucí, která má úlohu/y původce, investora nebo sponzora.</w:t>
            </w:r>
          </w:p>
        </w:tc>
      </w:tr>
      <w:tr w:rsidR="00C55547" w:rsidRPr="00045F71" w14:paraId="4F9E3B66" w14:textId="77777777" w:rsidTr="00E10B85">
        <w:tc>
          <w:tcPr>
            <w:tcW w:w="1008" w:type="dxa"/>
          </w:tcPr>
          <w:p w14:paraId="4294FDFC"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0020–0040</w:t>
            </w:r>
          </w:p>
        </w:tc>
        <w:tc>
          <w:tcPr>
            <w:tcW w:w="8204" w:type="dxa"/>
          </w:tcPr>
          <w:p w14:paraId="68E0826A"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PŮVODCE</w:t>
            </w:r>
          </w:p>
          <w:p w14:paraId="07F7FC7F" w14:textId="691C5D11" w:rsidR="00C55547" w:rsidRPr="00045F71" w:rsidRDefault="00C55547" w:rsidP="004C445F">
            <w:pPr>
              <w:suppressAutoHyphens/>
              <w:rPr>
                <w:rFonts w:ascii="Times New Roman" w:hAnsi="Times New Roman"/>
                <w:sz w:val="24"/>
              </w:rPr>
            </w:pPr>
            <w:r w:rsidRPr="00045F71">
              <w:rPr>
                <w:rFonts w:ascii="Times New Roman" w:hAnsi="Times New Roman"/>
                <w:sz w:val="24"/>
              </w:rPr>
              <w:t xml:space="preserve">Ustanovení čl. 4 odst. 1 bodu 13 nařízení (EU) č. 575/2013 </w:t>
            </w:r>
          </w:p>
        </w:tc>
      </w:tr>
      <w:tr w:rsidR="00C55547" w:rsidRPr="00045F71" w14:paraId="1113CFCE" w14:textId="77777777" w:rsidTr="00E10B85">
        <w:tc>
          <w:tcPr>
            <w:tcW w:w="1008" w:type="dxa"/>
          </w:tcPr>
          <w:p w14:paraId="045998CB"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0050–0070</w:t>
            </w:r>
          </w:p>
        </w:tc>
        <w:tc>
          <w:tcPr>
            <w:tcW w:w="8204" w:type="dxa"/>
          </w:tcPr>
          <w:p w14:paraId="7C4743F6"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INVESTOR</w:t>
            </w:r>
          </w:p>
          <w:p w14:paraId="5507389D" w14:textId="574F527A" w:rsidR="00C55547" w:rsidRPr="00045F71" w:rsidRDefault="00C55547" w:rsidP="004C445F">
            <w:pPr>
              <w:suppressAutoHyphens/>
              <w:rPr>
                <w:rFonts w:ascii="Times New Roman" w:hAnsi="Times New Roman"/>
                <w:sz w:val="24"/>
              </w:rPr>
            </w:pPr>
            <w:r w:rsidRPr="00045F71">
              <w:rPr>
                <w:rFonts w:ascii="Times New Roman" w:hAnsi="Times New Roman"/>
                <w:sz w:val="24"/>
              </w:rPr>
              <w:lastRenderedPageBreak/>
              <w:t>Úvěrová instituce, která drží sekuritizované pozice v sekuritizaci, u níž není původcem, sponzorem ani původním věřitelem</w:t>
            </w:r>
          </w:p>
        </w:tc>
      </w:tr>
      <w:tr w:rsidR="00C55547" w:rsidRPr="00045F71" w14:paraId="3AE4557E" w14:textId="77777777" w:rsidTr="00E10B85">
        <w:tc>
          <w:tcPr>
            <w:tcW w:w="1008" w:type="dxa"/>
          </w:tcPr>
          <w:p w14:paraId="4017D379"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0080–0100</w:t>
            </w:r>
          </w:p>
        </w:tc>
        <w:tc>
          <w:tcPr>
            <w:tcW w:w="8204" w:type="dxa"/>
          </w:tcPr>
          <w:p w14:paraId="6D18A74A"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SPONZOR</w:t>
            </w:r>
          </w:p>
          <w:p w14:paraId="65D6B605" w14:textId="002B3FBA" w:rsidR="005C14B0" w:rsidRPr="00045F71" w:rsidRDefault="00E64BFE" w:rsidP="004C445F">
            <w:pPr>
              <w:suppressAutoHyphens/>
              <w:rPr>
                <w:rFonts w:ascii="Times New Roman" w:hAnsi="Times New Roman"/>
                <w:sz w:val="24"/>
              </w:rPr>
            </w:pPr>
            <w:r w:rsidRPr="00045F71">
              <w:rPr>
                <w:rFonts w:ascii="Times New Roman" w:hAnsi="Times New Roman"/>
                <w:sz w:val="24"/>
              </w:rPr>
              <w:t xml:space="preserve"> Ustanovení čl. 4 odst. 1 bodu 14 nařízení (EU) č. 575/2013 </w:t>
            </w:r>
          </w:p>
          <w:p w14:paraId="7911CCA2" w14:textId="77777777" w:rsidR="00C55547" w:rsidRPr="00045F71" w:rsidRDefault="005F3BBE" w:rsidP="004C445F">
            <w:pPr>
              <w:suppressAutoHyphens/>
              <w:rPr>
                <w:rFonts w:ascii="Times New Roman" w:hAnsi="Times New Roman"/>
                <w:sz w:val="24"/>
              </w:rPr>
            </w:pPr>
            <w:r w:rsidRPr="00045F71">
              <w:rPr>
                <w:rFonts w:ascii="Times New Roman" w:hAnsi="Times New Roman"/>
                <w:sz w:val="24"/>
              </w:rPr>
              <w:t>Sponzor, který sekuritizuje rovněž vlastní aktiva, v řádcích určených pro původce vyplní údaje týkající se vlastních sekuritizovaných aktiv.</w:t>
            </w:r>
          </w:p>
        </w:tc>
      </w:tr>
      <w:tr w:rsidR="00C55547" w:rsidRPr="00045F71" w14:paraId="5A0251A3" w14:textId="77777777" w:rsidTr="00E10B85">
        <w:tc>
          <w:tcPr>
            <w:tcW w:w="1008" w:type="dxa"/>
          </w:tcPr>
          <w:p w14:paraId="64B09950"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 0060 a 0090</w:t>
            </w:r>
          </w:p>
        </w:tc>
        <w:tc>
          <w:tcPr>
            <w:tcW w:w="8204" w:type="dxa"/>
          </w:tcPr>
          <w:p w14:paraId="65F68A65"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SEKURITIZOVANÉ POZICE</w:t>
            </w:r>
          </w:p>
          <w:p w14:paraId="3E2839F4" w14:textId="5E373E76" w:rsidR="00C55547" w:rsidRPr="00045F71" w:rsidRDefault="00C55547" w:rsidP="004C445F">
            <w:pPr>
              <w:suppressAutoHyphens/>
              <w:rPr>
                <w:rFonts w:ascii="Times New Roman" w:hAnsi="Times New Roman"/>
                <w:sz w:val="24"/>
              </w:rPr>
            </w:pPr>
            <w:r w:rsidRPr="00045F71">
              <w:rPr>
                <w:rFonts w:ascii="Times New Roman" w:hAnsi="Times New Roman"/>
                <w:sz w:val="24"/>
              </w:rPr>
              <w:t>Do portfolia obchodování s korelací patří sekuritizace, úvěrové deriváty n-tého selhání a případně jiné zajišťovací pozice, které splňují kritéria stanovená v čl. 338 odst. 2 a 3 nařízení (EU) č. 575/2013.</w:t>
            </w:r>
          </w:p>
          <w:p w14:paraId="284429BF" w14:textId="77777777" w:rsidR="00C55547" w:rsidRPr="00045F71" w:rsidRDefault="00C55547" w:rsidP="004C445F">
            <w:pPr>
              <w:suppressAutoHyphens/>
              <w:rPr>
                <w:rFonts w:ascii="Times New Roman" w:hAnsi="Times New Roman"/>
                <w:sz w:val="24"/>
              </w:rPr>
            </w:pPr>
            <w:r w:rsidRPr="00045F71">
              <w:rPr>
                <w:rFonts w:ascii="Times New Roman" w:hAnsi="Times New Roman"/>
                <w:sz w:val="24"/>
              </w:rPr>
              <w:t>Deriváty sekuritizovaných expozic, které poskytují poměrný podíl, a také pozice zajišťující pozice v portfoliu obchodování s korelací se započítávají do řádku „ostatní pozice v portfoliu obchodování s korelací“.</w:t>
            </w:r>
          </w:p>
        </w:tc>
      </w:tr>
      <w:tr w:rsidR="00C55547" w:rsidRPr="00045F71" w14:paraId="310FE06B" w14:textId="77777777" w:rsidTr="00E10B85">
        <w:tc>
          <w:tcPr>
            <w:tcW w:w="1008" w:type="dxa"/>
          </w:tcPr>
          <w:p w14:paraId="2602BE79"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0110</w:t>
            </w:r>
          </w:p>
        </w:tc>
        <w:tc>
          <w:tcPr>
            <w:tcW w:w="8204" w:type="dxa"/>
          </w:tcPr>
          <w:p w14:paraId="5251DCC8"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ÚVĚROVÉ DERIVÁTY N-TÉHO SELHÁNÍ</w:t>
            </w:r>
          </w:p>
          <w:p w14:paraId="298FC0AB" w14:textId="5115C116" w:rsidR="00C55547" w:rsidRPr="00045F71" w:rsidRDefault="00C55547" w:rsidP="004C445F">
            <w:pPr>
              <w:suppressAutoHyphens/>
              <w:rPr>
                <w:rFonts w:ascii="Times New Roman" w:hAnsi="Times New Roman"/>
                <w:sz w:val="24"/>
              </w:rPr>
            </w:pPr>
            <w:r w:rsidRPr="00045F71">
              <w:rPr>
                <w:rFonts w:ascii="Times New Roman" w:hAnsi="Times New Roman"/>
                <w:sz w:val="24"/>
              </w:rPr>
              <w:t>Vykazují se zde úvěrové deriváty n-tého selhání, včetně těch, které jsou zajištěny úvěrovými deriváty n-tého selhání podle článku 347 nařízení (EU) č. 575/2013.</w:t>
            </w:r>
          </w:p>
          <w:p w14:paraId="0ADF3C10" w14:textId="08643021" w:rsidR="00C55547" w:rsidRPr="00045F71" w:rsidRDefault="00C55547" w:rsidP="004C445F">
            <w:pPr>
              <w:suppressAutoHyphens/>
              <w:rPr>
                <w:rFonts w:ascii="Times New Roman" w:hAnsi="Times New Roman"/>
                <w:sz w:val="24"/>
              </w:rPr>
            </w:pPr>
            <w:r w:rsidRPr="00045F71">
              <w:rPr>
                <w:rFonts w:ascii="Times New Roman" w:hAnsi="Times New Roman"/>
                <w:sz w:val="24"/>
              </w:rPr>
              <w:t>Původce, investor a sponzor pozic nemohou využívat úvěrové deriváty n-tého selhání. Pro úvěrové deriváty n-tého selhání se proto neprovádí rozčlenění jako u sekuritizovaných pozic.</w:t>
            </w:r>
          </w:p>
        </w:tc>
      </w:tr>
      <w:tr w:rsidR="00C55547" w:rsidRPr="00045F71" w14:paraId="3804EA7A" w14:textId="77777777" w:rsidTr="00E10B85">
        <w:tc>
          <w:tcPr>
            <w:tcW w:w="1008" w:type="dxa"/>
          </w:tcPr>
          <w:p w14:paraId="492141F6" w14:textId="77777777" w:rsidR="00C55547"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0040, 0070, 0100 a 0120</w:t>
            </w:r>
          </w:p>
        </w:tc>
        <w:tc>
          <w:tcPr>
            <w:tcW w:w="8204" w:type="dxa"/>
          </w:tcPr>
          <w:p w14:paraId="1BEC5316" w14:textId="77777777" w:rsidR="00C55547" w:rsidRPr="00045F71" w:rsidRDefault="00C55547" w:rsidP="004C445F">
            <w:pPr>
              <w:suppressAutoHyphens/>
              <w:rPr>
                <w:rStyle w:val="InstructionsTabelleberschrift"/>
                <w:rFonts w:ascii="Times New Roman" w:hAnsi="Times New Roman"/>
                <w:sz w:val="24"/>
              </w:rPr>
            </w:pPr>
            <w:r w:rsidRPr="00045F71">
              <w:rPr>
                <w:rStyle w:val="InstructionsTabelleberschrift"/>
                <w:rFonts w:ascii="Times New Roman" w:hAnsi="Times New Roman"/>
                <w:sz w:val="24"/>
              </w:rPr>
              <w:t>OSTATNÍ POZICE V PORTFOLIU OBCHODOVÁNÍ S KORELACÍ</w:t>
            </w:r>
          </w:p>
          <w:p w14:paraId="543C28DD" w14:textId="77777777" w:rsidR="00C55547" w:rsidRPr="00045F71" w:rsidRDefault="00C55547" w:rsidP="004C445F">
            <w:pPr>
              <w:suppressAutoHyphens/>
              <w:rPr>
                <w:rFonts w:ascii="Times New Roman" w:hAnsi="Times New Roman"/>
                <w:sz w:val="24"/>
              </w:rPr>
            </w:pPr>
            <w:r w:rsidRPr="00045F71">
              <w:rPr>
                <w:rFonts w:ascii="Times New Roman" w:hAnsi="Times New Roman"/>
                <w:sz w:val="24"/>
              </w:rPr>
              <w:t xml:space="preserve">Zahrnuty jsou tyto pozice: </w:t>
            </w:r>
          </w:p>
          <w:p w14:paraId="009DBFDC" w14:textId="71465A30" w:rsidR="002272E2" w:rsidRPr="00045F71" w:rsidRDefault="00A92865" w:rsidP="00E172EA">
            <w:pPr>
              <w:pStyle w:val="ListParagraph"/>
              <w:numPr>
                <w:ilvl w:val="0"/>
                <w:numId w:val="31"/>
              </w:numPr>
              <w:tabs>
                <w:tab w:val="left" w:pos="720"/>
              </w:tabs>
              <w:suppressAutoHyphens/>
              <w:rPr>
                <w:rFonts w:ascii="Times New Roman" w:hAnsi="Times New Roman"/>
                <w:sz w:val="24"/>
              </w:rPr>
            </w:pPr>
            <w:r w:rsidRPr="00045F71">
              <w:rPr>
                <w:rFonts w:ascii="Times New Roman" w:hAnsi="Times New Roman"/>
                <w:sz w:val="24"/>
              </w:rPr>
              <w:t>deriváty sekuritizovaných expozic, které poskytují poměrný podíl, a také pozice zajišťující pozice v portfoliu obchodování s korelací,</w:t>
            </w:r>
          </w:p>
          <w:p w14:paraId="6225E087" w14:textId="0E1CE11C" w:rsidR="002272E2" w:rsidRPr="00045F71" w:rsidRDefault="00C55547" w:rsidP="00E172EA">
            <w:pPr>
              <w:pStyle w:val="ListParagraph"/>
              <w:numPr>
                <w:ilvl w:val="0"/>
                <w:numId w:val="31"/>
              </w:numPr>
              <w:tabs>
                <w:tab w:val="left" w:pos="720"/>
              </w:tabs>
              <w:suppressAutoHyphens/>
              <w:rPr>
                <w:rFonts w:ascii="Times New Roman" w:hAnsi="Times New Roman"/>
                <w:sz w:val="24"/>
              </w:rPr>
            </w:pPr>
            <w:r w:rsidRPr="00045F71">
              <w:rPr>
                <w:rFonts w:ascii="Times New Roman" w:hAnsi="Times New Roman"/>
                <w:sz w:val="24"/>
              </w:rPr>
              <w:t>pozice v portfoliu obchodování s korelací zajištěné úvěrovými deriváty podle článku 346 nařízení (EU) č. 575/2013,</w:t>
            </w:r>
          </w:p>
          <w:p w14:paraId="37D9C26F" w14:textId="118835A5" w:rsidR="00C55547" w:rsidRPr="00045F71" w:rsidRDefault="00A92865" w:rsidP="00E172EA">
            <w:pPr>
              <w:pStyle w:val="ListParagraph"/>
              <w:numPr>
                <w:ilvl w:val="0"/>
                <w:numId w:val="31"/>
              </w:numPr>
              <w:tabs>
                <w:tab w:val="left" w:pos="720"/>
              </w:tabs>
              <w:suppressAutoHyphens/>
              <w:rPr>
                <w:rFonts w:ascii="Times New Roman" w:hAnsi="Times New Roman"/>
                <w:sz w:val="24"/>
              </w:rPr>
            </w:pPr>
            <w:r w:rsidRPr="00045F71">
              <w:rPr>
                <w:rFonts w:ascii="Times New Roman" w:hAnsi="Times New Roman"/>
                <w:sz w:val="24"/>
              </w:rPr>
              <w:t>ostatní pozice, které splňují podmínky čl. 338 odst. 3 nařízení (EU) č. 575/2013.</w:t>
            </w:r>
          </w:p>
        </w:tc>
      </w:tr>
    </w:tbl>
    <w:p w14:paraId="2FA40F1B"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17317"/>
      <w:r w:rsidRPr="00045F71">
        <w:rPr>
          <w:rFonts w:ascii="Times New Roman" w:hAnsi="Times New Roman"/>
          <w:sz w:val="24"/>
          <w:u w:val="none"/>
        </w:rPr>
        <w:t>5.</w:t>
      </w:r>
      <w:r w:rsidRPr="00EF1542">
        <w:rPr>
          <w:u w:val="none"/>
        </w:rPr>
        <w:tab/>
      </w:r>
      <w:r w:rsidRPr="00045F71">
        <w:rPr>
          <w:rFonts w:ascii="Times New Roman" w:hAnsi="Times New Roman"/>
          <w:sz w:val="24"/>
        </w:rPr>
        <w:t>C 21.00 – Tržní riziko: Standardizovaný přístup k pozičnímu riziku v případě akcií</w:t>
      </w:r>
      <w:bookmarkEnd w:id="94"/>
      <w:bookmarkEnd w:id="95"/>
      <w:bookmarkEnd w:id="96"/>
      <w:bookmarkEnd w:id="97"/>
      <w:bookmarkEnd w:id="98"/>
      <w:r w:rsidRPr="00045F71">
        <w:rPr>
          <w:rFonts w:ascii="Times New Roman" w:hAnsi="Times New Roman"/>
          <w:sz w:val="24"/>
        </w:rPr>
        <w:t xml:space="preserve"> (MKR SA EQU)</w:t>
      </w:r>
      <w:bookmarkEnd w:id="99"/>
      <w:bookmarkEnd w:id="100"/>
    </w:p>
    <w:p w14:paraId="28B3FACA" w14:textId="7612BB98"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17318"/>
      <w:r w:rsidRPr="00045F71">
        <w:rPr>
          <w:rFonts w:ascii="Times New Roman" w:hAnsi="Times New Roman"/>
          <w:sz w:val="24"/>
          <w:u w:val="none"/>
        </w:rPr>
        <w:t>5.1</w:t>
      </w:r>
      <w:r w:rsidR="00EF1542">
        <w:rPr>
          <w:u w:val="none"/>
        </w:rPr>
        <w:tab/>
      </w:r>
      <w:r w:rsidR="00EF1542">
        <w:rPr>
          <w:u w:val="none"/>
        </w:rPr>
        <w:tab/>
      </w:r>
      <w:r w:rsidRPr="00045F71">
        <w:rPr>
          <w:rFonts w:ascii="Times New Roman" w:hAnsi="Times New Roman"/>
          <w:sz w:val="24"/>
        </w:rPr>
        <w:t>Obecné poznámky</w:t>
      </w:r>
      <w:bookmarkEnd w:id="101"/>
      <w:bookmarkEnd w:id="102"/>
      <w:bookmarkEnd w:id="103"/>
      <w:bookmarkEnd w:id="104"/>
      <w:bookmarkEnd w:id="105"/>
      <w:bookmarkEnd w:id="106"/>
      <w:bookmarkEnd w:id="107"/>
    </w:p>
    <w:p w14:paraId="1BA8EF6D" w14:textId="368B1B75" w:rsidR="000B0B09" w:rsidRPr="00045F71" w:rsidRDefault="000B0B09" w:rsidP="00E172EA">
      <w:pPr>
        <w:pStyle w:val="InstructionsText2"/>
        <w:numPr>
          <w:ilvl w:val="0"/>
          <w:numId w:val="29"/>
        </w:numPr>
        <w:suppressAutoHyphens/>
      </w:pPr>
      <w:r w:rsidRPr="00045F71">
        <w:t>V této šabloně se vykazují údaje o pozicích a odpovídajících kapitálových požadavcích k pozičnímu riziku u akcií držených v obchodním portfoliu, s nimiž se zachází v souladu se standardizovaným přístupem.</w:t>
      </w:r>
    </w:p>
    <w:p w14:paraId="3AF5EC7C" w14:textId="570FEDBA" w:rsidR="00B828CC" w:rsidRPr="00045F71" w:rsidRDefault="000B0B09" w:rsidP="00E172EA">
      <w:pPr>
        <w:pStyle w:val="InstructionsText2"/>
        <w:numPr>
          <w:ilvl w:val="0"/>
          <w:numId w:val="29"/>
        </w:numPr>
        <w:suppressAutoHyphens/>
      </w:pPr>
      <w:r w:rsidRPr="00045F71">
        <w:t xml:space="preserve">Tato šablona se vyplní samostatně za „Úhrn“ a kromě toho za pevně daný a předem definovaný seznam těchto trhů: Albánie, Bulharsko, Severní Makedonie, Česká republika, Dánsko, Egypt, Island, Japonsko, Lichtenštejnsko, Maďarsko, Norsko, Polsko, Rumunsko, Ruská federace, Spojené království, Srbsko, </w:t>
      </w:r>
      <w:r w:rsidRPr="00045F71">
        <w:lastRenderedPageBreak/>
        <w:t>Švédsko, Švýcarsko, Turecko, Ukrajina, USA a eurozóna; jedna zvláštní šablona se vyplní pro všechny ostatní trhy. V případě tohoto požadavku na vykazování se výrazem „trh“ rozumí „země“ (s výjimkou zemí eurozóny, viz nařízení Komise v přenesené pravomoci (EU) č. 525/2014</w:t>
      </w:r>
      <w:r w:rsidRPr="00045F71">
        <w:rPr>
          <w:rStyle w:val="FootnoteReference"/>
        </w:rPr>
        <w:footnoteReference w:id="2"/>
      </w:r>
      <w:r w:rsidRPr="00045F71">
        <w:t>).</w:t>
      </w:r>
    </w:p>
    <w:p w14:paraId="077E1A41" w14:textId="2A3F416D"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17319"/>
      <w:r w:rsidRPr="00045F71">
        <w:rPr>
          <w:rFonts w:ascii="Times New Roman" w:hAnsi="Times New Roman"/>
          <w:sz w:val="24"/>
          <w:u w:val="none"/>
        </w:rPr>
        <w:t>5.2</w:t>
      </w:r>
      <w:r w:rsidR="00EF1542">
        <w:rPr>
          <w:u w:val="none"/>
        </w:rPr>
        <w:tab/>
      </w:r>
      <w:r w:rsidR="00EF1542">
        <w:rPr>
          <w:u w:val="none"/>
        </w:rPr>
        <w:tab/>
      </w:r>
      <w:r w:rsidRPr="00045F71">
        <w:rPr>
          <w:rFonts w:ascii="Times New Roman" w:hAnsi="Times New Roman"/>
          <w:sz w:val="24"/>
        </w:rPr>
        <w:t>Pokyny pro konkrétní pozice</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045F71" w14:paraId="2ADAFC61" w14:textId="77777777" w:rsidTr="00672D2A">
        <w:trPr>
          <w:trHeight w:val="626"/>
        </w:trPr>
        <w:tc>
          <w:tcPr>
            <w:tcW w:w="8862" w:type="dxa"/>
            <w:gridSpan w:val="2"/>
            <w:shd w:val="clear" w:color="auto" w:fill="CCCCCC"/>
          </w:tcPr>
          <w:p w14:paraId="0BC1F4DA" w14:textId="77777777" w:rsidR="000B0B09" w:rsidRPr="00045F71" w:rsidRDefault="000B0B09"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Sloupce</w:t>
            </w:r>
          </w:p>
        </w:tc>
      </w:tr>
      <w:tr w:rsidR="000B0B09" w:rsidRPr="00045F71" w14:paraId="1B6DCA2D" w14:textId="77777777" w:rsidTr="00672D2A">
        <w:tc>
          <w:tcPr>
            <w:tcW w:w="988" w:type="dxa"/>
          </w:tcPr>
          <w:p w14:paraId="2E10DD05"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0010–0020</w:t>
            </w:r>
          </w:p>
        </w:tc>
        <w:tc>
          <w:tcPr>
            <w:tcW w:w="7874" w:type="dxa"/>
          </w:tcPr>
          <w:p w14:paraId="57FBE31B" w14:textId="77777777" w:rsidR="000B0B09" w:rsidRPr="00045F71" w:rsidRDefault="000B0B09"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b/>
                <w:sz w:val="24"/>
                <w:u w:val="single"/>
              </w:rPr>
              <w:t>VŠECHNY POZICE (DLOUHÉ A KRÁTKÉ)</w:t>
            </w:r>
          </w:p>
          <w:p w14:paraId="754457ED" w14:textId="6411188D" w:rsidR="005C14B0" w:rsidRPr="00045F71" w:rsidRDefault="000B0B09"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 xml:space="preserve">Ustanovení článku 102 a čl. 105 odst. 1 nařízení (EU) č. 575/2013. </w:t>
            </w:r>
          </w:p>
          <w:p w14:paraId="59EE061F" w14:textId="31066C76" w:rsidR="000B0B09" w:rsidRPr="00045F71" w:rsidRDefault="000B0B09"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 xml:space="preserve">Jedná se o hrubé pozice nezapočtené v nástrojích, ale s vyloučením pozic z upisování, které upsaly nebo za které spoluručí třetí strany, podle čl. 345 odst. 1 prvního pododstavce druhé věty uvedeného nařízení. </w:t>
            </w:r>
          </w:p>
        </w:tc>
      </w:tr>
      <w:tr w:rsidR="000B0B09" w:rsidRPr="00045F71" w14:paraId="518A8218" w14:textId="77777777" w:rsidTr="00672D2A">
        <w:tc>
          <w:tcPr>
            <w:tcW w:w="988" w:type="dxa"/>
          </w:tcPr>
          <w:p w14:paraId="5DF1DDF0"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0030–0040 </w:t>
            </w:r>
          </w:p>
        </w:tc>
        <w:tc>
          <w:tcPr>
            <w:tcW w:w="7874" w:type="dxa"/>
          </w:tcPr>
          <w:p w14:paraId="22DC25DE"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ČISTÉ POZICE (DLOUHÉ A KRÁTKÉ)</w:t>
            </w:r>
          </w:p>
          <w:p w14:paraId="72A57BC7" w14:textId="1B6E0BBC" w:rsidR="000B0B09" w:rsidRPr="00045F71" w:rsidRDefault="000B0B09" w:rsidP="004C445F">
            <w:pPr>
              <w:suppressAutoHyphens/>
              <w:autoSpaceDE w:val="0"/>
              <w:autoSpaceDN w:val="0"/>
              <w:adjustRightInd w:val="0"/>
              <w:rPr>
                <w:rFonts w:ascii="Times New Roman" w:hAnsi="Times New Roman"/>
                <w:sz w:val="24"/>
              </w:rPr>
            </w:pPr>
            <w:r w:rsidRPr="00045F71">
              <w:rPr>
                <w:rFonts w:ascii="Times New Roman" w:hAnsi="Times New Roman"/>
                <w:sz w:val="24"/>
              </w:rPr>
              <w:t xml:space="preserve">Články 327, 329, 332, 341 a 345 nařízení (EU) č. 575/2013. </w:t>
            </w:r>
          </w:p>
        </w:tc>
      </w:tr>
      <w:tr w:rsidR="000B0B09" w:rsidRPr="00045F71" w14:paraId="1ED40A34" w14:textId="77777777" w:rsidTr="00672D2A">
        <w:tc>
          <w:tcPr>
            <w:tcW w:w="988" w:type="dxa"/>
          </w:tcPr>
          <w:p w14:paraId="49ADB5D9"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w:t>
            </w:r>
          </w:p>
        </w:tc>
        <w:tc>
          <w:tcPr>
            <w:tcW w:w="7874" w:type="dxa"/>
          </w:tcPr>
          <w:p w14:paraId="28262B96" w14:textId="77777777" w:rsidR="000B0B09" w:rsidRPr="00045F71"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POZICE PODLÉHAJÍCÍ KAPITÁLOVÉMU POŽADAVKU</w:t>
            </w:r>
          </w:p>
          <w:p w14:paraId="5B62E698" w14:textId="1711E988" w:rsidR="000B0B09" w:rsidRPr="00045F71" w:rsidRDefault="000B0B09" w:rsidP="004C445F">
            <w:pPr>
              <w:suppressAutoHyphens/>
              <w:autoSpaceDE w:val="0"/>
              <w:autoSpaceDN w:val="0"/>
              <w:adjustRightInd w:val="0"/>
              <w:spacing w:after="0"/>
              <w:rPr>
                <w:rFonts w:ascii="Times New Roman" w:hAnsi="Times New Roman"/>
                <w:sz w:val="24"/>
              </w:rPr>
            </w:pPr>
            <w:r w:rsidRPr="00045F71">
              <w:rPr>
                <w:rFonts w:ascii="Times New Roman" w:hAnsi="Times New Roman"/>
                <w:sz w:val="24"/>
              </w:rPr>
              <w:t>Čisté pozice, na něž se podle různých přístupů uvedených v části třetí hlavě IV kapitole 2 nařízení (EU) č. 575/2013 vztahují kapitálové požadavky. Kapitálový požadavek se vypočte zvlášť pro každý vnitrostátní trh. Pozice ve futures na akciový index podle čl. 344 odst. 4 druhé věty nařízení (EU) č. 575/2013 nejsou do tohoto sloupce zahrnuty.</w:t>
            </w:r>
          </w:p>
          <w:p w14:paraId="7C352B88"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57DD60D2" w14:textId="77777777" w:rsidTr="00672D2A">
        <w:tc>
          <w:tcPr>
            <w:tcW w:w="988" w:type="dxa"/>
          </w:tcPr>
          <w:p w14:paraId="479821DD"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0060</w:t>
            </w:r>
          </w:p>
        </w:tc>
        <w:tc>
          <w:tcPr>
            <w:tcW w:w="7874" w:type="dxa"/>
          </w:tcPr>
          <w:p w14:paraId="3258053C"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KAPITÁLOVÉ POŽADAVKY</w:t>
            </w:r>
          </w:p>
          <w:p w14:paraId="75CDA27D" w14:textId="087571B7" w:rsidR="000B0B09" w:rsidRPr="00045F71" w:rsidRDefault="000B0B09" w:rsidP="004C445F">
            <w:pPr>
              <w:suppressAutoHyphens/>
              <w:autoSpaceDE w:val="0"/>
              <w:autoSpaceDN w:val="0"/>
              <w:adjustRightInd w:val="0"/>
              <w:spacing w:after="0"/>
              <w:rPr>
                <w:rFonts w:ascii="Times New Roman" w:hAnsi="Times New Roman"/>
                <w:sz w:val="24"/>
              </w:rPr>
            </w:pPr>
            <w:r w:rsidRPr="00045F71">
              <w:rPr>
                <w:rFonts w:ascii="Times New Roman" w:hAnsi="Times New Roman"/>
                <w:sz w:val="24"/>
              </w:rPr>
              <w:t>Kapitálový požadavek ke kterékoli příslušné pozici v souladu s částí třetí hlavou IV kapitolou 2 nařízení (EU) č. 575/2013</w:t>
            </w:r>
          </w:p>
          <w:p w14:paraId="6CDF917D"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62F4C373" w14:textId="77777777" w:rsidTr="00672D2A">
        <w:tc>
          <w:tcPr>
            <w:tcW w:w="988" w:type="dxa"/>
          </w:tcPr>
          <w:p w14:paraId="62D82E3B"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0070</w:t>
            </w:r>
          </w:p>
        </w:tc>
        <w:tc>
          <w:tcPr>
            <w:tcW w:w="7874" w:type="dxa"/>
          </w:tcPr>
          <w:p w14:paraId="1A727463"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CELKOVÝ OBJEM RIZIKOVÉ EXPOZICE</w:t>
            </w:r>
          </w:p>
          <w:p w14:paraId="33E7C378" w14:textId="4FC9A55B" w:rsidR="00E64BFE" w:rsidRPr="00045F71" w:rsidRDefault="000B0B09" w:rsidP="004C445F">
            <w:pPr>
              <w:tabs>
                <w:tab w:val="left" w:pos="1665"/>
              </w:tabs>
              <w:suppressAutoHyphens/>
              <w:autoSpaceDE w:val="0"/>
              <w:autoSpaceDN w:val="0"/>
              <w:adjustRightInd w:val="0"/>
              <w:spacing w:after="0"/>
              <w:rPr>
                <w:rFonts w:ascii="Times New Roman" w:hAnsi="Times New Roman"/>
                <w:sz w:val="24"/>
              </w:rPr>
            </w:pPr>
            <w:r w:rsidRPr="00045F71">
              <w:rPr>
                <w:rFonts w:ascii="Times New Roman" w:hAnsi="Times New Roman"/>
                <w:sz w:val="24"/>
              </w:rPr>
              <w:t xml:space="preserve">Ustanovení čl. 92 odst. 6 písm. b) nařízení (EU) č. 575/2013. </w:t>
            </w:r>
          </w:p>
          <w:p w14:paraId="5D42B3B3" w14:textId="77777777" w:rsidR="000B0B09" w:rsidRPr="00045F71" w:rsidRDefault="000B0B09" w:rsidP="004C445F">
            <w:pPr>
              <w:tabs>
                <w:tab w:val="left" w:pos="1665"/>
              </w:tabs>
              <w:suppressAutoHyphens/>
              <w:autoSpaceDE w:val="0"/>
              <w:autoSpaceDN w:val="0"/>
              <w:adjustRightInd w:val="0"/>
              <w:rPr>
                <w:rFonts w:ascii="Times New Roman" w:hAnsi="Times New Roman"/>
                <w:b/>
                <w:bCs/>
                <w:sz w:val="24"/>
                <w:u w:val="single"/>
              </w:rPr>
            </w:pPr>
            <w:r w:rsidRPr="00045F71">
              <w:rPr>
                <w:rFonts w:ascii="Times New Roman" w:hAnsi="Times New Roman"/>
                <w:sz w:val="24"/>
              </w:rPr>
              <w:t xml:space="preserve">Výsledek vynásobení kapitálových požadavků faktorem 12,5. </w:t>
            </w:r>
          </w:p>
        </w:tc>
      </w:tr>
    </w:tbl>
    <w:p w14:paraId="62FB026B"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8058"/>
      </w:tblGrid>
      <w:tr w:rsidR="000B0B09" w:rsidRPr="00045F71" w14:paraId="4775591D" w14:textId="77777777" w:rsidTr="00672D2A">
        <w:trPr>
          <w:trHeight w:val="662"/>
        </w:trPr>
        <w:tc>
          <w:tcPr>
            <w:tcW w:w="9212" w:type="dxa"/>
            <w:gridSpan w:val="2"/>
            <w:shd w:val="clear" w:color="auto" w:fill="CCCCCC"/>
          </w:tcPr>
          <w:p w14:paraId="5298B570" w14:textId="77777777" w:rsidR="000B0B09" w:rsidRPr="00045F71" w:rsidRDefault="000B0B09"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Řádky</w:t>
            </w:r>
          </w:p>
        </w:tc>
      </w:tr>
      <w:tr w:rsidR="000B0B09" w:rsidRPr="00045F71" w14:paraId="7546B05C" w14:textId="77777777" w:rsidTr="00672D2A">
        <w:tc>
          <w:tcPr>
            <w:tcW w:w="1008" w:type="dxa"/>
          </w:tcPr>
          <w:p w14:paraId="7BE875B0"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0010–0130</w:t>
            </w:r>
          </w:p>
        </w:tc>
        <w:tc>
          <w:tcPr>
            <w:tcW w:w="8204" w:type="dxa"/>
          </w:tcPr>
          <w:p w14:paraId="1FF7DE12"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AKCIE V OBCHODNÍM PORTFOLIU</w:t>
            </w:r>
          </w:p>
          <w:p w14:paraId="030F1935" w14:textId="785DC9DE" w:rsidR="000B0B09" w:rsidRPr="00045F71" w:rsidRDefault="000B0B09" w:rsidP="004C445F">
            <w:pPr>
              <w:tabs>
                <w:tab w:val="left" w:pos="1665"/>
              </w:tabs>
              <w:suppressAutoHyphens/>
              <w:autoSpaceDE w:val="0"/>
              <w:autoSpaceDN w:val="0"/>
              <w:adjustRightInd w:val="0"/>
              <w:rPr>
                <w:rFonts w:ascii="Times New Roman" w:hAnsi="Times New Roman"/>
                <w:sz w:val="24"/>
              </w:rPr>
            </w:pPr>
            <w:r w:rsidRPr="00045F71">
              <w:rPr>
                <w:rFonts w:ascii="Times New Roman" w:hAnsi="Times New Roman"/>
                <w:sz w:val="24"/>
              </w:rPr>
              <w:t>Kapitálové požadavky k pozičnímu riziku uvedené v čl. 92 odst. 3 písm. b) bodu i) nařízení (EU) č. 575/2013 a části třetí hlavě IV kapitole 2 oddílu 3 uvedeného nařízení</w:t>
            </w:r>
          </w:p>
        </w:tc>
      </w:tr>
      <w:tr w:rsidR="000B0B09" w:rsidRPr="00045F71" w14:paraId="06FCC7F1" w14:textId="77777777" w:rsidTr="00672D2A">
        <w:tc>
          <w:tcPr>
            <w:tcW w:w="1008" w:type="dxa"/>
          </w:tcPr>
          <w:p w14:paraId="33E8BCC6"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0020–0040</w:t>
            </w:r>
          </w:p>
        </w:tc>
        <w:tc>
          <w:tcPr>
            <w:tcW w:w="8204" w:type="dxa"/>
          </w:tcPr>
          <w:p w14:paraId="029ED25F"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OBECNÉ RIZIKO</w:t>
            </w:r>
          </w:p>
          <w:p w14:paraId="21F94335" w14:textId="41165158" w:rsidR="000B0B09" w:rsidRPr="00045F71" w:rsidRDefault="000B0B09" w:rsidP="004C445F">
            <w:pPr>
              <w:suppressAutoHyphens/>
              <w:autoSpaceDE w:val="0"/>
              <w:autoSpaceDN w:val="0"/>
              <w:adjustRightInd w:val="0"/>
              <w:rPr>
                <w:rFonts w:ascii="Times New Roman" w:hAnsi="Times New Roman"/>
                <w:sz w:val="24"/>
              </w:rPr>
            </w:pPr>
            <w:r w:rsidRPr="00045F71">
              <w:rPr>
                <w:rFonts w:ascii="Times New Roman" w:hAnsi="Times New Roman"/>
                <w:sz w:val="24"/>
              </w:rPr>
              <w:lastRenderedPageBreak/>
              <w:t xml:space="preserve">Pozice v akciích, které podléhají obecnému riziku (článek 343 nařízení (EU) č. 575/2013), a s nimi související kapitálový požadavek podle části třetí hlavy IV kapitoly 2 oddílu 3 uvedeného nařízení </w:t>
            </w:r>
          </w:p>
          <w:p w14:paraId="729400AD" w14:textId="77777777" w:rsidR="001E0C80" w:rsidRPr="00045F71" w:rsidRDefault="000B0B09"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Obě rozčlenění (řádky 0021/0022 a 0030/0040) se týkají všech pozic, které podléhají obecnému riziku.</w:t>
            </w:r>
          </w:p>
          <w:p w14:paraId="32EAD513" w14:textId="77777777" w:rsidR="004E2725"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V řádcích 0021 a 0022 se uvádějí údaje o rozčlenění podle nástrojů. </w:t>
            </w:r>
          </w:p>
          <w:p w14:paraId="75FD06DA" w14:textId="77777777" w:rsidR="000B0B09" w:rsidRPr="00045F71" w:rsidRDefault="000B0B09" w:rsidP="004C445F">
            <w:pPr>
              <w:tabs>
                <w:tab w:val="left" w:pos="1665"/>
              </w:tabs>
              <w:suppressAutoHyphens/>
              <w:autoSpaceDE w:val="0"/>
              <w:autoSpaceDN w:val="0"/>
              <w:adjustRightInd w:val="0"/>
              <w:rPr>
                <w:rFonts w:ascii="Times New Roman" w:hAnsi="Times New Roman"/>
                <w:sz w:val="24"/>
              </w:rPr>
            </w:pPr>
            <w:r w:rsidRPr="00045F71">
              <w:rPr>
                <w:rFonts w:ascii="Times New Roman" w:hAnsi="Times New Roman"/>
                <w:sz w:val="24"/>
              </w:rPr>
              <w:t>Jako základ pro výpočet kapitálových požadavků se používá pouze rozčlenění v řádcích 0030 a 0040.</w:t>
            </w:r>
          </w:p>
        </w:tc>
      </w:tr>
      <w:tr w:rsidR="000B0B09" w:rsidRPr="00045F71" w14:paraId="7E2E7066" w14:textId="77777777" w:rsidTr="00672D2A">
        <w:tc>
          <w:tcPr>
            <w:tcW w:w="1008" w:type="dxa"/>
          </w:tcPr>
          <w:p w14:paraId="2A8F2E03"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0021</w:t>
            </w:r>
          </w:p>
        </w:tc>
        <w:tc>
          <w:tcPr>
            <w:tcW w:w="8204" w:type="dxa"/>
          </w:tcPr>
          <w:p w14:paraId="51E4EB2D" w14:textId="77777777" w:rsidR="000B0B09" w:rsidRPr="00045F71" w:rsidRDefault="000B0B09" w:rsidP="004C445F">
            <w:pPr>
              <w:suppressAutoHyphens/>
              <w:autoSpaceDE w:val="0"/>
              <w:autoSpaceDN w:val="0"/>
              <w:adjustRightInd w:val="0"/>
              <w:spacing w:before="0" w:after="0"/>
              <w:rPr>
                <w:rFonts w:ascii="Times New Roman" w:hAnsi="Times New Roman"/>
                <w:b/>
                <w:sz w:val="24"/>
                <w:u w:val="single"/>
              </w:rPr>
            </w:pPr>
            <w:r w:rsidRPr="00045F71">
              <w:rPr>
                <w:rFonts w:ascii="Times New Roman" w:hAnsi="Times New Roman"/>
                <w:b/>
                <w:sz w:val="24"/>
                <w:u w:val="single"/>
              </w:rPr>
              <w:t>Deriváty</w:t>
            </w:r>
          </w:p>
          <w:p w14:paraId="561EFF21" w14:textId="424FAD2D" w:rsidR="000B0B09" w:rsidRPr="00045F71" w:rsidRDefault="000B0B09"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Deriváty zahrnuté do výpočtu akciového rizika u pozic v obchodním portfoliu, v příslušných případech se zohledněním článků 329 a 332 nařízení (EU) č. 575/2013</w:t>
            </w:r>
          </w:p>
        </w:tc>
      </w:tr>
      <w:tr w:rsidR="000B0B09" w:rsidRPr="00045F71" w14:paraId="70CC2A6A" w14:textId="77777777" w:rsidTr="00672D2A">
        <w:tc>
          <w:tcPr>
            <w:tcW w:w="1008" w:type="dxa"/>
          </w:tcPr>
          <w:p w14:paraId="569AE9F8"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0022</w:t>
            </w:r>
          </w:p>
        </w:tc>
        <w:tc>
          <w:tcPr>
            <w:tcW w:w="8204" w:type="dxa"/>
          </w:tcPr>
          <w:p w14:paraId="100EC51C" w14:textId="77777777" w:rsidR="000B0B09" w:rsidRPr="00045F71" w:rsidRDefault="000B0B09" w:rsidP="004C445F">
            <w:pPr>
              <w:suppressAutoHyphens/>
              <w:autoSpaceDE w:val="0"/>
              <w:autoSpaceDN w:val="0"/>
              <w:adjustRightInd w:val="0"/>
              <w:spacing w:before="0" w:after="0"/>
              <w:rPr>
                <w:rFonts w:ascii="Times New Roman" w:hAnsi="Times New Roman"/>
                <w:b/>
                <w:sz w:val="24"/>
                <w:u w:val="single"/>
              </w:rPr>
            </w:pPr>
            <w:r w:rsidRPr="00045F71">
              <w:rPr>
                <w:rFonts w:ascii="Times New Roman" w:hAnsi="Times New Roman"/>
                <w:b/>
                <w:sz w:val="24"/>
                <w:u w:val="single"/>
              </w:rPr>
              <w:t>Ostatní aktiva a pasiva</w:t>
            </w:r>
          </w:p>
          <w:p w14:paraId="21AC79DF" w14:textId="77777777" w:rsidR="000B0B09" w:rsidRPr="00045F71" w:rsidRDefault="000B0B09"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 xml:space="preserve">Jiné nástroje než deriváty zahrnuté do výpočtu akciového rizika u pozic v obchodním portfoliu. </w:t>
            </w:r>
          </w:p>
        </w:tc>
      </w:tr>
      <w:tr w:rsidR="000B0B09" w:rsidRPr="00045F71" w14:paraId="2ECBC519" w14:textId="77777777" w:rsidTr="00672D2A">
        <w:tc>
          <w:tcPr>
            <w:tcW w:w="1008" w:type="dxa"/>
          </w:tcPr>
          <w:p w14:paraId="63840C82"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w:t>
            </w:r>
          </w:p>
        </w:tc>
        <w:tc>
          <w:tcPr>
            <w:tcW w:w="8204" w:type="dxa"/>
          </w:tcPr>
          <w:p w14:paraId="5BE0B58F"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Futures na akciové indexy obchodované na burze, které jsou široce diverzifikovány a na něž se vztahuje zvláštní přístup</w:t>
            </w:r>
          </w:p>
          <w:p w14:paraId="56A22316" w14:textId="77777777" w:rsidR="005C14B0" w:rsidRPr="00045F71" w:rsidRDefault="000B0B09" w:rsidP="004C445F">
            <w:pPr>
              <w:tabs>
                <w:tab w:val="left" w:pos="1665"/>
              </w:tabs>
              <w:suppressAutoHyphens/>
              <w:autoSpaceDE w:val="0"/>
              <w:autoSpaceDN w:val="0"/>
              <w:adjustRightInd w:val="0"/>
              <w:rPr>
                <w:rFonts w:ascii="Times New Roman" w:hAnsi="Times New Roman"/>
                <w:sz w:val="24"/>
              </w:rPr>
            </w:pPr>
            <w:r w:rsidRPr="00045F71">
              <w:rPr>
                <w:rFonts w:ascii="Times New Roman" w:hAnsi="Times New Roman"/>
                <w:sz w:val="24"/>
              </w:rPr>
              <w:t>Futures na akciové indexy obchodované na burze, které jsou široce diverzifikovány a na něž se vztahuje zvláštní přístup v souladu s prováděcím nařízením Komise (EU) č. 945/2014</w:t>
            </w:r>
            <w:r w:rsidRPr="00045F71">
              <w:rPr>
                <w:rStyle w:val="FootnoteReference"/>
              </w:rPr>
              <w:footnoteReference w:id="3"/>
            </w:r>
          </w:p>
          <w:p w14:paraId="2528F1AA" w14:textId="103B7503" w:rsidR="000B0B09" w:rsidRPr="00045F71" w:rsidRDefault="000B0B09" w:rsidP="004C445F">
            <w:pPr>
              <w:tabs>
                <w:tab w:val="left" w:pos="1665"/>
              </w:tabs>
              <w:suppressAutoHyphens/>
              <w:autoSpaceDE w:val="0"/>
              <w:autoSpaceDN w:val="0"/>
              <w:adjustRightInd w:val="0"/>
              <w:rPr>
                <w:rFonts w:ascii="Times New Roman" w:hAnsi="Times New Roman"/>
                <w:b/>
                <w:bCs/>
                <w:sz w:val="24"/>
                <w:u w:val="single"/>
              </w:rPr>
            </w:pPr>
            <w:r w:rsidRPr="00045F71">
              <w:rPr>
                <w:rFonts w:ascii="Times New Roman" w:hAnsi="Times New Roman"/>
                <w:sz w:val="24"/>
              </w:rPr>
              <w:t>Tyto pozice podléhají pouze obecnému riziku, a proto se nevykazují v řádku 0050.</w:t>
            </w:r>
          </w:p>
        </w:tc>
      </w:tr>
      <w:tr w:rsidR="000B0B09" w:rsidRPr="00045F71" w14:paraId="132F7A31" w14:textId="77777777" w:rsidTr="00672D2A">
        <w:tc>
          <w:tcPr>
            <w:tcW w:w="1008" w:type="dxa"/>
          </w:tcPr>
          <w:p w14:paraId="5A552EB7"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0040</w:t>
            </w:r>
          </w:p>
        </w:tc>
        <w:tc>
          <w:tcPr>
            <w:tcW w:w="8204" w:type="dxa"/>
          </w:tcPr>
          <w:p w14:paraId="10EE0C22"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Jiné akcie než futures na akciové indexy obchodované na burze, které jsou široce diverzifikovány</w:t>
            </w:r>
          </w:p>
          <w:p w14:paraId="17542C2D" w14:textId="5412BB06" w:rsidR="000B0B09" w:rsidRPr="00045F71" w:rsidRDefault="000B0B09" w:rsidP="004C445F">
            <w:pPr>
              <w:suppressAutoHyphens/>
              <w:autoSpaceDE w:val="0"/>
              <w:autoSpaceDN w:val="0"/>
              <w:adjustRightInd w:val="0"/>
              <w:rPr>
                <w:rFonts w:ascii="Times New Roman" w:hAnsi="Times New Roman"/>
                <w:sz w:val="24"/>
              </w:rPr>
            </w:pPr>
            <w:r w:rsidRPr="00045F71">
              <w:rPr>
                <w:rFonts w:ascii="Times New Roman" w:hAnsi="Times New Roman"/>
                <w:sz w:val="24"/>
              </w:rPr>
              <w:t>Ostatní pozice v akciích podléhající specifickému riziku a odpovídající kapitálové požadavky v souladu s článkem 343 nařízení (EU) č. 575/2013, včetně pozic ve futures na akciové indexy, s nimiž se zachází v souladu s čl. 344 odst. 3 uvedeného nařízení</w:t>
            </w:r>
          </w:p>
        </w:tc>
      </w:tr>
      <w:tr w:rsidR="000B0B09" w:rsidRPr="00045F71" w14:paraId="10C7ACD9" w14:textId="77777777" w:rsidTr="00672D2A">
        <w:tc>
          <w:tcPr>
            <w:tcW w:w="1008" w:type="dxa"/>
          </w:tcPr>
          <w:p w14:paraId="1F6F53FD"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0050 </w:t>
            </w:r>
          </w:p>
        </w:tc>
        <w:tc>
          <w:tcPr>
            <w:tcW w:w="8204" w:type="dxa"/>
          </w:tcPr>
          <w:p w14:paraId="0CF5CE81"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SPECIFICKÉ RIZIKO</w:t>
            </w:r>
          </w:p>
          <w:p w14:paraId="4CFFEA2D" w14:textId="693CE9A9" w:rsidR="000B0B09" w:rsidRPr="00045F71" w:rsidRDefault="000B0B09" w:rsidP="004C445F">
            <w:pPr>
              <w:suppressAutoHyphens/>
              <w:autoSpaceDE w:val="0"/>
              <w:autoSpaceDN w:val="0"/>
              <w:adjustRightInd w:val="0"/>
              <w:rPr>
                <w:rFonts w:ascii="Times New Roman" w:hAnsi="Times New Roman"/>
                <w:sz w:val="24"/>
              </w:rPr>
            </w:pPr>
            <w:r w:rsidRPr="00045F71">
              <w:rPr>
                <w:rFonts w:ascii="Times New Roman" w:hAnsi="Times New Roman"/>
                <w:sz w:val="24"/>
              </w:rPr>
              <w:t xml:space="preserve">Pozice v akciích podléhající specifickému riziku a odpovídající kapitálové požadavky v souladu s článkem 342 nařízení (EU) č. 575/2013, kromě pozic ve futures na akciové indexy, s nimiž se zachází v souladu s čl. 344 odst. 4 druhou větou uvedeného nařízení </w:t>
            </w:r>
          </w:p>
        </w:tc>
      </w:tr>
      <w:tr w:rsidR="000B0B09" w:rsidRPr="00045F71" w14:paraId="63780725" w14:textId="77777777" w:rsidTr="00672D2A">
        <w:tc>
          <w:tcPr>
            <w:tcW w:w="1008" w:type="dxa"/>
          </w:tcPr>
          <w:p w14:paraId="573EB4E8"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0090–0130</w:t>
            </w:r>
          </w:p>
        </w:tc>
        <w:tc>
          <w:tcPr>
            <w:tcW w:w="8204" w:type="dxa"/>
          </w:tcPr>
          <w:p w14:paraId="1BAF0B57"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Style w:val="InstructionsTabelleberschrift"/>
                <w:rFonts w:ascii="Times New Roman" w:hAnsi="Times New Roman"/>
                <w:sz w:val="24"/>
              </w:rPr>
              <w:t>DODATEČNÉ POŽADAVKY K OPCÍM (JINÁ RIZIKA NEŽ RIZIKA DELTA)</w:t>
            </w:r>
          </w:p>
          <w:p w14:paraId="2552C107" w14:textId="66B48CCE" w:rsidR="000B0B09" w:rsidRPr="00045F71" w:rsidRDefault="000B0B09" w:rsidP="004C445F">
            <w:pPr>
              <w:suppressAutoHyphens/>
              <w:autoSpaceDE w:val="0"/>
              <w:autoSpaceDN w:val="0"/>
              <w:adjustRightInd w:val="0"/>
              <w:rPr>
                <w:rFonts w:ascii="Times New Roman" w:hAnsi="Times New Roman"/>
                <w:sz w:val="24"/>
              </w:rPr>
            </w:pPr>
            <w:r w:rsidRPr="00045F71">
              <w:rPr>
                <w:rFonts w:ascii="Times New Roman" w:hAnsi="Times New Roman"/>
                <w:sz w:val="24"/>
              </w:rPr>
              <w:t xml:space="preserve">Ustanovení čl. 329 odst. 2 a 3 nařízení (EU) č. 575/2013 </w:t>
            </w:r>
          </w:p>
          <w:p w14:paraId="72C3FAC3"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Dodatečné požadavky k opcím související s jinými riziky, než jsou rizika delta, se uvádějí u metody použité k jejich výpočtu.</w:t>
            </w:r>
          </w:p>
        </w:tc>
      </w:tr>
    </w:tbl>
    <w:p w14:paraId="0EB6FD79" w14:textId="77777777" w:rsidR="000B0B09" w:rsidRPr="00045F71"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17320"/>
      <w:r w:rsidRPr="00045F71">
        <w:rPr>
          <w:rFonts w:ascii="Times New Roman" w:hAnsi="Times New Roman"/>
          <w:sz w:val="24"/>
          <w:u w:val="none"/>
        </w:rPr>
        <w:lastRenderedPageBreak/>
        <w:t>6.</w:t>
      </w:r>
      <w:r w:rsidRPr="00EF1542">
        <w:rPr>
          <w:u w:val="none"/>
        </w:rPr>
        <w:tab/>
      </w:r>
      <w:r w:rsidRPr="00045F71">
        <w:rPr>
          <w:rFonts w:ascii="Times New Roman" w:hAnsi="Times New Roman"/>
          <w:sz w:val="24"/>
        </w:rPr>
        <w:t>C 22.00 – Tržní riziko: Standardizované přístupy k měnovému riziku</w:t>
      </w:r>
      <w:bookmarkEnd w:id="115"/>
      <w:bookmarkEnd w:id="116"/>
      <w:bookmarkEnd w:id="117"/>
      <w:bookmarkEnd w:id="118"/>
      <w:bookmarkEnd w:id="119"/>
      <w:r w:rsidRPr="00045F71">
        <w:rPr>
          <w:rFonts w:ascii="Times New Roman" w:hAnsi="Times New Roman"/>
          <w:sz w:val="24"/>
        </w:rPr>
        <w:t xml:space="preserve"> (MKR SA FX)</w:t>
      </w:r>
      <w:bookmarkEnd w:id="120"/>
      <w:bookmarkEnd w:id="121"/>
    </w:p>
    <w:p w14:paraId="70FD2A29" w14:textId="277BB096"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17321"/>
      <w:r w:rsidRPr="00045F71">
        <w:rPr>
          <w:rFonts w:ascii="Times New Roman" w:hAnsi="Times New Roman"/>
          <w:sz w:val="24"/>
          <w:u w:val="none"/>
        </w:rPr>
        <w:t>6.1</w:t>
      </w:r>
      <w:r w:rsidR="00EF1542">
        <w:rPr>
          <w:u w:val="none"/>
        </w:rPr>
        <w:tab/>
      </w:r>
      <w:r w:rsidR="00EF1542">
        <w:rPr>
          <w:u w:val="none"/>
        </w:rPr>
        <w:tab/>
      </w:r>
      <w:r w:rsidRPr="00045F71">
        <w:rPr>
          <w:rFonts w:ascii="Times New Roman" w:hAnsi="Times New Roman"/>
          <w:sz w:val="24"/>
        </w:rPr>
        <w:t>Obecné poznámky</w:t>
      </w:r>
      <w:bookmarkEnd w:id="122"/>
      <w:bookmarkEnd w:id="123"/>
      <w:bookmarkEnd w:id="124"/>
      <w:bookmarkEnd w:id="125"/>
      <w:bookmarkEnd w:id="126"/>
      <w:bookmarkEnd w:id="127"/>
      <w:bookmarkEnd w:id="128"/>
    </w:p>
    <w:p w14:paraId="3B4750B2" w14:textId="2C7BE8FA" w:rsidR="00F71DF2" w:rsidRPr="00045F71" w:rsidRDefault="00A807E1" w:rsidP="00E172EA">
      <w:pPr>
        <w:pStyle w:val="InstructionsText2"/>
        <w:numPr>
          <w:ilvl w:val="0"/>
          <w:numId w:val="29"/>
        </w:numPr>
        <w:suppressAutoHyphens/>
      </w:pPr>
      <w:r w:rsidRPr="00045F71">
        <w:t>Investiční podniky vykazují údaje o pozicích v každé měně (včetně vykazovací měny) a odpovídajících kapitálových požadavcích k měnovému riziku, s nimiž se zachází v souladu se standardizovaným přístupem. Pozice se vypočítává v případě každé měny (včetně EUR), zlata a pozic v subjektech kolektivního investování.</w:t>
      </w:r>
    </w:p>
    <w:p w14:paraId="39EF826C" w14:textId="60814CC7" w:rsidR="000B0B09" w:rsidRPr="00045F71" w:rsidRDefault="00B31D8A" w:rsidP="00E172EA">
      <w:pPr>
        <w:pStyle w:val="InstructionsText2"/>
        <w:numPr>
          <w:ilvl w:val="0"/>
          <w:numId w:val="29"/>
        </w:numPr>
        <w:suppressAutoHyphens/>
      </w:pPr>
      <w:r w:rsidRPr="00045F71">
        <w:t>Řádky 0100 až 0470 této šablony se vykazují, pokud mají investiční podniky povolení vykonávat činnosti uvedené v příloze I oddíle A bodech 3 nebo 6 směrnice Evropského parlamentu a Rady 2014/65/EU</w:t>
      </w:r>
      <w:r w:rsidRPr="00045F71">
        <w:rPr>
          <w:rStyle w:val="FootnoteReference"/>
        </w:rPr>
        <w:footnoteReference w:id="4"/>
      </w:r>
      <w:r w:rsidRPr="00045F71">
        <w:t>, a to i v případě, že tyto investiční podniky nejsou povinny vypočítat kapitálové požadavky k měnovému riziku v souladu s článkem 351 nařízení (EU) č. 575/2013. V těchto doplňkových položkách jsou zařazeny všechny pozice ve vykazovací měně v řádcích 0100 až 0470 bez ohledu na to, zda se zohledňují pro účely článku 354 nařízení (EU) č. 575/2013. Řádky 0130 až 0470 doplňkových položek se v šabloně vyplňují zvlášť pro všechny měny členských států Unie, tyto měny: GBP, USD, CHF, JPY, RUB, TRY, AUD, CAD, RSD, ALL, UAH, MKD, EGP, ARS, BRL, MXN, HKD, ICK, TWD, NZD, NOK, SGD, KRW, CNY a všechny ostatní měny.</w:t>
      </w:r>
    </w:p>
    <w:p w14:paraId="346B4732" w14:textId="08DE1676"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17322"/>
      <w:r w:rsidRPr="00045F71">
        <w:rPr>
          <w:rFonts w:ascii="Times New Roman" w:hAnsi="Times New Roman"/>
          <w:sz w:val="24"/>
          <w:u w:val="none"/>
        </w:rPr>
        <w:t>6.2</w:t>
      </w:r>
      <w:r w:rsidR="00EF1542">
        <w:rPr>
          <w:u w:val="none"/>
        </w:rPr>
        <w:tab/>
      </w:r>
      <w:r w:rsidR="00EF1542">
        <w:rPr>
          <w:u w:val="none"/>
        </w:rPr>
        <w:tab/>
      </w:r>
      <w:r w:rsidRPr="00045F71">
        <w:rPr>
          <w:rFonts w:ascii="Times New Roman" w:hAnsi="Times New Roman"/>
          <w:sz w:val="24"/>
        </w:rPr>
        <w:t>Pokyny pro konkrétní pozice</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045F71" w14:paraId="49DEFDC7" w14:textId="77777777" w:rsidTr="00672D2A">
        <w:trPr>
          <w:trHeight w:val="595"/>
        </w:trPr>
        <w:tc>
          <w:tcPr>
            <w:tcW w:w="8862" w:type="dxa"/>
            <w:gridSpan w:val="2"/>
            <w:shd w:val="clear" w:color="auto" w:fill="CCCCCC"/>
          </w:tcPr>
          <w:p w14:paraId="12971A77" w14:textId="77777777" w:rsidR="000B0B09" w:rsidRPr="00045F71" w:rsidRDefault="000B0B09"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Sloupce</w:t>
            </w:r>
          </w:p>
        </w:tc>
      </w:tr>
      <w:tr w:rsidR="000B0B09" w:rsidRPr="00045F71" w14:paraId="159B4B41" w14:textId="77777777" w:rsidTr="00672D2A">
        <w:tc>
          <w:tcPr>
            <w:tcW w:w="988" w:type="dxa"/>
          </w:tcPr>
          <w:p w14:paraId="0ABA9E21"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0020–0030</w:t>
            </w:r>
          </w:p>
        </w:tc>
        <w:tc>
          <w:tcPr>
            <w:tcW w:w="7874" w:type="dxa"/>
          </w:tcPr>
          <w:p w14:paraId="3450FB81"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VŠECHNY POZICE (DLOUHÉ A KRÁTKÉ)</w:t>
            </w:r>
          </w:p>
          <w:p w14:paraId="21CD6173"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045F71" w:rsidRDefault="000B0B09"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Hrubé pozice vyplývající z aktiv, částek, které mají být přijaty, a podobných položek uvedených v čl. 352 odst. 1 nařízení (EU) č. 575/2013</w:t>
            </w:r>
          </w:p>
          <w:p w14:paraId="754DB1BB" w14:textId="2FEAA29E" w:rsidR="000B0B09" w:rsidRPr="00045F71" w:rsidRDefault="00BB22D4"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V souladu s čl. 352 odst. 2 nařízení (EU) č. 575/2013 a se svolením příslušných orgánů instituce nevykazují pozice, do kterých vstoupily, aby se zajistily vůči nepříznivému účinku změn směnného kurzu na své poměry kapitálu podle čl. 92 odst. 1 uvedeného nařízení, ani pozice související s položkami, jež jsou už odečteny při výpočtu kapitálu.</w:t>
            </w:r>
          </w:p>
          <w:p w14:paraId="40A85A41"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045F71" w14:paraId="5B6C2519" w14:textId="77777777" w:rsidTr="00672D2A">
        <w:tc>
          <w:tcPr>
            <w:tcW w:w="988" w:type="dxa"/>
          </w:tcPr>
          <w:p w14:paraId="01A2B5B6"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0040–0050</w:t>
            </w:r>
          </w:p>
        </w:tc>
        <w:tc>
          <w:tcPr>
            <w:tcW w:w="7874" w:type="dxa"/>
          </w:tcPr>
          <w:p w14:paraId="5A21CA54"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ČISTÉ POZICE (DLOUHÉ A KRÁTKÉ)</w:t>
            </w:r>
          </w:p>
          <w:p w14:paraId="5D5BCFBB"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045F71" w:rsidRDefault="000B0B09"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Ustanovení čl. 352 odst. 3, čl. 352 odst. 4 prvních dvou vět a článku 353 nařízení (EU) č. 575/2013</w:t>
            </w:r>
          </w:p>
          <w:p w14:paraId="1436375E" w14:textId="14467FBC"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Čisté pozice se vypočítají podle každé měny v souladu s čl. 352 odst. 1 uvedeného nařízení. Mohou být tudíž zároveň vykazovány dlouhé a krátké pozice.</w:t>
            </w:r>
          </w:p>
          <w:p w14:paraId="7EF6C18C"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045F71" w14:paraId="1DBF3F98" w14:textId="77777777" w:rsidTr="00672D2A">
        <w:tc>
          <w:tcPr>
            <w:tcW w:w="988" w:type="dxa"/>
          </w:tcPr>
          <w:p w14:paraId="5ED8190E"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0060–0080</w:t>
            </w:r>
          </w:p>
        </w:tc>
        <w:tc>
          <w:tcPr>
            <w:tcW w:w="7874" w:type="dxa"/>
          </w:tcPr>
          <w:p w14:paraId="23461A49"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POZICE PODLÉHAJÍCÍ KAPITÁLOVÉMU POŽADAVKU</w:t>
            </w:r>
          </w:p>
          <w:p w14:paraId="536B2115"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 xml:space="preserve">Ustanovení čl. 352 odst. 4 třetí věty a článků 353 a 354 nařízení (EU) č. 575/2013 </w:t>
            </w:r>
          </w:p>
          <w:p w14:paraId="091C4CE9"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52E36B34" w14:textId="77777777" w:rsidTr="00672D2A">
        <w:tc>
          <w:tcPr>
            <w:tcW w:w="988" w:type="dxa"/>
          </w:tcPr>
          <w:p w14:paraId="4CF75F7E"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0060–0070</w:t>
            </w:r>
          </w:p>
        </w:tc>
        <w:tc>
          <w:tcPr>
            <w:tcW w:w="7874" w:type="dxa"/>
          </w:tcPr>
          <w:p w14:paraId="4917443B"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b/>
                <w:sz w:val="24"/>
                <w:u w:val="single"/>
              </w:rPr>
              <w:t>POZICE, NA NĚŽ SE VZTAHUJE KAPITÁLOVÝ POŽADAVEK (DLOUHÉ A KRÁTKÉ)</w:t>
            </w:r>
          </w:p>
          <w:p w14:paraId="1CA17503" w14:textId="77777777" w:rsidR="000B0B09" w:rsidRPr="00045F71" w:rsidRDefault="000B0B09" w:rsidP="004C445F">
            <w:pPr>
              <w:suppressAutoHyphens/>
              <w:autoSpaceDE w:val="0"/>
              <w:autoSpaceDN w:val="0"/>
              <w:adjustRightInd w:val="0"/>
              <w:spacing w:after="0"/>
              <w:rPr>
                <w:rFonts w:ascii="Times New Roman" w:hAnsi="Times New Roman"/>
                <w:sz w:val="24"/>
              </w:rPr>
            </w:pPr>
            <w:r w:rsidRPr="00045F71">
              <w:rPr>
                <w:rFonts w:ascii="Times New Roman" w:hAnsi="Times New Roman"/>
                <w:sz w:val="24"/>
              </w:rPr>
              <w:t>Dlouhé a krátké čisté pozice pro každou měnu se vypočítávají odečtením celkových krátkých pozic od celkových dlouhých pozic.</w:t>
            </w:r>
          </w:p>
          <w:p w14:paraId="7912A4F1" w14:textId="77777777" w:rsidR="000B0B09" w:rsidRPr="00045F71" w:rsidRDefault="000B0B09" w:rsidP="004C445F">
            <w:pPr>
              <w:suppressAutoHyphens/>
              <w:autoSpaceDE w:val="0"/>
              <w:autoSpaceDN w:val="0"/>
              <w:adjustRightInd w:val="0"/>
              <w:spacing w:after="0"/>
              <w:rPr>
                <w:rFonts w:ascii="Times New Roman" w:hAnsi="Times New Roman"/>
                <w:sz w:val="24"/>
              </w:rPr>
            </w:pPr>
            <w:r w:rsidRPr="00045F71">
              <w:rPr>
                <w:rFonts w:ascii="Times New Roman" w:hAnsi="Times New Roman"/>
                <w:sz w:val="24"/>
              </w:rPr>
              <w:t>Pro docílení dlouhé čisté pozice v určité měně se sečtou dlouhé čisté pozice za každou operaci v dané měně.</w:t>
            </w:r>
          </w:p>
          <w:p w14:paraId="5B4E9BDF" w14:textId="77777777" w:rsidR="000B0B09" w:rsidRPr="00045F71" w:rsidRDefault="000B0B09" w:rsidP="004C445F">
            <w:pPr>
              <w:suppressAutoHyphens/>
              <w:autoSpaceDE w:val="0"/>
              <w:autoSpaceDN w:val="0"/>
              <w:adjustRightInd w:val="0"/>
              <w:spacing w:after="0"/>
              <w:rPr>
                <w:rFonts w:ascii="Times New Roman" w:hAnsi="Times New Roman"/>
                <w:sz w:val="24"/>
              </w:rPr>
            </w:pPr>
            <w:r w:rsidRPr="00045F71">
              <w:rPr>
                <w:rFonts w:ascii="Times New Roman" w:hAnsi="Times New Roman"/>
                <w:sz w:val="24"/>
              </w:rPr>
              <w:t>Pro docílení krátké čisté pozice v určité měně se sečtou krátké čisté pozice za každou operaci v dané měně.</w:t>
            </w:r>
          </w:p>
          <w:p w14:paraId="71BEB09F" w14:textId="77777777" w:rsidR="000B0B09" w:rsidRPr="00045F71" w:rsidRDefault="000B0B09" w:rsidP="004C445F">
            <w:pPr>
              <w:suppressAutoHyphens/>
              <w:autoSpaceDE w:val="0"/>
              <w:autoSpaceDN w:val="0"/>
              <w:adjustRightInd w:val="0"/>
              <w:spacing w:after="0"/>
              <w:rPr>
                <w:rFonts w:ascii="Times New Roman" w:hAnsi="Times New Roman"/>
                <w:sz w:val="24"/>
              </w:rPr>
            </w:pPr>
            <w:r w:rsidRPr="00045F71">
              <w:rPr>
                <w:rFonts w:ascii="Times New Roman" w:hAnsi="Times New Roman"/>
                <w:sz w:val="24"/>
              </w:rPr>
              <w:t>Nekompenzované pozice v jiných měnách než ve vykazovací měně se přičítají k pozicím, na něž se vztahují kapitálové požadavky, u ostatních měn (řádek 030) ve sloupci 060 nebo 070 podle toho, zda jsou zařazeny jako krátké, nebo dlouhé.</w:t>
            </w:r>
          </w:p>
          <w:p w14:paraId="3B8AB235" w14:textId="77777777" w:rsidR="00DE48EF" w:rsidRPr="00045F71"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153E3368" w14:textId="77777777" w:rsidTr="00672D2A">
        <w:tc>
          <w:tcPr>
            <w:tcW w:w="988" w:type="dxa"/>
          </w:tcPr>
          <w:p w14:paraId="79947C75"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0080</w:t>
            </w:r>
          </w:p>
        </w:tc>
        <w:tc>
          <w:tcPr>
            <w:tcW w:w="7874" w:type="dxa"/>
          </w:tcPr>
          <w:p w14:paraId="50779B26"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POZICE PODLÉHAJÍCÍ KAPITÁLOVÉMU POŽADAVKU (KOMPENZOVANÉ)</w:t>
            </w:r>
          </w:p>
          <w:p w14:paraId="1787EA62"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Kompenzované pozice pro silně korelované měny.</w:t>
            </w:r>
          </w:p>
          <w:p w14:paraId="6BC8E676"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6E3750E4" w14:textId="77777777" w:rsidTr="00672D2A">
        <w:tc>
          <w:tcPr>
            <w:tcW w:w="988" w:type="dxa"/>
          </w:tcPr>
          <w:p w14:paraId="0E46DE0C"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0090</w:t>
            </w:r>
          </w:p>
        </w:tc>
        <w:tc>
          <w:tcPr>
            <w:tcW w:w="7874" w:type="dxa"/>
          </w:tcPr>
          <w:p w14:paraId="4FC12DDA"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KAPITÁLOVÉ POŽADAVKY</w:t>
            </w:r>
          </w:p>
          <w:p w14:paraId="4108E694"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Kapitálový požadavek ke kterékoli příslušné pozici v souladu s částí třetí hlavou IV kapitolou 3 nařízení (EU) č. 575/2013 </w:t>
            </w:r>
          </w:p>
          <w:p w14:paraId="62C9AE79"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75A4CD35" w14:textId="77777777" w:rsidTr="00672D2A">
        <w:tc>
          <w:tcPr>
            <w:tcW w:w="988" w:type="dxa"/>
          </w:tcPr>
          <w:p w14:paraId="5B271B1C"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0100</w:t>
            </w:r>
          </w:p>
        </w:tc>
        <w:tc>
          <w:tcPr>
            <w:tcW w:w="7874" w:type="dxa"/>
          </w:tcPr>
          <w:p w14:paraId="0647EAC0"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CELKOVÝ OBJEM RIZIKOVÉ EXPOZICE</w:t>
            </w:r>
          </w:p>
          <w:p w14:paraId="1005789B"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045F71" w:rsidRDefault="000B0B09" w:rsidP="004C445F">
            <w:pPr>
              <w:tabs>
                <w:tab w:val="left" w:pos="1665"/>
              </w:tabs>
              <w:suppressAutoHyphens/>
              <w:autoSpaceDE w:val="0"/>
              <w:autoSpaceDN w:val="0"/>
              <w:adjustRightInd w:val="0"/>
              <w:spacing w:before="0"/>
              <w:rPr>
                <w:rFonts w:ascii="Times New Roman" w:hAnsi="Times New Roman"/>
                <w:sz w:val="24"/>
              </w:rPr>
            </w:pPr>
            <w:r w:rsidRPr="00045F71">
              <w:rPr>
                <w:rFonts w:ascii="Times New Roman" w:hAnsi="Times New Roman"/>
                <w:sz w:val="24"/>
              </w:rPr>
              <w:t>Ustanovení čl. 92 odst. 6 písm. b) nařízení (EU) č. 575/2013.</w:t>
            </w:r>
          </w:p>
          <w:p w14:paraId="74C1A53D"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Výsledek vynásobení kapitálových požadavků faktorem 12,5. </w:t>
            </w:r>
          </w:p>
          <w:p w14:paraId="43ECFCA3" w14:textId="77777777" w:rsidR="00DE48EF" w:rsidRPr="00045F71"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045F71"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045F71" w14:paraId="0291DB10" w14:textId="77777777" w:rsidTr="00672D2A">
        <w:trPr>
          <w:trHeight w:val="497"/>
        </w:trPr>
        <w:tc>
          <w:tcPr>
            <w:tcW w:w="8862" w:type="dxa"/>
            <w:gridSpan w:val="2"/>
            <w:shd w:val="clear" w:color="auto" w:fill="CCCCCC"/>
          </w:tcPr>
          <w:p w14:paraId="080D5566" w14:textId="77777777" w:rsidR="000B0B09" w:rsidRPr="00045F71" w:rsidRDefault="000B0B09"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Řádky</w:t>
            </w:r>
          </w:p>
        </w:tc>
      </w:tr>
      <w:tr w:rsidR="000B0B09" w:rsidRPr="00045F71" w14:paraId="7E8F93AD" w14:textId="77777777" w:rsidTr="00672D2A">
        <w:tc>
          <w:tcPr>
            <w:tcW w:w="991" w:type="dxa"/>
          </w:tcPr>
          <w:p w14:paraId="308DA059"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w:t>
            </w:r>
          </w:p>
        </w:tc>
        <w:tc>
          <w:tcPr>
            <w:tcW w:w="7871" w:type="dxa"/>
          </w:tcPr>
          <w:p w14:paraId="444D3E44"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CELKOVÉ POZICE</w:t>
            </w:r>
          </w:p>
          <w:p w14:paraId="625A8F91"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045F71" w:rsidRDefault="00491F4D"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Veškeré pozice v jiných měnách než ve vykazovací měně a pozice ve vykazovací měně, jež se zohledňují pro účely článku 354 nařízení (EU) č. 575/2013, a s nimi související kapitálové požadavky k měnovému riziku podle čl. 92 odst. 3 písm. c) bodu i) uvedeného nařízení, se zohledněním čl. 352 odst. 2 a 4 nařízení (EU) č. 575/2013 (pro převod na vykazovací měnu).</w:t>
            </w:r>
          </w:p>
          <w:p w14:paraId="60C8486E"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045F71" w14:paraId="467D9D0D" w14:textId="77777777" w:rsidTr="00672D2A">
        <w:tc>
          <w:tcPr>
            <w:tcW w:w="991" w:type="dxa"/>
          </w:tcPr>
          <w:p w14:paraId="65214D61"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0020</w:t>
            </w:r>
          </w:p>
        </w:tc>
        <w:tc>
          <w:tcPr>
            <w:tcW w:w="7871" w:type="dxa"/>
          </w:tcPr>
          <w:p w14:paraId="49A2740E"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SILNĚ KORELOVANÉ MĚNY</w:t>
            </w:r>
          </w:p>
          <w:p w14:paraId="784B138D"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Pozice a s nimi související kapitálové požadavky pro silně korelované měny uvedené v článku 354 nařízení (EU) č. 575/2013.</w:t>
            </w:r>
          </w:p>
          <w:p w14:paraId="1228E8F4"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045F71" w14:paraId="6BD5BA15" w14:textId="77777777" w:rsidTr="00672D2A">
        <w:tc>
          <w:tcPr>
            <w:tcW w:w="991" w:type="dxa"/>
          </w:tcPr>
          <w:p w14:paraId="5BFECF57" w14:textId="77777777" w:rsidR="00491F4D"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0025</w:t>
            </w:r>
          </w:p>
        </w:tc>
        <w:tc>
          <w:tcPr>
            <w:tcW w:w="7871" w:type="dxa"/>
          </w:tcPr>
          <w:p w14:paraId="596531B8" w14:textId="77777777" w:rsidR="00491F4D" w:rsidRPr="00045F71" w:rsidRDefault="00491F4D"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 xml:space="preserve">Silně korelované měny: </w:t>
            </w:r>
            <w:r w:rsidRPr="00045F71">
              <w:rPr>
                <w:rFonts w:ascii="Times New Roman" w:hAnsi="Times New Roman"/>
                <w:b/>
                <w:i/>
                <w:sz w:val="24"/>
                <w:u w:val="single"/>
              </w:rPr>
              <w:t>z toho</w:t>
            </w:r>
            <w:r w:rsidRPr="00045F71">
              <w:rPr>
                <w:rFonts w:ascii="Times New Roman" w:hAnsi="Times New Roman"/>
                <w:b/>
                <w:sz w:val="24"/>
                <w:u w:val="single"/>
              </w:rPr>
              <w:t>: vykazovací měna</w:t>
            </w:r>
          </w:p>
          <w:p w14:paraId="1A313604" w14:textId="77777777" w:rsidR="00491F4D" w:rsidRPr="00045F71"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045F71" w:rsidRDefault="00491F4D"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Pozice ve vykazovací měně, které přispívají k výpočtu kapitálových požadavků podle článku 354 nařízení (EU) č. 575/2013.</w:t>
            </w:r>
          </w:p>
          <w:p w14:paraId="1727C5A3" w14:textId="77777777" w:rsidR="00491F4D" w:rsidRPr="00045F71"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52A3FAA7" w14:textId="77777777" w:rsidTr="00672D2A">
        <w:tc>
          <w:tcPr>
            <w:tcW w:w="991" w:type="dxa"/>
          </w:tcPr>
          <w:p w14:paraId="0150967E"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0030</w:t>
            </w:r>
          </w:p>
        </w:tc>
        <w:tc>
          <w:tcPr>
            <w:tcW w:w="7871" w:type="dxa"/>
          </w:tcPr>
          <w:p w14:paraId="0BAA11C1"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VŠECHNY OSTATNÍ MĚNY (včetně subjektů kolektivního investování, s nimiž se zachází jako se samostatnými měnami)</w:t>
            </w:r>
          </w:p>
          <w:p w14:paraId="1677D283"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Pozice a s nimi související kapitálové požadavky k měnám podléhajícím obecnému postupu podle článku 351 a čl. 352 odst. 2 a 4 nařízení (EU) č. 575/2013.</w:t>
            </w:r>
          </w:p>
          <w:p w14:paraId="0D0C93F2"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045F71" w:rsidRDefault="000B0B09" w:rsidP="004C445F">
            <w:pPr>
              <w:suppressAutoHyphens/>
              <w:autoSpaceDE w:val="0"/>
              <w:autoSpaceDN w:val="0"/>
              <w:adjustRightInd w:val="0"/>
              <w:spacing w:before="0" w:after="0"/>
              <w:rPr>
                <w:rFonts w:ascii="Times New Roman" w:hAnsi="Times New Roman"/>
                <w:bCs/>
                <w:sz w:val="24"/>
                <w:u w:val="single"/>
              </w:rPr>
            </w:pPr>
            <w:r w:rsidRPr="00045F71">
              <w:rPr>
                <w:rFonts w:ascii="Times New Roman" w:hAnsi="Times New Roman"/>
                <w:sz w:val="24"/>
                <w:u w:val="single"/>
              </w:rPr>
              <w:t>Vykazování subjektů kolektivního investování, s nimiž se zachází jako se samostatnými měnami podle článku 353 nařízení (EU) č. 575/2013:</w:t>
            </w:r>
          </w:p>
          <w:p w14:paraId="77B7A43F" w14:textId="77777777" w:rsidR="000B0B09" w:rsidRPr="00045F71" w:rsidRDefault="000B0B09" w:rsidP="004C445F">
            <w:pPr>
              <w:suppressAutoHyphens/>
              <w:autoSpaceDE w:val="0"/>
              <w:autoSpaceDN w:val="0"/>
              <w:adjustRightInd w:val="0"/>
              <w:spacing w:before="0" w:after="0"/>
              <w:rPr>
                <w:rFonts w:ascii="Times New Roman" w:hAnsi="Times New Roman"/>
                <w:bCs/>
                <w:sz w:val="24"/>
              </w:rPr>
            </w:pPr>
            <w:r w:rsidRPr="00045F71">
              <w:rPr>
                <w:rFonts w:ascii="Times New Roman" w:hAnsi="Times New Roman"/>
                <w:sz w:val="24"/>
              </w:rPr>
              <w:t>K subjektům kolektivního investování, s nimiž se zachází jako se samostatnými měnami, se může pro účely výpočtu kapitálových požadavků přistupovat dvěma způsoby:</w:t>
            </w:r>
          </w:p>
          <w:p w14:paraId="5B250982" w14:textId="5A8D3F48" w:rsidR="000B0B09" w:rsidRPr="00045F71" w:rsidRDefault="00EA7544" w:rsidP="004C445F">
            <w:pPr>
              <w:suppressAutoHyphens/>
              <w:autoSpaceDE w:val="0"/>
              <w:autoSpaceDN w:val="0"/>
              <w:adjustRightInd w:val="0"/>
              <w:spacing w:before="0" w:after="0"/>
              <w:ind w:left="720" w:hanging="360"/>
              <w:rPr>
                <w:rFonts w:ascii="Times New Roman" w:hAnsi="Times New Roman"/>
                <w:bCs/>
                <w:sz w:val="24"/>
              </w:rPr>
            </w:pPr>
            <w:r w:rsidRPr="00045F71">
              <w:rPr>
                <w:rFonts w:ascii="Times New Roman" w:hAnsi="Times New Roman"/>
                <w:sz w:val="24"/>
              </w:rPr>
              <w:t>a) modifikovaná metoda zacházení se zlatem, pokud směr investic subjektů kolektivního investování není znám (uvedené subjekty kolektivního investování se přičítají k celkové čisté měnové pozici instituce);</w:t>
            </w:r>
          </w:p>
          <w:p w14:paraId="36EAAD8C" w14:textId="570B6ECE" w:rsidR="000B0B09" w:rsidRPr="00045F71" w:rsidRDefault="00EA7544" w:rsidP="004C445F">
            <w:pPr>
              <w:suppressAutoHyphens/>
              <w:autoSpaceDE w:val="0"/>
              <w:autoSpaceDN w:val="0"/>
              <w:adjustRightInd w:val="0"/>
              <w:spacing w:before="0" w:after="0"/>
              <w:ind w:left="720" w:hanging="360"/>
              <w:rPr>
                <w:rFonts w:ascii="Times New Roman" w:hAnsi="Times New Roman"/>
                <w:bCs/>
                <w:sz w:val="24"/>
              </w:rPr>
            </w:pPr>
            <w:r w:rsidRPr="00045F71">
              <w:rPr>
                <w:rFonts w:ascii="Times New Roman" w:hAnsi="Times New Roman"/>
                <w:sz w:val="24"/>
              </w:rPr>
              <w:t>b) pokud je znám směr investic subjektu kolektivního investování, tyto subjekty se přičítají k celkové otevřené měnové pozici (dlouhé nebo krátké v závislosti na směru investic subjektu kolektivního investování).</w:t>
            </w:r>
          </w:p>
          <w:p w14:paraId="6410AE39" w14:textId="77777777" w:rsidR="000B0B09" w:rsidRPr="00045F71" w:rsidRDefault="000B0B09" w:rsidP="004C445F">
            <w:pPr>
              <w:suppressAutoHyphens/>
              <w:autoSpaceDE w:val="0"/>
              <w:autoSpaceDN w:val="0"/>
              <w:adjustRightInd w:val="0"/>
              <w:spacing w:before="0" w:after="0"/>
              <w:rPr>
                <w:rFonts w:ascii="Times New Roman" w:hAnsi="Times New Roman"/>
                <w:bCs/>
                <w:sz w:val="24"/>
                <w:u w:val="single"/>
              </w:rPr>
            </w:pPr>
            <w:r w:rsidRPr="00045F71">
              <w:rPr>
                <w:rFonts w:ascii="Times New Roman" w:hAnsi="Times New Roman"/>
                <w:sz w:val="24"/>
              </w:rPr>
              <w:t>Vykazování těchto subjektů kolektivního investování se řídí podle výpočtu kapitálových požadavků.</w:t>
            </w:r>
          </w:p>
          <w:p w14:paraId="6EF89CCB" w14:textId="77777777" w:rsidR="00DE48EF" w:rsidRPr="00045F71"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3074F2FD" w14:textId="77777777" w:rsidTr="00672D2A">
        <w:tc>
          <w:tcPr>
            <w:tcW w:w="991" w:type="dxa"/>
          </w:tcPr>
          <w:p w14:paraId="77D3A983"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0040</w:t>
            </w:r>
          </w:p>
        </w:tc>
        <w:tc>
          <w:tcPr>
            <w:tcW w:w="7871" w:type="dxa"/>
          </w:tcPr>
          <w:p w14:paraId="0E1B066C"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ZLATO</w:t>
            </w:r>
          </w:p>
          <w:p w14:paraId="3DD20C37"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Pozice a s nimi související kapitálové požadavky k měnám podléhajícím obecnému postupu podle článku 351 a čl. 352 odst. 2 a 4 nařízení (EU) č. 575/2013. </w:t>
            </w:r>
          </w:p>
          <w:p w14:paraId="23633856"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76FC5B51" w14:textId="77777777" w:rsidTr="00672D2A">
        <w:tc>
          <w:tcPr>
            <w:tcW w:w="991" w:type="dxa"/>
          </w:tcPr>
          <w:p w14:paraId="119AB326"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 – 0090</w:t>
            </w:r>
          </w:p>
        </w:tc>
        <w:tc>
          <w:tcPr>
            <w:tcW w:w="7871" w:type="dxa"/>
          </w:tcPr>
          <w:p w14:paraId="76D7671B"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Style w:val="InstructionsTabelleberschrift"/>
                <w:rFonts w:ascii="Times New Roman" w:hAnsi="Times New Roman"/>
                <w:sz w:val="24"/>
              </w:rPr>
              <w:t>DODATEČNÉ POŽADAVKY K OPCÍM (JINÁ RIZIKA NEŽ RIZIKA DELTA)</w:t>
            </w:r>
          </w:p>
          <w:p w14:paraId="409B80C0" w14:textId="3123C3E4" w:rsidR="000B0B09" w:rsidRPr="00045F71" w:rsidRDefault="000B0B09" w:rsidP="004C445F">
            <w:pPr>
              <w:suppressAutoHyphens/>
              <w:autoSpaceDE w:val="0"/>
              <w:autoSpaceDN w:val="0"/>
              <w:adjustRightInd w:val="0"/>
              <w:spacing w:after="0"/>
              <w:rPr>
                <w:rFonts w:ascii="Times New Roman" w:hAnsi="Times New Roman"/>
                <w:sz w:val="24"/>
              </w:rPr>
            </w:pPr>
            <w:r w:rsidRPr="00045F71">
              <w:rPr>
                <w:rFonts w:ascii="Times New Roman" w:hAnsi="Times New Roman"/>
                <w:sz w:val="24"/>
              </w:rPr>
              <w:t xml:space="preserve">Ustanovení čl. 352 odst. 5 a 6 nařízení (EU) č. 575/2013 </w:t>
            </w:r>
          </w:p>
          <w:p w14:paraId="28A72F07"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Dodatečné požadavky k opcím související s jinými riziky, než jsou rizika delta, se uvádějí v členění podle metody použité k jejich výpočtu. </w:t>
            </w:r>
          </w:p>
          <w:p w14:paraId="64B10AE8"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4FB6CAB6" w14:textId="77777777" w:rsidTr="00672D2A">
        <w:tc>
          <w:tcPr>
            <w:tcW w:w="991" w:type="dxa"/>
          </w:tcPr>
          <w:p w14:paraId="4A4827FD"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0100–0120</w:t>
            </w:r>
          </w:p>
        </w:tc>
        <w:tc>
          <w:tcPr>
            <w:tcW w:w="7871" w:type="dxa"/>
          </w:tcPr>
          <w:p w14:paraId="4D32EE99"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Rozčlenění celkových pozic (včetně vykazovací měny) podle druhů expozic</w:t>
            </w:r>
          </w:p>
          <w:p w14:paraId="35F84DAE"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Celkové pozice se rozčleňují do derivátů, ostatních aktiv a pasiv a podrozvahových položek.</w:t>
            </w:r>
          </w:p>
          <w:p w14:paraId="645944F1" w14:textId="77777777" w:rsidR="00DE48EF" w:rsidRPr="00045F71"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12C3A573" w14:textId="77777777" w:rsidTr="00672D2A">
        <w:tc>
          <w:tcPr>
            <w:tcW w:w="991" w:type="dxa"/>
          </w:tcPr>
          <w:p w14:paraId="328B76F1"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0100</w:t>
            </w:r>
          </w:p>
        </w:tc>
        <w:tc>
          <w:tcPr>
            <w:tcW w:w="7871" w:type="dxa"/>
          </w:tcPr>
          <w:p w14:paraId="2B5ED8B0"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Ostatní aktiva a pasiva jiná než podrozvahové položky a deriváty</w:t>
            </w:r>
          </w:p>
          <w:p w14:paraId="70ABA94F"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Uvedou se zde pozice nezohledněné v řádku 0110 nebo 0120. </w:t>
            </w:r>
          </w:p>
          <w:p w14:paraId="68474F8C"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sz w:val="24"/>
              </w:rPr>
              <w:t xml:space="preserve"> </w:t>
            </w:r>
          </w:p>
        </w:tc>
      </w:tr>
      <w:tr w:rsidR="000B0B09" w:rsidRPr="00045F71" w14:paraId="68F25686" w14:textId="77777777" w:rsidTr="00672D2A">
        <w:tc>
          <w:tcPr>
            <w:tcW w:w="991" w:type="dxa"/>
          </w:tcPr>
          <w:p w14:paraId="76AEDC5B"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0110</w:t>
            </w:r>
          </w:p>
        </w:tc>
        <w:tc>
          <w:tcPr>
            <w:tcW w:w="7871" w:type="dxa"/>
          </w:tcPr>
          <w:p w14:paraId="2D487603"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Podrozvahové položky</w:t>
            </w:r>
          </w:p>
          <w:p w14:paraId="4FE41ABE"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Položky, na něž se vztahuje článek 352 nařízení (EU) č. 575/2013, bez ohledu na měnu, v níž jsou denominovány, které jsou zahrnuty do přílohy I uvedeného nařízení s výjimkou položek zahrnovaných do transakcí s financováním cenných papírů a transakcí s delší dobou vypořádání nebo položek, které jsou výsledkem smluvního křížového započtení.</w:t>
            </w:r>
          </w:p>
          <w:p w14:paraId="25D49F5C" w14:textId="77777777" w:rsidR="00DE48EF" w:rsidRPr="00045F71"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6C61B439" w14:textId="77777777" w:rsidTr="00672D2A">
        <w:tc>
          <w:tcPr>
            <w:tcW w:w="991" w:type="dxa"/>
          </w:tcPr>
          <w:p w14:paraId="33EE452C"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0120</w:t>
            </w:r>
          </w:p>
        </w:tc>
        <w:tc>
          <w:tcPr>
            <w:tcW w:w="7871" w:type="dxa"/>
          </w:tcPr>
          <w:p w14:paraId="56E07170"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Deriváty</w:t>
            </w:r>
          </w:p>
          <w:p w14:paraId="7B6CC853"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Pozice oceněné podle článku 352 nařízení (EU) č. 575/2013.</w:t>
            </w:r>
          </w:p>
          <w:p w14:paraId="2984F2C2" w14:textId="77777777" w:rsidR="00902EFC" w:rsidRPr="00045F71"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0D32A9CF" w14:textId="77777777" w:rsidTr="00672D2A">
        <w:tc>
          <w:tcPr>
            <w:tcW w:w="991" w:type="dxa"/>
          </w:tcPr>
          <w:p w14:paraId="7B4BCDF0" w14:textId="0459354E"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0130–0470</w:t>
            </w:r>
          </w:p>
        </w:tc>
        <w:tc>
          <w:tcPr>
            <w:tcW w:w="7871" w:type="dxa"/>
          </w:tcPr>
          <w:p w14:paraId="26286B4C" w14:textId="38433819"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b/>
                <w:sz w:val="24"/>
                <w:u w:val="single"/>
              </w:rPr>
              <w:t>DOPLŇKOVÉ POLOŽKY: MĚNOVÉ POZICE</w:t>
            </w:r>
          </w:p>
          <w:p w14:paraId="77A906DE" w14:textId="77777777" w:rsidR="000B0B09" w:rsidRPr="00045F71"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Doplňkové položky se v šabloně vyplňují zvlášť pro všechny měny členských států Unie, GBP, USD, CHF, JPY, RUB, TRY, AUD, CAD, RSD, ALL, UAH, MKD, EGP, ARS, BRL, MXN, HKD, ICK, TWD, NZD, NOK, SGD, KRW, CNY a všechny ostatní měny. </w:t>
            </w:r>
          </w:p>
          <w:p w14:paraId="09723CAF" w14:textId="77777777" w:rsidR="003E0950" w:rsidRPr="00045F71"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045F71" w:rsidRDefault="00A433ED"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Pozice ve zlatě a pozice v subjektech kolektivního investování, s nimiž se zachází jako se samostatnými měnami podle čl. 353 odst. 3 nařízení (EU) č. 575/2013, se zahrnou do řádku 0470.</w:t>
            </w:r>
          </w:p>
          <w:p w14:paraId="2A795EB2" w14:textId="3FA18151" w:rsidR="0055144E" w:rsidRPr="00045F71"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045F71" w:rsidRDefault="000B0B09" w:rsidP="004C445F">
      <w:pPr>
        <w:suppressAutoHyphens/>
        <w:rPr>
          <w:rFonts w:ascii="Times New Roman" w:hAnsi="Times New Roman"/>
          <w:sz w:val="24"/>
        </w:rPr>
      </w:pPr>
    </w:p>
    <w:p w14:paraId="53515718" w14:textId="54673A1A"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17323"/>
      <w:r w:rsidRPr="00045F71">
        <w:rPr>
          <w:rFonts w:ascii="Times New Roman" w:hAnsi="Times New Roman"/>
          <w:sz w:val="24"/>
          <w:u w:val="none"/>
        </w:rPr>
        <w:t>7.</w:t>
      </w:r>
      <w:r w:rsidRPr="00EF1542">
        <w:rPr>
          <w:u w:val="none"/>
        </w:rPr>
        <w:tab/>
      </w:r>
      <w:r w:rsidRPr="00045F71">
        <w:rPr>
          <w:rFonts w:ascii="Times New Roman" w:hAnsi="Times New Roman"/>
          <w:sz w:val="24"/>
        </w:rPr>
        <w:t>C 23.00 – Tržní riziko: Standardizované přístupy pro komodity</w:t>
      </w:r>
      <w:bookmarkEnd w:id="137"/>
      <w:bookmarkEnd w:id="138"/>
      <w:bookmarkEnd w:id="139"/>
      <w:bookmarkEnd w:id="140"/>
      <w:bookmarkEnd w:id="141"/>
      <w:r w:rsidRPr="00045F71">
        <w:rPr>
          <w:rFonts w:ascii="Times New Roman" w:hAnsi="Times New Roman"/>
          <w:sz w:val="24"/>
        </w:rPr>
        <w:t xml:space="preserve"> (MKR SA COM)</w:t>
      </w:r>
      <w:bookmarkEnd w:id="142"/>
      <w:bookmarkEnd w:id="143"/>
    </w:p>
    <w:p w14:paraId="72871AE4" w14:textId="37AAD637"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17324"/>
      <w:r w:rsidRPr="00045F71">
        <w:rPr>
          <w:rFonts w:ascii="Times New Roman" w:hAnsi="Times New Roman"/>
          <w:sz w:val="24"/>
          <w:u w:val="none"/>
        </w:rPr>
        <w:t>7.1</w:t>
      </w:r>
      <w:r w:rsidR="00EF1542">
        <w:rPr>
          <w:u w:val="none"/>
        </w:rPr>
        <w:tab/>
      </w:r>
      <w:r w:rsidR="00EF1542">
        <w:rPr>
          <w:u w:val="none"/>
        </w:rPr>
        <w:tab/>
      </w:r>
      <w:r w:rsidRPr="00045F71">
        <w:rPr>
          <w:rFonts w:ascii="Times New Roman" w:hAnsi="Times New Roman"/>
          <w:sz w:val="24"/>
        </w:rPr>
        <w:t>Obecné poznámky</w:t>
      </w:r>
      <w:bookmarkEnd w:id="144"/>
      <w:bookmarkEnd w:id="145"/>
      <w:bookmarkEnd w:id="146"/>
      <w:bookmarkEnd w:id="147"/>
      <w:bookmarkEnd w:id="148"/>
      <w:bookmarkEnd w:id="149"/>
      <w:bookmarkEnd w:id="150"/>
    </w:p>
    <w:p w14:paraId="441FA19A" w14:textId="36832BFC" w:rsidR="000B0B09" w:rsidRPr="00045F71" w:rsidRDefault="000B0B09" w:rsidP="00E172EA">
      <w:pPr>
        <w:pStyle w:val="InstructionsText2"/>
        <w:numPr>
          <w:ilvl w:val="0"/>
          <w:numId w:val="29"/>
        </w:numPr>
        <w:suppressAutoHyphens/>
      </w:pPr>
      <w:r w:rsidRPr="00045F71">
        <w:t>V této šabloně se vykazují údaje o pozicích v komoditách a odpovídající kapitálové požadavky, s nimiž se zachází v souladu se standardizovaným přístupem.</w:t>
      </w:r>
    </w:p>
    <w:p w14:paraId="0C8765B1" w14:textId="095880F5" w:rsidR="000B0B09" w:rsidRPr="00045F71"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17325"/>
      <w:r w:rsidRPr="00045F71">
        <w:rPr>
          <w:rFonts w:ascii="Times New Roman" w:hAnsi="Times New Roman"/>
          <w:sz w:val="24"/>
          <w:u w:val="none"/>
        </w:rPr>
        <w:t>7.2</w:t>
      </w:r>
      <w:r w:rsidR="00EF1542">
        <w:rPr>
          <w:u w:val="none"/>
        </w:rPr>
        <w:tab/>
      </w:r>
      <w:r w:rsidR="00EF1542">
        <w:rPr>
          <w:u w:val="none"/>
        </w:rPr>
        <w:tab/>
      </w:r>
      <w:r w:rsidRPr="00045F71">
        <w:rPr>
          <w:rFonts w:ascii="Times New Roman" w:hAnsi="Times New Roman"/>
          <w:sz w:val="24"/>
        </w:rPr>
        <w:t>Pokyny pro konkrétní pozice</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045F71" w14:paraId="7440A91F" w14:textId="77777777" w:rsidTr="00672D2A">
        <w:trPr>
          <w:trHeight w:val="591"/>
        </w:trPr>
        <w:tc>
          <w:tcPr>
            <w:tcW w:w="8862" w:type="dxa"/>
            <w:gridSpan w:val="2"/>
            <w:shd w:val="clear" w:color="auto" w:fill="CCCCCC"/>
          </w:tcPr>
          <w:p w14:paraId="4154FB7C" w14:textId="77777777" w:rsidR="000B0B09" w:rsidRPr="00045F71" w:rsidRDefault="000B0B09"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Sloupce</w:t>
            </w:r>
          </w:p>
        </w:tc>
      </w:tr>
      <w:tr w:rsidR="000B0B09" w:rsidRPr="00045F71" w14:paraId="12CECACA" w14:textId="77777777" w:rsidTr="00672D2A">
        <w:tc>
          <w:tcPr>
            <w:tcW w:w="986" w:type="dxa"/>
          </w:tcPr>
          <w:p w14:paraId="6FA50BBC"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0010–0020</w:t>
            </w:r>
          </w:p>
        </w:tc>
        <w:tc>
          <w:tcPr>
            <w:tcW w:w="7876" w:type="dxa"/>
          </w:tcPr>
          <w:p w14:paraId="29C026B5"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VŠECHNY POZICE (DLOUHÉ A KRÁTKÉ)</w:t>
            </w:r>
          </w:p>
          <w:p w14:paraId="4B99A786"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Hrubé dlouhé/krátké pozice považované za pozice ve stejné komoditě podle čl. 357 odst. 4 nařízení (EU) č. 575/2013 (viz také čl. 359 odst. 1 uvedeného nařízení)</w:t>
            </w:r>
          </w:p>
          <w:p w14:paraId="3E9C7204"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 </w:t>
            </w:r>
          </w:p>
        </w:tc>
      </w:tr>
      <w:tr w:rsidR="000B0B09" w:rsidRPr="00045F71" w14:paraId="4AB4396B" w14:textId="77777777" w:rsidTr="00672D2A">
        <w:tc>
          <w:tcPr>
            <w:tcW w:w="986" w:type="dxa"/>
          </w:tcPr>
          <w:p w14:paraId="224657DD"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0030–0040 </w:t>
            </w:r>
          </w:p>
        </w:tc>
        <w:tc>
          <w:tcPr>
            <w:tcW w:w="7876" w:type="dxa"/>
          </w:tcPr>
          <w:p w14:paraId="7FA580C3"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ČISTÉ POZICE (DLOUHÉ A KRÁTKÉ)</w:t>
            </w:r>
          </w:p>
          <w:p w14:paraId="0B49C3FC"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045F71" w:rsidRDefault="000B0B09"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 xml:space="preserve">Podle čl. 357 odst. 3 nařízení (EU) č. 575/2013 </w:t>
            </w:r>
          </w:p>
        </w:tc>
      </w:tr>
      <w:tr w:rsidR="000B0B09" w:rsidRPr="00045F71" w14:paraId="0A46320C" w14:textId="77777777" w:rsidTr="00672D2A">
        <w:tc>
          <w:tcPr>
            <w:tcW w:w="986" w:type="dxa"/>
          </w:tcPr>
          <w:p w14:paraId="7F0B984E"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w:t>
            </w:r>
          </w:p>
        </w:tc>
        <w:tc>
          <w:tcPr>
            <w:tcW w:w="7876" w:type="dxa"/>
          </w:tcPr>
          <w:p w14:paraId="7ADEF1C0"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POZICE PODLÉHAJÍCÍ KAPITÁLOVÉMU POŽADAVKU</w:t>
            </w:r>
          </w:p>
          <w:p w14:paraId="55ED580C"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Čisté pozice, na něž se podle různých přístupů uvedených v části třetí hlavě IV kapitole 4 nařízení (EU) č. 575/2013 vztahují kapitálové požadavky.</w:t>
            </w:r>
          </w:p>
          <w:p w14:paraId="762BD2E2"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637B5E6C" w14:textId="77777777" w:rsidTr="00672D2A">
        <w:tc>
          <w:tcPr>
            <w:tcW w:w="986" w:type="dxa"/>
          </w:tcPr>
          <w:p w14:paraId="41FAB945"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0060</w:t>
            </w:r>
          </w:p>
        </w:tc>
        <w:tc>
          <w:tcPr>
            <w:tcW w:w="7876" w:type="dxa"/>
          </w:tcPr>
          <w:p w14:paraId="4AA26DC6"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KAPITÁLOVÉ POŽADAVKY</w:t>
            </w:r>
          </w:p>
          <w:p w14:paraId="545A195F"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045F71" w:rsidRDefault="000B0B09" w:rsidP="004C445F">
            <w:pPr>
              <w:suppressAutoHyphens/>
              <w:autoSpaceDE w:val="0"/>
              <w:autoSpaceDN w:val="0"/>
              <w:adjustRightInd w:val="0"/>
              <w:spacing w:before="0"/>
              <w:rPr>
                <w:rFonts w:ascii="Times New Roman" w:hAnsi="Times New Roman"/>
                <w:b/>
                <w:bCs/>
                <w:sz w:val="24"/>
                <w:u w:val="single"/>
              </w:rPr>
            </w:pPr>
            <w:r w:rsidRPr="00045F71">
              <w:rPr>
                <w:rFonts w:ascii="Times New Roman" w:hAnsi="Times New Roman"/>
                <w:sz w:val="24"/>
              </w:rPr>
              <w:t>Kapitálový požadavek ke kterékoli příslušné pozici vypočítaný v souladu s částí třetí hlavou IV kapitolou 4 nařízení (EU) č. 575/2013</w:t>
            </w:r>
          </w:p>
        </w:tc>
      </w:tr>
      <w:tr w:rsidR="000B0B09" w:rsidRPr="00045F71" w14:paraId="380AB4E0" w14:textId="77777777" w:rsidTr="00672D2A">
        <w:tc>
          <w:tcPr>
            <w:tcW w:w="986" w:type="dxa"/>
          </w:tcPr>
          <w:p w14:paraId="0EE22EDA"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0070</w:t>
            </w:r>
          </w:p>
        </w:tc>
        <w:tc>
          <w:tcPr>
            <w:tcW w:w="7876" w:type="dxa"/>
          </w:tcPr>
          <w:p w14:paraId="162C1DF7"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CELKOVÝ OBJEM RIZIKOVÉ EXPOZICE</w:t>
            </w:r>
          </w:p>
          <w:p w14:paraId="35864C1F" w14:textId="77777777" w:rsidR="000B0B09" w:rsidRPr="00045F71"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045F71" w:rsidRDefault="000B0B09" w:rsidP="004C445F">
            <w:pPr>
              <w:tabs>
                <w:tab w:val="left" w:pos="1665"/>
              </w:tabs>
              <w:suppressAutoHyphens/>
              <w:autoSpaceDE w:val="0"/>
              <w:autoSpaceDN w:val="0"/>
              <w:adjustRightInd w:val="0"/>
              <w:spacing w:before="0"/>
              <w:rPr>
                <w:rFonts w:ascii="Times New Roman" w:hAnsi="Times New Roman"/>
                <w:sz w:val="24"/>
              </w:rPr>
            </w:pPr>
            <w:r w:rsidRPr="00045F71">
              <w:rPr>
                <w:rFonts w:ascii="Times New Roman" w:hAnsi="Times New Roman"/>
                <w:sz w:val="24"/>
              </w:rPr>
              <w:t xml:space="preserve">Ustanovení čl. 92 odst. 6 písm. b) nařízení (EU) č. 575/2013. </w:t>
            </w:r>
          </w:p>
          <w:p w14:paraId="67EADC1A" w14:textId="77777777" w:rsidR="000B0B09" w:rsidRPr="00045F71"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sidRPr="00045F71">
              <w:rPr>
                <w:rFonts w:ascii="Times New Roman" w:hAnsi="Times New Roman"/>
                <w:sz w:val="24"/>
              </w:rPr>
              <w:t>Výsledek vynásobení kapitálových požadavků faktorem 12,5</w:t>
            </w:r>
          </w:p>
        </w:tc>
      </w:tr>
    </w:tbl>
    <w:p w14:paraId="0DC9D0A4" w14:textId="77777777" w:rsidR="000B0B09" w:rsidRPr="00045F71"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045F71" w14:paraId="0386B5FC" w14:textId="77777777" w:rsidTr="00672D2A">
        <w:trPr>
          <w:trHeight w:val="483"/>
        </w:trPr>
        <w:tc>
          <w:tcPr>
            <w:tcW w:w="8862" w:type="dxa"/>
            <w:gridSpan w:val="2"/>
            <w:shd w:val="clear" w:color="auto" w:fill="CCCCCC"/>
          </w:tcPr>
          <w:p w14:paraId="1255E033" w14:textId="77777777" w:rsidR="000B0B09" w:rsidRPr="00045F71" w:rsidRDefault="000B0B09"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Řádky</w:t>
            </w:r>
          </w:p>
        </w:tc>
      </w:tr>
      <w:tr w:rsidR="000B0B09" w:rsidRPr="00045F71" w14:paraId="3F19FB75" w14:textId="77777777" w:rsidTr="00672D2A">
        <w:tc>
          <w:tcPr>
            <w:tcW w:w="987" w:type="dxa"/>
          </w:tcPr>
          <w:p w14:paraId="62003386"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w:t>
            </w:r>
          </w:p>
        </w:tc>
        <w:tc>
          <w:tcPr>
            <w:tcW w:w="7875" w:type="dxa"/>
          </w:tcPr>
          <w:p w14:paraId="3CC5979D"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CELKOVÉ POZICE V KOMODITÁCH</w:t>
            </w:r>
          </w:p>
          <w:p w14:paraId="03562626" w14:textId="77777777" w:rsidR="000B0B09" w:rsidRPr="00045F71"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045F71" w:rsidRDefault="000B0B09"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 xml:space="preserve">Pozice v komoditách a s nimi související kapitálové požadavky k tržnímu riziku vypočtené podle čl. 92 odst. 4 písm. c) nařízení (EU) č. 575/2013 a části třetí hlavy IV kapitoly 4 uvedeného nařízení </w:t>
            </w:r>
          </w:p>
        </w:tc>
      </w:tr>
      <w:tr w:rsidR="000B0B09" w:rsidRPr="00045F71" w14:paraId="216F1AEE" w14:textId="77777777" w:rsidTr="00672D2A">
        <w:tc>
          <w:tcPr>
            <w:tcW w:w="987" w:type="dxa"/>
          </w:tcPr>
          <w:p w14:paraId="62D08C2C"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0020–0060</w:t>
            </w:r>
          </w:p>
        </w:tc>
        <w:tc>
          <w:tcPr>
            <w:tcW w:w="7875" w:type="dxa"/>
          </w:tcPr>
          <w:p w14:paraId="759E5790"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POZICE PODLE KATEGORIE KOMODITY</w:t>
            </w:r>
          </w:p>
          <w:p w14:paraId="56921883"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Komodity se pro účely vykazování seskupují do čtyř skupin uvedených v tabulce 2 v článku 361 nařízení (EU) č. 575/2013.</w:t>
            </w:r>
          </w:p>
          <w:p w14:paraId="04BB5316"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 </w:t>
            </w:r>
          </w:p>
        </w:tc>
      </w:tr>
      <w:tr w:rsidR="000B0B09" w:rsidRPr="00045F71" w14:paraId="50CBB22D" w14:textId="77777777" w:rsidTr="00672D2A">
        <w:tc>
          <w:tcPr>
            <w:tcW w:w="987" w:type="dxa"/>
          </w:tcPr>
          <w:p w14:paraId="3E68EF2F"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0070</w:t>
            </w:r>
          </w:p>
        </w:tc>
        <w:tc>
          <w:tcPr>
            <w:tcW w:w="7875" w:type="dxa"/>
          </w:tcPr>
          <w:p w14:paraId="5AACA5EE"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METODA SPLATNOSTÍ</w:t>
            </w:r>
          </w:p>
          <w:p w14:paraId="2C667CB8"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Pozice v komoditách, na něž se vztahuje metoda splatností, jak je uvedena v článku 359 nařízení (EU) č. 575/2013</w:t>
            </w:r>
          </w:p>
          <w:p w14:paraId="018E7283"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1D4187B0" w14:textId="77777777" w:rsidTr="00672D2A">
        <w:tc>
          <w:tcPr>
            <w:tcW w:w="987" w:type="dxa"/>
          </w:tcPr>
          <w:p w14:paraId="317F5718"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0080</w:t>
            </w:r>
          </w:p>
        </w:tc>
        <w:tc>
          <w:tcPr>
            <w:tcW w:w="7875" w:type="dxa"/>
          </w:tcPr>
          <w:p w14:paraId="7D3D047D"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ROZŠÍŘENÁ METODA SPLATNOSTÍ</w:t>
            </w:r>
          </w:p>
          <w:p w14:paraId="28E22845"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Pozice v komoditách, na něž se vztahuje rozšířená metoda splatností, jak je uvedena v článku 361 nařízení (EU) č. 575/2013</w:t>
            </w:r>
          </w:p>
          <w:p w14:paraId="4CC42EBB"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08D8BBC0" w14:textId="77777777" w:rsidTr="00672D2A">
        <w:tc>
          <w:tcPr>
            <w:tcW w:w="987" w:type="dxa"/>
          </w:tcPr>
          <w:p w14:paraId="75FF36E9"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0090</w:t>
            </w:r>
          </w:p>
        </w:tc>
        <w:tc>
          <w:tcPr>
            <w:tcW w:w="7875" w:type="dxa"/>
          </w:tcPr>
          <w:p w14:paraId="5AEA8FE4"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ZJEDNODUŠENÁ METODA</w:t>
            </w:r>
          </w:p>
          <w:p w14:paraId="739EF26B"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Pozice v komoditách, na něž se vztahuje zjednodušená metoda, jak je uvedena v článku 360 nařízení (EU) č. 575/2013 </w:t>
            </w:r>
          </w:p>
          <w:p w14:paraId="72D24CC9"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045F71" w14:paraId="46AF081D" w14:textId="77777777" w:rsidTr="00672D2A">
        <w:tc>
          <w:tcPr>
            <w:tcW w:w="987" w:type="dxa"/>
          </w:tcPr>
          <w:p w14:paraId="7DA76A9F" w14:textId="77777777" w:rsidR="000B0B09" w:rsidRPr="00045F71" w:rsidRDefault="002F79EA"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0100–0140</w:t>
            </w:r>
          </w:p>
        </w:tc>
        <w:tc>
          <w:tcPr>
            <w:tcW w:w="7875" w:type="dxa"/>
          </w:tcPr>
          <w:p w14:paraId="1AB2469B" w14:textId="77777777" w:rsidR="000B0B09" w:rsidRPr="00045F71" w:rsidRDefault="000B0B09" w:rsidP="004C445F">
            <w:pPr>
              <w:suppressAutoHyphens/>
              <w:autoSpaceDE w:val="0"/>
              <w:autoSpaceDN w:val="0"/>
              <w:adjustRightInd w:val="0"/>
              <w:spacing w:before="0" w:after="0"/>
              <w:rPr>
                <w:rFonts w:ascii="Times New Roman" w:hAnsi="Times New Roman"/>
                <w:b/>
                <w:bCs/>
                <w:sz w:val="24"/>
                <w:u w:val="single"/>
              </w:rPr>
            </w:pPr>
            <w:r w:rsidRPr="00045F71">
              <w:rPr>
                <w:rStyle w:val="InstructionsTabelleberschrift"/>
                <w:rFonts w:ascii="Times New Roman" w:hAnsi="Times New Roman"/>
                <w:sz w:val="24"/>
              </w:rPr>
              <w:t>DODATEČNÉ POŽADAVKY K OPCÍM (JINÁ RIZIKA NEŽ RIZIKA DELTA)</w:t>
            </w:r>
          </w:p>
          <w:p w14:paraId="444B7110" w14:textId="08585130" w:rsidR="000B0B09" w:rsidRPr="00045F71" w:rsidRDefault="000B0B09" w:rsidP="004C445F">
            <w:pPr>
              <w:suppressAutoHyphens/>
              <w:autoSpaceDE w:val="0"/>
              <w:autoSpaceDN w:val="0"/>
              <w:adjustRightInd w:val="0"/>
              <w:rPr>
                <w:rFonts w:ascii="Times New Roman" w:hAnsi="Times New Roman"/>
                <w:sz w:val="24"/>
              </w:rPr>
            </w:pPr>
            <w:r w:rsidRPr="00045F71">
              <w:rPr>
                <w:rFonts w:ascii="Times New Roman" w:hAnsi="Times New Roman"/>
                <w:sz w:val="24"/>
              </w:rPr>
              <w:t xml:space="preserve">Ustanovení čl. 358 odst. 4 nařízení (EU) č. 575/2013 </w:t>
            </w:r>
          </w:p>
          <w:p w14:paraId="1D3D5AF7" w14:textId="77777777" w:rsidR="000B0B09" w:rsidRPr="00045F71" w:rsidRDefault="000B0B09"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Dodatečné požadavky k opcím související s jinými riziky, než jsou rizika delta, se uvádějí u metody použité k jejich výpočtu.</w:t>
            </w:r>
          </w:p>
          <w:p w14:paraId="55D77BA3" w14:textId="77777777" w:rsidR="000B0B09" w:rsidRPr="00045F71"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045F71" w:rsidRDefault="000B0B09" w:rsidP="004C445F">
      <w:pPr>
        <w:suppressAutoHyphens/>
        <w:rPr>
          <w:rFonts w:ascii="Times New Roman" w:hAnsi="Times New Roman"/>
          <w:sz w:val="24"/>
        </w:rPr>
      </w:pPr>
    </w:p>
    <w:p w14:paraId="60EF2674" w14:textId="77777777" w:rsidR="000B0B09" w:rsidRPr="00045F71"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045F71" w:rsidRDefault="00C82BBD" w:rsidP="004C445F">
      <w:pPr>
        <w:pStyle w:val="Instructionsberschrift2"/>
        <w:numPr>
          <w:ilvl w:val="0"/>
          <w:numId w:val="0"/>
        </w:numPr>
        <w:suppressAutoHyphens/>
        <w:ind w:left="357" w:hanging="357"/>
        <w:rPr>
          <w:rFonts w:ascii="Times New Roman" w:hAnsi="Times New Roman"/>
          <w:sz w:val="24"/>
        </w:rPr>
      </w:pPr>
      <w:bookmarkStart w:id="158" w:name="_Toc210917326"/>
      <w:r w:rsidRPr="008452BF">
        <w:rPr>
          <w:rFonts w:ascii="Times New Roman" w:hAnsi="Times New Roman"/>
          <w:sz w:val="24"/>
          <w:u w:val="none"/>
        </w:rPr>
        <w:lastRenderedPageBreak/>
        <w:t>8.</w:t>
      </w:r>
      <w:r w:rsidRPr="008452BF">
        <w:rPr>
          <w:u w:val="none"/>
        </w:rPr>
        <w:tab/>
      </w:r>
      <w:r w:rsidRPr="00045F71">
        <w:rPr>
          <w:rFonts w:ascii="Times New Roman" w:hAnsi="Times New Roman"/>
          <w:sz w:val="24"/>
        </w:rPr>
        <w:t>C 24.00 – Interní model pro tržní riziko (MKR IM)</w:t>
      </w:r>
      <w:bookmarkEnd w:id="158"/>
    </w:p>
    <w:p w14:paraId="4EE11059" w14:textId="6846B95E" w:rsidR="005970B6" w:rsidRPr="00045F71"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17327"/>
      <w:r w:rsidRPr="00045F71">
        <w:rPr>
          <w:rFonts w:ascii="Times New Roman" w:hAnsi="Times New Roman"/>
          <w:sz w:val="24"/>
          <w:u w:val="none"/>
        </w:rPr>
        <w:t>8.1</w:t>
      </w:r>
      <w:r w:rsidR="008452BF">
        <w:rPr>
          <w:u w:val="none"/>
        </w:rPr>
        <w:tab/>
      </w:r>
      <w:r w:rsidR="008452BF">
        <w:rPr>
          <w:u w:val="none"/>
        </w:rPr>
        <w:tab/>
      </w:r>
      <w:r w:rsidRPr="00045F71">
        <w:rPr>
          <w:rFonts w:ascii="Times New Roman" w:hAnsi="Times New Roman"/>
          <w:sz w:val="24"/>
        </w:rPr>
        <w:t>Obecné poznámky</w:t>
      </w:r>
      <w:bookmarkEnd w:id="159"/>
      <w:bookmarkEnd w:id="160"/>
    </w:p>
    <w:p w14:paraId="2B3D1454" w14:textId="708078C0" w:rsidR="005970B6" w:rsidRPr="00045F71" w:rsidRDefault="005970B6" w:rsidP="00E172EA">
      <w:pPr>
        <w:pStyle w:val="InstructionsText2"/>
        <w:numPr>
          <w:ilvl w:val="0"/>
          <w:numId w:val="29"/>
        </w:numPr>
        <w:suppressAutoHyphens/>
      </w:pPr>
      <w:r w:rsidRPr="00045F71">
        <w:t>V této šabloně se uvádí rozčlenění hodnot v riziku (VaR) a stresových hodnot v riziku (SVaR) podle různých tržních rizik (dluhové, akciové, měnové, komoditní) a další údaje týkající se výpočtu kapitálových požadavků.</w:t>
      </w:r>
    </w:p>
    <w:p w14:paraId="6141A6DE" w14:textId="106A2D11" w:rsidR="005970B6" w:rsidRPr="00045F71" w:rsidRDefault="005970B6" w:rsidP="00E172EA">
      <w:pPr>
        <w:pStyle w:val="InstructionsText2"/>
        <w:numPr>
          <w:ilvl w:val="0"/>
          <w:numId w:val="29"/>
        </w:numPr>
        <w:suppressAutoHyphens/>
      </w:pPr>
      <w:r w:rsidRPr="00045F71">
        <w:t xml:space="preserve">Z obecného hlediska závisí na struktuře modelu investičních podniků, zda údaje k obecnému a specifickému riziku mohou být určeny a vykazovány odděleně, nebo pouze souhrnně. Totéž platí pro rozložení VaR či stresových VaR do kategorií rizika (úrokové riziko, akciové riziko, komoditní riziko a měnové riziko). Instituce nemusí vykazovat uvedená rozložení, prokáže-li, že by bylo vykazování těchto údajů nepřiměřeně zatěžující. </w:t>
      </w:r>
    </w:p>
    <w:p w14:paraId="2EAB7003" w14:textId="52259D1D" w:rsidR="005970B6" w:rsidRPr="00045F71"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17328"/>
      <w:r w:rsidRPr="00045F71">
        <w:rPr>
          <w:rFonts w:ascii="Times New Roman" w:hAnsi="Times New Roman"/>
          <w:sz w:val="24"/>
          <w:u w:val="none"/>
        </w:rPr>
        <w:t>8.2</w:t>
      </w:r>
      <w:r w:rsidR="008452BF">
        <w:rPr>
          <w:u w:val="none"/>
        </w:rPr>
        <w:tab/>
      </w:r>
      <w:r w:rsidR="008452BF">
        <w:rPr>
          <w:u w:val="none"/>
        </w:rPr>
        <w:tab/>
      </w:r>
      <w:r w:rsidRPr="00045F71">
        <w:rPr>
          <w:rFonts w:ascii="Times New Roman" w:hAnsi="Times New Roman"/>
          <w:sz w:val="24"/>
        </w:rPr>
        <w:t>Pokyny pro konkrétní pozice</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045F71" w14:paraId="2AB574E2" w14:textId="77777777">
        <w:tc>
          <w:tcPr>
            <w:tcW w:w="8862" w:type="dxa"/>
            <w:gridSpan w:val="2"/>
            <w:shd w:val="clear" w:color="auto" w:fill="BFBFBF"/>
          </w:tcPr>
          <w:p w14:paraId="01F4E302"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Sloupce</w:t>
            </w:r>
          </w:p>
        </w:tc>
      </w:tr>
      <w:tr w:rsidR="005970B6" w:rsidRPr="00045F71" w14:paraId="52E77425" w14:textId="77777777">
        <w:tc>
          <w:tcPr>
            <w:tcW w:w="993" w:type="dxa"/>
          </w:tcPr>
          <w:p w14:paraId="0E51BB94"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0030–0040</w:t>
            </w:r>
          </w:p>
        </w:tc>
        <w:tc>
          <w:tcPr>
            <w:tcW w:w="7869" w:type="dxa"/>
          </w:tcPr>
          <w:p w14:paraId="7095CD17"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Hodnota v riziku (VaR)</w:t>
            </w:r>
          </w:p>
          <w:p w14:paraId="3DE9F1A1" w14:textId="77777777" w:rsidR="005970B6" w:rsidRPr="00045F71" w:rsidRDefault="005970B6"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Hodnotou v riziku se rozumí maximální potenciální ztráta, která by s danou pravděpodobností a ve specifikovaném časovém horizontu vznikla v důsledku změny v ceně.</w:t>
            </w:r>
          </w:p>
        </w:tc>
      </w:tr>
      <w:tr w:rsidR="005970B6" w:rsidRPr="00045F71" w14:paraId="0C4757E9" w14:textId="77777777">
        <w:tc>
          <w:tcPr>
            <w:tcW w:w="993" w:type="dxa"/>
          </w:tcPr>
          <w:p w14:paraId="145F944C"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w:t>
            </w:r>
          </w:p>
        </w:tc>
        <w:tc>
          <w:tcPr>
            <w:tcW w:w="7869" w:type="dxa"/>
          </w:tcPr>
          <w:p w14:paraId="31C8EDD2"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Multiplikační faktor (mc) vynásobený průměrem výše VaR za předchozích 60 pracovních dnů (VaRavg)</w:t>
            </w:r>
          </w:p>
          <w:p w14:paraId="04584C56"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Ustanovení čl. 364 odst. 1 písm. a) bodu ii) a čl. 365 odst. 1 nařízení (EU) č. 575/2013 </w:t>
            </w:r>
          </w:p>
          <w:p w14:paraId="0DEB05BA" w14:textId="77777777" w:rsidR="005970B6" w:rsidRPr="00045F71"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045F71" w14:paraId="072FF466" w14:textId="77777777">
        <w:tc>
          <w:tcPr>
            <w:tcW w:w="993" w:type="dxa"/>
          </w:tcPr>
          <w:p w14:paraId="280446FC"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0040</w:t>
            </w:r>
          </w:p>
        </w:tc>
        <w:tc>
          <w:tcPr>
            <w:tcW w:w="7869" w:type="dxa"/>
          </w:tcPr>
          <w:p w14:paraId="4723F402"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Denní výše VaR z předchozího dne (VaRt–1)</w:t>
            </w:r>
          </w:p>
          <w:p w14:paraId="4954CEFC"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Ustanovení čl. 364 odst. 1 písm. a) bodu i) a čl. 365 odst. 1 nařízení (EU) č. 575/2013 </w:t>
            </w:r>
          </w:p>
          <w:p w14:paraId="645E0D45" w14:textId="77777777" w:rsidR="005970B6" w:rsidRPr="00045F71"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045F71" w14:paraId="301A77B0" w14:textId="77777777">
        <w:tc>
          <w:tcPr>
            <w:tcW w:w="993" w:type="dxa"/>
          </w:tcPr>
          <w:p w14:paraId="55BFA8D9"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0050–0060</w:t>
            </w:r>
          </w:p>
        </w:tc>
        <w:tc>
          <w:tcPr>
            <w:tcW w:w="7869" w:type="dxa"/>
          </w:tcPr>
          <w:p w14:paraId="34BD64B9"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Stresová VaR</w:t>
            </w:r>
          </w:p>
          <w:p w14:paraId="60CDE984"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045F71" w:rsidRDefault="005970B6"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Stresovou hodnotou v riziku se rozumí maximální potenciální ztráta, která by s danou pravděpodobností a ve specifikovaném časovém horizontu vznikla v důsledku změny v ceně, vypočítaná za pomoci vstupních kalibrovaných historických údajů ze souvislého dvanáctiměsíčního období finanční zátěže významné pro portfolio instituce.</w:t>
            </w:r>
          </w:p>
        </w:tc>
      </w:tr>
      <w:tr w:rsidR="005970B6" w:rsidRPr="00045F71" w14:paraId="3411CEBC" w14:textId="77777777">
        <w:tc>
          <w:tcPr>
            <w:tcW w:w="993" w:type="dxa"/>
          </w:tcPr>
          <w:p w14:paraId="026E7588"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0050</w:t>
            </w:r>
          </w:p>
        </w:tc>
        <w:tc>
          <w:tcPr>
            <w:tcW w:w="7869" w:type="dxa"/>
          </w:tcPr>
          <w:p w14:paraId="629F86AB"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Multiplikační faktor (ms) vynásobený průměrem výše SVaR za předchozích 60 pracovních dnů (SVaRavg)</w:t>
            </w:r>
          </w:p>
          <w:p w14:paraId="1CFE4B08" w14:textId="77777777" w:rsidR="005970B6" w:rsidRPr="00045F71"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045F71"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sidRPr="00045F71">
              <w:rPr>
                <w:rFonts w:ascii="Times New Roman" w:hAnsi="Times New Roman"/>
                <w:sz w:val="24"/>
              </w:rPr>
              <w:t>Ustanovení čl. 364 odst. 1 písm. b) bodu ii) a čl. 365 odst. 1 nařízení (EU) č. 575/2013</w:t>
            </w:r>
            <w:r w:rsidRPr="00045F71">
              <w:rPr>
                <w:rStyle w:val="InstructionsTabelleberschrift"/>
                <w:rFonts w:ascii="Times New Roman" w:hAnsi="Times New Roman"/>
                <w:sz w:val="24"/>
              </w:rPr>
              <w:t xml:space="preserve"> </w:t>
            </w:r>
          </w:p>
          <w:p w14:paraId="77989826" w14:textId="77777777" w:rsidR="005970B6" w:rsidRPr="00045F71"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045F71" w14:paraId="41A38D20" w14:textId="77777777">
        <w:tc>
          <w:tcPr>
            <w:tcW w:w="993" w:type="dxa"/>
          </w:tcPr>
          <w:p w14:paraId="2A34CF8D"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0060</w:t>
            </w:r>
          </w:p>
        </w:tc>
        <w:tc>
          <w:tcPr>
            <w:tcW w:w="7869" w:type="dxa"/>
          </w:tcPr>
          <w:p w14:paraId="470B121D"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Poslední dostupná stresová hodnota (SVaRt-1)</w:t>
            </w:r>
          </w:p>
          <w:p w14:paraId="0EC2BDBA" w14:textId="77777777" w:rsidR="005970B6" w:rsidRPr="00045F71"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 xml:space="preserve">Ustanovení čl. 364 odst. 1 písm. b) bodu i) a čl. 365 odst. 1 nařízení (EU) č. 575/2013 </w:t>
            </w:r>
          </w:p>
          <w:p w14:paraId="5E60C647"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045F71" w14:paraId="7F2569E5" w14:textId="77777777">
        <w:tc>
          <w:tcPr>
            <w:tcW w:w="993" w:type="dxa"/>
          </w:tcPr>
          <w:p w14:paraId="3A69DDB7"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0070–0080</w:t>
            </w:r>
          </w:p>
        </w:tc>
        <w:tc>
          <w:tcPr>
            <w:tcW w:w="7869" w:type="dxa"/>
          </w:tcPr>
          <w:p w14:paraId="0A6B8E33"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KAPITÁLOVÝ POŽADAVEK K DODATEČNÉMU RIZIKU SELHÁNÍ A MIGRACE</w:t>
            </w:r>
          </w:p>
          <w:p w14:paraId="5B3AF066" w14:textId="72000B27" w:rsidR="005970B6" w:rsidRPr="00045F71" w:rsidRDefault="005970B6" w:rsidP="004C445F">
            <w:pPr>
              <w:suppressAutoHyphens/>
              <w:rPr>
                <w:rFonts w:ascii="Times New Roman" w:hAnsi="Times New Roman"/>
                <w:b/>
                <w:bCs/>
                <w:sz w:val="24"/>
                <w:u w:val="single"/>
              </w:rPr>
            </w:pPr>
            <w:r w:rsidRPr="00045F71">
              <w:rPr>
                <w:rFonts w:ascii="Times New Roman" w:hAnsi="Times New Roman"/>
                <w:sz w:val="24"/>
              </w:rPr>
              <w:t xml:space="preserve">Kapitálovým požadavkem k dodatečnému riziku selhání a migrace se rozumí maximální potenciální ztráta, která by vznikla ze změny v ceně související s rizikem selhání a migrace, vypočítaná v souladu s čl. 364 odst. 2 písm. b) ve spojení s částí třetí hlavou IV kapitolou 5 oddílem 4 nařízení (EU) č. 575/2013. </w:t>
            </w:r>
          </w:p>
        </w:tc>
      </w:tr>
      <w:tr w:rsidR="005970B6" w:rsidRPr="00045F71" w14:paraId="17515745" w14:textId="77777777">
        <w:tc>
          <w:tcPr>
            <w:tcW w:w="993" w:type="dxa"/>
          </w:tcPr>
          <w:p w14:paraId="595C6529"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0070</w:t>
            </w:r>
          </w:p>
        </w:tc>
        <w:tc>
          <w:tcPr>
            <w:tcW w:w="7869" w:type="dxa"/>
          </w:tcPr>
          <w:p w14:paraId="48A1B02F"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Průměrná hodnota za dvanáct týdnů</w:t>
            </w:r>
          </w:p>
          <w:p w14:paraId="7DF0D030" w14:textId="77777777" w:rsidR="005970B6" w:rsidRPr="00045F71"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Ustanovení čl. 364 odst. 2 písm. b) bodu ii) ve spojení s částí třetí hlavou IV kapitolou 5 oddílem 4 nařízení (EU) č. 575/2013</w:t>
            </w:r>
          </w:p>
          <w:p w14:paraId="4E5E6B90"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045F71" w14:paraId="12AD55A6" w14:textId="77777777">
        <w:tc>
          <w:tcPr>
            <w:tcW w:w="993" w:type="dxa"/>
          </w:tcPr>
          <w:p w14:paraId="268DB162"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0080</w:t>
            </w:r>
          </w:p>
        </w:tc>
        <w:tc>
          <w:tcPr>
            <w:tcW w:w="7869" w:type="dxa"/>
          </w:tcPr>
          <w:p w14:paraId="24DAC2BD"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Nejnovější hodnota</w:t>
            </w:r>
          </w:p>
          <w:p w14:paraId="776D80BB"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Ustanovení čl. 364 odst. 2 písm. b) bodu i) ve spojení s částí třetí hlavou IV kapitolou 5 oddílem 4 nařízení (EU) č. 575/2013</w:t>
            </w:r>
          </w:p>
          <w:p w14:paraId="2DB84EA2"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045F71" w14:paraId="06406A7A" w14:textId="77777777">
        <w:tc>
          <w:tcPr>
            <w:tcW w:w="993" w:type="dxa"/>
          </w:tcPr>
          <w:p w14:paraId="1EBB8F02"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0090–0110</w:t>
            </w:r>
          </w:p>
        </w:tc>
        <w:tc>
          <w:tcPr>
            <w:tcW w:w="7869" w:type="dxa"/>
          </w:tcPr>
          <w:p w14:paraId="1C6A0111"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KAPITÁLOVÝ POŽADAVEK KE VŠEM CENOVÝM RIZIKŮM PRO PORTFOLIO OBCHODOVÁNÍ S KORELACÍ</w:t>
            </w:r>
          </w:p>
          <w:p w14:paraId="29B7ABA4"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045F71" w14:paraId="2616A8BA" w14:textId="77777777">
        <w:tc>
          <w:tcPr>
            <w:tcW w:w="993" w:type="dxa"/>
          </w:tcPr>
          <w:p w14:paraId="70419120"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0090</w:t>
            </w:r>
          </w:p>
        </w:tc>
        <w:tc>
          <w:tcPr>
            <w:tcW w:w="7869" w:type="dxa"/>
          </w:tcPr>
          <w:p w14:paraId="1E696B6B"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MINIMÁLNÍ ÚROVEŇ</w:t>
            </w:r>
          </w:p>
          <w:p w14:paraId="4D4AA5D6" w14:textId="77777777" w:rsidR="005970B6" w:rsidRPr="00045F71" w:rsidRDefault="005970B6" w:rsidP="004C445F">
            <w:pPr>
              <w:suppressAutoHyphens/>
              <w:rPr>
                <w:rFonts w:ascii="Times New Roman" w:hAnsi="Times New Roman"/>
                <w:sz w:val="24"/>
              </w:rPr>
            </w:pPr>
            <w:r w:rsidRPr="00045F71">
              <w:rPr>
                <w:rFonts w:ascii="Times New Roman" w:hAnsi="Times New Roman"/>
                <w:sz w:val="24"/>
              </w:rPr>
              <w:t>Ustanovení čl. 364 odst. 3 písm. c) nařízení (EU) č. 575/2013</w:t>
            </w:r>
          </w:p>
          <w:p w14:paraId="43C8E4E6"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sz w:val="24"/>
              </w:rPr>
              <w:t>8 % kapitálového požadavku, který by byl vypočten v souladu s čl. 338 odst. 1 nařízení (EU) č. 575/2013 pro všechny pozice začleněné do kapitálového požadavku ke „všem cenovým rizikům“.</w:t>
            </w:r>
            <w:r w:rsidRPr="00045F71">
              <w:rPr>
                <w:rFonts w:ascii="Times New Roman" w:hAnsi="Times New Roman"/>
                <w:b/>
                <w:sz w:val="24"/>
                <w:u w:val="single"/>
              </w:rPr>
              <w:t xml:space="preserve"> </w:t>
            </w:r>
          </w:p>
          <w:p w14:paraId="0D022373"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045F71" w14:paraId="18CB1AF7" w14:textId="77777777">
        <w:tc>
          <w:tcPr>
            <w:tcW w:w="993" w:type="dxa"/>
          </w:tcPr>
          <w:p w14:paraId="4E53B904"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0100–0110</w:t>
            </w:r>
          </w:p>
        </w:tc>
        <w:tc>
          <w:tcPr>
            <w:tcW w:w="7869" w:type="dxa"/>
          </w:tcPr>
          <w:p w14:paraId="7CEDB94C"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PRŮMĚRNÁ HODNOTA ZA DVANÁCT TÝDNŮ A NEJNOVĚJŠÍ HODNOTA</w:t>
            </w:r>
          </w:p>
          <w:p w14:paraId="46EA9990" w14:textId="77777777" w:rsidR="005970B6" w:rsidRPr="00045F71" w:rsidRDefault="005970B6" w:rsidP="004C445F">
            <w:pPr>
              <w:suppressAutoHyphens/>
              <w:autoSpaceDE w:val="0"/>
              <w:autoSpaceDN w:val="0"/>
              <w:adjustRightInd w:val="0"/>
              <w:spacing w:after="0"/>
              <w:rPr>
                <w:rFonts w:ascii="Times New Roman" w:hAnsi="Times New Roman"/>
                <w:bCs/>
                <w:sz w:val="24"/>
              </w:rPr>
            </w:pPr>
            <w:r w:rsidRPr="00045F71">
              <w:rPr>
                <w:rFonts w:ascii="Times New Roman" w:hAnsi="Times New Roman"/>
                <w:sz w:val="24"/>
              </w:rPr>
              <w:t>Ustanovení čl. 364 odst. 3 písm. b) nařízení (EU) č. 575/2013</w:t>
            </w:r>
          </w:p>
          <w:p w14:paraId="3111F404" w14:textId="77777777" w:rsidR="005970B6" w:rsidRPr="00045F71"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045F71" w14:paraId="320867DB" w14:textId="77777777">
        <w:tc>
          <w:tcPr>
            <w:tcW w:w="993" w:type="dxa"/>
          </w:tcPr>
          <w:p w14:paraId="42D64395"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0110</w:t>
            </w:r>
          </w:p>
        </w:tc>
        <w:tc>
          <w:tcPr>
            <w:tcW w:w="7869" w:type="dxa"/>
          </w:tcPr>
          <w:p w14:paraId="30EB7A67" w14:textId="77777777" w:rsidR="005970B6" w:rsidRPr="00045F71" w:rsidRDefault="005970B6" w:rsidP="004C445F">
            <w:pPr>
              <w:suppressAutoHyphens/>
              <w:autoSpaceDE w:val="0"/>
              <w:autoSpaceDN w:val="0"/>
              <w:adjustRightInd w:val="0"/>
              <w:spacing w:before="0"/>
              <w:rPr>
                <w:rFonts w:ascii="Times New Roman" w:hAnsi="Times New Roman"/>
                <w:b/>
                <w:bCs/>
                <w:sz w:val="24"/>
                <w:u w:val="single"/>
              </w:rPr>
            </w:pPr>
            <w:r w:rsidRPr="00045F71">
              <w:rPr>
                <w:rFonts w:ascii="Times New Roman" w:hAnsi="Times New Roman"/>
                <w:b/>
                <w:sz w:val="24"/>
                <w:u w:val="single"/>
              </w:rPr>
              <w:t>NEJNOVĚJŠÍ HODNOTA</w:t>
            </w:r>
          </w:p>
          <w:p w14:paraId="54C3A200" w14:textId="77777777" w:rsidR="005970B6" w:rsidRPr="00045F71" w:rsidRDefault="005970B6" w:rsidP="004C445F">
            <w:pPr>
              <w:suppressAutoHyphens/>
              <w:autoSpaceDE w:val="0"/>
              <w:autoSpaceDN w:val="0"/>
              <w:adjustRightInd w:val="0"/>
              <w:spacing w:before="0" w:after="0"/>
              <w:rPr>
                <w:rFonts w:ascii="Times New Roman" w:hAnsi="Times New Roman"/>
                <w:bCs/>
                <w:sz w:val="24"/>
              </w:rPr>
            </w:pPr>
            <w:r w:rsidRPr="00045F71">
              <w:rPr>
                <w:rFonts w:ascii="Times New Roman" w:hAnsi="Times New Roman"/>
                <w:sz w:val="24"/>
              </w:rPr>
              <w:t>Ustanovení čl. 364 odst. 3 písm. a) nařízení (EU) č. 575/2013</w:t>
            </w:r>
          </w:p>
          <w:p w14:paraId="702AB902"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045F71" w14:paraId="6AF4AFCB" w14:textId="77777777">
        <w:tc>
          <w:tcPr>
            <w:tcW w:w="993" w:type="dxa"/>
          </w:tcPr>
          <w:p w14:paraId="07850638"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0120</w:t>
            </w:r>
          </w:p>
        </w:tc>
        <w:tc>
          <w:tcPr>
            <w:tcW w:w="7869" w:type="dxa"/>
          </w:tcPr>
          <w:p w14:paraId="154C34AA"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KAPITÁLOVÉ POŽADAVKY</w:t>
            </w:r>
          </w:p>
          <w:p w14:paraId="278D1894" w14:textId="31D5182C" w:rsidR="005970B6" w:rsidRPr="00045F71" w:rsidRDefault="005970B6"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 xml:space="preserve">Kapitálové požadavky uvedené v článku 364 nařízení (EU) č. 575/2013, které se týkají všech rizikových faktorů, zohledňující v příslušných případech i vlivy korelace a dále dodatečné riziko selhání a migrace a všechna cenová rizika pro portfolia obchodování s korelací, ovšem s vyloučením sekuritizačních kapitálových požadavků k sekuritizaci a úvěrovým derivátům n-tého selhání podle čl. 364 odst. 2 uvedeného nařízení </w:t>
            </w:r>
          </w:p>
        </w:tc>
      </w:tr>
      <w:tr w:rsidR="005970B6" w:rsidRPr="00045F71" w14:paraId="321F7641" w14:textId="77777777">
        <w:tc>
          <w:tcPr>
            <w:tcW w:w="993" w:type="dxa"/>
          </w:tcPr>
          <w:p w14:paraId="4808EA45"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0130</w:t>
            </w:r>
          </w:p>
        </w:tc>
        <w:tc>
          <w:tcPr>
            <w:tcW w:w="7869" w:type="dxa"/>
          </w:tcPr>
          <w:p w14:paraId="191025B9"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CELKOVÝ OBJEM RIZIKOVÉ EXPOZICE</w:t>
            </w:r>
          </w:p>
          <w:p w14:paraId="1B83D6B8"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Ustanovení čl. 92 odst. 6 písm. b) nařízení (EU) č. 575/2013. </w:t>
            </w:r>
          </w:p>
          <w:p w14:paraId="0C045673" w14:textId="570D1A63"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Výsledek vynásobení kapitálových požadavků faktorem 12,5</w:t>
            </w:r>
          </w:p>
          <w:p w14:paraId="1D75252A"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045F71" w14:paraId="230D32EA" w14:textId="77777777">
        <w:tc>
          <w:tcPr>
            <w:tcW w:w="993" w:type="dxa"/>
          </w:tcPr>
          <w:p w14:paraId="7C0865B7"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0140</w:t>
            </w:r>
          </w:p>
        </w:tc>
        <w:tc>
          <w:tcPr>
            <w:tcW w:w="7869" w:type="dxa"/>
          </w:tcPr>
          <w:p w14:paraId="69330FF8" w14:textId="77777777" w:rsidR="005970B6" w:rsidRPr="00045F71" w:rsidRDefault="005970B6" w:rsidP="004C445F">
            <w:pPr>
              <w:suppressAutoHyphens/>
              <w:autoSpaceDE w:val="0"/>
              <w:autoSpaceDN w:val="0"/>
              <w:adjustRightInd w:val="0"/>
              <w:spacing w:before="0"/>
              <w:rPr>
                <w:rFonts w:ascii="Times New Roman" w:hAnsi="Times New Roman"/>
                <w:b/>
                <w:bCs/>
                <w:sz w:val="24"/>
                <w:u w:val="single"/>
              </w:rPr>
            </w:pPr>
            <w:r w:rsidRPr="00045F71">
              <w:rPr>
                <w:rFonts w:ascii="Times New Roman" w:hAnsi="Times New Roman"/>
                <w:b/>
                <w:sz w:val="24"/>
                <w:u w:val="single"/>
              </w:rPr>
              <w:t>Počet překročení (za předchozích 250 pracovních dnů)</w:t>
            </w:r>
          </w:p>
          <w:p w14:paraId="66F88BE9" w14:textId="77777777" w:rsidR="005970B6" w:rsidRPr="00045F71" w:rsidRDefault="005970B6"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Uvedeno v článku 366 nařízení (EU) č. 575/2013</w:t>
            </w:r>
          </w:p>
          <w:p w14:paraId="681C5C48" w14:textId="5946ADCD" w:rsidR="005970B6" w:rsidRPr="00045F71" w:rsidRDefault="005970B6" w:rsidP="004C445F">
            <w:pPr>
              <w:suppressAutoHyphens/>
              <w:autoSpaceDE w:val="0"/>
              <w:autoSpaceDN w:val="0"/>
              <w:adjustRightInd w:val="0"/>
              <w:spacing w:before="0"/>
              <w:rPr>
                <w:rFonts w:ascii="Times New Roman" w:hAnsi="Times New Roman"/>
                <w:b/>
                <w:bCs/>
                <w:sz w:val="24"/>
                <w:u w:val="single"/>
              </w:rPr>
            </w:pPr>
            <w:r w:rsidRPr="00045F71">
              <w:rPr>
                <w:rFonts w:ascii="Times New Roman" w:hAnsi="Times New Roman"/>
                <w:sz w:val="24"/>
              </w:rPr>
              <w:t>Vykáže se počet překročení, na jejichž základě je určen plus faktor. Pokud je investičním podnikům povoleno vyloučit určité překročení z výpočtu plus faktoru v souladu s článkem 500c nařízení (EU) č. 575/2013, očistí se počet překročení vykázaných v tomto sloupci o vyloučená překročení.</w:t>
            </w:r>
          </w:p>
        </w:tc>
      </w:tr>
      <w:tr w:rsidR="005970B6" w:rsidRPr="00045F71" w14:paraId="44599020" w14:textId="77777777">
        <w:tc>
          <w:tcPr>
            <w:tcW w:w="993" w:type="dxa"/>
          </w:tcPr>
          <w:p w14:paraId="4C66FF0B"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0150–0160</w:t>
            </w:r>
          </w:p>
        </w:tc>
        <w:tc>
          <w:tcPr>
            <w:tcW w:w="7869" w:type="dxa"/>
          </w:tcPr>
          <w:p w14:paraId="26532024" w14:textId="77777777" w:rsidR="005970B6" w:rsidRPr="00045F71" w:rsidRDefault="005970B6" w:rsidP="004C445F">
            <w:pPr>
              <w:suppressAutoHyphens/>
              <w:autoSpaceDE w:val="0"/>
              <w:autoSpaceDN w:val="0"/>
              <w:adjustRightInd w:val="0"/>
              <w:spacing w:before="0"/>
              <w:rPr>
                <w:rFonts w:ascii="Times New Roman" w:hAnsi="Times New Roman"/>
                <w:b/>
                <w:bCs/>
                <w:sz w:val="24"/>
                <w:u w:val="single"/>
              </w:rPr>
            </w:pPr>
            <w:r w:rsidRPr="00045F71">
              <w:rPr>
                <w:rFonts w:ascii="Times New Roman" w:hAnsi="Times New Roman"/>
                <w:b/>
                <w:sz w:val="24"/>
                <w:u w:val="single"/>
              </w:rPr>
              <w:t>Multiplikační faktor VaR (mc) a multiplikační faktor SVaR (ms)</w:t>
            </w:r>
          </w:p>
          <w:p w14:paraId="5E04C211" w14:textId="77777777" w:rsidR="005970B6" w:rsidRPr="00045F71" w:rsidRDefault="005970B6"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Podle článku 366 nařízení (EU) č. 575/2013</w:t>
            </w:r>
          </w:p>
          <w:p w14:paraId="779600D5" w14:textId="77777777" w:rsidR="005970B6" w:rsidRPr="00045F71" w:rsidRDefault="005970B6" w:rsidP="004C445F">
            <w:pPr>
              <w:suppressAutoHyphens/>
              <w:autoSpaceDE w:val="0"/>
              <w:autoSpaceDN w:val="0"/>
              <w:adjustRightInd w:val="0"/>
              <w:spacing w:before="0" w:after="0"/>
              <w:rPr>
                <w:rStyle w:val="InstructionsTabelleberschrift"/>
              </w:rPr>
            </w:pPr>
            <w:r w:rsidRPr="00045F71">
              <w:rPr>
                <w:rFonts w:ascii="Times New Roman" w:hAnsi="Times New Roman"/>
                <w:sz w:val="24"/>
              </w:rPr>
              <w:t>Vykazují se multiplikační faktory skutečně použitelné pro výpočet kapitálových požadavků; v příslušných případech po uplatnění článku 500c nařízení (EU) č. 575/2013.</w:t>
            </w:r>
          </w:p>
          <w:p w14:paraId="50AAD27B"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045F71" w14:paraId="470DEC4A" w14:textId="77777777">
        <w:tc>
          <w:tcPr>
            <w:tcW w:w="993" w:type="dxa"/>
          </w:tcPr>
          <w:p w14:paraId="3AFAF47E"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0170–0180</w:t>
            </w:r>
          </w:p>
        </w:tc>
        <w:tc>
          <w:tcPr>
            <w:tcW w:w="7869" w:type="dxa"/>
          </w:tcPr>
          <w:p w14:paraId="48824995"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PŘEDPOKLÁDANÝ POŽADAVEK K MINIMÁLNÍ ÚROVNI PORTFOLIA OBCHODOVÁNÍ S KORELACÍ – VÁŽENÉ ČISTÉ DLOUHÉ/KRÁTKÉ POZICE PO UPLATNĚNÍ STROPU</w:t>
            </w:r>
          </w:p>
          <w:p w14:paraId="494DC1BB" w14:textId="2CBA2FF8" w:rsidR="005970B6" w:rsidRPr="00045F71" w:rsidRDefault="005970B6" w:rsidP="004C445F">
            <w:pPr>
              <w:suppressAutoHyphens/>
              <w:autoSpaceDE w:val="0"/>
              <w:autoSpaceDN w:val="0"/>
              <w:adjustRightInd w:val="0"/>
              <w:rPr>
                <w:rStyle w:val="InstructionsTabelleberschrift"/>
                <w:rFonts w:ascii="Times New Roman" w:hAnsi="Times New Roman"/>
                <w:sz w:val="24"/>
              </w:rPr>
            </w:pPr>
            <w:r w:rsidRPr="00045F71">
              <w:rPr>
                <w:rFonts w:ascii="Times New Roman" w:hAnsi="Times New Roman"/>
                <w:sz w:val="24"/>
              </w:rPr>
              <w:t xml:space="preserve">V částce, která mát být vykázána a slouží jako základ pro výpočet minimální úrovně kapitálového požadavku pro všechna cenová rizika podle čl. 364 odst. 3 písm. c) nařízení (EU) č. 575/2013, se zohledňuje možnost vyplývající z článku 335 uvedeného nařízení, v němž se stanoví, že instituce může stanovit strop pro součin použité váhy a čisté pozice ve výši maximální možné ztráty související s rizikem selhání. </w:t>
            </w:r>
          </w:p>
        </w:tc>
      </w:tr>
    </w:tbl>
    <w:p w14:paraId="7C2EA60D" w14:textId="77777777" w:rsidR="005970B6" w:rsidRPr="00045F71"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045F71" w14:paraId="708AEEEE" w14:textId="77777777" w:rsidTr="00332B2A">
        <w:trPr>
          <w:trHeight w:val="566"/>
        </w:trPr>
        <w:tc>
          <w:tcPr>
            <w:tcW w:w="8896" w:type="dxa"/>
            <w:gridSpan w:val="2"/>
            <w:shd w:val="clear" w:color="auto" w:fill="CCCCCC"/>
          </w:tcPr>
          <w:p w14:paraId="24A53264" w14:textId="77777777" w:rsidR="005970B6" w:rsidRPr="00045F71" w:rsidRDefault="005970B6" w:rsidP="004C445F">
            <w:pPr>
              <w:suppressAutoHyphens/>
              <w:autoSpaceDE w:val="0"/>
              <w:autoSpaceDN w:val="0"/>
              <w:adjustRightInd w:val="0"/>
              <w:spacing w:after="0"/>
              <w:rPr>
                <w:rFonts w:ascii="Times New Roman" w:hAnsi="Times New Roman"/>
                <w:b/>
                <w:sz w:val="24"/>
              </w:rPr>
            </w:pPr>
            <w:r w:rsidRPr="00045F71">
              <w:rPr>
                <w:rFonts w:ascii="Times New Roman" w:hAnsi="Times New Roman"/>
                <w:b/>
                <w:sz w:val="24"/>
              </w:rPr>
              <w:t>Řádky</w:t>
            </w:r>
          </w:p>
        </w:tc>
      </w:tr>
      <w:tr w:rsidR="005970B6" w:rsidRPr="00045F71" w14:paraId="02CF19A0" w14:textId="77777777" w:rsidTr="00332B2A">
        <w:tc>
          <w:tcPr>
            <w:tcW w:w="993" w:type="dxa"/>
          </w:tcPr>
          <w:p w14:paraId="1CFD210A"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0010</w:t>
            </w:r>
          </w:p>
        </w:tc>
        <w:tc>
          <w:tcPr>
            <w:tcW w:w="7903" w:type="dxa"/>
          </w:tcPr>
          <w:p w14:paraId="35E94AC9"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CELKOVÉ POZICE</w:t>
            </w:r>
          </w:p>
          <w:p w14:paraId="51E6C5CE"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045F71" w:rsidRDefault="005970B6" w:rsidP="004C445F">
            <w:pPr>
              <w:suppressAutoHyphens/>
              <w:autoSpaceDE w:val="0"/>
              <w:autoSpaceDN w:val="0"/>
              <w:adjustRightInd w:val="0"/>
              <w:spacing w:before="0"/>
              <w:rPr>
                <w:rFonts w:ascii="Times New Roman" w:hAnsi="Times New Roman"/>
                <w:sz w:val="24"/>
              </w:rPr>
            </w:pPr>
            <w:r w:rsidRPr="00045F71">
              <w:rPr>
                <w:rFonts w:ascii="Times New Roman" w:hAnsi="Times New Roman"/>
                <w:sz w:val="24"/>
              </w:rPr>
              <w:t>Odpovídá té části pozičního, měnového a komoditního rizika podle čl. 363 odst. 1 nařízení (EU) č. 575/2013, která souvisí s rizikovými faktory uvedenými v čl. 367 odst. 2 uvedeného nařízení.</w:t>
            </w:r>
          </w:p>
          <w:p w14:paraId="1E849456"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Co se týče sloupců 0030 až 0060 (VaR a stresová VaR), číselné údaje v řádku s celkovou hodnotou se nerovnají rozložení hodnot VaR / stresové VaR do příslušných složek rizika.</w:t>
            </w:r>
          </w:p>
          <w:p w14:paraId="5F3B58EB" w14:textId="77777777" w:rsidR="005970B6" w:rsidRPr="00045F71"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045F71" w14:paraId="38DA43E4" w14:textId="77777777" w:rsidTr="00332B2A">
        <w:tc>
          <w:tcPr>
            <w:tcW w:w="993" w:type="dxa"/>
          </w:tcPr>
          <w:p w14:paraId="5E16B1F7"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0020</w:t>
            </w:r>
          </w:p>
        </w:tc>
        <w:tc>
          <w:tcPr>
            <w:tcW w:w="7903" w:type="dxa"/>
          </w:tcPr>
          <w:p w14:paraId="27B63C55"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OBCHODOVANÉ DLUHOVÉ NÁSTROJE</w:t>
            </w:r>
          </w:p>
          <w:p w14:paraId="15354D11" w14:textId="079C5AF5" w:rsidR="005970B6" w:rsidRPr="00045F71" w:rsidRDefault="005970B6" w:rsidP="004C445F">
            <w:pPr>
              <w:suppressAutoHyphens/>
              <w:autoSpaceDE w:val="0"/>
              <w:autoSpaceDN w:val="0"/>
              <w:adjustRightInd w:val="0"/>
              <w:rPr>
                <w:rFonts w:ascii="Times New Roman" w:hAnsi="Times New Roman"/>
                <w:sz w:val="24"/>
              </w:rPr>
            </w:pPr>
            <w:r w:rsidRPr="00045F71">
              <w:rPr>
                <w:rFonts w:ascii="Times New Roman" w:hAnsi="Times New Roman"/>
                <w:sz w:val="24"/>
              </w:rPr>
              <w:t>Odpovídá té části pozičního rizika podle čl. 363 odst. 1 nařízení (EU) č. 575/2013, která souvisí s rizikovými faktory odpovídajícími úrokovým mírám uvedenými v čl. 367 odst. 2 písm. a) uvedeného nařízení.</w:t>
            </w:r>
          </w:p>
        </w:tc>
      </w:tr>
      <w:tr w:rsidR="005970B6" w:rsidRPr="00045F71" w14:paraId="49E5F163" w14:textId="77777777" w:rsidTr="00332B2A">
        <w:tc>
          <w:tcPr>
            <w:tcW w:w="993" w:type="dxa"/>
          </w:tcPr>
          <w:p w14:paraId="286B5CF1"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0030</w:t>
            </w:r>
          </w:p>
        </w:tc>
        <w:tc>
          <w:tcPr>
            <w:tcW w:w="7903" w:type="dxa"/>
          </w:tcPr>
          <w:p w14:paraId="39D95E98"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OBCHODOVANÉ DLUHOVÉ NÁSTROJE – OBECNÉ RIZIKO</w:t>
            </w:r>
          </w:p>
          <w:p w14:paraId="630ECD46" w14:textId="77777777" w:rsidR="005970B6" w:rsidRPr="00045F71" w:rsidRDefault="005970B6" w:rsidP="004C445F">
            <w:pPr>
              <w:suppressAutoHyphens/>
              <w:autoSpaceDE w:val="0"/>
              <w:autoSpaceDN w:val="0"/>
              <w:adjustRightInd w:val="0"/>
              <w:rPr>
                <w:rFonts w:ascii="Times New Roman" w:hAnsi="Times New Roman"/>
                <w:sz w:val="24"/>
              </w:rPr>
            </w:pPr>
            <w:r w:rsidRPr="00045F71">
              <w:rPr>
                <w:rFonts w:ascii="Times New Roman" w:hAnsi="Times New Roman"/>
                <w:sz w:val="24"/>
              </w:rPr>
              <w:t xml:space="preserve">Složka obecného rizika podle článku 362 nařízení (EU) č. 575/2013 </w:t>
            </w:r>
          </w:p>
        </w:tc>
      </w:tr>
      <w:tr w:rsidR="005970B6" w:rsidRPr="00045F71" w14:paraId="2085F588" w14:textId="77777777" w:rsidTr="00332B2A">
        <w:tc>
          <w:tcPr>
            <w:tcW w:w="993" w:type="dxa"/>
          </w:tcPr>
          <w:p w14:paraId="156A3F94"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0040</w:t>
            </w:r>
          </w:p>
        </w:tc>
        <w:tc>
          <w:tcPr>
            <w:tcW w:w="7903" w:type="dxa"/>
          </w:tcPr>
          <w:p w14:paraId="2815D7B9"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OBCHODOVANÉ DLUHOVÉ NÁSTROJE – SPECIFICKÉ RIZIKO</w:t>
            </w:r>
          </w:p>
          <w:p w14:paraId="6901AE92" w14:textId="77777777" w:rsidR="005970B6" w:rsidRPr="00045F71"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045F71" w:rsidRDefault="005970B6"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 xml:space="preserve">Složka specifického rizika podle článku 362 nařízení (EU) č. 575/2013 </w:t>
            </w:r>
          </w:p>
        </w:tc>
      </w:tr>
      <w:tr w:rsidR="005970B6" w:rsidRPr="00045F71" w14:paraId="3B749D99" w14:textId="77777777" w:rsidTr="00332B2A">
        <w:tc>
          <w:tcPr>
            <w:tcW w:w="993" w:type="dxa"/>
          </w:tcPr>
          <w:p w14:paraId="4E293341"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lastRenderedPageBreak/>
              <w:t>0050</w:t>
            </w:r>
          </w:p>
        </w:tc>
        <w:tc>
          <w:tcPr>
            <w:tcW w:w="7903" w:type="dxa"/>
          </w:tcPr>
          <w:p w14:paraId="1DA02995"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AKCIE</w:t>
            </w:r>
          </w:p>
          <w:p w14:paraId="2467F692" w14:textId="77777777" w:rsidR="005970B6" w:rsidRPr="00045F71"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 xml:space="preserve">Odpovídá té části pozičního rizika podle čl. 363 odst. 1 nařízení (EU) č. 575/2013, která souvisí s rizikovými faktory týkajícími se akcií uvedenými v čl. 367 odst. 2 písm. c) uvedeného nařízení. </w:t>
            </w:r>
          </w:p>
          <w:p w14:paraId="7E55C507"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045F71" w14:paraId="0B6B921A" w14:textId="77777777" w:rsidTr="00332B2A">
        <w:tc>
          <w:tcPr>
            <w:tcW w:w="993" w:type="dxa"/>
          </w:tcPr>
          <w:p w14:paraId="03CEBA65"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0060</w:t>
            </w:r>
          </w:p>
        </w:tc>
        <w:tc>
          <w:tcPr>
            <w:tcW w:w="7903" w:type="dxa"/>
          </w:tcPr>
          <w:p w14:paraId="2CD176EE"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AKCIE – OBECNÉ RIZIKO</w:t>
            </w:r>
          </w:p>
          <w:p w14:paraId="7ACC51D0" w14:textId="77777777" w:rsidR="005970B6" w:rsidRPr="00045F71" w:rsidRDefault="005970B6"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Složka obecného rizika podle článku 362 nařízení (EU) č. 575/2013</w:t>
            </w:r>
          </w:p>
        </w:tc>
      </w:tr>
      <w:tr w:rsidR="005970B6" w:rsidRPr="00045F71" w14:paraId="50D0A347" w14:textId="77777777" w:rsidTr="00332B2A">
        <w:tc>
          <w:tcPr>
            <w:tcW w:w="993" w:type="dxa"/>
          </w:tcPr>
          <w:p w14:paraId="38D09489"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0070</w:t>
            </w:r>
          </w:p>
        </w:tc>
        <w:tc>
          <w:tcPr>
            <w:tcW w:w="7903" w:type="dxa"/>
          </w:tcPr>
          <w:p w14:paraId="34DF223D"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AKCIE – SPECIFICKÉ RIZIKO</w:t>
            </w:r>
          </w:p>
          <w:p w14:paraId="6F314929" w14:textId="77777777" w:rsidR="005970B6" w:rsidRPr="00045F71" w:rsidRDefault="005970B6"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 xml:space="preserve">Složka specifického rizika podle článku 362 nařízení (EU) č. 575/2013 </w:t>
            </w:r>
          </w:p>
        </w:tc>
      </w:tr>
      <w:tr w:rsidR="005970B6" w:rsidRPr="00045F71" w14:paraId="5B986D45" w14:textId="77777777" w:rsidTr="00332B2A">
        <w:tc>
          <w:tcPr>
            <w:tcW w:w="993" w:type="dxa"/>
          </w:tcPr>
          <w:p w14:paraId="6F14BE85"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0080</w:t>
            </w:r>
          </w:p>
        </w:tc>
        <w:tc>
          <w:tcPr>
            <w:tcW w:w="7903" w:type="dxa"/>
          </w:tcPr>
          <w:p w14:paraId="09DDEB75"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MĚNOVÉ RIZIKO</w:t>
            </w:r>
          </w:p>
          <w:p w14:paraId="219E93CA" w14:textId="77777777" w:rsidR="005970B6" w:rsidRPr="00045F71" w:rsidRDefault="005970B6"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Ustanovení čl. 363 odst. 1 a čl. 367 odst. 2 písm. b) nařízení (EU) č. 575/2013</w:t>
            </w:r>
          </w:p>
        </w:tc>
      </w:tr>
      <w:tr w:rsidR="005970B6" w:rsidRPr="00045F71" w14:paraId="6242B7DB" w14:textId="77777777" w:rsidTr="00332B2A">
        <w:tc>
          <w:tcPr>
            <w:tcW w:w="993" w:type="dxa"/>
          </w:tcPr>
          <w:p w14:paraId="01A4D573"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0090</w:t>
            </w:r>
          </w:p>
        </w:tc>
        <w:tc>
          <w:tcPr>
            <w:tcW w:w="7903" w:type="dxa"/>
          </w:tcPr>
          <w:p w14:paraId="2B9D470A"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KOMODITNÍ RIZIKO</w:t>
            </w:r>
          </w:p>
          <w:p w14:paraId="4BBB0F31" w14:textId="4679FFC1" w:rsidR="005970B6" w:rsidRPr="00045F71" w:rsidRDefault="005970B6" w:rsidP="004C445F">
            <w:pPr>
              <w:suppressAutoHyphens/>
              <w:autoSpaceDE w:val="0"/>
              <w:autoSpaceDN w:val="0"/>
              <w:adjustRightInd w:val="0"/>
              <w:rPr>
                <w:rFonts w:ascii="Times New Roman" w:hAnsi="Times New Roman"/>
                <w:b/>
                <w:bCs/>
                <w:sz w:val="24"/>
                <w:u w:val="single"/>
              </w:rPr>
            </w:pPr>
            <w:r w:rsidRPr="00045F71">
              <w:rPr>
                <w:rFonts w:ascii="Times New Roman" w:hAnsi="Times New Roman"/>
                <w:sz w:val="24"/>
              </w:rPr>
              <w:t xml:space="preserve">Ustanovení čl. 363 odst. 1 a čl. 367 odst. 2 písm. d) nařízení (EU) č. 575/2013 </w:t>
            </w:r>
          </w:p>
        </w:tc>
      </w:tr>
      <w:tr w:rsidR="005970B6" w:rsidRPr="00045F71" w14:paraId="5165C26D" w14:textId="77777777" w:rsidTr="00332B2A">
        <w:tc>
          <w:tcPr>
            <w:tcW w:w="993" w:type="dxa"/>
          </w:tcPr>
          <w:p w14:paraId="3494480B"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0100</w:t>
            </w:r>
          </w:p>
        </w:tc>
        <w:tc>
          <w:tcPr>
            <w:tcW w:w="7903" w:type="dxa"/>
          </w:tcPr>
          <w:p w14:paraId="379C8EA9"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CELKOVÁ HODNOTA OBECNÉHO RIZIKA</w:t>
            </w:r>
          </w:p>
          <w:p w14:paraId="0C19B9DF"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Style w:val="InstructionsTabelleText"/>
                <w:rFonts w:ascii="Times New Roman" w:hAnsi="Times New Roman"/>
                <w:sz w:val="24"/>
              </w:rPr>
              <w:t xml:space="preserve">Tržní riziko zapříčiněné obecnými pohyby na trhu obchodovaných dluhových nástrojů, akcií, měn a komodit. VaR pro obecné riziko u všech rizikových faktorů (v příslušných případech se zohledněním vlivů korelace) </w:t>
            </w:r>
          </w:p>
          <w:p w14:paraId="58946EA6"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045F71" w14:paraId="5EA545F0" w14:textId="77777777" w:rsidTr="00332B2A">
        <w:tc>
          <w:tcPr>
            <w:tcW w:w="993" w:type="dxa"/>
          </w:tcPr>
          <w:p w14:paraId="47E0AD8F" w14:textId="77777777" w:rsidR="005970B6" w:rsidRPr="00045F71" w:rsidRDefault="005970B6" w:rsidP="004C445F">
            <w:pPr>
              <w:suppressAutoHyphens/>
              <w:autoSpaceDE w:val="0"/>
              <w:autoSpaceDN w:val="0"/>
              <w:adjustRightInd w:val="0"/>
              <w:spacing w:before="0" w:after="0"/>
              <w:rPr>
                <w:rFonts w:ascii="Times New Roman" w:hAnsi="Times New Roman"/>
                <w:sz w:val="24"/>
              </w:rPr>
            </w:pPr>
            <w:r w:rsidRPr="00045F71">
              <w:rPr>
                <w:rFonts w:ascii="Times New Roman" w:hAnsi="Times New Roman"/>
                <w:sz w:val="24"/>
              </w:rPr>
              <w:t>0110</w:t>
            </w:r>
          </w:p>
        </w:tc>
        <w:tc>
          <w:tcPr>
            <w:tcW w:w="7903" w:type="dxa"/>
          </w:tcPr>
          <w:p w14:paraId="116F1840" w14:textId="77777777" w:rsidR="005970B6" w:rsidRPr="00045F71" w:rsidRDefault="005970B6" w:rsidP="004C445F">
            <w:pPr>
              <w:suppressAutoHyphens/>
              <w:autoSpaceDE w:val="0"/>
              <w:autoSpaceDN w:val="0"/>
              <w:adjustRightInd w:val="0"/>
              <w:spacing w:before="0" w:after="0"/>
              <w:rPr>
                <w:rFonts w:ascii="Times New Roman" w:hAnsi="Times New Roman"/>
                <w:b/>
                <w:bCs/>
                <w:sz w:val="24"/>
                <w:u w:val="single"/>
              </w:rPr>
            </w:pPr>
            <w:r w:rsidRPr="00045F71">
              <w:rPr>
                <w:rFonts w:ascii="Times New Roman" w:hAnsi="Times New Roman"/>
                <w:b/>
                <w:sz w:val="24"/>
                <w:u w:val="single"/>
              </w:rPr>
              <w:t>CELKOVÁ HODNOTA SPECIFICKÉHO RIZIKA</w:t>
            </w:r>
          </w:p>
          <w:p w14:paraId="6E0205CC" w14:textId="77777777" w:rsidR="005970B6" w:rsidRPr="00045F71" w:rsidRDefault="005970B6" w:rsidP="004C445F">
            <w:pPr>
              <w:suppressAutoHyphens/>
              <w:autoSpaceDE w:val="0"/>
              <w:autoSpaceDN w:val="0"/>
              <w:adjustRightInd w:val="0"/>
              <w:rPr>
                <w:rFonts w:ascii="Times New Roman" w:hAnsi="Times New Roman"/>
                <w:b/>
                <w:bCs/>
                <w:sz w:val="24"/>
                <w:u w:val="single"/>
              </w:rPr>
            </w:pPr>
            <w:r w:rsidRPr="00045F71">
              <w:rPr>
                <w:rStyle w:val="InstructionsTabelleText"/>
                <w:rFonts w:ascii="Times New Roman" w:hAnsi="Times New Roman"/>
                <w:sz w:val="24"/>
              </w:rPr>
              <w:t>Složka specifického rizika u obchodovaných dluhových nástrojů a akcií. VaR pro specifické riziko u akcií a obchodovaných dluhových nástrojů v obchodním portfoliu (případně se zohledněním vlivů korelace)</w:t>
            </w:r>
          </w:p>
        </w:tc>
      </w:tr>
    </w:tbl>
    <w:p w14:paraId="0578F882" w14:textId="77777777" w:rsidR="005970B6" w:rsidRPr="00045F7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045F71" w:rsidRDefault="0076375E" w:rsidP="004C445F">
      <w:pPr>
        <w:suppressAutoHyphens/>
        <w:spacing w:before="0" w:after="0"/>
        <w:jc w:val="left"/>
        <w:rPr>
          <w:rStyle w:val="InstructionsTabelleText"/>
          <w:rFonts w:ascii="Times New Roman" w:hAnsi="Times New Roman"/>
          <w:sz w:val="24"/>
        </w:rPr>
      </w:pPr>
      <w:r w:rsidRPr="00045F71">
        <w:rPr>
          <w:rStyle w:val="InstructionsTabelleText"/>
          <w:rFonts w:ascii="Times New Roman" w:hAnsi="Times New Roman"/>
          <w:sz w:val="24"/>
        </w:rPr>
        <w:t>“</w:t>
      </w:r>
    </w:p>
    <w:sectPr w:rsidR="00DD00B4" w:rsidRPr="00045F7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Nařízení Komise v přenesené pravomoci (EU) č. 525/2014 ze dne 12. března 2014, kterým se doplňuje nařízení Evropského parlamentu a Rady (EU) č. 575/2013, pokud jde o regulační technické normy definující termín „trh“ (Úř. věst. L 148, 20.5.2014, s.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Prováděcí nařízení Komise (EU) č. 945/2014 ze dne 4. září 2014, kterým se stanoví prováděcí technické normy, pokud jde o relevantní vhodně diverzifikované indexy podle nařízení Evropského parlamentu a Rady (EU) č. 575/2013 (Úř. věst. L 265, 5.9.2014, s.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Směrnice </w:t>
      </w:r>
      <w:bookmarkStart w:id="129" w:name="_Hlk204078738"/>
      <w:r>
        <w:t>Evropského parlamentu a Rady</w:t>
      </w:r>
      <w:bookmarkEnd w:id="129"/>
      <w:r>
        <w:t xml:space="preserve"> 2014/65/EU ze dne 15. května 2014 o trzích finančních nástrojů a o změně směrnic 2002/92/ES a 2011/61/EU (Úř. věst. L 173, 12.6.2014, s.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45F71"/>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3AA5"/>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74D"/>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718"/>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2BF"/>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1FC"/>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CF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3FAD"/>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6B1"/>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1542"/>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cs-CZ"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cs-CZ"/>
    </w:rPr>
  </w:style>
  <w:style w:type="character" w:customStyle="1" w:styleId="Heading2Char">
    <w:name w:val="Heading 2 Char"/>
    <w:link w:val="Heading2"/>
    <w:uiPriority w:val="99"/>
    <w:locked/>
    <w:rsid w:val="00EC5046"/>
    <w:rPr>
      <w:rFonts w:ascii="Verdana" w:hAnsi="Verdana" w:cs="Times New Roman"/>
      <w:b/>
      <w:sz w:val="24"/>
      <w:szCs w:val="24"/>
      <w:u w:val="single"/>
      <w:lang w:val="cs-CZ"/>
    </w:rPr>
  </w:style>
  <w:style w:type="character" w:customStyle="1" w:styleId="Heading3Char">
    <w:name w:val="Heading 3 Char"/>
    <w:aliases w:val="Title 2 Char"/>
    <w:uiPriority w:val="99"/>
    <w:locked/>
    <w:rsid w:val="00884FEB"/>
    <w:rPr>
      <w:rFonts w:cs="Times New Roman"/>
      <w:sz w:val="24"/>
      <w:szCs w:val="24"/>
      <w:lang w:val="cs-CZ"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cs-CZ"/>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cs-CZ"/>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cs-CZ"/>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cs-CZ"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cs-CZ"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cs-CZ"/>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cs-CZ"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cs-CZ"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cs-CZ"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cs-CZ"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2.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4.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112</TotalTime>
  <Pages>22</Pages>
  <Words>6346</Words>
  <Characters>36628</Characters>
  <Application>Microsoft Office Word</Application>
  <DocSecurity>0</DocSecurity>
  <Lines>1077</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BROZ Jindrich (DGT)</cp:lastModifiedBy>
  <cp:revision>14</cp:revision>
  <dcterms:created xsi:type="dcterms:W3CDTF">2025-10-06T12:40:00Z</dcterms:created>
  <dcterms:modified xsi:type="dcterms:W3CDTF">2025-10-09T14:04:00Z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