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696301" w:rsidRDefault="009E7D0C" w:rsidP="0076375E">
      <w:pPr>
        <w:jc w:val="center"/>
        <w:rPr>
          <w:rFonts w:ascii="Times New Roman" w:hAnsi="Times New Roman"/>
          <w:sz w:val="24"/>
        </w:rPr>
      </w:pPr>
      <w:bookmarkStart w:id="0" w:name="_Toc262568021"/>
      <w:bookmarkStart w:id="1" w:name="_Toc295829847"/>
      <w:r>
        <w:rPr>
          <w:rFonts w:ascii="Times New Roman" w:hAnsi="Times New Roman"/>
          <w:sz w:val="24"/>
        </w:rPr>
        <w:t>BG</w:t>
      </w:r>
    </w:p>
    <w:p w14:paraId="24333E7A" w14:textId="068FF302" w:rsidR="008D696E" w:rsidRDefault="008D696E" w:rsidP="00A33695">
      <w:pPr>
        <w:jc w:val="center"/>
        <w:rPr>
          <w:rFonts w:ascii="Times New Roman" w:hAnsi="Times New Roman"/>
          <w:sz w:val="24"/>
        </w:rPr>
      </w:pPr>
      <w:r>
        <w:rPr>
          <w:rFonts w:ascii="Times New Roman" w:hAnsi="Times New Roman"/>
          <w:sz w:val="24"/>
        </w:rPr>
        <w:t>ПРИЛОЖЕНИЕ II</w:t>
      </w:r>
    </w:p>
    <w:p w14:paraId="37362007" w14:textId="08E6D03A" w:rsidR="002648B0" w:rsidRPr="00696301" w:rsidRDefault="008D696E" w:rsidP="00A33695">
      <w:pPr>
        <w:jc w:val="center"/>
        <w:rPr>
          <w:rFonts w:ascii="Times New Roman" w:hAnsi="Times New Roman"/>
          <w:sz w:val="24"/>
        </w:rPr>
      </w:pPr>
      <w:r>
        <w:rPr>
          <w:rFonts w:ascii="Times New Roman" w:hAnsi="Times New Roman"/>
          <w:sz w:val="24"/>
        </w:rPr>
        <w:t xml:space="preserve">„ПРИЛОЖЕНИЕ XI </w:t>
      </w:r>
    </w:p>
    <w:p w14:paraId="2C40683C" w14:textId="26F597FA" w:rsidR="00436204" w:rsidRPr="00696301" w:rsidRDefault="00D11E4C" w:rsidP="004E7DCF">
      <w:pPr>
        <w:jc w:val="center"/>
        <w:rPr>
          <w:rFonts w:ascii="Times New Roman" w:hAnsi="Times New Roman"/>
          <w:b/>
          <w:sz w:val="24"/>
        </w:rPr>
      </w:pPr>
      <w:r>
        <w:rPr>
          <w:rFonts w:ascii="Times New Roman" w:hAnsi="Times New Roman"/>
          <w:b/>
          <w:sz w:val="24"/>
        </w:rPr>
        <w:t>УКАЗАНИЯ ЗА ДОКЛАДВАНЕТО НА ИЗИСКВАНЕТО ЗА К-ФАКТОРИТЕ ЗА РИСКОВЕ ЗА ПАЗАРА ВЪЗ ОСНОВА НА K-NPR</w:t>
      </w:r>
    </w:p>
    <w:p w14:paraId="3DEB94EC" w14:textId="77777777" w:rsidR="00783881" w:rsidRPr="00696301" w:rsidRDefault="002648B0" w:rsidP="00487A02">
      <w:pPr>
        <w:pStyle w:val="InstructionsText"/>
      </w:pPr>
      <w:r>
        <w:t>Съдържание</w:t>
      </w:r>
    </w:p>
    <w:p w14:paraId="22B31733" w14:textId="6D4B5FA9" w:rsidR="000E0EDE" w:rsidRDefault="00745369">
      <w:pPr>
        <w:pStyle w:val="TOC2"/>
        <w:rPr>
          <w:rFonts w:asciiTheme="minorHAnsi" w:eastAsiaTheme="minorEastAsia" w:hAnsiTheme="minorHAnsi" w:cstheme="minorBidi"/>
          <w:b w:val="0"/>
          <w:smallCaps w:val="0"/>
          <w:kern w:val="2"/>
          <w:sz w:val="24"/>
          <w:szCs w:val="24"/>
          <w:lang w:val="en-GB" w:eastAsia="en-GB"/>
          <w14:ligatures w14:val="standardContextual"/>
        </w:rPr>
      </w:pPr>
      <w:r>
        <w:rPr>
          <w:rFonts w:ascii="Times New Roman" w:hAnsi="Times New Roman"/>
          <w:sz w:val="24"/>
        </w:rPr>
        <w:fldChar w:fldCharType="begin"/>
      </w:r>
      <w:r>
        <w:rPr>
          <w:rFonts w:ascii="Times New Roman" w:hAnsi="Times New Roman"/>
          <w:sz w:val="24"/>
        </w:rPr>
        <w:instrText xml:space="preserve"> TOC \o "1-3" \h \z \u </w:instrText>
      </w:r>
      <w:r>
        <w:rPr>
          <w:rFonts w:ascii="Times New Roman" w:hAnsi="Times New Roman"/>
          <w:sz w:val="24"/>
        </w:rPr>
        <w:fldChar w:fldCharType="separate"/>
      </w:r>
      <w:hyperlink w:anchor="_Toc210895872" w:history="1">
        <w:r w:rsidR="000E0EDE" w:rsidRPr="00CF3E35">
          <w:rPr>
            <w:rStyle w:val="Hyperlink"/>
            <w:rFonts w:ascii="Times New Roman" w:hAnsi="Times New Roman"/>
          </w:rPr>
          <w:t>ЧАСТ I: ОБЩИ УКАЗАНИЯ</w:t>
        </w:r>
        <w:r w:rsidR="000E0EDE">
          <w:rPr>
            <w:webHidden/>
          </w:rPr>
          <w:tab/>
        </w:r>
        <w:r w:rsidR="000E0EDE">
          <w:rPr>
            <w:webHidden/>
          </w:rPr>
          <w:fldChar w:fldCharType="begin"/>
        </w:r>
        <w:r w:rsidR="000E0EDE">
          <w:rPr>
            <w:webHidden/>
          </w:rPr>
          <w:instrText xml:space="preserve"> PAGEREF _Toc210895872 \h </w:instrText>
        </w:r>
        <w:r w:rsidR="000E0EDE">
          <w:rPr>
            <w:webHidden/>
          </w:rPr>
        </w:r>
        <w:r w:rsidR="000E0EDE">
          <w:rPr>
            <w:webHidden/>
          </w:rPr>
          <w:fldChar w:fldCharType="separate"/>
        </w:r>
        <w:r w:rsidR="006677FB">
          <w:rPr>
            <w:webHidden/>
          </w:rPr>
          <w:t>2</w:t>
        </w:r>
        <w:r w:rsidR="000E0EDE">
          <w:rPr>
            <w:webHidden/>
          </w:rPr>
          <w:fldChar w:fldCharType="end"/>
        </w:r>
      </w:hyperlink>
    </w:p>
    <w:p w14:paraId="4B8DBF71" w14:textId="2AC395DF"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73" w:history="1">
        <w:r w:rsidRPr="00CF3E35">
          <w:rPr>
            <w:rStyle w:val="Hyperlink"/>
            <w:rFonts w:ascii="Times New Roman" w:hAnsi="Times New Roman"/>
          </w:rPr>
          <w:t>1.</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УСТАНОВЕНИ ПРАКТИКИ</w:t>
        </w:r>
        <w:r>
          <w:rPr>
            <w:webHidden/>
          </w:rPr>
          <w:tab/>
        </w:r>
        <w:r>
          <w:rPr>
            <w:webHidden/>
          </w:rPr>
          <w:fldChar w:fldCharType="begin"/>
        </w:r>
        <w:r>
          <w:rPr>
            <w:webHidden/>
          </w:rPr>
          <w:instrText xml:space="preserve"> PAGEREF _Toc210895873 \h </w:instrText>
        </w:r>
        <w:r>
          <w:rPr>
            <w:webHidden/>
          </w:rPr>
        </w:r>
        <w:r>
          <w:rPr>
            <w:webHidden/>
          </w:rPr>
          <w:fldChar w:fldCharType="separate"/>
        </w:r>
        <w:r w:rsidR="006677FB">
          <w:rPr>
            <w:webHidden/>
          </w:rPr>
          <w:t>2</w:t>
        </w:r>
        <w:r>
          <w:rPr>
            <w:webHidden/>
          </w:rPr>
          <w:fldChar w:fldCharType="end"/>
        </w:r>
      </w:hyperlink>
    </w:p>
    <w:p w14:paraId="17F62992" w14:textId="3A19110B"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74" w:history="1">
        <w:r w:rsidRPr="00CF3E35">
          <w:rPr>
            <w:rStyle w:val="Hyperlink"/>
            <w:rFonts w:ascii="Times New Roman" w:hAnsi="Times New Roman"/>
          </w:rPr>
          <w:t>1.1.</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Правила за номериране</w:t>
        </w:r>
        <w:r>
          <w:rPr>
            <w:webHidden/>
          </w:rPr>
          <w:tab/>
        </w:r>
        <w:r>
          <w:rPr>
            <w:webHidden/>
          </w:rPr>
          <w:fldChar w:fldCharType="begin"/>
        </w:r>
        <w:r>
          <w:rPr>
            <w:webHidden/>
          </w:rPr>
          <w:instrText xml:space="preserve"> PAGEREF _Toc210895874 \h </w:instrText>
        </w:r>
        <w:r>
          <w:rPr>
            <w:webHidden/>
          </w:rPr>
        </w:r>
        <w:r>
          <w:rPr>
            <w:webHidden/>
          </w:rPr>
          <w:fldChar w:fldCharType="separate"/>
        </w:r>
        <w:r w:rsidR="006677FB">
          <w:rPr>
            <w:webHidden/>
          </w:rPr>
          <w:t>2</w:t>
        </w:r>
        <w:r>
          <w:rPr>
            <w:webHidden/>
          </w:rPr>
          <w:fldChar w:fldCharType="end"/>
        </w:r>
      </w:hyperlink>
    </w:p>
    <w:p w14:paraId="59A57F82" w14:textId="2BCA8A74"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75" w:history="1">
        <w:r w:rsidRPr="00CF3E35">
          <w:rPr>
            <w:rStyle w:val="Hyperlink"/>
            <w:rFonts w:ascii="Times New Roman" w:hAnsi="Times New Roman"/>
          </w:rPr>
          <w:t>1.2.</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Правила за докладването на положителни и отрицателни стойности</w:t>
        </w:r>
        <w:r>
          <w:rPr>
            <w:webHidden/>
          </w:rPr>
          <w:tab/>
        </w:r>
        <w:r>
          <w:rPr>
            <w:webHidden/>
          </w:rPr>
          <w:fldChar w:fldCharType="begin"/>
        </w:r>
        <w:r>
          <w:rPr>
            <w:webHidden/>
          </w:rPr>
          <w:instrText xml:space="preserve"> PAGEREF _Toc210895875 \h </w:instrText>
        </w:r>
        <w:r>
          <w:rPr>
            <w:webHidden/>
          </w:rPr>
        </w:r>
        <w:r>
          <w:rPr>
            <w:webHidden/>
          </w:rPr>
          <w:fldChar w:fldCharType="separate"/>
        </w:r>
        <w:r w:rsidR="006677FB">
          <w:rPr>
            <w:webHidden/>
          </w:rPr>
          <w:t>2</w:t>
        </w:r>
        <w:r>
          <w:rPr>
            <w:webHidden/>
          </w:rPr>
          <w:fldChar w:fldCharType="end"/>
        </w:r>
      </w:hyperlink>
    </w:p>
    <w:p w14:paraId="3D198448" w14:textId="058DF742"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76" w:history="1">
        <w:r w:rsidRPr="00CF3E35">
          <w:rPr>
            <w:rStyle w:val="Hyperlink"/>
            <w:rFonts w:ascii="Times New Roman" w:hAnsi="Times New Roman"/>
          </w:rPr>
          <w:t>1.3.</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Позовавания на Регламент (ЕС) № 575/2013</w:t>
        </w:r>
        <w:r>
          <w:rPr>
            <w:webHidden/>
          </w:rPr>
          <w:tab/>
        </w:r>
        <w:r>
          <w:rPr>
            <w:webHidden/>
          </w:rPr>
          <w:fldChar w:fldCharType="begin"/>
        </w:r>
        <w:r>
          <w:rPr>
            <w:webHidden/>
          </w:rPr>
          <w:instrText xml:space="preserve"> PAGEREF _Toc210895876 \h </w:instrText>
        </w:r>
        <w:r>
          <w:rPr>
            <w:webHidden/>
          </w:rPr>
        </w:r>
        <w:r>
          <w:rPr>
            <w:webHidden/>
          </w:rPr>
          <w:fldChar w:fldCharType="separate"/>
        </w:r>
        <w:r w:rsidR="006677FB">
          <w:rPr>
            <w:webHidden/>
          </w:rPr>
          <w:t>2</w:t>
        </w:r>
        <w:r>
          <w:rPr>
            <w:webHidden/>
          </w:rPr>
          <w:fldChar w:fldCharType="end"/>
        </w:r>
      </w:hyperlink>
    </w:p>
    <w:p w14:paraId="16F480C5" w14:textId="1DBB8CEB"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77" w:history="1">
        <w:r w:rsidRPr="00CF3E35">
          <w:rPr>
            <w:rStyle w:val="Hyperlink"/>
            <w:rFonts w:ascii="Times New Roman" w:hAnsi="Times New Roman"/>
          </w:rPr>
          <w:t>ЧАСТ II: УКАЗАНИЯ ЗА ОБРАЗЦИТЕ: ОБРАЗЦИ ЗА ПАЗАРЕН РИСК</w:t>
        </w:r>
        <w:r>
          <w:rPr>
            <w:webHidden/>
          </w:rPr>
          <w:tab/>
        </w:r>
        <w:r>
          <w:rPr>
            <w:webHidden/>
          </w:rPr>
          <w:fldChar w:fldCharType="begin"/>
        </w:r>
        <w:r>
          <w:rPr>
            <w:webHidden/>
          </w:rPr>
          <w:instrText xml:space="preserve"> PAGEREF _Toc210895877 \h </w:instrText>
        </w:r>
        <w:r>
          <w:rPr>
            <w:webHidden/>
          </w:rPr>
        </w:r>
        <w:r>
          <w:rPr>
            <w:webHidden/>
          </w:rPr>
          <w:fldChar w:fldCharType="separate"/>
        </w:r>
        <w:r w:rsidR="006677FB">
          <w:rPr>
            <w:webHidden/>
          </w:rPr>
          <w:t>3</w:t>
        </w:r>
        <w:r>
          <w:rPr>
            <w:webHidden/>
          </w:rPr>
          <w:fldChar w:fldCharType="end"/>
        </w:r>
      </w:hyperlink>
    </w:p>
    <w:p w14:paraId="3CFCCB66" w14:textId="29E94313"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78" w:history="1">
        <w:r w:rsidRPr="00CF3E35">
          <w:rPr>
            <w:rStyle w:val="Hyperlink"/>
            <w:rFonts w:ascii="Times New Roman" w:hAnsi="Times New Roman"/>
          </w:rPr>
          <w:t>1.</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Общи бележки</w:t>
        </w:r>
        <w:r>
          <w:rPr>
            <w:webHidden/>
          </w:rPr>
          <w:tab/>
        </w:r>
        <w:r>
          <w:rPr>
            <w:webHidden/>
          </w:rPr>
          <w:fldChar w:fldCharType="begin"/>
        </w:r>
        <w:r>
          <w:rPr>
            <w:webHidden/>
          </w:rPr>
          <w:instrText xml:space="preserve"> PAGEREF _Toc210895878 \h </w:instrText>
        </w:r>
        <w:r>
          <w:rPr>
            <w:webHidden/>
          </w:rPr>
        </w:r>
        <w:r>
          <w:rPr>
            <w:webHidden/>
          </w:rPr>
          <w:fldChar w:fldCharType="separate"/>
        </w:r>
        <w:r w:rsidR="006677FB">
          <w:rPr>
            <w:webHidden/>
          </w:rPr>
          <w:t>3</w:t>
        </w:r>
        <w:r>
          <w:rPr>
            <w:webHidden/>
          </w:rPr>
          <w:fldChar w:fldCharType="end"/>
        </w:r>
      </w:hyperlink>
    </w:p>
    <w:p w14:paraId="4913ECFC" w14:textId="356872FC"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79" w:history="1">
        <w:r w:rsidRPr="00CF3E35">
          <w:rPr>
            <w:rStyle w:val="Hyperlink"/>
            <w:rFonts w:ascii="Times New Roman" w:hAnsi="Times New Roman"/>
          </w:rPr>
          <w:t>2.</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C 18.00 — Пазарен риск: Стандартизиран подход за позиционни рискове по отношение на търгувани дългови инструменти (MKR SA TDI)</w:t>
        </w:r>
        <w:r>
          <w:rPr>
            <w:webHidden/>
          </w:rPr>
          <w:tab/>
        </w:r>
        <w:r>
          <w:rPr>
            <w:webHidden/>
          </w:rPr>
          <w:fldChar w:fldCharType="begin"/>
        </w:r>
        <w:r>
          <w:rPr>
            <w:webHidden/>
          </w:rPr>
          <w:instrText xml:space="preserve"> PAGEREF _Toc210895879 \h </w:instrText>
        </w:r>
        <w:r>
          <w:rPr>
            <w:webHidden/>
          </w:rPr>
        </w:r>
        <w:r>
          <w:rPr>
            <w:webHidden/>
          </w:rPr>
          <w:fldChar w:fldCharType="separate"/>
        </w:r>
        <w:r w:rsidR="006677FB">
          <w:rPr>
            <w:webHidden/>
          </w:rPr>
          <w:t>3</w:t>
        </w:r>
        <w:r>
          <w:rPr>
            <w:webHidden/>
          </w:rPr>
          <w:fldChar w:fldCharType="end"/>
        </w:r>
      </w:hyperlink>
    </w:p>
    <w:p w14:paraId="1C774CBA" w14:textId="31CCA088"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80" w:history="1">
        <w:r w:rsidRPr="00CF3E35">
          <w:rPr>
            <w:rStyle w:val="Hyperlink"/>
            <w:rFonts w:ascii="Times New Roman" w:hAnsi="Times New Roman"/>
          </w:rPr>
          <w:t>2.1.</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Общи бележки</w:t>
        </w:r>
        <w:r>
          <w:rPr>
            <w:webHidden/>
          </w:rPr>
          <w:tab/>
        </w:r>
        <w:r>
          <w:rPr>
            <w:webHidden/>
          </w:rPr>
          <w:fldChar w:fldCharType="begin"/>
        </w:r>
        <w:r>
          <w:rPr>
            <w:webHidden/>
          </w:rPr>
          <w:instrText xml:space="preserve"> PAGEREF _Toc210895880 \h </w:instrText>
        </w:r>
        <w:r>
          <w:rPr>
            <w:webHidden/>
          </w:rPr>
        </w:r>
        <w:r>
          <w:rPr>
            <w:webHidden/>
          </w:rPr>
          <w:fldChar w:fldCharType="separate"/>
        </w:r>
        <w:r w:rsidR="006677FB">
          <w:rPr>
            <w:webHidden/>
          </w:rPr>
          <w:t>3</w:t>
        </w:r>
        <w:r>
          <w:rPr>
            <w:webHidden/>
          </w:rPr>
          <w:fldChar w:fldCharType="end"/>
        </w:r>
      </w:hyperlink>
    </w:p>
    <w:p w14:paraId="27C7327F" w14:textId="59629FA6"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81" w:history="1">
        <w:r w:rsidRPr="00CF3E35">
          <w:rPr>
            <w:rStyle w:val="Hyperlink"/>
            <w:rFonts w:ascii="Times New Roman" w:hAnsi="Times New Roman"/>
          </w:rPr>
          <w:t>2.2.</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Указания за конкретни позиции</w:t>
        </w:r>
        <w:r>
          <w:rPr>
            <w:webHidden/>
          </w:rPr>
          <w:tab/>
        </w:r>
        <w:r>
          <w:rPr>
            <w:webHidden/>
          </w:rPr>
          <w:fldChar w:fldCharType="begin"/>
        </w:r>
        <w:r>
          <w:rPr>
            <w:webHidden/>
          </w:rPr>
          <w:instrText xml:space="preserve"> PAGEREF _Toc210895881 \h </w:instrText>
        </w:r>
        <w:r>
          <w:rPr>
            <w:webHidden/>
          </w:rPr>
        </w:r>
        <w:r>
          <w:rPr>
            <w:webHidden/>
          </w:rPr>
          <w:fldChar w:fldCharType="separate"/>
        </w:r>
        <w:r w:rsidR="006677FB">
          <w:rPr>
            <w:webHidden/>
          </w:rPr>
          <w:t>4</w:t>
        </w:r>
        <w:r>
          <w:rPr>
            <w:webHidden/>
          </w:rPr>
          <w:fldChar w:fldCharType="end"/>
        </w:r>
      </w:hyperlink>
    </w:p>
    <w:p w14:paraId="1FE8EB16" w14:textId="22554EDB"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82" w:history="1">
        <w:r w:rsidRPr="00CF3E35">
          <w:rPr>
            <w:rStyle w:val="Hyperlink"/>
            <w:rFonts w:ascii="Times New Roman" w:hAnsi="Times New Roman"/>
          </w:rPr>
          <w:t>3.</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C 19.00 — ПАЗАРЕН РИСК: СТАНДАРТИЗИРАН ПОДХОД ЗА СПЕЦИФИЧЕН РИСК В СЕКЮРИТИЗАЦИИ (MKR SA SEC)</w:t>
        </w:r>
        <w:r>
          <w:rPr>
            <w:webHidden/>
          </w:rPr>
          <w:tab/>
        </w:r>
        <w:r>
          <w:rPr>
            <w:webHidden/>
          </w:rPr>
          <w:fldChar w:fldCharType="begin"/>
        </w:r>
        <w:r>
          <w:rPr>
            <w:webHidden/>
          </w:rPr>
          <w:instrText xml:space="preserve"> PAGEREF _Toc210895882 \h </w:instrText>
        </w:r>
        <w:r>
          <w:rPr>
            <w:webHidden/>
          </w:rPr>
        </w:r>
        <w:r>
          <w:rPr>
            <w:webHidden/>
          </w:rPr>
          <w:fldChar w:fldCharType="separate"/>
        </w:r>
        <w:r w:rsidR="006677FB">
          <w:rPr>
            <w:webHidden/>
          </w:rPr>
          <w:t>6</w:t>
        </w:r>
        <w:r>
          <w:rPr>
            <w:webHidden/>
          </w:rPr>
          <w:fldChar w:fldCharType="end"/>
        </w:r>
      </w:hyperlink>
    </w:p>
    <w:p w14:paraId="458F6044" w14:textId="34089BD4"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83" w:history="1">
        <w:r w:rsidRPr="00CF3E35">
          <w:rPr>
            <w:rStyle w:val="Hyperlink"/>
            <w:rFonts w:ascii="Times New Roman" w:hAnsi="Times New Roman"/>
          </w:rPr>
          <w:t>3.1.</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Общи бележки</w:t>
        </w:r>
        <w:r>
          <w:rPr>
            <w:webHidden/>
          </w:rPr>
          <w:tab/>
        </w:r>
        <w:r>
          <w:rPr>
            <w:webHidden/>
          </w:rPr>
          <w:fldChar w:fldCharType="begin"/>
        </w:r>
        <w:r>
          <w:rPr>
            <w:webHidden/>
          </w:rPr>
          <w:instrText xml:space="preserve"> PAGEREF _Toc210895883 \h </w:instrText>
        </w:r>
        <w:r>
          <w:rPr>
            <w:webHidden/>
          </w:rPr>
        </w:r>
        <w:r>
          <w:rPr>
            <w:webHidden/>
          </w:rPr>
          <w:fldChar w:fldCharType="separate"/>
        </w:r>
        <w:r w:rsidR="006677FB">
          <w:rPr>
            <w:webHidden/>
          </w:rPr>
          <w:t>6</w:t>
        </w:r>
        <w:r>
          <w:rPr>
            <w:webHidden/>
          </w:rPr>
          <w:fldChar w:fldCharType="end"/>
        </w:r>
      </w:hyperlink>
    </w:p>
    <w:p w14:paraId="286CF02A" w14:textId="10AB069D"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84" w:history="1">
        <w:r w:rsidRPr="00CF3E35">
          <w:rPr>
            <w:rStyle w:val="Hyperlink"/>
            <w:rFonts w:ascii="Times New Roman" w:hAnsi="Times New Roman"/>
          </w:rPr>
          <w:t>3.2.</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Указания за конкретни позиции</w:t>
        </w:r>
        <w:r>
          <w:rPr>
            <w:webHidden/>
          </w:rPr>
          <w:tab/>
        </w:r>
        <w:r>
          <w:rPr>
            <w:webHidden/>
          </w:rPr>
          <w:fldChar w:fldCharType="begin"/>
        </w:r>
        <w:r>
          <w:rPr>
            <w:webHidden/>
          </w:rPr>
          <w:instrText xml:space="preserve"> PAGEREF _Toc210895884 \h </w:instrText>
        </w:r>
        <w:r>
          <w:rPr>
            <w:webHidden/>
          </w:rPr>
        </w:r>
        <w:r>
          <w:rPr>
            <w:webHidden/>
          </w:rPr>
          <w:fldChar w:fldCharType="separate"/>
        </w:r>
        <w:r w:rsidR="006677FB">
          <w:rPr>
            <w:webHidden/>
          </w:rPr>
          <w:t>7</w:t>
        </w:r>
        <w:r>
          <w:rPr>
            <w:webHidden/>
          </w:rPr>
          <w:fldChar w:fldCharType="end"/>
        </w:r>
      </w:hyperlink>
    </w:p>
    <w:p w14:paraId="76463E77" w14:textId="2BF71D5E"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85" w:history="1">
        <w:r w:rsidRPr="00CF3E35">
          <w:rPr>
            <w:rStyle w:val="Hyperlink"/>
            <w:rFonts w:ascii="Times New Roman" w:hAnsi="Times New Roman"/>
          </w:rPr>
          <w:t>4.</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C 20.00 — ПАЗАРЕН РИСК: СТАНДАРТИЗИРАН ПОДХОД ЗА СПЕЦИФИЧЕН РИСК ЗА ПОЗИЦИИТЕ, ОТНЕСЕНИ КЪМ ПОРТФЕЙЛА ЗА КОРЕЛАЦИОННО ТЪРГУВАНЕ (MKR SA CTP)</w:t>
        </w:r>
        <w:r>
          <w:rPr>
            <w:webHidden/>
          </w:rPr>
          <w:tab/>
        </w:r>
        <w:r>
          <w:rPr>
            <w:webHidden/>
          </w:rPr>
          <w:fldChar w:fldCharType="begin"/>
        </w:r>
        <w:r>
          <w:rPr>
            <w:webHidden/>
          </w:rPr>
          <w:instrText xml:space="preserve"> PAGEREF _Toc210895885 \h </w:instrText>
        </w:r>
        <w:r>
          <w:rPr>
            <w:webHidden/>
          </w:rPr>
        </w:r>
        <w:r>
          <w:rPr>
            <w:webHidden/>
          </w:rPr>
          <w:fldChar w:fldCharType="separate"/>
        </w:r>
        <w:r w:rsidR="006677FB">
          <w:rPr>
            <w:webHidden/>
          </w:rPr>
          <w:t>9</w:t>
        </w:r>
        <w:r>
          <w:rPr>
            <w:webHidden/>
          </w:rPr>
          <w:fldChar w:fldCharType="end"/>
        </w:r>
      </w:hyperlink>
    </w:p>
    <w:p w14:paraId="7FD758CF" w14:textId="5AADD662"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86" w:history="1">
        <w:r w:rsidRPr="00CF3E35">
          <w:rPr>
            <w:rStyle w:val="Hyperlink"/>
            <w:rFonts w:ascii="Times New Roman" w:hAnsi="Times New Roman"/>
          </w:rPr>
          <w:t>4.1.</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Общи бележки</w:t>
        </w:r>
        <w:r>
          <w:rPr>
            <w:webHidden/>
          </w:rPr>
          <w:tab/>
        </w:r>
        <w:r>
          <w:rPr>
            <w:webHidden/>
          </w:rPr>
          <w:fldChar w:fldCharType="begin"/>
        </w:r>
        <w:r>
          <w:rPr>
            <w:webHidden/>
          </w:rPr>
          <w:instrText xml:space="preserve"> PAGEREF _Toc210895886 \h </w:instrText>
        </w:r>
        <w:r>
          <w:rPr>
            <w:webHidden/>
          </w:rPr>
        </w:r>
        <w:r>
          <w:rPr>
            <w:webHidden/>
          </w:rPr>
          <w:fldChar w:fldCharType="separate"/>
        </w:r>
        <w:r w:rsidR="006677FB">
          <w:rPr>
            <w:webHidden/>
          </w:rPr>
          <w:t>9</w:t>
        </w:r>
        <w:r>
          <w:rPr>
            <w:webHidden/>
          </w:rPr>
          <w:fldChar w:fldCharType="end"/>
        </w:r>
      </w:hyperlink>
    </w:p>
    <w:p w14:paraId="0376E787" w14:textId="4FB00A14"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87" w:history="1">
        <w:r w:rsidRPr="00CF3E35">
          <w:rPr>
            <w:rStyle w:val="Hyperlink"/>
            <w:rFonts w:ascii="Times New Roman" w:hAnsi="Times New Roman"/>
          </w:rPr>
          <w:t>4.2.</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Указания за конкретни позиции</w:t>
        </w:r>
        <w:r>
          <w:rPr>
            <w:webHidden/>
          </w:rPr>
          <w:tab/>
        </w:r>
        <w:r>
          <w:rPr>
            <w:webHidden/>
          </w:rPr>
          <w:fldChar w:fldCharType="begin"/>
        </w:r>
        <w:r>
          <w:rPr>
            <w:webHidden/>
          </w:rPr>
          <w:instrText xml:space="preserve"> PAGEREF _Toc210895887 \h </w:instrText>
        </w:r>
        <w:r>
          <w:rPr>
            <w:webHidden/>
          </w:rPr>
        </w:r>
        <w:r>
          <w:rPr>
            <w:webHidden/>
          </w:rPr>
          <w:fldChar w:fldCharType="separate"/>
        </w:r>
        <w:r w:rsidR="006677FB">
          <w:rPr>
            <w:webHidden/>
          </w:rPr>
          <w:t>10</w:t>
        </w:r>
        <w:r>
          <w:rPr>
            <w:webHidden/>
          </w:rPr>
          <w:fldChar w:fldCharType="end"/>
        </w:r>
      </w:hyperlink>
    </w:p>
    <w:p w14:paraId="039CCFEF" w14:textId="3DE10CFD"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88" w:history="1">
        <w:r w:rsidRPr="00CF3E35">
          <w:rPr>
            <w:rStyle w:val="Hyperlink"/>
            <w:rFonts w:ascii="Times New Roman" w:hAnsi="Times New Roman"/>
          </w:rPr>
          <w:t>5.</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C 21.00 — Пазарен риск: Стандартизиран подход за риск във връзка с позициите в капиталови инструменти (MKR SA EQU)</w:t>
        </w:r>
        <w:r>
          <w:rPr>
            <w:webHidden/>
          </w:rPr>
          <w:tab/>
        </w:r>
        <w:r>
          <w:rPr>
            <w:webHidden/>
          </w:rPr>
          <w:fldChar w:fldCharType="begin"/>
        </w:r>
        <w:r>
          <w:rPr>
            <w:webHidden/>
          </w:rPr>
          <w:instrText xml:space="preserve"> PAGEREF _Toc210895888 \h </w:instrText>
        </w:r>
        <w:r>
          <w:rPr>
            <w:webHidden/>
          </w:rPr>
        </w:r>
        <w:r>
          <w:rPr>
            <w:webHidden/>
          </w:rPr>
          <w:fldChar w:fldCharType="separate"/>
        </w:r>
        <w:r w:rsidR="006677FB">
          <w:rPr>
            <w:webHidden/>
          </w:rPr>
          <w:t>12</w:t>
        </w:r>
        <w:r>
          <w:rPr>
            <w:webHidden/>
          </w:rPr>
          <w:fldChar w:fldCharType="end"/>
        </w:r>
      </w:hyperlink>
    </w:p>
    <w:p w14:paraId="31E1A58B" w14:textId="6E1F49A6"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89" w:history="1">
        <w:r w:rsidRPr="00CF3E35">
          <w:rPr>
            <w:rStyle w:val="Hyperlink"/>
            <w:rFonts w:ascii="Times New Roman" w:hAnsi="Times New Roman"/>
          </w:rPr>
          <w:t>5.1.</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Общи бележки</w:t>
        </w:r>
        <w:r>
          <w:rPr>
            <w:webHidden/>
          </w:rPr>
          <w:tab/>
        </w:r>
        <w:r>
          <w:rPr>
            <w:webHidden/>
          </w:rPr>
          <w:fldChar w:fldCharType="begin"/>
        </w:r>
        <w:r>
          <w:rPr>
            <w:webHidden/>
          </w:rPr>
          <w:instrText xml:space="preserve"> PAGEREF _Toc210895889 \h </w:instrText>
        </w:r>
        <w:r>
          <w:rPr>
            <w:webHidden/>
          </w:rPr>
        </w:r>
        <w:r>
          <w:rPr>
            <w:webHidden/>
          </w:rPr>
          <w:fldChar w:fldCharType="separate"/>
        </w:r>
        <w:r w:rsidR="006677FB">
          <w:rPr>
            <w:webHidden/>
          </w:rPr>
          <w:t>12</w:t>
        </w:r>
        <w:r>
          <w:rPr>
            <w:webHidden/>
          </w:rPr>
          <w:fldChar w:fldCharType="end"/>
        </w:r>
      </w:hyperlink>
    </w:p>
    <w:p w14:paraId="3898954C" w14:textId="0155680A"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90" w:history="1">
        <w:r w:rsidRPr="00CF3E35">
          <w:rPr>
            <w:rStyle w:val="Hyperlink"/>
            <w:rFonts w:ascii="Times New Roman" w:hAnsi="Times New Roman"/>
          </w:rPr>
          <w:t>5.2.</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Указания за конкретни позиции</w:t>
        </w:r>
        <w:r>
          <w:rPr>
            <w:webHidden/>
          </w:rPr>
          <w:tab/>
        </w:r>
        <w:r>
          <w:rPr>
            <w:webHidden/>
          </w:rPr>
          <w:fldChar w:fldCharType="begin"/>
        </w:r>
        <w:r>
          <w:rPr>
            <w:webHidden/>
          </w:rPr>
          <w:instrText xml:space="preserve"> PAGEREF _Toc210895890 \h </w:instrText>
        </w:r>
        <w:r>
          <w:rPr>
            <w:webHidden/>
          </w:rPr>
        </w:r>
        <w:r>
          <w:rPr>
            <w:webHidden/>
          </w:rPr>
          <w:fldChar w:fldCharType="separate"/>
        </w:r>
        <w:r w:rsidR="006677FB">
          <w:rPr>
            <w:webHidden/>
          </w:rPr>
          <w:t>13</w:t>
        </w:r>
        <w:r>
          <w:rPr>
            <w:webHidden/>
          </w:rPr>
          <w:fldChar w:fldCharType="end"/>
        </w:r>
      </w:hyperlink>
    </w:p>
    <w:p w14:paraId="50A4493E" w14:textId="4E59FF1F"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91" w:history="1">
        <w:r w:rsidRPr="00CF3E35">
          <w:rPr>
            <w:rStyle w:val="Hyperlink"/>
            <w:rFonts w:ascii="Times New Roman" w:hAnsi="Times New Roman"/>
          </w:rPr>
          <w:t>6.</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C 22.00 — Пазарен риск: Стандартизирани подходи за валутен риск (MKR SA FX)</w:t>
        </w:r>
        <w:r>
          <w:rPr>
            <w:webHidden/>
          </w:rPr>
          <w:tab/>
        </w:r>
        <w:r>
          <w:rPr>
            <w:webHidden/>
          </w:rPr>
          <w:fldChar w:fldCharType="begin"/>
        </w:r>
        <w:r>
          <w:rPr>
            <w:webHidden/>
          </w:rPr>
          <w:instrText xml:space="preserve"> PAGEREF _Toc210895891 \h </w:instrText>
        </w:r>
        <w:r>
          <w:rPr>
            <w:webHidden/>
          </w:rPr>
        </w:r>
        <w:r>
          <w:rPr>
            <w:webHidden/>
          </w:rPr>
          <w:fldChar w:fldCharType="separate"/>
        </w:r>
        <w:r w:rsidR="006677FB">
          <w:rPr>
            <w:webHidden/>
          </w:rPr>
          <w:t>15</w:t>
        </w:r>
        <w:r>
          <w:rPr>
            <w:webHidden/>
          </w:rPr>
          <w:fldChar w:fldCharType="end"/>
        </w:r>
      </w:hyperlink>
    </w:p>
    <w:p w14:paraId="499AB80C" w14:textId="32B8009E"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92" w:history="1">
        <w:r w:rsidRPr="00CF3E35">
          <w:rPr>
            <w:rStyle w:val="Hyperlink"/>
            <w:rFonts w:ascii="Times New Roman" w:hAnsi="Times New Roman"/>
          </w:rPr>
          <w:t>6.1.</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Общи бележки</w:t>
        </w:r>
        <w:r>
          <w:rPr>
            <w:webHidden/>
          </w:rPr>
          <w:tab/>
        </w:r>
        <w:r>
          <w:rPr>
            <w:webHidden/>
          </w:rPr>
          <w:fldChar w:fldCharType="begin"/>
        </w:r>
        <w:r>
          <w:rPr>
            <w:webHidden/>
          </w:rPr>
          <w:instrText xml:space="preserve"> PAGEREF _Toc210895892 \h </w:instrText>
        </w:r>
        <w:r>
          <w:rPr>
            <w:webHidden/>
          </w:rPr>
        </w:r>
        <w:r>
          <w:rPr>
            <w:webHidden/>
          </w:rPr>
          <w:fldChar w:fldCharType="separate"/>
        </w:r>
        <w:r w:rsidR="006677FB">
          <w:rPr>
            <w:webHidden/>
          </w:rPr>
          <w:t>15</w:t>
        </w:r>
        <w:r>
          <w:rPr>
            <w:webHidden/>
          </w:rPr>
          <w:fldChar w:fldCharType="end"/>
        </w:r>
      </w:hyperlink>
    </w:p>
    <w:p w14:paraId="4F938D1C" w14:textId="77DC65B0"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93" w:history="1">
        <w:r w:rsidRPr="00CF3E35">
          <w:rPr>
            <w:rStyle w:val="Hyperlink"/>
            <w:rFonts w:ascii="Times New Roman" w:hAnsi="Times New Roman"/>
          </w:rPr>
          <w:t>6.2.</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Указания за конкретни позиции</w:t>
        </w:r>
        <w:r>
          <w:rPr>
            <w:webHidden/>
          </w:rPr>
          <w:tab/>
        </w:r>
        <w:r>
          <w:rPr>
            <w:webHidden/>
          </w:rPr>
          <w:fldChar w:fldCharType="begin"/>
        </w:r>
        <w:r>
          <w:rPr>
            <w:webHidden/>
          </w:rPr>
          <w:instrText xml:space="preserve"> PAGEREF _Toc210895893 \h </w:instrText>
        </w:r>
        <w:r>
          <w:rPr>
            <w:webHidden/>
          </w:rPr>
        </w:r>
        <w:r>
          <w:rPr>
            <w:webHidden/>
          </w:rPr>
          <w:fldChar w:fldCharType="separate"/>
        </w:r>
        <w:r w:rsidR="006677FB">
          <w:rPr>
            <w:webHidden/>
          </w:rPr>
          <w:t>15</w:t>
        </w:r>
        <w:r>
          <w:rPr>
            <w:webHidden/>
          </w:rPr>
          <w:fldChar w:fldCharType="end"/>
        </w:r>
      </w:hyperlink>
    </w:p>
    <w:p w14:paraId="6A994276" w14:textId="3B334D5F"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94" w:history="1">
        <w:r w:rsidRPr="00CF3E35">
          <w:rPr>
            <w:rStyle w:val="Hyperlink"/>
            <w:rFonts w:ascii="Times New Roman" w:hAnsi="Times New Roman"/>
          </w:rPr>
          <w:t>7.</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C 23.00 — Пазарен риск: Стандартизирани подходи за стоки (MKR SA COM)</w:t>
        </w:r>
        <w:r>
          <w:rPr>
            <w:webHidden/>
          </w:rPr>
          <w:tab/>
        </w:r>
        <w:r>
          <w:rPr>
            <w:webHidden/>
          </w:rPr>
          <w:fldChar w:fldCharType="begin"/>
        </w:r>
        <w:r>
          <w:rPr>
            <w:webHidden/>
          </w:rPr>
          <w:instrText xml:space="preserve"> PAGEREF _Toc210895894 \h </w:instrText>
        </w:r>
        <w:r>
          <w:rPr>
            <w:webHidden/>
          </w:rPr>
        </w:r>
        <w:r>
          <w:rPr>
            <w:webHidden/>
          </w:rPr>
          <w:fldChar w:fldCharType="separate"/>
        </w:r>
        <w:r w:rsidR="006677FB">
          <w:rPr>
            <w:webHidden/>
          </w:rPr>
          <w:t>18</w:t>
        </w:r>
        <w:r>
          <w:rPr>
            <w:webHidden/>
          </w:rPr>
          <w:fldChar w:fldCharType="end"/>
        </w:r>
      </w:hyperlink>
    </w:p>
    <w:p w14:paraId="14979A29" w14:textId="3BE7C8E5"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95" w:history="1">
        <w:r w:rsidRPr="00CF3E35">
          <w:rPr>
            <w:rStyle w:val="Hyperlink"/>
            <w:rFonts w:ascii="Times New Roman" w:hAnsi="Times New Roman"/>
          </w:rPr>
          <w:t>7.1.</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Общи бележки</w:t>
        </w:r>
        <w:r>
          <w:rPr>
            <w:webHidden/>
          </w:rPr>
          <w:tab/>
        </w:r>
        <w:r>
          <w:rPr>
            <w:webHidden/>
          </w:rPr>
          <w:fldChar w:fldCharType="begin"/>
        </w:r>
        <w:r>
          <w:rPr>
            <w:webHidden/>
          </w:rPr>
          <w:instrText xml:space="preserve"> PAGEREF _Toc210895895 \h </w:instrText>
        </w:r>
        <w:r>
          <w:rPr>
            <w:webHidden/>
          </w:rPr>
        </w:r>
        <w:r>
          <w:rPr>
            <w:webHidden/>
          </w:rPr>
          <w:fldChar w:fldCharType="separate"/>
        </w:r>
        <w:r w:rsidR="006677FB">
          <w:rPr>
            <w:webHidden/>
          </w:rPr>
          <w:t>18</w:t>
        </w:r>
        <w:r>
          <w:rPr>
            <w:webHidden/>
          </w:rPr>
          <w:fldChar w:fldCharType="end"/>
        </w:r>
      </w:hyperlink>
    </w:p>
    <w:p w14:paraId="1701E2F3" w14:textId="0C6C1910"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96" w:history="1">
        <w:r w:rsidRPr="00CF3E35">
          <w:rPr>
            <w:rStyle w:val="Hyperlink"/>
            <w:rFonts w:ascii="Times New Roman" w:hAnsi="Times New Roman"/>
          </w:rPr>
          <w:t>7.2.</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Указания за конкретни позиции</w:t>
        </w:r>
        <w:r>
          <w:rPr>
            <w:webHidden/>
          </w:rPr>
          <w:tab/>
        </w:r>
        <w:r>
          <w:rPr>
            <w:webHidden/>
          </w:rPr>
          <w:fldChar w:fldCharType="begin"/>
        </w:r>
        <w:r>
          <w:rPr>
            <w:webHidden/>
          </w:rPr>
          <w:instrText xml:space="preserve"> PAGEREF _Toc210895896 \h </w:instrText>
        </w:r>
        <w:r>
          <w:rPr>
            <w:webHidden/>
          </w:rPr>
        </w:r>
        <w:r>
          <w:rPr>
            <w:webHidden/>
          </w:rPr>
          <w:fldChar w:fldCharType="separate"/>
        </w:r>
        <w:r w:rsidR="006677FB">
          <w:rPr>
            <w:webHidden/>
          </w:rPr>
          <w:t>19</w:t>
        </w:r>
        <w:r>
          <w:rPr>
            <w:webHidden/>
          </w:rPr>
          <w:fldChar w:fldCharType="end"/>
        </w:r>
      </w:hyperlink>
    </w:p>
    <w:p w14:paraId="3E6C45C4" w14:textId="34C419FA"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97" w:history="1">
        <w:r w:rsidRPr="00CF3E35">
          <w:rPr>
            <w:rStyle w:val="Hyperlink"/>
            <w:rFonts w:ascii="Times New Roman" w:hAnsi="Times New Roman"/>
          </w:rPr>
          <w:t>8.</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C 24.00 - Вътрешен модел за пазарен риск (MKR IM)</w:t>
        </w:r>
        <w:r>
          <w:rPr>
            <w:webHidden/>
          </w:rPr>
          <w:tab/>
        </w:r>
        <w:r>
          <w:rPr>
            <w:webHidden/>
          </w:rPr>
          <w:fldChar w:fldCharType="begin"/>
        </w:r>
        <w:r>
          <w:rPr>
            <w:webHidden/>
          </w:rPr>
          <w:instrText xml:space="preserve"> PAGEREF _Toc210895897 \h </w:instrText>
        </w:r>
        <w:r>
          <w:rPr>
            <w:webHidden/>
          </w:rPr>
        </w:r>
        <w:r>
          <w:rPr>
            <w:webHidden/>
          </w:rPr>
          <w:fldChar w:fldCharType="separate"/>
        </w:r>
        <w:r w:rsidR="006677FB">
          <w:rPr>
            <w:webHidden/>
          </w:rPr>
          <w:t>20</w:t>
        </w:r>
        <w:r>
          <w:rPr>
            <w:webHidden/>
          </w:rPr>
          <w:fldChar w:fldCharType="end"/>
        </w:r>
      </w:hyperlink>
    </w:p>
    <w:p w14:paraId="5ABD409A" w14:textId="3BD080B6"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98" w:history="1">
        <w:r w:rsidRPr="00CF3E35">
          <w:rPr>
            <w:rStyle w:val="Hyperlink"/>
            <w:rFonts w:ascii="Times New Roman" w:hAnsi="Times New Roman"/>
          </w:rPr>
          <w:t>8.1.</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Общи бележки</w:t>
        </w:r>
        <w:r>
          <w:rPr>
            <w:webHidden/>
          </w:rPr>
          <w:tab/>
        </w:r>
        <w:r>
          <w:rPr>
            <w:webHidden/>
          </w:rPr>
          <w:fldChar w:fldCharType="begin"/>
        </w:r>
        <w:r>
          <w:rPr>
            <w:webHidden/>
          </w:rPr>
          <w:instrText xml:space="preserve"> PAGEREF _Toc210895898 \h </w:instrText>
        </w:r>
        <w:r>
          <w:rPr>
            <w:webHidden/>
          </w:rPr>
        </w:r>
        <w:r>
          <w:rPr>
            <w:webHidden/>
          </w:rPr>
          <w:fldChar w:fldCharType="separate"/>
        </w:r>
        <w:r w:rsidR="006677FB">
          <w:rPr>
            <w:webHidden/>
          </w:rPr>
          <w:t>20</w:t>
        </w:r>
        <w:r>
          <w:rPr>
            <w:webHidden/>
          </w:rPr>
          <w:fldChar w:fldCharType="end"/>
        </w:r>
      </w:hyperlink>
    </w:p>
    <w:p w14:paraId="296429F7" w14:textId="031F5EF7" w:rsidR="000E0EDE" w:rsidRDefault="000E0EDE">
      <w:pPr>
        <w:pStyle w:val="TOC2"/>
        <w:rPr>
          <w:rFonts w:asciiTheme="minorHAnsi" w:eastAsiaTheme="minorEastAsia" w:hAnsiTheme="minorHAnsi" w:cstheme="minorBidi"/>
          <w:b w:val="0"/>
          <w:smallCaps w:val="0"/>
          <w:kern w:val="2"/>
          <w:sz w:val="24"/>
          <w:szCs w:val="24"/>
          <w:lang w:val="en-GB" w:eastAsia="en-GB"/>
          <w14:ligatures w14:val="standardContextual"/>
        </w:rPr>
      </w:pPr>
      <w:hyperlink w:anchor="_Toc210895899" w:history="1">
        <w:r w:rsidRPr="00CF3E35">
          <w:rPr>
            <w:rStyle w:val="Hyperlink"/>
            <w:rFonts w:ascii="Times New Roman" w:hAnsi="Times New Roman"/>
          </w:rPr>
          <w:t>8.2.</w:t>
        </w:r>
        <w:r>
          <w:rPr>
            <w:rFonts w:asciiTheme="minorHAnsi" w:eastAsiaTheme="minorEastAsia" w:hAnsiTheme="minorHAnsi" w:cstheme="minorBidi"/>
            <w:b w:val="0"/>
            <w:smallCaps w:val="0"/>
            <w:kern w:val="2"/>
            <w:sz w:val="24"/>
            <w:szCs w:val="24"/>
            <w:lang w:val="en-GB" w:eastAsia="en-GB"/>
            <w14:ligatures w14:val="standardContextual"/>
          </w:rPr>
          <w:tab/>
        </w:r>
        <w:r w:rsidRPr="00CF3E35">
          <w:rPr>
            <w:rStyle w:val="Hyperlink"/>
            <w:rFonts w:ascii="Times New Roman" w:hAnsi="Times New Roman"/>
          </w:rPr>
          <w:t>Указания за конкретни позиции</w:t>
        </w:r>
        <w:r>
          <w:rPr>
            <w:webHidden/>
          </w:rPr>
          <w:tab/>
        </w:r>
        <w:r>
          <w:rPr>
            <w:webHidden/>
          </w:rPr>
          <w:fldChar w:fldCharType="begin"/>
        </w:r>
        <w:r>
          <w:rPr>
            <w:webHidden/>
          </w:rPr>
          <w:instrText xml:space="preserve"> PAGEREF _Toc210895899 \h </w:instrText>
        </w:r>
        <w:r>
          <w:rPr>
            <w:webHidden/>
          </w:rPr>
        </w:r>
        <w:r>
          <w:rPr>
            <w:webHidden/>
          </w:rPr>
          <w:fldChar w:fldCharType="separate"/>
        </w:r>
        <w:r w:rsidR="006677FB">
          <w:rPr>
            <w:webHidden/>
          </w:rPr>
          <w:t>20</w:t>
        </w:r>
        <w:r>
          <w:rPr>
            <w:webHidden/>
          </w:rPr>
          <w:fldChar w:fldCharType="end"/>
        </w:r>
      </w:hyperlink>
    </w:p>
    <w:p w14:paraId="4325A1DC" w14:textId="02AAB04B" w:rsidR="002648B0" w:rsidRPr="00696301" w:rsidRDefault="00745369" w:rsidP="00005FFC">
      <w:pPr>
        <w:rPr>
          <w:rFonts w:ascii="Times New Roman" w:hAnsi="Times New Roman"/>
          <w:sz w:val="24"/>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Pr>
          <w:rFonts w:ascii="Times New Roman" w:hAnsi="Times New Roman"/>
          <w:sz w:val="24"/>
        </w:rPr>
        <w:fldChar w:fldCharType="end"/>
      </w:r>
    </w:p>
    <w:p w14:paraId="65DEB04A" w14:textId="77777777" w:rsidR="002648B0" w:rsidRPr="002D60D7"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895872"/>
      <w:r>
        <w:rPr>
          <w:rFonts w:ascii="Times New Roman" w:hAnsi="Times New Roman"/>
        </w:rPr>
        <w:lastRenderedPageBreak/>
        <w:t>ЧАСТ I:</w:t>
      </w:r>
      <w:bookmarkEnd w:id="2"/>
      <w:r>
        <w:rPr>
          <w:rFonts w:ascii="Times New Roman" w:hAnsi="Times New Roman"/>
        </w:rPr>
        <w:t xml:space="preserve"> ОБЩИ УКАЗАНИЯ</w:t>
      </w:r>
      <w:bookmarkEnd w:id="3"/>
      <w:bookmarkEnd w:id="4"/>
      <w:bookmarkEnd w:id="5"/>
    </w:p>
    <w:p w14:paraId="2B1DE452" w14:textId="3C4AA749"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6" w:name="_Toc360188318"/>
      <w:bookmarkStart w:id="7" w:name="_Toc473560866"/>
      <w:bookmarkStart w:id="8" w:name="_Toc210895873"/>
      <w:r>
        <w:rPr>
          <w:rFonts w:ascii="Times New Roman" w:hAnsi="Times New Roman"/>
          <w:sz w:val="24"/>
          <w:u w:val="none"/>
        </w:rPr>
        <w:t>1.</w:t>
      </w:r>
      <w:r>
        <w:tab/>
      </w:r>
      <w:r>
        <w:rPr>
          <w:rFonts w:ascii="Times New Roman" w:hAnsi="Times New Roman"/>
          <w:sz w:val="24"/>
          <w:u w:val="none"/>
        </w:rPr>
        <w:t>УСТАНОВЕНИ ПРАКТИКИ</w:t>
      </w:r>
      <w:bookmarkEnd w:id="6"/>
      <w:bookmarkEnd w:id="7"/>
      <w:bookmarkEnd w:id="8"/>
    </w:p>
    <w:p w14:paraId="691FE691" w14:textId="6FA2FF51"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10895874"/>
      <w:bookmarkStart w:id="12" w:name="_Toc264038399"/>
      <w:bookmarkStart w:id="13" w:name="_Toc294018834"/>
      <w:r>
        <w:rPr>
          <w:rFonts w:ascii="Times New Roman" w:hAnsi="Times New Roman"/>
          <w:sz w:val="24"/>
          <w:u w:val="none"/>
        </w:rPr>
        <w:t>1.1.</w:t>
      </w:r>
      <w:r>
        <w:tab/>
      </w:r>
      <w:r>
        <w:rPr>
          <w:rFonts w:ascii="Times New Roman" w:hAnsi="Times New Roman"/>
          <w:sz w:val="24"/>
          <w:u w:val="none"/>
        </w:rPr>
        <w:t>Правила за номериране</w:t>
      </w:r>
      <w:bookmarkEnd w:id="9"/>
      <w:bookmarkEnd w:id="10"/>
      <w:bookmarkEnd w:id="11"/>
    </w:p>
    <w:p w14:paraId="07DD29A3" w14:textId="3ADB010A" w:rsidR="002648B0" w:rsidRPr="002D60D7" w:rsidRDefault="002648B0" w:rsidP="00E172EA">
      <w:pPr>
        <w:pStyle w:val="InstructionsText2"/>
        <w:numPr>
          <w:ilvl w:val="0"/>
          <w:numId w:val="29"/>
        </w:numPr>
        <w:suppressAutoHyphens/>
      </w:pPr>
      <w:r>
        <w:t>Когато в документа се препраща към колоните, редовете и полетата от образците, обозначаването е посоченото в точки 2—5. Тези цифрови кодове се използват широко при правилата за утвърждаване.</w:t>
      </w:r>
    </w:p>
    <w:p w14:paraId="4A930757" w14:textId="35786EEA" w:rsidR="005643EA" w:rsidRPr="002D60D7" w:rsidRDefault="002648B0" w:rsidP="00E172EA">
      <w:pPr>
        <w:pStyle w:val="InstructionsText2"/>
        <w:numPr>
          <w:ilvl w:val="0"/>
          <w:numId w:val="29"/>
        </w:numPr>
        <w:suppressAutoHyphens/>
      </w:pPr>
      <w:r>
        <w:t>В указанията се съблюдават следните общи означения: {образец; ред; колона}.</w:t>
      </w:r>
    </w:p>
    <w:p w14:paraId="058D6622" w14:textId="0D8EC818" w:rsidR="002648B0" w:rsidRPr="002D60D7" w:rsidRDefault="002648B0" w:rsidP="00E172EA">
      <w:pPr>
        <w:pStyle w:val="InstructionsText2"/>
        <w:numPr>
          <w:ilvl w:val="0"/>
          <w:numId w:val="29"/>
        </w:numPr>
        <w:suppressAutoHyphens/>
      </w:pPr>
      <w:r>
        <w:t>Когато се извършва утвърждаване в рамките на образец, в който се използват само съдържащите се в него данни, означенията не включват думата „образец“: {ред; колона}.</w:t>
      </w:r>
    </w:p>
    <w:p w14:paraId="1C93CB72" w14:textId="27E06172" w:rsidR="005643EA" w:rsidRPr="002D60D7" w:rsidRDefault="002648B0" w:rsidP="00E172EA">
      <w:pPr>
        <w:pStyle w:val="InstructionsText2"/>
        <w:numPr>
          <w:ilvl w:val="0"/>
          <w:numId w:val="29"/>
        </w:numPr>
        <w:suppressAutoHyphens/>
      </w:pPr>
      <w:r>
        <w:t>При образците, които имат само една колона, се посочват само редовете. {образец; ред}.</w:t>
      </w:r>
    </w:p>
    <w:p w14:paraId="6CF08484" w14:textId="337CEEA0" w:rsidR="002648B0" w:rsidRPr="002D60D7" w:rsidRDefault="002648B0" w:rsidP="00E172EA">
      <w:pPr>
        <w:pStyle w:val="InstructionsText2"/>
        <w:numPr>
          <w:ilvl w:val="0"/>
          <w:numId w:val="29"/>
        </w:numPr>
        <w:suppressAutoHyphens/>
      </w:pPr>
      <w:r>
        <w:t>Знакът „звездичка“ се използва, за да се покаже, че утвърждаването обхваща посочените преди това редове или колони.</w:t>
      </w:r>
    </w:p>
    <w:p w14:paraId="6218AD51" w14:textId="365F36D8"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895875"/>
      <w:r>
        <w:rPr>
          <w:rFonts w:ascii="Times New Roman" w:hAnsi="Times New Roman"/>
          <w:sz w:val="24"/>
          <w:u w:val="none"/>
        </w:rPr>
        <w:t>1.2.</w:t>
      </w:r>
      <w:r>
        <w:tab/>
      </w:r>
      <w:r>
        <w:rPr>
          <w:rFonts w:ascii="Times New Roman" w:hAnsi="Times New Roman"/>
          <w:sz w:val="24"/>
          <w:u w:val="none"/>
        </w:rPr>
        <w:t>Правила за докладването на положителни и отрицателни стойности</w:t>
      </w:r>
      <w:bookmarkEnd w:id="12"/>
      <w:bookmarkEnd w:id="13"/>
      <w:bookmarkEnd w:id="14"/>
      <w:bookmarkEnd w:id="15"/>
      <w:bookmarkEnd w:id="16"/>
    </w:p>
    <w:p w14:paraId="67BDF5E2" w14:textId="769DF459" w:rsidR="002648B0" w:rsidRDefault="002648B0" w:rsidP="00E172EA">
      <w:pPr>
        <w:pStyle w:val="InstructionsText2"/>
        <w:numPr>
          <w:ilvl w:val="0"/>
          <w:numId w:val="29"/>
        </w:numPr>
        <w:suppressAutoHyphens/>
      </w:pPr>
      <w:r>
        <w:t>Всяка стойност, с която се увеличават собствените средства или капиталовите изисквания, се докладва като положително число. Обратно – всяка стойност, с която се намалява общият размер на собствените средства или капиталовите изисквания, се докладва като отрицателно число. Ако пред обозначението на дадена позиция се намира отрицателен знак (–), тя не би следвало да е с положителна стойност.</w:t>
      </w:r>
    </w:p>
    <w:p w14:paraId="21FCA11B" w14:textId="044801DB" w:rsidR="00843119" w:rsidRPr="00843119" w:rsidRDefault="00843119" w:rsidP="00843119">
      <w:pPr>
        <w:pStyle w:val="Instructionsberschrift2"/>
        <w:numPr>
          <w:ilvl w:val="0"/>
          <w:numId w:val="0"/>
        </w:numPr>
        <w:suppressAutoHyphens/>
        <w:ind w:left="357" w:hanging="357"/>
        <w:rPr>
          <w:rFonts w:ascii="Times New Roman" w:hAnsi="Times New Roman" w:cs="Times New Roman"/>
          <w:sz w:val="24"/>
          <w:u w:val="none"/>
        </w:rPr>
      </w:pPr>
      <w:bookmarkStart w:id="17" w:name="_Toc210895876"/>
      <w:r>
        <w:rPr>
          <w:rFonts w:ascii="Times New Roman" w:hAnsi="Times New Roman"/>
          <w:sz w:val="24"/>
          <w:u w:val="none"/>
        </w:rPr>
        <w:t>1.3.</w:t>
      </w:r>
      <w:r>
        <w:tab/>
      </w:r>
      <w:r>
        <w:rPr>
          <w:rFonts w:ascii="Times New Roman" w:hAnsi="Times New Roman"/>
          <w:sz w:val="24"/>
          <w:u w:val="none"/>
        </w:rPr>
        <w:t>Позовавания на Регламент (ЕС) № 575/2013</w:t>
      </w:r>
      <w:bookmarkEnd w:id="17"/>
    </w:p>
    <w:p w14:paraId="59845808" w14:textId="11AE211B" w:rsidR="00843119" w:rsidRPr="002D60D7" w:rsidRDefault="00843119" w:rsidP="00E172EA">
      <w:pPr>
        <w:pStyle w:val="InstructionsText2"/>
        <w:numPr>
          <w:ilvl w:val="0"/>
          <w:numId w:val="29"/>
        </w:numPr>
        <w:suppressAutoHyphens/>
      </w:pPr>
      <w:r>
        <w:t xml:space="preserve">Всички позовавания на членове 325—377 от Регламент (ЕС) № 575/2013 се считат за позовавания на версията на този регламент в сила към 26 юни 2019 г. </w:t>
      </w:r>
    </w:p>
    <w:p w14:paraId="178F0A93" w14:textId="77777777" w:rsidR="00843119" w:rsidRPr="002D60D7" w:rsidRDefault="00843119" w:rsidP="00843119">
      <w:pPr>
        <w:pStyle w:val="InstructionsText2"/>
        <w:numPr>
          <w:ilvl w:val="0"/>
          <w:numId w:val="0"/>
        </w:numPr>
        <w:suppressAutoHyphens/>
      </w:pPr>
    </w:p>
    <w:p w14:paraId="69E08A1F" w14:textId="26A864E9" w:rsidR="00304CA5" w:rsidRPr="002D60D7" w:rsidRDefault="00304CA5" w:rsidP="004C445F">
      <w:pPr>
        <w:pStyle w:val="InstructionsText2"/>
        <w:numPr>
          <w:ilvl w:val="0"/>
          <w:numId w:val="0"/>
        </w:numPr>
        <w:suppressAutoHyphens/>
        <w:ind w:left="1353" w:hanging="360"/>
      </w:pPr>
    </w:p>
    <w:p w14:paraId="661FC092" w14:textId="77777777" w:rsidR="00304CA5" w:rsidRPr="002D60D7" w:rsidRDefault="00304CA5" w:rsidP="004C445F">
      <w:pPr>
        <w:pStyle w:val="InstructionsText2"/>
        <w:numPr>
          <w:ilvl w:val="0"/>
          <w:numId w:val="0"/>
        </w:numPr>
        <w:suppressAutoHyphens/>
        <w:ind w:left="1353" w:hanging="360"/>
      </w:pPr>
    </w:p>
    <w:p w14:paraId="6B2B7DCC" w14:textId="77777777" w:rsidR="002648B0" w:rsidRPr="002D60D7" w:rsidRDefault="002648B0" w:rsidP="004C445F">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2D60D7" w:rsidRDefault="002648B0" w:rsidP="004C445F">
      <w:pPr>
        <w:suppressAutoHyphens/>
        <w:rPr>
          <w:rFonts w:ascii="Times New Roman" w:hAnsi="Times New Roman"/>
          <w:sz w:val="24"/>
        </w:rPr>
      </w:pPr>
    </w:p>
    <w:p w14:paraId="5C0CD8F3" w14:textId="25D58192" w:rsidR="00AC6255" w:rsidRPr="002D60D7" w:rsidRDefault="002648B0" w:rsidP="004C445F">
      <w:pPr>
        <w:pStyle w:val="Heading2"/>
        <w:suppressAutoHyphens/>
        <w:rPr>
          <w:rStyle w:val="InstructionsTabelleText"/>
          <w:rFonts w:ascii="Times New Roman" w:hAnsi="Times New Roman"/>
          <w:sz w:val="24"/>
        </w:rPr>
      </w:pPr>
      <w:bookmarkStart w:id="18" w:name="_Toc360188322"/>
      <w:bookmarkStart w:id="19" w:name="_Toc473560870"/>
      <w:bookmarkStart w:id="20" w:name="_Toc210895877"/>
      <w:r>
        <w:rPr>
          <w:rFonts w:ascii="Times New Roman" w:hAnsi="Times New Roman"/>
        </w:rPr>
        <w:t>ЧАСТ II: УКАЗАНИЯ ЗА ОБРАЗЦИТЕ</w:t>
      </w:r>
      <w:bookmarkEnd w:id="18"/>
      <w:bookmarkEnd w:id="19"/>
      <w:r>
        <w:rPr>
          <w:rFonts w:ascii="Times New Roman" w:hAnsi="Times New Roman"/>
        </w:rPr>
        <w:t>: ОБРАЗЦИ ЗА ПАЗАРЕН РИСК</w:t>
      </w:r>
      <w:bookmarkEnd w:id="0"/>
      <w:bookmarkEnd w:id="1"/>
      <w:bookmarkEnd w:id="20"/>
    </w:p>
    <w:p w14:paraId="73EBDC1C" w14:textId="2EF76A90" w:rsidR="000B0B09" w:rsidRPr="002D60D7" w:rsidRDefault="00033301" w:rsidP="004C445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895878"/>
      <w:r>
        <w:rPr>
          <w:rFonts w:ascii="Times New Roman" w:hAnsi="Times New Roman"/>
          <w:sz w:val="24"/>
          <w:u w:val="none"/>
        </w:rPr>
        <w:t>1.</w:t>
      </w:r>
      <w:r>
        <w:tab/>
      </w:r>
      <w:bookmarkEnd w:id="21"/>
      <w:bookmarkEnd w:id="22"/>
      <w:bookmarkEnd w:id="23"/>
      <w:bookmarkEnd w:id="24"/>
      <w:bookmarkEnd w:id="25"/>
      <w:bookmarkEnd w:id="26"/>
      <w:r>
        <w:rPr>
          <w:rFonts w:ascii="Times New Roman" w:hAnsi="Times New Roman"/>
          <w:sz w:val="24"/>
        </w:rPr>
        <w:t>Общи бележки</w:t>
      </w:r>
      <w:bookmarkEnd w:id="27"/>
    </w:p>
    <w:p w14:paraId="3A680559" w14:textId="018BA68A" w:rsidR="000B0B09" w:rsidRPr="002D60D7" w:rsidRDefault="000B0B09" w:rsidP="00E172EA">
      <w:pPr>
        <w:pStyle w:val="InstructionsText2"/>
        <w:numPr>
          <w:ilvl w:val="0"/>
          <w:numId w:val="29"/>
        </w:numPr>
        <w:suppressAutoHyphens/>
      </w:pPr>
      <w:bookmarkStart w:id="28" w:name="_Toc308426672"/>
      <w:r>
        <w:t xml:space="preserve">Тези указания се отнасят за образците, в които се докладва изчисляването според стандартизирания подход на капиталовите изисквания за валутен риск (MKR SA FX), стоков риск (MKR SA COM), лихвен риск (MKR SA TDI, MKR SA SEC, MKR SA CTP) и капиталов риск (MKR SA EQU). В тази част са включени и указания за образеца, в който се докладва изчисляването на капиталовите изисквания според подхода на вътрешните модели (MKR IM). </w:t>
      </w:r>
    </w:p>
    <w:p w14:paraId="43A205D1" w14:textId="5DC446A2" w:rsidR="000B0B09" w:rsidRPr="002D60D7" w:rsidRDefault="000B0B09" w:rsidP="00E172EA">
      <w:pPr>
        <w:pStyle w:val="InstructionsText2"/>
        <w:numPr>
          <w:ilvl w:val="0"/>
          <w:numId w:val="29"/>
        </w:numPr>
        <w:suppressAutoHyphens/>
      </w:pPr>
      <w:r>
        <w:t xml:space="preserve">Рискът при позициите в търгуван дългов или капиталов инструмент (дългов или капиталов дериват) се разделя на два компонента, за да се изчисли изискваният капитал с оглед на този риск. Първият компонент обхваща специфичния риск – рискът от промяна на цената на инструмента поради фактори, свързани с неговия емитент, а ако е дериват – с емитента на базовия инструмент. Вторият компонент обхваща общия риск – рискът от промяна на цената на инструмента поради промяна в лихвените проценти (при търгуван дългов инструмент или дългов дериват) или поради (при капиталов инструмент или капиталов дериват) общата динамика на пазара на капиталови инструменти, която не е свързана със специфичните характеристики на отделните ценни книжа. </w:t>
      </w:r>
      <w:bookmarkEnd w:id="28"/>
      <w:r>
        <w:t xml:space="preserve">Общото третиране в зависимост от спецификата на инструментите и процедурите за нетиране са описани в членове 326—333 от Регламент (ЕС) № 575/2013. </w:t>
      </w:r>
    </w:p>
    <w:p w14:paraId="39C5FEA4" w14:textId="3A15092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895879"/>
      <w:r>
        <w:rPr>
          <w:rFonts w:ascii="Times New Roman" w:hAnsi="Times New Roman"/>
          <w:sz w:val="24"/>
          <w:u w:val="none"/>
        </w:rPr>
        <w:t>2.</w:t>
      </w:r>
      <w:r>
        <w:tab/>
      </w:r>
      <w:r>
        <w:rPr>
          <w:rFonts w:ascii="Times New Roman" w:hAnsi="Times New Roman"/>
          <w:sz w:val="24"/>
        </w:rPr>
        <w:t>C 18.00 — Пазарен риск: Стандартизиран подход за позиционни рискове по отношение на търгувани дългови инструменти</w:t>
      </w:r>
      <w:bookmarkEnd w:id="29"/>
      <w:bookmarkEnd w:id="30"/>
      <w:bookmarkEnd w:id="31"/>
      <w:bookmarkEnd w:id="32"/>
      <w:bookmarkEnd w:id="33"/>
      <w:bookmarkEnd w:id="34"/>
      <w:r>
        <w:rPr>
          <w:rFonts w:ascii="Times New Roman" w:hAnsi="Times New Roman"/>
          <w:sz w:val="24"/>
        </w:rPr>
        <w:t xml:space="preserve"> (MKR SA TDI)</w:t>
      </w:r>
      <w:bookmarkEnd w:id="35"/>
      <w:bookmarkEnd w:id="36"/>
    </w:p>
    <w:p w14:paraId="7BC699A3" w14:textId="5102524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895880"/>
      <w:r>
        <w:rPr>
          <w:rFonts w:ascii="Times New Roman" w:hAnsi="Times New Roman"/>
          <w:sz w:val="24"/>
          <w:u w:val="none"/>
        </w:rPr>
        <w:t>2.1.</w:t>
      </w:r>
      <w:r>
        <w:tab/>
      </w:r>
      <w:r>
        <w:rPr>
          <w:rFonts w:ascii="Times New Roman" w:hAnsi="Times New Roman"/>
          <w:sz w:val="24"/>
        </w:rPr>
        <w:t>Общи бележки</w:t>
      </w:r>
      <w:bookmarkEnd w:id="37"/>
      <w:bookmarkEnd w:id="38"/>
      <w:bookmarkEnd w:id="39"/>
      <w:bookmarkEnd w:id="40"/>
      <w:bookmarkEnd w:id="41"/>
      <w:bookmarkEnd w:id="42"/>
      <w:bookmarkEnd w:id="43"/>
    </w:p>
    <w:p w14:paraId="0D010E09" w14:textId="7FC9D177" w:rsidR="000B0B09" w:rsidRPr="002D60D7" w:rsidRDefault="000B0B09" w:rsidP="00E172EA">
      <w:pPr>
        <w:pStyle w:val="InstructionsText2"/>
        <w:numPr>
          <w:ilvl w:val="0"/>
          <w:numId w:val="29"/>
        </w:numPr>
        <w:suppressAutoHyphens/>
        <w:ind w:left="1349" w:hanging="357"/>
      </w:pPr>
      <w:r>
        <w:t>В този образец се отразяват позициите и свързаните с тях капиталови изисквания за рисковете при позиции в търгувани дългови инструменти според стандартизирания подход (член 325, параграф 2, буква а) от Регламент (ЕС) № 575/2013). Различните рискове и методи по Регламент (ЕС) № 575/2013 се разглеждат по редове. Специфичният риск при експозициите, включени в MKR SA SEC и MKR SA CTP, се докладва само в образец „Общо“ на MKR SA TDI. Докладваните в тези образци капиталови изисквания се пренасят съответно в поле {0325;0060} (секюритизации) и {0330;0060} (CTP — портфейл за корелационно търгуване).</w:t>
      </w:r>
    </w:p>
    <w:p w14:paraId="7C8420A5" w14:textId="3BAA75DB" w:rsidR="000B0B09" w:rsidRPr="002D60D7" w:rsidRDefault="000B0B09" w:rsidP="00E172EA">
      <w:pPr>
        <w:pStyle w:val="InstructionsText2"/>
        <w:numPr>
          <w:ilvl w:val="0"/>
          <w:numId w:val="29"/>
        </w:numPr>
        <w:suppressAutoHyphens/>
      </w:pPr>
      <w:r>
        <w:t xml:space="preserve">Този образец се попълва отделно за „Total“ (Общо), както и за предварително съставен списък със следните парични единици: </w:t>
      </w:r>
      <w:bookmarkStart w:id="44" w:name="OLE_LINK1"/>
      <w:r>
        <w:t>EUR, ALL, BGN, CZK, DKK, EGP, GBP, HUF, ISK, JPY, MKD, NOK, PLN, RON, RUB, RSD, SEK, CHF, TRY, UAH, USD</w:t>
      </w:r>
      <w:bookmarkEnd w:id="44"/>
      <w:r>
        <w:t xml:space="preserve"> и един допълнителен образец за всички останали парични единици. </w:t>
      </w:r>
    </w:p>
    <w:p w14:paraId="73E54EAD" w14:textId="5995991C"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895881"/>
      <w:r>
        <w:rPr>
          <w:rFonts w:ascii="Times New Roman" w:hAnsi="Times New Roman"/>
          <w:sz w:val="24"/>
          <w:u w:val="none"/>
        </w:rPr>
        <w:lastRenderedPageBreak/>
        <w:t>2.2.</w:t>
      </w:r>
      <w:r>
        <w:tab/>
      </w:r>
      <w:r>
        <w:rPr>
          <w:rFonts w:ascii="Times New Roman" w:hAnsi="Times New Roman"/>
          <w:sz w:val="24"/>
        </w:rPr>
        <w:t>Указания за конкретни позиции</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3B011B78" w14:textId="77777777" w:rsidTr="00672D2A">
        <w:trPr>
          <w:trHeight w:val="569"/>
        </w:trPr>
        <w:tc>
          <w:tcPr>
            <w:tcW w:w="8862" w:type="dxa"/>
            <w:gridSpan w:val="2"/>
            <w:shd w:val="clear" w:color="auto" w:fill="CCCCCC"/>
          </w:tcPr>
          <w:p w14:paraId="3F08430D"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Колони</w:t>
            </w:r>
          </w:p>
        </w:tc>
      </w:tr>
      <w:tr w:rsidR="000B0B09" w:rsidRPr="002D60D7" w14:paraId="2FB66B69" w14:textId="77777777" w:rsidTr="00672D2A">
        <w:tc>
          <w:tcPr>
            <w:tcW w:w="988" w:type="dxa"/>
          </w:tcPr>
          <w:p w14:paraId="3487AAF4"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3B61C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ВСИЧКИ ПОЗИЦИИ (ДЪЛГИ И КЪСИ)</w:t>
            </w:r>
          </w:p>
          <w:p w14:paraId="0C799784" w14:textId="3AE5C422" w:rsidR="000B0B09" w:rsidRPr="002D60D7" w:rsidRDefault="000B0B09" w:rsidP="004C445F">
            <w:pPr>
              <w:suppressAutoHyphens/>
              <w:rPr>
                <w:rFonts w:ascii="Times New Roman" w:hAnsi="Times New Roman"/>
                <w:sz w:val="24"/>
              </w:rPr>
            </w:pPr>
            <w:r>
              <w:rPr>
                <w:rFonts w:ascii="Times New Roman" w:hAnsi="Times New Roman"/>
                <w:sz w:val="24"/>
              </w:rPr>
              <w:t>Член 102 и член 105, параграф 1 от Регламент (ЕС) № 575/2013. Това са брутните позиции, които не са нетирани по инструменти и които обаче, в съответствие с член 345, параграф 1, първа алинея, второ изречение от Регламент (ЕС) № 575/2013, не включват поетите позиции, записани или препоети от трети лица. Относно разграничението между дълги и къси позиции, което е приложимо и за тези брутни позиции, вж. член 328, параграф 2 от посочения регламент.</w:t>
            </w:r>
          </w:p>
        </w:tc>
      </w:tr>
      <w:tr w:rsidR="000B0B09" w:rsidRPr="002D60D7" w14:paraId="05A2AFD3" w14:textId="77777777" w:rsidTr="00672D2A">
        <w:tc>
          <w:tcPr>
            <w:tcW w:w="988" w:type="dxa"/>
          </w:tcPr>
          <w:p w14:paraId="0443676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28E370A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НЕТНИ ПОЗИЦИИ (ДЪЛГИ И КЪСИ)</w:t>
            </w:r>
          </w:p>
          <w:p w14:paraId="38649486" w14:textId="2801053C" w:rsidR="000B0B09" w:rsidRPr="002D60D7" w:rsidRDefault="000B0B09" w:rsidP="004C445F">
            <w:pPr>
              <w:suppressAutoHyphens/>
              <w:rPr>
                <w:rFonts w:ascii="Times New Roman" w:hAnsi="Times New Roman"/>
                <w:sz w:val="24"/>
              </w:rPr>
            </w:pPr>
            <w:r>
              <w:rPr>
                <w:rFonts w:ascii="Times New Roman" w:hAnsi="Times New Roman"/>
                <w:sz w:val="24"/>
              </w:rPr>
              <w:t>Членове 327—329 и член 334 от Регламент (ЕС) № 575/2013. По отношение на разграничението между дълги и къси позиции вж. член 328, параграф 2 от посочения регламент.</w:t>
            </w:r>
          </w:p>
        </w:tc>
      </w:tr>
      <w:tr w:rsidR="000B0B09" w:rsidRPr="002D60D7" w14:paraId="4C7D46FF" w14:textId="77777777" w:rsidTr="00672D2A">
        <w:tc>
          <w:tcPr>
            <w:tcW w:w="988" w:type="dxa"/>
          </w:tcPr>
          <w:p w14:paraId="4D3FEEA5"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B3043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ПОЗИЦИИ, ПОДЛЕЖАЩИ НА КАПИТАЛОВИ ИЗИСКВАНИЯ</w:t>
            </w:r>
          </w:p>
          <w:p w14:paraId="76B658E5" w14:textId="79039FA9" w:rsidR="000B0B09" w:rsidRPr="002D60D7" w:rsidRDefault="000B0B09" w:rsidP="004C445F">
            <w:pPr>
              <w:suppressAutoHyphens/>
              <w:rPr>
                <w:rFonts w:ascii="Times New Roman" w:hAnsi="Times New Roman"/>
                <w:b/>
                <w:bCs/>
                <w:sz w:val="24"/>
                <w:u w:val="single"/>
              </w:rPr>
            </w:pPr>
            <w:r>
              <w:rPr>
                <w:rFonts w:ascii="Times New Roman" w:hAnsi="Times New Roman"/>
                <w:sz w:val="24"/>
              </w:rPr>
              <w:t>Тези нетни позиции, които в съответствие с различните подходи, изложени в трета част, дял IV, глава 2 от Регламент (ЕС) № 575/2013, подлежат на капиталови изисквания.</w:t>
            </w:r>
          </w:p>
        </w:tc>
      </w:tr>
      <w:tr w:rsidR="000B0B09" w:rsidRPr="002D60D7" w14:paraId="017C014C" w14:textId="77777777" w:rsidTr="00672D2A">
        <w:tc>
          <w:tcPr>
            <w:tcW w:w="988" w:type="dxa"/>
          </w:tcPr>
          <w:p w14:paraId="7D197D9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55F3618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КАПИТАЛОВИ ИЗИСКВАНИЯ</w:t>
            </w:r>
          </w:p>
          <w:p w14:paraId="74F1F61F" w14:textId="12ADC1C1" w:rsidR="000B0B09" w:rsidRPr="002D60D7" w:rsidRDefault="000B0B09" w:rsidP="004C445F">
            <w:pPr>
              <w:suppressAutoHyphens/>
              <w:rPr>
                <w:rFonts w:ascii="Times New Roman" w:hAnsi="Times New Roman"/>
                <w:b/>
                <w:bCs/>
                <w:sz w:val="24"/>
                <w:u w:val="single"/>
              </w:rPr>
            </w:pPr>
            <w:r>
              <w:rPr>
                <w:rFonts w:ascii="Times New Roman" w:hAnsi="Times New Roman"/>
                <w:sz w:val="24"/>
              </w:rPr>
              <w:t>Капиталовите изисквания за всички съответни позиции в съответствие с трета част, дял IV, глава 2 от Регламент (ЕС) № 575/2013.</w:t>
            </w:r>
          </w:p>
        </w:tc>
      </w:tr>
      <w:tr w:rsidR="000B0B09" w:rsidRPr="002D60D7" w14:paraId="56717AD1" w14:textId="77777777" w:rsidTr="00672D2A">
        <w:tc>
          <w:tcPr>
            <w:tcW w:w="988" w:type="dxa"/>
          </w:tcPr>
          <w:p w14:paraId="0D4A61CE"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7996E138"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ОБЩ РАЗМЕР НА РИСКОВАТА ЕКСПОЗИЦИЯ</w:t>
            </w:r>
          </w:p>
          <w:p w14:paraId="2C4B0E54" w14:textId="5566DB68"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Член 92, параграф 6, буква б) от Регламент (ЕС) № 575/2013. Произведението на капиталовите изисквания и 12,5. </w:t>
            </w:r>
          </w:p>
        </w:tc>
      </w:tr>
    </w:tbl>
    <w:p w14:paraId="5A8176A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33B18629"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Редове</w:t>
            </w:r>
          </w:p>
        </w:tc>
      </w:tr>
      <w:tr w:rsidR="000B0B09" w:rsidRPr="002D60D7" w14:paraId="278DCECA" w14:textId="77777777" w:rsidTr="00672D2A">
        <w:trPr>
          <w:trHeight w:val="1168"/>
        </w:trPr>
        <w:tc>
          <w:tcPr>
            <w:tcW w:w="987" w:type="dxa"/>
          </w:tcPr>
          <w:p w14:paraId="2275EBA9"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0010—0350</w:t>
            </w:r>
          </w:p>
        </w:tc>
        <w:tc>
          <w:tcPr>
            <w:tcW w:w="7875" w:type="dxa"/>
          </w:tcPr>
          <w:p w14:paraId="20DE7F5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ТЪРГУВАНИ ДЪЛГОВИ ИНСТРУМЕНТИ В ТЪРГОВСКИЯ ПОРТФЕЙЛ</w:t>
            </w:r>
          </w:p>
          <w:p w14:paraId="12C841B7" w14:textId="65FC0FB4" w:rsidR="000B0B09" w:rsidRPr="002D60D7" w:rsidRDefault="000B0B09" w:rsidP="004C445F">
            <w:pPr>
              <w:suppressAutoHyphens/>
              <w:rPr>
                <w:rFonts w:ascii="Times New Roman" w:hAnsi="Times New Roman"/>
                <w:sz w:val="24"/>
              </w:rPr>
            </w:pPr>
            <w:r>
              <w:rPr>
                <w:rFonts w:ascii="Times New Roman" w:hAnsi="Times New Roman"/>
                <w:sz w:val="24"/>
              </w:rPr>
              <w:t>Позициите в търгувани дългови инструменти в търговския портфейл и съответните им капиталови изисквания за позиционен риск съгласно член 92, параграф 4, буква б), подточка i) от Регламент (ЕС) № 575/2013 и трета част, глава 2, дял IV от същия регламент се докладват в зависимост от рисковата категория, падежа и използвания подход.</w:t>
            </w:r>
          </w:p>
        </w:tc>
      </w:tr>
      <w:tr w:rsidR="000B0B09" w:rsidRPr="002D60D7" w14:paraId="2272E4A5" w14:textId="77777777" w:rsidTr="00672D2A">
        <w:tc>
          <w:tcPr>
            <w:tcW w:w="987" w:type="dxa"/>
          </w:tcPr>
          <w:p w14:paraId="0642F5E6"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0011</w:t>
            </w:r>
          </w:p>
        </w:tc>
        <w:tc>
          <w:tcPr>
            <w:tcW w:w="7875" w:type="dxa"/>
          </w:tcPr>
          <w:p w14:paraId="51E03C3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 xml:space="preserve">ОБЩ РИСК </w:t>
            </w:r>
          </w:p>
        </w:tc>
      </w:tr>
      <w:tr w:rsidR="000B0B09" w:rsidRPr="002D60D7" w14:paraId="55F30C33" w14:textId="77777777" w:rsidTr="00672D2A">
        <w:tc>
          <w:tcPr>
            <w:tcW w:w="987" w:type="dxa"/>
          </w:tcPr>
          <w:p w14:paraId="2CBA5F8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0012</w:t>
            </w:r>
          </w:p>
        </w:tc>
        <w:tc>
          <w:tcPr>
            <w:tcW w:w="7875" w:type="dxa"/>
          </w:tcPr>
          <w:p w14:paraId="04F0038F"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Деривати</w:t>
            </w:r>
          </w:p>
          <w:p w14:paraId="06C530F0" w14:textId="7A78F919" w:rsidR="000B0B09" w:rsidRPr="002D60D7" w:rsidRDefault="000B0B09" w:rsidP="004C445F">
            <w:pPr>
              <w:suppressAutoHyphens/>
              <w:rPr>
                <w:rFonts w:ascii="Times New Roman" w:hAnsi="Times New Roman"/>
                <w:b/>
                <w:bCs/>
                <w:sz w:val="24"/>
                <w:u w:val="single"/>
              </w:rPr>
            </w:pPr>
            <w:r>
              <w:rPr>
                <w:rFonts w:ascii="Times New Roman" w:hAnsi="Times New Roman"/>
                <w:sz w:val="24"/>
              </w:rPr>
              <w:t>Дериватите, включени в изчисляването на лихвения риск при позициите в търговския портфейл, като се взимат предвид членове 328—331 от Регламент (ЕС) № 575/2013, когато е приложимо.</w:t>
            </w:r>
          </w:p>
        </w:tc>
      </w:tr>
      <w:tr w:rsidR="000B0B09" w:rsidRPr="002D60D7" w14:paraId="36851B46" w14:textId="77777777" w:rsidTr="00672D2A">
        <w:tc>
          <w:tcPr>
            <w:tcW w:w="987" w:type="dxa"/>
          </w:tcPr>
          <w:p w14:paraId="6827F66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0013</w:t>
            </w:r>
          </w:p>
        </w:tc>
        <w:tc>
          <w:tcPr>
            <w:tcW w:w="7875" w:type="dxa"/>
          </w:tcPr>
          <w:p w14:paraId="6024297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Други активи и пасиви</w:t>
            </w:r>
          </w:p>
          <w:p w14:paraId="665719C9" w14:textId="77777777" w:rsidR="000B0B09" w:rsidRPr="002D60D7" w:rsidRDefault="000B0B09" w:rsidP="004C445F">
            <w:pPr>
              <w:suppressAutoHyphens/>
              <w:rPr>
                <w:rFonts w:ascii="Times New Roman" w:hAnsi="Times New Roman"/>
                <w:b/>
                <w:bCs/>
                <w:sz w:val="24"/>
                <w:u w:val="single"/>
              </w:rPr>
            </w:pPr>
            <w:r>
              <w:rPr>
                <w:rFonts w:ascii="Times New Roman" w:hAnsi="Times New Roman"/>
                <w:sz w:val="24"/>
              </w:rPr>
              <w:lastRenderedPageBreak/>
              <w:t xml:space="preserve">Инструментите, които не са деривати и които са включени в изчисляването на лихвения риск при позициите в търговския портфейл. </w:t>
            </w:r>
          </w:p>
        </w:tc>
      </w:tr>
      <w:tr w:rsidR="000B0B09" w:rsidRPr="002D60D7" w14:paraId="177EBA5C" w14:textId="77777777" w:rsidTr="00672D2A">
        <w:tc>
          <w:tcPr>
            <w:tcW w:w="987" w:type="dxa"/>
          </w:tcPr>
          <w:p w14:paraId="2B740B7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0020—0200</w:t>
            </w:r>
          </w:p>
        </w:tc>
        <w:tc>
          <w:tcPr>
            <w:tcW w:w="7875" w:type="dxa"/>
          </w:tcPr>
          <w:p w14:paraId="1DE7E50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МАТУРИТЕТЕН ПОДХОД</w:t>
            </w:r>
          </w:p>
          <w:p w14:paraId="644A7531" w14:textId="671AD153" w:rsidR="000B0B09" w:rsidRPr="002D60D7" w:rsidRDefault="000B0B09" w:rsidP="004C445F">
            <w:pPr>
              <w:suppressAutoHyphens/>
              <w:rPr>
                <w:rFonts w:ascii="Times New Roman" w:hAnsi="Times New Roman"/>
                <w:b/>
                <w:bCs/>
                <w:sz w:val="24"/>
                <w:u w:val="single"/>
              </w:rPr>
            </w:pPr>
            <w:r>
              <w:rPr>
                <w:rFonts w:ascii="Times New Roman" w:hAnsi="Times New Roman"/>
                <w:sz w:val="24"/>
              </w:rPr>
              <w:t>Позициите в търгувани дългови инструменти, за които се прилагат матуритетният подход по член 339, параграфи 1—8 от Регламент (ЕС) № 575/2013 и съответните капиталови изисквания, изчислени в съответствие с член 339, параграф 9 от същия регламент. Позицията се разделя по зони 1, 2 и 3, които се разделят по падеж на инструментите.</w:t>
            </w:r>
          </w:p>
        </w:tc>
      </w:tr>
      <w:tr w:rsidR="000B0B09" w:rsidRPr="002D60D7" w14:paraId="79DAC997" w14:textId="77777777" w:rsidTr="00672D2A">
        <w:tc>
          <w:tcPr>
            <w:tcW w:w="987" w:type="dxa"/>
          </w:tcPr>
          <w:p w14:paraId="73C021E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0210—0240</w:t>
            </w:r>
          </w:p>
        </w:tc>
        <w:tc>
          <w:tcPr>
            <w:tcW w:w="7875" w:type="dxa"/>
          </w:tcPr>
          <w:p w14:paraId="2CE27E6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ОБЩ РИСК ДЮРАЦИОНЕН ПОДХОД</w:t>
            </w:r>
          </w:p>
          <w:p w14:paraId="08171DB1" w14:textId="5B3E8AB1" w:rsidR="000B0B09" w:rsidRPr="002D60D7" w:rsidRDefault="000B0B09" w:rsidP="004C445F">
            <w:pPr>
              <w:suppressAutoHyphens/>
              <w:rPr>
                <w:rFonts w:ascii="Times New Roman" w:hAnsi="Times New Roman"/>
                <w:b/>
                <w:bCs/>
                <w:sz w:val="24"/>
                <w:u w:val="single"/>
              </w:rPr>
            </w:pPr>
            <w:r>
              <w:rPr>
                <w:rFonts w:ascii="Times New Roman" w:hAnsi="Times New Roman"/>
                <w:sz w:val="24"/>
              </w:rPr>
              <w:t>Позициите в търгувани дългови инструменти, за които се прилагат дюрационният подход по член 340, параграфи 1—6 от Регламент (ЕС) № 575/2013 и съответните капиталови изисквания, изчислени в съответствие с член 340, параграф 7 от същия регламент. Позицията се разделя по зони 1, 2 и 3.</w:t>
            </w:r>
          </w:p>
        </w:tc>
      </w:tr>
      <w:tr w:rsidR="000B0B09" w:rsidRPr="002D60D7" w14:paraId="7DD483EC" w14:textId="77777777" w:rsidTr="00672D2A">
        <w:tc>
          <w:tcPr>
            <w:tcW w:w="987" w:type="dxa"/>
          </w:tcPr>
          <w:p w14:paraId="5974B23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0250</w:t>
            </w:r>
          </w:p>
        </w:tc>
        <w:tc>
          <w:tcPr>
            <w:tcW w:w="7875" w:type="dxa"/>
          </w:tcPr>
          <w:p w14:paraId="6CE50A3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СПЕЦИФИЧЕН РИСК</w:t>
            </w:r>
          </w:p>
          <w:p w14:paraId="29C6E3D0" w14:textId="77777777" w:rsidR="000B0B09" w:rsidRPr="002D60D7" w:rsidRDefault="000B0B09" w:rsidP="004C445F">
            <w:pPr>
              <w:suppressAutoHyphens/>
              <w:rPr>
                <w:rFonts w:ascii="Times New Roman" w:hAnsi="Times New Roman"/>
                <w:sz w:val="24"/>
              </w:rPr>
            </w:pPr>
            <w:r>
              <w:rPr>
                <w:rFonts w:ascii="Times New Roman" w:hAnsi="Times New Roman"/>
                <w:sz w:val="24"/>
              </w:rPr>
              <w:t xml:space="preserve">Сборът от стойностите, докладвани в редове 0251, 0325 и 0330 </w:t>
            </w:r>
          </w:p>
          <w:p w14:paraId="4E1E5CA2" w14:textId="0C1E6FCB" w:rsidR="000B0B09" w:rsidRPr="002D60D7" w:rsidRDefault="000B0B09" w:rsidP="004C445F">
            <w:pPr>
              <w:suppressAutoHyphens/>
              <w:rPr>
                <w:rFonts w:ascii="Times New Roman" w:hAnsi="Times New Roman"/>
                <w:b/>
                <w:bCs/>
                <w:sz w:val="24"/>
                <w:u w:val="single"/>
              </w:rPr>
            </w:pPr>
            <w:r>
              <w:rPr>
                <w:rFonts w:ascii="Times New Roman" w:hAnsi="Times New Roman"/>
                <w:sz w:val="24"/>
              </w:rPr>
              <w:t>Позициите в търгувани дългови инструменти, за които се прилагат капиталовите изисквания за специфичен риск и съответните капиталови изисквания в съответствие с член 92, параграф 3, буква б), член 335, член 336, параграфи 1, 2 и 3, и членове 337 и 338 от Регламент (ЕС) № 575/2013. Необходимо е да се има предвид и последното изречение от член 327, параграф 1 от същия регламент.</w:t>
            </w:r>
          </w:p>
        </w:tc>
      </w:tr>
      <w:tr w:rsidR="000B0B09" w:rsidRPr="002D60D7" w14:paraId="6F8691E7" w14:textId="77777777" w:rsidTr="00672D2A">
        <w:tc>
          <w:tcPr>
            <w:tcW w:w="987" w:type="dxa"/>
          </w:tcPr>
          <w:p w14:paraId="5CD5E31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0251—0321</w:t>
            </w:r>
          </w:p>
        </w:tc>
        <w:tc>
          <w:tcPr>
            <w:tcW w:w="7875" w:type="dxa"/>
          </w:tcPr>
          <w:p w14:paraId="14764BB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Капиталово изискване за несекюритизиращи дългови инструменти</w:t>
            </w:r>
          </w:p>
          <w:p w14:paraId="19437B35" w14:textId="77777777" w:rsidR="000B0B09" w:rsidRPr="002D60D7" w:rsidRDefault="000B0B09" w:rsidP="004C445F">
            <w:pPr>
              <w:suppressAutoHyphens/>
              <w:rPr>
                <w:rFonts w:ascii="Times New Roman" w:hAnsi="Times New Roman"/>
                <w:sz w:val="24"/>
              </w:rPr>
            </w:pPr>
            <w:r>
              <w:rPr>
                <w:rFonts w:ascii="Times New Roman" w:hAnsi="Times New Roman"/>
                <w:sz w:val="24"/>
              </w:rPr>
              <w:t>Сборът от стойностите, докладвани в редове 260—321.</w:t>
            </w:r>
          </w:p>
          <w:p w14:paraId="4CDA5DEB" w14:textId="4AB00123" w:rsidR="000B0B09" w:rsidRPr="002D60D7" w:rsidRDefault="000B0B09" w:rsidP="004C445F">
            <w:pPr>
              <w:suppressAutoHyphens/>
              <w:rPr>
                <w:rFonts w:ascii="Times New Roman" w:hAnsi="Times New Roman"/>
                <w:sz w:val="24"/>
              </w:rPr>
            </w:pPr>
            <w:r>
              <w:rPr>
                <w:rFonts w:ascii="Times New Roman" w:hAnsi="Times New Roman"/>
                <w:sz w:val="24"/>
              </w:rPr>
              <w:t xml:space="preserve">Капиталовите изисквания за кредитните деривати за n-то неизпълнение, които не са с присъдена външна кредитна оценка, се изчисляват чрез сумиране на рисковите тегла на референтните субекти (член 332, параграф 1, буква д) и член 332, параграф 1, втора алинея от Регламент (ЕС) № 575/2013 — „подробен преглед“). Кредитните деривати за n-то неизпълнение, които са с присъдена външна кредитна оценка (член 332, параграф 1, трета алинея от Регламент (ЕС) № 575/2013), се докладват отделно в ред 321. </w:t>
            </w:r>
          </w:p>
          <w:p w14:paraId="7051ED04" w14:textId="439958FE" w:rsidR="000B0B09" w:rsidRPr="002D60D7" w:rsidRDefault="000B0B09" w:rsidP="004C445F">
            <w:pPr>
              <w:suppressAutoHyphens/>
              <w:rPr>
                <w:rFonts w:ascii="Times New Roman" w:hAnsi="Times New Roman"/>
                <w:sz w:val="24"/>
              </w:rPr>
            </w:pPr>
            <w:r>
              <w:rPr>
                <w:rFonts w:ascii="Times New Roman" w:hAnsi="Times New Roman"/>
                <w:sz w:val="24"/>
              </w:rPr>
              <w:t>Докладване на позиции, за които се прилага член 336, параграф 3 от Регламент (ЕС) № 575/2013 Съществува специално третиране на облигациите, които отговарят на изискванията за 10 % рисково тегло в банковия портфейл съгласно член 129, параграф 3 от посочения регламент (покрити облигации). Специфичните капиталови изисквания съставляват половината от процентите на втората категория, посочена в таблица 1 от член 336 от Регламент (ЕС) № 575/2013. Тези позиции се разпределят в редове 0280—0300 според остатъчния срок до крайния падеж.</w:t>
            </w:r>
          </w:p>
          <w:p w14:paraId="11FE9AD5" w14:textId="6CF7D4D9" w:rsidR="000B0B09" w:rsidRPr="002D60D7" w:rsidRDefault="00F41508" w:rsidP="004C445F">
            <w:pPr>
              <w:suppressAutoHyphens/>
              <w:rPr>
                <w:rFonts w:ascii="Times New Roman" w:hAnsi="Times New Roman"/>
                <w:b/>
                <w:bCs/>
                <w:sz w:val="24"/>
                <w:u w:val="single"/>
              </w:rPr>
            </w:pPr>
            <w:r>
              <w:rPr>
                <w:rFonts w:ascii="Times New Roman" w:hAnsi="Times New Roman"/>
                <w:sz w:val="24"/>
              </w:rPr>
              <w:t xml:space="preserve">Когато общият риск на лихвените позиции е хеджиран с кредитен дериват, се прилагат членове 346 и 347 от Регламент (ЕС) № 575/2013. </w:t>
            </w:r>
          </w:p>
        </w:tc>
      </w:tr>
      <w:tr w:rsidR="000B0B09" w:rsidRPr="002D60D7" w14:paraId="3F2475A8" w14:textId="77777777" w:rsidTr="00672D2A">
        <w:tc>
          <w:tcPr>
            <w:tcW w:w="987" w:type="dxa"/>
          </w:tcPr>
          <w:p w14:paraId="1898316C"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0325</w:t>
            </w:r>
          </w:p>
        </w:tc>
        <w:tc>
          <w:tcPr>
            <w:tcW w:w="7875" w:type="dxa"/>
          </w:tcPr>
          <w:p w14:paraId="21ACC24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Капиталово изискване за секюритизиращи инструменти</w:t>
            </w:r>
          </w:p>
          <w:p w14:paraId="7BA68AB7"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lastRenderedPageBreak/>
              <w:t>Общият размер на капиталовите изисквания, докладван в колона 0601 от образец MKR SA SEC. Тези общи капиталови изисквания се докладват в MKR SA TDI само на равнище „общо“.</w:t>
            </w:r>
          </w:p>
        </w:tc>
      </w:tr>
      <w:tr w:rsidR="000B0B09" w:rsidRPr="002D60D7" w14:paraId="55688787" w14:textId="77777777" w:rsidTr="00672D2A">
        <w:tc>
          <w:tcPr>
            <w:tcW w:w="987" w:type="dxa"/>
          </w:tcPr>
          <w:p w14:paraId="74C28C83"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0330</w:t>
            </w:r>
          </w:p>
        </w:tc>
        <w:tc>
          <w:tcPr>
            <w:tcW w:w="7875" w:type="dxa"/>
          </w:tcPr>
          <w:p w14:paraId="66957FA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Капиталови изисквания за портфейла за корелационно търгуване</w:t>
            </w:r>
          </w:p>
          <w:p w14:paraId="104F8330"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Общият размер на капиталовите изисквания, докладван в колона 0450 от образец MKR SA CTP. Тези общи капиталови изисквания се докладват в MKR SA TDI само на равнище „общо“.</w:t>
            </w:r>
          </w:p>
        </w:tc>
      </w:tr>
      <w:tr w:rsidR="000B0B09" w:rsidRPr="002D60D7" w14:paraId="230D0723" w14:textId="77777777" w:rsidTr="00672D2A">
        <w:tc>
          <w:tcPr>
            <w:tcW w:w="987" w:type="dxa"/>
          </w:tcPr>
          <w:p w14:paraId="26241DA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0350—0390</w:t>
            </w:r>
          </w:p>
        </w:tc>
        <w:tc>
          <w:tcPr>
            <w:tcW w:w="7875" w:type="dxa"/>
          </w:tcPr>
          <w:p w14:paraId="5291B6A7" w14:textId="77777777" w:rsidR="000B0B09" w:rsidRPr="002D60D7" w:rsidRDefault="000B0B09"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berschrift"/>
                <w:rFonts w:ascii="Times New Roman" w:hAnsi="Times New Roman"/>
                <w:sz w:val="24"/>
              </w:rPr>
              <w:t xml:space="preserve">ДОПЪЛНИТЕЛНИ ИЗИСКВАНИЯ ЗА ОПЦИИ (РИСКОВЕ, РАЗЛИЧНИ ОТ ДЕЛТА РИСК) </w:t>
            </w:r>
          </w:p>
          <w:p w14:paraId="3B19069A" w14:textId="2AE3D272" w:rsidR="000B0B09" w:rsidRPr="002D60D7" w:rsidRDefault="000B0B09" w:rsidP="004C445F">
            <w:pPr>
              <w:suppressAutoHyphens/>
              <w:rPr>
                <w:rFonts w:ascii="Times New Roman" w:hAnsi="Times New Roman"/>
                <w:sz w:val="24"/>
              </w:rPr>
            </w:pPr>
            <w:r>
              <w:rPr>
                <w:rFonts w:ascii="Times New Roman" w:hAnsi="Times New Roman"/>
                <w:sz w:val="24"/>
              </w:rPr>
              <w:t>Член 329, параграф 3 от Регламент (ЕС) № 575/2013.</w:t>
            </w:r>
          </w:p>
          <w:p w14:paraId="4A1F04EE" w14:textId="77777777" w:rsidR="000B0B09" w:rsidRPr="002D60D7" w:rsidRDefault="000B0B09" w:rsidP="004C445F">
            <w:pPr>
              <w:suppressAutoHyphens/>
              <w:rPr>
                <w:rFonts w:ascii="Times New Roman" w:hAnsi="Times New Roman"/>
                <w:bCs/>
                <w:sz w:val="24"/>
              </w:rPr>
            </w:pPr>
            <w:r>
              <w:rPr>
                <w:rFonts w:ascii="Times New Roman" w:hAnsi="Times New Roman"/>
                <w:sz w:val="24"/>
              </w:rPr>
              <w:t>Допълнителните изисквания за опции, свързани с рискове, различни от делта риск, се докладват с разбивка по метода, използван за изчисляването им.</w:t>
            </w:r>
          </w:p>
        </w:tc>
      </w:tr>
    </w:tbl>
    <w:p w14:paraId="45D79A0A"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895882"/>
      <w:r>
        <w:rPr>
          <w:rFonts w:ascii="Times New Roman" w:hAnsi="Times New Roman"/>
          <w:sz w:val="24"/>
          <w:u w:val="none"/>
        </w:rPr>
        <w:t>3.</w:t>
      </w:r>
      <w:r>
        <w:tab/>
      </w:r>
      <w:r>
        <w:rPr>
          <w:rFonts w:ascii="Times New Roman" w:hAnsi="Times New Roman"/>
          <w:sz w:val="24"/>
        </w:rPr>
        <w:t>C 19.00 — ПАЗАРЕН РИСК: СТАНДАРТИЗИРАН ПОДХОД ЗА СПЕЦИФИЧЕН РИСК В СЕКЮРИТИЗАЦИИ (MKR SA SEC)</w:t>
      </w:r>
      <w:bookmarkEnd w:id="52"/>
      <w:bookmarkEnd w:id="53"/>
      <w:bookmarkEnd w:id="54"/>
      <w:bookmarkEnd w:id="55"/>
      <w:bookmarkEnd w:id="56"/>
      <w:bookmarkEnd w:id="57"/>
      <w:bookmarkEnd w:id="58"/>
    </w:p>
    <w:p w14:paraId="77E74540" w14:textId="159B56B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895883"/>
      <w:r>
        <w:rPr>
          <w:rFonts w:ascii="Times New Roman" w:hAnsi="Times New Roman"/>
          <w:sz w:val="24"/>
          <w:u w:val="none"/>
        </w:rPr>
        <w:t>3.1.</w:t>
      </w:r>
      <w:r>
        <w:tab/>
      </w:r>
      <w:r>
        <w:rPr>
          <w:rFonts w:ascii="Times New Roman" w:hAnsi="Times New Roman"/>
          <w:sz w:val="24"/>
        </w:rPr>
        <w:t>Общи бележки</w:t>
      </w:r>
      <w:bookmarkEnd w:id="59"/>
      <w:bookmarkEnd w:id="60"/>
      <w:bookmarkEnd w:id="61"/>
      <w:bookmarkEnd w:id="62"/>
      <w:bookmarkEnd w:id="63"/>
      <w:bookmarkEnd w:id="64"/>
      <w:bookmarkEnd w:id="65"/>
    </w:p>
    <w:p w14:paraId="7E5893C5" w14:textId="18DD7193" w:rsidR="00FC6275" w:rsidRPr="002D60D7"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t xml:space="preserve">В този образец се изисква информация за позициите (всички/нетни и дълги/къси) и свързаните с тях капиталови изисквания, по стандартизирания подход, за компонента за специфичен риск на риска при позициите в секюритизации/пресекюритизации в търговския портфейл (които не са допустими за портфейла за корелационно търгуване). </w:t>
      </w:r>
    </w:p>
    <w:p w14:paraId="2729DF95" w14:textId="1BA228E4" w:rsidR="00FC6275" w:rsidRPr="002D60D7" w:rsidRDefault="00FC6275" w:rsidP="00E172EA">
      <w:pPr>
        <w:pStyle w:val="InstructionsText2"/>
        <w:numPr>
          <w:ilvl w:val="0"/>
          <w:numId w:val="29"/>
        </w:numPr>
        <w:suppressAutoHyphens/>
      </w:pPr>
      <w:r>
        <w:t xml:space="preserve">В образец MKR SA SEC се представят капиталовите изисквания само за специфичния риск при секюритизиращите позиции в съответствие с член 335 от Регламент (ЕС) № 575/2013 във връзка с член 337 от същия регламент. Когато секюритизиращите позиции в търговския портфейл са хеджирани с кредитни деривати, се прилагат членове 346 и 347 от Регламент (ЕС) № 575/2013. Има само един образец за всички позиции в търговския портфейл, независимо от прилагания от инвестиционните посредници подход за определяне на рисковото тегло за всяка позиция в съответствие с трета част, дял II, глава 5 от Регламент (ЕС) № 575/2013. Капиталовите изисквания за общия риск на тези позиции се докладват в образец MKR SA TDI или MKR IM. </w:t>
      </w:r>
    </w:p>
    <w:p w14:paraId="0C732A14" w14:textId="3FF74494" w:rsidR="00FC6275" w:rsidRPr="002D60D7" w:rsidRDefault="00FC6275" w:rsidP="00E172EA">
      <w:pPr>
        <w:pStyle w:val="InstructionsText2"/>
        <w:numPr>
          <w:ilvl w:val="0"/>
          <w:numId w:val="29"/>
        </w:numPr>
        <w:suppressAutoHyphens/>
      </w:pPr>
      <w:r>
        <w:t>Позициите с рисково тегло 1 250 % могат и да се приспаднат от БСК1 (вж. член 244, параграф 1, буква б), член 245, параграф 1, буква б) и член 253 от Регламент (ЕС) № 575/2013). Тези позиции се докладват в настоящия образец, дори ако институцията се възползва от възможността за приспадане.</w:t>
      </w:r>
    </w:p>
    <w:p w14:paraId="3921F7AA" w14:textId="2BCB0F9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2" w:name="_Toc210895884"/>
      <w:r>
        <w:rPr>
          <w:rFonts w:ascii="Times New Roman" w:hAnsi="Times New Roman"/>
          <w:sz w:val="24"/>
          <w:u w:val="none"/>
        </w:rPr>
        <w:lastRenderedPageBreak/>
        <w:t>3.2.</w:t>
      </w:r>
      <w:r>
        <w:tab/>
      </w:r>
      <w:r>
        <w:rPr>
          <w:rFonts w:ascii="Times New Roman" w:hAnsi="Times New Roman"/>
          <w:sz w:val="24"/>
        </w:rPr>
        <w:t>Указания за конкретни позиции</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Колони</w:t>
            </w:r>
          </w:p>
        </w:tc>
      </w:tr>
      <w:tr w:rsidR="00C55547" w:rsidRPr="002D60D7" w14:paraId="25DD94D3" w14:textId="77777777" w:rsidTr="000911FE">
        <w:tc>
          <w:tcPr>
            <w:tcW w:w="1413" w:type="dxa"/>
          </w:tcPr>
          <w:p w14:paraId="1C45AB39"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605" w:type="dxa"/>
          </w:tcPr>
          <w:p w14:paraId="37C65F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ВСИЧКИ ПОЗИЦИИ (ДЪЛГИ И КЪСИ)</w:t>
            </w:r>
          </w:p>
          <w:p w14:paraId="503F4241" w14:textId="0DAFF941" w:rsidR="00C55547" w:rsidRPr="002D60D7" w:rsidRDefault="00C55547" w:rsidP="004C445F">
            <w:pPr>
              <w:suppressAutoHyphens/>
              <w:rPr>
                <w:rFonts w:ascii="Times New Roman" w:hAnsi="Times New Roman"/>
                <w:sz w:val="24"/>
              </w:rPr>
            </w:pPr>
            <w:r>
              <w:rPr>
                <w:rStyle w:val="InstructionsTabelleText"/>
                <w:rFonts w:ascii="Times New Roman" w:hAnsi="Times New Roman"/>
                <w:sz w:val="24"/>
              </w:rPr>
              <w:t xml:space="preserve">Член 102 и член 105, параграф 1 от Регламент (ЕС) № 575/2013 във връзка с член 337 от същия регламент (секюритизиращи позиции). Относно разграничението между дълги и къси позиции, което е приложимо и за тези брутни позиции, вж. член 328, параграф 2 от посочения регламент. </w:t>
            </w:r>
          </w:p>
        </w:tc>
      </w:tr>
      <w:tr w:rsidR="00C55547" w:rsidRPr="002D60D7" w14:paraId="22839602" w14:textId="77777777" w:rsidTr="000911FE">
        <w:tc>
          <w:tcPr>
            <w:tcW w:w="1413" w:type="dxa"/>
          </w:tcPr>
          <w:p w14:paraId="40A33AF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605" w:type="dxa"/>
          </w:tcPr>
          <w:p w14:paraId="511B020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ПОЗИЦИИ, ПРИСПАДНАТИ ОТ СОБСТВЕНИТЕ СРЕДСТВА</w:t>
            </w:r>
            <w:r>
              <w:rPr>
                <w:rFonts w:ascii="Times New Roman" w:hAnsi="Times New Roman"/>
                <w:b/>
                <w:sz w:val="24"/>
                <w:u w:val="single"/>
              </w:rPr>
              <w:t xml:space="preserve"> (ДЪЛГИ И КЪСИ)</w:t>
            </w:r>
          </w:p>
          <w:p w14:paraId="1429CBFE" w14:textId="1A440B37" w:rsidR="00C55547" w:rsidRPr="002D60D7" w:rsidRDefault="00705025" w:rsidP="004C445F">
            <w:pPr>
              <w:suppressAutoHyphens/>
              <w:rPr>
                <w:rStyle w:val="InstructionsTabelleText"/>
                <w:rFonts w:ascii="Times New Roman" w:hAnsi="Times New Roman"/>
                <w:sz w:val="24"/>
              </w:rPr>
            </w:pPr>
            <w:r>
              <w:rPr>
                <w:rStyle w:val="InstructionsTabelleText"/>
                <w:rFonts w:ascii="Times New Roman" w:hAnsi="Times New Roman"/>
                <w:sz w:val="24"/>
              </w:rPr>
              <w:t xml:space="preserve"> Член 244, параграф 1, буква б), член 245, параграф 1, буква б) и член 253</w:t>
            </w:r>
            <w:r>
              <w:rPr>
                <w:rFonts w:ascii="Times New Roman" w:hAnsi="Times New Roman"/>
                <w:sz w:val="24"/>
              </w:rPr>
              <w:t xml:space="preserve"> от Регламент (ЕС) № 575/2013</w:t>
            </w:r>
          </w:p>
        </w:tc>
      </w:tr>
      <w:tr w:rsidR="00C55547" w:rsidRPr="002D60D7" w14:paraId="16C58348" w14:textId="77777777" w:rsidTr="000911FE">
        <w:tc>
          <w:tcPr>
            <w:tcW w:w="1413" w:type="dxa"/>
          </w:tcPr>
          <w:p w14:paraId="2D1E9030"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605" w:type="dxa"/>
          </w:tcPr>
          <w:p w14:paraId="088E438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НЕТНИ ПОЗИЦИИ</w:t>
            </w:r>
            <w:r>
              <w:rPr>
                <w:rFonts w:ascii="Times New Roman" w:hAnsi="Times New Roman"/>
                <w:b/>
                <w:sz w:val="24"/>
                <w:u w:val="single"/>
              </w:rPr>
              <w:t xml:space="preserve"> (ДЪЛГИ И КЪСИ)</w:t>
            </w:r>
          </w:p>
          <w:p w14:paraId="54C14D76" w14:textId="32F9EC29" w:rsidR="00C55547"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Членове 327, 328, 329 и 334 от Регламент (ЕС) № 575/2013. По отношение на разграничението между дълги и къси позиции, вж. член 328, параграф 2 от посочения регламент.</w:t>
            </w:r>
          </w:p>
        </w:tc>
      </w:tr>
      <w:tr w:rsidR="00C55547" w:rsidRPr="002D60D7" w14:paraId="0BDF729C" w14:textId="77777777" w:rsidTr="000911FE">
        <w:tc>
          <w:tcPr>
            <w:tcW w:w="1413" w:type="dxa"/>
          </w:tcPr>
          <w:p w14:paraId="324A2BB6"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0061—0104</w:t>
            </w:r>
          </w:p>
        </w:tc>
        <w:tc>
          <w:tcPr>
            <w:tcW w:w="7605" w:type="dxa"/>
          </w:tcPr>
          <w:p w14:paraId="627BB4B0"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РАЗБИВКА НА НЕТНИТЕ ПОЗИЦИИ ПО РИСКОВИ ТЕГЛА</w:t>
            </w:r>
          </w:p>
          <w:p w14:paraId="3ECFC065" w14:textId="41D71775" w:rsidR="00C3548F"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 xml:space="preserve">Членове 259—262, член 263, таблици 1 и 2, член 264, параграфи 3 и 4 и член 266 от Регламент (ЕС) № 575/2013. </w:t>
            </w:r>
          </w:p>
          <w:p w14:paraId="4314B137" w14:textId="77777777" w:rsidR="00C55547"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Разбивката се прави поотделно за дългите и за късите позиции.</w:t>
            </w:r>
          </w:p>
        </w:tc>
      </w:tr>
      <w:tr w:rsidR="00C55547" w:rsidRPr="002D60D7" w14:paraId="2A20E80A" w14:textId="77777777" w:rsidTr="000911FE">
        <w:tc>
          <w:tcPr>
            <w:tcW w:w="1413" w:type="dxa"/>
          </w:tcPr>
          <w:p w14:paraId="163C862B"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0402—0406</w:t>
            </w:r>
          </w:p>
        </w:tc>
        <w:tc>
          <w:tcPr>
            <w:tcW w:w="7605" w:type="dxa"/>
          </w:tcPr>
          <w:p w14:paraId="2AF3DB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РАЗБИВКА НА НЕТНИТЕ ПОЗИЦИИ ПО ПОДХОДИ</w:t>
            </w:r>
          </w:p>
          <w:p w14:paraId="683DE902" w14:textId="55DF04AD" w:rsidR="00C55547" w:rsidRPr="002D60D7" w:rsidRDefault="00C55547" w:rsidP="004C445F">
            <w:pPr>
              <w:suppressAutoHyphens/>
              <w:rPr>
                <w:rFonts w:ascii="Times New Roman" w:hAnsi="Times New Roman"/>
                <w:b/>
                <w:bCs/>
                <w:sz w:val="24"/>
                <w:u w:val="single"/>
              </w:rPr>
            </w:pPr>
            <w:r>
              <w:rPr>
                <w:rFonts w:ascii="Times New Roman" w:hAnsi="Times New Roman"/>
                <w:sz w:val="24"/>
              </w:rPr>
              <w:t xml:space="preserve">Член </w:t>
            </w:r>
            <w:r>
              <w:rPr>
                <w:rStyle w:val="InstructionsTabelleText"/>
                <w:rFonts w:ascii="Times New Roman" w:hAnsi="Times New Roman"/>
                <w:sz w:val="24"/>
              </w:rPr>
              <w:t>254</w:t>
            </w:r>
            <w:r>
              <w:rPr>
                <w:rFonts w:ascii="Times New Roman" w:hAnsi="Times New Roman"/>
                <w:sz w:val="24"/>
              </w:rPr>
              <w:t xml:space="preserve"> от Регламент (ЕС) № 575/2013</w:t>
            </w:r>
            <w:r>
              <w:rPr>
                <w:rStyle w:val="InstructionsTabelleText"/>
                <w:rFonts w:ascii="Times New Roman" w:hAnsi="Times New Roman"/>
                <w:sz w:val="24"/>
              </w:rPr>
              <w:t xml:space="preserve"> </w:t>
            </w:r>
          </w:p>
        </w:tc>
      </w:tr>
      <w:tr w:rsidR="00C55547" w:rsidRPr="002D60D7" w14:paraId="6061874B" w14:textId="77777777" w:rsidTr="000911FE">
        <w:tc>
          <w:tcPr>
            <w:tcW w:w="1413" w:type="dxa"/>
          </w:tcPr>
          <w:p w14:paraId="4B729A34"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w:t>
            </w:r>
          </w:p>
        </w:tc>
        <w:tc>
          <w:tcPr>
            <w:tcW w:w="7605" w:type="dxa"/>
          </w:tcPr>
          <w:p w14:paraId="06929D2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41A48A7C" w14:textId="67C34C11"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Членове 259 и 260</w:t>
            </w:r>
            <w:r>
              <w:rPr>
                <w:rFonts w:ascii="Times New Roman" w:hAnsi="Times New Roman"/>
                <w:sz w:val="24"/>
              </w:rPr>
              <w:t xml:space="preserve"> от Регламент (ЕС) № 575/2013</w:t>
            </w:r>
          </w:p>
        </w:tc>
      </w:tr>
      <w:tr w:rsidR="00C55547" w:rsidRPr="002D60D7" w14:paraId="16BB3DCB" w14:textId="77777777" w:rsidTr="000911FE">
        <w:tc>
          <w:tcPr>
            <w:tcW w:w="1413" w:type="dxa"/>
          </w:tcPr>
          <w:p w14:paraId="189036B1"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0403</w:t>
            </w:r>
          </w:p>
        </w:tc>
        <w:tc>
          <w:tcPr>
            <w:tcW w:w="7605" w:type="dxa"/>
          </w:tcPr>
          <w:p w14:paraId="6F8EF419"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5A374E14" w14:textId="4A4A259B" w:rsidR="00C55547" w:rsidRPr="002D60D7" w:rsidRDefault="00C55547" w:rsidP="004C445F">
            <w:pPr>
              <w:suppressAutoHyphens/>
              <w:autoSpaceDE w:val="0"/>
              <w:autoSpaceDN w:val="0"/>
              <w:adjustRightInd w:val="0"/>
              <w:jc w:val="left"/>
              <w:rPr>
                <w:rFonts w:ascii="Times New Roman" w:hAnsi="Times New Roman"/>
                <w:b/>
                <w:bCs/>
                <w:sz w:val="24"/>
                <w:u w:val="single"/>
              </w:rPr>
            </w:pPr>
            <w:r>
              <w:rPr>
                <w:rStyle w:val="InstructionsTabelleText"/>
                <w:rFonts w:ascii="Times New Roman" w:hAnsi="Times New Roman"/>
                <w:sz w:val="24"/>
              </w:rPr>
              <w:t>Членове 261 и 262</w:t>
            </w:r>
            <w:r>
              <w:rPr>
                <w:rFonts w:ascii="Times New Roman" w:hAnsi="Times New Roman"/>
                <w:sz w:val="24"/>
              </w:rPr>
              <w:t xml:space="preserve"> от Регламент (ЕС) № 575/2013</w:t>
            </w:r>
          </w:p>
        </w:tc>
      </w:tr>
      <w:tr w:rsidR="00C55547" w:rsidRPr="002D60D7" w14:paraId="0B1E8511" w14:textId="77777777" w:rsidTr="000911FE">
        <w:tc>
          <w:tcPr>
            <w:tcW w:w="1413" w:type="dxa"/>
          </w:tcPr>
          <w:p w14:paraId="283E5722"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0404</w:t>
            </w:r>
          </w:p>
        </w:tc>
        <w:tc>
          <w:tcPr>
            <w:tcW w:w="7605" w:type="dxa"/>
          </w:tcPr>
          <w:p w14:paraId="7AA18A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2250A6DF" w14:textId="199187B3"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Членове 263 и 264</w:t>
            </w:r>
            <w:r>
              <w:rPr>
                <w:rFonts w:ascii="Times New Roman" w:hAnsi="Times New Roman"/>
                <w:sz w:val="24"/>
              </w:rPr>
              <w:t xml:space="preserve"> от Регламент (ЕС) № 575/2013</w:t>
            </w:r>
          </w:p>
        </w:tc>
      </w:tr>
      <w:tr w:rsidR="00C55547" w:rsidRPr="002D60D7" w14:paraId="76051CC7" w14:textId="77777777" w:rsidTr="000911FE">
        <w:tc>
          <w:tcPr>
            <w:tcW w:w="1413" w:type="dxa"/>
          </w:tcPr>
          <w:p w14:paraId="2CE39EA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0405</w:t>
            </w:r>
          </w:p>
        </w:tc>
        <w:tc>
          <w:tcPr>
            <w:tcW w:w="7605" w:type="dxa"/>
          </w:tcPr>
          <w:p w14:paraId="334AB028"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ПОДХОД НА ВЪТРЕШНАТА ОЦЕНКА</w:t>
            </w:r>
          </w:p>
          <w:p w14:paraId="5354C48C" w14:textId="38E5A78D" w:rsidR="00C55547" w:rsidRPr="002D60D7" w:rsidRDefault="00C55547" w:rsidP="004C445F">
            <w:pPr>
              <w:suppressAutoHyphens/>
              <w:rPr>
                <w:rFonts w:ascii="Times New Roman" w:hAnsi="Times New Roman"/>
                <w:bCs/>
                <w:sz w:val="24"/>
                <w:u w:val="single"/>
              </w:rPr>
            </w:pPr>
            <w:r>
              <w:rPr>
                <w:rStyle w:val="InstructionsTabelleText"/>
                <w:rFonts w:ascii="Times New Roman" w:hAnsi="Times New Roman"/>
                <w:sz w:val="24"/>
              </w:rPr>
              <w:t>Членове 254 и 265 и член 266, параграф 5 от Регламент (ЕС) № 575/2013.</w:t>
            </w:r>
          </w:p>
        </w:tc>
      </w:tr>
      <w:tr w:rsidR="0033476C" w:rsidRPr="002D60D7" w14:paraId="00803C23" w14:textId="77777777" w:rsidTr="000911FE">
        <w:tc>
          <w:tcPr>
            <w:tcW w:w="1413" w:type="dxa"/>
          </w:tcPr>
          <w:p w14:paraId="6969B7D6" w14:textId="7D0DF91C" w:rsidR="0033476C" w:rsidRPr="002D60D7" w:rsidRDefault="0033476C"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0900</w:t>
            </w:r>
          </w:p>
        </w:tc>
        <w:tc>
          <w:tcPr>
            <w:tcW w:w="7605" w:type="dxa"/>
          </w:tcPr>
          <w:p w14:paraId="1E2E9907" w14:textId="3152DD84" w:rsidR="0033476C" w:rsidRPr="002D60D7" w:rsidRDefault="0033476C" w:rsidP="004C445F">
            <w:pPr>
              <w:suppressAutoHyphens/>
              <w:spacing w:before="0" w:after="0"/>
              <w:jc w:val="left"/>
              <w:rPr>
                <w:rFonts w:ascii="Times New Roman" w:hAnsi="Times New Roman"/>
                <w:b/>
                <w:sz w:val="24"/>
                <w:u w:val="single"/>
              </w:rPr>
            </w:pPr>
            <w:r>
              <w:rPr>
                <w:rFonts w:ascii="Times New Roman" w:hAnsi="Times New Roman"/>
                <w:b/>
                <w:sz w:val="24"/>
                <w:u w:val="single"/>
              </w:rPr>
              <w:t>СПЕЦИФИЧНО ТРЕТИРАНЕ НА ПЪРВОСТЕПЕННИТЕ ТРАНШОВЕ ПО КВАЛИФИЦИРАНИ СЕКЮРИТИЗАЦИИ НА НЕОБСЛУЖВАНИ ЕКСПОЗИЦИИ</w:t>
            </w:r>
          </w:p>
          <w:p w14:paraId="17BE744C" w14:textId="40B8EA94" w:rsidR="0033476C" w:rsidRPr="002D60D7" w:rsidRDefault="0033476C" w:rsidP="004C445F">
            <w:pPr>
              <w:suppressAutoHyphens/>
              <w:rPr>
                <w:rFonts w:ascii="Times New Roman" w:hAnsi="Times New Roman"/>
                <w:b/>
                <w:bCs/>
                <w:sz w:val="24"/>
                <w:u w:val="single"/>
              </w:rPr>
            </w:pPr>
            <w:r>
              <w:rPr>
                <w:rFonts w:ascii="Times New Roman" w:hAnsi="Times New Roman"/>
                <w:sz w:val="24"/>
              </w:rPr>
              <w:t>Член 269a, параграф 3 от Регламент (ЕС) № 575/2013</w:t>
            </w:r>
          </w:p>
        </w:tc>
      </w:tr>
      <w:tr w:rsidR="00C55547" w:rsidRPr="002D60D7" w14:paraId="05BEB883" w14:textId="77777777" w:rsidTr="000911FE">
        <w:tc>
          <w:tcPr>
            <w:tcW w:w="1413" w:type="dxa"/>
          </w:tcPr>
          <w:p w14:paraId="3D2DEA0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0406</w:t>
            </w:r>
          </w:p>
        </w:tc>
        <w:tc>
          <w:tcPr>
            <w:tcW w:w="7605" w:type="dxa"/>
          </w:tcPr>
          <w:p w14:paraId="25786344" w14:textId="4EFB7A5E"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ДРУГИ (рисково тегло = 1 250</w:t>
            </w:r>
            <w:r>
              <w:t> </w:t>
            </w:r>
            <w:r>
              <w:rPr>
                <w:rFonts w:ascii="Times New Roman" w:hAnsi="Times New Roman"/>
                <w:b/>
                <w:sz w:val="24"/>
                <w:u w:val="single"/>
              </w:rPr>
              <w:t>%)</w:t>
            </w:r>
          </w:p>
          <w:p w14:paraId="1684F52F" w14:textId="43F3FE5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Член 254, параграф 7</w:t>
            </w:r>
            <w:r>
              <w:rPr>
                <w:rFonts w:ascii="Times New Roman" w:hAnsi="Times New Roman"/>
                <w:sz w:val="24"/>
              </w:rPr>
              <w:t xml:space="preserve"> от Регламент (ЕС) № 575/2013</w:t>
            </w:r>
          </w:p>
        </w:tc>
      </w:tr>
      <w:tr w:rsidR="00C55547" w:rsidRPr="002D60D7" w14:paraId="11316298" w14:textId="77777777" w:rsidTr="000911FE">
        <w:tc>
          <w:tcPr>
            <w:tcW w:w="1413" w:type="dxa"/>
          </w:tcPr>
          <w:p w14:paraId="00B9220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0530—0540</w:t>
            </w:r>
          </w:p>
        </w:tc>
        <w:tc>
          <w:tcPr>
            <w:tcW w:w="7605" w:type="dxa"/>
          </w:tcPr>
          <w:p w14:paraId="595C29DB"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ЦЯЛОСТЕН ЕФЕКТ (КОРЕКЦИЯ) ПОРАДИ НАРУШЕНИЕ НА РАЗПОРЕДБИТЕ НА ГЛАВА 2 ОТ РЕГЛАМЕНТ (ЕС) 2017/2402</w:t>
            </w:r>
          </w:p>
          <w:p w14:paraId="3FBEAE4C" w14:textId="027236B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Член 270a</w:t>
            </w:r>
            <w:r>
              <w:rPr>
                <w:rFonts w:ascii="Times New Roman" w:hAnsi="Times New Roman"/>
                <w:sz w:val="24"/>
              </w:rPr>
              <w:t xml:space="preserve"> от Регламент (ЕС) № 575/2013</w:t>
            </w:r>
          </w:p>
        </w:tc>
      </w:tr>
      <w:tr w:rsidR="00C55547" w:rsidRPr="002D60D7" w14:paraId="2BA98A90" w14:textId="77777777" w:rsidTr="000911FE">
        <w:tc>
          <w:tcPr>
            <w:tcW w:w="1413" w:type="dxa"/>
          </w:tcPr>
          <w:p w14:paraId="2EA0118D"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0570</w:t>
            </w:r>
          </w:p>
        </w:tc>
        <w:tc>
          <w:tcPr>
            <w:tcW w:w="7605" w:type="dxa"/>
          </w:tcPr>
          <w:p w14:paraId="4DCE07C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ПРЕДИ ОГРАНИЧАВАНЕТО </w:t>
            </w:r>
          </w:p>
          <w:p w14:paraId="740CD739" w14:textId="54EB1279" w:rsidR="00C55547" w:rsidRPr="002D60D7" w:rsidRDefault="00C55547" w:rsidP="004C445F">
            <w:pPr>
              <w:suppressAutoHyphens/>
              <w:rPr>
                <w:rFonts w:ascii="Times New Roman" w:hAnsi="Times New Roman"/>
                <w:bCs/>
                <w:sz w:val="24"/>
              </w:rPr>
            </w:pPr>
            <w:r>
              <w:rPr>
                <w:rFonts w:ascii="Times New Roman" w:hAnsi="Times New Roman"/>
                <w:sz w:val="24"/>
              </w:rPr>
              <w:t>Член 337 от Регламент (ЕС) № 575/2013, без да се взима предвид свободата на преценка, предвидена в член 335 от същия регламент, която позволява на институцията да ограничи произведението на теглото и нетната позиция до максималната възможна загуба при настъпване на риска от неизпълнение.</w:t>
            </w:r>
          </w:p>
        </w:tc>
      </w:tr>
      <w:tr w:rsidR="00C55547" w:rsidRPr="002D60D7" w14:paraId="247B0FB8" w14:textId="77777777" w:rsidTr="000911FE">
        <w:tc>
          <w:tcPr>
            <w:tcW w:w="1413" w:type="dxa"/>
          </w:tcPr>
          <w:p w14:paraId="22357CAC"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0601</w:t>
            </w:r>
          </w:p>
        </w:tc>
        <w:tc>
          <w:tcPr>
            <w:tcW w:w="7605" w:type="dxa"/>
          </w:tcPr>
          <w:p w14:paraId="78FC9B76"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СЛЕД ОГРАНИЧАВАНЕТО / ОБЩ РАЗМЕР НА КАПИТАЛОВИТЕ ИЗИСКВАНИЯ </w:t>
            </w:r>
          </w:p>
          <w:p w14:paraId="0DE4FAED" w14:textId="59308D5D" w:rsidR="00C55547" w:rsidRPr="002D60D7" w:rsidRDefault="00C55547" w:rsidP="004C445F">
            <w:pPr>
              <w:suppressAutoHyphens/>
              <w:rPr>
                <w:rFonts w:ascii="Times New Roman" w:hAnsi="Times New Roman"/>
                <w:bCs/>
                <w:sz w:val="24"/>
              </w:rPr>
            </w:pPr>
            <w:r>
              <w:rPr>
                <w:rFonts w:ascii="Times New Roman" w:hAnsi="Times New Roman"/>
                <w:sz w:val="24"/>
              </w:rPr>
              <w:t xml:space="preserve">Член 337 от Регламент (ЕС) № 575/2013, като се взима </w:t>
            </w:r>
            <w:r>
              <w:rPr>
                <w:rStyle w:val="InstructionsTabelleText"/>
                <w:rFonts w:ascii="Times New Roman" w:hAnsi="Times New Roman"/>
                <w:sz w:val="24"/>
              </w:rPr>
              <w:t>предвид</w:t>
            </w:r>
            <w:r>
              <w:rPr>
                <w:rFonts w:ascii="Times New Roman" w:hAnsi="Times New Roman"/>
                <w:sz w:val="24"/>
              </w:rPr>
              <w:t xml:space="preserve"> свободата на преценка по член 335 от същия регламент.</w:t>
            </w:r>
          </w:p>
        </w:tc>
      </w:tr>
    </w:tbl>
    <w:p w14:paraId="2016D379"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Редове</w:t>
            </w:r>
          </w:p>
        </w:tc>
      </w:tr>
      <w:tr w:rsidR="00C55547" w:rsidRPr="002D60D7" w14:paraId="32F42F75" w14:textId="77777777" w:rsidTr="000911FE">
        <w:tc>
          <w:tcPr>
            <w:tcW w:w="1413" w:type="dxa"/>
          </w:tcPr>
          <w:p w14:paraId="4D0640F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537" w:type="dxa"/>
          </w:tcPr>
          <w:p w14:paraId="03F7346E" w14:textId="77777777" w:rsidR="00C55547" w:rsidRPr="002D60D7" w:rsidRDefault="00C55547" w:rsidP="004C445F">
            <w:pPr>
              <w:suppressAutoHyphens/>
              <w:rPr>
                <w:rFonts w:ascii="Times New Roman" w:hAnsi="Times New Roman"/>
                <w:sz w:val="24"/>
              </w:rPr>
            </w:pPr>
            <w:r>
              <w:rPr>
                <w:rStyle w:val="InstructionsTabelleberschrift"/>
                <w:rFonts w:ascii="Times New Roman" w:hAnsi="Times New Roman"/>
                <w:sz w:val="24"/>
              </w:rPr>
              <w:t>ОБЩО ЕКСПОЗИЦИИ</w:t>
            </w:r>
          </w:p>
          <w:p w14:paraId="3DA30B45" w14:textId="36AC07B8" w:rsidR="00C55547" w:rsidRPr="002D60D7" w:rsidRDefault="00C55547" w:rsidP="004C445F">
            <w:pPr>
              <w:suppressAutoHyphens/>
              <w:autoSpaceDE w:val="0"/>
              <w:autoSpaceDN w:val="0"/>
              <w:adjustRightInd w:val="0"/>
              <w:spacing w:before="0" w:after="0"/>
              <w:rPr>
                <w:rFonts w:ascii="Times New Roman" w:hAnsi="Times New Roman"/>
                <w:sz w:val="24"/>
              </w:rPr>
            </w:pPr>
            <w:r>
              <w:rPr>
                <w:rStyle w:val="InstructionsTabelleText"/>
                <w:rFonts w:ascii="Times New Roman" w:hAnsi="Times New Roman"/>
                <w:sz w:val="24"/>
              </w:rPr>
              <w:t>Общият размер на неуредените секюритизации и пресекюритизации (в търговския портфейл), докладван от институцията, чиято роля е на инициатор или инвеститор или спонсор.</w:t>
            </w:r>
          </w:p>
        </w:tc>
      </w:tr>
      <w:tr w:rsidR="00C55547" w:rsidRPr="002D60D7" w14:paraId="21E51D59" w14:textId="77777777" w:rsidTr="000911FE">
        <w:tc>
          <w:tcPr>
            <w:tcW w:w="1413" w:type="dxa"/>
          </w:tcPr>
          <w:p w14:paraId="5CCD69B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и 0100</w:t>
            </w:r>
          </w:p>
        </w:tc>
        <w:tc>
          <w:tcPr>
            <w:tcW w:w="7537" w:type="dxa"/>
          </w:tcPr>
          <w:p w14:paraId="4F5DF6A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СЕКЮРИТИЗИРАЩИ ПОЗИЦИИ</w:t>
            </w:r>
          </w:p>
          <w:p w14:paraId="62CD89EA" w14:textId="30BF22B1" w:rsidR="00C55547" w:rsidRPr="002D60D7" w:rsidRDefault="0053202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 Член 4, параграф 1, точка 62 от Регламент (ЕС) № 575/2013.</w:t>
            </w:r>
          </w:p>
          <w:p w14:paraId="0230B6E5"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 0050, 0080 и 0110</w:t>
            </w:r>
          </w:p>
        </w:tc>
        <w:tc>
          <w:tcPr>
            <w:tcW w:w="7537" w:type="dxa"/>
          </w:tcPr>
          <w:p w14:paraId="3C62BCE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ПРЕСЕКЮРИТИЗИРАЩИ ПОЗИЦИИ</w:t>
            </w:r>
          </w:p>
          <w:p w14:paraId="32F5BAEB" w14:textId="2FA2B3C6"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Член 4, параграф 1, точка 64 от Регламент (ЕС) № 575/2013</w:t>
            </w:r>
          </w:p>
          <w:p w14:paraId="18108A69"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0041, 0071 и 0101</w:t>
            </w:r>
          </w:p>
        </w:tc>
        <w:tc>
          <w:tcPr>
            <w:tcW w:w="7537" w:type="dxa"/>
          </w:tcPr>
          <w:p w14:paraId="17D8E88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В Т.Ч.: ДОПУСТИМИ ЗА ДИФЕРЕНЦИРАНО ТРЕТИРАНЕ НА КАПИТАЛА</w:t>
            </w:r>
          </w:p>
          <w:p w14:paraId="775DD0A5" w14:textId="5E8A13EA" w:rsidR="00C55547" w:rsidRPr="002D60D7" w:rsidRDefault="00C55547" w:rsidP="004C445F">
            <w:pPr>
              <w:suppressAutoHyphens/>
              <w:rPr>
                <w:rStyle w:val="InstructionsTabelleberschrift"/>
                <w:rFonts w:ascii="Times New Roman" w:hAnsi="Times New Roman"/>
                <w:sz w:val="24"/>
              </w:rPr>
            </w:pPr>
            <w:r>
              <w:rPr>
                <w:rFonts w:ascii="Times New Roman" w:hAnsi="Times New Roman"/>
                <w:sz w:val="24"/>
              </w:rPr>
              <w:t xml:space="preserve">Общият размер на секюритизиращите позиции, които отговарят на критериите по член 243 или член 270 от Регламент (ЕС) № 575/2013 и оттам – на условията за диференцирано третиране на капитала. </w:t>
            </w:r>
          </w:p>
        </w:tc>
      </w:tr>
      <w:tr w:rsidR="00C55547" w:rsidRPr="002D60D7" w14:paraId="5FAF4052" w14:textId="77777777" w:rsidTr="000911FE">
        <w:tc>
          <w:tcPr>
            <w:tcW w:w="1413" w:type="dxa"/>
          </w:tcPr>
          <w:p w14:paraId="39486578"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0030—0050</w:t>
            </w:r>
          </w:p>
        </w:tc>
        <w:tc>
          <w:tcPr>
            <w:tcW w:w="7537" w:type="dxa"/>
          </w:tcPr>
          <w:p w14:paraId="29698529"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ИНИЦИАТОР</w:t>
            </w:r>
          </w:p>
          <w:p w14:paraId="50264432" w14:textId="0FD773BF"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Член 4, параграф 1, точка 13 от Регламент (ЕС) № 575/2013</w:t>
            </w:r>
          </w:p>
          <w:p w14:paraId="671304E2"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537" w:type="dxa"/>
          </w:tcPr>
          <w:p w14:paraId="726E7C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ИНВЕСТИТОР</w:t>
            </w:r>
          </w:p>
          <w:p w14:paraId="13A59676" w14:textId="722AE4F3" w:rsidR="00C55547" w:rsidRPr="002D60D7" w:rsidRDefault="00C55547"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 xml:space="preserve">Кредитна институция, която държи секюритизиращи позиции в секюритизационна сделка, по отношение на които институцията не е нито инициатор, нито спонсор, нито първоначален кредитор. </w:t>
            </w:r>
          </w:p>
          <w:p w14:paraId="5289F9D1"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537" w:type="dxa"/>
          </w:tcPr>
          <w:p w14:paraId="1405E24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СПОНСОР</w:t>
            </w:r>
          </w:p>
          <w:p w14:paraId="40C5E800" w14:textId="57801E6F" w:rsidR="000242CC" w:rsidRPr="002D60D7" w:rsidRDefault="00D24331" w:rsidP="004C445F">
            <w:pPr>
              <w:suppressAutoHyphens/>
              <w:autoSpaceDE w:val="0"/>
              <w:autoSpaceDN w:val="0"/>
              <w:adjustRightInd w:val="0"/>
              <w:spacing w:before="0" w:after="0"/>
              <w:rPr>
                <w:rStyle w:val="InstructionsTabelleText"/>
                <w:rFonts w:ascii="Times New Roman" w:hAnsi="Times New Roman"/>
                <w:sz w:val="24"/>
              </w:rPr>
            </w:pPr>
            <w:r>
              <w:rPr>
                <w:rFonts w:ascii="Times New Roman" w:hAnsi="Times New Roman"/>
                <w:sz w:val="24"/>
              </w:rPr>
              <w:t>Член 4, параграф 1, точка 14 от Регламент (ЕС) № 575/2013</w:t>
            </w:r>
            <w:r>
              <w:rPr>
                <w:rStyle w:val="InstructionsTabelleText"/>
                <w:rFonts w:ascii="Times New Roman" w:hAnsi="Times New Roman"/>
                <w:sz w:val="24"/>
              </w:rPr>
              <w:t xml:space="preserve">. </w:t>
            </w:r>
          </w:p>
          <w:p w14:paraId="036222AB" w14:textId="77777777" w:rsidR="00C55547" w:rsidRPr="002D60D7" w:rsidRDefault="00532026"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lastRenderedPageBreak/>
              <w:t>Спонсор, който секюритизира и собствените си активи, попълва в редовете на инициатора информацията относно собствените си секюритизирани активи.</w:t>
            </w:r>
          </w:p>
        </w:tc>
      </w:tr>
    </w:tbl>
    <w:p w14:paraId="2E044F0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895885"/>
      <w:r>
        <w:rPr>
          <w:rFonts w:ascii="Times New Roman" w:hAnsi="Times New Roman"/>
          <w:sz w:val="24"/>
          <w:u w:val="none"/>
        </w:rPr>
        <w:t>4.</w:t>
      </w:r>
      <w:r>
        <w:tab/>
      </w:r>
      <w:r>
        <w:rPr>
          <w:rFonts w:ascii="Times New Roman" w:hAnsi="Times New Roman"/>
          <w:sz w:val="24"/>
        </w:rPr>
        <w:t>C 20.00 — ПАЗАРЕН РИСК: СТАНДАРТИЗИРАН ПОДХОД ЗА СПЕЦИФИЧЕН РИСК ЗА ПОЗИЦИИТЕ, ОТНЕСЕНИ КЪМ ПОРТФЕЙЛА ЗА КОРЕЛАЦИОННО ТЪРГУВАНЕ (MKR SA CTP</w:t>
      </w:r>
      <w:bookmarkEnd w:id="73"/>
      <w:bookmarkEnd w:id="74"/>
      <w:bookmarkEnd w:id="75"/>
      <w:bookmarkEnd w:id="76"/>
      <w:r>
        <w:rPr>
          <w:rFonts w:ascii="Times New Roman" w:hAnsi="Times New Roman"/>
          <w:sz w:val="24"/>
        </w:rPr>
        <w:t>)</w:t>
      </w:r>
      <w:bookmarkEnd w:id="77"/>
      <w:bookmarkEnd w:id="78"/>
      <w:bookmarkEnd w:id="79"/>
    </w:p>
    <w:p w14:paraId="43960D05" w14:textId="0A1B0018"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895886"/>
      <w:r>
        <w:rPr>
          <w:rFonts w:ascii="Times New Roman" w:hAnsi="Times New Roman"/>
          <w:sz w:val="24"/>
          <w:u w:val="none"/>
        </w:rPr>
        <w:t>4.1.</w:t>
      </w:r>
      <w:r>
        <w:tab/>
      </w:r>
      <w:r>
        <w:rPr>
          <w:rFonts w:ascii="Times New Roman" w:hAnsi="Times New Roman"/>
          <w:sz w:val="24"/>
        </w:rPr>
        <w:t>Общи бележки</w:t>
      </w:r>
      <w:bookmarkEnd w:id="80"/>
      <w:bookmarkEnd w:id="81"/>
      <w:bookmarkEnd w:id="82"/>
      <w:bookmarkEnd w:id="83"/>
      <w:bookmarkEnd w:id="84"/>
      <w:bookmarkEnd w:id="85"/>
      <w:bookmarkEnd w:id="86"/>
    </w:p>
    <w:p w14:paraId="6E7E4803" w14:textId="7EB80912" w:rsidR="00C55547" w:rsidRPr="002D60D7"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t>В този образец се изисква информация за позициите от портфейла за корелационно търгуване (състоящ се от секюритизации, кредитни деривати за n-то неизпълнение и други позиции от портфейла за корелационно търгуване, включени в съответствие с член 338, параграф 3 от Регламент (ЕС) № 575/2013, и за съответните капиталови изисквания съгласно стандартизирания подход.</w:t>
      </w:r>
    </w:p>
    <w:p w14:paraId="7D9D9B10" w14:textId="1F1EFDEB" w:rsidR="00C55547" w:rsidRPr="002D60D7" w:rsidRDefault="00C55547" w:rsidP="00E172EA">
      <w:pPr>
        <w:pStyle w:val="InstructionsText2"/>
        <w:numPr>
          <w:ilvl w:val="0"/>
          <w:numId w:val="29"/>
        </w:numPr>
        <w:suppressAutoHyphens/>
      </w:pPr>
      <w:r>
        <w:t>В образец MKR SA CTP се посочват капиталовите изисквания само за специфичния риск при позициите, отнесени към портфейла за корелационно търгуване, в съответствие с член 335 от Регламент (ЕС) № 575/2013 във връзка с член 338, параграфи 2 и 3 от същия регламент. Когато позициите в портфейла за корелационно търгуване от търговския портфейл са хеджирани с кредитни деривати, се прилагат членове 346 и 347 от Регламент (ЕС) № 575/2013. Има само един образец за всички позиции в портфейла за корелационно търгуване от търговския портфейл, независимо от прилагания от инвестиционните посредници подход за определяне на рисковото тегло за всяка позиция в съответствие с трета част, дял II, глава 5 от Регламент (ЕС) № 575/2013. Капиталовите изисквания за общия риск на тези позиции се докладват в образец MKR SA TDI или в образец MKR IM.</w:t>
      </w:r>
    </w:p>
    <w:p w14:paraId="2252BE4F" w14:textId="4513CABA" w:rsidR="00C55547" w:rsidRPr="002D60D7" w:rsidRDefault="00C55547" w:rsidP="00E172EA">
      <w:pPr>
        <w:pStyle w:val="InstructionsText2"/>
        <w:numPr>
          <w:ilvl w:val="0"/>
          <w:numId w:val="29"/>
        </w:numPr>
        <w:suppressAutoHyphens/>
      </w:pPr>
      <w:r>
        <w:t xml:space="preserve">В този образец са разделени секюритизиращите позиции, кредитните деривати за n-то неизпълнение и другите позиции от портфейла за корелационно търгуване. Секюритизиращите позиции винаги се докладват в редове 0030, 0060 или 0090 (в зависимост от ролята на институцията в секюритизацията). Кредитните деривати за n-то неизпълнение винаги се докладват в ред 0110. „Другите позиции от портфейла за корелационно търгуване“ са позициите, които не са нито секюритизиращи позиции, нито кредитни деривати за n-то неизпълнение (вж. член 338, параграф 3 от Регламент (ЕС) № 575/2013), но са явно „свързани“ с една от тези две позиции (поради намерението за хеджиране). </w:t>
      </w:r>
    </w:p>
    <w:p w14:paraId="5B5B9C2A" w14:textId="127C8328" w:rsidR="00C55547" w:rsidRPr="002D60D7" w:rsidRDefault="00C55547" w:rsidP="00E172EA">
      <w:pPr>
        <w:pStyle w:val="InstructionsText2"/>
        <w:numPr>
          <w:ilvl w:val="0"/>
          <w:numId w:val="29"/>
        </w:numPr>
        <w:suppressAutoHyphens/>
      </w:pPr>
      <w:r>
        <w:t>Позициите с рисково тегло 1 250 % могат и да се приспаднат от БСК1 (вж. член 244, параграф 1, буква б), член 245, параграф 1, буква б) и член 253 от Регламент (ЕС) № 575/2013). Тези позиции се докладват в настоящия образец, дори ако институцията се възползва от възможността за приспадане.</w:t>
      </w:r>
    </w:p>
    <w:p w14:paraId="6482CB53" w14:textId="4A90E23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3" w:name="_Toc210895887"/>
      <w:r>
        <w:rPr>
          <w:rFonts w:ascii="Times New Roman" w:hAnsi="Times New Roman"/>
          <w:sz w:val="24"/>
          <w:u w:val="none"/>
        </w:rPr>
        <w:lastRenderedPageBreak/>
        <w:t>4.2.</w:t>
      </w:r>
      <w:r>
        <w:tab/>
      </w:r>
      <w:r>
        <w:rPr>
          <w:rFonts w:ascii="Times New Roman" w:hAnsi="Times New Roman"/>
          <w:sz w:val="24"/>
        </w:rPr>
        <w:t>Указания за конкретни позиции</w:t>
      </w:r>
      <w:bookmarkEnd w:id="87"/>
      <w:bookmarkEnd w:id="88"/>
      <w:bookmarkEnd w:id="89"/>
      <w:bookmarkEnd w:id="90"/>
      <w:bookmarkEnd w:id="91"/>
      <w:bookmarkEnd w:id="92"/>
      <w:bookmarkEnd w:id="93"/>
    </w:p>
    <w:p w14:paraId="08BF27B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Колони</w:t>
            </w:r>
          </w:p>
        </w:tc>
      </w:tr>
      <w:tr w:rsidR="00C55547" w:rsidRPr="002D60D7" w14:paraId="697D3EB6" w14:textId="77777777" w:rsidTr="00E10B85">
        <w:tc>
          <w:tcPr>
            <w:tcW w:w="1016" w:type="dxa"/>
          </w:tcPr>
          <w:p w14:paraId="5A814BB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2D41C5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ВСИЧКИ ПОЗИЦИИ (ДЪЛГИ И КЪСИ)</w:t>
            </w:r>
          </w:p>
          <w:p w14:paraId="4F3CF7CB" w14:textId="3DE2B427" w:rsidR="005C14B0" w:rsidRPr="002D60D7" w:rsidRDefault="00C55547" w:rsidP="004C445F">
            <w:pPr>
              <w:suppressAutoHyphens/>
              <w:rPr>
                <w:rFonts w:ascii="Times New Roman" w:hAnsi="Times New Roman"/>
                <w:sz w:val="24"/>
              </w:rPr>
            </w:pPr>
            <w:r>
              <w:rPr>
                <w:rFonts w:ascii="Times New Roman" w:hAnsi="Times New Roman"/>
                <w:sz w:val="24"/>
              </w:rPr>
              <w:t>Член 102 и член 105, параграф 1 от Регламент (ЕС) № 575/2013 във връзка с член 338, параграфи 2 и 3 от същия регламент (позициите, отнесени към портфейла за корелационно търгуване).</w:t>
            </w:r>
          </w:p>
          <w:p w14:paraId="70FB0860" w14:textId="54994400" w:rsidR="00C55547" w:rsidRPr="002D60D7" w:rsidRDefault="00C55547" w:rsidP="004C445F">
            <w:pPr>
              <w:suppressAutoHyphens/>
              <w:rPr>
                <w:rFonts w:ascii="Times New Roman" w:hAnsi="Times New Roman"/>
                <w:sz w:val="24"/>
              </w:rPr>
            </w:pPr>
            <w:r>
              <w:rPr>
                <w:rFonts w:ascii="Times New Roman" w:hAnsi="Times New Roman"/>
                <w:sz w:val="24"/>
              </w:rPr>
              <w:t>Относно разграничението между дълги и къси позиции, което е приложимо и за тези брутни позиции, вж. член 328, параграф 2 от Регламент (ЕС) № 575/2013.</w:t>
            </w:r>
          </w:p>
        </w:tc>
      </w:tr>
      <w:tr w:rsidR="00C55547" w:rsidRPr="002D60D7" w14:paraId="3641769F" w14:textId="77777777" w:rsidTr="00E10B85">
        <w:tc>
          <w:tcPr>
            <w:tcW w:w="1016" w:type="dxa"/>
          </w:tcPr>
          <w:p w14:paraId="04DBC56E"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7E31C3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ПОЗИЦИИ, ПРИСПАДНАТИ ОТ СОБСТВЕНИТЕ СРЕДСТВА (ДЪЛГИ И КЪСИ)</w:t>
            </w:r>
          </w:p>
          <w:p w14:paraId="56207551" w14:textId="0069D39B" w:rsidR="00C55547" w:rsidRPr="002D60D7" w:rsidRDefault="00C55547" w:rsidP="004C445F">
            <w:pPr>
              <w:suppressAutoHyphens/>
              <w:rPr>
                <w:rFonts w:ascii="Times New Roman" w:hAnsi="Times New Roman"/>
                <w:sz w:val="24"/>
              </w:rPr>
            </w:pPr>
            <w:r>
              <w:rPr>
                <w:rFonts w:ascii="Times New Roman" w:hAnsi="Times New Roman"/>
                <w:sz w:val="24"/>
              </w:rPr>
              <w:t xml:space="preserve">Член 253 от Регламент (ЕС) № 575/2013 </w:t>
            </w:r>
          </w:p>
        </w:tc>
      </w:tr>
      <w:tr w:rsidR="00C55547" w:rsidRPr="002D60D7" w14:paraId="6E312180" w14:textId="77777777" w:rsidTr="00E10B85">
        <w:tc>
          <w:tcPr>
            <w:tcW w:w="1016" w:type="dxa"/>
          </w:tcPr>
          <w:p w14:paraId="0870959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74" w:type="dxa"/>
          </w:tcPr>
          <w:p w14:paraId="6226B3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НЕТНИ ПОЗИЦИИ (ДЪЛГИ И КЪСИ)</w:t>
            </w:r>
          </w:p>
          <w:p w14:paraId="01BDDE40" w14:textId="76E789A7" w:rsidR="005C14B0" w:rsidRPr="002D60D7" w:rsidRDefault="00C55547" w:rsidP="004C445F">
            <w:pPr>
              <w:suppressAutoHyphens/>
              <w:rPr>
                <w:rFonts w:ascii="Times New Roman" w:hAnsi="Times New Roman"/>
                <w:sz w:val="24"/>
              </w:rPr>
            </w:pPr>
            <w:r>
              <w:rPr>
                <w:rFonts w:ascii="Times New Roman" w:hAnsi="Times New Roman"/>
                <w:sz w:val="24"/>
              </w:rPr>
              <w:t xml:space="preserve">Членове 327, 328, 329 и 334 от Регламент (ЕС) № 575/2013 </w:t>
            </w:r>
          </w:p>
          <w:p w14:paraId="6C03F093" w14:textId="3D25FE7B" w:rsidR="00C55547" w:rsidRPr="002D60D7" w:rsidRDefault="00C55547" w:rsidP="004C445F">
            <w:pPr>
              <w:suppressAutoHyphens/>
              <w:rPr>
                <w:rFonts w:ascii="Times New Roman" w:hAnsi="Times New Roman"/>
                <w:sz w:val="24"/>
              </w:rPr>
            </w:pPr>
            <w:r>
              <w:rPr>
                <w:rFonts w:ascii="Times New Roman" w:hAnsi="Times New Roman"/>
                <w:sz w:val="24"/>
              </w:rPr>
              <w:t>По отношение на разграничението между дълги и къси позиции вж. член 328, параграф 2 от посочения регламент.</w:t>
            </w:r>
          </w:p>
        </w:tc>
      </w:tr>
      <w:tr w:rsidR="00C55547" w:rsidRPr="002D60D7" w14:paraId="6F83AB99" w14:textId="77777777" w:rsidTr="00E10B85">
        <w:tc>
          <w:tcPr>
            <w:tcW w:w="1016" w:type="dxa"/>
          </w:tcPr>
          <w:p w14:paraId="6DDF2435"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0071—0097</w:t>
            </w:r>
          </w:p>
        </w:tc>
        <w:tc>
          <w:tcPr>
            <w:tcW w:w="7874" w:type="dxa"/>
          </w:tcPr>
          <w:p w14:paraId="247CF712"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РАЗБИВКА НА НЕТНИТЕ ПОЗИЦИИ ПО РИСКОВИ ТЕГЛА</w:t>
            </w:r>
          </w:p>
          <w:p w14:paraId="691F4414" w14:textId="75A08501" w:rsidR="00C55547" w:rsidRPr="002D60D7" w:rsidRDefault="00133396" w:rsidP="004C445F">
            <w:pPr>
              <w:suppressAutoHyphens/>
              <w:rPr>
                <w:rFonts w:ascii="Times New Roman" w:hAnsi="Times New Roman"/>
                <w:sz w:val="24"/>
              </w:rPr>
            </w:pPr>
            <w:r>
              <w:rPr>
                <w:rFonts w:ascii="Times New Roman" w:hAnsi="Times New Roman"/>
                <w:sz w:val="24"/>
              </w:rPr>
              <w:t>Членове 259—262, член 263, таблици 1 и 2, член 264, параграфи 3 и 4 и член 266 от Регламент (ЕС) № 575/2013</w:t>
            </w:r>
          </w:p>
        </w:tc>
      </w:tr>
      <w:tr w:rsidR="00C55547" w:rsidRPr="002D60D7" w14:paraId="495D2FD0" w14:textId="77777777" w:rsidTr="00E10B85">
        <w:tc>
          <w:tcPr>
            <w:tcW w:w="1016" w:type="dxa"/>
          </w:tcPr>
          <w:p w14:paraId="295B01D9" w14:textId="77777777" w:rsidR="00C55547" w:rsidRPr="002D60D7" w:rsidRDefault="002F79EA" w:rsidP="004C445F">
            <w:pPr>
              <w:suppressAutoHyphens/>
              <w:rPr>
                <w:rFonts w:ascii="Times New Roman" w:hAnsi="Times New Roman"/>
                <w:sz w:val="24"/>
              </w:rPr>
            </w:pPr>
            <w:r>
              <w:rPr>
                <w:rFonts w:ascii="Times New Roman" w:hAnsi="Times New Roman"/>
                <w:sz w:val="24"/>
              </w:rPr>
              <w:t>0402—0406</w:t>
            </w:r>
          </w:p>
        </w:tc>
        <w:tc>
          <w:tcPr>
            <w:tcW w:w="7874" w:type="dxa"/>
          </w:tcPr>
          <w:p w14:paraId="23629FA6" w14:textId="77777777" w:rsidR="00C55547" w:rsidRPr="002D60D7" w:rsidRDefault="00543964"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РАЗБИВКА НА НЕТНИТЕ ПОЗИЦИИ ПО ПОДХОДИ</w:t>
            </w:r>
          </w:p>
          <w:p w14:paraId="19937787" w14:textId="465ADE79" w:rsidR="00C55547" w:rsidRPr="002D60D7" w:rsidRDefault="00C55547"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Text"/>
                <w:rFonts w:ascii="Times New Roman" w:hAnsi="Times New Roman"/>
                <w:sz w:val="24"/>
              </w:rPr>
              <w:t>Член 254</w:t>
            </w:r>
            <w:r>
              <w:rPr>
                <w:rFonts w:ascii="Times New Roman" w:hAnsi="Times New Roman"/>
                <w:sz w:val="24"/>
              </w:rPr>
              <w:t xml:space="preserve"> от Регламент (ЕС) № 575/2013</w:t>
            </w:r>
            <w:r>
              <w:rPr>
                <w:rStyle w:val="InstructionsTabelleText"/>
                <w:rFonts w:ascii="Times New Roman" w:hAnsi="Times New Roman"/>
                <w:sz w:val="24"/>
              </w:rPr>
              <w:t xml:space="preserve"> </w:t>
            </w:r>
          </w:p>
        </w:tc>
      </w:tr>
      <w:tr w:rsidR="00C55547" w:rsidRPr="002D60D7" w14:paraId="18FE6247" w14:textId="77777777" w:rsidTr="00E10B85">
        <w:tc>
          <w:tcPr>
            <w:tcW w:w="1016" w:type="dxa"/>
          </w:tcPr>
          <w:p w14:paraId="17001A21" w14:textId="77777777" w:rsidR="00C55547" w:rsidRPr="002D60D7" w:rsidRDefault="002F79EA" w:rsidP="004C445F">
            <w:pPr>
              <w:suppressAutoHyphens/>
              <w:rPr>
                <w:rFonts w:ascii="Times New Roman" w:hAnsi="Times New Roman"/>
                <w:sz w:val="24"/>
              </w:rPr>
            </w:pPr>
            <w:r>
              <w:rPr>
                <w:rFonts w:ascii="Times New Roman" w:hAnsi="Times New Roman"/>
                <w:sz w:val="24"/>
              </w:rPr>
              <w:t>0402</w:t>
            </w:r>
          </w:p>
        </w:tc>
        <w:tc>
          <w:tcPr>
            <w:tcW w:w="7874" w:type="dxa"/>
          </w:tcPr>
          <w:p w14:paraId="79F7161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1718443C" w14:textId="27159510"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Членове 259 и 260</w:t>
            </w:r>
            <w:r>
              <w:rPr>
                <w:rFonts w:ascii="Times New Roman" w:hAnsi="Times New Roman"/>
                <w:sz w:val="24"/>
              </w:rPr>
              <w:t xml:space="preserve"> от Регламент (ЕС) № 575/2013</w:t>
            </w:r>
          </w:p>
        </w:tc>
      </w:tr>
      <w:tr w:rsidR="00C55547" w:rsidRPr="002D60D7" w14:paraId="35656008" w14:textId="77777777" w:rsidTr="00E10B85">
        <w:tc>
          <w:tcPr>
            <w:tcW w:w="1016" w:type="dxa"/>
          </w:tcPr>
          <w:p w14:paraId="720D0546" w14:textId="77777777" w:rsidR="00C55547" w:rsidRPr="002D60D7" w:rsidRDefault="002F79EA" w:rsidP="004C445F">
            <w:pPr>
              <w:suppressAutoHyphens/>
              <w:rPr>
                <w:rFonts w:ascii="Times New Roman" w:hAnsi="Times New Roman"/>
                <w:sz w:val="24"/>
              </w:rPr>
            </w:pPr>
            <w:r>
              <w:rPr>
                <w:rFonts w:ascii="Times New Roman" w:hAnsi="Times New Roman"/>
                <w:sz w:val="24"/>
              </w:rPr>
              <w:t>0403</w:t>
            </w:r>
          </w:p>
        </w:tc>
        <w:tc>
          <w:tcPr>
            <w:tcW w:w="7874" w:type="dxa"/>
          </w:tcPr>
          <w:p w14:paraId="789033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4F095DEE" w14:textId="02044DC6"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Членове 261 и 262</w:t>
            </w:r>
            <w:r>
              <w:rPr>
                <w:rFonts w:ascii="Times New Roman" w:hAnsi="Times New Roman"/>
                <w:sz w:val="24"/>
              </w:rPr>
              <w:t xml:space="preserve"> от Регламент (ЕС) № 575/2013</w:t>
            </w:r>
          </w:p>
        </w:tc>
      </w:tr>
      <w:tr w:rsidR="00C55547" w:rsidRPr="002D60D7" w14:paraId="7B54B7CF" w14:textId="77777777" w:rsidTr="00E10B85">
        <w:tc>
          <w:tcPr>
            <w:tcW w:w="1016" w:type="dxa"/>
          </w:tcPr>
          <w:p w14:paraId="0D21F451" w14:textId="77777777" w:rsidR="00C55547" w:rsidRPr="002D60D7" w:rsidRDefault="002F79EA" w:rsidP="004C445F">
            <w:pPr>
              <w:suppressAutoHyphens/>
              <w:rPr>
                <w:rFonts w:ascii="Times New Roman" w:hAnsi="Times New Roman"/>
                <w:sz w:val="24"/>
              </w:rPr>
            </w:pPr>
            <w:r>
              <w:rPr>
                <w:rFonts w:ascii="Times New Roman" w:hAnsi="Times New Roman"/>
                <w:sz w:val="24"/>
              </w:rPr>
              <w:t>0404</w:t>
            </w:r>
          </w:p>
        </w:tc>
        <w:tc>
          <w:tcPr>
            <w:tcW w:w="7874" w:type="dxa"/>
          </w:tcPr>
          <w:p w14:paraId="6AA67FFF"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108938CD" w14:textId="7A2858ED"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Членове 263 и 264</w:t>
            </w:r>
            <w:r>
              <w:rPr>
                <w:rFonts w:ascii="Times New Roman" w:hAnsi="Times New Roman"/>
                <w:sz w:val="24"/>
              </w:rPr>
              <w:t xml:space="preserve"> от Регламент (ЕС) № 575/2013</w:t>
            </w:r>
          </w:p>
        </w:tc>
      </w:tr>
      <w:tr w:rsidR="00C55547" w:rsidRPr="002D60D7" w14:paraId="7979A32D" w14:textId="77777777" w:rsidTr="00E10B85">
        <w:tc>
          <w:tcPr>
            <w:tcW w:w="1016" w:type="dxa"/>
          </w:tcPr>
          <w:p w14:paraId="7C1C67E6" w14:textId="77777777" w:rsidR="00C55547" w:rsidRPr="002D60D7" w:rsidRDefault="002F79EA" w:rsidP="004C445F">
            <w:pPr>
              <w:suppressAutoHyphens/>
              <w:rPr>
                <w:rFonts w:ascii="Times New Roman" w:hAnsi="Times New Roman"/>
                <w:sz w:val="24"/>
              </w:rPr>
            </w:pPr>
            <w:r>
              <w:rPr>
                <w:rFonts w:ascii="Times New Roman" w:hAnsi="Times New Roman"/>
                <w:sz w:val="24"/>
              </w:rPr>
              <w:t>0405</w:t>
            </w:r>
          </w:p>
        </w:tc>
        <w:tc>
          <w:tcPr>
            <w:tcW w:w="7874" w:type="dxa"/>
          </w:tcPr>
          <w:p w14:paraId="68CACB61"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ПОДХОД НА ВЪТРЕШНАТА ОЦЕНКА</w:t>
            </w:r>
          </w:p>
          <w:p w14:paraId="46E92693" w14:textId="2A1B6CC7"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Членове 254 и 265 и член 266, параграф 5</w:t>
            </w:r>
            <w:r>
              <w:rPr>
                <w:rFonts w:ascii="Times New Roman" w:hAnsi="Times New Roman"/>
                <w:sz w:val="24"/>
              </w:rPr>
              <w:t xml:space="preserve"> от Регламент (ЕС) № 575/2013</w:t>
            </w:r>
          </w:p>
        </w:tc>
      </w:tr>
      <w:tr w:rsidR="00A97C62" w:rsidRPr="002D60D7" w14:paraId="412C0D2A" w14:textId="77777777" w:rsidTr="00E10B85">
        <w:tc>
          <w:tcPr>
            <w:tcW w:w="1016" w:type="dxa"/>
          </w:tcPr>
          <w:p w14:paraId="184EAC6C" w14:textId="26696219" w:rsidR="00A97C62" w:rsidRPr="002D60D7" w:rsidRDefault="00A97C62" w:rsidP="004C445F">
            <w:pPr>
              <w:suppressAutoHyphens/>
              <w:rPr>
                <w:rFonts w:ascii="Times New Roman" w:hAnsi="Times New Roman"/>
                <w:sz w:val="24"/>
              </w:rPr>
            </w:pPr>
            <w:r>
              <w:rPr>
                <w:rFonts w:ascii="Times New Roman" w:hAnsi="Times New Roman"/>
                <w:sz w:val="24"/>
              </w:rPr>
              <w:t>0900</w:t>
            </w:r>
          </w:p>
        </w:tc>
        <w:tc>
          <w:tcPr>
            <w:tcW w:w="7874" w:type="dxa"/>
          </w:tcPr>
          <w:p w14:paraId="33E51780" w14:textId="77777777" w:rsidR="00A97C62" w:rsidRPr="002D60D7" w:rsidRDefault="00A97C62" w:rsidP="004C445F">
            <w:pPr>
              <w:suppressAutoHyphens/>
              <w:spacing w:before="0" w:after="0"/>
              <w:jc w:val="left"/>
              <w:rPr>
                <w:rFonts w:ascii="Times New Roman" w:hAnsi="Times New Roman"/>
                <w:b/>
                <w:sz w:val="24"/>
                <w:u w:val="single"/>
              </w:rPr>
            </w:pPr>
            <w:r>
              <w:rPr>
                <w:rFonts w:ascii="Times New Roman" w:hAnsi="Times New Roman"/>
                <w:b/>
                <w:sz w:val="24"/>
                <w:u w:val="single"/>
              </w:rPr>
              <w:t>СПЕЦИФИЧНО ТРЕТИРАНЕ НА ПЪРВОСТЕПЕННИТЕ ТРАНШОВЕ ПО КВАЛИФИЦИРАНИ СЕКЮРИТИЗАЦИИ НА НЕОБСЛУЖВАНИ ЕКСПОЗИЦИИ</w:t>
            </w:r>
          </w:p>
          <w:p w14:paraId="1D397AE3" w14:textId="76C348BD" w:rsidR="00A97C62" w:rsidRPr="002D60D7" w:rsidRDefault="00A97C62" w:rsidP="004C445F">
            <w:pPr>
              <w:suppressAutoHyphens/>
              <w:autoSpaceDE w:val="0"/>
              <w:autoSpaceDN w:val="0"/>
              <w:adjustRightInd w:val="0"/>
              <w:jc w:val="left"/>
              <w:rPr>
                <w:rFonts w:ascii="Times New Roman" w:hAnsi="Times New Roman"/>
                <w:b/>
                <w:bCs/>
                <w:sz w:val="24"/>
                <w:u w:val="single"/>
              </w:rPr>
            </w:pPr>
            <w:r>
              <w:rPr>
                <w:rFonts w:ascii="Times New Roman" w:hAnsi="Times New Roman"/>
                <w:sz w:val="24"/>
              </w:rPr>
              <w:t xml:space="preserve">Член </w:t>
            </w:r>
            <w:r>
              <w:rPr>
                <w:rStyle w:val="InstructionsTabelleText"/>
                <w:rFonts w:ascii="Times New Roman" w:hAnsi="Times New Roman"/>
                <w:sz w:val="24"/>
              </w:rPr>
              <w:t>269a</w:t>
            </w:r>
            <w:r>
              <w:rPr>
                <w:rFonts w:ascii="Times New Roman" w:hAnsi="Times New Roman"/>
                <w:sz w:val="24"/>
              </w:rPr>
              <w:t>, параграф 3 от Регламент (ЕС) № 575/2013</w:t>
            </w:r>
          </w:p>
        </w:tc>
      </w:tr>
      <w:tr w:rsidR="00C55547" w:rsidRPr="002D60D7" w14:paraId="5C0D49CC" w14:textId="77777777" w:rsidTr="00E10B85">
        <w:tc>
          <w:tcPr>
            <w:tcW w:w="1016" w:type="dxa"/>
          </w:tcPr>
          <w:p w14:paraId="4A75E404" w14:textId="77777777" w:rsidR="00C55547" w:rsidRPr="002D60D7" w:rsidRDefault="002F79EA" w:rsidP="004C445F">
            <w:pPr>
              <w:suppressAutoHyphens/>
              <w:rPr>
                <w:rFonts w:ascii="Times New Roman" w:hAnsi="Times New Roman"/>
                <w:sz w:val="24"/>
              </w:rPr>
            </w:pPr>
            <w:r>
              <w:rPr>
                <w:rFonts w:ascii="Times New Roman" w:hAnsi="Times New Roman"/>
                <w:sz w:val="24"/>
              </w:rPr>
              <w:t>0406</w:t>
            </w:r>
          </w:p>
        </w:tc>
        <w:tc>
          <w:tcPr>
            <w:tcW w:w="7874" w:type="dxa"/>
          </w:tcPr>
          <w:p w14:paraId="27B9523C" w14:textId="26593451"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ДРУГИ (рисково тегло = 1 250</w:t>
            </w:r>
            <w:r>
              <w:t> </w:t>
            </w:r>
            <w:r>
              <w:rPr>
                <w:rFonts w:ascii="Times New Roman" w:hAnsi="Times New Roman"/>
                <w:b/>
                <w:sz w:val="24"/>
                <w:u w:val="single"/>
              </w:rPr>
              <w:t>%)</w:t>
            </w:r>
          </w:p>
          <w:p w14:paraId="0B94870A" w14:textId="0A4BBAC5"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lastRenderedPageBreak/>
              <w:t>Член 254, параграф 7</w:t>
            </w:r>
            <w:r>
              <w:rPr>
                <w:rFonts w:ascii="Times New Roman" w:hAnsi="Times New Roman"/>
                <w:sz w:val="24"/>
              </w:rPr>
              <w:t xml:space="preserve"> от Регламент (ЕС) № 575/2013</w:t>
            </w:r>
          </w:p>
        </w:tc>
      </w:tr>
      <w:tr w:rsidR="00C55547" w:rsidRPr="002D60D7" w14:paraId="16A48520" w14:textId="77777777" w:rsidTr="00E10B85">
        <w:tc>
          <w:tcPr>
            <w:tcW w:w="1016" w:type="dxa"/>
          </w:tcPr>
          <w:p w14:paraId="04D4F5AC" w14:textId="77777777" w:rsidR="00C55547" w:rsidRPr="002D60D7" w:rsidRDefault="002F79EA" w:rsidP="004C445F">
            <w:pPr>
              <w:suppressAutoHyphens/>
              <w:rPr>
                <w:rFonts w:ascii="Times New Roman" w:hAnsi="Times New Roman"/>
                <w:sz w:val="24"/>
              </w:rPr>
            </w:pPr>
            <w:r>
              <w:rPr>
                <w:rFonts w:ascii="Times New Roman" w:hAnsi="Times New Roman"/>
                <w:sz w:val="24"/>
              </w:rPr>
              <w:lastRenderedPageBreak/>
              <w:t>0410—0420</w:t>
            </w:r>
          </w:p>
        </w:tc>
        <w:tc>
          <w:tcPr>
            <w:tcW w:w="7874" w:type="dxa"/>
          </w:tcPr>
          <w:p w14:paraId="78E183CC"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ПРЕДИ ОГРАНИЧАВАНЕТО — ПРЕТЕГЛЕНИ НЕТНИ ДЪЛГИ/КЪСИ ПОЗИЦИИ</w:t>
            </w:r>
          </w:p>
          <w:p w14:paraId="7E8A31C6" w14:textId="7928DA0B" w:rsidR="00C55547" w:rsidRPr="002D60D7" w:rsidRDefault="00C55547" w:rsidP="004C445F">
            <w:pPr>
              <w:suppressAutoHyphens/>
              <w:rPr>
                <w:rFonts w:ascii="Times New Roman" w:hAnsi="Times New Roman"/>
                <w:sz w:val="24"/>
              </w:rPr>
            </w:pPr>
            <w:r>
              <w:rPr>
                <w:rFonts w:ascii="Times New Roman" w:hAnsi="Times New Roman"/>
                <w:sz w:val="24"/>
              </w:rPr>
              <w:t xml:space="preserve">Член 338 от Регламент (ЕС) № 575/2013, без да се взима предвид свободата на преценка по член 335 от същия регламент </w:t>
            </w:r>
          </w:p>
        </w:tc>
      </w:tr>
      <w:tr w:rsidR="00C55547" w:rsidRPr="002D60D7" w14:paraId="566ACCB3" w14:textId="77777777" w:rsidTr="00E10B85">
        <w:tc>
          <w:tcPr>
            <w:tcW w:w="1016" w:type="dxa"/>
          </w:tcPr>
          <w:p w14:paraId="4093CA68" w14:textId="77777777" w:rsidR="00C55547" w:rsidRPr="002D60D7" w:rsidRDefault="002F79EA" w:rsidP="004C445F">
            <w:pPr>
              <w:suppressAutoHyphens/>
              <w:rPr>
                <w:rFonts w:ascii="Times New Roman" w:hAnsi="Times New Roman"/>
                <w:sz w:val="24"/>
              </w:rPr>
            </w:pPr>
            <w:r>
              <w:rPr>
                <w:rFonts w:ascii="Times New Roman" w:hAnsi="Times New Roman"/>
                <w:sz w:val="24"/>
              </w:rPr>
              <w:t>0430—0440</w:t>
            </w:r>
          </w:p>
        </w:tc>
        <w:tc>
          <w:tcPr>
            <w:tcW w:w="7874" w:type="dxa"/>
          </w:tcPr>
          <w:p w14:paraId="00C8D0F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СЛЕД ОГРАНИЧАВАНЕТО — ПРЕТЕГЛЕНИ НЕТНИ ДЪЛГИ/КЪСИ ПОЗИЦИИ</w:t>
            </w:r>
          </w:p>
          <w:p w14:paraId="3304B399" w14:textId="2F41CA57" w:rsidR="00C55547" w:rsidRPr="002D60D7" w:rsidRDefault="00C55547" w:rsidP="004C445F">
            <w:pPr>
              <w:suppressAutoHyphens/>
              <w:rPr>
                <w:rFonts w:ascii="Times New Roman" w:hAnsi="Times New Roman"/>
                <w:sz w:val="24"/>
              </w:rPr>
            </w:pPr>
            <w:r>
              <w:rPr>
                <w:rFonts w:ascii="Times New Roman" w:hAnsi="Times New Roman"/>
                <w:sz w:val="24"/>
              </w:rPr>
              <w:t xml:space="preserve">Член 338 от Регламент (ЕС) № 575/2013, като се взима предвид свободата на преценка по член 335 от същия регламент </w:t>
            </w:r>
          </w:p>
        </w:tc>
      </w:tr>
      <w:tr w:rsidR="00C55547" w:rsidRPr="002D60D7" w14:paraId="23063B74" w14:textId="77777777" w:rsidTr="00E10B85">
        <w:tc>
          <w:tcPr>
            <w:tcW w:w="1016" w:type="dxa"/>
          </w:tcPr>
          <w:p w14:paraId="5A3BC562" w14:textId="77777777" w:rsidR="00C55547" w:rsidRPr="002D60D7" w:rsidRDefault="002F79EA" w:rsidP="004C445F">
            <w:pPr>
              <w:suppressAutoHyphens/>
              <w:rPr>
                <w:rFonts w:ascii="Times New Roman" w:hAnsi="Times New Roman"/>
                <w:sz w:val="24"/>
              </w:rPr>
            </w:pPr>
            <w:r>
              <w:rPr>
                <w:rFonts w:ascii="Times New Roman" w:hAnsi="Times New Roman"/>
                <w:sz w:val="24"/>
              </w:rPr>
              <w:t>0450</w:t>
            </w:r>
          </w:p>
        </w:tc>
        <w:tc>
          <w:tcPr>
            <w:tcW w:w="7874" w:type="dxa"/>
          </w:tcPr>
          <w:p w14:paraId="4210145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ОБЩО КАПИТАЛОВИ ИЗИСКВАНИЯ</w:t>
            </w:r>
          </w:p>
          <w:p w14:paraId="58A6824C" w14:textId="7AE8FACA" w:rsidR="00733F21" w:rsidRPr="002D60D7" w:rsidRDefault="00C55547" w:rsidP="004C445F">
            <w:pPr>
              <w:suppressAutoHyphens/>
              <w:rPr>
                <w:rFonts w:ascii="Times New Roman" w:hAnsi="Times New Roman"/>
                <w:sz w:val="24"/>
              </w:rPr>
            </w:pPr>
            <w:r>
              <w:rPr>
                <w:rFonts w:ascii="Times New Roman" w:hAnsi="Times New Roman"/>
                <w:sz w:val="24"/>
              </w:rPr>
              <w:t>Капиталовото изискване се определя като по-голямото от следните:</w:t>
            </w:r>
          </w:p>
          <w:p w14:paraId="6F610485" w14:textId="33CC9A69" w:rsidR="00733F21" w:rsidRPr="002D60D7" w:rsidRDefault="00A92865" w:rsidP="004C445F">
            <w:pPr>
              <w:suppressAutoHyphens/>
              <w:rPr>
                <w:rFonts w:ascii="Times New Roman" w:hAnsi="Times New Roman"/>
                <w:sz w:val="24"/>
              </w:rPr>
            </w:pPr>
            <w:r>
              <w:rPr>
                <w:rFonts w:ascii="Times New Roman" w:hAnsi="Times New Roman"/>
                <w:sz w:val="24"/>
              </w:rPr>
              <w:t>а) изискването за специфичен риск, което би се прилагало само за нетните дълги позиции (колона 0430);</w:t>
            </w:r>
          </w:p>
          <w:p w14:paraId="7DEA5D32" w14:textId="370772D1" w:rsidR="00C55547" w:rsidRPr="002D60D7" w:rsidRDefault="00A92865" w:rsidP="004C445F">
            <w:pPr>
              <w:suppressAutoHyphens/>
              <w:rPr>
                <w:rFonts w:ascii="Times New Roman" w:hAnsi="Times New Roman"/>
                <w:sz w:val="24"/>
              </w:rPr>
            </w:pPr>
            <w:r>
              <w:rPr>
                <w:rFonts w:ascii="Times New Roman" w:hAnsi="Times New Roman"/>
                <w:sz w:val="24"/>
              </w:rPr>
              <w:t>б) изискването за специфичен риск, което би се прилагало само за нетните къси позиции (колона 0440).</w:t>
            </w:r>
          </w:p>
        </w:tc>
      </w:tr>
      <w:tr w:rsidR="00A92865" w:rsidRPr="002D60D7" w14:paraId="17D4431B" w14:textId="77777777" w:rsidTr="00E10B85">
        <w:tc>
          <w:tcPr>
            <w:tcW w:w="1016" w:type="dxa"/>
          </w:tcPr>
          <w:p w14:paraId="3DE8C69F" w14:textId="77777777" w:rsidR="00A92865" w:rsidRPr="002D60D7" w:rsidRDefault="00A92865" w:rsidP="004C445F">
            <w:pPr>
              <w:suppressAutoHyphens/>
              <w:rPr>
                <w:rFonts w:ascii="Times New Roman" w:hAnsi="Times New Roman"/>
                <w:sz w:val="24"/>
              </w:rPr>
            </w:pPr>
          </w:p>
        </w:tc>
        <w:tc>
          <w:tcPr>
            <w:tcW w:w="7874" w:type="dxa"/>
          </w:tcPr>
          <w:p w14:paraId="26189336" w14:textId="77777777" w:rsidR="00A92865" w:rsidRPr="002D60D7" w:rsidRDefault="00A92865" w:rsidP="004C445F">
            <w:pPr>
              <w:suppressAutoHyphens/>
              <w:rPr>
                <w:rStyle w:val="InstructionsTabelleberschrift"/>
                <w:rFonts w:ascii="Times New Roman" w:hAnsi="Times New Roman"/>
                <w:sz w:val="24"/>
              </w:rPr>
            </w:pPr>
          </w:p>
        </w:tc>
      </w:tr>
    </w:tbl>
    <w:p w14:paraId="4123A762"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8056"/>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Редове</w:t>
            </w:r>
          </w:p>
        </w:tc>
      </w:tr>
      <w:tr w:rsidR="00C55547" w:rsidRPr="002D60D7" w14:paraId="51303CB0" w14:textId="77777777" w:rsidTr="00E10B85">
        <w:tc>
          <w:tcPr>
            <w:tcW w:w="1008" w:type="dxa"/>
          </w:tcPr>
          <w:p w14:paraId="4EF580E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8204" w:type="dxa"/>
          </w:tcPr>
          <w:p w14:paraId="3B5F07DE"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ОБЩО ЕКСПОЗИЦИИ</w:t>
            </w:r>
          </w:p>
          <w:p w14:paraId="47BDA358" w14:textId="43CE2ADE" w:rsidR="00C55547" w:rsidRPr="002D60D7" w:rsidRDefault="00C55547" w:rsidP="004C445F">
            <w:pPr>
              <w:suppressAutoHyphens/>
              <w:rPr>
                <w:rFonts w:ascii="Times New Roman" w:hAnsi="Times New Roman"/>
                <w:sz w:val="24"/>
              </w:rPr>
            </w:pPr>
            <w:r>
              <w:rPr>
                <w:rFonts w:ascii="Times New Roman" w:hAnsi="Times New Roman"/>
                <w:sz w:val="24"/>
              </w:rPr>
              <w:t>Общият размер на неуредените позиции (държани в портфейла за корелационно търгуване), докладвана от институциите, които имат роля на инициатор, инвеститор или спонсор.</w:t>
            </w:r>
          </w:p>
        </w:tc>
      </w:tr>
      <w:tr w:rsidR="00C55547" w:rsidRPr="002D60D7" w14:paraId="4F9E3B66" w14:textId="77777777" w:rsidTr="00E10B85">
        <w:tc>
          <w:tcPr>
            <w:tcW w:w="1008" w:type="dxa"/>
          </w:tcPr>
          <w:p w14:paraId="4294FDFC"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68E082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ИНИЦИАТОР</w:t>
            </w:r>
          </w:p>
          <w:p w14:paraId="07F7FC7F" w14:textId="691C5D11" w:rsidR="00C55547" w:rsidRPr="002D60D7" w:rsidRDefault="00C55547" w:rsidP="004C445F">
            <w:pPr>
              <w:suppressAutoHyphens/>
              <w:rPr>
                <w:rFonts w:ascii="Times New Roman" w:hAnsi="Times New Roman"/>
                <w:sz w:val="24"/>
              </w:rPr>
            </w:pPr>
            <w:r>
              <w:rPr>
                <w:rFonts w:ascii="Times New Roman" w:hAnsi="Times New Roman"/>
                <w:sz w:val="24"/>
              </w:rPr>
              <w:t xml:space="preserve">Член 4, параграф 1, точка 13 от Регламент (ЕС) № 575/2013 </w:t>
            </w:r>
          </w:p>
        </w:tc>
      </w:tr>
      <w:tr w:rsidR="00C55547" w:rsidRPr="002D60D7" w14:paraId="1113CFCE" w14:textId="77777777" w:rsidTr="00E10B85">
        <w:tc>
          <w:tcPr>
            <w:tcW w:w="1008" w:type="dxa"/>
          </w:tcPr>
          <w:p w14:paraId="045998C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0050—0070</w:t>
            </w:r>
          </w:p>
        </w:tc>
        <w:tc>
          <w:tcPr>
            <w:tcW w:w="8204" w:type="dxa"/>
          </w:tcPr>
          <w:p w14:paraId="7C4743F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ИНВЕСТИТОР</w:t>
            </w:r>
          </w:p>
          <w:p w14:paraId="5507389D" w14:textId="574F527A" w:rsidR="00C55547" w:rsidRPr="002D60D7" w:rsidRDefault="00C55547" w:rsidP="004C445F">
            <w:pPr>
              <w:suppressAutoHyphens/>
              <w:rPr>
                <w:rFonts w:ascii="Times New Roman" w:hAnsi="Times New Roman"/>
                <w:sz w:val="24"/>
              </w:rPr>
            </w:pPr>
            <w:r>
              <w:rPr>
                <w:rFonts w:ascii="Times New Roman" w:hAnsi="Times New Roman"/>
                <w:sz w:val="24"/>
              </w:rPr>
              <w:t>Кредитна институция, която държи секюритизиращи позиции в секюритизационна сделка, по отношение на които тя не е нито инициатор, нито спонсор, нито първоначален кредитор.</w:t>
            </w:r>
          </w:p>
        </w:tc>
      </w:tr>
      <w:tr w:rsidR="00C55547" w:rsidRPr="002D60D7" w14:paraId="3AE4557E" w14:textId="77777777" w:rsidTr="00E10B85">
        <w:tc>
          <w:tcPr>
            <w:tcW w:w="1008" w:type="dxa"/>
          </w:tcPr>
          <w:p w14:paraId="4017D3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0080—0100</w:t>
            </w:r>
          </w:p>
        </w:tc>
        <w:tc>
          <w:tcPr>
            <w:tcW w:w="8204" w:type="dxa"/>
          </w:tcPr>
          <w:p w14:paraId="6D18A74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СПОНСОР</w:t>
            </w:r>
          </w:p>
          <w:p w14:paraId="65D6B605" w14:textId="002B3FBA" w:rsidR="005C14B0" w:rsidRPr="002D60D7" w:rsidRDefault="00E64BFE" w:rsidP="004C445F">
            <w:pPr>
              <w:suppressAutoHyphens/>
              <w:rPr>
                <w:rFonts w:ascii="Times New Roman" w:hAnsi="Times New Roman"/>
                <w:sz w:val="24"/>
              </w:rPr>
            </w:pPr>
            <w:r>
              <w:rPr>
                <w:rFonts w:ascii="Times New Roman" w:hAnsi="Times New Roman"/>
                <w:sz w:val="24"/>
              </w:rPr>
              <w:t xml:space="preserve"> Член 4, параграф 1, точка 14 от Регламент (ЕС) № 575/2013 </w:t>
            </w:r>
          </w:p>
          <w:p w14:paraId="7911CCA2" w14:textId="77777777" w:rsidR="00C55547" w:rsidRPr="002D60D7" w:rsidRDefault="005F3BBE" w:rsidP="004C445F">
            <w:pPr>
              <w:suppressAutoHyphens/>
              <w:rPr>
                <w:rFonts w:ascii="Times New Roman" w:hAnsi="Times New Roman"/>
                <w:sz w:val="24"/>
              </w:rPr>
            </w:pPr>
            <w:r>
              <w:rPr>
                <w:rFonts w:ascii="Times New Roman" w:hAnsi="Times New Roman"/>
                <w:sz w:val="24"/>
              </w:rPr>
              <w:t>Спонсор, който секюритизира и собствените си активи, попълва в редовете на инициатора информацията относно собствените си секюритизирани активи.</w:t>
            </w:r>
          </w:p>
        </w:tc>
      </w:tr>
      <w:tr w:rsidR="00C55547" w:rsidRPr="002D60D7" w14:paraId="5A0251A3" w14:textId="77777777" w:rsidTr="00E10B85">
        <w:tc>
          <w:tcPr>
            <w:tcW w:w="1008" w:type="dxa"/>
          </w:tcPr>
          <w:p w14:paraId="64B09950"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0030, 0060 и 0090</w:t>
            </w:r>
          </w:p>
        </w:tc>
        <w:tc>
          <w:tcPr>
            <w:tcW w:w="8204" w:type="dxa"/>
          </w:tcPr>
          <w:p w14:paraId="65F68A65"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СЕКЮРИТИЗИРАЩИ ПОЗИЦИИ</w:t>
            </w:r>
          </w:p>
          <w:p w14:paraId="3E2839F4" w14:textId="5E373E76" w:rsidR="00C55547" w:rsidRPr="002D60D7" w:rsidRDefault="00C55547" w:rsidP="004C445F">
            <w:pPr>
              <w:suppressAutoHyphens/>
              <w:rPr>
                <w:rFonts w:ascii="Times New Roman" w:hAnsi="Times New Roman"/>
                <w:sz w:val="24"/>
              </w:rPr>
            </w:pPr>
            <w:r>
              <w:rPr>
                <w:rFonts w:ascii="Times New Roman" w:hAnsi="Times New Roman"/>
                <w:sz w:val="24"/>
              </w:rPr>
              <w:t>Портфейлът за корелационно търгуване се състои от секюритизации, кредитни деривати за n-то неизпълнение и евентуални други позиции за хеджиране, които изпълняват критериите в член 338, параграфи 2 и 3 от Регламент (ЕС) № 575/2013.</w:t>
            </w:r>
          </w:p>
          <w:p w14:paraId="284429BF" w14:textId="77777777" w:rsidR="00C55547" w:rsidRPr="002D60D7" w:rsidRDefault="00C55547" w:rsidP="004C445F">
            <w:pPr>
              <w:suppressAutoHyphens/>
              <w:rPr>
                <w:rFonts w:ascii="Times New Roman" w:hAnsi="Times New Roman"/>
                <w:sz w:val="24"/>
              </w:rPr>
            </w:pPr>
            <w:r>
              <w:rPr>
                <w:rFonts w:ascii="Times New Roman" w:hAnsi="Times New Roman"/>
                <w:sz w:val="24"/>
              </w:rPr>
              <w:t>Дериватите на секюритизиращите експозиции, осигуряващи пропорционален дял, както и позициите за хеджиране на портфейла за корелационно търгуване, се включват в реда „Други позиции в портфейла за корелационно търгуване“.</w:t>
            </w:r>
          </w:p>
        </w:tc>
      </w:tr>
      <w:tr w:rsidR="00C55547" w:rsidRPr="002D60D7" w14:paraId="310FE06B" w14:textId="77777777" w:rsidTr="00E10B85">
        <w:tc>
          <w:tcPr>
            <w:tcW w:w="1008" w:type="dxa"/>
          </w:tcPr>
          <w:p w14:paraId="2602BE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8204" w:type="dxa"/>
          </w:tcPr>
          <w:p w14:paraId="5251DCC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КРЕДИТНИ ДЕРИВАТИ ЗА N-ТО НЕИЗПЪЛНЕНИЕ</w:t>
            </w:r>
          </w:p>
          <w:p w14:paraId="298FC0AB" w14:textId="5115C116" w:rsidR="00C55547" w:rsidRPr="002D60D7" w:rsidRDefault="00C55547" w:rsidP="004C445F">
            <w:pPr>
              <w:suppressAutoHyphens/>
              <w:rPr>
                <w:rFonts w:ascii="Times New Roman" w:hAnsi="Times New Roman"/>
                <w:sz w:val="24"/>
              </w:rPr>
            </w:pPr>
            <w:r>
              <w:rPr>
                <w:rFonts w:ascii="Times New Roman" w:hAnsi="Times New Roman"/>
                <w:sz w:val="24"/>
              </w:rPr>
              <w:t>Тук се докладват кредитните деривати за n-то неизпълнение, които са хеджирани с кредитни деривати за n-то неизпълнение в съответствие с член 347 от Регламент (ЕС) № 575/2013.</w:t>
            </w:r>
          </w:p>
          <w:p w14:paraId="0ADF3C10" w14:textId="08643021" w:rsidR="00C55547" w:rsidRPr="002D60D7" w:rsidRDefault="00C55547" w:rsidP="004C445F">
            <w:pPr>
              <w:suppressAutoHyphens/>
              <w:rPr>
                <w:rFonts w:ascii="Times New Roman" w:hAnsi="Times New Roman"/>
                <w:sz w:val="24"/>
              </w:rPr>
            </w:pPr>
            <w:r>
              <w:rPr>
                <w:rFonts w:ascii="Times New Roman" w:hAnsi="Times New Roman"/>
                <w:sz w:val="24"/>
              </w:rPr>
              <w:t>Инициаторът, инвеститорът или спонсорът на позициите не са подходящи за кредитни деривати за n-то неизпълнение. Вследствие на това, за кредитните деривати за n-то неизпълнение не може да се направи разбивка, както за секюритизиращите позиции.</w:t>
            </w:r>
          </w:p>
        </w:tc>
      </w:tr>
      <w:tr w:rsidR="00C55547" w:rsidRPr="002D60D7" w14:paraId="3804EA7A" w14:textId="77777777" w:rsidTr="00E10B85">
        <w:tc>
          <w:tcPr>
            <w:tcW w:w="1008" w:type="dxa"/>
          </w:tcPr>
          <w:p w14:paraId="492141F6"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0100 и 0120</w:t>
            </w:r>
          </w:p>
        </w:tc>
        <w:tc>
          <w:tcPr>
            <w:tcW w:w="8204" w:type="dxa"/>
          </w:tcPr>
          <w:p w14:paraId="1BEC531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ДРУГИ ПОЗИЦИИ В ПОРТФЕЙЛА ЗА КОРЕЛАЦИОННО ТЪРГУВАНЕ</w:t>
            </w:r>
          </w:p>
          <w:p w14:paraId="543C28DD" w14:textId="77777777" w:rsidR="00C55547" w:rsidRPr="002D60D7" w:rsidRDefault="00C55547" w:rsidP="004C445F">
            <w:pPr>
              <w:suppressAutoHyphens/>
              <w:rPr>
                <w:rFonts w:ascii="Times New Roman" w:hAnsi="Times New Roman"/>
                <w:sz w:val="24"/>
              </w:rPr>
            </w:pPr>
            <w:r>
              <w:rPr>
                <w:rFonts w:ascii="Times New Roman" w:hAnsi="Times New Roman"/>
                <w:sz w:val="24"/>
              </w:rPr>
              <w:t xml:space="preserve">Включват се следните позиции: </w:t>
            </w:r>
          </w:p>
          <w:p w14:paraId="009DBFDC" w14:textId="71465A30" w:rsidR="002272E2"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дериватите на секюритизиращи експозиции, осигуряващи пропорционален дял, както и позиции за хеджиране на портфейла за корелационно търгуване;</w:t>
            </w:r>
          </w:p>
          <w:p w14:paraId="6225E087" w14:textId="0E1CE11C" w:rsidR="002272E2" w:rsidRPr="002D60D7" w:rsidRDefault="00C55547"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позициите от портфейла за корелационно търгуване, хеджирани с кредитни деривати в съответствие с член 346 от Регламент (ЕС) № 575/2013;</w:t>
            </w:r>
          </w:p>
          <w:p w14:paraId="37D9C26F" w14:textId="118835A5" w:rsidR="00C55547"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другите позиции, които отговарят на изискванията на член 338, параграф 3 от Регламент (ЕС) № 575/2013.</w:t>
            </w:r>
          </w:p>
        </w:tc>
      </w:tr>
    </w:tbl>
    <w:p w14:paraId="2FA40F1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0CB90CC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895888"/>
      <w:r>
        <w:rPr>
          <w:rFonts w:ascii="Times New Roman" w:hAnsi="Times New Roman"/>
          <w:sz w:val="24"/>
          <w:u w:val="none"/>
        </w:rPr>
        <w:t>5.</w:t>
      </w:r>
      <w:r>
        <w:tab/>
      </w:r>
      <w:r>
        <w:rPr>
          <w:rFonts w:ascii="Times New Roman" w:hAnsi="Times New Roman"/>
          <w:sz w:val="24"/>
        </w:rPr>
        <w:t>C 21.00 — Пазарен риск: Стандартизиран подход за риск във връзка с позициите в капиталови инструменти</w:t>
      </w:r>
      <w:bookmarkEnd w:id="94"/>
      <w:bookmarkEnd w:id="95"/>
      <w:bookmarkEnd w:id="96"/>
      <w:bookmarkEnd w:id="97"/>
      <w:bookmarkEnd w:id="98"/>
      <w:r>
        <w:rPr>
          <w:rFonts w:ascii="Times New Roman" w:hAnsi="Times New Roman"/>
          <w:sz w:val="24"/>
        </w:rPr>
        <w:t xml:space="preserve"> (MKR SA EQU)</w:t>
      </w:r>
      <w:bookmarkEnd w:id="99"/>
      <w:bookmarkEnd w:id="100"/>
    </w:p>
    <w:p w14:paraId="28B3FACA" w14:textId="344FF54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895889"/>
      <w:r>
        <w:rPr>
          <w:rFonts w:ascii="Times New Roman" w:hAnsi="Times New Roman"/>
          <w:sz w:val="24"/>
          <w:u w:val="none"/>
        </w:rPr>
        <w:t>5.1.</w:t>
      </w:r>
      <w:r>
        <w:tab/>
      </w:r>
      <w:r>
        <w:rPr>
          <w:rFonts w:ascii="Times New Roman" w:hAnsi="Times New Roman"/>
          <w:sz w:val="24"/>
        </w:rPr>
        <w:t>Общи бележки</w:t>
      </w:r>
      <w:bookmarkEnd w:id="101"/>
      <w:bookmarkEnd w:id="102"/>
      <w:bookmarkEnd w:id="103"/>
      <w:bookmarkEnd w:id="104"/>
      <w:bookmarkEnd w:id="105"/>
      <w:bookmarkEnd w:id="106"/>
      <w:bookmarkEnd w:id="107"/>
    </w:p>
    <w:p w14:paraId="1BA8EF6D" w14:textId="368B1B75" w:rsidR="000B0B09" w:rsidRPr="002D60D7" w:rsidRDefault="000B0B09" w:rsidP="00E172EA">
      <w:pPr>
        <w:pStyle w:val="InstructionsText2"/>
        <w:numPr>
          <w:ilvl w:val="0"/>
          <w:numId w:val="29"/>
        </w:numPr>
        <w:suppressAutoHyphens/>
      </w:pPr>
      <w:r>
        <w:t>С този образец се изисква информация за позициите и съответните капиталови изисквания с оглед на риска при позициите в капиталови инструменти, държани в търговския портфейл и третирани по стандартизирания подход.</w:t>
      </w:r>
    </w:p>
    <w:p w14:paraId="3AF5EC7C" w14:textId="570FEDBA" w:rsidR="00B828CC" w:rsidRPr="002D60D7" w:rsidRDefault="000B0B09" w:rsidP="00E172EA">
      <w:pPr>
        <w:pStyle w:val="InstructionsText2"/>
        <w:numPr>
          <w:ilvl w:val="0"/>
          <w:numId w:val="29"/>
        </w:numPr>
        <w:suppressAutoHyphens/>
      </w:pPr>
      <w:r>
        <w:t xml:space="preserve">Образецът се попълва отделно за „Total“ („Общо“) и за предварително определен списък на следните пазари: България, Чешката Република, Дания, Египет, Унгария, Исландия, Лихтенщайн, Норвегия, Полша, Румъния, Швеция, Обединеното кралство, Албания, Япония, Бившата </w:t>
      </w:r>
      <w:r>
        <w:lastRenderedPageBreak/>
        <w:t>югославска република Македония, Руската федерация, Сърбия, Швейцария, Турция, Украйна, САЩ, еврозоната и един допълнителен образец за всички останали пазари. Във връзка с това изискване за докладване терминът „пазар“ се разбира като „държава“ (с изключение на държавите от Европейското икономическо пространство, вж. Делегиран регламент (ЕС) № 525/2014 на Комисията</w:t>
      </w:r>
      <w:r>
        <w:rPr>
          <w:rStyle w:val="FootnoteReference"/>
        </w:rPr>
        <w:footnoteReference w:id="2"/>
      </w:r>
      <w:r>
        <w:t>).</w:t>
      </w:r>
    </w:p>
    <w:p w14:paraId="077E1A41" w14:textId="7E9E2DA4"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895890"/>
      <w:r>
        <w:rPr>
          <w:rFonts w:ascii="Times New Roman" w:hAnsi="Times New Roman"/>
          <w:sz w:val="24"/>
          <w:u w:val="none"/>
        </w:rPr>
        <w:t>5.2.</w:t>
      </w:r>
      <w:r>
        <w:tab/>
      </w:r>
      <w:r>
        <w:rPr>
          <w:rFonts w:ascii="Times New Roman" w:hAnsi="Times New Roman"/>
          <w:sz w:val="24"/>
        </w:rPr>
        <w:t>Указания за конкретни позиции</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Колони</w:t>
            </w:r>
          </w:p>
        </w:tc>
      </w:tr>
      <w:tr w:rsidR="000B0B09" w:rsidRPr="002D60D7" w14:paraId="1B6DCA2D" w14:textId="77777777" w:rsidTr="00672D2A">
        <w:tc>
          <w:tcPr>
            <w:tcW w:w="988" w:type="dxa"/>
          </w:tcPr>
          <w:p w14:paraId="2E10DD0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7FBE31B"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b/>
                <w:sz w:val="24"/>
                <w:u w:val="single"/>
              </w:rPr>
              <w:t>ВСИЧКИ ПОЗИЦИИ (ДЪЛГИ И КЪСИ)</w:t>
            </w:r>
          </w:p>
          <w:p w14:paraId="754457ED" w14:textId="6411188D"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Член 102 и член 105, параграф 1 от Регламент (ЕС) № 575/2013. </w:t>
            </w:r>
          </w:p>
          <w:p w14:paraId="59EE061F" w14:textId="31066C7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Това са брутните позиции, които не са нетирани по инструменти и които обаче, в съответствие с член 345, параграф 1, първа алинея, второ изречение от посочения регламент, не включват поетите позиции, записани или препоети от трети лица. </w:t>
            </w:r>
          </w:p>
        </w:tc>
      </w:tr>
      <w:tr w:rsidR="000B0B09" w:rsidRPr="002D60D7" w14:paraId="518A8218" w14:textId="77777777" w:rsidTr="00672D2A">
        <w:tc>
          <w:tcPr>
            <w:tcW w:w="988" w:type="dxa"/>
          </w:tcPr>
          <w:p w14:paraId="5DF1DDF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4" w:type="dxa"/>
          </w:tcPr>
          <w:p w14:paraId="22DC25D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НЕТНИ ПОЗИЦИИ (ДЪЛГИ И КЪСИ)</w:t>
            </w:r>
          </w:p>
          <w:p w14:paraId="72A57BC7" w14:textId="1B6E0BBC"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Членове 327, 329, 332, 341 и 345 от Регламент (ЕС) № 575/2013 </w:t>
            </w:r>
          </w:p>
        </w:tc>
      </w:tr>
      <w:tr w:rsidR="000B0B09" w:rsidRPr="002D60D7" w14:paraId="1ED40A34" w14:textId="77777777" w:rsidTr="00672D2A">
        <w:tc>
          <w:tcPr>
            <w:tcW w:w="988" w:type="dxa"/>
          </w:tcPr>
          <w:p w14:paraId="49ADB5D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262B96" w14:textId="77777777" w:rsidR="000B0B09" w:rsidRPr="002D60D7" w:rsidRDefault="000B0B09" w:rsidP="004C445F">
            <w:pPr>
              <w:tabs>
                <w:tab w:val="left" w:pos="579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ПОЗИЦИИ, ПОДЛЕЖАЩИ НА КАПИТАЛОВИ ИЗИСКВАНИЯ</w:t>
            </w:r>
          </w:p>
          <w:p w14:paraId="5B62E698" w14:textId="1711E988"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Това са нетните позиции, които съгласно изложените в трета част, дял IV, глава 2 от Регламент (ЕС) № 575/2013 подходи подлежат на капиталови изисквания. Капиталовите изисквания се изчисляват поотделно за всеки национален пазар. По силата на член 344, параграф 4, второ изречение от Регламент (ЕС) № 575/2013, в тази колона не се включват позициите във фючърси върху борсови индекси.</w:t>
            </w:r>
          </w:p>
          <w:p w14:paraId="7C352B8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3258053C"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КАПИТАЛОВИ ИЗИСКВАНИЯ</w:t>
            </w:r>
          </w:p>
          <w:p w14:paraId="75CDA27D" w14:textId="087571B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Капиталовото изискване в съответствие с част трета, дял IV, глава 2 от Регламент (ЕС) № 575/2013 за всички съответни позиции.</w:t>
            </w:r>
          </w:p>
          <w:p w14:paraId="6CDF917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1A727463"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ОБЩ РАЗМЕР НА РИСКОВАТА ЕКСПОЗИЦИЯ</w:t>
            </w:r>
          </w:p>
          <w:p w14:paraId="33E7C378" w14:textId="4FC9A55B" w:rsidR="00E64BFE" w:rsidRPr="002D60D7" w:rsidRDefault="000B0B09" w:rsidP="004C445F">
            <w:pPr>
              <w:tabs>
                <w:tab w:val="left" w:pos="1665"/>
              </w:tabs>
              <w:suppressAutoHyphens/>
              <w:autoSpaceDE w:val="0"/>
              <w:autoSpaceDN w:val="0"/>
              <w:adjustRightInd w:val="0"/>
              <w:spacing w:after="0"/>
              <w:rPr>
                <w:rFonts w:ascii="Times New Roman" w:hAnsi="Times New Roman"/>
                <w:sz w:val="24"/>
              </w:rPr>
            </w:pPr>
            <w:r>
              <w:rPr>
                <w:rFonts w:ascii="Times New Roman" w:hAnsi="Times New Roman"/>
                <w:sz w:val="24"/>
              </w:rPr>
              <w:t xml:space="preserve">Член 92, параграф 6, буква б) от Регламент (ЕС) № 575/2013. </w:t>
            </w:r>
          </w:p>
          <w:p w14:paraId="5D42B3B3" w14:textId="77777777"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 xml:space="preserve">Произведението на капиталовите изисквания и 12,5. </w:t>
            </w:r>
          </w:p>
        </w:tc>
      </w:tr>
    </w:tbl>
    <w:p w14:paraId="62FB026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8056"/>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Редове</w:t>
            </w:r>
          </w:p>
        </w:tc>
      </w:tr>
      <w:tr w:rsidR="000B0B09" w:rsidRPr="002D60D7" w14:paraId="7546B05C" w14:textId="77777777" w:rsidTr="00672D2A">
        <w:tc>
          <w:tcPr>
            <w:tcW w:w="1008" w:type="dxa"/>
          </w:tcPr>
          <w:p w14:paraId="7BE875B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0010—0130</w:t>
            </w:r>
          </w:p>
        </w:tc>
        <w:tc>
          <w:tcPr>
            <w:tcW w:w="8204" w:type="dxa"/>
          </w:tcPr>
          <w:p w14:paraId="1FF7DE1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КАПИТАЛОВИ ИНСТРУМЕНТИ В ТЪРГОВСКИЯ ПОРТФЕЙЛ</w:t>
            </w:r>
          </w:p>
          <w:p w14:paraId="030F1935" w14:textId="785DC9DE"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lastRenderedPageBreak/>
              <w:t>Капиталовите изисквания за позиционен риск съгласно посоченото в член 92, параграф 3, буква б), подточка i) от Регламент (ЕС) № 575/2013 и част трета, дял IV, глава 2, раздел 3 от същия регламент.</w:t>
            </w:r>
          </w:p>
        </w:tc>
      </w:tr>
      <w:tr w:rsidR="000B0B09" w:rsidRPr="002D60D7" w14:paraId="06FCC7F1" w14:textId="77777777" w:rsidTr="00672D2A">
        <w:tc>
          <w:tcPr>
            <w:tcW w:w="1008" w:type="dxa"/>
          </w:tcPr>
          <w:p w14:paraId="33E8BCC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0020—0040</w:t>
            </w:r>
          </w:p>
        </w:tc>
        <w:tc>
          <w:tcPr>
            <w:tcW w:w="8204" w:type="dxa"/>
          </w:tcPr>
          <w:p w14:paraId="029ED2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ОБЩ РИСК</w:t>
            </w:r>
          </w:p>
          <w:p w14:paraId="21F94335" w14:textId="41165158"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Позициите в капиталови инструменти, изложени на общ риск, (член 343 от Регламент (ЕС) № 575/2013) и съответните им капиталови изисквания в съответствие с трета част, дял IV, глава 2, раздел 3 от същия регламент. </w:t>
            </w:r>
          </w:p>
          <w:p w14:paraId="729400AD" w14:textId="77777777" w:rsidR="001E0C8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И двете разбивки (редове 0021/0022 и редове 0030/0040) са свързани с всички позиции с експозиция към общ риск.</w:t>
            </w:r>
          </w:p>
          <w:p w14:paraId="32EAD513" w14:textId="77777777" w:rsidR="004E2725"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В редове 0021 и 0022 се изисква информация за разбивката по инструменти. </w:t>
            </w:r>
          </w:p>
          <w:p w14:paraId="75FD06DA" w14:textId="77777777"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За основа на изчисляването на капиталовите изисквания служи само разбивката в редове 0030 и 0040.</w:t>
            </w:r>
          </w:p>
        </w:tc>
      </w:tr>
      <w:tr w:rsidR="000B0B09" w:rsidRPr="002D60D7" w14:paraId="7E2E7066" w14:textId="77777777" w:rsidTr="00672D2A">
        <w:tc>
          <w:tcPr>
            <w:tcW w:w="1008" w:type="dxa"/>
          </w:tcPr>
          <w:p w14:paraId="2A8F2E0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0021</w:t>
            </w:r>
          </w:p>
        </w:tc>
        <w:tc>
          <w:tcPr>
            <w:tcW w:w="8204" w:type="dxa"/>
          </w:tcPr>
          <w:p w14:paraId="51E4EB2D"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Деривати</w:t>
            </w:r>
          </w:p>
          <w:p w14:paraId="561EFF21" w14:textId="424FAD2D"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Дериватите, включени в изчисляването на капиталовия риск при позиции в търговския портфейл, като се взимат предвид членове 329—332 от Регламент (ЕС) № 575/2013, когато е приложимо.</w:t>
            </w:r>
          </w:p>
        </w:tc>
      </w:tr>
      <w:tr w:rsidR="000B0B09" w:rsidRPr="002D60D7" w14:paraId="70CC2A6A" w14:textId="77777777" w:rsidTr="00672D2A">
        <w:tc>
          <w:tcPr>
            <w:tcW w:w="1008" w:type="dxa"/>
          </w:tcPr>
          <w:p w14:paraId="569AE9F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0022</w:t>
            </w:r>
          </w:p>
        </w:tc>
        <w:tc>
          <w:tcPr>
            <w:tcW w:w="8204" w:type="dxa"/>
          </w:tcPr>
          <w:p w14:paraId="100EC51C"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Други активи и пасиви</w:t>
            </w:r>
          </w:p>
          <w:p w14:paraId="21AC79DF"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Инструментите, които не са деривати и които са включени в изчисляването на капиталовия риск при позициите в търговския портфейл. </w:t>
            </w:r>
          </w:p>
        </w:tc>
      </w:tr>
      <w:tr w:rsidR="000B0B09" w:rsidRPr="002D60D7" w14:paraId="2ECBC519" w14:textId="77777777" w:rsidTr="00672D2A">
        <w:tc>
          <w:tcPr>
            <w:tcW w:w="1008" w:type="dxa"/>
          </w:tcPr>
          <w:p w14:paraId="63840C82"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8204" w:type="dxa"/>
          </w:tcPr>
          <w:p w14:paraId="5BE0B58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Търгувани на борсата, широко диверсифицирани фючърси върху борсови индекси, към които се прилага специфичният подход</w:t>
            </w:r>
          </w:p>
          <w:p w14:paraId="56A22316" w14:textId="77777777" w:rsidR="005C14B0"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Търгуваните на борсата, широко диверсифицирани фючърси върху борсови индекси, които подлежат на специфичен подход в съответствие с Регламент за изпълнение (ЕС) № 945/2014 на Комисията</w:t>
            </w:r>
            <w:r>
              <w:rPr>
                <w:rStyle w:val="FootnoteReference"/>
              </w:rPr>
              <w:footnoteReference w:id="3"/>
            </w:r>
            <w:r>
              <w:rPr>
                <w:rFonts w:ascii="Times New Roman" w:hAnsi="Times New Roman"/>
                <w:sz w:val="24"/>
              </w:rPr>
              <w:t>.</w:t>
            </w:r>
          </w:p>
          <w:p w14:paraId="2528F1AA" w14:textId="103B7503"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Тези позиции са изложени само на общ риск и съответно не се докладват в ред 0050.</w:t>
            </w:r>
          </w:p>
        </w:tc>
      </w:tr>
      <w:tr w:rsidR="000B0B09" w:rsidRPr="002D60D7" w14:paraId="132F7A31" w14:textId="77777777" w:rsidTr="00672D2A">
        <w:tc>
          <w:tcPr>
            <w:tcW w:w="1008" w:type="dxa"/>
          </w:tcPr>
          <w:p w14:paraId="5A552EB7"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8204" w:type="dxa"/>
          </w:tcPr>
          <w:p w14:paraId="10EE0C2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Други капиталови инструменти, различни от търгувани на борсата, широко диверсифицирани фючърси върху борсови индекси</w:t>
            </w:r>
          </w:p>
          <w:p w14:paraId="17542C2D" w14:textId="5412BB06"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Други позиции в капиталови инструменти, изложени на специфичен риск, както и съответните капиталови изисквания съгласно член 343 от Регламент (ЕС) № 575/2013, включително позициите във фючърси върху борсови индекси, третирани в съответствие с член 344, параграф 3 от същия регламент.</w:t>
            </w:r>
          </w:p>
        </w:tc>
      </w:tr>
      <w:tr w:rsidR="000B0B09" w:rsidRPr="002D60D7" w14:paraId="10C7ACD9" w14:textId="77777777" w:rsidTr="00672D2A">
        <w:tc>
          <w:tcPr>
            <w:tcW w:w="1008" w:type="dxa"/>
          </w:tcPr>
          <w:p w14:paraId="1F6F53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0050 </w:t>
            </w:r>
          </w:p>
        </w:tc>
        <w:tc>
          <w:tcPr>
            <w:tcW w:w="8204" w:type="dxa"/>
          </w:tcPr>
          <w:p w14:paraId="0CF5CE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СПЕЦИФИЧЕН РИСК</w:t>
            </w:r>
          </w:p>
          <w:p w14:paraId="4CFFEA2D" w14:textId="693CE9A9"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Позициите в капиталови инструменти, изложени на специфичен риск, и съответното капиталово изискване съгласно член 342 от Регламент (ЕС) № 575/2013, без позициите във фючърси върху борсови индекси, третирани в съответствие с член 344, параграф 4, второ изречение от същия регламент. </w:t>
            </w:r>
          </w:p>
        </w:tc>
      </w:tr>
      <w:tr w:rsidR="000B0B09" w:rsidRPr="002D60D7" w14:paraId="63780725" w14:textId="77777777" w:rsidTr="00672D2A">
        <w:tc>
          <w:tcPr>
            <w:tcW w:w="1008" w:type="dxa"/>
          </w:tcPr>
          <w:p w14:paraId="573EB4E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0090—0130</w:t>
            </w:r>
          </w:p>
        </w:tc>
        <w:tc>
          <w:tcPr>
            <w:tcW w:w="8204" w:type="dxa"/>
          </w:tcPr>
          <w:p w14:paraId="1BAF0B5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ДОПЪЛНИТЕЛНИ ИЗИСКВАНИЯ ЗА ОПЦИИ (РИСКОВЕ, РАЗЛИЧНИ ОТ ДЕЛТА РИСК)</w:t>
            </w:r>
          </w:p>
          <w:p w14:paraId="2552C107" w14:textId="66B48CCE"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Член 329, параграфи 2 и 3 от Регламент (ЕС) № 575/2013 </w:t>
            </w:r>
          </w:p>
          <w:p w14:paraId="72C3FAC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Допълнителните изисквания за опции, свързани с рискове, различни от делта риск, се докладват в метода, използван за изчисляването.</w:t>
            </w:r>
          </w:p>
        </w:tc>
      </w:tr>
    </w:tbl>
    <w:p w14:paraId="0EB6FD79"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895891"/>
      <w:r>
        <w:rPr>
          <w:rFonts w:ascii="Times New Roman" w:hAnsi="Times New Roman"/>
          <w:sz w:val="24"/>
          <w:u w:val="none"/>
        </w:rPr>
        <w:t>6.</w:t>
      </w:r>
      <w:r>
        <w:tab/>
      </w:r>
      <w:r>
        <w:rPr>
          <w:rFonts w:ascii="Times New Roman" w:hAnsi="Times New Roman"/>
          <w:sz w:val="24"/>
        </w:rPr>
        <w:t>C 22.00 — Пазарен риск: Стандартизирани подходи за валутен риск</w:t>
      </w:r>
      <w:bookmarkEnd w:id="115"/>
      <w:bookmarkEnd w:id="116"/>
      <w:bookmarkEnd w:id="117"/>
      <w:bookmarkEnd w:id="118"/>
      <w:bookmarkEnd w:id="119"/>
      <w:r>
        <w:rPr>
          <w:rFonts w:ascii="Times New Roman" w:hAnsi="Times New Roman"/>
          <w:sz w:val="24"/>
        </w:rPr>
        <w:t xml:space="preserve"> (MKR SA FX)</w:t>
      </w:r>
      <w:bookmarkEnd w:id="120"/>
      <w:bookmarkEnd w:id="121"/>
    </w:p>
    <w:p w14:paraId="70FD2A29" w14:textId="503A292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895892"/>
      <w:r>
        <w:rPr>
          <w:rFonts w:ascii="Times New Roman" w:hAnsi="Times New Roman"/>
          <w:sz w:val="24"/>
          <w:u w:val="none"/>
        </w:rPr>
        <w:t>6.1.</w:t>
      </w:r>
      <w:r>
        <w:tab/>
      </w:r>
      <w:r>
        <w:rPr>
          <w:rFonts w:ascii="Times New Roman" w:hAnsi="Times New Roman"/>
          <w:sz w:val="24"/>
        </w:rPr>
        <w:t>Общи бележки</w:t>
      </w:r>
      <w:bookmarkEnd w:id="122"/>
      <w:bookmarkEnd w:id="123"/>
      <w:bookmarkEnd w:id="124"/>
      <w:bookmarkEnd w:id="125"/>
      <w:bookmarkEnd w:id="126"/>
      <w:bookmarkEnd w:id="127"/>
      <w:bookmarkEnd w:id="128"/>
    </w:p>
    <w:p w14:paraId="3B4750B2" w14:textId="2C7BE8FA" w:rsidR="00F71DF2" w:rsidRPr="002D60D7" w:rsidRDefault="00A807E1" w:rsidP="00E172EA">
      <w:pPr>
        <w:pStyle w:val="InstructionsText2"/>
        <w:numPr>
          <w:ilvl w:val="0"/>
          <w:numId w:val="29"/>
        </w:numPr>
        <w:suppressAutoHyphens/>
      </w:pPr>
      <w:r>
        <w:t>В този образец инвестиционните посредници докладват информация за позициите във всяка валута (включително отчетната валута) и за съответните капиталови изисквания за валутен риск по стандартизирания подход. Позициите се изчисляват за всяка валута (в т.ч. евро), злато и за позициите в ПКИ.</w:t>
      </w:r>
    </w:p>
    <w:p w14:paraId="39EF826C" w14:textId="60814CC7" w:rsidR="000B0B09" w:rsidRPr="002D60D7" w:rsidRDefault="00B31D8A" w:rsidP="00E172EA">
      <w:pPr>
        <w:pStyle w:val="InstructionsText2"/>
        <w:numPr>
          <w:ilvl w:val="0"/>
          <w:numId w:val="29"/>
        </w:numPr>
        <w:suppressAutoHyphens/>
      </w:pPr>
      <w:r>
        <w:t>Редове 0100—0470 от настоящия образец се докладват, когато на инвестиционните посредници е разрешено да извършват дейност 3 или 6 от раздел А от приложение I към Директива 2014/65/ЕС на Европейския парламент и на Съвета</w:t>
      </w:r>
      <w:r>
        <w:rPr>
          <w:rStyle w:val="FootnoteReference"/>
        </w:rPr>
        <w:footnoteReference w:id="4"/>
      </w:r>
      <w:r>
        <w:t>, дори ако от тях не се изисква да изчисляват капиталовите изисквания за валутен риск в съответствие с член 351 от Регламент (ЕС) № 575/2013. В поясняващите позиции, в редове 0100—0470 се включват всички позиции в отчетната валута, независимо дали са взети предвид за целите на член 354 от Регламент (ЕС) № 575/2013. Редове 0130—0470 от поясняващите позиции в образеца се попълват отделно за всички валути на държавите членки на Съюза, за валутите GBP, USD, CHF, JPY, RUB, TRY, AUD, CAD, RSD, ALL, UAH, MKD, EGP, ARS, BRL, MXN, HKD, ICK, TWD, NZD, NOK, SGD, KRW, CNY и за всички останали валути.</w:t>
      </w:r>
    </w:p>
    <w:p w14:paraId="346B4732" w14:textId="0BDCE786"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895893"/>
      <w:r>
        <w:rPr>
          <w:rFonts w:ascii="Times New Roman" w:hAnsi="Times New Roman"/>
          <w:sz w:val="24"/>
          <w:u w:val="none"/>
        </w:rPr>
        <w:t>6.2.</w:t>
      </w:r>
      <w:r>
        <w:tab/>
      </w:r>
      <w:r>
        <w:rPr>
          <w:rFonts w:ascii="Times New Roman" w:hAnsi="Times New Roman"/>
          <w:sz w:val="24"/>
        </w:rPr>
        <w:t>Указания за конкретни позиции</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Колони</w:t>
            </w:r>
          </w:p>
        </w:tc>
      </w:tr>
      <w:tr w:rsidR="000B0B09" w:rsidRPr="002D60D7" w14:paraId="159B4B41" w14:textId="77777777" w:rsidTr="00672D2A">
        <w:tc>
          <w:tcPr>
            <w:tcW w:w="988" w:type="dxa"/>
          </w:tcPr>
          <w:p w14:paraId="0ABA9E2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0020—0030</w:t>
            </w:r>
          </w:p>
        </w:tc>
        <w:tc>
          <w:tcPr>
            <w:tcW w:w="7874" w:type="dxa"/>
          </w:tcPr>
          <w:p w14:paraId="3450FB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ВСИЧКИ ПОЗИЦИИ (ДЪЛГИ И КЪСИ)</w:t>
            </w:r>
          </w:p>
          <w:p w14:paraId="21CD617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7206E339"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Брутните позиции, произтичащи от активи, суми, които трябва да бъдат получени, и подобни позиции, посочени в член 352, параграф 1 от Регламент (ЕС) № 575/2013.</w:t>
            </w:r>
          </w:p>
          <w:p w14:paraId="754DB1BB" w14:textId="2FEAA29E" w:rsidR="000B0B09" w:rsidRPr="002D60D7" w:rsidRDefault="00BB22D4"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В съответствие с член 352, параграф 2 от Регламент (ЕС) № 575/2013 и след разрешение от компетентния орган не се докладват позициите, поети за хеджиране на неблагоприятния ефект от валутния курс върху отношенията по член 92, параграф 1 от същия регламент, нито позициите, свързани с елементи, които вече са били приспаднати при изчисляването на собствените средства.</w:t>
            </w:r>
          </w:p>
          <w:p w14:paraId="40A85A4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0040—0050</w:t>
            </w:r>
          </w:p>
        </w:tc>
        <w:tc>
          <w:tcPr>
            <w:tcW w:w="7874" w:type="dxa"/>
          </w:tcPr>
          <w:p w14:paraId="5A21CA5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НЕТНИ ПОЗИЦИИ (ДЪЛГИ И КЪСИ)</w:t>
            </w:r>
          </w:p>
          <w:p w14:paraId="5D5BCFB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63D2EB9" w14:textId="110C5AF2" w:rsidR="00283B5F"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Член 352, параграф 3, член 352, параграф 4, първите две изречения и член 353 от Регламент (ЕС) № 575/2013</w:t>
            </w:r>
          </w:p>
          <w:p w14:paraId="1436375E" w14:textId="14467FBC"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Нетните позиции се изчисляват за всяка валута в съответствие с член 352, параграф 1 от посочения регламент. Следователно, дългите и късите позиции могат да се докладват едновременно.</w:t>
            </w:r>
          </w:p>
          <w:p w14:paraId="7EF6C18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1DBF3F98" w14:textId="77777777" w:rsidTr="00672D2A">
        <w:tc>
          <w:tcPr>
            <w:tcW w:w="988" w:type="dxa"/>
          </w:tcPr>
          <w:p w14:paraId="5ED8190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874" w:type="dxa"/>
          </w:tcPr>
          <w:p w14:paraId="23461A4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ПОЗИЦИИ, ПОДЛЕЖАЩИ НА КАПИТАЛОВИ ИЗИСКВАНИЯ</w:t>
            </w:r>
          </w:p>
          <w:p w14:paraId="536B211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4FE1162B" w14:textId="273CC04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Член 352, параграф 4, трето изречение и членове 353 и 354 от Регламент (ЕС) № 575/2013 </w:t>
            </w:r>
          </w:p>
          <w:p w14:paraId="091C4CE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0060—0070</w:t>
            </w:r>
          </w:p>
        </w:tc>
        <w:tc>
          <w:tcPr>
            <w:tcW w:w="7874" w:type="dxa"/>
          </w:tcPr>
          <w:p w14:paraId="4917443B"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ПОЗИЦИИ, ПОДЛЕЖАЩИ НА КАПИТАЛОВИ ИЗИСКВАНИЯ (ДЪЛГИ И КЪСИ)</w:t>
            </w:r>
          </w:p>
          <w:p w14:paraId="1CA17503"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Дългите и късите нетни позиции за всяка валута се изчисляват, като от общия размер на дългите позиции се извади общият размер на късите позиции.</w:t>
            </w:r>
          </w:p>
          <w:p w14:paraId="7912A4F1"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Дългите нетни позиции за всяка операция в дадена валута се сумират, за да се получи дългата нетна позиция за тази валута.</w:t>
            </w:r>
          </w:p>
          <w:p w14:paraId="5B4E9BD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Късите нетни позиции за всяка операция в дадена валута се сумират, за да се получи късата нетна позиция за тази валута.</w:t>
            </w:r>
          </w:p>
          <w:p w14:paraId="71BEB09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Несъчетаните позиции във валути, различни от докладваните, се добавят към позициите, спрямо които се прилагат капиталови изисквания за други валути (ред 030), в колона 060 или 070 в зависимост от това дали са къси, или дълги.</w:t>
            </w:r>
          </w:p>
          <w:p w14:paraId="3B8AB235"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4" w:type="dxa"/>
          </w:tcPr>
          <w:p w14:paraId="50779B2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ПОЗИЦИИ, ПОДЛЕЖАЩИ НА КАПИТАЛОВИ ИЗИСКВАНИЯ (СЪЧЕТАНИ ПОЗИЦИИ)</w:t>
            </w:r>
          </w:p>
          <w:p w14:paraId="1787EA62"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5437627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Съчетаните позиции за валути с висока взаимосвързаност.</w:t>
            </w:r>
          </w:p>
          <w:p w14:paraId="6BC8E67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4" w:type="dxa"/>
          </w:tcPr>
          <w:p w14:paraId="4FC12DD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КАПИТАЛОВИ ИЗИСКВАНИЯ</w:t>
            </w:r>
          </w:p>
          <w:p w14:paraId="4108E69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828234" w14:textId="7D891B7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Капиталовите изисквания за всички съответни позиции съгласно трета част, дял IV, глава 3 от Регламент (ЕС) № 575/2013 </w:t>
            </w:r>
          </w:p>
          <w:p w14:paraId="62C9AE7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4" w:type="dxa"/>
          </w:tcPr>
          <w:p w14:paraId="0647EAC0"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ОБЩ РАЗМЕР НА РИСКОВАТА ЕКСПОЗИЦИЯ</w:t>
            </w:r>
          </w:p>
          <w:p w14:paraId="1005789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3CF09645" w14:textId="05D9758B" w:rsidR="005C14B0"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Член 92, параграф 6, буква б) от Регламент (ЕС) № 575/2013.</w:t>
            </w:r>
          </w:p>
          <w:p w14:paraId="74C1A53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Произведението на капиталовите изисквания и 12,5. </w:t>
            </w:r>
          </w:p>
          <w:p w14:paraId="43ECFCA3" w14:textId="77777777" w:rsidR="00DE48EF" w:rsidRPr="002D60D7"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Редове</w:t>
            </w:r>
          </w:p>
        </w:tc>
      </w:tr>
      <w:tr w:rsidR="000B0B09" w:rsidRPr="002D60D7" w14:paraId="7E8F93AD" w14:textId="77777777" w:rsidTr="00672D2A">
        <w:tc>
          <w:tcPr>
            <w:tcW w:w="991" w:type="dxa"/>
          </w:tcPr>
          <w:p w14:paraId="308DA05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1" w:type="dxa"/>
          </w:tcPr>
          <w:p w14:paraId="444D3E4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ОБЩО ПОЗИЦИИ</w:t>
            </w:r>
          </w:p>
          <w:p w14:paraId="625A8F9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78AA241E" w:rsidR="000B0B09"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Всички позиции в неотчетни валути и позиции в отчетната валута, които са взети предвид за целите на член 354 от Регламент (ЕС) № 575/2013, както и съответните им капиталови изисквания за валутен риск, посочени в член 92, параграф 3, буква в), подточка i) от същия регламент, като се вземе предвид член 352, параграфи 2 и 4 от Регламент (ЕС) № 575/2013 (за конвертиране в отчетната валута).</w:t>
            </w:r>
          </w:p>
          <w:p w14:paraId="60C8486E"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w:t>
            </w:r>
          </w:p>
        </w:tc>
        <w:tc>
          <w:tcPr>
            <w:tcW w:w="7871" w:type="dxa"/>
          </w:tcPr>
          <w:p w14:paraId="49A2740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ВАЛУТИ С ВИСОКА ВЗАИМНОСВЪРЗАНОСТ</w:t>
            </w:r>
          </w:p>
          <w:p w14:paraId="784B138D"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323891C1"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Позициите и съответните им капиталови изисквания за валути с висока взаимосвързаност съгласно посоченото в член 354 от Регламент (ЕС) № 575/2013.</w:t>
            </w:r>
          </w:p>
          <w:p w14:paraId="1228E8F4"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0025</w:t>
            </w:r>
          </w:p>
        </w:tc>
        <w:tc>
          <w:tcPr>
            <w:tcW w:w="7871" w:type="dxa"/>
          </w:tcPr>
          <w:p w14:paraId="596531B8"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Валути с висока взаимосвързаност: </w:t>
            </w:r>
            <w:r>
              <w:rPr>
                <w:rFonts w:ascii="Times New Roman" w:hAnsi="Times New Roman"/>
                <w:b/>
                <w:i/>
                <w:sz w:val="24"/>
                <w:u w:val="single"/>
              </w:rPr>
              <w:t>в т.ч.</w:t>
            </w:r>
            <w:r>
              <w:rPr>
                <w:rFonts w:ascii="Times New Roman" w:hAnsi="Times New Roman"/>
                <w:b/>
                <w:sz w:val="24"/>
                <w:u w:val="single"/>
              </w:rPr>
              <w:t>: отчетна валута</w:t>
            </w:r>
          </w:p>
          <w:p w14:paraId="1A313604" w14:textId="77777777" w:rsidR="00491F4D" w:rsidRPr="002D60D7" w:rsidRDefault="00491F4D" w:rsidP="004C445F">
            <w:pPr>
              <w:suppressAutoHyphens/>
              <w:autoSpaceDE w:val="0"/>
              <w:autoSpaceDN w:val="0"/>
              <w:adjustRightInd w:val="0"/>
              <w:spacing w:before="0" w:after="0"/>
              <w:rPr>
                <w:rFonts w:ascii="Times New Roman" w:hAnsi="Times New Roman"/>
                <w:sz w:val="24"/>
              </w:rPr>
            </w:pPr>
          </w:p>
          <w:p w14:paraId="6CF1E695" w14:textId="3B11B1C0" w:rsidR="00491F4D"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Позициите в отчетната валута, които участват в изчисляването на капиталовите изисквания в съответствие с член 354 от Регламент (ЕС) № 575/2013.</w:t>
            </w:r>
          </w:p>
          <w:p w14:paraId="1727C5A3"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71" w:type="dxa"/>
          </w:tcPr>
          <w:p w14:paraId="0BAA11C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ВСИЧКИ ДРУГИ ВАЛУТИ (включително ПКИ, третирани като различни валути)</w:t>
            </w:r>
          </w:p>
          <w:p w14:paraId="1677D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4128E68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Позициите и съответните капиталови изисквания за валутите, за които се прилага общата процедура, предвидена в член 351 и член 352, параграфи 2 и 4 от Регламент (ЕС) № 575/2013.</w:t>
            </w:r>
          </w:p>
          <w:p w14:paraId="0D0C93F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2C612C05"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u w:val="single"/>
              </w:rPr>
              <w:t>Докладване на ПКИ, третирани като отделни валути в съответствие с член 353 от Регламент (ЕС) № 575/2013:</w:t>
            </w:r>
          </w:p>
          <w:p w14:paraId="77B7A43F" w14:textId="77777777" w:rsidR="000B0B09" w:rsidRPr="002D60D7" w:rsidRDefault="000B0B09"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Има два различни начина за третиране на ПКИ като отделни валути за изчисляване на капиталовите изисквания:</w:t>
            </w:r>
          </w:p>
          <w:p w14:paraId="5B250982" w14:textId="5A8D3F48"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а) модифицираният метод на златото, когато посоката на инвестицията на ПКИ не е известна (тези ПКИ се добавят към цялостната нетна валутна позиция на институцията);</w:t>
            </w:r>
          </w:p>
          <w:p w14:paraId="36EAAD8C" w14:textId="570B6ECE"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б) когато посоката на инвестицията на ПКИ е известна, тези ПКИ се добавят към общата открита валутна позиция (дълга или къса в зависимост от посоката на ПКИ).</w:t>
            </w:r>
          </w:p>
          <w:p w14:paraId="6410AE39" w14:textId="77777777"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rPr>
              <w:t>Докладването на тези ПКИ следва изчисляването на капиталовите изисквания.</w:t>
            </w:r>
          </w:p>
          <w:p w14:paraId="6EF89CCB"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71" w:type="dxa"/>
          </w:tcPr>
          <w:p w14:paraId="0E1B066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ЗЛАТО</w:t>
            </w:r>
          </w:p>
          <w:p w14:paraId="3DD20C3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E2B6F8D" w14:textId="0A74E970"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Позициите и съответните капиталови изисквания за валутите, за които се прилага общата процедура, предвидена в член 351 и член 352, параграфи 2 и 4 от Регламент (ЕС) № 575/2013 </w:t>
            </w:r>
          </w:p>
          <w:p w14:paraId="2363385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0050—0090</w:t>
            </w:r>
          </w:p>
        </w:tc>
        <w:tc>
          <w:tcPr>
            <w:tcW w:w="7871" w:type="dxa"/>
          </w:tcPr>
          <w:p w14:paraId="76D7671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ДОПЪЛНИТЕЛНИ ИЗИСКВАНИЯ ЗА ОПЦИИ (РИСКОВЕ, РАЗЛИЧНИ ОТ ДЕЛТА РИСК)</w:t>
            </w:r>
          </w:p>
          <w:p w14:paraId="409B80C0" w14:textId="3123C3E4"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 xml:space="preserve">Член 352, параграфи 5 и 6 от Регламент (ЕС) № 575/2013 </w:t>
            </w:r>
          </w:p>
          <w:p w14:paraId="28A72F0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0C3DAE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Допълнителните изисквания за опции, свързани с рискове, различни от делта риск, се докладват с разбивка по метода, използван за изчисляването им. </w:t>
            </w:r>
          </w:p>
          <w:p w14:paraId="64B10AE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FB6CAB6" w14:textId="77777777" w:rsidTr="00672D2A">
        <w:tc>
          <w:tcPr>
            <w:tcW w:w="991" w:type="dxa"/>
          </w:tcPr>
          <w:p w14:paraId="4A4827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0100—0120</w:t>
            </w:r>
          </w:p>
        </w:tc>
        <w:tc>
          <w:tcPr>
            <w:tcW w:w="7871" w:type="dxa"/>
          </w:tcPr>
          <w:p w14:paraId="4D32EE9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Разбивка на общата стойност на позициите (включително отчетната валута) по видове експозиции</w:t>
            </w:r>
          </w:p>
          <w:p w14:paraId="35F84DA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1C8EDD8"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Общата стойност на позициите се представя в разбивка по деривати, други активи и пасиви и задбалансови позиции.</w:t>
            </w:r>
          </w:p>
          <w:p w14:paraId="645944F1"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1" w:type="dxa"/>
          </w:tcPr>
          <w:p w14:paraId="2B5ED8B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Други активи и пасиви, различни от задбалансовите позиции и деривати</w:t>
            </w:r>
          </w:p>
          <w:p w14:paraId="70ABA94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48B1F95" w14:textId="77777777" w:rsidR="00DE48EF"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Тук се включват позициите, които не са включени в ред 0110 или 0120. </w:t>
            </w:r>
          </w:p>
          <w:p w14:paraId="68474F8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 xml:space="preserve"> </w:t>
            </w:r>
          </w:p>
        </w:tc>
      </w:tr>
      <w:tr w:rsidR="000B0B09" w:rsidRPr="002D60D7" w14:paraId="68F25686" w14:textId="77777777" w:rsidTr="00672D2A">
        <w:tc>
          <w:tcPr>
            <w:tcW w:w="991" w:type="dxa"/>
          </w:tcPr>
          <w:p w14:paraId="76AEDC5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71" w:type="dxa"/>
          </w:tcPr>
          <w:p w14:paraId="2D48760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Задбалансови позиции</w:t>
            </w:r>
          </w:p>
          <w:p w14:paraId="4FE41A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7CE2DA10" w14:textId="441EBF45"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Позициите в обхвата на член 352 от Регламент (ЕС) № 575/2013, независимо от тяхната валута, които са включени в приложение I към същия регламент, с изключение на включените като сделки за финансиране с ценни книжа и сделки с удължен сетълмент или от договорни споразумения за кръстосано нетиране на продукти.</w:t>
            </w:r>
          </w:p>
          <w:p w14:paraId="25D49F5C"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71" w:type="dxa"/>
          </w:tcPr>
          <w:p w14:paraId="56E0717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Деривати</w:t>
            </w:r>
          </w:p>
          <w:p w14:paraId="7B6CC85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74E14E9" w14:textId="61FBE98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Позиции, оценени в съответствие с член 352 от Регламент (ЕС) № 575/2013.</w:t>
            </w:r>
          </w:p>
          <w:p w14:paraId="2984F2C2" w14:textId="77777777" w:rsidR="00902EFC" w:rsidRPr="002D60D7" w:rsidRDefault="00902EFC"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D32A9CF" w14:textId="77777777" w:rsidTr="00672D2A">
        <w:tc>
          <w:tcPr>
            <w:tcW w:w="991" w:type="dxa"/>
          </w:tcPr>
          <w:p w14:paraId="7B4BCDF0" w14:textId="0459354E"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0130—0470</w:t>
            </w:r>
          </w:p>
        </w:tc>
        <w:tc>
          <w:tcPr>
            <w:tcW w:w="7871" w:type="dxa"/>
          </w:tcPr>
          <w:p w14:paraId="26286B4C" w14:textId="3843381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ПОЯСНЯВАЩИ ПОЗИЦИИ: ВАЛУТНИ ПОЗИЦИИ</w:t>
            </w:r>
          </w:p>
          <w:p w14:paraId="77A906DE" w14:textId="77777777" w:rsidR="000B0B09" w:rsidRPr="002D60D7" w:rsidRDefault="000B0B09" w:rsidP="004C445F">
            <w:pPr>
              <w:suppressAutoHyphens/>
              <w:autoSpaceDE w:val="0"/>
              <w:autoSpaceDN w:val="0"/>
              <w:adjustRightInd w:val="0"/>
              <w:spacing w:before="0" w:after="0"/>
              <w:rPr>
                <w:rFonts w:ascii="Times New Roman" w:hAnsi="Times New Roman"/>
                <w:b/>
                <w:bCs/>
                <w:sz w:val="24"/>
                <w:lang w:eastAsia="de-DE"/>
              </w:rPr>
            </w:pPr>
          </w:p>
          <w:p w14:paraId="31EAE6A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Поясняващите позиции в образеца се попълват отделно за всички валути на държавите членки на Съюза, за валутите GBP, USD, CHF, JPY, RUB, TRY, AUD, CAD, RSD, ALL, UAH, MKD, EGP, ARS, BRL, MXN, HKD, ICK, TWD, NZD, NOK, SGD, KRW, CNY и за всички останали валути. </w:t>
            </w:r>
          </w:p>
          <w:p w14:paraId="09723CAF" w14:textId="77777777" w:rsidR="003E0950" w:rsidRPr="002D60D7" w:rsidRDefault="003E0950" w:rsidP="004C445F">
            <w:pPr>
              <w:suppressAutoHyphens/>
              <w:autoSpaceDE w:val="0"/>
              <w:autoSpaceDN w:val="0"/>
              <w:adjustRightInd w:val="0"/>
              <w:spacing w:before="0" w:after="0"/>
              <w:rPr>
                <w:rFonts w:ascii="Times New Roman" w:hAnsi="Times New Roman"/>
                <w:sz w:val="24"/>
                <w:lang w:eastAsia="de-DE"/>
              </w:rPr>
            </w:pPr>
          </w:p>
          <w:p w14:paraId="7255FEE1" w14:textId="50F8E32F" w:rsidR="00A433ED" w:rsidRPr="002D60D7" w:rsidRDefault="00A433E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В ред 0470 се включват позициите в злато и позициите в ПКИ, третирани като отделна валута в съответствие с член 353, параграф 3 от Регламент (ЕС) № 575/2013.</w:t>
            </w:r>
          </w:p>
          <w:p w14:paraId="2A795EB2" w14:textId="3FA18151" w:rsidR="0055144E" w:rsidRPr="002D60D7" w:rsidRDefault="0055144E" w:rsidP="004C445F">
            <w:pPr>
              <w:suppressAutoHyphens/>
              <w:autoSpaceDE w:val="0"/>
              <w:autoSpaceDN w:val="0"/>
              <w:adjustRightInd w:val="0"/>
              <w:spacing w:before="0" w:after="0"/>
              <w:rPr>
                <w:rStyle w:val="InstructionsTabelleText"/>
                <w:rFonts w:ascii="Times New Roman" w:hAnsi="Times New Roman"/>
                <w:sz w:val="24"/>
              </w:rPr>
            </w:pPr>
          </w:p>
        </w:tc>
      </w:tr>
    </w:tbl>
    <w:p w14:paraId="6BA92730" w14:textId="77777777" w:rsidR="000B0B09" w:rsidRPr="002D60D7" w:rsidRDefault="000B0B09" w:rsidP="004C445F">
      <w:pPr>
        <w:suppressAutoHyphens/>
        <w:rPr>
          <w:rFonts w:ascii="Times New Roman" w:hAnsi="Times New Roman"/>
          <w:sz w:val="24"/>
        </w:rPr>
      </w:pPr>
    </w:p>
    <w:p w14:paraId="53515718" w14:textId="54673A1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895894"/>
      <w:r>
        <w:rPr>
          <w:rFonts w:ascii="Times New Roman" w:hAnsi="Times New Roman"/>
          <w:sz w:val="24"/>
          <w:u w:val="none"/>
        </w:rPr>
        <w:t>7.</w:t>
      </w:r>
      <w:r>
        <w:tab/>
      </w:r>
      <w:r>
        <w:rPr>
          <w:rFonts w:ascii="Times New Roman" w:hAnsi="Times New Roman"/>
          <w:sz w:val="24"/>
        </w:rPr>
        <w:t>C 23.00 — Пазарен риск: Стандартизирани подходи за стоки</w:t>
      </w:r>
      <w:bookmarkEnd w:id="137"/>
      <w:bookmarkEnd w:id="138"/>
      <w:bookmarkEnd w:id="139"/>
      <w:bookmarkEnd w:id="140"/>
      <w:bookmarkEnd w:id="141"/>
      <w:r>
        <w:rPr>
          <w:rFonts w:ascii="Times New Roman" w:hAnsi="Times New Roman"/>
          <w:sz w:val="24"/>
        </w:rPr>
        <w:t xml:space="preserve"> (MKR SA COM)</w:t>
      </w:r>
      <w:bookmarkEnd w:id="142"/>
      <w:bookmarkEnd w:id="143"/>
    </w:p>
    <w:p w14:paraId="72871AE4" w14:textId="0AF1A4E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895895"/>
      <w:r>
        <w:rPr>
          <w:rFonts w:ascii="Times New Roman" w:hAnsi="Times New Roman"/>
          <w:sz w:val="24"/>
          <w:u w:val="none"/>
        </w:rPr>
        <w:t>7.1.</w:t>
      </w:r>
      <w:r>
        <w:tab/>
      </w:r>
      <w:r>
        <w:rPr>
          <w:rFonts w:ascii="Times New Roman" w:hAnsi="Times New Roman"/>
          <w:sz w:val="24"/>
        </w:rPr>
        <w:t>Общи бележки</w:t>
      </w:r>
      <w:bookmarkEnd w:id="144"/>
      <w:bookmarkEnd w:id="145"/>
      <w:bookmarkEnd w:id="146"/>
      <w:bookmarkEnd w:id="147"/>
      <w:bookmarkEnd w:id="148"/>
      <w:bookmarkEnd w:id="149"/>
      <w:bookmarkEnd w:id="150"/>
    </w:p>
    <w:p w14:paraId="441FA19A" w14:textId="36832BFC" w:rsidR="000B0B09" w:rsidRPr="002D60D7" w:rsidRDefault="000B0B09" w:rsidP="00E172EA">
      <w:pPr>
        <w:pStyle w:val="InstructionsText2"/>
        <w:numPr>
          <w:ilvl w:val="0"/>
          <w:numId w:val="29"/>
        </w:numPr>
        <w:suppressAutoHyphens/>
      </w:pPr>
      <w:r>
        <w:t>В този образец се изисква информация за позициите в стоки и съответните капиталови изисквания по стандартизирания подход.</w:t>
      </w:r>
    </w:p>
    <w:p w14:paraId="0C8765B1" w14:textId="613B31E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895896"/>
      <w:r>
        <w:rPr>
          <w:rFonts w:ascii="Times New Roman" w:hAnsi="Times New Roman"/>
          <w:sz w:val="24"/>
          <w:u w:val="none"/>
        </w:rPr>
        <w:lastRenderedPageBreak/>
        <w:t>7.2.</w:t>
      </w:r>
      <w:r>
        <w:tab/>
      </w:r>
      <w:r>
        <w:rPr>
          <w:rFonts w:ascii="Times New Roman" w:hAnsi="Times New Roman"/>
          <w:sz w:val="24"/>
        </w:rPr>
        <w:t>Указания за конкретни позиции</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Колони</w:t>
            </w:r>
          </w:p>
        </w:tc>
      </w:tr>
      <w:tr w:rsidR="000B0B09" w:rsidRPr="002D60D7" w14:paraId="12CECACA" w14:textId="77777777" w:rsidTr="00672D2A">
        <w:tc>
          <w:tcPr>
            <w:tcW w:w="986" w:type="dxa"/>
          </w:tcPr>
          <w:p w14:paraId="6FA50BB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6" w:type="dxa"/>
          </w:tcPr>
          <w:p w14:paraId="29C026B5"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ВСИЧКИ ПОЗИЦИИ (ДЪЛГИ И КЪСИ)</w:t>
            </w:r>
          </w:p>
          <w:p w14:paraId="4B99A78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60BC9B3E" w14:textId="0549CCC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Брутните дълги/къси позиции, считани за позиции в една и съща стока в съответствие с член 357, параграф 4 от Регламент (ЕС) № 575/2013 (вж. също и член 359, параграф 1 от същия регламент)</w:t>
            </w:r>
          </w:p>
          <w:p w14:paraId="3E9C720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4AB4396B" w14:textId="77777777" w:rsidTr="00672D2A">
        <w:tc>
          <w:tcPr>
            <w:tcW w:w="986" w:type="dxa"/>
          </w:tcPr>
          <w:p w14:paraId="224657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6" w:type="dxa"/>
          </w:tcPr>
          <w:p w14:paraId="7FA580C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НЕТНИ ПОЗИЦИИ (ДЪЛГИ И КЪСИ)</w:t>
            </w:r>
          </w:p>
          <w:p w14:paraId="0B49C3F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7B41C090"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Както е посочено в член 357, параграф 3 от Регламент (ЕС) № 575/2013 </w:t>
            </w:r>
          </w:p>
        </w:tc>
      </w:tr>
      <w:tr w:rsidR="000B0B09" w:rsidRPr="002D60D7" w14:paraId="0A46320C" w14:textId="77777777" w:rsidTr="00672D2A">
        <w:tc>
          <w:tcPr>
            <w:tcW w:w="986" w:type="dxa"/>
          </w:tcPr>
          <w:p w14:paraId="7F0B984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6" w:type="dxa"/>
          </w:tcPr>
          <w:p w14:paraId="7ADEF1C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ПОЗИЦИИ, ПОДЛЕЖАЩИ НА КАПИТАЛОВИ ИЗИСКВАНИЯ</w:t>
            </w:r>
          </w:p>
          <w:p w14:paraId="55ED580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Това са нетните позиции, които съгласно изложените в трета част, дял IV, глава 4 от Регламент (ЕС) № 575/2013 подходи подлежат на капиталови изисквания.</w:t>
            </w:r>
          </w:p>
          <w:p w14:paraId="762BD2E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6" w:type="dxa"/>
          </w:tcPr>
          <w:p w14:paraId="4AA26DC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КАПИТАЛОВИ ИЗИСКВАНИЯ</w:t>
            </w:r>
          </w:p>
          <w:p w14:paraId="545A19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7E2236D4" w:rsidR="000B0B09" w:rsidRPr="002D60D7" w:rsidRDefault="000B0B09"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Капиталовото изискване, изчислено в съответствие с част трета, дял IV, глава 4 от Регламент (ЕС) № 575/2013 за всички съответни позиции.</w:t>
            </w:r>
          </w:p>
        </w:tc>
      </w:tr>
      <w:tr w:rsidR="000B0B09" w:rsidRPr="002D60D7" w14:paraId="380AB4E0" w14:textId="77777777" w:rsidTr="00672D2A">
        <w:tc>
          <w:tcPr>
            <w:tcW w:w="986" w:type="dxa"/>
          </w:tcPr>
          <w:p w14:paraId="0EE22EDA"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6" w:type="dxa"/>
          </w:tcPr>
          <w:p w14:paraId="162C1DF7"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ОБЩ РАЗМЕР НА РИСКОВАТА ЕКСПОЗИЦИЯ</w:t>
            </w:r>
          </w:p>
          <w:p w14:paraId="35864C1F"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027F150A" w:rsidR="00A2757B"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 xml:space="preserve">Член 92, параграф 6, буква б) от Регламент (ЕС) № 575/2013. </w:t>
            </w:r>
          </w:p>
          <w:p w14:paraId="67EADC1A" w14:textId="77777777" w:rsidR="000B0B09" w:rsidRPr="002D60D7" w:rsidRDefault="000B0B09" w:rsidP="004C445F">
            <w:pPr>
              <w:tabs>
                <w:tab w:val="left" w:pos="1665"/>
              </w:tabs>
              <w:suppressAutoHyphens/>
              <w:autoSpaceDE w:val="0"/>
              <w:autoSpaceDN w:val="0"/>
              <w:adjustRightInd w:val="0"/>
              <w:spacing w:before="0"/>
              <w:rPr>
                <w:rFonts w:ascii="Times New Roman" w:hAnsi="Times New Roman"/>
                <w:b/>
                <w:bCs/>
                <w:sz w:val="24"/>
                <w:u w:val="single"/>
              </w:rPr>
            </w:pPr>
            <w:r>
              <w:rPr>
                <w:rFonts w:ascii="Times New Roman" w:hAnsi="Times New Roman"/>
                <w:sz w:val="24"/>
              </w:rPr>
              <w:t>Произведението на капиталовите изисквания и 12,5.</w:t>
            </w:r>
          </w:p>
        </w:tc>
      </w:tr>
    </w:tbl>
    <w:p w14:paraId="0DC9D0A4"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Редове</w:t>
            </w:r>
          </w:p>
        </w:tc>
      </w:tr>
      <w:tr w:rsidR="000B0B09" w:rsidRPr="002D60D7" w14:paraId="3F19FB75" w14:textId="77777777" w:rsidTr="00672D2A">
        <w:tc>
          <w:tcPr>
            <w:tcW w:w="987" w:type="dxa"/>
          </w:tcPr>
          <w:p w14:paraId="6200338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5" w:type="dxa"/>
          </w:tcPr>
          <w:p w14:paraId="3CC5979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ОБЩО ПОЗИЦИИ В СТОКИ</w:t>
            </w:r>
          </w:p>
          <w:p w14:paraId="0356262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p>
          <w:p w14:paraId="1B02378E" w14:textId="7E4205C6"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Позициите в стоки и съответните капиталови изисквания за пазарен риск, изчислени съгласно член 92, параграф 4, буква в) от Регламент (ЕС) № 575/2013 и трета част, дял IV, глава 4 от същия регламент. </w:t>
            </w:r>
          </w:p>
        </w:tc>
      </w:tr>
      <w:tr w:rsidR="000B0B09" w:rsidRPr="002D60D7" w14:paraId="216F1AEE" w14:textId="77777777" w:rsidTr="00672D2A">
        <w:tc>
          <w:tcPr>
            <w:tcW w:w="987" w:type="dxa"/>
          </w:tcPr>
          <w:p w14:paraId="62D08C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0020—0060</w:t>
            </w:r>
          </w:p>
        </w:tc>
        <w:tc>
          <w:tcPr>
            <w:tcW w:w="7875" w:type="dxa"/>
          </w:tcPr>
          <w:p w14:paraId="759E579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ПОЗИЦИИ ПО КАТЕГОРИИ СТОКИ</w:t>
            </w:r>
          </w:p>
          <w:p w14:paraId="5692188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09121CFD"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За целите на докладването стоките се разпределят в четирите стокови групи, посочени в таблица 2 в член 361 от Регламент (ЕС) № 575/2013.</w:t>
            </w:r>
          </w:p>
          <w:p w14:paraId="04BB531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50CBB22D" w14:textId="77777777" w:rsidTr="00672D2A">
        <w:tc>
          <w:tcPr>
            <w:tcW w:w="987" w:type="dxa"/>
          </w:tcPr>
          <w:p w14:paraId="3E68EF2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5" w:type="dxa"/>
          </w:tcPr>
          <w:p w14:paraId="5AACA5E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ПОДХОД НА ПАДЕЖНАТА СТЪЛБИЦА</w:t>
            </w:r>
          </w:p>
          <w:p w14:paraId="2C667CB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0EBD6A7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Позициите в стоки, за които се прилага подходът на падежната стълбица по член 359 от Регламент (ЕС) № 575/2013.</w:t>
            </w:r>
          </w:p>
          <w:p w14:paraId="018E7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5" w:type="dxa"/>
          </w:tcPr>
          <w:p w14:paraId="7D3D047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РАЗШИРЕН ПОДХОД НА ПАДЕЖНАТА СТЪЛБИЦА</w:t>
            </w:r>
          </w:p>
          <w:p w14:paraId="28E2284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13AA387E"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Позициите в стоки, за които се прилага разширеният подход на падежната стълбица по член 361 от Регламент (ЕС) № 575/2013.</w:t>
            </w:r>
          </w:p>
          <w:p w14:paraId="4CC42EB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0090</w:t>
            </w:r>
          </w:p>
        </w:tc>
        <w:tc>
          <w:tcPr>
            <w:tcW w:w="7875" w:type="dxa"/>
          </w:tcPr>
          <w:p w14:paraId="5AEA8FE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ОПРОСТЕН ПОДХОД</w:t>
            </w:r>
          </w:p>
          <w:p w14:paraId="739EF26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3C6F5D9" w14:textId="7485AEDA"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Позициите в стоки, за които се прилага опростеният подход на падежната стълбица по член 360 от Регламент (ЕС) № 575/2013. </w:t>
            </w:r>
          </w:p>
          <w:p w14:paraId="72D24CC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0100—0140</w:t>
            </w:r>
          </w:p>
        </w:tc>
        <w:tc>
          <w:tcPr>
            <w:tcW w:w="7875" w:type="dxa"/>
          </w:tcPr>
          <w:p w14:paraId="1AB2469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ДОПЪЛНИТЕЛНИ ИЗИСКВАНИЯ ЗА ОПЦИИ (РИСКОВЕ, РАЗЛИЧНИ ОТ ДЕЛТА РИСК)</w:t>
            </w:r>
          </w:p>
          <w:p w14:paraId="444B7110" w14:textId="08585130"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Член 358, параграф 4 от Регламент (ЕС) № 575/2013. </w:t>
            </w:r>
          </w:p>
          <w:p w14:paraId="1D3D5AF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Допълнителните изисквания за опции, свързани с рискове, различни от делта риск, се докладват в метода, използван за изчисляването.</w:t>
            </w:r>
          </w:p>
          <w:p w14:paraId="55D77BA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4C445F">
      <w:pPr>
        <w:suppressAutoHyphens/>
        <w:rPr>
          <w:rFonts w:ascii="Times New Roman" w:hAnsi="Times New Roman"/>
          <w:sz w:val="24"/>
        </w:rPr>
      </w:pPr>
    </w:p>
    <w:p w14:paraId="60EF2674" w14:textId="77777777" w:rsidR="000B0B09" w:rsidRPr="002D60D7"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2D60D7" w:rsidRDefault="00C82BBD" w:rsidP="004C445F">
      <w:pPr>
        <w:pStyle w:val="Instructionsberschrift2"/>
        <w:numPr>
          <w:ilvl w:val="0"/>
          <w:numId w:val="0"/>
        </w:numPr>
        <w:suppressAutoHyphens/>
        <w:ind w:left="357" w:hanging="357"/>
        <w:rPr>
          <w:rFonts w:ascii="Times New Roman" w:hAnsi="Times New Roman"/>
          <w:sz w:val="24"/>
        </w:rPr>
      </w:pPr>
      <w:bookmarkStart w:id="158" w:name="_Toc210895897"/>
      <w:r>
        <w:rPr>
          <w:rFonts w:ascii="Times New Roman" w:hAnsi="Times New Roman"/>
          <w:sz w:val="24"/>
        </w:rPr>
        <w:t>8.</w:t>
      </w:r>
      <w:r>
        <w:tab/>
      </w:r>
      <w:r>
        <w:rPr>
          <w:rFonts w:ascii="Times New Roman" w:hAnsi="Times New Roman"/>
          <w:sz w:val="24"/>
        </w:rPr>
        <w:t>C 24.00 - Вътрешен модел за пазарен риск (MKR IM)</w:t>
      </w:r>
      <w:bookmarkEnd w:id="158"/>
    </w:p>
    <w:p w14:paraId="4EE11059" w14:textId="6831F2FC"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895898"/>
      <w:r>
        <w:rPr>
          <w:rFonts w:ascii="Times New Roman" w:hAnsi="Times New Roman"/>
          <w:sz w:val="24"/>
          <w:u w:val="none"/>
        </w:rPr>
        <w:t>8.1.</w:t>
      </w:r>
      <w:r>
        <w:tab/>
      </w:r>
      <w:r>
        <w:rPr>
          <w:rFonts w:ascii="Times New Roman" w:hAnsi="Times New Roman"/>
          <w:sz w:val="24"/>
        </w:rPr>
        <w:t>Общи бележки</w:t>
      </w:r>
      <w:bookmarkEnd w:id="159"/>
      <w:bookmarkEnd w:id="160"/>
    </w:p>
    <w:p w14:paraId="2B3D1454" w14:textId="708078C0" w:rsidR="005970B6" w:rsidRPr="002D60D7" w:rsidRDefault="005970B6" w:rsidP="00E172EA">
      <w:pPr>
        <w:pStyle w:val="InstructionsText2"/>
        <w:numPr>
          <w:ilvl w:val="0"/>
          <w:numId w:val="29"/>
        </w:numPr>
        <w:suppressAutoHyphens/>
      </w:pPr>
      <w:r>
        <w:t>В този образец се прави разбивка на стойностите под риск (VaR) и стресираните стойности под риск (sVaR) по различните пазарни рискове (дългови инструменти, капиталови инструменти, валута, стоки) и друга информация, необходима за изчисляването на капиталовите изисквания.</w:t>
      </w:r>
    </w:p>
    <w:p w14:paraId="6141A6DE" w14:textId="106A2D11" w:rsidR="005970B6" w:rsidRDefault="005970B6" w:rsidP="00E172EA">
      <w:pPr>
        <w:pStyle w:val="InstructionsText2"/>
        <w:numPr>
          <w:ilvl w:val="0"/>
          <w:numId w:val="29"/>
        </w:numPr>
        <w:suppressAutoHyphens/>
      </w:pPr>
      <w:r>
        <w:t xml:space="preserve">В общия случай то зависи от структурата на модела на инвестиционните посредници и от това дали стойностите за общ и специфичен риск могат да бъдат определени и докладвани поотделно или само като обща стойност. Същото се отнася за разграничаването на стойностите под риск/стресираните стойности под риск в категориите рискове (лихвен риск, капиталов риск, стоков риск и валутен риск). Дадена институция може да се откаже да докладва тези разграничения, ако докаже, че докладването на такива данни би породило излишно бреме. </w:t>
      </w:r>
    </w:p>
    <w:p w14:paraId="2EAB7003" w14:textId="035AB67F"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895899"/>
      <w:r>
        <w:rPr>
          <w:rFonts w:ascii="Times New Roman" w:hAnsi="Times New Roman"/>
          <w:sz w:val="24"/>
          <w:u w:val="none"/>
        </w:rPr>
        <w:t>8.2.</w:t>
      </w:r>
      <w:r>
        <w:tab/>
      </w:r>
      <w:r>
        <w:rPr>
          <w:rFonts w:ascii="Times New Roman" w:hAnsi="Times New Roman"/>
          <w:sz w:val="24"/>
        </w:rPr>
        <w:t>Указания за конкретни позиции</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Колони</w:t>
            </w:r>
          </w:p>
        </w:tc>
      </w:tr>
      <w:tr w:rsidR="005970B6" w:rsidRPr="002D60D7" w14:paraId="52E77425" w14:textId="77777777">
        <w:tc>
          <w:tcPr>
            <w:tcW w:w="993" w:type="dxa"/>
          </w:tcPr>
          <w:p w14:paraId="0E51BB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69" w:type="dxa"/>
          </w:tcPr>
          <w:p w14:paraId="7095CD1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Стойност под риск (VaR)</w:t>
            </w:r>
          </w:p>
          <w:p w14:paraId="3DE9F1A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Стойността под риск представлява максималната потенциална загуба в резултат на промяна в цената при дадена вероятност и за определен времеви хоризонт.</w:t>
            </w:r>
          </w:p>
        </w:tc>
      </w:tr>
      <w:tr w:rsidR="005970B6" w:rsidRPr="002D60D7" w14:paraId="0C4757E9" w14:textId="77777777">
        <w:tc>
          <w:tcPr>
            <w:tcW w:w="993" w:type="dxa"/>
          </w:tcPr>
          <w:p w14:paraId="145F944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69" w:type="dxa"/>
          </w:tcPr>
          <w:p w14:paraId="31C8EDD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Мултипликационен коефициент (mc), умножен по средната стойност под риск за предходните 60 работни дни (VaRavg)</w:t>
            </w:r>
          </w:p>
          <w:p w14:paraId="04584C5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4A7537D0" w14:textId="7FFEC14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Член 364, параграф 1, буква а), подточка ii) и член 365, параграф 1 от Регламент (ЕС) № 575/2013 </w:t>
            </w:r>
          </w:p>
          <w:p w14:paraId="0DEB05BA"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0040</w:t>
            </w:r>
          </w:p>
        </w:tc>
        <w:tc>
          <w:tcPr>
            <w:tcW w:w="7869" w:type="dxa"/>
          </w:tcPr>
          <w:p w14:paraId="4723F4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Стойност под риск за предходния ден (VaRt-1)</w:t>
            </w:r>
          </w:p>
          <w:p w14:paraId="4954CEF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559586B7" w14:textId="29F64A6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Член 364, параграф 1, буква а), подточка i) и член 365, параграф 1 от Регламент (ЕС) № 575/2013 </w:t>
            </w:r>
          </w:p>
          <w:p w14:paraId="645E0D45"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69" w:type="dxa"/>
          </w:tcPr>
          <w:p w14:paraId="34BD64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Стресирана стойност под риск</w:t>
            </w:r>
          </w:p>
          <w:p w14:paraId="60CDE98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Стресираната стойности под риск представлява максималната потенциална загуба в резултат на промяна в цената при дадена вероятност и за определен времеви хоризонт, получена чрез използване на информация, калибрирана с данни за 12-месечен непрекъснат минал период на финансово напрежение с въздействие върху портфейла на институцията.</w:t>
            </w:r>
          </w:p>
        </w:tc>
      </w:tr>
      <w:tr w:rsidR="005970B6" w:rsidRPr="002D60D7" w14:paraId="3411CEBC" w14:textId="77777777">
        <w:tc>
          <w:tcPr>
            <w:tcW w:w="993" w:type="dxa"/>
          </w:tcPr>
          <w:p w14:paraId="026E758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69" w:type="dxa"/>
          </w:tcPr>
          <w:p w14:paraId="629F86A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Мултипликационен коефициент (ms), умножен по средната стойност под риск за предходните 60 работни дни (SVaRavg)</w:t>
            </w:r>
          </w:p>
          <w:p w14:paraId="1CFE4B08"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62913484" w14:textId="351187F2"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b w:val="0"/>
                <w:bCs w:val="0"/>
                <w:sz w:val="24"/>
              </w:rPr>
            </w:pPr>
            <w:r>
              <w:rPr>
                <w:rFonts w:ascii="Times New Roman" w:hAnsi="Times New Roman"/>
                <w:sz w:val="24"/>
              </w:rPr>
              <w:t>Член 364, параграф 1, буква б), подточка ii) и член 365, параграф 1 от Регламент (ЕС) № 575/2013</w:t>
            </w:r>
            <w:r>
              <w:rPr>
                <w:rStyle w:val="InstructionsTabelleberschrift"/>
                <w:rFonts w:ascii="Times New Roman" w:hAnsi="Times New Roman"/>
                <w:sz w:val="24"/>
              </w:rPr>
              <w:t xml:space="preserve"> </w:t>
            </w:r>
          </w:p>
          <w:p w14:paraId="77989826"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69" w:type="dxa"/>
          </w:tcPr>
          <w:p w14:paraId="470B121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Последна известна стресирана стойност под риск (SVaRt-1)</w:t>
            </w:r>
          </w:p>
          <w:p w14:paraId="0EC2BDB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5FF53E38" w14:textId="0054C4C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Член 364, параграф 1, буква б), подточка i) и член 365, параграф 1 от Регламент (ЕС) № 575/2013 </w:t>
            </w:r>
          </w:p>
          <w:p w14:paraId="5E60C64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0070—0080</w:t>
            </w:r>
          </w:p>
        </w:tc>
        <w:tc>
          <w:tcPr>
            <w:tcW w:w="7869" w:type="dxa"/>
          </w:tcPr>
          <w:p w14:paraId="0A6B8E3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КАПИТАЛОВИ ИЗИСКВАНИЯ ЗА ДОПЪЛНИТЕЛЕН РИСК ОТ НЕИЗПЪЛНЕНИЕ И МИГРАЦИОНЕН РИСК</w:t>
            </w:r>
          </w:p>
          <w:p w14:paraId="5B3AF066" w14:textId="72000B27" w:rsidR="005970B6" w:rsidRPr="002D60D7" w:rsidRDefault="005970B6" w:rsidP="004C445F">
            <w:pPr>
              <w:suppressAutoHyphens/>
              <w:rPr>
                <w:rFonts w:ascii="Times New Roman" w:hAnsi="Times New Roman"/>
                <w:b/>
                <w:bCs/>
                <w:sz w:val="24"/>
                <w:u w:val="single"/>
              </w:rPr>
            </w:pPr>
            <w:r>
              <w:rPr>
                <w:rFonts w:ascii="Times New Roman" w:hAnsi="Times New Roman"/>
                <w:sz w:val="24"/>
              </w:rPr>
              <w:t xml:space="preserve">Капиталово изискване за допълнителен риск от неизпълнение и миграционен риск означава максималната потенциална загуба в резултат на промяна в цената, свързана с риска от неизпълнение и миграционния риск, изчислена в съответствие с член 364, параграф 2, буква б) във връзка с трета част, дял IV, глава 5, раздел 4 от Регламент (ЕС) № 575/2013. </w:t>
            </w:r>
          </w:p>
        </w:tc>
      </w:tr>
      <w:tr w:rsidR="005970B6" w:rsidRPr="002D60D7" w14:paraId="17515745" w14:textId="77777777">
        <w:tc>
          <w:tcPr>
            <w:tcW w:w="993" w:type="dxa"/>
          </w:tcPr>
          <w:p w14:paraId="595C652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69" w:type="dxa"/>
          </w:tcPr>
          <w:p w14:paraId="48A1B02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Средна величина за 12 седмици</w:t>
            </w:r>
          </w:p>
          <w:p w14:paraId="7DF0D03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1A6FCED4" w14:textId="280A30E8"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Член 364, параграф 2, буква б), подточка ii) във връзка с трета част, дял IV, глава 5, раздел 4 от Регламент (ЕС) № 575/2013</w:t>
            </w:r>
          </w:p>
          <w:p w14:paraId="4E5E6B9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69" w:type="dxa"/>
          </w:tcPr>
          <w:p w14:paraId="24DAC2B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Последна величина</w:t>
            </w:r>
          </w:p>
          <w:p w14:paraId="776D80B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Член 364, параграф 2, буква б), подточка i) във връзка с трета част, дял IV, глава 5, раздел 4 от Регламент (ЕС) № 575/2013</w:t>
            </w:r>
          </w:p>
          <w:p w14:paraId="2DB84E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869" w:type="dxa"/>
          </w:tcPr>
          <w:p w14:paraId="1C6A0111"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КАПИТАЛОВИ ИЗИСКВАНИЯ ЗА ВСИЧКИ ЦЕНОВИ РИСКОВЕ ЗА ПОРТФЕЙЛА ЗА КОРЕЛАЦИОННО ТЪРГУВАНЕ</w:t>
            </w:r>
          </w:p>
          <w:p w14:paraId="29B7ABA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69" w:type="dxa"/>
          </w:tcPr>
          <w:p w14:paraId="1E696B6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МИНИМАЛНА СТОЙНОСТ</w:t>
            </w:r>
          </w:p>
          <w:p w14:paraId="4D4AA5D6" w14:textId="77777777" w:rsidR="005970B6" w:rsidRPr="002D60D7" w:rsidRDefault="005970B6" w:rsidP="004C445F">
            <w:pPr>
              <w:suppressAutoHyphens/>
              <w:rPr>
                <w:rFonts w:ascii="Times New Roman" w:hAnsi="Times New Roman"/>
                <w:sz w:val="24"/>
              </w:rPr>
            </w:pPr>
            <w:r>
              <w:rPr>
                <w:rFonts w:ascii="Times New Roman" w:hAnsi="Times New Roman"/>
                <w:sz w:val="24"/>
              </w:rPr>
              <w:t>Член 364, параграф 3, буква в) от Регламент (ЕС) № 575/2013</w:t>
            </w:r>
          </w:p>
          <w:p w14:paraId="43C8E4E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lastRenderedPageBreak/>
              <w:t>8 % от капиталовите изисквания, които се изчисляват в съответствие с член 338, параграф 1 от Регламент (ЕС) № 575/2013 за всички позиции по отношение на капиталовото изискване за „всички ценови рискове“.</w:t>
            </w:r>
            <w:r>
              <w:rPr>
                <w:rFonts w:ascii="Times New Roman" w:hAnsi="Times New Roman"/>
                <w:b/>
                <w:sz w:val="24"/>
                <w:u w:val="single"/>
              </w:rPr>
              <w:t xml:space="preserve"> </w:t>
            </w:r>
          </w:p>
          <w:p w14:paraId="0D02237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0100—0110</w:t>
            </w:r>
          </w:p>
        </w:tc>
        <w:tc>
          <w:tcPr>
            <w:tcW w:w="7869" w:type="dxa"/>
          </w:tcPr>
          <w:p w14:paraId="7CEDB94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СРЕДНА ВЕЛИЧИНА ЗА 12 СЕДМИЦИ И ПОСЛЕДНА ВЕЛИЧИНА</w:t>
            </w:r>
          </w:p>
          <w:p w14:paraId="46EA9990" w14:textId="77777777" w:rsidR="005970B6" w:rsidRPr="002D60D7" w:rsidRDefault="005970B6" w:rsidP="004C445F">
            <w:pPr>
              <w:suppressAutoHyphens/>
              <w:autoSpaceDE w:val="0"/>
              <w:autoSpaceDN w:val="0"/>
              <w:adjustRightInd w:val="0"/>
              <w:spacing w:after="0"/>
              <w:rPr>
                <w:rFonts w:ascii="Times New Roman" w:hAnsi="Times New Roman"/>
                <w:bCs/>
                <w:sz w:val="24"/>
              </w:rPr>
            </w:pPr>
            <w:r>
              <w:rPr>
                <w:rFonts w:ascii="Times New Roman" w:hAnsi="Times New Roman"/>
                <w:sz w:val="24"/>
              </w:rPr>
              <w:t>Член 364, параграф 3, буква б) от Регламент (ЕС) № 575/2013</w:t>
            </w:r>
          </w:p>
          <w:p w14:paraId="3111F404" w14:textId="77777777" w:rsidR="005970B6" w:rsidRPr="002D60D7"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69" w:type="dxa"/>
          </w:tcPr>
          <w:p w14:paraId="30EB7A67"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ПОСЛЕДНА ВЕЛИЧИНА</w:t>
            </w:r>
          </w:p>
          <w:p w14:paraId="54C3A200" w14:textId="77777777" w:rsidR="005970B6" w:rsidRPr="002D60D7" w:rsidRDefault="005970B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Член 364, параграф 3, буква а) от Регламент (ЕС) № 575/2013</w:t>
            </w:r>
          </w:p>
          <w:p w14:paraId="702AB9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69" w:type="dxa"/>
          </w:tcPr>
          <w:p w14:paraId="154C34A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КАПИТАЛОВИ ИЗИСКВАНИЯ</w:t>
            </w:r>
          </w:p>
          <w:p w14:paraId="278D1894" w14:textId="31D5182C"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Капиталовите изисквания, посочени в член 364 от Регламент (ЕС) № 575/2013 за всички рискови коефициенти, като се вземе предвид корелационното въздействие, ако е приложимо, плюс за допълнителния риск от неизпълнение и за миграционния риск, както и за всички ценови рискове при портфейла за корелационно търгуване, но без капиталовите изисквания за секюритизациите и за кредитните деривати за n-то неизпълнение – в съответствие с член 364, параграф 2 от посочения регламент. </w:t>
            </w:r>
          </w:p>
        </w:tc>
      </w:tr>
      <w:tr w:rsidR="005970B6" w:rsidRPr="002D60D7" w14:paraId="321F7641" w14:textId="77777777">
        <w:tc>
          <w:tcPr>
            <w:tcW w:w="993" w:type="dxa"/>
          </w:tcPr>
          <w:p w14:paraId="4808EA4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w:t>
            </w:r>
          </w:p>
        </w:tc>
        <w:tc>
          <w:tcPr>
            <w:tcW w:w="7869" w:type="dxa"/>
          </w:tcPr>
          <w:p w14:paraId="191025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ОБЩ РАЗМЕР НА РИСКОВАТА ЕКСПОЗИЦИЯ</w:t>
            </w:r>
          </w:p>
          <w:p w14:paraId="1B83D6B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2BD10046" w14:textId="2F594400"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Член 92, параграф 6, буква б) от Регламент (ЕС) № 575/2013. </w:t>
            </w:r>
          </w:p>
          <w:p w14:paraId="0C045673" w14:textId="570D1A6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Произведението на капиталовите изисквания и 12,5.</w:t>
            </w:r>
          </w:p>
          <w:p w14:paraId="1D75252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0140</w:t>
            </w:r>
          </w:p>
        </w:tc>
        <w:tc>
          <w:tcPr>
            <w:tcW w:w="7869" w:type="dxa"/>
          </w:tcPr>
          <w:p w14:paraId="69330FF8"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Брой превишения (през предходните 250 работни дни)</w:t>
            </w:r>
          </w:p>
          <w:p w14:paraId="66F88BE9"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Посочени в член 366 от Регламент (ЕС) № 575/2013.</w:t>
            </w:r>
          </w:p>
          <w:p w14:paraId="681C5C48" w14:textId="5946ADCD"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Докладва се броят превишения, въз основа на които е определена надбавката. Когато на инвестиционните посредници е разрешено да изключат определени превишения при изчисляването на надбавката в съответствие с член 500в от Регламент (ЕС) № 575/2013, броят на докладваните в тази колона превишения е нетно от изключените превишения.</w:t>
            </w:r>
          </w:p>
        </w:tc>
      </w:tr>
      <w:tr w:rsidR="005970B6" w:rsidRPr="002D60D7" w14:paraId="44599020" w14:textId="77777777">
        <w:tc>
          <w:tcPr>
            <w:tcW w:w="993" w:type="dxa"/>
          </w:tcPr>
          <w:p w14:paraId="4C66FF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0150—0160</w:t>
            </w:r>
          </w:p>
        </w:tc>
        <w:tc>
          <w:tcPr>
            <w:tcW w:w="7869" w:type="dxa"/>
          </w:tcPr>
          <w:p w14:paraId="26532024"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Мултипликационен коефициент за стойност под риск (mc) и мултипликационен коефициент за стресирана стойност под риск (ms)</w:t>
            </w:r>
          </w:p>
          <w:p w14:paraId="5E04C211" w14:textId="77777777"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Съгласно член 366 от Регламент (ЕС) № 575/2013.</w:t>
            </w:r>
          </w:p>
          <w:p w14:paraId="779600D5" w14:textId="77777777" w:rsidR="005970B6" w:rsidRPr="002D60D7" w:rsidRDefault="005970B6" w:rsidP="004C445F">
            <w:pPr>
              <w:suppressAutoHyphens/>
              <w:autoSpaceDE w:val="0"/>
              <w:autoSpaceDN w:val="0"/>
              <w:adjustRightInd w:val="0"/>
              <w:spacing w:before="0" w:after="0"/>
              <w:rPr>
                <w:rStyle w:val="InstructionsTabelleberschrift"/>
              </w:rPr>
            </w:pPr>
            <w:r>
              <w:rPr>
                <w:rFonts w:ascii="Times New Roman" w:hAnsi="Times New Roman"/>
                <w:sz w:val="24"/>
              </w:rPr>
              <w:t>Докладват се мултипликационните коефициенти, приложени на практика за изчисляване на капиталовите изисквания; когато е приложимо, след прилагане на член 500в от Регламент (ЕС) № 575/2013.</w:t>
            </w:r>
          </w:p>
          <w:p w14:paraId="50AAD27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0170—0180</w:t>
            </w:r>
          </w:p>
        </w:tc>
        <w:tc>
          <w:tcPr>
            <w:tcW w:w="7869" w:type="dxa"/>
          </w:tcPr>
          <w:p w14:paraId="48824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ВЪЗПРИЕТИ ИЗИСКВАНИЯ ЗА МИНИМАЛНАТА СТОЙНОСТ НА ПОРТФЕЙЛА ЗА КОРЕЛАЦИОННО ТЪРГУВАНЕ – ПРЕТЕГЛЕНИ НЕТНИ ДЪЛГИ/КЪСИ ПОЗИЦИИ СЛЕД ОГРАНИЧАВАНЕТО</w:t>
            </w:r>
          </w:p>
          <w:p w14:paraId="494DC1BB" w14:textId="2CBA2FF8" w:rsidR="005970B6" w:rsidRPr="002D60D7" w:rsidRDefault="005970B6" w:rsidP="004C445F">
            <w:pPr>
              <w:suppressAutoHyphens/>
              <w:autoSpaceDE w:val="0"/>
              <w:autoSpaceDN w:val="0"/>
              <w:adjustRightInd w:val="0"/>
              <w:rPr>
                <w:rStyle w:val="InstructionsTabelleberschrift"/>
                <w:rFonts w:ascii="Times New Roman" w:hAnsi="Times New Roman"/>
                <w:sz w:val="24"/>
              </w:rPr>
            </w:pPr>
            <w:r>
              <w:rPr>
                <w:rFonts w:ascii="Times New Roman" w:hAnsi="Times New Roman"/>
                <w:sz w:val="24"/>
              </w:rPr>
              <w:t xml:space="preserve">При докладваните стойности, които служат за основа за изчисляване на минималната стойност на капиталовите изисквания за всички ценови рискове в съответствие с член 364, параграф 3, буква в) от Регламент (ЕС) </w:t>
            </w:r>
            <w:r>
              <w:rPr>
                <w:rFonts w:ascii="Times New Roman" w:hAnsi="Times New Roman"/>
                <w:sz w:val="24"/>
              </w:rPr>
              <w:lastRenderedPageBreak/>
              <w:t xml:space="preserve">№ 575/2013, се взима предвид свободата на преценка по член 335 от същия регламент, където на институцията се позволява да ограничи произведението на теглото и нетната позиция до максималната възможна загуба при реализиране на риска от неизпълнение. </w:t>
            </w:r>
          </w:p>
        </w:tc>
      </w:tr>
    </w:tbl>
    <w:p w14:paraId="7C2EA60D" w14:textId="77777777" w:rsidR="005970B6" w:rsidRPr="002D60D7"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77777777" w:rsidR="005970B6" w:rsidRPr="002D60D7" w:rsidRDefault="005970B6"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Редове</w:t>
            </w:r>
          </w:p>
        </w:tc>
      </w:tr>
      <w:tr w:rsidR="005970B6" w:rsidRPr="002D60D7" w14:paraId="02CF19A0" w14:textId="77777777" w:rsidTr="00332B2A">
        <w:tc>
          <w:tcPr>
            <w:tcW w:w="993" w:type="dxa"/>
          </w:tcPr>
          <w:p w14:paraId="1CFD210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903" w:type="dxa"/>
          </w:tcPr>
          <w:p w14:paraId="35E94AC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ОБЩО ПОЗИЦИИ</w:t>
            </w:r>
          </w:p>
          <w:p w14:paraId="51E6C5C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7DCEF510"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Представлява частта от позиционния, валутния и стоковия риск по член 363, параграф 1 от Регламент (ЕС) № 575/2013, свързана с рисковите фактори по член 367, параграф 2 от същия регламент.</w:t>
            </w:r>
          </w:p>
          <w:p w14:paraId="1E849456"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По отношение на колони 0030—0060 (стойност под риск и стресирана стойност под риск) данните в реда за общата стойност не са равни на разбивката на данните за стойностите под риск/стресираните стойности под риск на съответните компоненти на риска.</w:t>
            </w:r>
          </w:p>
          <w:p w14:paraId="5F3B58EB"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w:t>
            </w:r>
          </w:p>
        </w:tc>
        <w:tc>
          <w:tcPr>
            <w:tcW w:w="7903" w:type="dxa"/>
          </w:tcPr>
          <w:p w14:paraId="27B63C5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ТЪРГУВАНИ ДЪЛГОВИ ИНСТРУМЕНТИ</w:t>
            </w:r>
          </w:p>
          <w:p w14:paraId="15354D11" w14:textId="079C5AF5"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Представлява частта от позиционния риск по член 363, параграф 1 от Регламент (ЕС) № 575/2013, свързана с факторите на лихвения риск по член 367, параграф 2, буква а) от същия регламент.</w:t>
            </w:r>
          </w:p>
        </w:tc>
      </w:tr>
      <w:tr w:rsidR="005970B6" w:rsidRPr="002D60D7" w14:paraId="49E5F163" w14:textId="77777777" w:rsidTr="00332B2A">
        <w:tc>
          <w:tcPr>
            <w:tcW w:w="993" w:type="dxa"/>
          </w:tcPr>
          <w:p w14:paraId="286B5CF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903" w:type="dxa"/>
          </w:tcPr>
          <w:p w14:paraId="39D95E9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ТЪРГУВАНИ ДЪЛГОВИ ИНСТРУМЕНТИ — ОБЩ РИСК</w:t>
            </w:r>
          </w:p>
          <w:p w14:paraId="630ECD46" w14:textId="77777777"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 xml:space="preserve">Компонентът за общ риск съгласно посоченото в член 362 от Регламент (ЕС) № 575/2013. </w:t>
            </w:r>
          </w:p>
        </w:tc>
      </w:tr>
      <w:tr w:rsidR="005970B6" w:rsidRPr="002D60D7" w14:paraId="2085F588" w14:textId="77777777" w:rsidTr="00332B2A">
        <w:tc>
          <w:tcPr>
            <w:tcW w:w="993" w:type="dxa"/>
          </w:tcPr>
          <w:p w14:paraId="156A3F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903" w:type="dxa"/>
          </w:tcPr>
          <w:p w14:paraId="2815D7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ТЪРГУВАНИ ДЪЛГОВИ ИНСТРУМЕНТИ — СПЕЦИФИЧЕН РИСК</w:t>
            </w:r>
          </w:p>
          <w:p w14:paraId="6901AE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Компонентът за специфичен риск съгласно посоченото в член 362 от Регламент (ЕС) № 575/2013. </w:t>
            </w:r>
          </w:p>
        </w:tc>
      </w:tr>
      <w:tr w:rsidR="005970B6" w:rsidRPr="002D60D7" w14:paraId="3B749D99" w14:textId="77777777" w:rsidTr="00332B2A">
        <w:tc>
          <w:tcPr>
            <w:tcW w:w="993" w:type="dxa"/>
          </w:tcPr>
          <w:p w14:paraId="4E29334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903" w:type="dxa"/>
          </w:tcPr>
          <w:p w14:paraId="1DA02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КАПИТАЛОВИ ИНСТРУМЕНТИ</w:t>
            </w:r>
          </w:p>
          <w:p w14:paraId="2467F6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436B16C8" w14:textId="145A0B19"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Представлява частта от позиционния риск по член 363, параграф 1 от Регламент (ЕС) № 575/2013, свързана с факторите на капиталовия риск по член 367, параграф 2, буква в) от същия регламент. </w:t>
            </w:r>
          </w:p>
          <w:p w14:paraId="7E55C50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903" w:type="dxa"/>
          </w:tcPr>
          <w:p w14:paraId="2CD176E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КАПИТАЛОВИ ИНСТРУМЕНТИ — ОБЩ РИСК</w:t>
            </w:r>
          </w:p>
          <w:p w14:paraId="7ACC51D0"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Компонентът за общ риск съгласно посоченото в член 362 от Регламент (ЕС) № 575/2013.</w:t>
            </w:r>
          </w:p>
        </w:tc>
      </w:tr>
      <w:tr w:rsidR="005970B6" w:rsidRPr="002D60D7" w14:paraId="50D0A347" w14:textId="77777777" w:rsidTr="00332B2A">
        <w:tc>
          <w:tcPr>
            <w:tcW w:w="993" w:type="dxa"/>
          </w:tcPr>
          <w:p w14:paraId="38D0948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903" w:type="dxa"/>
          </w:tcPr>
          <w:p w14:paraId="34DF223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КАПИТАЛОВИ ИНСТРУМЕНТИ — СПЕЦИФИЧЕН РИСК</w:t>
            </w:r>
          </w:p>
          <w:p w14:paraId="6F314929"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Компонентът за специфичен риск съгласно посоченото в член 362 от Регламент (ЕС) № 575/2013. </w:t>
            </w:r>
          </w:p>
        </w:tc>
      </w:tr>
      <w:tr w:rsidR="005970B6" w:rsidRPr="002D60D7" w14:paraId="5B986D45" w14:textId="77777777" w:rsidTr="00332B2A">
        <w:tc>
          <w:tcPr>
            <w:tcW w:w="993" w:type="dxa"/>
          </w:tcPr>
          <w:p w14:paraId="6F14BE8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903" w:type="dxa"/>
          </w:tcPr>
          <w:p w14:paraId="09DDEB7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ВАЛУТЕН РИСК</w:t>
            </w:r>
          </w:p>
          <w:p w14:paraId="219E93CA"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Член 363, параграф 1 и член 367, параграф 2, буква б) от Регламент (ЕС) № 575/2013</w:t>
            </w:r>
          </w:p>
        </w:tc>
      </w:tr>
      <w:tr w:rsidR="005970B6" w:rsidRPr="002D60D7" w14:paraId="6242B7DB" w14:textId="77777777" w:rsidTr="00332B2A">
        <w:tc>
          <w:tcPr>
            <w:tcW w:w="993" w:type="dxa"/>
          </w:tcPr>
          <w:p w14:paraId="01A4D573"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0090</w:t>
            </w:r>
          </w:p>
        </w:tc>
        <w:tc>
          <w:tcPr>
            <w:tcW w:w="7903" w:type="dxa"/>
          </w:tcPr>
          <w:p w14:paraId="2B9D470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СТОКОВ РИСК</w:t>
            </w:r>
          </w:p>
          <w:p w14:paraId="4BBB0F31" w14:textId="4679FFC1"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Член 363, параграф 1 и член 367, параграф 2, буква г) от Регламент (ЕС) № 575/2013 </w:t>
            </w:r>
          </w:p>
        </w:tc>
      </w:tr>
      <w:tr w:rsidR="005970B6" w:rsidRPr="002D60D7" w14:paraId="5165C26D" w14:textId="77777777" w:rsidTr="00332B2A">
        <w:tc>
          <w:tcPr>
            <w:tcW w:w="993" w:type="dxa"/>
          </w:tcPr>
          <w:p w14:paraId="349448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903" w:type="dxa"/>
          </w:tcPr>
          <w:p w14:paraId="379C8EA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ОБЩ РАЗМЕР НА ОБЩИЯ РИСК</w:t>
            </w:r>
          </w:p>
          <w:p w14:paraId="0C19B9D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Style w:val="InstructionsTabelleText"/>
                <w:rFonts w:ascii="Times New Roman" w:hAnsi="Times New Roman"/>
                <w:sz w:val="24"/>
              </w:rPr>
              <w:t xml:space="preserve">Пазарният риск, породен от общата динамика на пазара на търгувани дългови инструменти, капиталови инструменти, валута и стоки. Стойността под риск за общ риск на всички рискови фактори (когато е приложимо се взимат предвид корелационните зависимости). </w:t>
            </w:r>
          </w:p>
          <w:p w14:paraId="58946EA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903" w:type="dxa"/>
          </w:tcPr>
          <w:p w14:paraId="116F184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ОБЩ РАЗМЕР НА СПЕЦИФИЧНИЯ РИСК</w:t>
            </w:r>
          </w:p>
          <w:p w14:paraId="6E0205CC" w14:textId="77777777" w:rsidR="005970B6" w:rsidRPr="00696301" w:rsidRDefault="005970B6" w:rsidP="004C445F">
            <w:pPr>
              <w:suppressAutoHyphens/>
              <w:autoSpaceDE w:val="0"/>
              <w:autoSpaceDN w:val="0"/>
              <w:adjustRightInd w:val="0"/>
              <w:rPr>
                <w:rFonts w:ascii="Times New Roman" w:hAnsi="Times New Roman"/>
                <w:b/>
                <w:bCs/>
                <w:sz w:val="24"/>
                <w:u w:val="single"/>
              </w:rPr>
            </w:pPr>
            <w:r>
              <w:rPr>
                <w:rStyle w:val="InstructionsTabelleText"/>
                <w:rFonts w:ascii="Times New Roman" w:hAnsi="Times New Roman"/>
                <w:sz w:val="24"/>
              </w:rPr>
              <w:t>Компонентът за специфичен риск при търгуваните дългови инструменти и капиталовите инструменти. Стойността под риск за специфичен риск при капиталовите инструменти и търгуваните дългови инструменти от търговския портфейл (когато е приложимо се взимат предвид корелационните зависимости).</w:t>
            </w:r>
          </w:p>
        </w:tc>
      </w:tr>
    </w:tbl>
    <w:p w14:paraId="0578F882" w14:textId="77777777" w:rsidR="005970B6" w:rsidRPr="00696301" w:rsidRDefault="005970B6" w:rsidP="004C445F">
      <w:pPr>
        <w:suppressAutoHyphens/>
        <w:spacing w:before="0" w:after="0"/>
        <w:jc w:val="left"/>
        <w:rPr>
          <w:rStyle w:val="InstructionsTabelleText"/>
          <w:rFonts w:ascii="Times New Roman" w:hAnsi="Times New Roman"/>
          <w:sz w:val="24"/>
        </w:rPr>
      </w:pPr>
    </w:p>
    <w:p w14:paraId="59BBB927" w14:textId="10C25CE3" w:rsidR="00DD00B4" w:rsidRPr="00696301" w:rsidRDefault="0076375E" w:rsidP="004C445F">
      <w:pPr>
        <w:suppressAutoHyphens/>
        <w:spacing w:before="0" w:after="0"/>
        <w:jc w:val="left"/>
        <w:rPr>
          <w:rStyle w:val="InstructionsTabelleText"/>
          <w:rFonts w:ascii="Times New Roman" w:hAnsi="Times New Roman"/>
          <w:sz w:val="24"/>
        </w:rPr>
      </w:pPr>
      <w:r>
        <w:rPr>
          <w:rStyle w:val="InstructionsTabelleText"/>
          <w:rFonts w:ascii="Times New Roman" w:hAnsi="Times New Roman"/>
          <w:sz w:val="24"/>
        </w:rPr>
        <w:t>“</w:t>
      </w: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1557" w14:textId="77777777" w:rsidR="001D7222" w:rsidRDefault="001D7222" w:rsidP="00D946DB">
      <w:pPr>
        <w:spacing w:before="0" w:after="0"/>
      </w:pPr>
      <w:r>
        <w:separator/>
      </w:r>
    </w:p>
  </w:endnote>
  <w:endnote w:type="continuationSeparator" w:id="0">
    <w:p w14:paraId="78405556" w14:textId="77777777" w:rsidR="001D7222" w:rsidRDefault="001D7222" w:rsidP="00D946DB">
      <w:pPr>
        <w:spacing w:before="0" w:after="0"/>
      </w:pPr>
      <w:r>
        <w:continuationSeparator/>
      </w:r>
    </w:p>
  </w:endnote>
  <w:endnote w:type="continuationNotice" w:id="1">
    <w:p w14:paraId="1E4D48D1" w14:textId="77777777" w:rsidR="001D7222" w:rsidRDefault="001D72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7FAA" w14:textId="77777777" w:rsidR="001D7222" w:rsidRDefault="001D7222" w:rsidP="00D946DB">
      <w:pPr>
        <w:spacing w:before="0" w:after="0"/>
      </w:pPr>
      <w:r>
        <w:separator/>
      </w:r>
    </w:p>
  </w:footnote>
  <w:footnote w:type="continuationSeparator" w:id="0">
    <w:p w14:paraId="6DB92C41" w14:textId="77777777" w:rsidR="001D7222" w:rsidRDefault="001D7222" w:rsidP="00D946DB">
      <w:pPr>
        <w:spacing w:before="0" w:after="0"/>
      </w:pPr>
      <w:r>
        <w:continuationSeparator/>
      </w:r>
    </w:p>
  </w:footnote>
  <w:footnote w:type="continuationNotice" w:id="1">
    <w:p w14:paraId="7F31BD24" w14:textId="77777777" w:rsidR="001D7222" w:rsidRDefault="001D7222">
      <w:pPr>
        <w:spacing w:before="0" w:after="0"/>
      </w:pPr>
    </w:p>
  </w:footnote>
  <w:footnote w:id="2">
    <w:p w14:paraId="3507A652" w14:textId="1546AF66" w:rsidR="00C3070C" w:rsidRPr="00B828CC" w:rsidRDefault="00C3070C" w:rsidP="00C91751">
      <w:r>
        <w:rPr>
          <w:rStyle w:val="FootnoteReference"/>
        </w:rPr>
        <w:footnoteRef/>
      </w:r>
      <w:r>
        <w:t xml:space="preserve"> </w:t>
      </w:r>
      <w:r>
        <w:rPr>
          <w:rFonts w:ascii="Times New Roman" w:hAnsi="Times New Roman"/>
        </w:rPr>
        <w:t>Делегиран регламент (ЕС) № 525/2014 на Комисията от 12 март 2014 г. за допълване на Регламент (ЕС) № 575/2013 на Европейския парламент и на Съвета с регулаторни технически стандарти за определяне на понятието „пазар“ ( ОВ L 148, 20.5.2014 г., стр. 15,</w:t>
      </w:r>
      <w:r>
        <w:t xml:space="preserve"> </w:t>
      </w:r>
      <w:r>
        <w:rPr>
          <w:rFonts w:ascii="Times New Roman" w:hAnsi="Times New Roman"/>
        </w:rPr>
        <w:t>ELI: http://data.europa.eu/eli/reg_del/2014/525/oj)</w:t>
      </w:r>
      <w:r>
        <w:rPr>
          <w:rFonts w:ascii="Times New Roman" w:hAnsi="Times New Roman"/>
          <w:i/>
        </w:rPr>
        <w:t>.</w:t>
      </w:r>
    </w:p>
  </w:footnote>
  <w:footnote w:id="3">
    <w:p w14:paraId="018474C7" w14:textId="4B859446" w:rsidR="00C3070C" w:rsidRPr="00A11C6E" w:rsidRDefault="00C3070C">
      <w:pPr>
        <w:pStyle w:val="FootnoteText"/>
      </w:pPr>
      <w:r>
        <w:rPr>
          <w:rStyle w:val="FootnoteReference"/>
        </w:rPr>
        <w:footnoteRef/>
      </w:r>
      <w:r>
        <w:t xml:space="preserve"> Регламент за изпълнение (ЕС) № 945/2014 на Комисията от 4 септември 2014 година за определяне, в съответствие с Регламент (ЕС) № 575/2013 на Европейския парламент и на Съвета, на технически стандарти за изпълнение по отношение на приложимите и подходящо диверсифицирани индекси (ОВ L 265, 5.9.2014 г., стр. 3, ELI: http://data.europa.eu/eli/reg_impl/2014/945/oj).</w:t>
      </w:r>
    </w:p>
  </w:footnote>
  <w:footnote w:id="4">
    <w:p w14:paraId="22A9C113" w14:textId="5D688A5C" w:rsidR="0014702F" w:rsidRPr="006B7076" w:rsidRDefault="0014702F" w:rsidP="006B7076">
      <w:pPr>
        <w:pStyle w:val="FootnoteText"/>
        <w:jc w:val="left"/>
      </w:pPr>
      <w:r>
        <w:rPr>
          <w:rStyle w:val="FootnoteReference"/>
        </w:rPr>
        <w:footnoteRef/>
      </w:r>
      <w:r>
        <w:t xml:space="preserve"> Директива 2014/65/ЕС </w:t>
      </w:r>
      <w:bookmarkStart w:id="129" w:name="_Hlk204078738"/>
      <w:r>
        <w:t>на Европейския парламент и на Съвета</w:t>
      </w:r>
      <w:bookmarkEnd w:id="129"/>
      <w:r>
        <w:t xml:space="preserve"> от 15 май 2014 г. относно пазарите на финансови инструменти и за изменение на Директива 2002/92/ЕО и на Директива 2011/61/ЕС (ОВ L 173, 12.6.2014 г., стр. 349, ELI: 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4AEDF1D6"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Pr>
                        <w:rFonts w:ascii="Calibri" w:hAnsi="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31AE29C0"/>
    <w:lvl w:ilvl="0" w:tplc="58DC475E">
      <w:start w:val="1"/>
      <mc:AlternateContent>
        <mc:Choice Requires="w14">
          <w:numFmt w:val="custom" w:format="а, й, к, ..."/>
        </mc:Choice>
        <mc:Fallback>
          <w:numFmt w:val="decimal"/>
        </mc:Fallback>
      </mc:AlternateContent>
      <w:lvlText w:val="%1)"/>
      <w:lvlJc w:val="left"/>
      <w:pPr>
        <w:ind w:left="1080" w:hanging="360"/>
      </w:pPr>
      <w:rPr>
        <w:rFonts w:ascii="Times New Roman" w:hAnsi="Times New Roman" w:cs="Times New Roman" w:hint="default"/>
        <w:b w:val="0"/>
        <w:bCs w:val="0"/>
        <w:i w:val="0"/>
        <w:iCs w:val="0"/>
        <w:spacing w:val="-1"/>
        <w:w w:val="99"/>
        <w:sz w:val="24"/>
        <w:szCs w:val="24"/>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0EDE"/>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72E2"/>
    <w:rsid w:val="00227F11"/>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63"/>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97D7C"/>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7EE9"/>
    <w:rsid w:val="00520B00"/>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677FB"/>
    <w:rsid w:val="00670758"/>
    <w:rsid w:val="00672D2A"/>
    <w:rsid w:val="0067375E"/>
    <w:rsid w:val="006746DB"/>
    <w:rsid w:val="00674BF5"/>
    <w:rsid w:val="00674FCA"/>
    <w:rsid w:val="006750B8"/>
    <w:rsid w:val="00676B42"/>
    <w:rsid w:val="00676B98"/>
    <w:rsid w:val="006771CE"/>
    <w:rsid w:val="006778A2"/>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C0691"/>
    <w:rsid w:val="006C0915"/>
    <w:rsid w:val="006C0EF3"/>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EB6"/>
    <w:rsid w:val="00B65593"/>
    <w:rsid w:val="00B65598"/>
    <w:rsid w:val="00B704AB"/>
    <w:rsid w:val="00B71CD5"/>
    <w:rsid w:val="00B71DAC"/>
    <w:rsid w:val="00B723C6"/>
    <w:rsid w:val="00B72E87"/>
    <w:rsid w:val="00B730C7"/>
    <w:rsid w:val="00B734C4"/>
    <w:rsid w:val="00B7350E"/>
    <w:rsid w:val="00B74106"/>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bg-BG"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bg-BG"/>
    </w:rPr>
  </w:style>
  <w:style w:type="character" w:customStyle="1" w:styleId="Heading2Char">
    <w:name w:val="Heading 2 Char"/>
    <w:link w:val="Heading2"/>
    <w:uiPriority w:val="99"/>
    <w:locked/>
    <w:rsid w:val="00EC5046"/>
    <w:rPr>
      <w:rFonts w:ascii="Verdana" w:hAnsi="Verdana" w:cs="Times New Roman"/>
      <w:b/>
      <w:sz w:val="24"/>
      <w:szCs w:val="24"/>
      <w:u w:val="single"/>
      <w:lang w:val="bg-BG"/>
    </w:rPr>
  </w:style>
  <w:style w:type="character" w:customStyle="1" w:styleId="Heading3Char">
    <w:name w:val="Heading 3 Char"/>
    <w:aliases w:val="Title 2 Char"/>
    <w:uiPriority w:val="99"/>
    <w:locked/>
    <w:rsid w:val="00884FEB"/>
    <w:rPr>
      <w:rFonts w:cs="Times New Roman"/>
      <w:sz w:val="24"/>
      <w:szCs w:val="24"/>
      <w:lang w:val="bg-BG"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bg-BG"/>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bg-BG"/>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bg-BG"/>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bg-BG"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bg-BG"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bg-BG"/>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bg-BG"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bg-BG"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bg-BG"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bg-BG"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75DD7EF5-F4B4-4298-BB10-9571695752A2}">
  <ds:schemaRefs>
    <ds:schemaRef ds:uri="http://schemas.microsoft.com/sharepoint/v3/contenttype/forms"/>
  </ds:schemaRefs>
</ds:datastoreItem>
</file>

<file path=customXml/itemProps3.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96</TotalTime>
  <Pages>24</Pages>
  <Words>6756</Words>
  <Characters>38756</Characters>
  <Application>Microsoft Office Word</Application>
  <DocSecurity>0</DocSecurity>
  <Lines>1211</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BAKOS Tamas (DGT)</cp:lastModifiedBy>
  <cp:revision>10</cp:revision>
  <dcterms:created xsi:type="dcterms:W3CDTF">2025-10-06T12:40:00Z</dcterms:created>
  <dcterms:modified xsi:type="dcterms:W3CDTF">2025-10-09T09:28:00Z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