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7920D372" w:rsidR="009E7D0C" w:rsidRPr="00B3568A" w:rsidRDefault="00B3568A" w:rsidP="00B3568A">
      <w:pPr>
        <w:jc w:val="center"/>
        <w:rPr>
          <w:sz w:val="24"/>
          <w:szCs w:val="22"/>
          <w:rFonts w:ascii="Times New Roman" w:hAnsi="Times New Roman"/>
        </w:rPr>
      </w:pPr>
      <w:bookmarkStart w:id="0" w:name="_Toc262568021"/>
      <w:bookmarkStart w:id="1" w:name="_Toc295829847"/>
      <w:r>
        <w:rPr>
          <w:sz w:val="24"/>
          <w:rFonts w:ascii="Times New Roman" w:hAnsi="Times New Roman"/>
        </w:rPr>
        <w:t xml:space="preserve">LT</w:t>
      </w:r>
    </w:p>
    <w:p w14:paraId="2704A83C" w14:textId="77777777" w:rsidR="009E7D0C" w:rsidRPr="00037E7B" w:rsidRDefault="009E7D0C" w:rsidP="00A33695">
      <w:pPr>
        <w:jc w:val="center"/>
        <w:rPr>
          <w:rFonts w:ascii="Times New Roman" w:hAnsi="Times New Roman"/>
          <w:sz w:val="24"/>
        </w:rPr>
      </w:pPr>
    </w:p>
    <w:p w14:paraId="24333E7A" w14:textId="5D6FD9D5" w:rsidR="008D696E" w:rsidRPr="00037E7B" w:rsidRDefault="008D696E" w:rsidP="00A33695">
      <w:pPr>
        <w:jc w:val="center"/>
        <w:rPr>
          <w:sz w:val="24"/>
          <w:rFonts w:ascii="Times New Roman" w:hAnsi="Times New Roman"/>
        </w:rPr>
      </w:pPr>
      <w:r>
        <w:rPr>
          <w:sz w:val="24"/>
          <w:rFonts w:ascii="Times New Roman" w:hAnsi="Times New Roman"/>
        </w:rPr>
        <w:t xml:space="preserve">II PRIEDAS</w:t>
      </w:r>
    </w:p>
    <w:p w14:paraId="37362007" w14:textId="6FB5EC15" w:rsidR="002648B0" w:rsidRPr="00037E7B" w:rsidRDefault="008D696E" w:rsidP="00A33695">
      <w:pPr>
        <w:jc w:val="center"/>
        <w:rPr>
          <w:sz w:val="24"/>
          <w:rFonts w:ascii="Times New Roman" w:hAnsi="Times New Roman"/>
        </w:rPr>
      </w:pPr>
      <w:r>
        <w:rPr>
          <w:sz w:val="24"/>
          <w:rFonts w:ascii="Times New Roman" w:hAnsi="Times New Roman"/>
        </w:rPr>
        <w:t xml:space="preserve">„II PRIEDAS</w:t>
      </w:r>
    </w:p>
    <w:p w14:paraId="327777EC" w14:textId="77777777" w:rsidR="002648B0" w:rsidRPr="00037E7B" w:rsidRDefault="00D11E4C" w:rsidP="00C87CEE">
      <w:pPr>
        <w:jc w:val="center"/>
        <w:rPr>
          <w:b/>
          <w:sz w:val="24"/>
          <w:rFonts w:ascii="Times New Roman" w:hAnsi="Times New Roman"/>
        </w:rPr>
      </w:pPr>
      <w:r>
        <w:rPr>
          <w:b/>
          <w:sz w:val="24"/>
          <w:rFonts w:ascii="Times New Roman" w:hAnsi="Times New Roman"/>
        </w:rPr>
        <w:t xml:space="preserve">INFORMACIJOS APIE NUOSAVAS LĖŠAS IR NUOSAVŲ LĖŠŲ REIKALAVIMUS TEIKIMO NURODYMAI</w:t>
      </w:r>
    </w:p>
    <w:p w14:paraId="2C40683C" w14:textId="77777777" w:rsidR="00436204" w:rsidRPr="00037E7B" w:rsidRDefault="00436204" w:rsidP="00C87CEE">
      <w:pPr>
        <w:jc w:val="center"/>
        <w:rPr>
          <w:rFonts w:ascii="Times New Roman" w:hAnsi="Times New Roman"/>
          <w:b/>
          <w:sz w:val="24"/>
          <w:lang w:eastAsia="de-DE"/>
        </w:rPr>
      </w:pPr>
    </w:p>
    <w:p w14:paraId="7E85F65D" w14:textId="77777777" w:rsidR="002648B0" w:rsidRPr="00037E7B" w:rsidRDefault="002648B0" w:rsidP="00005FFC">
      <w:pPr>
        <w:rPr>
          <w:rFonts w:ascii="Times New Roman" w:hAnsi="Times New Roman"/>
          <w:sz w:val="24"/>
        </w:rPr>
      </w:pPr>
    </w:p>
    <w:p w14:paraId="74494658" w14:textId="77777777" w:rsidR="002648B0" w:rsidRPr="00037E7B" w:rsidRDefault="002648B0" w:rsidP="00D64B66">
      <w:pPr>
        <w:pStyle w:val="Heading2"/>
        <w:rPr>
          <w:rFonts w:ascii="Times New Roman" w:hAnsi="Times New Roman"/>
        </w:rPr>
      </w:pPr>
      <w:bookmarkStart w:id="2" w:name="_Toc360188322"/>
      <w:bookmarkStart w:id="3" w:name="_Toc473560870"/>
      <w:bookmarkStart w:id="4" w:name="_Toc151714358"/>
      <w:r>
        <w:rPr>
          <w:rFonts w:ascii="Times New Roman" w:hAnsi="Times New Roman"/>
        </w:rPr>
        <w:t xml:space="preserve">II DALIS.</w:t>
      </w:r>
      <w:r>
        <w:rPr>
          <w:rFonts w:ascii="Times New Roman" w:hAnsi="Times New Roman"/>
        </w:rPr>
        <w:t xml:space="preserve"> </w:t>
      </w:r>
      <w:r>
        <w:rPr>
          <w:rFonts w:ascii="Times New Roman" w:hAnsi="Times New Roman"/>
        </w:rPr>
        <w:t xml:space="preserve">NURODYMAI DĖL FORMŲ</w:t>
      </w:r>
      <w:bookmarkEnd w:id="2"/>
      <w:bookmarkEnd w:id="3"/>
      <w:bookmarkEnd w:id="4"/>
    </w:p>
    <w:p w14:paraId="76BE57B6" w14:textId="77777777" w:rsidR="00964546" w:rsidRPr="00037E7B" w:rsidRDefault="00964546" w:rsidP="00964546">
      <w:pPr>
        <w:rPr>
          <w:lang w:eastAsia="x-none"/>
        </w:rPr>
      </w:pPr>
    </w:p>
    <w:p w14:paraId="31A06314" w14:textId="70B4B7D9" w:rsidR="00964546" w:rsidRPr="00037E7B" w:rsidRDefault="00964546" w:rsidP="00964546">
      <w:r>
        <w:t xml:space="preserve">(…)</w:t>
      </w:r>
    </w:p>
    <w:p w14:paraId="607D2E45" w14:textId="2ECC5240" w:rsidR="00AB3069" w:rsidRPr="00037E7B" w:rsidRDefault="003E6AEB" w:rsidP="000059B8">
      <w:pPr>
        <w:pStyle w:val="Instructionsberschrift2"/>
        <w:numPr>
          <w:ilvl w:val="0"/>
          <w:numId w:val="0"/>
        </w:numPr>
        <w:ind w:left="357" w:hanging="357"/>
      </w:pPr>
      <w:bookmarkStart w:id="5" w:name="_Toc151714534"/>
      <w:bookmarkEnd w:id="0"/>
      <w:bookmarkEnd w:id="1"/>
      <w:r>
        <w:rPr>
          <w:sz w:val="24"/>
          <w:rFonts w:ascii="Times New Roman" w:hAnsi="Times New Roman"/>
        </w:rPr>
        <w:t xml:space="preserve">9.</w:t>
      </w:r>
      <w:r>
        <w:rPr>
          <w:sz w:val="24"/>
          <w:rFonts w:ascii="Times New Roman" w:hAnsi="Times New Roman"/>
        </w:rPr>
        <w:t xml:space="preserve"> </w:t>
      </w:r>
      <w:r>
        <w:rPr>
          <w:sz w:val="24"/>
          <w:rFonts w:ascii="Times New Roman" w:hAnsi="Times New Roman"/>
        </w:rPr>
        <w:t xml:space="preserve">Prekybos knygos ir rinkos rizikos ribinės vertės, prekybos knygos ir ne prekybos knygos riba ir perklasifikavimas iš vienos į kitą</w:t>
      </w:r>
      <w:bookmarkEnd w:id="5"/>
    </w:p>
    <w:p w14:paraId="1FF5D1DF" w14:textId="771ED598" w:rsidR="00A4497F" w:rsidRPr="00037E7B" w:rsidRDefault="003E6AEB" w:rsidP="00A4497F">
      <w:pPr>
        <w:pStyle w:val="Instructionsberschrift2"/>
        <w:numPr>
          <w:ilvl w:val="0"/>
          <w:numId w:val="0"/>
        </w:numPr>
        <w:ind w:left="357" w:hanging="357"/>
        <w:rPr>
          <w:sz w:val="24"/>
          <w:rFonts w:ascii="Times New Roman" w:hAnsi="Times New Roman" w:cs="Times New Roman"/>
        </w:rPr>
      </w:pPr>
      <w:bookmarkStart w:id="6" w:name="_Toc7084156"/>
      <w:bookmarkStart w:id="7" w:name="_Toc37168636"/>
      <w:bookmarkStart w:id="8" w:name="_Toc151714535"/>
      <w:r>
        <w:rPr>
          <w:sz w:val="24"/>
          <w:rFonts w:ascii="Times New Roman" w:hAnsi="Times New Roman"/>
        </w:rPr>
        <w:t xml:space="preserve">9.1.</w:t>
      </w:r>
      <w:r>
        <w:rPr>
          <w:sz w:val="24"/>
          <w:rFonts w:ascii="Times New Roman" w:hAnsi="Times New Roman"/>
        </w:rPr>
        <w:tab/>
      </w:r>
      <w:bookmarkEnd w:id="6"/>
      <w:r>
        <w:rPr>
          <w:sz w:val="24"/>
          <w:rFonts w:ascii="Times New Roman" w:hAnsi="Times New Roman"/>
        </w:rPr>
        <w:t xml:space="preserve">C 90.00. Prekybos knygos ir rinkos rizikos ribinės vertės</w:t>
      </w:r>
      <w:bookmarkEnd w:id="7"/>
      <w:bookmarkEnd w:id="8"/>
    </w:p>
    <w:p w14:paraId="458F8B64" w14:textId="77777777" w:rsidR="00F65FA6" w:rsidRPr="00037E7B" w:rsidRDefault="00F65FA6" w:rsidP="00F65FA6">
      <w:pPr>
        <w:pStyle w:val="Instructionsberschrift2"/>
        <w:numPr>
          <w:ilvl w:val="0"/>
          <w:numId w:val="0"/>
        </w:numPr>
        <w:ind w:left="357" w:hanging="357"/>
        <w:rPr>
          <w:sz w:val="24"/>
          <w:u w:val="none"/>
          <w:rFonts w:ascii="Times New Roman" w:hAnsi="Times New Roman" w:cs="Times New Roman"/>
        </w:rPr>
      </w:pPr>
      <w:bookmarkStart w:id="9" w:name="_Toc151714536"/>
      <w:r>
        <w:rPr>
          <w:u w:val="none"/>
          <w:sz w:val="24"/>
          <w:rFonts w:ascii="Times New Roman" w:hAnsi="Times New Roman"/>
        </w:rPr>
        <w:t xml:space="preserve">9.1.1.</w:t>
      </w:r>
      <w:r>
        <w:rPr>
          <w:u w:val="none"/>
          <w:rFonts w:ascii="Times New Roman" w:hAnsi="Times New Roman"/>
        </w:rPr>
        <w:tab/>
      </w:r>
      <w:r>
        <w:rPr>
          <w:u w:val="none"/>
          <w:sz w:val="24"/>
          <w:rFonts w:ascii="Times New Roman" w:hAnsi="Times New Roman"/>
        </w:rPr>
        <w:t xml:space="preserve">Bendrosios pastabos</w:t>
      </w:r>
    </w:p>
    <w:p w14:paraId="2EE35BE9" w14:textId="77777777" w:rsidR="00F65FA6" w:rsidRPr="00037E7B" w:rsidRDefault="00F65FA6" w:rsidP="00F65FA6">
      <w:pPr>
        <w:pStyle w:val="InstructionsText2"/>
        <w:numPr>
          <w:ilvl w:val="0"/>
          <w:numId w:val="61"/>
        </w:numPr>
        <w:spacing w:line="259" w:lineRule="auto"/>
      </w:pPr>
      <w:r>
        <w:t xml:space="preserve">Šioje formoje pateikiama informacija atspindi Reglamento (ES) Nr. 575/2013 94 straipsnyje (smulkiai prekybos knygoje apskaitomai veiklai taikomos išlygos) nurodyto skaičiavimo rezultatą ir įstaigos balansinės ir nebalansinės veiklos, kuriai kyla rinkos rizika, dydį, apskaičiuotą pagal to reglamento 325a straipsnį.</w:t>
      </w:r>
    </w:p>
    <w:p w14:paraId="6349D8A7" w14:textId="77777777" w:rsidR="00F65FA6" w:rsidRPr="00037E7B" w:rsidRDefault="00F65FA6" w:rsidP="00F65FA6">
      <w:pPr>
        <w:pStyle w:val="Instructionsberschrift2"/>
        <w:numPr>
          <w:ilvl w:val="0"/>
          <w:numId w:val="0"/>
        </w:numPr>
        <w:ind w:left="357" w:hanging="357"/>
        <w:rPr>
          <w:sz w:val="24"/>
          <w:u w:val="none"/>
          <w:rFonts w:ascii="Times New Roman" w:hAnsi="Times New Roman" w:cs="Times New Roman"/>
        </w:rPr>
      </w:pPr>
      <w:bookmarkStart w:id="10" w:name="_Toc37168638"/>
      <w:r>
        <w:rPr>
          <w:sz w:val="24"/>
          <w:u w:val="none"/>
          <w:rFonts w:ascii="Times New Roman" w:hAnsi="Times New Roman"/>
        </w:rPr>
        <w:t xml:space="preserve">9.1.2.</w:t>
      </w:r>
      <w:r>
        <w:rPr>
          <w:sz w:val="24"/>
          <w:u w:val="none"/>
          <w:rFonts w:ascii="Times New Roman" w:hAnsi="Times New Roman"/>
        </w:rPr>
        <w:tab/>
      </w:r>
      <w:r>
        <w:rPr>
          <w:sz w:val="24"/>
          <w:u w:val="none"/>
          <w:rFonts w:ascii="Times New Roman" w:hAnsi="Times New Roman"/>
        </w:rPr>
        <w:t xml:space="preserve">Nurodymai dėl konkrečių pozicijų</w:t>
      </w:r>
      <w:bookmarkEnd w:id="10"/>
    </w:p>
    <w:p w14:paraId="230964CC" w14:textId="77777777" w:rsidR="00F65FA6" w:rsidRPr="00037E7B" w:rsidRDefault="00F65FA6" w:rsidP="00F65FA6">
      <w:pPr>
        <w:pStyle w:val="InstructionsText2"/>
        <w:numPr>
          <w:ilvl w:val="0"/>
          <w:numId w:val="61"/>
        </w:numPr>
        <w:spacing w:line="259" w:lineRule="auto"/>
      </w:pPr>
      <w:r>
        <w:t xml:space="preserve">Reglamento (ES) Nr. 575/2013 94 straipsnyje nurodyto skaičiavimo rezultatas ir informacija apie įstaigos balansinės ir nebalansinės veiklos, kuriai kyla rinkos rizika, dydį, apskaičiuotą pagal to reglamento 325a straipsnį, teikiami atskirai 0010–0030 eilutėse už kiekvieną praėjusį ketvirčio, kurio informacija teikiama, mėnesį.</w:t>
      </w:r>
    </w:p>
    <w:tbl>
      <w:tblPr>
        <w:tblStyle w:val="TableGrid"/>
        <w:tblW w:w="0" w:type="auto"/>
        <w:tblLook w:val="04A0" w:firstRow="1" w:lastRow="0" w:firstColumn="1" w:lastColumn="0" w:noHBand="0" w:noVBand="1"/>
      </w:tblPr>
      <w:tblGrid>
        <w:gridCol w:w="1063"/>
        <w:gridCol w:w="7953"/>
      </w:tblGrid>
      <w:tr w:rsidR="00F65FA6" w:rsidRPr="00037E7B" w14:paraId="7A8AE764" w14:textId="77777777" w:rsidTr="00E02007">
        <w:tc>
          <w:tcPr>
            <w:tcW w:w="1063" w:type="dxa"/>
            <w:shd w:val="clear" w:color="auto" w:fill="BFBFBF" w:themeFill="background1" w:themeFillShade="BF"/>
          </w:tcPr>
          <w:p w14:paraId="3A6CAFB1" w14:textId="77777777" w:rsidR="00F65FA6" w:rsidRPr="00037E7B" w:rsidRDefault="00F65FA6" w:rsidP="00E02007">
            <w:pPr>
              <w:pStyle w:val="BodyText"/>
              <w:spacing w:after="120"/>
              <w:rPr>
                <w:b/>
                <w:rFonts w:ascii="Times New Roman" w:hAnsi="Times New Roman" w:cs="Times New Roman"/>
              </w:rPr>
            </w:pPr>
            <w:r>
              <w:rPr>
                <w:b/>
                <w:rFonts w:ascii="Times New Roman" w:hAnsi="Times New Roman"/>
              </w:rPr>
              <w:t xml:space="preserve">Eilutė</w:t>
            </w:r>
          </w:p>
        </w:tc>
        <w:tc>
          <w:tcPr>
            <w:tcW w:w="7953" w:type="dxa"/>
            <w:shd w:val="clear" w:color="auto" w:fill="BFBFBF" w:themeFill="background1" w:themeFillShade="BF"/>
          </w:tcPr>
          <w:p w14:paraId="769CDB03" w14:textId="77777777" w:rsidR="00F65FA6" w:rsidRPr="00037E7B" w:rsidRDefault="00F65FA6" w:rsidP="00E02007">
            <w:pPr>
              <w:pStyle w:val="BodyText"/>
              <w:spacing w:after="120"/>
              <w:rPr>
                <w:b/>
                <w:rFonts w:ascii="Times New Roman" w:hAnsi="Times New Roman" w:cs="Times New Roman"/>
              </w:rPr>
            </w:pPr>
            <w:r>
              <w:rPr>
                <w:b/>
                <w:rFonts w:ascii="Times New Roman" w:hAnsi="Times New Roman"/>
              </w:rPr>
              <w:t xml:space="preserve">Nuorodos į teisės aktus ir nurodymai</w:t>
            </w:r>
          </w:p>
        </w:tc>
      </w:tr>
      <w:tr w:rsidR="00F65FA6" w:rsidRPr="00037E7B" w14:paraId="3355BF5A" w14:textId="77777777" w:rsidTr="00E02007">
        <w:tc>
          <w:tcPr>
            <w:tcW w:w="1063" w:type="dxa"/>
          </w:tcPr>
          <w:p w14:paraId="3DDBD759"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0010</w:t>
            </w:r>
          </w:p>
        </w:tc>
        <w:tc>
          <w:tcPr>
            <w:tcW w:w="7953" w:type="dxa"/>
          </w:tcPr>
          <w:p w14:paraId="35E13A17"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3 mėnuo</w:t>
            </w:r>
          </w:p>
          <w:p w14:paraId="1C7E462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Teikiami ketvirčio, už kurį teikiama informacija, trečiojo mėnesio paskutinės dienos duomenys</w:t>
            </w:r>
          </w:p>
        </w:tc>
      </w:tr>
      <w:tr w:rsidR="00F65FA6" w:rsidRPr="00037E7B" w14:paraId="7B4ADC45" w14:textId="77777777" w:rsidTr="00E02007">
        <w:tc>
          <w:tcPr>
            <w:tcW w:w="1063" w:type="dxa"/>
          </w:tcPr>
          <w:p w14:paraId="7B9AA53A"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0020.</w:t>
            </w:r>
          </w:p>
        </w:tc>
        <w:tc>
          <w:tcPr>
            <w:tcW w:w="7953" w:type="dxa"/>
          </w:tcPr>
          <w:p w14:paraId="76C1917C"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2 mėnuo</w:t>
            </w:r>
          </w:p>
          <w:p w14:paraId="7AF7462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Teikiami ketvirčio, už kurį teikiama informacija, antrojo mėnesio paskutinės dienos duomenys</w:t>
            </w:r>
          </w:p>
        </w:tc>
      </w:tr>
      <w:tr w:rsidR="00F65FA6" w:rsidRPr="00037E7B" w14:paraId="3D6489DB" w14:textId="77777777" w:rsidTr="00E02007">
        <w:tc>
          <w:tcPr>
            <w:tcW w:w="1063" w:type="dxa"/>
          </w:tcPr>
          <w:p w14:paraId="01F1336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0030.</w:t>
            </w:r>
          </w:p>
        </w:tc>
        <w:tc>
          <w:tcPr>
            <w:tcW w:w="7953" w:type="dxa"/>
          </w:tcPr>
          <w:p w14:paraId="1D4D1B3C"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1 mėnuo</w:t>
            </w:r>
          </w:p>
          <w:p w14:paraId="321A7E1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Teikiami ketvirčio, už kurį teikiama informacija, pirmojo mėnesio paskutinės dienos duomenys</w:t>
            </w:r>
          </w:p>
        </w:tc>
      </w:tr>
    </w:tbl>
    <w:p w14:paraId="55096B4D" w14:textId="77777777" w:rsidR="00F65FA6" w:rsidRPr="00037E7B" w:rsidRDefault="00F65FA6" w:rsidP="00F65FA6"/>
    <w:tbl>
      <w:tblPr>
        <w:tblStyle w:val="TableGrid"/>
        <w:tblW w:w="0" w:type="auto"/>
        <w:tblLook w:val="04A0" w:firstRow="1" w:lastRow="0" w:firstColumn="1" w:lastColumn="0" w:noHBand="0" w:noVBand="1"/>
      </w:tblPr>
      <w:tblGrid>
        <w:gridCol w:w="1043"/>
        <w:gridCol w:w="7973"/>
      </w:tblGrid>
      <w:tr w:rsidR="00F65FA6" w:rsidRPr="00037E7B" w14:paraId="6AF8CFCD" w14:textId="77777777" w:rsidTr="00E02007">
        <w:tc>
          <w:tcPr>
            <w:tcW w:w="1043" w:type="dxa"/>
            <w:shd w:val="clear" w:color="auto" w:fill="BFBFBF" w:themeFill="background1" w:themeFillShade="BF"/>
          </w:tcPr>
          <w:p w14:paraId="65665385" w14:textId="77777777" w:rsidR="00F65FA6" w:rsidRPr="00037E7B" w:rsidRDefault="00F65FA6" w:rsidP="00E02007">
            <w:pPr>
              <w:pStyle w:val="BodyText"/>
              <w:spacing w:after="120"/>
              <w:rPr>
                <w:b/>
                <w:rFonts w:ascii="Times New Roman" w:hAnsi="Times New Roman" w:cs="Times New Roman"/>
              </w:rPr>
            </w:pPr>
            <w:r>
              <w:rPr>
                <w:b/>
                <w:rFonts w:ascii="Times New Roman" w:hAnsi="Times New Roman"/>
              </w:rPr>
              <w:t xml:space="preserve">Skiltis</w:t>
            </w:r>
          </w:p>
        </w:tc>
        <w:tc>
          <w:tcPr>
            <w:tcW w:w="7973" w:type="dxa"/>
            <w:shd w:val="clear" w:color="auto" w:fill="BFBFBF" w:themeFill="background1" w:themeFillShade="BF"/>
          </w:tcPr>
          <w:p w14:paraId="219EFA66" w14:textId="77777777" w:rsidR="00F65FA6" w:rsidRPr="00037E7B" w:rsidRDefault="00F65FA6" w:rsidP="00E02007">
            <w:pPr>
              <w:pStyle w:val="BodyText"/>
              <w:spacing w:after="120"/>
              <w:rPr>
                <w:b/>
                <w:rFonts w:ascii="Times New Roman" w:hAnsi="Times New Roman" w:cs="Times New Roman"/>
              </w:rPr>
            </w:pPr>
            <w:r>
              <w:rPr>
                <w:b/>
                <w:rFonts w:ascii="Times New Roman" w:hAnsi="Times New Roman"/>
              </w:rPr>
              <w:t xml:space="preserve">Nuorodos į teisės aktus ir nurodymai</w:t>
            </w:r>
          </w:p>
        </w:tc>
      </w:tr>
      <w:tr w:rsidR="00F65FA6" w:rsidRPr="00037E7B" w14:paraId="57E5CA86" w14:textId="77777777" w:rsidTr="00E02007">
        <w:tc>
          <w:tcPr>
            <w:tcW w:w="1043" w:type="dxa"/>
          </w:tcPr>
          <w:p w14:paraId="6648E6E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0010</w:t>
            </w:r>
          </w:p>
        </w:tc>
        <w:tc>
          <w:tcPr>
            <w:tcW w:w="7973" w:type="dxa"/>
          </w:tcPr>
          <w:p w14:paraId="15CE25E0"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Balansinė ir nebalansinė veikla, kuriai kyla rinkos rizika</w:t>
            </w:r>
          </w:p>
          <w:p w14:paraId="208FB79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Reglamento (ES) Nr. 575/2013 325a straipsnio 2 dalis</w:t>
            </w:r>
          </w:p>
          <w:p w14:paraId="44825AE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Įstaigos nurodo absoliučiąją sumą, atspindinčią įstaigos balansinę ir nebalansinę veiklą, kuriai kyla rinkos rizika, apskaičiuotą pagal Reglamento (ES) Nr. 575/2013 325a straipsnio 2 dalį.</w:t>
            </w:r>
            <w:r>
              <w:rPr>
                <w:rFonts w:ascii="Times New Roman" w:hAnsi="Times New Roman"/>
              </w:rPr>
              <w:t xml:space="preserve"> </w:t>
            </w:r>
          </w:p>
        </w:tc>
      </w:tr>
      <w:tr w:rsidR="00F65FA6" w:rsidRPr="00037E7B" w14:paraId="5EBC2E16" w14:textId="77777777" w:rsidTr="00E02007">
        <w:tc>
          <w:tcPr>
            <w:tcW w:w="1043" w:type="dxa"/>
          </w:tcPr>
          <w:p w14:paraId="25974D86"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0020–0060</w:t>
            </w:r>
          </w:p>
        </w:tc>
        <w:tc>
          <w:tcPr>
            <w:tcW w:w="7973" w:type="dxa"/>
          </w:tcPr>
          <w:p w14:paraId="3885D529"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Suskirstymas pagal reguliavimo knygas</w:t>
            </w:r>
          </w:p>
          <w:p w14:paraId="014F6AA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Balansinė ir nebalansinė veikla, kuriai kyla rinkos rizika, suskirstoma pagal prekybos ir ne prekybos knygas.</w:t>
            </w:r>
            <w:r>
              <w:rPr>
                <w:rFonts w:ascii="Times New Roman" w:hAnsi="Times New Roman"/>
              </w:rPr>
              <w:t xml:space="preserve"> </w:t>
            </w:r>
          </w:p>
        </w:tc>
      </w:tr>
      <w:tr w:rsidR="00F65FA6" w:rsidRPr="00037E7B" w14:paraId="5E57F79B" w14:textId="77777777" w:rsidTr="00E02007">
        <w:tc>
          <w:tcPr>
            <w:tcW w:w="1043" w:type="dxa"/>
          </w:tcPr>
          <w:p w14:paraId="7440E785"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0020–0040</w:t>
            </w:r>
          </w:p>
        </w:tc>
        <w:tc>
          <w:tcPr>
            <w:tcW w:w="7973" w:type="dxa"/>
          </w:tcPr>
          <w:p w14:paraId="78FEC356"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Prekybos knyga</w:t>
            </w:r>
          </w:p>
          <w:p w14:paraId="6098BB5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Prekybos knygai priskirtos pozicijos, įtrauktos atliekant apskaičiavimą pagal Reglamento (ES) Nr. 575/2013 325a straipsnio 2 dalį.</w:t>
            </w:r>
          </w:p>
        </w:tc>
      </w:tr>
      <w:tr w:rsidR="00F65FA6" w:rsidRPr="00037E7B" w14:paraId="63198C07" w14:textId="77777777" w:rsidTr="00E02007">
        <w:tc>
          <w:tcPr>
            <w:tcW w:w="1043" w:type="dxa"/>
          </w:tcPr>
          <w:p w14:paraId="6FC2F0F0"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0030–0040</w:t>
            </w:r>
          </w:p>
        </w:tc>
        <w:tc>
          <w:tcPr>
            <w:tcW w:w="7973" w:type="dxa"/>
          </w:tcPr>
          <w:p w14:paraId="24A21C27"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dalis, kurią atitinka:</w:t>
            </w:r>
            <w:r>
              <w:rPr>
                <w:b/>
                <w:u w:val="single"/>
                <w:rFonts w:ascii="Times New Roman" w:hAnsi="Times New Roman"/>
              </w:rPr>
              <w:t xml:space="preserve"> </w:t>
            </w:r>
            <w:r>
              <w:rPr>
                <w:b/>
                <w:u w:val="single"/>
                <w:rFonts w:ascii="Times New Roman" w:hAnsi="Times New Roman"/>
              </w:rPr>
              <w:t xml:space="preserve">prekybos knygoje apskaitoma veikla Reglamento (ES) Nr. 575/2013 94 straipsnio tikslais</w:t>
            </w:r>
          </w:p>
          <w:p w14:paraId="7A1ECC78"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Reglamento (ES) Nr. 575/2013 94 straipsnio 3 dalis</w:t>
            </w:r>
          </w:p>
          <w:p w14:paraId="0A9722A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Pagal Reglamento (ES) Nr. 575/2013 94 straipsnio 3 dalies b punktą įstaigos privalo pateikti paskutinės mėnesio dienos rinkos vertes;</w:t>
            </w:r>
            <w:r>
              <w:rPr>
                <w:rFonts w:ascii="Times New Roman" w:hAnsi="Times New Roman"/>
              </w:rPr>
              <w:t xml:space="preserve"> </w:t>
            </w:r>
            <w:r>
              <w:rPr>
                <w:rFonts w:ascii="Times New Roman" w:hAnsi="Times New Roman"/>
              </w:rPr>
              <w:t xml:space="preserve">jeigu rinkos vertės nėra žinomos, jos nurodo tos pačios dienos tikrąsias vertes arba, jeigu tos dienos rinkos vertės ir tikrosios vertės nėra žinomos, – naujausią rinkos vertę arba tikrąją vertę.</w:t>
            </w:r>
            <w:r>
              <w:rPr>
                <w:rFonts w:ascii="Times New Roman" w:hAnsi="Times New Roman"/>
              </w:rPr>
              <w:t xml:space="preserve"> </w:t>
            </w:r>
          </w:p>
        </w:tc>
      </w:tr>
      <w:tr w:rsidR="00F65FA6" w:rsidRPr="00037E7B" w14:paraId="1BA6F191" w14:textId="77777777" w:rsidTr="00E02007">
        <w:tc>
          <w:tcPr>
            <w:tcW w:w="1043" w:type="dxa"/>
          </w:tcPr>
          <w:p w14:paraId="661DD2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0030</w:t>
            </w:r>
          </w:p>
        </w:tc>
        <w:tc>
          <w:tcPr>
            <w:tcW w:w="7973" w:type="dxa"/>
          </w:tcPr>
          <w:p w14:paraId="21157FFD"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Bendra suma</w:t>
            </w:r>
          </w:p>
          <w:p w14:paraId="50DBCCC0"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Reglamento (ES) Nr. 575/2013 94 straipsnio 3 dalis</w:t>
            </w:r>
          </w:p>
          <w:p w14:paraId="1B4AB24D"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Ilgųjų ir trumpųjų pozicijų absoliučiosios vertės susumuojamos, kaip reikalaujama Reglamento (ES) Nr. 575/2013 94 straipsnio 3 dalies c punkte.</w:t>
            </w:r>
          </w:p>
        </w:tc>
      </w:tr>
      <w:tr w:rsidR="00F65FA6" w:rsidRPr="00037E7B" w14:paraId="39EFF6D7" w14:textId="77777777" w:rsidTr="00E02007">
        <w:tc>
          <w:tcPr>
            <w:tcW w:w="1043" w:type="dxa"/>
          </w:tcPr>
          <w:p w14:paraId="6E8E06FD"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0040</w:t>
            </w:r>
          </w:p>
        </w:tc>
        <w:tc>
          <w:tcPr>
            <w:tcW w:w="7973" w:type="dxa"/>
          </w:tcPr>
          <w:p w14:paraId="59AF0468"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 viso turto</w:t>
            </w:r>
          </w:p>
          <w:p w14:paraId="2A48E439"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Reglamento (ES) Nr. 575/2013 94 straipsnio 1 dalies a punktas</w:t>
            </w:r>
          </w:p>
          <w:p w14:paraId="49681B66"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Taikant Reglamento (ES) Nr. 575/2013 94 straipsnį, prekybos knygoje apskaitomos veiklos apimtis išreiškiama kaip viso turto procentinė dalis.</w:t>
            </w:r>
          </w:p>
        </w:tc>
      </w:tr>
      <w:tr w:rsidR="00F65FA6" w:rsidRPr="00037E7B" w14:paraId="2C1E41CE" w14:textId="77777777" w:rsidTr="00E02007">
        <w:tc>
          <w:tcPr>
            <w:tcW w:w="1043" w:type="dxa"/>
          </w:tcPr>
          <w:p w14:paraId="45DD6754"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0050–0060</w:t>
            </w:r>
          </w:p>
        </w:tc>
        <w:tc>
          <w:tcPr>
            <w:tcW w:w="7973" w:type="dxa"/>
          </w:tcPr>
          <w:p w14:paraId="59D1D775"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Ne prekybos knyga</w:t>
            </w:r>
            <w:r>
              <w:rPr>
                <w:b/>
                <w:u w:val="single"/>
                <w:rFonts w:ascii="Times New Roman" w:hAnsi="Times New Roman"/>
              </w:rPr>
              <w:t xml:space="preserve"> </w:t>
            </w:r>
          </w:p>
          <w:p w14:paraId="62438A74"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Ne prekybos knygai priskirtos pozicijos, įtrauktos atliekant apskaičiavimą pagal Reglamento (ES) Nr. 575/2013 325a straipsnio 2 dalį.</w:t>
            </w:r>
          </w:p>
          <w:p w14:paraId="5423740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Įstaigos pateikia ne prekybos knygos pozicijas, kurioms kyla rinkos rizika, suskirstytas į pozicijas, kurioms kyla užsienio valiutos kurso rizika, ir pozicijas, kurioms kyla biržos prekių kainos rizika.</w:t>
            </w:r>
          </w:p>
          <w:p w14:paraId="6F2651D5"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Nurodytinos sumos nustatomos pagal Reglamento (ES) Nr. 575/2013 325a straipsnio 2 dalies d ir e punktus.</w:t>
            </w:r>
            <w:r>
              <w:rPr>
                <w:rFonts w:ascii="Times New Roman" w:hAnsi="Times New Roman"/>
              </w:rPr>
              <w:t xml:space="preserve"> </w:t>
            </w:r>
          </w:p>
        </w:tc>
      </w:tr>
      <w:tr w:rsidR="00F65FA6" w:rsidRPr="00037E7B" w14:paraId="15FBA6A1" w14:textId="77777777" w:rsidTr="00E02007">
        <w:tc>
          <w:tcPr>
            <w:tcW w:w="1043" w:type="dxa"/>
          </w:tcPr>
          <w:p w14:paraId="1FCF4531"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0070</w:t>
            </w:r>
          </w:p>
        </w:tc>
        <w:tc>
          <w:tcPr>
            <w:tcW w:w="7973" w:type="dxa"/>
          </w:tcPr>
          <w:p w14:paraId="6D9E3BF8"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 viso turto</w:t>
            </w:r>
          </w:p>
          <w:p w14:paraId="6A6F8AC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Reglamento (ES) Nr. 575/2013 325a straipsnio 1 dalies a punktas</w:t>
            </w:r>
          </w:p>
          <w:p w14:paraId="542B2372"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Balansinė ir nebalansinė veikla, kuriai kyla rinkos rizika, išreiškiama kaip viso turto procentinė dalis.</w:t>
            </w:r>
          </w:p>
        </w:tc>
      </w:tr>
      <w:tr w:rsidR="00F65FA6" w:rsidRPr="00037E7B" w14:paraId="74752559" w14:textId="77777777" w:rsidTr="00E02007">
        <w:tc>
          <w:tcPr>
            <w:tcW w:w="1043" w:type="dxa"/>
          </w:tcPr>
          <w:p w14:paraId="72343CA3" w14:textId="77777777" w:rsidR="00F65FA6" w:rsidRPr="00037E7B" w:rsidRDefault="00F65FA6" w:rsidP="00E02007">
            <w:pPr>
              <w:pStyle w:val="BodyText"/>
              <w:spacing w:after="120"/>
              <w:rPr>
                <w:rFonts w:ascii="Times New Roman" w:hAnsi="Times New Roman" w:cs="Times New Roman"/>
              </w:rPr>
            </w:pPr>
            <w:r>
              <w:rPr>
                <w:rFonts w:ascii="Times New Roman" w:hAnsi="Times New Roman"/>
              </w:rPr>
              <w:t xml:space="preserve">0080</w:t>
            </w:r>
          </w:p>
        </w:tc>
        <w:tc>
          <w:tcPr>
            <w:tcW w:w="7973" w:type="dxa"/>
          </w:tcPr>
          <w:p w14:paraId="5907245C" w14:textId="77777777" w:rsidR="00F65FA6" w:rsidRPr="00037E7B" w:rsidRDefault="00F65FA6" w:rsidP="00E02007">
            <w:pPr>
              <w:pStyle w:val="Tabelleninhalt"/>
              <w:spacing w:after="120"/>
              <w:rPr>
                <w:b/>
                <w:u w:val="single"/>
                <w:rFonts w:ascii="Times New Roman" w:hAnsi="Times New Roman" w:cs="Times New Roman"/>
              </w:rPr>
            </w:pPr>
            <w:r>
              <w:rPr>
                <w:b/>
                <w:u w:val="single"/>
                <w:rFonts w:ascii="Times New Roman" w:hAnsi="Times New Roman"/>
              </w:rPr>
              <w:t xml:space="preserve">Visas turtas</w:t>
            </w:r>
          </w:p>
          <w:p w14:paraId="020AD40A" w14:textId="77777777" w:rsidR="00F65FA6" w:rsidRPr="00037E7B" w:rsidRDefault="00F65FA6" w:rsidP="00E02007">
            <w:pPr>
              <w:pStyle w:val="Tabelleninhalt"/>
              <w:spacing w:after="120"/>
              <w:rPr>
                <w:rFonts w:ascii="Times New Roman" w:hAnsi="Times New Roman" w:cs="Times New Roman"/>
              </w:rPr>
            </w:pPr>
            <w:r>
              <w:rPr>
                <w:rFonts w:ascii="Times New Roman" w:hAnsi="Times New Roman"/>
              </w:rPr>
              <w:t xml:space="preserve">Reglamento (ES) Nr. 575/2013 94 straipsnio 1 dalies a punktas ir 325a straipsnio 1 dalies a punktas</w:t>
            </w:r>
          </w:p>
        </w:tc>
      </w:tr>
    </w:tbl>
    <w:p w14:paraId="2C563A95" w14:textId="77777777" w:rsidR="00F65FA6" w:rsidRPr="00037E7B" w:rsidRDefault="00F65FA6" w:rsidP="00F65FA6">
      <w:pPr>
        <w:rPr>
          <w:rFonts w:ascii="Times New Roman" w:hAnsi="Times New Roman"/>
          <w:sz w:val="24"/>
        </w:rPr>
      </w:pPr>
    </w:p>
    <w:p w14:paraId="3D64E99A" w14:textId="053F6133" w:rsidR="00AB3069" w:rsidRPr="00037E7B" w:rsidRDefault="003E6AEB" w:rsidP="000059B8">
      <w:pPr>
        <w:pStyle w:val="Instructionsberschrift2"/>
        <w:numPr>
          <w:ilvl w:val="0"/>
          <w:numId w:val="0"/>
        </w:numPr>
        <w:ind w:left="357" w:hanging="357"/>
      </w:pPr>
      <w:r>
        <w:rPr>
          <w:sz w:val="24"/>
          <w:rFonts w:ascii="Times New Roman" w:hAnsi="Times New Roman"/>
        </w:rPr>
        <w:t xml:space="preserve">9.2. Prekybos knygos ir ne prekybos knygos riba (BOU)</w:t>
      </w:r>
      <w:bookmarkEnd w:id="9"/>
    </w:p>
    <w:p w14:paraId="2D9236ED" w14:textId="27F33E1C" w:rsidR="009B2CA6" w:rsidRPr="00037E7B" w:rsidRDefault="00A5627D" w:rsidP="009B2CA6">
      <w:pPr>
        <w:pStyle w:val="Instructionsberschrift2"/>
        <w:numPr>
          <w:ilvl w:val="0"/>
          <w:numId w:val="0"/>
        </w:numPr>
        <w:ind w:left="357" w:hanging="357"/>
        <w:rPr>
          <w:sz w:val="24"/>
          <w:rFonts w:ascii="Times New Roman" w:hAnsi="Times New Roman" w:cs="Times New Roman"/>
        </w:rPr>
      </w:pPr>
      <w:bookmarkStart w:id="11" w:name="_Toc151714537"/>
      <w:r>
        <w:rPr>
          <w:sz w:val="24"/>
          <w:rFonts w:ascii="Times New Roman" w:hAnsi="Times New Roman"/>
        </w:rPr>
        <w:t xml:space="preserve">9.2.1.</w:t>
      </w:r>
      <w:r>
        <w:rPr>
          <w:sz w:val="24"/>
          <w:rFonts w:ascii="Times New Roman" w:hAnsi="Times New Roman"/>
        </w:rPr>
        <w:tab/>
      </w:r>
      <w:r>
        <w:rPr>
          <w:sz w:val="24"/>
          <w:rFonts w:ascii="Times New Roman" w:hAnsi="Times New Roman"/>
        </w:rPr>
        <w:t xml:space="preserve">Bendrosios pastabos</w:t>
      </w:r>
      <w:bookmarkEnd w:id="11"/>
    </w:p>
    <w:p w14:paraId="5D51F5A4" w14:textId="105C86A5" w:rsidR="009B2CA6" w:rsidRPr="00037E7B" w:rsidRDefault="000B3833" w:rsidP="00660845">
      <w:pPr>
        <w:pStyle w:val="InstructionsText2"/>
        <w:numPr>
          <w:ilvl w:val="0"/>
          <w:numId w:val="0"/>
        </w:numPr>
      </w:pPr>
      <w:r>
        <w:t xml:space="preserve">209a.</w:t>
      </w:r>
      <w:r>
        <w:t xml:space="preserve"> </w:t>
      </w:r>
      <w:r>
        <w:t xml:space="preserve">Šioje formoje pateikiama informacija apie prekybos knygos (BOU1) sudėtį atsižvelgiant į priemonių įtraukimo į prekybos knygą prielaidas, nustatytas Reglamento (ES) Nr. 575/2013 104 straipsnyje.</w:t>
      </w:r>
      <w:r>
        <w:t xml:space="preserve"> </w:t>
      </w:r>
    </w:p>
    <w:p w14:paraId="6EE2D450" w14:textId="77777777" w:rsidR="00015197" w:rsidRPr="00037E7B" w:rsidRDefault="00A5627D" w:rsidP="009B2CA6">
      <w:pPr>
        <w:pStyle w:val="Instructionsberschrift2"/>
        <w:numPr>
          <w:ilvl w:val="0"/>
          <w:numId w:val="0"/>
        </w:numPr>
        <w:ind w:left="357" w:hanging="357"/>
        <w:rPr>
          <w:sz w:val="24"/>
          <w:rFonts w:ascii="Times New Roman" w:hAnsi="Times New Roman" w:cs="Times New Roman"/>
        </w:rPr>
      </w:pPr>
      <w:bookmarkStart w:id="12" w:name="_Toc151714538"/>
      <w:r>
        <w:rPr>
          <w:sz w:val="24"/>
          <w:rFonts w:ascii="Times New Roman" w:hAnsi="Times New Roman"/>
        </w:rPr>
        <w:t xml:space="preserve">9.2.2.</w:t>
      </w:r>
      <w:r>
        <w:rPr>
          <w:rFonts w:ascii="Times New Roman" w:hAnsi="Times New Roman"/>
        </w:rPr>
        <w:tab/>
      </w:r>
      <w:r>
        <w:rPr>
          <w:sz w:val="24"/>
          <w:rFonts w:ascii="Times New Roman" w:hAnsi="Times New Roman"/>
        </w:rPr>
        <w:t xml:space="preserve">C 90.05. Riba.</w:t>
      </w:r>
      <w:r>
        <w:rPr>
          <w:sz w:val="24"/>
          <w:rFonts w:ascii="Times New Roman" w:hAnsi="Times New Roman"/>
        </w:rPr>
        <w:t xml:space="preserve"> </w:t>
      </w:r>
      <w:r>
        <w:rPr>
          <w:sz w:val="24"/>
          <w:rFonts w:ascii="Times New Roman" w:hAnsi="Times New Roman"/>
        </w:rPr>
        <w:t xml:space="preserve">Prekybos knyga (BOU1)</w:t>
      </w:r>
      <w:bookmarkEnd w:id="12"/>
    </w:p>
    <w:p w14:paraId="642D4D18" w14:textId="1B329C57" w:rsidR="00015197" w:rsidRPr="00037E7B" w:rsidRDefault="00015197" w:rsidP="009B2CA6">
      <w:pPr>
        <w:pStyle w:val="Instructionsberschrift2"/>
        <w:numPr>
          <w:ilvl w:val="0"/>
          <w:numId w:val="0"/>
        </w:numPr>
        <w:ind w:left="357" w:hanging="357"/>
        <w:rPr>
          <w:sz w:val="24"/>
          <w:rFonts w:ascii="Times New Roman" w:hAnsi="Times New Roman" w:cs="Times New Roman"/>
        </w:rPr>
      </w:pPr>
      <w:bookmarkStart w:id="13" w:name="_Toc151714539"/>
      <w:r>
        <w:rPr>
          <w:sz w:val="24"/>
          <w:rFonts w:ascii="Times New Roman" w:hAnsi="Times New Roman"/>
        </w:rPr>
        <w:t xml:space="preserve">9.2.2.1. Bendrosios pastabos</w:t>
      </w:r>
      <w:bookmarkEnd w:id="13"/>
    </w:p>
    <w:p w14:paraId="4E94C71F" w14:textId="73207B56" w:rsidR="00D87969" w:rsidRPr="00037E7B" w:rsidRDefault="000B3833" w:rsidP="00D53CED">
      <w:pPr>
        <w:pStyle w:val="InstructionsText2"/>
        <w:numPr>
          <w:ilvl w:val="0"/>
          <w:numId w:val="0"/>
        </w:numPr>
        <w:rPr>
          <w:noProof/>
        </w:rPr>
      </w:pPr>
      <w:r>
        <w:t xml:space="preserve">209b.</w:t>
      </w:r>
      <w:r>
        <w:t xml:space="preserve"> </w:t>
      </w:r>
      <w:r>
        <w:t xml:space="preserve">Šioje formoje įstaigos nurodo visas pozicijas, priskirtas prekybos knygai, kaip nurodyta Reglamento (ES) Nr. 575/2013 4 straipsnio 1 dalies 85 punkte, išskyrus priemones ir pozicijas, neįtrauktas apskaičiuojant to reglamento 325a straipsnyje nurodytą ribinę vertę. </w:t>
      </w:r>
      <w:r>
        <w:t xml:space="preserve">209c. Nukrypdamos nuo Reglamento (ES) 2021/451 21 straipsnio 1 dalies a punkto, įstaigos nurodo nulį 0010 ir 0020 eilutėse atitinkamai 0020 skiltyje („Privalomas įtraukimas į prekybos knygą“), 0130 skiltyje („Pritarus kompetentingai institucijai privalomai į prekybos knygą įtrauktos priemonės“) ir 0140 skiltyje („Kitos priemonės“), jei jų prekybos knyga neapima jokios priemonės, atitinkančios atitinkamo laukelio aprašymą.</w:t>
      </w:r>
    </w:p>
    <w:p w14:paraId="032CBDD2" w14:textId="553C54FC" w:rsidR="00056154" w:rsidRPr="00037E7B" w:rsidRDefault="00056154">
      <w:pPr>
        <w:pStyle w:val="InstructionsText2"/>
        <w:numPr>
          <w:ilvl w:val="0"/>
          <w:numId w:val="0"/>
        </w:numPr>
        <w:rPr>
          <w:noProof/>
        </w:rPr>
      </w:pPr>
    </w:p>
    <w:p w14:paraId="2C4982B9" w14:textId="526F501C" w:rsidR="009B2CA6" w:rsidRPr="00037E7B" w:rsidRDefault="00015197" w:rsidP="009B2CA6">
      <w:pPr>
        <w:pStyle w:val="Instructionsberschrift2"/>
        <w:numPr>
          <w:ilvl w:val="0"/>
          <w:numId w:val="0"/>
        </w:numPr>
        <w:ind w:left="357" w:hanging="357"/>
        <w:rPr>
          <w:sz w:val="24"/>
          <w:rFonts w:ascii="Times New Roman" w:hAnsi="Times New Roman" w:cs="Times New Roman"/>
        </w:rPr>
      </w:pPr>
      <w:bookmarkStart w:id="14" w:name="_Toc151714540"/>
      <w:r>
        <w:rPr>
          <w:sz w:val="24"/>
          <w:rFonts w:ascii="Times New Roman" w:hAnsi="Times New Roman"/>
        </w:rPr>
        <w:t xml:space="preserve">9.2.2.2. Nurodymai dėl konkrečių pozicijų</w:t>
      </w:r>
      <w:bookmarkEnd w:id="14"/>
    </w:p>
    <w:tbl>
      <w:tblPr>
        <w:tblStyle w:val="TableGrid"/>
        <w:tblW w:w="0" w:type="auto"/>
        <w:tblLook w:val="04A0" w:firstRow="1" w:lastRow="0" w:firstColumn="1" w:lastColumn="0" w:noHBand="0" w:noVBand="1"/>
      </w:tblPr>
      <w:tblGrid>
        <w:gridCol w:w="1203"/>
        <w:gridCol w:w="7813"/>
      </w:tblGrid>
      <w:tr w:rsidR="009B2CA6" w:rsidRPr="00037E7B" w14:paraId="15D9E2A5" w14:textId="77777777">
        <w:tc>
          <w:tcPr>
            <w:tcW w:w="1203" w:type="dxa"/>
            <w:shd w:val="clear" w:color="auto" w:fill="BFBFBF" w:themeFill="background1" w:themeFillShade="BF"/>
          </w:tcPr>
          <w:p w14:paraId="1B28CD80" w14:textId="77777777" w:rsidR="009B2CA6" w:rsidRPr="00037E7B" w:rsidRDefault="009B2CA6">
            <w:pPr>
              <w:pStyle w:val="BodyText"/>
              <w:spacing w:before="120" w:after="120"/>
              <w:rPr>
                <w:b/>
                <w:rFonts w:ascii="Times New Roman" w:hAnsi="Times New Roman" w:cs="Times New Roman"/>
              </w:rPr>
            </w:pPr>
            <w:r>
              <w:rPr>
                <w:b/>
                <w:rFonts w:ascii="Times New Roman" w:hAnsi="Times New Roman"/>
              </w:rPr>
              <w:t xml:space="preserve">Skiltis</w:t>
            </w:r>
          </w:p>
        </w:tc>
        <w:tc>
          <w:tcPr>
            <w:tcW w:w="7813" w:type="dxa"/>
            <w:shd w:val="clear" w:color="auto" w:fill="BFBFBF" w:themeFill="background1" w:themeFillShade="BF"/>
          </w:tcPr>
          <w:p w14:paraId="07605642" w14:textId="77777777" w:rsidR="009B2CA6" w:rsidRPr="00037E7B" w:rsidRDefault="009B2CA6">
            <w:pPr>
              <w:pStyle w:val="BodyText"/>
              <w:spacing w:before="120" w:after="120"/>
              <w:rPr>
                <w:b/>
                <w:rFonts w:ascii="Times New Roman" w:hAnsi="Times New Roman" w:cs="Times New Roman"/>
              </w:rPr>
            </w:pPr>
            <w:r>
              <w:rPr>
                <w:b/>
                <w:rFonts w:ascii="Times New Roman" w:hAnsi="Times New Roman"/>
              </w:rPr>
              <w:t xml:space="preserve">Nuorodos į teisės aktus ir nurodymai</w:t>
            </w:r>
          </w:p>
        </w:tc>
      </w:tr>
      <w:tr w:rsidR="009B2CA6" w:rsidRPr="00037E7B" w14:paraId="55E2B293" w14:textId="77777777">
        <w:trPr>
          <w:trHeight w:val="70"/>
        </w:trPr>
        <w:tc>
          <w:tcPr>
            <w:tcW w:w="1203" w:type="dxa"/>
          </w:tcPr>
          <w:p w14:paraId="62D87E0D" w14:textId="7B0469E1"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0010–0150</w:t>
            </w:r>
          </w:p>
        </w:tc>
        <w:tc>
          <w:tcPr>
            <w:tcW w:w="7813" w:type="dxa"/>
            <w:vAlign w:val="bottom"/>
          </w:tcPr>
          <w:p w14:paraId="266895B6" w14:textId="221A0953"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Prekybos knyga.</w:t>
            </w:r>
            <w:r>
              <w:rPr>
                <w:b/>
                <w:u w:val="single"/>
                <w:rFonts w:ascii="Times New Roman" w:hAnsi="Times New Roman"/>
              </w:rPr>
              <w:t xml:space="preserve"> </w:t>
            </w:r>
            <w:r>
              <w:rPr>
                <w:b/>
                <w:u w:val="single"/>
                <w:rFonts w:ascii="Times New Roman" w:hAnsi="Times New Roman"/>
              </w:rPr>
              <w:t xml:space="preserve">Agreguotos pozicijos.</w:t>
            </w:r>
            <w:r>
              <w:rPr>
                <w:b/>
                <w:u w:val="single"/>
                <w:rFonts w:ascii="Times New Roman" w:hAnsi="Times New Roman"/>
              </w:rPr>
              <w:t xml:space="preserve"> </w:t>
            </w:r>
            <w:r>
              <w:rPr>
                <w:b/>
                <w:u w:val="single"/>
                <w:rFonts w:ascii="Times New Roman" w:hAnsi="Times New Roman"/>
              </w:rPr>
              <w:t xml:space="preserve">Vertė taikant Reglamento (ES) Nr. 575/2013 325a straipsnį (grynoji teigiama (+) / neigiama (−) rinkos vertė)</w:t>
            </w:r>
          </w:p>
          <w:p w14:paraId="00ABD96B" w14:textId="77777777" w:rsidR="009B2CA6" w:rsidRPr="00037E7B" w:rsidRDefault="009B2CA6" w:rsidP="00056154">
            <w:pPr>
              <w:pStyle w:val="BodyText"/>
              <w:spacing w:before="120" w:after="120"/>
              <w:rPr>
                <w:rFonts w:ascii="Times New Roman" w:hAnsi="Times New Roman" w:cs="Times New Roman"/>
              </w:rPr>
            </w:pPr>
            <w:r>
              <w:rPr>
                <w:rFonts w:ascii="Times New Roman" w:hAnsi="Times New Roman"/>
              </w:rPr>
              <w:t xml:space="preserve">Reglamento (ES) Nr. 575/2013 4 straipsnio 1 dalies 86 punktas, 104 straipsnis ir 325a straipsnio 2 dalies a punktas</w:t>
            </w:r>
          </w:p>
          <w:p w14:paraId="467A1E21" w14:textId="008DABF1" w:rsidR="0061609C" w:rsidRPr="00037E7B" w:rsidRDefault="0061609C" w:rsidP="00056154">
            <w:pPr>
              <w:pStyle w:val="BodyText"/>
              <w:spacing w:before="120" w:after="120"/>
              <w:rPr>
                <w:rFonts w:ascii="Times New Roman" w:hAnsi="Times New Roman" w:cs="Times New Roman"/>
              </w:rPr>
            </w:pPr>
            <w:r>
              <w:t xml:space="preserve">Įstaigos atskirai pateikia informaciją apie agreguotas ilgąsias pozicijas ir agreguotas trumpąsias pozicijas.</w:t>
            </w:r>
            <w:r>
              <w:t xml:space="preserve"> </w:t>
            </w:r>
            <w:r>
              <w:t xml:space="preserve">Jos nustato agreguotų ilgųjų (trumpųjų) pozicijų vertę pagal Reglamento (ES) Nr. 575/2013 325a straipsnio 2 dalį, taikydamos šią leidžiančią nukrypti nuostatą:</w:t>
            </w:r>
            <w:r>
              <w:t xml:space="preserve"> </w:t>
            </w:r>
            <w:r>
              <w:t xml:space="preserve">kai agreguotų ilgųjų (trumpųjų) pozicijų vertė atitinka grynąją teigiamą rinkos vertę, šioje formoje nurodoma teigiama vertė;</w:t>
            </w:r>
            <w:r>
              <w:t xml:space="preserve"> </w:t>
            </w:r>
            <w:r>
              <w:t xml:space="preserve">kai agreguotų ilgųjų (trumpųjų) pozicijų vertė atitinka grynąją neigiamą rinkos vertę, nurodoma neigiama vertė.</w:t>
            </w:r>
          </w:p>
        </w:tc>
      </w:tr>
      <w:tr w:rsidR="009B2CA6" w:rsidRPr="00037E7B" w14:paraId="508C4AB7" w14:textId="77777777">
        <w:tc>
          <w:tcPr>
            <w:tcW w:w="1203" w:type="dxa"/>
          </w:tcPr>
          <w:p w14:paraId="502BC619" w14:textId="735ED871"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0010</w:t>
            </w:r>
          </w:p>
        </w:tc>
        <w:tc>
          <w:tcPr>
            <w:tcW w:w="7813" w:type="dxa"/>
            <w:vAlign w:val="bottom"/>
          </w:tcPr>
          <w:p w14:paraId="3A5B9DDA" w14:textId="7548675F" w:rsidR="009B2CA6" w:rsidRPr="00037E7B" w:rsidRDefault="0061609C">
            <w:pPr>
              <w:pStyle w:val="BodyText"/>
              <w:spacing w:before="120" w:after="120"/>
              <w:rPr>
                <w:b/>
                <w:u w:val="single"/>
                <w:rFonts w:ascii="Times New Roman" w:hAnsi="Times New Roman" w:cs="Times New Roman"/>
              </w:rPr>
            </w:pPr>
            <w:r>
              <w:rPr>
                <w:b/>
                <w:u w:val="single"/>
                <w:rFonts w:ascii="Times New Roman" w:hAnsi="Times New Roman"/>
              </w:rPr>
              <w:t xml:space="preserve">Agreguotos pozicijos. Dalis, kurią atitinka:</w:t>
            </w:r>
            <w:r>
              <w:rPr>
                <w:b/>
                <w:u w:val="single"/>
                <w:rFonts w:ascii="Times New Roman" w:hAnsi="Times New Roman"/>
              </w:rPr>
              <w:t xml:space="preserve"> </w:t>
            </w:r>
            <w:r>
              <w:rPr>
                <w:b/>
                <w:u w:val="single"/>
                <w:rFonts w:ascii="Times New Roman" w:hAnsi="Times New Roman"/>
              </w:rPr>
              <w:t xml:space="preserve">užsienio valiuta</w:t>
            </w:r>
          </w:p>
          <w:p w14:paraId="67C375D5" w14:textId="58B41269"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Šioje skiltyje nurodomos priemonės, kurios yra išreikštos kita nei ataskaitose nurodoma valiuta, kurių pagrindinė priemonė yra išreikšta tokia valiuta arba yra užsienio valiutų pozicija.</w:t>
            </w:r>
          </w:p>
        </w:tc>
      </w:tr>
      <w:tr w:rsidR="009B2CA6" w:rsidRPr="00037E7B" w14:paraId="03CCA48F" w14:textId="77777777">
        <w:tc>
          <w:tcPr>
            <w:tcW w:w="1203" w:type="dxa"/>
          </w:tcPr>
          <w:p w14:paraId="311B1C42" w14:textId="2702B590"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0020–0120</w:t>
            </w:r>
          </w:p>
        </w:tc>
        <w:tc>
          <w:tcPr>
            <w:tcW w:w="7813" w:type="dxa"/>
            <w:vAlign w:val="bottom"/>
          </w:tcPr>
          <w:p w14:paraId="7817D847" w14:textId="2DFC160D" w:rsidR="009B2CA6" w:rsidRPr="00037E7B" w:rsidRDefault="0061609C">
            <w:pPr>
              <w:pStyle w:val="BodyText"/>
              <w:spacing w:before="120" w:after="120"/>
              <w:rPr>
                <w:b/>
                <w:u w:val="single"/>
                <w:rFonts w:ascii="Times New Roman" w:hAnsi="Times New Roman" w:cs="Times New Roman"/>
              </w:rPr>
            </w:pPr>
            <w:r>
              <w:rPr>
                <w:b/>
                <w:u w:val="single"/>
                <w:rFonts w:ascii="Times New Roman" w:hAnsi="Times New Roman"/>
              </w:rPr>
              <w:t xml:space="preserve">Agreguotos pozicijos. Privalomas įtraukimas į prekybos knygą</w:t>
            </w:r>
          </w:p>
          <w:p w14:paraId="45D126DC" w14:textId="42024198"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Kai priemonė atitinka daugiau nei vieną įtraukimo į prekybos knygą sąlygą, įstaigos ją nurodo toje skiltyje iš 0030–0120 skilčių, kurią laiko pačia tinkamiausia.</w:t>
            </w:r>
            <w:r>
              <w:rPr>
                <w:rFonts w:ascii="Times New Roman" w:hAnsi="Times New Roman"/>
              </w:rPr>
              <w:t xml:space="preserve"> </w:t>
            </w:r>
            <w:r>
              <w:rPr>
                <w:rFonts w:ascii="Times New Roman" w:hAnsi="Times New Roman"/>
              </w:rPr>
              <w:t xml:space="preserve">Priemonės, laikomos turinčiomis prekybos tikslą pagal apskaitos sistemą, nurodomos tik 0120 skiltyje, jei negali būti priskirtos nė vienai iš 0030–0110 skilčių.</w:t>
            </w:r>
          </w:p>
        </w:tc>
      </w:tr>
      <w:tr w:rsidR="009B2CA6" w:rsidRPr="00037E7B" w14:paraId="6AC9BF62" w14:textId="77777777">
        <w:tc>
          <w:tcPr>
            <w:tcW w:w="1203" w:type="dxa"/>
          </w:tcPr>
          <w:p w14:paraId="5CD1C53C" w14:textId="3AE6C82A"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0020</w:t>
            </w:r>
          </w:p>
        </w:tc>
        <w:tc>
          <w:tcPr>
            <w:tcW w:w="7813" w:type="dxa"/>
            <w:vAlign w:val="bottom"/>
          </w:tcPr>
          <w:p w14:paraId="76886CFB"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Privalomas įtraukimas į prekybos knygą</w:t>
            </w:r>
          </w:p>
        </w:tc>
      </w:tr>
      <w:tr w:rsidR="009B2CA6" w:rsidRPr="00037E7B" w14:paraId="1DB81A60" w14:textId="77777777">
        <w:tc>
          <w:tcPr>
            <w:tcW w:w="1203" w:type="dxa"/>
          </w:tcPr>
          <w:p w14:paraId="58C00983" w14:textId="4299CC1F"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0030</w:t>
            </w:r>
          </w:p>
        </w:tc>
        <w:tc>
          <w:tcPr>
            <w:tcW w:w="7813" w:type="dxa"/>
          </w:tcPr>
          <w:p w14:paraId="5A39CA9E"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Alternatyvaus koreliacinės prekybos portfelio (ACTP) priemonės</w:t>
            </w:r>
          </w:p>
          <w:p w14:paraId="761EFC0B"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Reglamento (ES) 575/2013 104 straipsnio 2 dalies pirmos pastraipos a punktas</w:t>
            </w:r>
          </w:p>
        </w:tc>
      </w:tr>
      <w:tr w:rsidR="009B2CA6" w:rsidRPr="00037E7B" w14:paraId="6F489832" w14:textId="77777777">
        <w:tc>
          <w:tcPr>
            <w:tcW w:w="1203" w:type="dxa"/>
          </w:tcPr>
          <w:p w14:paraId="3AD88966" w14:textId="2138AB70"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0040</w:t>
            </w:r>
          </w:p>
        </w:tc>
        <w:tc>
          <w:tcPr>
            <w:tcW w:w="7813" w:type="dxa"/>
          </w:tcPr>
          <w:p w14:paraId="201BF48F"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Priemonės, dėl kurių bankinėje knygoje atsirastų grynoji trumpoji kredito ar nuosavybės vertybinių popierių pozicija</w:t>
            </w:r>
          </w:p>
          <w:p w14:paraId="6B81D801"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Reglamento (ES) 575/2013 104 straipsnio 2 dalies pirmos pastraipos b punktas</w:t>
            </w:r>
          </w:p>
        </w:tc>
      </w:tr>
      <w:tr w:rsidR="009B2CA6" w:rsidRPr="00037E7B" w14:paraId="2681A203" w14:textId="77777777">
        <w:tc>
          <w:tcPr>
            <w:tcW w:w="1203" w:type="dxa"/>
          </w:tcPr>
          <w:p w14:paraId="4F039D7D" w14:textId="1615A9ED"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0050</w:t>
            </w:r>
          </w:p>
        </w:tc>
        <w:tc>
          <w:tcPr>
            <w:tcW w:w="7813" w:type="dxa"/>
          </w:tcPr>
          <w:p w14:paraId="58BDB0D5"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Priemonės, susijusios su vertybinių popierių platinimo įsipareigojimais</w:t>
            </w:r>
          </w:p>
          <w:p w14:paraId="0035AEDA"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Reglamento (ES) 575/2013 104 straipsnio 2 dalies pirmos pastraipos c punktas</w:t>
            </w:r>
          </w:p>
        </w:tc>
      </w:tr>
      <w:tr w:rsidR="009B2CA6" w:rsidRPr="00037E7B" w14:paraId="0F150DD0" w14:textId="77777777">
        <w:tc>
          <w:tcPr>
            <w:tcW w:w="1203" w:type="dxa"/>
          </w:tcPr>
          <w:p w14:paraId="56310523" w14:textId="5824B274"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0060</w:t>
            </w:r>
          </w:p>
        </w:tc>
        <w:tc>
          <w:tcPr>
            <w:tcW w:w="7813" w:type="dxa"/>
          </w:tcPr>
          <w:p w14:paraId="319EF2D9"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Priemonės, susijusios su rinkos formavimo veikla</w:t>
            </w:r>
          </w:p>
          <w:p w14:paraId="39D72E39"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Reglamento (ES) 575/2013 104 straipsnio 2 dalies pirmos pastraipos e punktas</w:t>
            </w:r>
          </w:p>
        </w:tc>
      </w:tr>
      <w:tr w:rsidR="009B2CA6" w:rsidRPr="00037E7B" w14:paraId="3EEE4A44" w14:textId="77777777">
        <w:tc>
          <w:tcPr>
            <w:tcW w:w="1203" w:type="dxa"/>
          </w:tcPr>
          <w:p w14:paraId="35BF9484" w14:textId="12DEDF50"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0070</w:t>
            </w:r>
          </w:p>
        </w:tc>
        <w:tc>
          <w:tcPr>
            <w:tcW w:w="7813" w:type="dxa"/>
          </w:tcPr>
          <w:p w14:paraId="11B16F63"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KIS</w:t>
            </w:r>
          </w:p>
          <w:p w14:paraId="5F0ADDDD"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Reglamento (ES) 575/2013 104 straipsnio 2 dalies pirmos pastraipos f punktas</w:t>
            </w:r>
          </w:p>
        </w:tc>
      </w:tr>
      <w:tr w:rsidR="009B2CA6" w:rsidRPr="00037E7B" w14:paraId="39B1FCD7" w14:textId="77777777">
        <w:tc>
          <w:tcPr>
            <w:tcW w:w="1203" w:type="dxa"/>
          </w:tcPr>
          <w:p w14:paraId="56A3EA85" w14:textId="5D6B9DAD"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0080</w:t>
            </w:r>
          </w:p>
        </w:tc>
        <w:tc>
          <w:tcPr>
            <w:tcW w:w="7813" w:type="dxa"/>
          </w:tcPr>
          <w:p w14:paraId="6968C5A8"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Biržiniai nuosavybės vertybiniai popieriai</w:t>
            </w:r>
          </w:p>
          <w:p w14:paraId="7373B9F6" w14:textId="77777777"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Reglamento (ES) 575/2013 104 straipsnio 2 dalies pirmos pastraipos g punktas</w:t>
            </w:r>
          </w:p>
        </w:tc>
      </w:tr>
      <w:tr w:rsidR="009B2CA6" w:rsidRPr="00037E7B" w14:paraId="2C868D17" w14:textId="77777777">
        <w:tc>
          <w:tcPr>
            <w:tcW w:w="1203" w:type="dxa"/>
          </w:tcPr>
          <w:p w14:paraId="7C3DA249" w14:textId="2DCB2DC7"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0090</w:t>
            </w:r>
          </w:p>
        </w:tc>
        <w:tc>
          <w:tcPr>
            <w:tcW w:w="7813" w:type="dxa"/>
          </w:tcPr>
          <w:p w14:paraId="6387D715"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Su prekyba susiję VPĮFS</w:t>
            </w:r>
          </w:p>
          <w:p w14:paraId="6D53378A"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Reglamento (ES) 575/2013 104 straipsnio 2 dalies pirmos pastraipos h punktas</w:t>
            </w:r>
          </w:p>
        </w:tc>
      </w:tr>
      <w:tr w:rsidR="009B2CA6" w:rsidRPr="00037E7B" w14:paraId="51E19E34" w14:textId="77777777">
        <w:tc>
          <w:tcPr>
            <w:tcW w:w="1203" w:type="dxa"/>
          </w:tcPr>
          <w:p w14:paraId="40DF6AD2" w14:textId="66A7EFB3"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0100</w:t>
            </w:r>
          </w:p>
        </w:tc>
        <w:tc>
          <w:tcPr>
            <w:tcW w:w="7813" w:type="dxa"/>
          </w:tcPr>
          <w:p w14:paraId="5611CE5C"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Į įstaigos nuosavus įsipareigojimus įterpti pasirinkimo sandoriai arba kitos išvestinės finansinės priemonės (atskirti)</w:t>
            </w:r>
          </w:p>
          <w:p w14:paraId="0426719F"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Reglamento (ES) 575/2013 104 straipsnio 2 dalies pirmos pastraipos i punktas ir trečia pastraipa</w:t>
            </w:r>
          </w:p>
        </w:tc>
      </w:tr>
      <w:tr w:rsidR="009B2CA6" w:rsidRPr="00037E7B" w14:paraId="0BD2C394" w14:textId="77777777">
        <w:tc>
          <w:tcPr>
            <w:tcW w:w="1203" w:type="dxa"/>
          </w:tcPr>
          <w:p w14:paraId="577F08A1" w14:textId="53A3A002"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0110</w:t>
            </w:r>
          </w:p>
        </w:tc>
        <w:tc>
          <w:tcPr>
            <w:tcW w:w="7813" w:type="dxa"/>
          </w:tcPr>
          <w:p w14:paraId="3F7AFD3A"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Įstaigos nuosavi įsipareigojimai, į kuriuos įterpti pasirinkimo sandoriai arba kitos išvestinės finansinės priemonės (neatskirti)</w:t>
            </w:r>
          </w:p>
          <w:p w14:paraId="6C5173C2"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Reglamento (ES) 575/2013 104 straipsnio 2 dalies pirmos pastraipos i punktas ir ketvirta pastraipa</w:t>
            </w:r>
          </w:p>
        </w:tc>
      </w:tr>
      <w:tr w:rsidR="009B2CA6" w:rsidRPr="00037E7B" w14:paraId="5BD829B0" w14:textId="77777777">
        <w:tc>
          <w:tcPr>
            <w:tcW w:w="1203" w:type="dxa"/>
          </w:tcPr>
          <w:p w14:paraId="2FA5C009" w14:textId="473E61D7"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0120</w:t>
            </w:r>
          </w:p>
        </w:tc>
        <w:tc>
          <w:tcPr>
            <w:tcW w:w="7813" w:type="dxa"/>
          </w:tcPr>
          <w:p w14:paraId="04C4E6C0"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Priemonės, laikomos turinčiomis prekybos tikslą pagal apskaitos sistemą (neįtrauktos į ankstesnes skiltis)</w:t>
            </w:r>
          </w:p>
          <w:p w14:paraId="10D50030" w14:textId="47C96D60"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Reglamento (ES) 575/2013 104 straipsnio 2 dalies pirmos pastraipos d punktas</w:t>
            </w:r>
          </w:p>
          <w:p w14:paraId="5674D9E6" w14:textId="3DAB8DFF"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Priemonės, laikomos turinčiomis prekybos tikslą pagal apskaitos sistemą, nurodomos tik šioje skiltyje, jei dar nenurodytos nė vienoje iš 0030–0110 skilčių.</w:t>
            </w:r>
          </w:p>
        </w:tc>
      </w:tr>
      <w:tr w:rsidR="009B2CA6" w:rsidRPr="00037E7B" w14:paraId="2E034E64" w14:textId="77777777">
        <w:tc>
          <w:tcPr>
            <w:tcW w:w="1203" w:type="dxa"/>
          </w:tcPr>
          <w:p w14:paraId="0EC43CAD" w14:textId="3F3C4B46"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0130</w:t>
            </w:r>
            <w:r>
              <w:rPr>
                <w:rFonts w:ascii="Times New Roman" w:hAnsi="Times New Roman"/>
              </w:rPr>
              <w:t xml:space="preserve"> </w:t>
            </w:r>
          </w:p>
        </w:tc>
        <w:tc>
          <w:tcPr>
            <w:tcW w:w="7813" w:type="dxa"/>
          </w:tcPr>
          <w:p w14:paraId="1958765E" w14:textId="79733BFC" w:rsidR="009B2CA6" w:rsidRPr="00037E7B" w:rsidRDefault="0061609C">
            <w:pPr>
              <w:pStyle w:val="BodyText"/>
              <w:spacing w:before="120" w:after="120"/>
              <w:rPr>
                <w:b/>
                <w:u w:val="single"/>
                <w:rFonts w:ascii="Times New Roman" w:hAnsi="Times New Roman" w:cs="Times New Roman"/>
              </w:rPr>
            </w:pPr>
            <w:r>
              <w:rPr>
                <w:b/>
                <w:u w:val="single"/>
                <w:rFonts w:ascii="Times New Roman" w:hAnsi="Times New Roman"/>
              </w:rPr>
              <w:t xml:space="preserve">Agreguotos pozicijos. Pritarus kompetentingai institucijai privalomai į prekybos knygą įtrauktos priemonės:</w:t>
            </w:r>
            <w:r>
              <w:rPr>
                <w:b/>
                <w:u w:val="single"/>
                <w:rFonts w:ascii="Times New Roman" w:hAnsi="Times New Roman"/>
              </w:rPr>
              <w:t xml:space="preserve"> </w:t>
            </w:r>
            <w:r>
              <w:rPr>
                <w:b/>
                <w:u w:val="single"/>
                <w:rFonts w:ascii="Times New Roman" w:hAnsi="Times New Roman"/>
              </w:rPr>
              <w:t xml:space="preserve">rizikos draudimo fondų priemonės</w:t>
            </w:r>
          </w:p>
          <w:p w14:paraId="71C1AC7E"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Reglamento (ES) Nr. 575/2013 104 straipsnio 4a dalis</w:t>
            </w:r>
          </w:p>
        </w:tc>
      </w:tr>
      <w:tr w:rsidR="009B2CA6" w:rsidRPr="00037E7B" w14:paraId="58C0F140" w14:textId="77777777">
        <w:tc>
          <w:tcPr>
            <w:tcW w:w="1203" w:type="dxa"/>
          </w:tcPr>
          <w:p w14:paraId="4FE32C77" w14:textId="078AEE3E"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0140–0150</w:t>
            </w:r>
          </w:p>
        </w:tc>
        <w:tc>
          <w:tcPr>
            <w:tcW w:w="7813" w:type="dxa"/>
          </w:tcPr>
          <w:p w14:paraId="592DBEC6" w14:textId="54D13645" w:rsidR="009B2CA6" w:rsidRPr="00037E7B" w:rsidRDefault="0061609C">
            <w:pPr>
              <w:pStyle w:val="BodyText"/>
              <w:spacing w:before="120" w:after="120"/>
              <w:rPr>
                <w:b/>
                <w:u w:val="single"/>
                <w:rFonts w:ascii="Times New Roman" w:hAnsi="Times New Roman" w:cs="Times New Roman"/>
              </w:rPr>
            </w:pPr>
            <w:r>
              <w:rPr>
                <w:b/>
                <w:u w:val="single"/>
                <w:rFonts w:ascii="Times New Roman" w:hAnsi="Times New Roman"/>
              </w:rPr>
              <w:t xml:space="preserve">Agreguotos pozicijos. Kitos priemonės</w:t>
            </w:r>
          </w:p>
          <w:p w14:paraId="4AFCA133" w14:textId="3CC0563A"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Šioje skiltyje priemonės nurodomos, jeigu jos yra priskirtos prekybos knygai pagal Reglamento (ES) Nr. 575/2013 4 straipsnio 1 dalies 85 punktą ir nebuvo nurodytos nė vienoje iš 0020–0130 skilčių.</w:t>
            </w:r>
          </w:p>
        </w:tc>
      </w:tr>
      <w:tr w:rsidR="009B2CA6" w:rsidRPr="00037E7B" w14:paraId="2F8F4937" w14:textId="77777777">
        <w:tc>
          <w:tcPr>
            <w:tcW w:w="1203" w:type="dxa"/>
          </w:tcPr>
          <w:p w14:paraId="7CF40847" w14:textId="77E27C63"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0140</w:t>
            </w:r>
          </w:p>
        </w:tc>
        <w:tc>
          <w:tcPr>
            <w:tcW w:w="7813" w:type="dxa"/>
          </w:tcPr>
          <w:p w14:paraId="38EE7871"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Kitos priemonės</w:t>
            </w:r>
          </w:p>
        </w:tc>
      </w:tr>
      <w:tr w:rsidR="009B2CA6" w:rsidRPr="00037E7B" w14:paraId="64544C3C" w14:textId="77777777">
        <w:tc>
          <w:tcPr>
            <w:tcW w:w="1203" w:type="dxa"/>
          </w:tcPr>
          <w:p w14:paraId="26F8855E" w14:textId="46CAE730" w:rsidR="009B2CA6" w:rsidRPr="00037E7B" w:rsidRDefault="009B2CA6">
            <w:pPr>
              <w:pStyle w:val="BodyText"/>
              <w:spacing w:before="120" w:after="120"/>
              <w:rPr>
                <w:rFonts w:ascii="Times New Roman" w:hAnsi="Times New Roman" w:cs="Times New Roman"/>
              </w:rPr>
            </w:pPr>
            <w:r>
              <w:rPr>
                <w:rFonts w:ascii="Times New Roman" w:hAnsi="Times New Roman"/>
              </w:rPr>
              <w:t xml:space="preserve">0150</w:t>
            </w:r>
          </w:p>
        </w:tc>
        <w:tc>
          <w:tcPr>
            <w:tcW w:w="7813" w:type="dxa"/>
          </w:tcPr>
          <w:p w14:paraId="27213E71"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Kitos priemonės. Dalis, kurią atitinka:</w:t>
            </w:r>
            <w:r>
              <w:rPr>
                <w:b/>
                <w:u w:val="single"/>
                <w:rFonts w:ascii="Times New Roman" w:hAnsi="Times New Roman"/>
              </w:rPr>
              <w:t xml:space="preserve"> </w:t>
            </w:r>
            <w:r>
              <w:rPr>
                <w:b/>
                <w:u w:val="single"/>
                <w:rFonts w:ascii="Times New Roman" w:hAnsi="Times New Roman"/>
              </w:rPr>
              <w:t xml:space="preserve">priemonės, kurios yra prekybos knygoje, nes nėra pagrindo jas priskirti ne prekybos knygai</w:t>
            </w:r>
          </w:p>
          <w:p w14:paraId="41653FFB" w14:textId="77777777" w:rsidR="009B2CA6" w:rsidRPr="00037E7B" w:rsidRDefault="009B2CA6">
            <w:pPr>
              <w:pStyle w:val="BodyText"/>
              <w:spacing w:before="120" w:after="120"/>
              <w:rPr>
                <w:b/>
                <w:u w:val="single"/>
                <w:rFonts w:ascii="Times New Roman" w:hAnsi="Times New Roman" w:cs="Times New Roman"/>
              </w:rPr>
            </w:pPr>
            <w:r>
              <w:rPr>
                <w:rFonts w:ascii="Times New Roman" w:hAnsi="Times New Roman"/>
              </w:rPr>
              <w:t xml:space="preserve">Reglamento (ES) Nr. 575/2013 104 straipsnio 6 dalies antras sakinys</w:t>
            </w:r>
          </w:p>
        </w:tc>
      </w:tr>
    </w:tbl>
    <w:p w14:paraId="10FD81A7" w14:textId="77777777" w:rsidR="009B2CA6" w:rsidRPr="00037E7B" w:rsidRDefault="009B2CA6" w:rsidP="009B2CA6">
      <w:pPr>
        <w:pStyle w:val="body"/>
        <w:spacing w:before="0" w:after="0"/>
        <w:rPr>
          <w:rFonts w:ascii="Times New Roman" w:hAnsi="Times New Roman" w:cs="Times New Roman"/>
          <w:lang w:val="en-GB"/>
        </w:rPr>
      </w:pPr>
    </w:p>
    <w:tbl>
      <w:tblPr>
        <w:tblStyle w:val="TableGrid"/>
        <w:tblW w:w="0" w:type="auto"/>
        <w:tblLook w:val="04A0" w:firstRow="1" w:lastRow="0" w:firstColumn="1" w:lastColumn="0" w:noHBand="0" w:noVBand="1"/>
      </w:tblPr>
      <w:tblGrid>
        <w:gridCol w:w="1203"/>
        <w:gridCol w:w="7813"/>
      </w:tblGrid>
      <w:tr w:rsidR="009B2CA6" w:rsidRPr="00037E7B" w14:paraId="098F6BB4" w14:textId="77777777">
        <w:tc>
          <w:tcPr>
            <w:tcW w:w="1203" w:type="dxa"/>
            <w:shd w:val="clear" w:color="auto" w:fill="BFBFBF" w:themeFill="background1" w:themeFillShade="BF"/>
          </w:tcPr>
          <w:p w14:paraId="68638DB3" w14:textId="77777777" w:rsidR="009B2CA6" w:rsidRPr="00037E7B" w:rsidRDefault="009B2CA6">
            <w:pPr>
              <w:pStyle w:val="BodyText"/>
              <w:spacing w:before="120" w:after="120"/>
              <w:rPr>
                <w:b/>
                <w:rFonts w:ascii="Times New Roman" w:hAnsi="Times New Roman" w:cs="Times New Roman"/>
              </w:rPr>
            </w:pPr>
            <w:r>
              <w:rPr>
                <w:b/>
                <w:rFonts w:ascii="Times New Roman" w:hAnsi="Times New Roman"/>
              </w:rPr>
              <w:t xml:space="preserve">Eilutė</w:t>
            </w:r>
          </w:p>
        </w:tc>
        <w:tc>
          <w:tcPr>
            <w:tcW w:w="7813" w:type="dxa"/>
            <w:shd w:val="clear" w:color="auto" w:fill="BFBFBF" w:themeFill="background1" w:themeFillShade="BF"/>
          </w:tcPr>
          <w:p w14:paraId="4E400868" w14:textId="77777777" w:rsidR="009B2CA6" w:rsidRPr="00037E7B" w:rsidRDefault="009B2CA6">
            <w:pPr>
              <w:pStyle w:val="BodyText"/>
              <w:spacing w:before="120" w:after="120"/>
              <w:rPr>
                <w:b/>
                <w:rFonts w:ascii="Times New Roman" w:hAnsi="Times New Roman" w:cs="Times New Roman"/>
              </w:rPr>
            </w:pPr>
            <w:r>
              <w:rPr>
                <w:b/>
                <w:rFonts w:ascii="Times New Roman" w:hAnsi="Times New Roman"/>
              </w:rPr>
              <w:t xml:space="preserve">Nuorodos į teisės aktus ir nurodymai</w:t>
            </w:r>
          </w:p>
        </w:tc>
      </w:tr>
      <w:tr w:rsidR="009C1D1D" w:rsidRPr="00037E7B" w14:paraId="7134C634" w14:textId="77777777">
        <w:trPr>
          <w:trHeight w:val="70"/>
        </w:trPr>
        <w:tc>
          <w:tcPr>
            <w:tcW w:w="1203" w:type="dxa"/>
          </w:tcPr>
          <w:p w14:paraId="0369C832" w14:textId="5442AEC0" w:rsidR="009C1D1D" w:rsidRPr="00037E7B" w:rsidRDefault="00A17954">
            <w:pPr>
              <w:pStyle w:val="BodyText"/>
              <w:spacing w:before="120" w:after="120"/>
              <w:rPr>
                <w:rFonts w:ascii="Times New Roman" w:hAnsi="Times New Roman" w:cs="Times New Roman"/>
              </w:rPr>
            </w:pPr>
            <w:r>
              <w:rPr>
                <w:rFonts w:ascii="Times New Roman" w:hAnsi="Times New Roman"/>
              </w:rPr>
              <w:t xml:space="preserve">0010–0020</w:t>
            </w:r>
          </w:p>
        </w:tc>
        <w:tc>
          <w:tcPr>
            <w:tcW w:w="7813" w:type="dxa"/>
            <w:vAlign w:val="bottom"/>
          </w:tcPr>
          <w:p w14:paraId="0C31E542" w14:textId="7FD81BBC" w:rsidR="009C1D1D" w:rsidRPr="00037E7B" w:rsidRDefault="00A17954">
            <w:pPr>
              <w:pStyle w:val="BodyText"/>
              <w:spacing w:before="120" w:after="120"/>
              <w:rPr>
                <w:b/>
                <w:u w:val="single"/>
                <w:rFonts w:ascii="Times New Roman" w:hAnsi="Times New Roman" w:cs="Times New Roman"/>
              </w:rPr>
            </w:pPr>
            <w:r>
              <w:rPr>
                <w:b/>
                <w:u w:val="single"/>
                <w:rFonts w:ascii="Times New Roman" w:hAnsi="Times New Roman"/>
              </w:rPr>
              <w:t xml:space="preserve">Visos prekybos knygos priemonės, į kurias atsižvelgta nustatant Reglamento (ES) Nr. 575/2013 325a straipsnio ribinę vertę</w:t>
            </w:r>
          </w:p>
        </w:tc>
      </w:tr>
      <w:tr w:rsidR="009B2CA6" w:rsidRPr="00037E7B" w14:paraId="225F200D" w14:textId="77777777" w:rsidTr="00723BA8">
        <w:trPr>
          <w:trHeight w:val="70"/>
        </w:trPr>
        <w:tc>
          <w:tcPr>
            <w:tcW w:w="1203" w:type="dxa"/>
          </w:tcPr>
          <w:p w14:paraId="5E239DC6" w14:textId="25A2560E" w:rsidR="009B2CA6" w:rsidRPr="00037E7B" w:rsidRDefault="00A17954">
            <w:pPr>
              <w:pStyle w:val="BodyText"/>
              <w:spacing w:before="120" w:after="120"/>
              <w:rPr>
                <w:rFonts w:ascii="Times New Roman" w:hAnsi="Times New Roman" w:cs="Times New Roman"/>
              </w:rPr>
            </w:pPr>
            <w:r>
              <w:rPr>
                <w:rFonts w:ascii="Times New Roman" w:hAnsi="Times New Roman"/>
              </w:rPr>
              <w:t xml:space="preserve">0030–0040</w:t>
            </w:r>
          </w:p>
        </w:tc>
        <w:tc>
          <w:tcPr>
            <w:tcW w:w="7813" w:type="dxa"/>
          </w:tcPr>
          <w:p w14:paraId="63B321D7" w14:textId="77777777" w:rsidR="00A17954" w:rsidRPr="00037E7B" w:rsidRDefault="009B2CA6" w:rsidP="00627775">
            <w:pPr>
              <w:pStyle w:val="BodyText"/>
              <w:spacing w:before="120" w:after="120"/>
              <w:rPr>
                <w:b/>
                <w:u w:val="single"/>
                <w:rFonts w:ascii="Times New Roman" w:hAnsi="Times New Roman" w:cs="Times New Roman"/>
              </w:rPr>
            </w:pPr>
            <w:r>
              <w:rPr>
                <w:b/>
                <w:u w:val="single"/>
                <w:rFonts w:ascii="Times New Roman" w:hAnsi="Times New Roman"/>
              </w:rPr>
              <w:t xml:space="preserve">Priemonės, kurių pagrindinis rizikos veiksnys yra bendroji palūkanų normos rizika arba kredito maržos rizika</w:t>
            </w:r>
          </w:p>
          <w:p w14:paraId="1768966A" w14:textId="77777777" w:rsidR="009B2CA6" w:rsidRPr="00037E7B" w:rsidRDefault="009B2CA6" w:rsidP="00627775">
            <w:pPr>
              <w:pStyle w:val="BodyText"/>
              <w:spacing w:before="120" w:after="120"/>
              <w:rPr>
                <w:rFonts w:ascii="Times New Roman" w:hAnsi="Times New Roman" w:cs="Times New Roman"/>
                <w:b/>
                <w:u w:val="single"/>
                <w:lang w:val="en-GB"/>
              </w:rPr>
            </w:pPr>
          </w:p>
        </w:tc>
      </w:tr>
      <w:tr w:rsidR="009B2CA6" w:rsidRPr="00037E7B" w14:paraId="2557F02B" w14:textId="77777777" w:rsidTr="00723BA8">
        <w:trPr>
          <w:trHeight w:val="70"/>
        </w:trPr>
        <w:tc>
          <w:tcPr>
            <w:tcW w:w="1203" w:type="dxa"/>
          </w:tcPr>
          <w:p w14:paraId="365D4766" w14:textId="5FCC0FF4" w:rsidR="009B2CA6" w:rsidRPr="00037E7B" w:rsidRDefault="00A17954">
            <w:pPr>
              <w:pStyle w:val="BodyText"/>
              <w:spacing w:before="120" w:after="120"/>
              <w:rPr>
                <w:rFonts w:ascii="Times New Roman" w:hAnsi="Times New Roman" w:cs="Times New Roman"/>
              </w:rPr>
            </w:pPr>
            <w:r>
              <w:rPr>
                <w:rFonts w:ascii="Times New Roman" w:hAnsi="Times New Roman"/>
              </w:rPr>
              <w:t xml:space="preserve">0050–0060</w:t>
            </w:r>
          </w:p>
        </w:tc>
        <w:tc>
          <w:tcPr>
            <w:tcW w:w="7813" w:type="dxa"/>
          </w:tcPr>
          <w:p w14:paraId="3388E222" w14:textId="77777777" w:rsidR="009B2CA6" w:rsidRPr="00037E7B" w:rsidRDefault="009B2CA6" w:rsidP="00627775">
            <w:pPr>
              <w:pStyle w:val="BodyText"/>
              <w:spacing w:before="120" w:after="120"/>
              <w:rPr>
                <w:b/>
                <w:u w:val="single"/>
                <w:rFonts w:ascii="Times New Roman" w:hAnsi="Times New Roman" w:cs="Times New Roman"/>
              </w:rPr>
            </w:pPr>
            <w:r>
              <w:rPr>
                <w:b/>
                <w:u w:val="single"/>
                <w:rFonts w:ascii="Times New Roman" w:hAnsi="Times New Roman"/>
              </w:rPr>
              <w:t xml:space="preserve">Priemonės, kurių pagrindinis rizikos veiksnys yra nuosavybės vertybinių popierių rizika</w:t>
            </w:r>
          </w:p>
        </w:tc>
      </w:tr>
      <w:tr w:rsidR="009B2CA6" w:rsidRPr="00037E7B" w14:paraId="615194B9" w14:textId="77777777" w:rsidTr="00723BA8">
        <w:trPr>
          <w:trHeight w:val="70"/>
        </w:trPr>
        <w:tc>
          <w:tcPr>
            <w:tcW w:w="1203" w:type="dxa"/>
          </w:tcPr>
          <w:p w14:paraId="39A575D7" w14:textId="6612F010" w:rsidR="009B2CA6" w:rsidRPr="00037E7B" w:rsidRDefault="00A17954">
            <w:pPr>
              <w:pStyle w:val="BodyText"/>
              <w:spacing w:before="120" w:after="120"/>
              <w:rPr>
                <w:rFonts w:ascii="Times New Roman" w:hAnsi="Times New Roman" w:cs="Times New Roman"/>
              </w:rPr>
            </w:pPr>
            <w:r>
              <w:rPr>
                <w:rFonts w:ascii="Times New Roman" w:hAnsi="Times New Roman"/>
              </w:rPr>
              <w:t xml:space="preserve">0070–0080</w:t>
            </w:r>
          </w:p>
        </w:tc>
        <w:tc>
          <w:tcPr>
            <w:tcW w:w="7813" w:type="dxa"/>
          </w:tcPr>
          <w:p w14:paraId="1BA6993E" w14:textId="77777777" w:rsidR="009B2CA6" w:rsidRPr="00037E7B" w:rsidRDefault="009B2CA6" w:rsidP="00627775">
            <w:pPr>
              <w:pStyle w:val="BodyText"/>
              <w:spacing w:before="120" w:after="120"/>
              <w:rPr>
                <w:b/>
                <w:u w:val="single"/>
                <w:rFonts w:ascii="Times New Roman" w:hAnsi="Times New Roman" w:cs="Times New Roman"/>
              </w:rPr>
            </w:pPr>
            <w:r>
              <w:rPr>
                <w:b/>
                <w:u w:val="single"/>
                <w:rFonts w:ascii="Times New Roman" w:hAnsi="Times New Roman"/>
              </w:rPr>
              <w:t xml:space="preserve">Priemonės, kurių pagrindinis rizikos veiksnys yra užsienio valiutos rizika</w:t>
            </w:r>
          </w:p>
        </w:tc>
      </w:tr>
      <w:tr w:rsidR="009B2CA6" w:rsidRPr="00037E7B" w14:paraId="6C784F43" w14:textId="77777777" w:rsidTr="00723BA8">
        <w:trPr>
          <w:trHeight w:val="70"/>
        </w:trPr>
        <w:tc>
          <w:tcPr>
            <w:tcW w:w="1203" w:type="dxa"/>
          </w:tcPr>
          <w:p w14:paraId="11C355B3" w14:textId="7F907F02" w:rsidR="009B2CA6" w:rsidRPr="00037E7B" w:rsidRDefault="00A17954">
            <w:pPr>
              <w:pStyle w:val="BodyText"/>
              <w:spacing w:before="120" w:after="120"/>
              <w:rPr>
                <w:rFonts w:ascii="Times New Roman" w:hAnsi="Times New Roman" w:cs="Times New Roman"/>
              </w:rPr>
            </w:pPr>
            <w:r>
              <w:rPr>
                <w:rFonts w:ascii="Times New Roman" w:hAnsi="Times New Roman"/>
              </w:rPr>
              <w:t xml:space="preserve">0090–0100</w:t>
            </w:r>
          </w:p>
        </w:tc>
        <w:tc>
          <w:tcPr>
            <w:tcW w:w="7813" w:type="dxa"/>
          </w:tcPr>
          <w:p w14:paraId="0DBB7B5D" w14:textId="77777777" w:rsidR="009B2CA6" w:rsidRPr="00037E7B" w:rsidRDefault="009B2CA6" w:rsidP="00627775">
            <w:pPr>
              <w:pStyle w:val="BodyText"/>
              <w:spacing w:before="120" w:after="120"/>
              <w:rPr>
                <w:b/>
                <w:u w:val="single"/>
                <w:rFonts w:ascii="Times New Roman" w:hAnsi="Times New Roman" w:cs="Times New Roman"/>
              </w:rPr>
            </w:pPr>
            <w:r>
              <w:rPr>
                <w:b/>
                <w:u w:val="single"/>
                <w:rFonts w:ascii="Times New Roman" w:hAnsi="Times New Roman"/>
              </w:rPr>
              <w:t xml:space="preserve">Priemonės, kurių pagrindinis rizikos veiksnys yra biržos prekių kainos rizika</w:t>
            </w:r>
          </w:p>
        </w:tc>
      </w:tr>
      <w:tr w:rsidR="009B2CA6" w:rsidRPr="00037E7B" w14:paraId="621D668A" w14:textId="77777777">
        <w:trPr>
          <w:trHeight w:val="70"/>
        </w:trPr>
        <w:tc>
          <w:tcPr>
            <w:tcW w:w="1203" w:type="dxa"/>
          </w:tcPr>
          <w:p w14:paraId="5E85AB2F" w14:textId="7FA64DA7" w:rsidR="009B2CA6" w:rsidRPr="00037E7B" w:rsidRDefault="00A17954">
            <w:pPr>
              <w:pStyle w:val="BodyText"/>
              <w:spacing w:before="120" w:after="120"/>
              <w:rPr>
                <w:rFonts w:ascii="Times New Roman" w:hAnsi="Times New Roman" w:cs="Times New Roman"/>
              </w:rPr>
            </w:pPr>
            <w:r>
              <w:rPr>
                <w:rFonts w:ascii="Times New Roman" w:hAnsi="Times New Roman"/>
              </w:rPr>
              <w:t xml:space="preserve">0110–0120</w:t>
            </w:r>
          </w:p>
        </w:tc>
        <w:tc>
          <w:tcPr>
            <w:tcW w:w="7813" w:type="dxa"/>
            <w:vAlign w:val="bottom"/>
          </w:tcPr>
          <w:p w14:paraId="05743526" w14:textId="39B8C6D0" w:rsidR="00A17954" w:rsidRPr="00037E7B" w:rsidRDefault="00D35757" w:rsidP="00A17954">
            <w:pPr>
              <w:pStyle w:val="BodyText"/>
              <w:spacing w:before="120" w:after="120"/>
              <w:rPr>
                <w:b/>
                <w:u w:val="single"/>
                <w:rFonts w:ascii="Times New Roman" w:hAnsi="Times New Roman" w:cs="Times New Roman"/>
              </w:rPr>
            </w:pPr>
            <w:r>
              <w:rPr>
                <w:b/>
                <w:u w:val="single"/>
                <w:rFonts w:ascii="Times New Roman" w:hAnsi="Times New Roman"/>
              </w:rPr>
              <w:t xml:space="preserve">Kitos prekybos knygos priemonės, įskaitant priemones, kurių pagrindinis rizikos veiksnys yra likutinė rizika</w:t>
            </w:r>
          </w:p>
          <w:p w14:paraId="49050F01" w14:textId="0520CC26" w:rsidR="009B2CA6" w:rsidRPr="00723BA8" w:rsidRDefault="00D35757">
            <w:pPr>
              <w:pStyle w:val="BodyText"/>
              <w:spacing w:before="120" w:after="120"/>
              <w:rPr>
                <w:rFonts w:hint="eastAsia"/>
              </w:rPr>
            </w:pPr>
            <w:r>
              <w:t xml:space="preserve">Šiose eilutėse įstaigos nurodo visas prekybos knygai priskirtas priemones, kurių pagrindinis rizikos veiksnys nėra vienas iš veiksnių, nurodytų 0030 to 0100 eilutėse.</w:t>
            </w:r>
            <w:r>
              <w:t xml:space="preserve"> </w:t>
            </w:r>
            <w:r>
              <w:t xml:space="preserve">Šiose eilutėse pateikiamos bent priemonės, kurių pagrindinis rizikos veiksnys yra likutinė rizika.</w:t>
            </w:r>
            <w:r>
              <w:t xml:space="preserve">  </w:t>
            </w:r>
          </w:p>
        </w:tc>
      </w:tr>
      <w:tr w:rsidR="009B2CA6" w:rsidRPr="00037E7B" w14:paraId="461D04B3" w14:textId="77777777">
        <w:trPr>
          <w:trHeight w:val="70"/>
        </w:trPr>
        <w:tc>
          <w:tcPr>
            <w:tcW w:w="1203" w:type="dxa"/>
          </w:tcPr>
          <w:p w14:paraId="1CF3996C" w14:textId="0F9E87BA" w:rsidR="009B2CA6" w:rsidRPr="00037E7B" w:rsidRDefault="00546BA6">
            <w:pPr>
              <w:pStyle w:val="BodyText"/>
              <w:spacing w:before="120" w:after="120"/>
              <w:rPr>
                <w:rFonts w:ascii="Times New Roman" w:hAnsi="Times New Roman" w:cs="Times New Roman"/>
              </w:rPr>
            </w:pPr>
            <w:r>
              <w:rPr>
                <w:rFonts w:ascii="Times New Roman" w:hAnsi="Times New Roman"/>
              </w:rPr>
              <w:t xml:space="preserve">0130–0140</w:t>
            </w:r>
          </w:p>
        </w:tc>
        <w:tc>
          <w:tcPr>
            <w:tcW w:w="7813" w:type="dxa"/>
            <w:vAlign w:val="bottom"/>
          </w:tcPr>
          <w:p w14:paraId="48517D2E" w14:textId="77777777" w:rsidR="009B2CA6" w:rsidRPr="00037E7B" w:rsidRDefault="009B2CA6">
            <w:pPr>
              <w:pStyle w:val="BodyText"/>
              <w:spacing w:before="120" w:after="120"/>
              <w:rPr>
                <w:b/>
                <w:u w:val="single"/>
                <w:rFonts w:ascii="Times New Roman" w:hAnsi="Times New Roman" w:cs="Times New Roman"/>
              </w:rPr>
            </w:pPr>
            <w:r>
              <w:rPr>
                <w:b/>
                <w:u w:val="single"/>
                <w:rFonts w:ascii="Times New Roman" w:hAnsi="Times New Roman"/>
              </w:rPr>
              <w:t xml:space="preserve">Papildomas straipsnis.</w:t>
            </w:r>
            <w:r>
              <w:rPr>
                <w:b/>
                <w:u w:val="single"/>
                <w:rFonts w:ascii="Times New Roman" w:hAnsi="Times New Roman"/>
              </w:rPr>
              <w:t xml:space="preserve"> </w:t>
            </w:r>
            <w:r>
              <w:rPr>
                <w:b/>
                <w:u w:val="single"/>
                <w:rFonts w:ascii="Times New Roman" w:hAnsi="Times New Roman"/>
              </w:rPr>
              <w:t xml:space="preserve">Priemonės, laikomos turinčiomis prekybos tikslą pagal apskaitos sistemą</w:t>
            </w:r>
          </w:p>
          <w:p w14:paraId="3A1B5873" w14:textId="2B81F1B6" w:rsidR="009B2CA6" w:rsidRPr="00037E7B" w:rsidRDefault="009B2CA6" w:rsidP="00723BA8">
            <w:pPr>
              <w:pStyle w:val="BodyText"/>
              <w:spacing w:before="120" w:after="120"/>
              <w:rPr>
                <w:rFonts w:ascii="Times New Roman" w:hAnsi="Times New Roman" w:cs="Times New Roman"/>
              </w:rPr>
            </w:pPr>
            <w:r>
              <w:rPr>
                <w:rFonts w:ascii="Times New Roman" w:hAnsi="Times New Roman"/>
              </w:rPr>
              <w:t xml:space="preserve">Reglamento (ES) 575/2013 104 straipsnio 2 dalies pirmos pastraipos d punktas</w:t>
            </w:r>
          </w:p>
        </w:tc>
      </w:tr>
    </w:tbl>
    <w:p w14:paraId="59860518" w14:textId="5FCC674D" w:rsidR="00AB3069" w:rsidRPr="00037E7B" w:rsidRDefault="00201582" w:rsidP="000059B8">
      <w:pPr>
        <w:pStyle w:val="Instructionsberschrift2"/>
        <w:numPr>
          <w:ilvl w:val="0"/>
          <w:numId w:val="0"/>
        </w:numPr>
        <w:ind w:left="357" w:hanging="357"/>
      </w:pPr>
      <w:bookmarkStart w:id="15" w:name="_Toc151714544"/>
      <w:r>
        <w:rPr>
          <w:sz w:val="24"/>
          <w:rFonts w:ascii="Times New Roman" w:hAnsi="Times New Roman"/>
        </w:rPr>
        <w:t xml:space="preserve">9.3. C 24.01. Prekybos knygos riba. Perklasifikavimas iš vienos knygos į kitą (MOV)</w:t>
      </w:r>
      <w:bookmarkEnd w:id="15"/>
    </w:p>
    <w:p w14:paraId="36E171AE" w14:textId="77777777" w:rsidR="00F65FA6" w:rsidRPr="00037E7B" w:rsidRDefault="00F65FA6" w:rsidP="00F65FA6">
      <w:pPr>
        <w:pStyle w:val="Instructionsberschrift2"/>
        <w:numPr>
          <w:ilvl w:val="0"/>
          <w:numId w:val="0"/>
        </w:numPr>
        <w:ind w:left="357" w:hanging="357"/>
        <w:rPr>
          <w:sz w:val="24"/>
          <w:u w:val="none"/>
          <w:rFonts w:ascii="Times New Roman" w:hAnsi="Times New Roman" w:cs="Times New Roman"/>
        </w:rPr>
      </w:pPr>
      <w:r>
        <w:rPr>
          <w:u w:val="none"/>
          <w:sz w:val="24"/>
          <w:rFonts w:ascii="Times New Roman" w:hAnsi="Times New Roman"/>
        </w:rPr>
        <w:t xml:space="preserve">9.3.1.</w:t>
      </w:r>
      <w:r>
        <w:rPr>
          <w:u w:val="none"/>
          <w:rFonts w:ascii="Times New Roman" w:hAnsi="Times New Roman"/>
        </w:rPr>
        <w:tab/>
      </w:r>
      <w:r>
        <w:rPr>
          <w:u w:val="none"/>
          <w:sz w:val="24"/>
          <w:rFonts w:ascii="Times New Roman" w:hAnsi="Times New Roman"/>
        </w:rPr>
        <w:t xml:space="preserve">Bendrosios pastabos</w:t>
      </w:r>
    </w:p>
    <w:p w14:paraId="01D302B5" w14:textId="77777777" w:rsidR="00F65FA6" w:rsidRPr="00037E7B" w:rsidRDefault="00F65FA6" w:rsidP="00F65FA6">
      <w:pPr>
        <w:pStyle w:val="InstructionsText2"/>
        <w:numPr>
          <w:ilvl w:val="0"/>
          <w:numId w:val="61"/>
        </w:numPr>
        <w:spacing w:line="259" w:lineRule="auto"/>
      </w:pPr>
      <w:r>
        <w:t xml:space="preserve">Šioje formoje pateikiama informacija apie pozicijų perklasifikavimą pagal Reglamento (ES) 575/2013 104a straipsnį.</w:t>
      </w:r>
      <w:r>
        <w:t xml:space="preserve"> </w:t>
      </w:r>
    </w:p>
    <w:p w14:paraId="171B977F" w14:textId="77777777" w:rsidR="00F65FA6" w:rsidRPr="00037E7B" w:rsidRDefault="00F65FA6" w:rsidP="00F65FA6">
      <w:pPr>
        <w:pStyle w:val="InstructionsText2"/>
        <w:numPr>
          <w:ilvl w:val="0"/>
          <w:numId w:val="61"/>
        </w:numPr>
        <w:spacing w:line="259" w:lineRule="auto"/>
      </w:pPr>
      <w:r>
        <w:t xml:space="preserve">Šioje formoje perklasifikavimas nurodomas tik šiais dviem atvejais:</w:t>
      </w:r>
    </w:p>
    <w:p w14:paraId="188FB065" w14:textId="1E43754D" w:rsidR="00F65FA6" w:rsidRPr="00037E7B" w:rsidRDefault="00F65FA6" w:rsidP="00F65FA6">
      <w:pPr>
        <w:pStyle w:val="InstructionsText2"/>
        <w:numPr>
          <w:ilvl w:val="1"/>
          <w:numId w:val="61"/>
        </w:numPr>
        <w:spacing w:line="259" w:lineRule="auto"/>
      </w:pPr>
      <w:r>
        <w:t xml:space="preserve">kai kompetentingos institucijos yra suteikusios leidimą perklasifikuoti prekybos knygos poziciją į ne prekybos knygos poziciją arba atvirkščiai;</w:t>
      </w:r>
    </w:p>
    <w:p w14:paraId="5B6EC138" w14:textId="25B6D89E" w:rsidR="00F65FA6" w:rsidRPr="00037E7B" w:rsidRDefault="00F65FA6" w:rsidP="00F65FA6">
      <w:pPr>
        <w:pStyle w:val="InstructionsText2"/>
        <w:numPr>
          <w:ilvl w:val="1"/>
          <w:numId w:val="61"/>
        </w:numPr>
        <w:spacing w:line="259" w:lineRule="auto"/>
      </w:pPr>
      <w:r>
        <w:t xml:space="preserve">kai perklasifikavimas atitinka Reglamento (ES) 575/2013 104a straipsnio 6 dalyje nustatytas sąlygas ir gali būti atliktas be aiškaus kompetentingos institucijos leidimo.</w:t>
      </w:r>
    </w:p>
    <w:p w14:paraId="42F779D4" w14:textId="77777777" w:rsidR="00F65FA6" w:rsidRPr="00037E7B" w:rsidRDefault="00F65FA6" w:rsidP="00F65FA6">
      <w:pPr>
        <w:pStyle w:val="InstructionsText2"/>
        <w:numPr>
          <w:ilvl w:val="0"/>
          <w:numId w:val="61"/>
        </w:numPr>
        <w:spacing w:line="259" w:lineRule="auto"/>
      </w:pPr>
      <w:r>
        <w:t xml:space="preserve">Formoje nurodomos šios perklasifikuotos priemonės:</w:t>
      </w:r>
    </w:p>
    <w:p w14:paraId="2B0996DA" w14:textId="3EB81158" w:rsidR="00F65FA6" w:rsidRPr="00037E7B" w:rsidRDefault="00F65FA6" w:rsidP="00F65FA6">
      <w:pPr>
        <w:pStyle w:val="InstructionsText2"/>
        <w:numPr>
          <w:ilvl w:val="1"/>
          <w:numId w:val="61"/>
        </w:numPr>
        <w:spacing w:line="259" w:lineRule="auto"/>
      </w:pPr>
      <w:r>
        <w:t xml:space="preserve">priemonės, perklasifikuotos per ataskaitinį ketvirtį.</w:t>
      </w:r>
      <w:r>
        <w:t xml:space="preserve"> </w:t>
      </w:r>
      <w:r>
        <w:t xml:space="preserve">Formoje nurodomos visos per ataskaitinį ketvirtį perklasifikuotos priemonės, nepriklausomai nuo to, ar dėl perklasifikavimo nuosavų lėšų reikalavimai sumažėjo, ar ne.</w:t>
      </w:r>
      <w:r>
        <w:t xml:space="preserve"> </w:t>
      </w:r>
      <w:r>
        <w:t xml:space="preserve">Formoje per ataskaitinį ketvirtį perklasifikuota priemonė nurodoma net tuo atveju, jei laikotarpiu tarp perklasifikavimo datos ir ataskaitinės datos priemonės pripažinimas buvo nutrauktas arba suėjo jos terminas;</w:t>
      </w:r>
    </w:p>
    <w:p w14:paraId="29ED050F" w14:textId="56E21CB0" w:rsidR="00F65FA6" w:rsidRPr="00037E7B" w:rsidRDefault="00F65FA6" w:rsidP="00F65FA6">
      <w:pPr>
        <w:pStyle w:val="InstructionsText2"/>
        <w:numPr>
          <w:ilvl w:val="1"/>
          <w:numId w:val="61"/>
        </w:numPr>
        <w:spacing w:line="259" w:lineRule="auto"/>
      </w:pPr>
      <w:r>
        <w:t xml:space="preserve">priemonės, perklasifikuotos per ankstesnius ataskaitinius laikotarpius, kurioms ataskaitinę datą pagal Reglamento (ES) 575/2013 104a straipsnio 3 dalies b punktą dar vis taikomas nuosavų lėšų reikalavimas;</w:t>
      </w:r>
      <w:r>
        <w:t xml:space="preserve"> </w:t>
      </w:r>
    </w:p>
    <w:p w14:paraId="04E7DE74" w14:textId="0EA265BF" w:rsidR="00F65FA6" w:rsidRPr="00037E7B" w:rsidRDefault="00F65FA6" w:rsidP="00F65FA6">
      <w:pPr>
        <w:pStyle w:val="InstructionsText2"/>
        <w:numPr>
          <w:ilvl w:val="1"/>
          <w:numId w:val="61"/>
        </w:numPr>
        <w:spacing w:line="259" w:lineRule="auto"/>
      </w:pPr>
      <w:r>
        <w:t xml:space="preserve">priemonės, perklasifikuotos per ankstesnius ataskaitinius laikotarpius, kurioms ankstesnę ataskaitinę datą pagal Reglamento (ES) 575/2013 104a straipsnio 3 dalies b punktą buvo taikytas nuosavų lėšų reikalavimas, kai kompetentingos institucijos leidimas pripažinti nuosavų lėšų reikalavimų sumažinimą įsigalioja ataskaitinį ketvirtį.</w:t>
      </w:r>
    </w:p>
    <w:p w14:paraId="4E4DBEFD" w14:textId="77777777" w:rsidR="00F65FA6" w:rsidRPr="00037E7B" w:rsidRDefault="00F65FA6" w:rsidP="00F65FA6">
      <w:pPr>
        <w:pStyle w:val="InstructionsText2"/>
        <w:numPr>
          <w:ilvl w:val="0"/>
          <w:numId w:val="61"/>
        </w:numPr>
        <w:spacing w:line="259" w:lineRule="auto"/>
      </w:pPr>
      <w:r>
        <w:t xml:space="preserve">Informaciją apie perklasifikavimą įstaigos teikia atskirai dėl kiekvienos perklasifikuotos priemonės.</w:t>
      </w:r>
    </w:p>
    <w:p w14:paraId="17A4C841" w14:textId="77777777" w:rsidR="00F65FA6" w:rsidRPr="00037E7B" w:rsidDel="00BC604C" w:rsidRDefault="00F65FA6" w:rsidP="00F65FA6">
      <w:pPr>
        <w:pStyle w:val="InstructionsText2"/>
        <w:numPr>
          <w:ilvl w:val="0"/>
          <w:numId w:val="61"/>
        </w:numPr>
        <w:spacing w:line="259" w:lineRule="auto"/>
      </w:pPr>
      <w:r>
        <w:t xml:space="preserve">Laukelyje „Užskaitos grupė“ nurodoma užskaitos grupė, apimanti subjektą, kuriam atitinkamai ataskaitinę datą, termino datą arba pripažinimo nutraukimo datą priklausė pozicija.</w:t>
      </w:r>
      <w:r>
        <w:t xml:space="preserve"> </w:t>
      </w:r>
    </w:p>
    <w:p w14:paraId="27A31F03" w14:textId="77777777" w:rsidR="00F65FA6" w:rsidRPr="00037E7B" w:rsidRDefault="00F65FA6" w:rsidP="00F65FA6">
      <w:pPr>
        <w:pStyle w:val="Instructionsberschrift2"/>
        <w:numPr>
          <w:ilvl w:val="0"/>
          <w:numId w:val="0"/>
        </w:numPr>
        <w:ind w:left="357" w:hanging="357"/>
        <w:rPr>
          <w:sz w:val="24"/>
          <w:u w:val="none"/>
          <w:rFonts w:ascii="Times New Roman" w:hAnsi="Times New Roman" w:cs="Times New Roman"/>
        </w:rPr>
      </w:pPr>
      <w:r>
        <w:rPr>
          <w:sz w:val="24"/>
          <w:u w:val="none"/>
          <w:rFonts w:ascii="Times New Roman" w:hAnsi="Times New Roman"/>
        </w:rPr>
        <w:t xml:space="preserve">9.3.2.</w:t>
      </w:r>
      <w:r>
        <w:rPr>
          <w:sz w:val="24"/>
          <w:u w:val="none"/>
          <w:rFonts w:ascii="Times New Roman" w:hAnsi="Times New Roman"/>
        </w:rPr>
        <w:tab/>
      </w:r>
      <w:r>
        <w:rPr>
          <w:sz w:val="24"/>
          <w:u w:val="none"/>
          <w:rFonts w:ascii="Times New Roman" w:hAnsi="Times New Roman"/>
        </w:rPr>
        <w:t xml:space="preserve">Nurodymai dėl konkrečių pozicijų</w:t>
      </w:r>
    </w:p>
    <w:tbl>
      <w:tblPr>
        <w:tblStyle w:val="TableGrid"/>
        <w:tblW w:w="0" w:type="auto"/>
        <w:tblLook w:val="04A0" w:firstRow="1" w:lastRow="0" w:firstColumn="1" w:lastColumn="0" w:noHBand="0" w:noVBand="1"/>
      </w:tblPr>
      <w:tblGrid>
        <w:gridCol w:w="1203"/>
        <w:gridCol w:w="7813"/>
      </w:tblGrid>
      <w:tr w:rsidR="00F65FA6" w:rsidRPr="00037E7B" w14:paraId="4E787111" w14:textId="77777777" w:rsidTr="00E02007">
        <w:tc>
          <w:tcPr>
            <w:tcW w:w="1203" w:type="dxa"/>
            <w:shd w:val="clear" w:color="auto" w:fill="BFBFBF" w:themeFill="background1" w:themeFillShade="BF"/>
          </w:tcPr>
          <w:p w14:paraId="37E96ED0" w14:textId="77777777" w:rsidR="00F65FA6" w:rsidRPr="00037E7B" w:rsidRDefault="00F65FA6" w:rsidP="00E02007">
            <w:pPr>
              <w:pStyle w:val="BodyText"/>
              <w:spacing w:before="120" w:after="120"/>
              <w:rPr>
                <w:b/>
                <w:rFonts w:ascii="Times New Roman" w:hAnsi="Times New Roman" w:cs="Times New Roman"/>
              </w:rPr>
            </w:pPr>
            <w:r>
              <w:rPr>
                <w:b/>
                <w:rFonts w:ascii="Times New Roman" w:hAnsi="Times New Roman"/>
              </w:rPr>
              <w:t xml:space="preserve">Skiltis</w:t>
            </w:r>
          </w:p>
        </w:tc>
        <w:tc>
          <w:tcPr>
            <w:tcW w:w="7813" w:type="dxa"/>
            <w:shd w:val="clear" w:color="auto" w:fill="BFBFBF" w:themeFill="background1" w:themeFillShade="BF"/>
          </w:tcPr>
          <w:p w14:paraId="114CE84C" w14:textId="77777777" w:rsidR="00F65FA6" w:rsidRPr="00037E7B" w:rsidRDefault="00F65FA6" w:rsidP="00E02007">
            <w:pPr>
              <w:pStyle w:val="BodyText"/>
              <w:spacing w:before="120" w:after="120"/>
              <w:rPr>
                <w:b/>
                <w:rFonts w:ascii="Times New Roman" w:hAnsi="Times New Roman" w:cs="Times New Roman"/>
              </w:rPr>
            </w:pPr>
            <w:r>
              <w:rPr>
                <w:b/>
                <w:rFonts w:ascii="Times New Roman" w:hAnsi="Times New Roman"/>
              </w:rPr>
              <w:t xml:space="preserve">Nuorodos į teisės aktus ir nurodymai</w:t>
            </w:r>
          </w:p>
        </w:tc>
      </w:tr>
      <w:tr w:rsidR="00F65FA6" w:rsidRPr="00037E7B" w14:paraId="7804A6AA" w14:textId="77777777" w:rsidTr="00E02007">
        <w:trPr>
          <w:trHeight w:val="1408"/>
        </w:trPr>
        <w:tc>
          <w:tcPr>
            <w:tcW w:w="1203" w:type="dxa"/>
          </w:tcPr>
          <w:p w14:paraId="7D96819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0010</w:t>
            </w:r>
          </w:p>
        </w:tc>
        <w:tc>
          <w:tcPr>
            <w:tcW w:w="7813" w:type="dxa"/>
            <w:vAlign w:val="bottom"/>
          </w:tcPr>
          <w:p w14:paraId="11F7B8E9"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Perklasifikavimo ID</w:t>
            </w:r>
          </w:p>
          <w:p w14:paraId="677D77C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Vidinis (raidinis skaitinis) kodas, kuriuo informaciją teikiantis subjektas identifikuoja atitinkamai perklasifikuotą priemonę arba perklasifikavimą.</w:t>
            </w:r>
          </w:p>
          <w:p w14:paraId="5368921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Kiekvienam perklasifikavimui suteikiamas skirtingas perklasifikavimo ID.</w:t>
            </w:r>
            <w:r>
              <w:rPr>
                <w:rFonts w:ascii="Times New Roman" w:hAnsi="Times New Roman"/>
              </w:rPr>
              <w:t xml:space="preserve"> </w:t>
            </w:r>
            <w:r>
              <w:rPr>
                <w:rFonts w:ascii="Times New Roman" w:hAnsi="Times New Roman"/>
              </w:rPr>
              <w:t xml:space="preserve">Tam pačiam perklasifikavimui priskirtas unikalus perklasifikavimo ID visą laiką nuosekliai naudojamas skirtingose formose.</w:t>
            </w:r>
          </w:p>
          <w:p w14:paraId="6DB947CE" w14:textId="77777777" w:rsidR="00F65FA6" w:rsidRPr="00037E7B"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Šiuo unikaliu identifikatoriumi identifikuojama kiekviena formos eilutė.</w:t>
            </w:r>
          </w:p>
        </w:tc>
      </w:tr>
      <w:tr w:rsidR="00F65FA6" w:rsidRPr="00037E7B" w14:paraId="59ECF46A" w14:textId="77777777" w:rsidTr="00E02007">
        <w:tc>
          <w:tcPr>
            <w:tcW w:w="1203" w:type="dxa"/>
          </w:tcPr>
          <w:p w14:paraId="657AB94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0020</w:t>
            </w:r>
          </w:p>
        </w:tc>
        <w:tc>
          <w:tcPr>
            <w:tcW w:w="7813" w:type="dxa"/>
            <w:vAlign w:val="bottom"/>
          </w:tcPr>
          <w:p w14:paraId="30229377"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Priemonės rūšis</w:t>
            </w:r>
          </w:p>
          <w:p w14:paraId="397FF85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Priemonės, kuri buvo perklasifikuota, trumpas aprašymas, padedantis suprasti perklasifikuotos priemonės pobūdį ir pagrindines ypatybes.</w:t>
            </w:r>
            <w:r>
              <w:rPr>
                <w:rFonts w:ascii="Times New Roman" w:hAnsi="Times New Roman"/>
              </w:rPr>
              <w:t xml:space="preserve"> </w:t>
            </w:r>
          </w:p>
          <w:p w14:paraId="7D66558D" w14:textId="77777777" w:rsidR="00F65FA6" w:rsidRPr="00037E7B"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Kai perklasifikuota priemonė turi tarptautinį vertybinių popierių identifikavimo numerį (ISIN), tas ISIN įtraukiamas į pagrindinių priemonės ypatybių aprašymą.</w:t>
            </w:r>
            <w:r>
              <w:rPr>
                <w:rFonts w:ascii="Times New Roman" w:hAnsi="Times New Roman"/>
              </w:rPr>
              <w:t xml:space="preserve"> </w:t>
            </w:r>
          </w:p>
        </w:tc>
      </w:tr>
      <w:tr w:rsidR="00F65FA6" w:rsidRPr="00037E7B" w14:paraId="4307D827" w14:textId="77777777" w:rsidTr="00E02007">
        <w:tc>
          <w:tcPr>
            <w:tcW w:w="1203" w:type="dxa"/>
          </w:tcPr>
          <w:p w14:paraId="72695973"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0030</w:t>
            </w:r>
          </w:p>
        </w:tc>
        <w:tc>
          <w:tcPr>
            <w:tcW w:w="7813" w:type="dxa"/>
            <w:vAlign w:val="bottom"/>
          </w:tcPr>
          <w:p w14:paraId="4E9993E7"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Reguliavimo knyga, iš kurios priemonė perklasifikuota</w:t>
            </w:r>
          </w:p>
          <w:p w14:paraId="74CBD9F5"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Nurodoma viena iš šių dviejų parinkčių:</w:t>
            </w:r>
          </w:p>
          <w:p w14:paraId="4B75926D"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 xml:space="preserve">Prekybos knyga</w:t>
            </w:r>
            <w:r>
              <w:rPr>
                <w:rFonts w:ascii="Times New Roman" w:hAnsi="Times New Roman"/>
              </w:rPr>
              <w:br/>
            </w:r>
            <w:r>
              <w:rPr>
                <w:rFonts w:ascii="Times New Roman" w:hAnsi="Times New Roman"/>
              </w:rPr>
              <w:t xml:space="preserve">Reglamento (ES) Nr. 575/2013 4 straipsnio 1 dalies 86 punktas</w:t>
            </w:r>
          </w:p>
          <w:p w14:paraId="787F3457" w14:textId="77777777" w:rsidR="00F65FA6" w:rsidRPr="00037E7B" w:rsidRDefault="00F65FA6" w:rsidP="00F65FA6">
            <w:pPr>
              <w:pStyle w:val="BodyText"/>
              <w:numPr>
                <w:ilvl w:val="0"/>
                <w:numId w:val="60"/>
              </w:numPr>
              <w:spacing w:before="120" w:after="120" w:line="240" w:lineRule="auto"/>
              <w:rPr>
                <w:b/>
                <w:u w:val="single"/>
                <w:rFonts w:ascii="Times New Roman" w:hAnsi="Times New Roman" w:cs="Times New Roman"/>
              </w:rPr>
            </w:pPr>
            <w:r>
              <w:rPr>
                <w:rFonts w:ascii="Times New Roman" w:hAnsi="Times New Roman"/>
              </w:rPr>
              <w:t xml:space="preserve">Bankinė knyga</w:t>
            </w:r>
            <w:r>
              <w:rPr>
                <w:rFonts w:ascii="Times New Roman" w:hAnsi="Times New Roman"/>
              </w:rPr>
              <w:t xml:space="preserve"> </w:t>
            </w:r>
            <w:r>
              <w:rPr>
                <w:rFonts w:ascii="Times New Roman" w:hAnsi="Times New Roman"/>
              </w:rPr>
              <w:br/>
            </w:r>
            <w:r>
              <w:rPr>
                <w:rFonts w:ascii="Times New Roman" w:hAnsi="Times New Roman"/>
              </w:rPr>
              <w:t xml:space="preserve">Sudaryta iš visų pozicijų, neįtrauktų į prekybos knygą.</w:t>
            </w:r>
          </w:p>
        </w:tc>
      </w:tr>
      <w:tr w:rsidR="00F65FA6" w:rsidRPr="00037E7B" w14:paraId="47BC0AA3" w14:textId="77777777" w:rsidTr="00E02007">
        <w:tc>
          <w:tcPr>
            <w:tcW w:w="1203" w:type="dxa"/>
          </w:tcPr>
          <w:p w14:paraId="1EFC356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0040</w:t>
            </w:r>
          </w:p>
        </w:tc>
        <w:tc>
          <w:tcPr>
            <w:tcW w:w="7813" w:type="dxa"/>
            <w:vAlign w:val="bottom"/>
          </w:tcPr>
          <w:p w14:paraId="4C994CBE"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Reguliavimo knyga, į kurią priemonė perklasifikuota</w:t>
            </w:r>
          </w:p>
          <w:p w14:paraId="3021E1D4"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Nurodoma viena iš šių dviejų parinkčių:</w:t>
            </w:r>
          </w:p>
          <w:p w14:paraId="1EE13C76" w14:textId="77777777" w:rsidR="00F65FA6" w:rsidRPr="00037E7B" w:rsidRDefault="00F65FA6" w:rsidP="00F65FA6">
            <w:pPr>
              <w:pStyle w:val="BodyText"/>
              <w:numPr>
                <w:ilvl w:val="0"/>
                <w:numId w:val="60"/>
              </w:numPr>
              <w:spacing w:before="120" w:after="120" w:line="240" w:lineRule="auto"/>
              <w:rPr>
                <w:rFonts w:ascii="Times New Roman" w:hAnsi="Times New Roman" w:cs="Times New Roman"/>
              </w:rPr>
            </w:pPr>
            <w:r>
              <w:rPr>
                <w:rFonts w:ascii="Times New Roman" w:hAnsi="Times New Roman"/>
              </w:rPr>
              <w:t xml:space="preserve">Prekybos knyga</w:t>
            </w:r>
            <w:r>
              <w:rPr>
                <w:rFonts w:ascii="Times New Roman" w:hAnsi="Times New Roman"/>
              </w:rPr>
              <w:br/>
            </w:r>
            <w:r>
              <w:rPr>
                <w:rFonts w:ascii="Times New Roman" w:hAnsi="Times New Roman"/>
              </w:rPr>
              <w:t xml:space="preserve">Reglamento (ES) Nr. 575/2013 4 straipsnio 1 dalies 86 punktas</w:t>
            </w:r>
          </w:p>
          <w:p w14:paraId="41D9486B" w14:textId="77777777" w:rsidR="00F65FA6" w:rsidRPr="00037E7B" w:rsidRDefault="00F65FA6" w:rsidP="00F65FA6">
            <w:pPr>
              <w:pStyle w:val="BodyText"/>
              <w:numPr>
                <w:ilvl w:val="0"/>
                <w:numId w:val="60"/>
              </w:numPr>
              <w:spacing w:before="120" w:after="120" w:line="240" w:lineRule="auto"/>
              <w:rPr>
                <w:b/>
                <w:u w:val="single"/>
                <w:rFonts w:ascii="Times New Roman" w:hAnsi="Times New Roman" w:cs="Times New Roman"/>
              </w:rPr>
            </w:pPr>
            <w:r>
              <w:rPr>
                <w:rFonts w:ascii="Times New Roman" w:hAnsi="Times New Roman"/>
              </w:rPr>
              <w:t xml:space="preserve">Bankinė knyga</w:t>
            </w:r>
            <w:r>
              <w:rPr>
                <w:rFonts w:ascii="Times New Roman" w:hAnsi="Times New Roman"/>
              </w:rPr>
              <w:br/>
            </w:r>
            <w:r>
              <w:rPr>
                <w:rFonts w:ascii="Times New Roman" w:hAnsi="Times New Roman"/>
              </w:rPr>
              <w:t xml:space="preserve">Sudaryta iš visų pozicijų, neįtrauktų į prekybos knygą.</w:t>
            </w:r>
          </w:p>
        </w:tc>
      </w:tr>
      <w:tr w:rsidR="00F65FA6" w:rsidRPr="00037E7B" w14:paraId="14476FEB" w14:textId="77777777" w:rsidTr="00E02007">
        <w:tc>
          <w:tcPr>
            <w:tcW w:w="1203" w:type="dxa"/>
          </w:tcPr>
          <w:p w14:paraId="13F0D9EC"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0050</w:t>
            </w:r>
          </w:p>
        </w:tc>
        <w:tc>
          <w:tcPr>
            <w:tcW w:w="7813" w:type="dxa"/>
            <w:vAlign w:val="bottom"/>
          </w:tcPr>
          <w:p w14:paraId="19E4E9E2"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Perklasifikavimo priežastis</w:t>
            </w:r>
          </w:p>
          <w:p w14:paraId="7DED50F3" w14:textId="77777777" w:rsidR="00F65FA6" w:rsidRPr="00037E7B"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Paaiškinamos išskirtinės aplinkybės, lėmusios pozicijos perklasifikavimą iš vienos reguliavimo knygos į kitą.</w:t>
            </w:r>
            <w:r>
              <w:rPr>
                <w:rFonts w:ascii="Times New Roman" w:hAnsi="Times New Roman"/>
              </w:rPr>
              <w:t xml:space="preserve"> </w:t>
            </w:r>
            <w:r>
              <w:rPr>
                <w:rFonts w:ascii="Times New Roman" w:hAnsi="Times New Roman"/>
              </w:rPr>
              <w:t xml:space="preserve">Šiame laukelyje pateiktas paaiškinimas turi pakankamai išsamiai pagrįsti, dėl ko perklasifikavimas yra laikytinas išskirtine aplinkybe.</w:t>
            </w:r>
          </w:p>
        </w:tc>
      </w:tr>
      <w:tr w:rsidR="00F65FA6" w:rsidRPr="00037E7B" w14:paraId="490381CE" w14:textId="77777777" w:rsidTr="00E02007">
        <w:tc>
          <w:tcPr>
            <w:tcW w:w="1203" w:type="dxa"/>
          </w:tcPr>
          <w:p w14:paraId="139D44B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0060</w:t>
            </w:r>
          </w:p>
        </w:tc>
        <w:tc>
          <w:tcPr>
            <w:tcW w:w="7813" w:type="dxa"/>
            <w:vAlign w:val="bottom"/>
          </w:tcPr>
          <w:p w14:paraId="1362F39C"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Išankstinis leidimas (būklė)</w:t>
            </w:r>
          </w:p>
          <w:p w14:paraId="56285F31"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Reglamento (ES) Nr. 575/2013 104a straipsnio 2 ir 6 dalys</w:t>
            </w:r>
          </w:p>
          <w:p w14:paraId="65D8CB7E" w14:textId="77777777" w:rsidR="00F65FA6" w:rsidRPr="00037E7B"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Kai kompetentingos institucijos išankstinio leidimo pagal Reglamento (ES) Nr. 575/2013 104a straipsnio 6 dalį nereikalaujama, įstaigos šioje skiltyje nurodo „Išankstinis leidimas neprivalomas“.</w:t>
            </w:r>
            <w:r>
              <w:rPr>
                <w:rFonts w:ascii="Times New Roman" w:hAnsi="Times New Roman"/>
              </w:rPr>
              <w:t xml:space="preserve"> </w:t>
            </w:r>
            <w:r>
              <w:rPr>
                <w:rFonts w:ascii="Times New Roman" w:hAnsi="Times New Roman"/>
              </w:rPr>
              <w:t xml:space="preserve">Kai išankstinis leidimas privalomas ir yra gautas, nurodoma „Išankstinis leidimas gautas“.</w:t>
            </w:r>
          </w:p>
        </w:tc>
      </w:tr>
      <w:tr w:rsidR="00F65FA6" w:rsidRPr="00037E7B" w14:paraId="78F1574B" w14:textId="77777777" w:rsidTr="00E02007">
        <w:tc>
          <w:tcPr>
            <w:tcW w:w="1203" w:type="dxa"/>
          </w:tcPr>
          <w:p w14:paraId="26979E4B"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0070</w:t>
            </w:r>
          </w:p>
        </w:tc>
        <w:tc>
          <w:tcPr>
            <w:tcW w:w="7813" w:type="dxa"/>
            <w:vAlign w:val="bottom"/>
          </w:tcPr>
          <w:p w14:paraId="21A070A6"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Perklasifikavimo data</w:t>
            </w:r>
          </w:p>
          <w:p w14:paraId="230E5C22" w14:textId="77777777" w:rsidR="00F65FA6" w:rsidRPr="00037E7B"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Reglamento (ES) Nr. 575/2013 104a straipsnio 2 dalis ir 6 dalies pirmas sakinys</w:t>
            </w:r>
          </w:p>
        </w:tc>
      </w:tr>
      <w:tr w:rsidR="00F65FA6" w:rsidRPr="00037E7B" w14:paraId="0E22B962" w14:textId="77777777" w:rsidTr="00E02007">
        <w:tc>
          <w:tcPr>
            <w:tcW w:w="1203" w:type="dxa"/>
          </w:tcPr>
          <w:p w14:paraId="5DAEDB5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0080</w:t>
            </w:r>
          </w:p>
        </w:tc>
        <w:tc>
          <w:tcPr>
            <w:tcW w:w="7813" w:type="dxa"/>
            <w:vAlign w:val="bottom"/>
          </w:tcPr>
          <w:p w14:paraId="1822A08F"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Nuosavų lėšų reikalavimų grynasis (+) padidėjimas arba (−) sumažėjimas dėl perklasifikavimo</w:t>
            </w:r>
          </w:p>
          <w:p w14:paraId="037647A6"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Grynasis nuosavų lėšų reikalavimų pokytis dėl pozicijos perklasifikavimo, apskaičiuotas pagal Reglamento (ES) Nr. 575/2013 104a straipsnio 4 dalį.</w:t>
            </w:r>
          </w:p>
          <w:p w14:paraId="6BA75988" w14:textId="77777777" w:rsidR="00F65FA6" w:rsidRPr="00037E7B"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Nuosavų lėšų reikalavimų padidėjimas dėl perklasifikavimo nurodomas su teigiamu ženklu (+), o nuosavų lėšų reikalavimų sumažėjimas nurodomas su neigiamu ženklu (−).</w:t>
            </w:r>
          </w:p>
        </w:tc>
      </w:tr>
      <w:tr w:rsidR="00F65FA6" w:rsidRPr="00037E7B" w14:paraId="22693EF8" w14:textId="77777777" w:rsidTr="00E02007">
        <w:tc>
          <w:tcPr>
            <w:tcW w:w="1203" w:type="dxa"/>
          </w:tcPr>
          <w:p w14:paraId="652EAB8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0090</w:t>
            </w:r>
          </w:p>
        </w:tc>
        <w:tc>
          <w:tcPr>
            <w:tcW w:w="7813" w:type="dxa"/>
            <w:vAlign w:val="bottom"/>
          </w:tcPr>
          <w:p w14:paraId="4A786750"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Dėl perklasifikavimo nuosavų lėšų reikalavimams taikomas papildomas mokestis</w:t>
            </w:r>
            <w:r>
              <w:rPr>
                <w:b/>
                <w:u w:val="single"/>
                <w:rFonts w:ascii="Times New Roman" w:hAnsi="Times New Roman"/>
              </w:rPr>
              <w:t xml:space="preserve"> </w:t>
            </w:r>
          </w:p>
          <w:p w14:paraId="08204427"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Jei grynasis nuosavų lėšų reikalavimų pokytis dėl pozicijos perklasifikavimo, apskaičiuotas pagal Reglamento (ES) Nr. 575/2013 104a straipsnio 4 dalį, atitinka įstaigos nuosavų lėšų reikalavimų sumažėjimą ir kompetentinga institucija nėra leidusi to sumažėjimo pripažinti pagal Reglamento (ES) Nr. 575/2013 104a straipsnio 3 dalies b punktą, sumažėjimo suma nurodoma su teigiamu ženklu.</w:t>
            </w:r>
            <w:r>
              <w:rPr>
                <w:rFonts w:ascii="Times New Roman" w:hAnsi="Times New Roman"/>
              </w:rPr>
              <w:t xml:space="preserve"> </w:t>
            </w:r>
            <w:r>
              <w:rPr>
                <w:rFonts w:ascii="Times New Roman" w:hAnsi="Times New Roman"/>
              </w:rPr>
              <w:t xml:space="preserve">Ta suma atitinkamai parodo dėl konkretaus perklasifikavimo nuosavų lėšų reikalavimams taikomą papildomą mokestį.</w:t>
            </w:r>
          </w:p>
          <w:p w14:paraId="58E348B5" w14:textId="77777777" w:rsidR="00F65FA6" w:rsidRPr="00037E7B"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Kai kompetentinga institucija yra leidusi tą nuosavų lėšų reikalavimų sumažėjimą pripažinti pagal Reglamento (ES) Nr. 575/2013 104a straipsnio 3 dalies b punktą, ši skiltis nepildoma.</w:t>
            </w:r>
          </w:p>
        </w:tc>
      </w:tr>
      <w:tr w:rsidR="00F65FA6" w:rsidRPr="00037E7B" w14:paraId="33A66CF2" w14:textId="77777777" w:rsidTr="00E02007">
        <w:tc>
          <w:tcPr>
            <w:tcW w:w="1203" w:type="dxa"/>
          </w:tcPr>
          <w:p w14:paraId="3AA16332"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0100</w:t>
            </w:r>
          </w:p>
        </w:tc>
        <w:tc>
          <w:tcPr>
            <w:tcW w:w="7813" w:type="dxa"/>
            <w:vAlign w:val="bottom"/>
          </w:tcPr>
          <w:p w14:paraId="5C674A5B"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Priemonės termino arba numatyto pripažinimo nutraukimo data</w:t>
            </w:r>
          </w:p>
          <w:p w14:paraId="019C730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Jei nenumatoma nutraukti pripažinimo, čia nurodomas priemonės terminas.</w:t>
            </w:r>
            <w:r>
              <w:rPr>
                <w:rFonts w:ascii="Times New Roman" w:hAnsi="Times New Roman"/>
              </w:rPr>
              <w:t xml:space="preserve"> </w:t>
            </w:r>
          </w:p>
          <w:p w14:paraId="69F6AC70"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Jei numatoma nutraukti priemonės pripažinimą iki jos termino, čia nurodoma to numatomo pripažinimo nutraukimo data.</w:t>
            </w:r>
          </w:p>
          <w:p w14:paraId="3742220D"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Kai žinomas tik termino ar pripažinimo nutraukimo mėnuo ir metai, nurodoma termino data arba numatomo priemonės pripažinimo nutraukimo data yra paskutinė mėnesio diena.</w:t>
            </w:r>
            <w:r>
              <w:rPr>
                <w:rFonts w:ascii="Times New Roman" w:hAnsi="Times New Roman"/>
              </w:rPr>
              <w:t xml:space="preserve"> </w:t>
            </w:r>
            <w:r>
              <w:rPr>
                <w:rFonts w:ascii="Times New Roman" w:hAnsi="Times New Roman"/>
              </w:rPr>
              <w:t xml:space="preserve">Kai žinomi tik pripažinimo nutraukimo metai, nurodoma termino data arba numatomo pripažinimo nutraukimo data yra tų metų gruodžio 31 d.</w:t>
            </w:r>
          </w:p>
          <w:p w14:paraId="7F211819"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Kai neįmanoma nustatyti priemonės termino ar pripažinimo nutraukimo datos arba ji nežinoma, šioje skiltyje nurodoma 9999 m. gruodžio 31 d.</w:t>
            </w:r>
            <w:r>
              <w:rPr>
                <w:rFonts w:ascii="Times New Roman" w:hAnsi="Times New Roman"/>
              </w:rPr>
              <w:t xml:space="preserve"> </w:t>
            </w:r>
          </w:p>
        </w:tc>
      </w:tr>
      <w:tr w:rsidR="00F65FA6" w:rsidRPr="00FE3C59" w14:paraId="0A30C5DF" w14:textId="77777777" w:rsidTr="00E02007">
        <w:tc>
          <w:tcPr>
            <w:tcW w:w="1203" w:type="dxa"/>
          </w:tcPr>
          <w:p w14:paraId="12AE4F1E"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0110</w:t>
            </w:r>
          </w:p>
        </w:tc>
        <w:tc>
          <w:tcPr>
            <w:tcW w:w="7813" w:type="dxa"/>
            <w:vAlign w:val="bottom"/>
          </w:tcPr>
          <w:p w14:paraId="441DE526" w14:textId="77777777" w:rsidR="00F65FA6" w:rsidRPr="00037E7B" w:rsidRDefault="00F65FA6" w:rsidP="00E02007">
            <w:pPr>
              <w:pStyle w:val="BodyText"/>
              <w:spacing w:before="120" w:after="120"/>
              <w:rPr>
                <w:b/>
                <w:u w:val="single"/>
                <w:rFonts w:ascii="Times New Roman" w:hAnsi="Times New Roman" w:cs="Times New Roman"/>
              </w:rPr>
            </w:pPr>
            <w:r>
              <w:rPr>
                <w:b/>
                <w:u w:val="single"/>
                <w:rFonts w:ascii="Times New Roman" w:hAnsi="Times New Roman"/>
              </w:rPr>
              <w:t xml:space="preserve">Data, nuo kurios kompetentinga institucija leidžia pripažinti nuosavų lėšų reikalavimų sumažėjimą</w:t>
            </w:r>
          </w:p>
          <w:p w14:paraId="49ECC5EF" w14:textId="77777777" w:rsidR="00F65FA6" w:rsidRPr="00037E7B" w:rsidRDefault="00F65FA6" w:rsidP="00E02007">
            <w:pPr>
              <w:pStyle w:val="BodyText"/>
              <w:spacing w:before="120" w:after="120"/>
              <w:rPr>
                <w:rFonts w:ascii="Times New Roman" w:hAnsi="Times New Roman" w:cs="Times New Roman"/>
              </w:rPr>
            </w:pPr>
            <w:r>
              <w:rPr>
                <w:rFonts w:ascii="Times New Roman" w:hAnsi="Times New Roman"/>
              </w:rPr>
              <w:t xml:space="preserve">Reglamento (ES) Nr. 575/2013 104a straipsnio 3 dalies b punktas</w:t>
            </w:r>
          </w:p>
          <w:p w14:paraId="1B724794" w14:textId="77777777" w:rsidR="00F65FA6" w:rsidRPr="00FE3C59" w:rsidRDefault="00F65FA6" w:rsidP="00E02007">
            <w:pPr>
              <w:pStyle w:val="BodyText"/>
              <w:spacing w:before="120" w:after="120"/>
              <w:rPr>
                <w:b/>
                <w:u w:val="single"/>
                <w:rFonts w:ascii="Times New Roman" w:hAnsi="Times New Roman" w:cs="Times New Roman"/>
              </w:rPr>
            </w:pPr>
            <w:r>
              <w:rPr>
                <w:rFonts w:ascii="Times New Roman" w:hAnsi="Times New Roman"/>
              </w:rPr>
              <w:t xml:space="preserve">Kai perklasifikavimo rezultatas – grynasis nuosavų lėšų reikalavimų padidėjimas, o kompetentinga institucija nėra leidusi pripažinti nuosavų lėšų reikalavimų sumažėjimo, data nenurodoma.“</w:t>
            </w:r>
          </w:p>
        </w:tc>
      </w:tr>
    </w:tbl>
    <w:p w14:paraId="0C23ABF8" w14:textId="77777777" w:rsidR="00F65FA6" w:rsidRPr="00FE3C59" w:rsidRDefault="00F65FA6" w:rsidP="00F65FA6">
      <w:pPr>
        <w:pStyle w:val="body"/>
        <w:rPr>
          <w:rFonts w:ascii="Times New Roman" w:hAnsi="Times New Roman" w:cs="Times New Roman"/>
          <w:lang w:val="en-GB"/>
        </w:rPr>
      </w:pPr>
    </w:p>
    <w:p w14:paraId="18DC5971" w14:textId="77777777" w:rsidR="00522E00" w:rsidRPr="00F65FA6" w:rsidRDefault="00522E00" w:rsidP="00F65FA6">
      <w:pPr>
        <w:pStyle w:val="body"/>
        <w:rPr>
          <w:rStyle w:val="InstructionsTabelleText"/>
          <w:rFonts w:ascii="Times New Roman" w:hAnsi="Times New Roman"/>
          <w:sz w:val="24"/>
          <w:lang w:val="en-GB"/>
        </w:rPr>
      </w:pPr>
    </w:p>
    <w:sectPr w:rsidR="00522E00" w:rsidRPr="00F65FA6"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sz w:val="20"/>
        <w:szCs w:val="20"/>
        <w:rFonts w:ascii="Times New Roman" w:hAnsi="Times New Roman"/>
      </w:rPr>
    </w:pPr>
    <w:r w:rsidRPr="00ED1956">
      <w:rPr>
        <w:sz w:val="20"/>
        <w:rFonts w:ascii="Times New Roman" w:hAnsi="Times New Roman"/>
      </w:rPr>
      <w:fldChar w:fldCharType="begin"/>
    </w:r>
    <w:r w:rsidRPr="00ED1956">
      <w:rPr>
        <w:sz w:val="20"/>
        <w:rFonts w:ascii="Times New Roman" w:hAnsi="Times New Roman"/>
      </w:rPr>
      <w:instrText xml:space="preserve"> PAGE   \* MERGEFORMAT </w:instrText>
    </w:r>
    <w:r w:rsidRPr="00ED1956">
      <w:rPr>
        <w:sz w:val="20"/>
        <w:rFonts w:ascii="Times New Roman" w:hAnsi="Times New Roman"/>
      </w:rPr>
      <w:fldChar w:fldCharType="separate"/>
    </w:r>
    <w:r w:rsidR="008F3052">
      <w:rPr>
        <w:sz w:val="20"/>
        <w:rFonts w:ascii="Times New Roman" w:hAnsi="Times New Roman"/>
      </w:rPr>
      <w:t>42</w:t>
    </w:r>
    <w:r w:rsidRPr="00ED1956">
      <w:rPr>
        <w:sz w:val="20"/>
        <w:rFonts w:ascii="Times New Roman" w:hAnsi="Times New Roman"/>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Title:  - Description: 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lt-LT"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lt-LT"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lt-LT"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lt-LT"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lt-LT"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lt-LT"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lt-LT"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5046"/>
    <w:rPr>
      <w:rFonts w:ascii="Verdana" w:hAnsi="Verdana" w:cs="Times New Roman"/>
      <w:b/>
      <w:sz w:val="24"/>
      <w:szCs w:val="24"/>
      <w:u w:val="single"/>
      <w:lang w:val="lt-LT"/>
    </w:rPr>
  </w:style>
  <w:style w:type="character" w:customStyle="1" w:styleId="Heading3Char">
    <w:name w:val="Heading 3 Char"/>
    <w:aliases w:val="Title 2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lt-LT"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lt-LT"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lt-LT"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lt-LT"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lt-LT"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lt-LT" w:eastAsia="x-none"/>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lt-LT"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lt-LT"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lt-LT"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lt-LT"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lt-LT"/>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lt-LT"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lt-LT"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lt-LT"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lt-LT"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lt-LT"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lt-LT"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lt-LT"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lt-LT"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lt-LT"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lt-LT"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lt-LT"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lt-LT"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lt-LT"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lt-LT"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lt-LT"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lt-LT"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lt-LT"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lt-LT"/>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lt-L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lt-LT"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lt-LT"/>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lt-LT"/>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lt-LT"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lt-LT"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lt-LT"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lt-LT"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val="lt-LT"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lt-LT"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val="lt-LT"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C203F6-C79E-4DB7-9DCF-069003EB0910}"/>
</file>

<file path=customXml/itemProps2.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2619</Words>
  <Characters>14332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4</cp:revision>
  <dcterms:created xsi:type="dcterms:W3CDTF">2024-06-19T18:09:00Z</dcterms:created>
  <dcterms:modified xsi:type="dcterms:W3CDTF">2024-06-21T12:22:00Z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