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704862" w:rsidRDefault="009E7D0C" w:rsidP="00A33695">
      <w:pPr>
        <w:jc w:val="center"/>
        <w:rPr>
          <w:rFonts w:ascii="Times New Roman" w:hAnsi="Times New Roman"/>
          <w:sz w:val="24"/>
        </w:rPr>
      </w:pPr>
      <w:bookmarkStart w:id="0" w:name="_Toc262568021"/>
      <w:bookmarkStart w:id="1" w:name="_Toc295829847"/>
      <w:r w:rsidRPr="00704862">
        <w:rPr>
          <w:rFonts w:ascii="Times New Roman" w:hAnsi="Times New Roman"/>
          <w:sz w:val="24"/>
        </w:rPr>
        <w:t>SK</w:t>
      </w:r>
    </w:p>
    <w:p w14:paraId="2704A83C" w14:textId="77777777" w:rsidR="009E7D0C" w:rsidRPr="00704862" w:rsidRDefault="009E7D0C" w:rsidP="00A33695">
      <w:pPr>
        <w:jc w:val="center"/>
        <w:rPr>
          <w:rFonts w:ascii="Times New Roman" w:hAnsi="Times New Roman"/>
          <w:sz w:val="24"/>
        </w:rPr>
      </w:pPr>
    </w:p>
    <w:p w14:paraId="24333E7A" w14:textId="5D6FD9D5" w:rsidR="008D696E" w:rsidRPr="00704862" w:rsidRDefault="008D696E" w:rsidP="00A33695">
      <w:pPr>
        <w:jc w:val="center"/>
        <w:rPr>
          <w:rFonts w:ascii="Times New Roman" w:hAnsi="Times New Roman"/>
          <w:sz w:val="24"/>
        </w:rPr>
      </w:pPr>
      <w:r w:rsidRPr="00704862">
        <w:rPr>
          <w:rFonts w:ascii="Times New Roman" w:hAnsi="Times New Roman"/>
          <w:sz w:val="24"/>
        </w:rPr>
        <w:t>PRÍLOHA II</w:t>
      </w:r>
    </w:p>
    <w:p w14:paraId="37362007" w14:textId="6FB5EC15" w:rsidR="002648B0" w:rsidRPr="00704862" w:rsidRDefault="008D696E" w:rsidP="00A33695">
      <w:pPr>
        <w:jc w:val="center"/>
        <w:rPr>
          <w:rFonts w:ascii="Times New Roman" w:hAnsi="Times New Roman"/>
          <w:sz w:val="24"/>
        </w:rPr>
      </w:pPr>
      <w:r w:rsidRPr="00704862">
        <w:rPr>
          <w:rFonts w:ascii="Times New Roman" w:hAnsi="Times New Roman"/>
          <w:sz w:val="24"/>
        </w:rPr>
        <w:t>„PRÍLOHA II</w:t>
      </w:r>
    </w:p>
    <w:p w14:paraId="1330A6A8" w14:textId="72D1DF29" w:rsidR="000F1AF3" w:rsidRPr="00704862" w:rsidRDefault="00D11E4C" w:rsidP="00D41692">
      <w:pPr>
        <w:jc w:val="center"/>
        <w:rPr>
          <w:rFonts w:ascii="Times New Roman" w:hAnsi="Times New Roman"/>
          <w:b/>
          <w:sz w:val="24"/>
        </w:rPr>
      </w:pPr>
      <w:r w:rsidRPr="00704862">
        <w:rPr>
          <w:rFonts w:ascii="Times New Roman" w:hAnsi="Times New Roman"/>
          <w:b/>
          <w:sz w:val="24"/>
        </w:rPr>
        <w:t>POKYNY PRE VYKAZOVANIE VLASTNÝCH ZDROJOV A POŽIADAVIEK NA VLASTNÉ ZDROJE</w:t>
      </w:r>
      <w:bookmarkStart w:id="2" w:name="_Toc264033192"/>
      <w:bookmarkEnd w:id="0"/>
      <w:bookmarkEnd w:id="1"/>
      <w:bookmarkEnd w:id="2"/>
    </w:p>
    <w:p w14:paraId="4C764596" w14:textId="77777777" w:rsidR="000F1AF3" w:rsidRPr="00704862" w:rsidRDefault="000F1AF3" w:rsidP="000F1AF3">
      <w:pPr>
        <w:rPr>
          <w:rFonts w:ascii="Times New Roman" w:hAnsi="Times New Roman"/>
          <w:sz w:val="24"/>
        </w:rPr>
      </w:pPr>
    </w:p>
    <w:p w14:paraId="70585B10" w14:textId="77777777" w:rsidR="000F1AF3" w:rsidRPr="00704862" w:rsidRDefault="000F1AF3" w:rsidP="000F1AF3">
      <w:pPr>
        <w:pStyle w:val="Heading2"/>
        <w:rPr>
          <w:rFonts w:ascii="Times New Roman" w:hAnsi="Times New Roman"/>
        </w:rPr>
      </w:pPr>
      <w:bookmarkStart w:id="3" w:name="_Toc360188322"/>
      <w:bookmarkStart w:id="4" w:name="_Toc473560870"/>
      <w:bookmarkStart w:id="5" w:name="_Toc151714358"/>
      <w:r w:rsidRPr="00704862">
        <w:rPr>
          <w:rFonts w:ascii="Times New Roman" w:hAnsi="Times New Roman"/>
        </w:rPr>
        <w:t>ČASŤ II: POKYNY TÝKAJÚCE SA VZORU</w:t>
      </w:r>
      <w:bookmarkEnd w:id="3"/>
      <w:bookmarkEnd w:id="4"/>
      <w:bookmarkEnd w:id="5"/>
    </w:p>
    <w:p w14:paraId="08AA7146" w14:textId="77777777" w:rsidR="000F1AF3" w:rsidRPr="00704862" w:rsidRDefault="000F1AF3" w:rsidP="000F1AF3">
      <w:pPr>
        <w:rPr>
          <w:lang w:eastAsia="x-none"/>
        </w:rPr>
      </w:pPr>
    </w:p>
    <w:p w14:paraId="0DC832AB" w14:textId="77777777" w:rsidR="000F1AF3" w:rsidRPr="00704862" w:rsidRDefault="000F1AF3" w:rsidP="000F1AF3">
      <w:r w:rsidRPr="00704862">
        <w:rPr>
          <w:lang w:eastAsia="x-none"/>
        </w:rPr>
        <w:t>(…)</w:t>
      </w:r>
    </w:p>
    <w:p w14:paraId="7F7A0FD4" w14:textId="77777777" w:rsidR="00FC6275" w:rsidRPr="00704862" w:rsidRDefault="00FC6275">
      <w:pPr>
        <w:spacing w:before="0" w:after="0"/>
        <w:jc w:val="left"/>
        <w:rPr>
          <w:rStyle w:val="InstructionsTabelleText"/>
          <w:rFonts w:ascii="Times New Roman" w:hAnsi="Times New Roman"/>
          <w:b/>
          <w:sz w:val="24"/>
        </w:rPr>
      </w:pPr>
    </w:p>
    <w:p w14:paraId="08BE46FC" w14:textId="245D1169" w:rsidR="00AC6255" w:rsidRPr="00704862"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704862">
        <w:rPr>
          <w:rFonts w:ascii="Times New Roman" w:hAnsi="Times New Roman"/>
          <w:b/>
          <w:sz w:val="24"/>
        </w:rPr>
        <w:t>Vzory operačného rizika</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704862" w:rsidRDefault="008F3052" w:rsidP="00E434A1">
      <w:pPr>
        <w:pStyle w:val="InstructionsText2"/>
        <w:numPr>
          <w:ilvl w:val="0"/>
          <w:numId w:val="0"/>
        </w:numPr>
      </w:pPr>
      <w:r w:rsidRPr="00704862">
        <w:rPr>
          <w:rStyle w:val="DNEx1"/>
        </w:rPr>
        <w:fldChar w:fldCharType="begin"/>
      </w:r>
      <w:r w:rsidRPr="00704862">
        <w:rPr>
          <w:rStyle w:val="DNEx1"/>
        </w:rPr>
        <w:instrText xml:space="preserve"> seq paragraphs </w:instrText>
      </w:r>
      <w:r w:rsidRPr="00704862">
        <w:rPr>
          <w:rStyle w:val="DNEx1"/>
        </w:rPr>
        <w:fldChar w:fldCharType="separate"/>
      </w:r>
      <w:r w:rsidR="00771068" w:rsidRPr="00704862">
        <w:rPr>
          <w:rStyle w:val="DNEx1"/>
        </w:rPr>
        <w:t>136</w:t>
      </w:r>
      <w:r w:rsidRPr="00704862">
        <w:rPr>
          <w:rStyle w:val="DNEx1"/>
        </w:rPr>
        <w:fldChar w:fldCharType="end"/>
      </w:r>
      <w:r w:rsidRPr="00704862">
        <w:rPr>
          <w:rStyle w:val="DNEx1"/>
        </w:rPr>
        <w:t>.</w:t>
      </w:r>
      <w:r w:rsidRPr="00704862">
        <w:rPr>
          <w:rStyle w:val="DNEx1"/>
        </w:rPr>
        <w:tab/>
      </w:r>
      <w:r w:rsidRPr="00704862">
        <w:t>[prázdne]</w:t>
      </w:r>
    </w:p>
    <w:p w14:paraId="4904781C" w14:textId="6F5245AC" w:rsidR="00AC6255" w:rsidRPr="00704862" w:rsidRDefault="00362BB4" w:rsidP="00E434A1">
      <w:pPr>
        <w:pStyle w:val="InstructionsText2"/>
        <w:numPr>
          <w:ilvl w:val="0"/>
          <w:numId w:val="0"/>
        </w:numPr>
      </w:pPr>
      <w:r w:rsidRPr="00704862">
        <w:rPr>
          <w:rStyle w:val="DNEx1"/>
        </w:rPr>
        <w:fldChar w:fldCharType="begin"/>
      </w:r>
      <w:r w:rsidRPr="00704862">
        <w:rPr>
          <w:rStyle w:val="DNEx1"/>
        </w:rPr>
        <w:instrText xml:space="preserve"> seq paragraphs </w:instrText>
      </w:r>
      <w:r w:rsidRPr="00704862">
        <w:rPr>
          <w:rStyle w:val="DNEx1"/>
        </w:rPr>
        <w:fldChar w:fldCharType="separate"/>
      </w:r>
      <w:r w:rsidR="00771068" w:rsidRPr="00704862">
        <w:rPr>
          <w:rStyle w:val="DNEx1"/>
        </w:rPr>
        <w:t>137</w:t>
      </w:r>
      <w:r w:rsidRPr="00704862">
        <w:rPr>
          <w:rStyle w:val="DNEx1"/>
        </w:rPr>
        <w:fldChar w:fldCharType="end"/>
      </w:r>
      <w:r w:rsidRPr="00704862">
        <w:rPr>
          <w:rStyle w:val="DNEx1"/>
        </w:rPr>
        <w:t>.</w:t>
      </w:r>
      <w:r w:rsidRPr="00704862">
        <w:rPr>
          <w:rStyle w:val="DNEx1"/>
        </w:rPr>
        <w:tab/>
      </w:r>
      <w:r w:rsidRPr="00704862">
        <w:t>[prázdne]</w:t>
      </w:r>
    </w:p>
    <w:p w14:paraId="4B809D6B" w14:textId="101DE481" w:rsidR="00AC6255" w:rsidRPr="00704862" w:rsidRDefault="00362BB4" w:rsidP="00E434A1">
      <w:pPr>
        <w:pStyle w:val="InstructionsText2"/>
        <w:numPr>
          <w:ilvl w:val="0"/>
          <w:numId w:val="0"/>
        </w:numPr>
      </w:pPr>
      <w:r w:rsidRPr="00704862">
        <w:rPr>
          <w:rStyle w:val="DNEx1"/>
        </w:rPr>
        <w:fldChar w:fldCharType="begin"/>
      </w:r>
      <w:r w:rsidRPr="00704862">
        <w:rPr>
          <w:rStyle w:val="DNEx1"/>
        </w:rPr>
        <w:instrText xml:space="preserve"> seq paragraphs </w:instrText>
      </w:r>
      <w:r w:rsidRPr="00704862">
        <w:rPr>
          <w:rStyle w:val="DNEx1"/>
        </w:rPr>
        <w:fldChar w:fldCharType="separate"/>
      </w:r>
      <w:r w:rsidR="00771068" w:rsidRPr="00704862">
        <w:rPr>
          <w:rStyle w:val="DNEx1"/>
        </w:rPr>
        <w:t>138</w:t>
      </w:r>
      <w:r w:rsidRPr="00704862">
        <w:rPr>
          <w:rStyle w:val="DNEx1"/>
        </w:rPr>
        <w:fldChar w:fldCharType="end"/>
      </w:r>
      <w:r w:rsidRPr="00704862">
        <w:rPr>
          <w:rStyle w:val="DNEx1"/>
        </w:rPr>
        <w:t>.</w:t>
      </w:r>
      <w:r w:rsidRPr="00704862">
        <w:rPr>
          <w:rStyle w:val="DNEx1"/>
        </w:rPr>
        <w:tab/>
      </w:r>
      <w:r w:rsidRPr="00704862">
        <w:t>[prázdne]</w:t>
      </w:r>
    </w:p>
    <w:p w14:paraId="2023E425" w14:textId="65D3DC43" w:rsidR="00AC6255" w:rsidRPr="00704862" w:rsidRDefault="00362BB4" w:rsidP="00E434A1">
      <w:pPr>
        <w:pStyle w:val="InstructionsText2"/>
        <w:numPr>
          <w:ilvl w:val="0"/>
          <w:numId w:val="0"/>
        </w:numPr>
      </w:pPr>
      <w:r w:rsidRPr="00704862">
        <w:rPr>
          <w:rStyle w:val="DNEx1"/>
        </w:rPr>
        <w:fldChar w:fldCharType="begin"/>
      </w:r>
      <w:r w:rsidRPr="00704862">
        <w:rPr>
          <w:rStyle w:val="DNEx1"/>
        </w:rPr>
        <w:instrText xml:space="preserve"> seq paragraphs </w:instrText>
      </w:r>
      <w:r w:rsidRPr="00704862">
        <w:rPr>
          <w:rStyle w:val="DNEx1"/>
        </w:rPr>
        <w:fldChar w:fldCharType="separate"/>
      </w:r>
      <w:r w:rsidR="00771068" w:rsidRPr="00704862">
        <w:rPr>
          <w:rStyle w:val="DNEx1"/>
        </w:rPr>
        <w:t>139</w:t>
      </w:r>
      <w:r w:rsidRPr="00704862">
        <w:rPr>
          <w:rStyle w:val="DNEx1"/>
        </w:rPr>
        <w:fldChar w:fldCharType="end"/>
      </w:r>
      <w:r w:rsidRPr="00704862">
        <w:rPr>
          <w:rStyle w:val="DNEx1"/>
        </w:rPr>
        <w:t>.</w:t>
      </w:r>
      <w:r w:rsidRPr="00704862">
        <w:rPr>
          <w:rStyle w:val="DNEx1"/>
        </w:rPr>
        <w:tab/>
      </w:r>
      <w:r w:rsidRPr="00704862">
        <w:t>[prázdne]</w:t>
      </w:r>
    </w:p>
    <w:p w14:paraId="1BF423DA" w14:textId="4247CC99" w:rsidR="00AC6255" w:rsidRPr="00704862" w:rsidRDefault="00362BB4" w:rsidP="00E434A1">
      <w:pPr>
        <w:pStyle w:val="InstructionsText2"/>
        <w:numPr>
          <w:ilvl w:val="0"/>
          <w:numId w:val="0"/>
        </w:numPr>
      </w:pPr>
      <w:r w:rsidRPr="00704862">
        <w:rPr>
          <w:rStyle w:val="DNEx1"/>
        </w:rPr>
        <w:fldChar w:fldCharType="begin"/>
      </w:r>
      <w:r w:rsidRPr="00704862">
        <w:rPr>
          <w:rStyle w:val="DNEx1"/>
        </w:rPr>
        <w:instrText xml:space="preserve"> seq paragraphs </w:instrText>
      </w:r>
      <w:r w:rsidRPr="00704862">
        <w:rPr>
          <w:rStyle w:val="DNEx1"/>
        </w:rPr>
        <w:fldChar w:fldCharType="separate"/>
      </w:r>
      <w:r w:rsidR="00771068" w:rsidRPr="00704862">
        <w:rPr>
          <w:rStyle w:val="DNEx1"/>
        </w:rPr>
        <w:t>140</w:t>
      </w:r>
      <w:r w:rsidRPr="00704862">
        <w:rPr>
          <w:rStyle w:val="DNEx1"/>
        </w:rPr>
        <w:fldChar w:fldCharType="end"/>
      </w:r>
      <w:r w:rsidRPr="00704862">
        <w:rPr>
          <w:rStyle w:val="DNEx1"/>
        </w:rPr>
        <w:t>.</w:t>
      </w:r>
      <w:r w:rsidRPr="00704862">
        <w:rPr>
          <w:rStyle w:val="DNEx1"/>
        </w:rPr>
        <w:tab/>
      </w:r>
      <w:r w:rsidRPr="00704862">
        <w:t>[prázdne]</w:t>
      </w:r>
    </w:p>
    <w:p w14:paraId="001035D2" w14:textId="7F939878" w:rsidR="00AC6255" w:rsidRPr="00704862" w:rsidRDefault="00362BB4" w:rsidP="00E434A1">
      <w:pPr>
        <w:pStyle w:val="InstructionsText2"/>
        <w:numPr>
          <w:ilvl w:val="0"/>
          <w:numId w:val="0"/>
        </w:numPr>
      </w:pPr>
      <w:r w:rsidRPr="00704862">
        <w:rPr>
          <w:rStyle w:val="DNEx1"/>
        </w:rPr>
        <w:fldChar w:fldCharType="begin"/>
      </w:r>
      <w:r w:rsidRPr="00704862">
        <w:rPr>
          <w:rStyle w:val="DNEx1"/>
        </w:rPr>
        <w:instrText xml:space="preserve"> seq paragraphs </w:instrText>
      </w:r>
      <w:r w:rsidRPr="00704862">
        <w:rPr>
          <w:rStyle w:val="DNEx1"/>
        </w:rPr>
        <w:fldChar w:fldCharType="separate"/>
      </w:r>
      <w:r w:rsidR="00771068" w:rsidRPr="00704862">
        <w:rPr>
          <w:rStyle w:val="DNEx1"/>
        </w:rPr>
        <w:t>141</w:t>
      </w:r>
      <w:r w:rsidRPr="00704862">
        <w:rPr>
          <w:rStyle w:val="DNEx1"/>
        </w:rPr>
        <w:fldChar w:fldCharType="end"/>
      </w:r>
      <w:r w:rsidRPr="00704862">
        <w:rPr>
          <w:rStyle w:val="DNEx1"/>
        </w:rPr>
        <w:t>.</w:t>
      </w:r>
      <w:r w:rsidRPr="00704862">
        <w:rPr>
          <w:rStyle w:val="DNEx1"/>
        </w:rPr>
        <w:tab/>
      </w:r>
      <w:r w:rsidRPr="00704862">
        <w:t>[prázdne]</w:t>
      </w:r>
    </w:p>
    <w:p w14:paraId="23737963" w14:textId="4E4DFDEB" w:rsidR="0062765D" w:rsidRPr="00704862"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704862">
        <w:rPr>
          <w:rFonts w:ascii="Times New Roman" w:hAnsi="Times New Roman"/>
          <w:b/>
          <w:sz w:val="24"/>
          <w:u w:val="single"/>
        </w:rPr>
        <w:t>Vykazovanie požiadaviek na vlastné zdroje pre operačné riziko</w:t>
      </w:r>
      <w:bookmarkEnd w:id="18"/>
    </w:p>
    <w:p w14:paraId="200487A9" w14:textId="75383504" w:rsidR="0062765D" w:rsidRPr="0070486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704862">
        <w:rPr>
          <w:rFonts w:ascii="Times New Roman" w:hAnsi="Times New Roman"/>
          <w:b/>
          <w:sz w:val="24"/>
          <w:u w:val="single"/>
        </w:rPr>
        <w:t>Všeobecné poznámky</w:t>
      </w:r>
      <w:bookmarkEnd w:id="19"/>
    </w:p>
    <w:p w14:paraId="60C67A56" w14:textId="5F0C19D1" w:rsidR="0062765D" w:rsidRPr="00704862" w:rsidRDefault="0062765D" w:rsidP="00855EF0">
      <w:pPr>
        <w:spacing w:before="0" w:after="240"/>
        <w:ind w:left="360" w:hanging="360"/>
        <w:rPr>
          <w:rFonts w:ascii="Times New Roman" w:hAnsi="Times New Roman"/>
          <w:noProof/>
          <w:sz w:val="24"/>
        </w:rPr>
      </w:pPr>
      <w:r w:rsidRPr="00704862">
        <w:rPr>
          <w:rStyle w:val="DNEx2"/>
        </w:rPr>
        <w:t xml:space="preserve">141a. </w:t>
      </w:r>
      <w:r w:rsidRPr="00704862">
        <w:rPr>
          <w:rFonts w:ascii="Times New Roman" w:hAnsi="Times New Roman"/>
          <w:sz w:val="24"/>
        </w:rPr>
        <w:t>Vzor C 16.01 zachytáva požiadavky na vlastné zdroje (OFR) pre operačné riziko v rámci zložky ukazovateľa obchodovania (BIC) a súvisiaceho ukazovateľom obchodovania (BI) v súlade s článkami 312 až 314 nariadenia (EÚ) č. 575/2013.</w:t>
      </w:r>
    </w:p>
    <w:p w14:paraId="45817266" w14:textId="012015AA" w:rsidR="004F7163" w:rsidRPr="00704862" w:rsidRDefault="004F7163" w:rsidP="004F7163">
      <w:pPr>
        <w:spacing w:before="0" w:after="240"/>
        <w:ind w:left="360" w:hanging="360"/>
        <w:rPr>
          <w:rFonts w:ascii="Times New Roman" w:hAnsi="Times New Roman"/>
          <w:noProof/>
          <w:sz w:val="24"/>
        </w:rPr>
      </w:pPr>
      <w:r w:rsidRPr="00704862">
        <w:rPr>
          <w:rStyle w:val="DNEx2"/>
        </w:rPr>
        <w:t>141aa.</w:t>
      </w:r>
      <w:r w:rsidRPr="00704862">
        <w:rPr>
          <w:rFonts w:ascii="Times New Roman" w:hAnsi="Times New Roman"/>
          <w:sz w:val="24"/>
        </w:rPr>
        <w:t xml:space="preserve"> Vo vzore C 16.02 sa uvádzajú podrobnosti o čiastkových zložkách ukazovateľa obchodovania (BI) zo vzoru C 16.01: čiastkové zložky úrokov, lízingu a dividend (ILDC), zložka služieb (SC) a finančná zložka (FC) v súlade s článkom 314 nariadenia (EÚ) č. 575/2013.</w:t>
      </w:r>
    </w:p>
    <w:p w14:paraId="120E86E7" w14:textId="77777777" w:rsidR="004F7163" w:rsidRPr="00704862" w:rsidRDefault="004F7163" w:rsidP="004F7163">
      <w:pPr>
        <w:spacing w:before="0" w:after="240"/>
        <w:ind w:left="360" w:hanging="360"/>
        <w:rPr>
          <w:rFonts w:ascii="Times New Roman" w:hAnsi="Times New Roman"/>
          <w:noProof/>
          <w:sz w:val="24"/>
        </w:rPr>
      </w:pPr>
      <w:r w:rsidRPr="00704862">
        <w:rPr>
          <w:rStyle w:val="DNEx2"/>
        </w:rPr>
        <w:t>141ab.</w:t>
      </w:r>
      <w:r w:rsidRPr="00704862">
        <w:rPr>
          <w:rFonts w:ascii="Times New Roman" w:hAnsi="Times New Roman"/>
          <w:sz w:val="24"/>
        </w:rPr>
        <w:t xml:space="preserve"> Vzor C 16.03 obsahuje podrobné informácie o stratách, výdavkoch, rezervách a iných finančných vplyvoch vyplývajúcich z udalostí operačného rizika. Celková hodnota sa zahrnie do výpočtu SC, ako sa uvádza vo vzore C 16.02.</w:t>
      </w:r>
    </w:p>
    <w:p w14:paraId="06F95D37" w14:textId="1BF3DF7F" w:rsidR="001B76EB" w:rsidRPr="00704862" w:rsidRDefault="001B76EB" w:rsidP="001B76EB">
      <w:pPr>
        <w:spacing w:before="0" w:after="240"/>
        <w:ind w:left="360" w:hanging="360"/>
        <w:rPr>
          <w:rFonts w:ascii="Times New Roman" w:hAnsi="Times New Roman"/>
          <w:noProof/>
          <w:sz w:val="24"/>
        </w:rPr>
      </w:pPr>
      <w:r w:rsidRPr="00704862">
        <w:rPr>
          <w:rStyle w:val="DNEx2"/>
        </w:rPr>
        <w:t>141ac.</w:t>
      </w:r>
      <w:r w:rsidRPr="00704862">
        <w:rPr>
          <w:rFonts w:ascii="Times New Roman" w:hAnsi="Times New Roman"/>
          <w:sz w:val="24"/>
        </w:rPr>
        <w:t xml:space="preserve"> Vo vzore C16.04 sa poskytujú informácie vypočítané na úrovni dcérskych inštitúcií v súlade s článkom 314 ods. 3 nariadenia (EÚ) č. 575/2013.</w:t>
      </w:r>
    </w:p>
    <w:p w14:paraId="4A6A0C5D" w14:textId="396717C5" w:rsidR="00A33B6E" w:rsidRPr="00704862" w:rsidRDefault="00A33B6E" w:rsidP="00855EF0">
      <w:pPr>
        <w:spacing w:before="0" w:after="240"/>
        <w:ind w:left="360" w:hanging="360"/>
        <w:rPr>
          <w:rFonts w:ascii="Times New Roman" w:hAnsi="Times New Roman"/>
          <w:noProof/>
          <w:sz w:val="24"/>
          <w:lang w:eastAsia="de-DE"/>
        </w:rPr>
      </w:pPr>
    </w:p>
    <w:p w14:paraId="2BDF4A3C" w14:textId="74F2BA56" w:rsidR="00A85FE5" w:rsidRPr="00704862" w:rsidRDefault="00DB52C6" w:rsidP="00E52A38">
      <w:pPr>
        <w:spacing w:before="0" w:after="240"/>
        <w:ind w:left="360" w:hanging="360"/>
        <w:rPr>
          <w:rFonts w:ascii="Times New Roman" w:hAnsi="Times New Roman"/>
          <w:noProof/>
          <w:sz w:val="24"/>
        </w:rPr>
      </w:pPr>
      <w:r w:rsidRPr="00704862">
        <w:rPr>
          <w:rStyle w:val="DNEx2"/>
        </w:rPr>
        <w:lastRenderedPageBreak/>
        <w:t>141b.</w:t>
      </w:r>
      <w:r w:rsidRPr="00704862">
        <w:rPr>
          <w:rFonts w:ascii="Times New Roman" w:hAnsi="Times New Roman"/>
          <w:sz w:val="24"/>
        </w:rPr>
        <w:t xml:space="preserve"> Inštitúcie vykazujú všetky sumy na základe účtovného rámca, ktorý používajú na podávanie finančných informácií, pokiaľ nie je v tejto prílohe uvedené inak. Odkazy na požiadavky na vykazovanie uvedené v prílohe V k IT riešeniam EBA</w:t>
      </w:r>
      <w:r w:rsidR="00763680" w:rsidRPr="00704862">
        <w:rPr>
          <w:rStyle w:val="FootnoteReference"/>
          <w:noProof/>
          <w:lang w:eastAsia="de-DE"/>
        </w:rPr>
        <w:footnoteReference w:id="2"/>
      </w:r>
      <w:r w:rsidRPr="00704862">
        <w:rPr>
          <w:rFonts w:ascii="Times New Roman" w:hAnsi="Times New Roman"/>
          <w:sz w:val="24"/>
        </w:rPr>
        <w:t xml:space="preserve"> pre finančné výkazníctvo boli premietnuté do všetkých pokynov z dôvodu úzkeho prepojenia medzi vykazovaním operačného rizika a finančnými výkazmi inštitúcie. Tam, kde sa považovalo za potrebné objasniť v pokynoch, boli vložené odkazy na príslušné IFRS</w:t>
      </w:r>
      <w:r w:rsidR="00F4005E" w:rsidRPr="00704862">
        <w:rPr>
          <w:rStyle w:val="FootnoteReference"/>
          <w:noProof/>
          <w:lang w:eastAsia="de-DE"/>
        </w:rPr>
        <w:footnoteReference w:id="3"/>
      </w:r>
      <w:r w:rsidRPr="00704862">
        <w:rPr>
          <w:rFonts w:ascii="Times New Roman" w:hAnsi="Times New Roman"/>
          <w:sz w:val="24"/>
        </w:rPr>
        <w:t xml:space="preserve"> a odkazy na národné GAAP</w:t>
      </w:r>
      <w:r w:rsidR="00464DC4" w:rsidRPr="00704862">
        <w:rPr>
          <w:rStyle w:val="FootnoteReference"/>
          <w:noProof/>
          <w:lang w:eastAsia="de-DE"/>
        </w:rPr>
        <w:footnoteReference w:id="4"/>
      </w:r>
      <w:r w:rsidRPr="00704862">
        <w:rPr>
          <w:rFonts w:ascii="Times New Roman" w:hAnsi="Times New Roman"/>
          <w:sz w:val="24"/>
        </w:rPr>
        <w:t xml:space="preserve"> .</w:t>
      </w:r>
    </w:p>
    <w:p w14:paraId="25C2C2DF" w14:textId="7F5118DC" w:rsidR="00A50632" w:rsidRPr="00704862" w:rsidRDefault="00A50632" w:rsidP="00A50632">
      <w:pPr>
        <w:spacing w:before="0" w:after="240"/>
        <w:ind w:left="360" w:hanging="360"/>
        <w:rPr>
          <w:rFonts w:ascii="Times New Roman" w:hAnsi="Times New Roman"/>
          <w:sz w:val="24"/>
        </w:rPr>
      </w:pPr>
      <w:r w:rsidRPr="00704862">
        <w:rPr>
          <w:rStyle w:val="DNEx2"/>
        </w:rPr>
        <w:t>141ba.</w:t>
      </w:r>
      <w:r w:rsidRPr="00704862">
        <w:rPr>
          <w:rFonts w:ascii="Times New Roman" w:hAnsi="Times New Roman"/>
          <w:sz w:val="24"/>
        </w:rPr>
        <w:t xml:space="preserve"> Pravidlá týkajúce sa znamienok použité v tejto prílohe sú v súlade s pravidlami, ktoré sa zohľadňujú v prílohe V IT riešení EBA: použitie zátvoriek v označení položky v šablóne znamená, že táto položka sa má odpočítať, aby sa získal celkový súčet, ale neznamená to, že sa má vykazovať ako záporná.</w:t>
      </w:r>
      <w:r w:rsidRPr="00704862">
        <w:rPr>
          <w:rFonts w:ascii="Arial" w:hAnsi="Arial"/>
          <w:sz w:val="22"/>
        </w:rPr>
        <w:t xml:space="preserve"> </w:t>
      </w:r>
      <w:r w:rsidRPr="00704862">
        <w:rPr>
          <w:rFonts w:ascii="Times New Roman" w:hAnsi="Times New Roman"/>
          <w:sz w:val="24"/>
        </w:rPr>
        <w:t>Položky, ktoré sa vykazujú v záporných hodnotách, sa v označeniach šablón identifikujú tak, že na začiatku ich označenia sa uvedie „(–)“.</w:t>
      </w:r>
    </w:p>
    <w:p w14:paraId="3F5B8138" w14:textId="57B15B5B" w:rsidR="0062765D" w:rsidRPr="00704862" w:rsidRDefault="00DB52C6" w:rsidP="0062765D">
      <w:pPr>
        <w:spacing w:before="0" w:after="240"/>
        <w:ind w:left="360" w:hanging="360"/>
        <w:rPr>
          <w:rFonts w:ascii="Times New Roman" w:hAnsi="Times New Roman"/>
          <w:noProof/>
          <w:sz w:val="24"/>
        </w:rPr>
      </w:pPr>
      <w:r w:rsidRPr="00704862">
        <w:rPr>
          <w:rStyle w:val="DNEx2"/>
        </w:rPr>
        <w:t>141c.</w:t>
      </w:r>
      <w:r w:rsidRPr="00704862">
        <w:rPr>
          <w:rFonts w:ascii="Times New Roman" w:hAnsi="Times New Roman"/>
          <w:sz w:val="24"/>
        </w:rPr>
        <w:t xml:space="preserve"> Inštitúcie vypočítavajú svoje OFR a vykazujú informácie vo vzoroch na základe informácií dostupných na konci finančného roka. Použijú sa preto posledné tri dvanásťmesačné pozorovania počnúc koncom finančného roka (napr. pri dátumoch vykazovania „december Y-1, marec Y, jún Y, september Y“ a v prípade konca finančného roka „31. december“, výpočty vychádzajú z finančnej situácie k „31. decembru“ s použitím celých finančných rokov Y-1, Y-2 a Y-3).</w:t>
      </w:r>
    </w:p>
    <w:p w14:paraId="34790AA0" w14:textId="4A0A92A4" w:rsidR="0062765D" w:rsidRPr="00704862" w:rsidRDefault="00DB52C6" w:rsidP="3B06A011">
      <w:pPr>
        <w:spacing w:before="0" w:after="240"/>
        <w:ind w:left="360" w:hanging="360"/>
        <w:rPr>
          <w:rFonts w:ascii="Times New Roman" w:hAnsi="Times New Roman"/>
          <w:sz w:val="24"/>
        </w:rPr>
      </w:pPr>
      <w:r w:rsidRPr="00704862">
        <w:rPr>
          <w:rStyle w:val="DNEx2"/>
        </w:rPr>
        <w:t>141d.</w:t>
      </w:r>
      <w:r w:rsidRPr="00704862">
        <w:rPr>
          <w:rFonts w:ascii="Times New Roman" w:hAnsi="Times New Roman"/>
          <w:sz w:val="24"/>
        </w:rPr>
        <w:t xml:space="preserve"> Ak nie sú k dispozícii auditované údaje, inštitúcie môžu použiť obchodné odhady. Ak sa používajú auditované údaje, inštitúcie vykazujú auditované údaje, ktoré by mali zostať nezmenené. Odchýlky od tejto „nezmenenej“ zásady sú možné v súlade s článkom 315 ods. 1 a 2 nariadenia (EÚ) č. 575/2013.</w:t>
      </w:r>
    </w:p>
    <w:p w14:paraId="27F080A5" w14:textId="12A87C97" w:rsidR="00FA5064" w:rsidRPr="00704862" w:rsidRDefault="00DB52C6" w:rsidP="3B06A011">
      <w:pPr>
        <w:spacing w:before="0" w:after="240"/>
        <w:ind w:left="360" w:hanging="360"/>
        <w:rPr>
          <w:rFonts w:ascii="Times New Roman" w:hAnsi="Times New Roman"/>
          <w:sz w:val="24"/>
        </w:rPr>
      </w:pPr>
      <w:r w:rsidRPr="00704862">
        <w:rPr>
          <w:rStyle w:val="DNEx2"/>
        </w:rPr>
        <w:t>141e.</w:t>
      </w:r>
      <w:r w:rsidRPr="00704862">
        <w:rPr>
          <w:rFonts w:ascii="Times New Roman" w:hAnsi="Times New Roman"/>
          <w:sz w:val="24"/>
        </w:rPr>
        <w:t xml:space="preserve"> Inštitúcie do vykazovania nezahŕňajú žiadne údaje, ktoré sa týkajú položiek stanovených v súlade s článkom 314 ods. 7 nariadenia (EÚ) č. 575/2013 a ktoré sú bližšie špecifikované v regulačných technických predpisoch, ktoré sa majú vypracovať podľa článku 314 ods. 9.</w:t>
      </w:r>
    </w:p>
    <w:p w14:paraId="65A130C3" w14:textId="64C06C9E" w:rsidR="008E3C30" w:rsidRPr="00704862" w:rsidRDefault="00DB52C6" w:rsidP="3B06A011">
      <w:pPr>
        <w:spacing w:before="0" w:after="240"/>
        <w:ind w:left="360" w:hanging="360"/>
        <w:rPr>
          <w:rFonts w:ascii="Times New Roman" w:hAnsi="Times New Roman"/>
          <w:sz w:val="24"/>
        </w:rPr>
      </w:pPr>
      <w:r w:rsidRPr="00704862">
        <w:rPr>
          <w:rStyle w:val="DNEx2"/>
        </w:rPr>
        <w:t>141f.</w:t>
      </w:r>
      <w:r w:rsidRPr="00704862">
        <w:t xml:space="preserve"> </w:t>
      </w:r>
      <w:r w:rsidRPr="00704862">
        <w:rPr>
          <w:rFonts w:ascii="Times New Roman" w:hAnsi="Times New Roman"/>
          <w:sz w:val="24"/>
        </w:rPr>
        <w:t>Na výpočet BI (napr. v prípade inštitúcií, ktoré majú dcérske spoločnosti s inou menou, ako je vykazovacia mena inštitúcie) inštitúcie uplatňujú príslušný výmenný kurz za každý z troch rokov, na základe ktorého sa BI vypočítava, v súlade s platným účtovným rámcom. Preto sa výmenný kurz použitý v príslušnom roku neaktualizuje pri každom dátume vykazovania.</w:t>
      </w:r>
    </w:p>
    <w:p w14:paraId="06A7780A" w14:textId="1BA1142E" w:rsidR="006E63FF" w:rsidRPr="00704862" w:rsidRDefault="008E3C30" w:rsidP="001A7684">
      <w:pPr>
        <w:spacing w:before="0" w:after="240"/>
        <w:ind w:left="360" w:hanging="360"/>
        <w:rPr>
          <w:rFonts w:ascii="Times New Roman" w:hAnsi="Times New Roman"/>
          <w:sz w:val="24"/>
        </w:rPr>
      </w:pPr>
      <w:r w:rsidRPr="00704862">
        <w:rPr>
          <w:rStyle w:val="DNEx2"/>
        </w:rPr>
        <w:t>141g.</w:t>
      </w:r>
      <w:r w:rsidRPr="00704862">
        <w:rPr>
          <w:rFonts w:ascii="Times New Roman" w:hAnsi="Times New Roman"/>
          <w:sz w:val="24"/>
        </w:rPr>
        <w:t xml:space="preserve"> Pokiaľ ide o uplatňovanie prahových hodnôt na výpočet BIC podľa článku 313 nariadenia (EÚ) č. 575/2013, inštitúcie mimo eurozóny, ktoré vykazujú informácie pre dohľad vo svojej miestnej mene, používajú na prepočet prahovej hodnoty na svoju miestnu menu priemerný výmenný kurz za obdobie, za ktoré sa BIC vypočítava (priemer za posledné tri finančné roky) v súlade s účtovným rámcom.</w:t>
      </w:r>
    </w:p>
    <w:p w14:paraId="031BD6E8" w14:textId="208E0079" w:rsidR="008803F1" w:rsidRPr="0070486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704862">
        <w:rPr>
          <w:rFonts w:ascii="Times New Roman" w:hAnsi="Times New Roman"/>
          <w:b/>
          <w:sz w:val="24"/>
          <w:u w:val="single"/>
        </w:rPr>
        <w:lastRenderedPageBreak/>
        <w:t>C 16.01 Operačné riziko – požiadavky na vlastné zdroje (OPR OFR)</w:t>
      </w:r>
      <w:bookmarkEnd w:id="20"/>
    </w:p>
    <w:p w14:paraId="37EA392E" w14:textId="08491DA9" w:rsidR="0060540A" w:rsidRPr="00704862" w:rsidRDefault="006B71D2" w:rsidP="00F83296">
      <w:pPr>
        <w:spacing w:before="0" w:after="240"/>
        <w:ind w:left="360" w:hanging="360"/>
        <w:rPr>
          <w:rFonts w:ascii="Times New Roman" w:eastAsia="Arial" w:hAnsi="Times New Roman"/>
          <w:sz w:val="24"/>
          <w:u w:val="single"/>
        </w:rPr>
      </w:pPr>
      <w:r w:rsidRPr="00704862">
        <w:rPr>
          <w:rStyle w:val="DNEx2"/>
        </w:rPr>
        <w:t>141h.</w:t>
      </w:r>
      <w:r w:rsidRPr="00704862">
        <w:rPr>
          <w:rFonts w:ascii="Times New Roman" w:hAnsi="Times New Roman"/>
          <w:sz w:val="24"/>
        </w:rPr>
        <w:t xml:space="preserve"> Informácie v tomto vzore sa vypočítajú s prihliadnutím na sumy za posledné tri finančné roky.</w:t>
      </w:r>
    </w:p>
    <w:p w14:paraId="4A1DC110" w14:textId="03CEE5BE" w:rsidR="0062765D" w:rsidRPr="00704862" w:rsidRDefault="0062765D" w:rsidP="00C86126">
      <w:pPr>
        <w:keepNext/>
        <w:spacing w:before="0" w:after="240"/>
        <w:rPr>
          <w:rFonts w:ascii="Times New Roman" w:hAnsi="Times New Roman"/>
          <w:sz w:val="24"/>
          <w:u w:val="single"/>
        </w:rPr>
      </w:pPr>
      <w:r w:rsidRPr="00704862">
        <w:rPr>
          <w:rFonts w:ascii="Times New Roman" w:hAnsi="Times New Roman"/>
          <w:sz w:val="24"/>
          <w:u w:val="single"/>
        </w:rPr>
        <w:t>Pokyny týkajúce sa konkrétnych pozícií:</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704862" w14:paraId="3FE9FB08" w14:textId="77777777" w:rsidTr="3B06A011">
        <w:trPr>
          <w:trHeight w:val="300"/>
        </w:trPr>
        <w:tc>
          <w:tcPr>
            <w:tcW w:w="1225" w:type="dxa"/>
            <w:shd w:val="clear" w:color="auto" w:fill="BFBFBF" w:themeFill="background1" w:themeFillShade="BF"/>
          </w:tcPr>
          <w:p w14:paraId="72846797" w14:textId="77777777" w:rsidR="0062765D" w:rsidRPr="00704862" w:rsidRDefault="0062765D" w:rsidP="0062765D">
            <w:pPr>
              <w:spacing w:before="0" w:after="0"/>
              <w:rPr>
                <w:rFonts w:ascii="Times New Roman" w:hAnsi="Times New Roman"/>
                <w:sz w:val="24"/>
              </w:rPr>
            </w:pPr>
            <w:r w:rsidRPr="00704862">
              <w:rPr>
                <w:rFonts w:ascii="Times New Roman" w:hAnsi="Times New Roman"/>
                <w:b/>
                <w:sz w:val="24"/>
              </w:rPr>
              <w:t>Stĺpce</w:t>
            </w:r>
          </w:p>
        </w:tc>
        <w:tc>
          <w:tcPr>
            <w:tcW w:w="7789" w:type="dxa"/>
            <w:shd w:val="clear" w:color="auto" w:fill="BFBFBF" w:themeFill="background1" w:themeFillShade="BF"/>
          </w:tcPr>
          <w:p w14:paraId="5C86F175" w14:textId="77777777" w:rsidR="0062765D" w:rsidRPr="00704862" w:rsidRDefault="0062765D" w:rsidP="0062765D">
            <w:pPr>
              <w:spacing w:before="0" w:after="0"/>
              <w:jc w:val="left"/>
              <w:rPr>
                <w:rFonts w:ascii="Times New Roman" w:hAnsi="Times New Roman"/>
                <w:b/>
                <w:bCs/>
                <w:sz w:val="24"/>
                <w:u w:val="single"/>
              </w:rPr>
            </w:pPr>
            <w:r w:rsidRPr="00704862">
              <w:rPr>
                <w:rFonts w:ascii="Times New Roman" w:hAnsi="Times New Roman"/>
                <w:b/>
                <w:sz w:val="24"/>
                <w:u w:val="single"/>
              </w:rPr>
              <w:t>Odkazy na právne predpisy a pokyny</w:t>
            </w:r>
          </w:p>
        </w:tc>
      </w:tr>
      <w:tr w:rsidR="0062765D" w:rsidRPr="00704862" w14:paraId="757FFFEF" w14:textId="77777777" w:rsidTr="3B06A011">
        <w:trPr>
          <w:trHeight w:val="300"/>
        </w:trPr>
        <w:tc>
          <w:tcPr>
            <w:tcW w:w="1225" w:type="dxa"/>
          </w:tcPr>
          <w:p w14:paraId="0E504078" w14:textId="77777777" w:rsidR="0062765D" w:rsidRPr="00704862" w:rsidRDefault="0062765D" w:rsidP="0062765D">
            <w:pPr>
              <w:jc w:val="left"/>
              <w:rPr>
                <w:rFonts w:ascii="Times New Roman" w:hAnsi="Times New Roman"/>
                <w:bCs/>
                <w:sz w:val="24"/>
                <w:u w:val="single"/>
              </w:rPr>
            </w:pPr>
            <w:r w:rsidRPr="00704862">
              <w:rPr>
                <w:rFonts w:ascii="Times New Roman" w:hAnsi="Times New Roman"/>
                <w:sz w:val="24"/>
                <w:lang w:eastAsia="nl-BE"/>
              </w:rPr>
              <w:t>0010</w:t>
            </w:r>
          </w:p>
        </w:tc>
        <w:tc>
          <w:tcPr>
            <w:tcW w:w="7789" w:type="dxa"/>
          </w:tcPr>
          <w:p w14:paraId="37C5F7E9" w14:textId="77777777"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Hodnota</w:t>
            </w:r>
          </w:p>
          <w:p w14:paraId="40C487F3" w14:textId="77777777" w:rsidR="0062765D" w:rsidRPr="00704862" w:rsidRDefault="0062765D" w:rsidP="0062765D">
            <w:pPr>
              <w:jc w:val="left"/>
              <w:rPr>
                <w:rFonts w:ascii="Times New Roman" w:hAnsi="Times New Roman"/>
                <w:sz w:val="24"/>
              </w:rPr>
            </w:pPr>
            <w:r w:rsidRPr="00704862">
              <w:rPr>
                <w:rFonts w:ascii="Times New Roman" w:hAnsi="Times New Roman"/>
                <w:sz w:val="24"/>
              </w:rPr>
              <w:t>Hodnota BI a jeho troch zložiek: ILDC, SC a FC.</w:t>
            </w:r>
          </w:p>
          <w:p w14:paraId="4EA05B1B" w14:textId="77777777" w:rsidR="0062765D" w:rsidRPr="00704862" w:rsidRDefault="0062765D" w:rsidP="3B06A011">
            <w:pPr>
              <w:jc w:val="left"/>
              <w:rPr>
                <w:rFonts w:ascii="Times New Roman" w:hAnsi="Times New Roman"/>
                <w:sz w:val="24"/>
              </w:rPr>
            </w:pPr>
            <w:r w:rsidRPr="00704862">
              <w:rPr>
                <w:rFonts w:ascii="Times New Roman" w:hAnsi="Times New Roman"/>
                <w:sz w:val="24"/>
              </w:rPr>
              <w:t>Hodnota zahŕňa úpravy v dôsledku vplyvu zlúčení/splynutí, nadobudnutí a odpredajov v súlade s článkom 315 ods. 1 a 2 nariadenia (EÚ) č. 575/2013.</w:t>
            </w:r>
          </w:p>
          <w:p w14:paraId="160B8F2D" w14:textId="61260FD0" w:rsidR="00BC5ECA" w:rsidRPr="00704862" w:rsidRDefault="00BC5ECA" w:rsidP="3B06A011">
            <w:pPr>
              <w:jc w:val="left"/>
              <w:rPr>
                <w:rFonts w:ascii="Times New Roman" w:hAnsi="Times New Roman"/>
                <w:sz w:val="24"/>
              </w:rPr>
            </w:pPr>
            <w:r w:rsidRPr="00704862">
              <w:rPr>
                <w:rFonts w:ascii="Times New Roman" w:hAnsi="Times New Roman"/>
                <w:sz w:val="24"/>
              </w:rPr>
              <w:t xml:space="preserve">V prípade FC hodnota odráža buď účtovnú hodnotu stanovenú pomocou účtovného prístupu, alebo účtovnú hodnotu s použitím </w:t>
            </w:r>
            <w:proofErr w:type="spellStart"/>
            <w:r w:rsidRPr="00704862">
              <w:rPr>
                <w:rFonts w:ascii="Times New Roman" w:hAnsi="Times New Roman"/>
                <w:sz w:val="24"/>
              </w:rPr>
              <w:t>prudenciálnej</w:t>
            </w:r>
            <w:proofErr w:type="spellEnd"/>
            <w:r w:rsidRPr="00704862">
              <w:rPr>
                <w:rFonts w:ascii="Times New Roman" w:hAnsi="Times New Roman"/>
                <w:sz w:val="24"/>
              </w:rPr>
              <w:t xml:space="preserve"> hranice (prístup s </w:t>
            </w:r>
            <w:proofErr w:type="spellStart"/>
            <w:r w:rsidRPr="00704862">
              <w:rPr>
                <w:rFonts w:ascii="Times New Roman" w:hAnsi="Times New Roman"/>
                <w:sz w:val="24"/>
              </w:rPr>
              <w:t>prudenciálnou</w:t>
            </w:r>
            <w:proofErr w:type="spellEnd"/>
            <w:r w:rsidRPr="00704862">
              <w:rPr>
                <w:rFonts w:ascii="Times New Roman" w:hAnsi="Times New Roman"/>
                <w:sz w:val="24"/>
              </w:rPr>
              <w:t xml:space="preserve"> hranicou – PBA) na identifikáciu položiek obchodnej a bankovej knihy. Informácie o použitom prístupe sa uvedú v riadku 0110.</w:t>
            </w:r>
          </w:p>
          <w:p w14:paraId="78D3EEE0" w14:textId="54806951" w:rsidR="00DC6108" w:rsidRPr="00704862" w:rsidRDefault="00DC6108" w:rsidP="0062765D">
            <w:pPr>
              <w:jc w:val="left"/>
              <w:rPr>
                <w:rFonts w:ascii="Times New Roman" w:hAnsi="Times New Roman"/>
                <w:sz w:val="24"/>
              </w:rPr>
            </w:pPr>
          </w:p>
        </w:tc>
      </w:tr>
      <w:tr w:rsidR="0062765D" w:rsidRPr="00704862" w14:paraId="7AE3F4FB" w14:textId="77777777" w:rsidTr="3B06A011">
        <w:trPr>
          <w:trHeight w:val="300"/>
        </w:trPr>
        <w:tc>
          <w:tcPr>
            <w:tcW w:w="1225" w:type="dxa"/>
          </w:tcPr>
          <w:p w14:paraId="4A8A57B4" w14:textId="77777777" w:rsidR="0062765D" w:rsidRPr="00704862" w:rsidRDefault="0062765D" w:rsidP="0062765D">
            <w:pPr>
              <w:rPr>
                <w:rFonts w:ascii="Times New Roman" w:hAnsi="Times New Roman"/>
                <w:sz w:val="24"/>
              </w:rPr>
            </w:pPr>
            <w:r w:rsidRPr="00704862">
              <w:rPr>
                <w:rFonts w:ascii="Times New Roman" w:hAnsi="Times New Roman"/>
                <w:sz w:val="24"/>
                <w:lang w:eastAsia="nl-BE"/>
              </w:rPr>
              <w:t>0020</w:t>
            </w:r>
          </w:p>
        </w:tc>
        <w:tc>
          <w:tcPr>
            <w:tcW w:w="7789" w:type="dxa"/>
          </w:tcPr>
          <w:p w14:paraId="3853732D" w14:textId="7EE877C7"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z toho: úpravy v dôsledku zlúčenia/nadobudnutia subjektov alebo činností</w:t>
            </w:r>
          </w:p>
          <w:p w14:paraId="74765691" w14:textId="77777777" w:rsidR="0062765D" w:rsidRPr="00704862" w:rsidRDefault="0062765D" w:rsidP="0062765D">
            <w:pPr>
              <w:jc w:val="left"/>
              <w:rPr>
                <w:rFonts w:ascii="Times New Roman" w:hAnsi="Times New Roman"/>
                <w:bCs/>
                <w:sz w:val="24"/>
              </w:rPr>
            </w:pPr>
            <w:r w:rsidRPr="00704862">
              <w:rPr>
                <w:rFonts w:ascii="Times New Roman" w:hAnsi="Times New Roman"/>
                <w:sz w:val="24"/>
              </w:rPr>
              <w:t>Časť hodnoty vykázanej v stĺpci 0010, ktorá zodpovedá zložkám BI, ktorá pripadá na zlúčené alebo nadobudnuté subjekty alebo činnosti v súlade s článkom 315 ods. 1 nariadenia (EÚ) č. 575/2013.</w:t>
            </w:r>
          </w:p>
        </w:tc>
      </w:tr>
      <w:tr w:rsidR="0062765D" w:rsidRPr="00704862" w14:paraId="6B1C004B" w14:textId="77777777" w:rsidTr="3B06A011">
        <w:trPr>
          <w:trHeight w:val="300"/>
        </w:trPr>
        <w:tc>
          <w:tcPr>
            <w:tcW w:w="1225" w:type="dxa"/>
          </w:tcPr>
          <w:p w14:paraId="163A2836" w14:textId="77777777" w:rsidR="0062765D" w:rsidRPr="00704862" w:rsidRDefault="0062765D" w:rsidP="0062765D">
            <w:pPr>
              <w:rPr>
                <w:rFonts w:ascii="Times New Roman" w:hAnsi="Times New Roman"/>
                <w:sz w:val="24"/>
              </w:rPr>
            </w:pPr>
            <w:r w:rsidRPr="00704862">
              <w:rPr>
                <w:rFonts w:ascii="Times New Roman" w:hAnsi="Times New Roman"/>
                <w:sz w:val="24"/>
                <w:lang w:eastAsia="nl-BE"/>
              </w:rPr>
              <w:t>0030</w:t>
            </w:r>
          </w:p>
        </w:tc>
        <w:tc>
          <w:tcPr>
            <w:tcW w:w="7789" w:type="dxa"/>
          </w:tcPr>
          <w:p w14:paraId="5025702A" w14:textId="374811C4"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(Úpravy v dôsledku odpredaja subjektov alebo činností)</w:t>
            </w:r>
          </w:p>
          <w:p w14:paraId="474CDF36" w14:textId="77777777" w:rsidR="0062765D" w:rsidRPr="00704862" w:rsidRDefault="0062765D" w:rsidP="0062765D">
            <w:pPr>
              <w:jc w:val="left"/>
              <w:rPr>
                <w:rFonts w:ascii="Times New Roman" w:hAnsi="Times New Roman"/>
                <w:b/>
                <w:bCs/>
                <w:sz w:val="24"/>
                <w:u w:val="single"/>
              </w:rPr>
            </w:pPr>
            <w:r w:rsidRPr="00704862">
              <w:rPr>
                <w:rFonts w:ascii="Times New Roman" w:hAnsi="Times New Roman"/>
                <w:color w:val="000000" w:themeColor="text1"/>
                <w:sz w:val="24"/>
              </w:rPr>
              <w:t>Suma vylúčená zo zložiek BI týkajúcich sa odpredaných subjektov alebo činností v súlade s článkom 315 ods. 2 nariadenia (EÚ) č. 575/2013.</w:t>
            </w:r>
          </w:p>
        </w:tc>
      </w:tr>
      <w:tr w:rsidR="0062765D" w:rsidRPr="00704862" w14:paraId="29E6E185" w14:textId="77777777" w:rsidTr="3B06A011">
        <w:trPr>
          <w:trHeight w:val="300"/>
        </w:trPr>
        <w:tc>
          <w:tcPr>
            <w:tcW w:w="1225" w:type="dxa"/>
          </w:tcPr>
          <w:p w14:paraId="2C4429BE" w14:textId="77777777" w:rsidR="0062765D" w:rsidRPr="00704862" w:rsidRDefault="0062765D" w:rsidP="0062765D">
            <w:pPr>
              <w:rPr>
                <w:rFonts w:ascii="Times New Roman" w:hAnsi="Times New Roman"/>
                <w:sz w:val="24"/>
              </w:rPr>
            </w:pPr>
            <w:r w:rsidRPr="00704862">
              <w:rPr>
                <w:rFonts w:ascii="Times New Roman" w:hAnsi="Times New Roman"/>
                <w:sz w:val="24"/>
                <w:lang w:eastAsia="nl-BE"/>
              </w:rPr>
              <w:t>0040</w:t>
            </w:r>
          </w:p>
        </w:tc>
        <w:tc>
          <w:tcPr>
            <w:tcW w:w="7789" w:type="dxa"/>
          </w:tcPr>
          <w:p w14:paraId="4E023876" w14:textId="4513D957" w:rsidR="0062765D" w:rsidRPr="00704862" w:rsidRDefault="0062765D" w:rsidP="00C86126">
            <w:pPr>
              <w:keepNext/>
              <w:rPr>
                <w:rFonts w:ascii="Times New Roman" w:hAnsi="Times New Roman"/>
                <w:b/>
                <w:bCs/>
                <w:sz w:val="24"/>
                <w:u w:val="single"/>
              </w:rPr>
            </w:pPr>
            <w:r w:rsidRPr="00704862">
              <w:rPr>
                <w:rFonts w:ascii="Times New Roman" w:hAnsi="Times New Roman"/>
                <w:b/>
                <w:sz w:val="24"/>
                <w:u w:val="single"/>
              </w:rPr>
              <w:t>Požiadavky na vlastné zdroje</w:t>
            </w:r>
          </w:p>
          <w:p w14:paraId="035197F4" w14:textId="37420E0A" w:rsidR="0062765D" w:rsidRPr="00704862" w:rsidRDefault="0062765D" w:rsidP="3B06A011">
            <w:pPr>
              <w:rPr>
                <w:rFonts w:ascii="Times New Roman" w:hAnsi="Times New Roman"/>
                <w:sz w:val="24"/>
              </w:rPr>
            </w:pPr>
            <w:r w:rsidRPr="00704862">
              <w:rPr>
                <w:rFonts w:ascii="Times New Roman" w:hAnsi="Times New Roman"/>
                <w:sz w:val="24"/>
              </w:rPr>
              <w:t>OFR sa vypočíta v súlade s článkami 312 až 314 nariadenia (EÚ) č. 575/2013 (BIC).</w:t>
            </w:r>
          </w:p>
          <w:p w14:paraId="459E44D5" w14:textId="2585C6AF" w:rsidR="00C44D1A" w:rsidRPr="00704862" w:rsidRDefault="00C44D1A" w:rsidP="00C44D1A">
            <w:pPr>
              <w:rPr>
                <w:rFonts w:ascii="Times New Roman" w:hAnsi="Times New Roman"/>
                <w:sz w:val="24"/>
              </w:rPr>
            </w:pPr>
            <w:r w:rsidRPr="00704862">
              <w:rPr>
                <w:rFonts w:ascii="Times New Roman" w:hAnsi="Times New Roman"/>
                <w:sz w:val="24"/>
              </w:rPr>
              <w:t xml:space="preserve">Ak sa na inštitúciu vzťahuje výnimka uvedená v článku 314 ods. 4 nariadenia (EÚ) č. 575/2013, inštitúcia pripočíta k požiadavkám na vlastné zdroje vypočítaným podľa BIC požiadavky na vlastné zdroje vypočítané podľa alternatívneho štandardizovaného prístupu pre obchodné línie </w:t>
            </w:r>
            <w:proofErr w:type="spellStart"/>
            <w:r w:rsidRPr="00704862">
              <w:rPr>
                <w:rFonts w:ascii="Times New Roman" w:hAnsi="Times New Roman"/>
                <w:sz w:val="24"/>
              </w:rPr>
              <w:t>retailového</w:t>
            </w:r>
            <w:proofErr w:type="spellEnd"/>
            <w:r w:rsidRPr="00704862">
              <w:rPr>
                <w:rFonts w:ascii="Times New Roman" w:hAnsi="Times New Roman"/>
                <w:sz w:val="24"/>
              </w:rPr>
              <w:t xml:space="preserve"> a/alebo komerčného bankovníctva, na ktoré sa vzťahuje výnimka (keďže nie sú súčasťou rámca výpočtu BIC).</w:t>
            </w:r>
          </w:p>
          <w:p w14:paraId="463CE9EC" w14:textId="2BBB634A" w:rsidR="001D111F" w:rsidRPr="00704862" w:rsidRDefault="001D111F" w:rsidP="0062765D">
            <w:pPr>
              <w:rPr>
                <w:rFonts w:ascii="Times New Roman" w:hAnsi="Times New Roman"/>
                <w:sz w:val="24"/>
              </w:rPr>
            </w:pPr>
          </w:p>
        </w:tc>
      </w:tr>
      <w:tr w:rsidR="0062765D" w:rsidRPr="00704862" w14:paraId="11E50E11" w14:textId="77777777" w:rsidTr="3B06A011">
        <w:trPr>
          <w:trHeight w:val="300"/>
        </w:trPr>
        <w:tc>
          <w:tcPr>
            <w:tcW w:w="1225" w:type="dxa"/>
          </w:tcPr>
          <w:p w14:paraId="19667C8B" w14:textId="77777777" w:rsidR="0062765D" w:rsidRPr="00704862" w:rsidRDefault="0062765D" w:rsidP="0062765D">
            <w:pPr>
              <w:rPr>
                <w:rFonts w:ascii="Times New Roman" w:hAnsi="Times New Roman"/>
                <w:sz w:val="24"/>
              </w:rPr>
            </w:pPr>
            <w:r w:rsidRPr="00704862">
              <w:rPr>
                <w:rFonts w:ascii="Times New Roman" w:hAnsi="Times New Roman"/>
                <w:sz w:val="24"/>
                <w:lang w:eastAsia="nl-BE"/>
              </w:rPr>
              <w:t>0050</w:t>
            </w:r>
          </w:p>
        </w:tc>
        <w:tc>
          <w:tcPr>
            <w:tcW w:w="7789" w:type="dxa"/>
          </w:tcPr>
          <w:p w14:paraId="0BC49014" w14:textId="77777777" w:rsidR="0062765D" w:rsidRPr="00704862" w:rsidRDefault="0062765D" w:rsidP="00C86126">
            <w:pPr>
              <w:keepNext/>
              <w:rPr>
                <w:rFonts w:ascii="Times New Roman" w:hAnsi="Times New Roman"/>
                <w:b/>
                <w:bCs/>
                <w:sz w:val="24"/>
                <w:u w:val="single"/>
              </w:rPr>
            </w:pPr>
            <w:r w:rsidRPr="00704862">
              <w:rPr>
                <w:rFonts w:ascii="Times New Roman" w:hAnsi="Times New Roman"/>
                <w:b/>
                <w:sz w:val="24"/>
                <w:u w:val="single"/>
              </w:rPr>
              <w:t>Hodnota rizikovej expozície</w:t>
            </w:r>
          </w:p>
          <w:p w14:paraId="0ED80FDB" w14:textId="3CD083EE" w:rsidR="0062765D" w:rsidRPr="00704862" w:rsidRDefault="0062765D" w:rsidP="3B06A011">
            <w:pPr>
              <w:rPr>
                <w:rFonts w:ascii="Times New Roman" w:hAnsi="Times New Roman"/>
                <w:sz w:val="24"/>
              </w:rPr>
            </w:pPr>
            <w:r w:rsidRPr="00704862">
              <w:rPr>
                <w:rFonts w:ascii="Times New Roman" w:hAnsi="Times New Roman"/>
                <w:sz w:val="24"/>
              </w:rPr>
              <w:t>Celková hodnota rizikovej expozície (TREA) sa vypočíta v súlade s článkom 92 nariadenia (EÚ) č. 575/2013.</w:t>
            </w:r>
          </w:p>
        </w:tc>
      </w:tr>
    </w:tbl>
    <w:p w14:paraId="1B595CEC" w14:textId="77777777" w:rsidR="0062765D" w:rsidRPr="00704862" w:rsidRDefault="0062765D" w:rsidP="0062765D">
      <w:pPr>
        <w:spacing w:before="0" w:after="240"/>
        <w:rPr>
          <w:rFonts w:ascii="Times New Roman" w:hAnsi="Times New Roman"/>
          <w:sz w:val="24"/>
          <w:lang w:eastAsia="de-DE"/>
        </w:rPr>
      </w:pPr>
    </w:p>
    <w:p w14:paraId="4E4E8CCB" w14:textId="77777777" w:rsidR="0062765D" w:rsidRPr="00704862" w:rsidRDefault="0062765D" w:rsidP="00C86126">
      <w:pPr>
        <w:keepNext/>
        <w:spacing w:before="0" w:after="240"/>
        <w:rPr>
          <w:rFonts w:ascii="Times New Roman" w:hAnsi="Times New Roman"/>
          <w:b/>
          <w:sz w:val="24"/>
        </w:rPr>
      </w:pPr>
      <w:r w:rsidRPr="00704862">
        <w:rPr>
          <w:rFonts w:ascii="Times New Roman" w:hAnsi="Times New Roman"/>
          <w:b/>
          <w:sz w:val="24"/>
        </w:rPr>
        <w:lastRenderedPageBreak/>
        <w:t>Pokyny podľa riadkov:</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704862"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704862" w:rsidRDefault="0062765D" w:rsidP="0062765D">
            <w:pPr>
              <w:spacing w:before="0" w:after="0"/>
              <w:rPr>
                <w:rFonts w:ascii="Times New Roman" w:hAnsi="Times New Roman"/>
                <w:b/>
                <w:bCs/>
                <w:sz w:val="24"/>
              </w:rPr>
            </w:pPr>
            <w:r w:rsidRPr="00704862">
              <w:rPr>
                <w:rFonts w:ascii="Times New Roman" w:hAnsi="Times New Roman"/>
                <w:b/>
                <w:sz w:val="24"/>
              </w:rPr>
              <w:t>Riadky</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704862" w:rsidRDefault="0062765D" w:rsidP="0062765D">
            <w:pPr>
              <w:spacing w:before="0" w:after="0"/>
              <w:jc w:val="left"/>
              <w:rPr>
                <w:rFonts w:ascii="Times New Roman" w:hAnsi="Times New Roman"/>
                <w:sz w:val="24"/>
              </w:rPr>
            </w:pPr>
            <w:r w:rsidRPr="00704862">
              <w:rPr>
                <w:rFonts w:ascii="Times New Roman" w:hAnsi="Times New Roman"/>
                <w:b/>
                <w:sz w:val="24"/>
                <w:u w:val="single"/>
              </w:rPr>
              <w:t>Odkazy na právne predpisy a pokyny</w:t>
            </w:r>
          </w:p>
        </w:tc>
      </w:tr>
      <w:tr w:rsidR="001E3A3B" w:rsidRPr="00704862"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704862" w:rsidRDefault="001E3A3B" w:rsidP="0062765D">
            <w:pPr>
              <w:rPr>
                <w:rFonts w:ascii="Times New Roman" w:hAnsi="Times New Roman"/>
                <w:sz w:val="24"/>
              </w:rPr>
            </w:pPr>
            <w:r w:rsidRPr="00704862">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704862" w:rsidRDefault="00137C27" w:rsidP="00C86126">
            <w:pPr>
              <w:keepNext/>
              <w:jc w:val="left"/>
              <w:rPr>
                <w:rFonts w:ascii="Times New Roman" w:hAnsi="Times New Roman"/>
                <w:b/>
                <w:bCs/>
                <w:sz w:val="24"/>
                <w:u w:val="single"/>
              </w:rPr>
            </w:pPr>
            <w:r w:rsidRPr="00704862">
              <w:rPr>
                <w:rFonts w:ascii="Times New Roman" w:hAnsi="Times New Roman"/>
                <w:b/>
                <w:sz w:val="24"/>
                <w:u w:val="single"/>
              </w:rPr>
              <w:t>Zložka ukazovateľa obchodovania a alternatívny štandardizovaný prístup</w:t>
            </w:r>
          </w:p>
          <w:p w14:paraId="66A9A1ED" w14:textId="73BDAEB6" w:rsidR="00137C27" w:rsidRPr="00704862" w:rsidRDefault="00E0541A" w:rsidP="0062765D">
            <w:pPr>
              <w:jc w:val="left"/>
              <w:rPr>
                <w:rFonts w:ascii="Times New Roman" w:hAnsi="Times New Roman"/>
                <w:b/>
                <w:bCs/>
                <w:sz w:val="24"/>
                <w:u w:val="single"/>
              </w:rPr>
            </w:pPr>
            <w:r w:rsidRPr="00704862">
              <w:rPr>
                <w:rFonts w:ascii="Times New Roman" w:hAnsi="Times New Roman"/>
                <w:sz w:val="24"/>
              </w:rPr>
              <w:t>Článok 313 a článok 314 ods. 4 nariadenia (EÚ) č. 575/2013.</w:t>
            </w:r>
          </w:p>
        </w:tc>
      </w:tr>
      <w:tr w:rsidR="0062765D" w:rsidRPr="00704862"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704862" w:rsidRDefault="0062765D" w:rsidP="0062765D">
            <w:pPr>
              <w:rPr>
                <w:rFonts w:ascii="Times New Roman" w:hAnsi="Times New Roman"/>
                <w:sz w:val="24"/>
              </w:rPr>
            </w:pPr>
            <w:r w:rsidRPr="00704862">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Ukazovateľ obchodovania</w:t>
            </w:r>
          </w:p>
          <w:p w14:paraId="75392277" w14:textId="77777777" w:rsidR="00A12BD5" w:rsidRPr="00704862" w:rsidRDefault="0062765D" w:rsidP="0062765D">
            <w:pPr>
              <w:jc w:val="left"/>
              <w:rPr>
                <w:rFonts w:ascii="Times New Roman" w:hAnsi="Times New Roman"/>
                <w:sz w:val="24"/>
              </w:rPr>
            </w:pPr>
            <w:r w:rsidRPr="00704862">
              <w:rPr>
                <w:rFonts w:ascii="Times New Roman" w:hAnsi="Times New Roman"/>
                <w:sz w:val="24"/>
              </w:rPr>
              <w:t>Hodnota BI vypočítaná v súlade s článkom 314 ods. 1 nariadenia (EÚ) č. 575/2013.</w:t>
            </w:r>
          </w:p>
          <w:p w14:paraId="2D2342A6" w14:textId="071D6847" w:rsidR="00A55F29" w:rsidRPr="00704862" w:rsidRDefault="00A55F29" w:rsidP="0062765D">
            <w:pPr>
              <w:jc w:val="left"/>
              <w:rPr>
                <w:rFonts w:ascii="Times New Roman" w:hAnsi="Times New Roman"/>
                <w:sz w:val="24"/>
              </w:rPr>
            </w:pPr>
            <w:r w:rsidRPr="00704862">
              <w:rPr>
                <w:rFonts w:ascii="Times New Roman" w:hAnsi="Times New Roman"/>
                <w:sz w:val="24"/>
              </w:rPr>
              <w:t xml:space="preserve">Ak sa na inštitúciu vzťahuje výnimka uvedená v článku 314 ods. 4 nariadenia (EÚ) č. 575/2013, inštitúcia do rozsahu výnimky nezahŕňa žiadne údaje z obchodných línií </w:t>
            </w:r>
            <w:proofErr w:type="spellStart"/>
            <w:r w:rsidRPr="00704862">
              <w:rPr>
                <w:rFonts w:ascii="Times New Roman" w:hAnsi="Times New Roman"/>
                <w:sz w:val="24"/>
              </w:rPr>
              <w:t>retailového</w:t>
            </w:r>
            <w:proofErr w:type="spellEnd"/>
            <w:r w:rsidRPr="00704862">
              <w:rPr>
                <w:rFonts w:ascii="Times New Roman" w:hAnsi="Times New Roman"/>
                <w:sz w:val="24"/>
              </w:rPr>
              <w:t xml:space="preserve"> a/alebo komerčného bankovníctva.  </w:t>
            </w:r>
          </w:p>
        </w:tc>
      </w:tr>
      <w:tr w:rsidR="0062765D" w:rsidRPr="00704862"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704862" w:rsidRDefault="0062765D" w:rsidP="0062765D">
            <w:pPr>
              <w:rPr>
                <w:rFonts w:ascii="Times New Roman" w:hAnsi="Times New Roman"/>
                <w:sz w:val="24"/>
              </w:rPr>
            </w:pPr>
            <w:r w:rsidRPr="00704862">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Zložka úrokov, lízingov a dividend</w:t>
            </w:r>
          </w:p>
          <w:p w14:paraId="47773943" w14:textId="2CF555A2" w:rsidR="0062765D" w:rsidRPr="00704862" w:rsidRDefault="0062765D" w:rsidP="0062765D">
            <w:pPr>
              <w:jc w:val="left"/>
              <w:rPr>
                <w:rFonts w:ascii="Times New Roman" w:hAnsi="Times New Roman"/>
                <w:b/>
                <w:bCs/>
                <w:sz w:val="24"/>
                <w:u w:val="single"/>
              </w:rPr>
            </w:pPr>
            <w:r w:rsidRPr="00704862">
              <w:rPr>
                <w:rFonts w:ascii="Times New Roman" w:hAnsi="Times New Roman"/>
                <w:color w:val="000000" w:themeColor="text1"/>
                <w:sz w:val="24"/>
              </w:rPr>
              <w:t xml:space="preserve">Celková ILDC sa vypočíta v súlade s článkom 314 ods. 2 nariadenia (EÚ) č. 575/2013 a prípadne s článkom 314 ods. 3. </w:t>
            </w:r>
          </w:p>
        </w:tc>
      </w:tr>
      <w:tr w:rsidR="0062765D" w:rsidRPr="00704862"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704862" w:rsidRDefault="0062765D" w:rsidP="0062765D">
            <w:pPr>
              <w:rPr>
                <w:rFonts w:ascii="Times New Roman" w:hAnsi="Times New Roman"/>
                <w:sz w:val="24"/>
              </w:rPr>
            </w:pPr>
            <w:r w:rsidRPr="00704862">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ILDC súvisiaca s jednotlivou inštitúciou/konsolidovanou skupinou (okrem subjektov, ktoré sa posudzujú podľa článku 314 ods. 3)</w:t>
            </w:r>
          </w:p>
          <w:p w14:paraId="20179C90" w14:textId="1823E684" w:rsidR="0062765D" w:rsidRPr="00704862" w:rsidRDefault="0062765D" w:rsidP="0062765D">
            <w:pPr>
              <w:jc w:val="left"/>
              <w:rPr>
                <w:rFonts w:ascii="Times New Roman" w:hAnsi="Times New Roman"/>
                <w:color w:val="000000" w:themeColor="text1"/>
                <w:sz w:val="24"/>
              </w:rPr>
            </w:pPr>
            <w:r w:rsidRPr="00704862">
              <w:rPr>
                <w:rFonts w:ascii="Times New Roman" w:hAnsi="Times New Roman"/>
                <w:color w:val="000000" w:themeColor="text1"/>
                <w:sz w:val="24"/>
              </w:rPr>
              <w:t>ILDC sa vypočíta v súlade s článkom 314 ods. 2 nariadenia (EÚ) č. 575/2013.</w:t>
            </w:r>
          </w:p>
          <w:p w14:paraId="44DE0AF1" w14:textId="5A7C6C5A" w:rsidR="0062765D" w:rsidRPr="00704862" w:rsidRDefault="0062765D" w:rsidP="3B06A011">
            <w:pPr>
              <w:jc w:val="left"/>
              <w:rPr>
                <w:rFonts w:ascii="Times New Roman" w:hAnsi="Times New Roman"/>
                <w:color w:val="000000" w:themeColor="text1"/>
                <w:sz w:val="24"/>
              </w:rPr>
            </w:pPr>
            <w:r w:rsidRPr="00704862">
              <w:rPr>
                <w:rFonts w:ascii="Times New Roman" w:hAnsi="Times New Roman"/>
                <w:color w:val="000000" w:themeColor="text1"/>
                <w:sz w:val="24"/>
              </w:rPr>
              <w:t>V prípade konsolidovaného vykazovania, keď sa na inštitúciu vzťahuje výnimka uvedená v článku 314 ods. 3 nariadenia (EÚ) č. 575/2013, inštitúcia nezahrnie žiadne údaje, ktoré sú súčasťou výpočtu ILDC vypočítanej osobitne pre tieto konkrétne dcérske inštitúcie. Zostatky medzi dcérskymi spoločnosťami posudzovanými podľa uvedeného článku, a zvyškom skupiny sa vylúčia.</w:t>
            </w:r>
          </w:p>
          <w:p w14:paraId="35C8E8B1" w14:textId="402D01BC" w:rsidR="0062765D" w:rsidRPr="00704862" w:rsidRDefault="0062765D" w:rsidP="0062765D">
            <w:pPr>
              <w:jc w:val="left"/>
              <w:rPr>
                <w:rFonts w:ascii="Times New Roman" w:hAnsi="Times New Roman"/>
                <w:color w:val="000000" w:themeColor="text1"/>
                <w:sz w:val="24"/>
              </w:rPr>
            </w:pPr>
            <w:r w:rsidRPr="00704862">
              <w:rPr>
                <w:rFonts w:ascii="Times New Roman" w:hAnsi="Times New Roman"/>
                <w:color w:val="000000" w:themeColor="text1"/>
                <w:sz w:val="24"/>
              </w:rPr>
              <w:t xml:space="preserve">Ak sa na inštitúciu vzťahuje výnimka uvedená v článku 314 ods. 4 nariadenia (EÚ) č. 575/2013, inštitúcia do rozsahu výnimky nezahŕňa žiadne údaje z obchodných línií </w:t>
            </w:r>
            <w:proofErr w:type="spellStart"/>
            <w:r w:rsidRPr="00704862">
              <w:rPr>
                <w:rFonts w:ascii="Times New Roman" w:hAnsi="Times New Roman"/>
                <w:color w:val="000000" w:themeColor="text1"/>
                <w:sz w:val="24"/>
              </w:rPr>
              <w:t>retailového</w:t>
            </w:r>
            <w:proofErr w:type="spellEnd"/>
            <w:r w:rsidRPr="00704862">
              <w:rPr>
                <w:rFonts w:ascii="Times New Roman" w:hAnsi="Times New Roman"/>
                <w:color w:val="000000" w:themeColor="text1"/>
                <w:sz w:val="24"/>
              </w:rPr>
              <w:t xml:space="preserve"> a/alebo komerčného bankovníctva.  </w:t>
            </w:r>
          </w:p>
        </w:tc>
      </w:tr>
      <w:tr w:rsidR="0062765D" w:rsidRPr="00704862"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704862" w:rsidRDefault="0062765D" w:rsidP="0062765D">
            <w:pPr>
              <w:rPr>
                <w:rFonts w:ascii="Times New Roman" w:hAnsi="Times New Roman"/>
                <w:sz w:val="24"/>
              </w:rPr>
            </w:pPr>
            <w:r w:rsidRPr="00704862">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ILDC pre subjekty posudzované podľa článku 314 ods. 3</w:t>
            </w:r>
          </w:p>
          <w:p w14:paraId="574F1C29" w14:textId="4EE469F6" w:rsidR="0062765D" w:rsidRPr="00704862" w:rsidRDefault="0062765D" w:rsidP="0062765D">
            <w:pPr>
              <w:jc w:val="left"/>
              <w:rPr>
                <w:rFonts w:ascii="Times New Roman" w:hAnsi="Times New Roman"/>
                <w:color w:val="000000" w:themeColor="text1"/>
                <w:sz w:val="24"/>
              </w:rPr>
            </w:pPr>
            <w:r w:rsidRPr="00704862">
              <w:rPr>
                <w:rFonts w:ascii="Times New Roman" w:hAnsi="Times New Roman"/>
                <w:color w:val="000000" w:themeColor="text1"/>
                <w:sz w:val="24"/>
              </w:rPr>
              <w:t>V prípade konsolidovaného vykazovania, keď sa na inštitúciu vzťahuje výnimka uvedená v článku 314 ods. 3, vykazuje inštitúcia súčet ILDC za tie konkrétne dcérske inštitúcie, pre ktoré sa počíta samostatná ILDC. Pri výpočte samostatnej ILDC sa vylúčia zostatky medzi dcérskymi spoločnosťami a zvyškom skupiny.</w:t>
            </w:r>
          </w:p>
        </w:tc>
      </w:tr>
      <w:tr w:rsidR="0062765D" w:rsidRPr="00704862"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704862" w:rsidRDefault="0062765D" w:rsidP="0062765D">
            <w:pPr>
              <w:rPr>
                <w:rFonts w:ascii="Times New Roman" w:hAnsi="Times New Roman"/>
                <w:sz w:val="24"/>
              </w:rPr>
            </w:pPr>
            <w:r w:rsidRPr="00704862">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Zložka služieb</w:t>
            </w:r>
          </w:p>
          <w:p w14:paraId="68E6D128" w14:textId="742461BD" w:rsidR="0062765D" w:rsidRPr="00704862" w:rsidRDefault="0062765D" w:rsidP="0062765D">
            <w:pPr>
              <w:jc w:val="left"/>
              <w:rPr>
                <w:rFonts w:ascii="Times New Roman" w:hAnsi="Times New Roman"/>
                <w:color w:val="000000" w:themeColor="text1"/>
                <w:sz w:val="24"/>
              </w:rPr>
            </w:pPr>
            <w:r w:rsidRPr="00704862">
              <w:rPr>
                <w:rFonts w:ascii="Times New Roman" w:hAnsi="Times New Roman"/>
                <w:color w:val="000000" w:themeColor="text1"/>
                <w:sz w:val="24"/>
              </w:rPr>
              <w:t>Zložka služieb sa vypočíta v súlade s článkom 314 ods. 5 nariadenia (EÚ) č. 575/2013.</w:t>
            </w:r>
          </w:p>
          <w:p w14:paraId="79F2D39A" w14:textId="2F1617D4" w:rsidR="0062765D" w:rsidRPr="00704862" w:rsidRDefault="00F26CC7" w:rsidP="3B06A011">
            <w:pPr>
              <w:jc w:val="left"/>
              <w:rPr>
                <w:rFonts w:ascii="Times New Roman" w:hAnsi="Times New Roman"/>
                <w:color w:val="000000" w:themeColor="text1"/>
                <w:sz w:val="24"/>
              </w:rPr>
            </w:pPr>
            <w:r w:rsidRPr="00704862">
              <w:rPr>
                <w:rFonts w:ascii="Times New Roman" w:hAnsi="Times New Roman"/>
                <w:color w:val="000000" w:themeColor="text1"/>
                <w:sz w:val="24"/>
              </w:rPr>
              <w:t xml:space="preserve">Ak sa na inštitúciu vzťahuje výnimka uvedená v článku 314 ods. 4 nariadenia (EÚ) č. 575/2013, inštitúcia do rozsahu výnimky nezahŕňa žiadne údaje z obchodných línií </w:t>
            </w:r>
            <w:proofErr w:type="spellStart"/>
            <w:r w:rsidRPr="00704862">
              <w:rPr>
                <w:rFonts w:ascii="Times New Roman" w:hAnsi="Times New Roman"/>
                <w:color w:val="000000" w:themeColor="text1"/>
                <w:sz w:val="24"/>
              </w:rPr>
              <w:t>retailového</w:t>
            </w:r>
            <w:proofErr w:type="spellEnd"/>
            <w:r w:rsidRPr="00704862">
              <w:rPr>
                <w:rFonts w:ascii="Times New Roman" w:hAnsi="Times New Roman"/>
                <w:color w:val="000000" w:themeColor="text1"/>
                <w:sz w:val="24"/>
              </w:rPr>
              <w:t xml:space="preserve"> a/alebo komerčného bankovníctva.  </w:t>
            </w:r>
          </w:p>
        </w:tc>
      </w:tr>
      <w:tr w:rsidR="0062765D" w:rsidRPr="00704862"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704862" w:rsidRDefault="0062765D" w:rsidP="0062765D">
            <w:pPr>
              <w:rPr>
                <w:rFonts w:ascii="Times New Roman" w:hAnsi="Times New Roman"/>
                <w:sz w:val="24"/>
              </w:rPr>
            </w:pPr>
            <w:r w:rsidRPr="00704862">
              <w:rPr>
                <w:rFonts w:ascii="Times New Roman" w:hAnsi="Times New Roman"/>
                <w:sz w:val="24"/>
              </w:rPr>
              <w:lastRenderedPageBreak/>
              <w:t>0070</w:t>
            </w:r>
          </w:p>
        </w:tc>
        <w:tc>
          <w:tcPr>
            <w:tcW w:w="7580" w:type="dxa"/>
            <w:tcBorders>
              <w:top w:val="nil"/>
              <w:left w:val="nil"/>
              <w:bottom w:val="single" w:sz="4" w:space="0" w:color="auto"/>
              <w:right w:val="single" w:sz="4" w:space="0" w:color="auto"/>
            </w:tcBorders>
            <w:vAlign w:val="center"/>
          </w:tcPr>
          <w:p w14:paraId="760DD50E" w14:textId="725599E0"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Finančná zložka</w:t>
            </w:r>
          </w:p>
          <w:p w14:paraId="25D11A82" w14:textId="58FD16C4" w:rsidR="004A5A87" w:rsidRPr="00704862" w:rsidRDefault="004A5A87" w:rsidP="0062765D">
            <w:pPr>
              <w:jc w:val="left"/>
              <w:rPr>
                <w:rFonts w:ascii="Times New Roman" w:hAnsi="Times New Roman"/>
                <w:color w:val="000000" w:themeColor="text1"/>
                <w:sz w:val="24"/>
              </w:rPr>
            </w:pPr>
            <w:r w:rsidRPr="00704862">
              <w:rPr>
                <w:rFonts w:ascii="Times New Roman" w:hAnsi="Times New Roman"/>
                <w:color w:val="000000" w:themeColor="text1"/>
                <w:sz w:val="24"/>
              </w:rPr>
              <w:t>Finančná zložka sa vypočíta v súlade s článkom 314 ods. 6 nariadenia (EÚ) č. 575/2013.</w:t>
            </w:r>
          </w:p>
          <w:p w14:paraId="7BCC8437" w14:textId="4EAEDFEB" w:rsidR="0062765D" w:rsidRPr="00704862" w:rsidRDefault="00F26CC7" w:rsidP="0062765D">
            <w:pPr>
              <w:jc w:val="left"/>
              <w:rPr>
                <w:rFonts w:ascii="Times New Roman" w:hAnsi="Times New Roman"/>
                <w:color w:val="000000" w:themeColor="text1"/>
                <w:sz w:val="24"/>
              </w:rPr>
            </w:pPr>
            <w:r w:rsidRPr="00704862">
              <w:rPr>
                <w:rFonts w:ascii="Times New Roman" w:hAnsi="Times New Roman"/>
                <w:color w:val="000000" w:themeColor="text1"/>
                <w:sz w:val="24"/>
              </w:rPr>
              <w:t xml:space="preserve">Ak sa na inštitúciu vzťahuje výnimka uvedená v článku 314 ods. 4 nariadenia (EÚ) č. 575/2013, inštitúcia do rozsahu výnimky nezahŕňa žiadne údaje z obchodných línií </w:t>
            </w:r>
            <w:proofErr w:type="spellStart"/>
            <w:r w:rsidRPr="00704862">
              <w:rPr>
                <w:rFonts w:ascii="Times New Roman" w:hAnsi="Times New Roman"/>
                <w:color w:val="000000" w:themeColor="text1"/>
                <w:sz w:val="24"/>
              </w:rPr>
              <w:t>retailového</w:t>
            </w:r>
            <w:proofErr w:type="spellEnd"/>
            <w:r w:rsidRPr="00704862">
              <w:rPr>
                <w:rFonts w:ascii="Times New Roman" w:hAnsi="Times New Roman"/>
                <w:color w:val="000000" w:themeColor="text1"/>
                <w:sz w:val="24"/>
              </w:rPr>
              <w:t xml:space="preserve"> a/alebo komerčného bankovníctva.  </w:t>
            </w:r>
          </w:p>
        </w:tc>
      </w:tr>
      <w:tr w:rsidR="00F86288" w:rsidRPr="00704862"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704862" w:rsidRDefault="00F86288" w:rsidP="0062765D">
            <w:pPr>
              <w:rPr>
                <w:rFonts w:ascii="Times New Roman" w:hAnsi="Times New Roman"/>
                <w:sz w:val="24"/>
              </w:rPr>
            </w:pPr>
            <w:r w:rsidRPr="00704862">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704862" w:rsidRDefault="00A8279E" w:rsidP="00C86126">
            <w:pPr>
              <w:keepNext/>
              <w:jc w:val="left"/>
              <w:rPr>
                <w:rFonts w:ascii="Times New Roman" w:hAnsi="Times New Roman"/>
                <w:b/>
                <w:bCs/>
                <w:sz w:val="24"/>
                <w:u w:val="single"/>
              </w:rPr>
            </w:pPr>
            <w:r w:rsidRPr="00704862">
              <w:rPr>
                <w:rFonts w:ascii="Times New Roman" w:hAnsi="Times New Roman"/>
                <w:b/>
                <w:sz w:val="24"/>
                <w:u w:val="single"/>
              </w:rPr>
              <w:t>Alternatívny štandardizovaný prístup podľa článku 314 ods. 4 (</w:t>
            </w:r>
            <w:proofErr w:type="spellStart"/>
            <w:r w:rsidRPr="00704862">
              <w:rPr>
                <w:rFonts w:ascii="Times New Roman" w:hAnsi="Times New Roman"/>
                <w:b/>
                <w:sz w:val="24"/>
                <w:u w:val="single"/>
              </w:rPr>
              <w:t>retailové</w:t>
            </w:r>
            <w:proofErr w:type="spellEnd"/>
            <w:r w:rsidRPr="00704862">
              <w:rPr>
                <w:rFonts w:ascii="Times New Roman" w:hAnsi="Times New Roman"/>
                <w:b/>
                <w:sz w:val="24"/>
                <w:u w:val="single"/>
              </w:rPr>
              <w:t xml:space="preserve"> bankovníctvo)</w:t>
            </w:r>
          </w:p>
          <w:p w14:paraId="35824B06" w14:textId="79A2A47B" w:rsidR="00452946" w:rsidRPr="00704862" w:rsidRDefault="00452946" w:rsidP="0062765D">
            <w:pPr>
              <w:jc w:val="left"/>
              <w:rPr>
                <w:rFonts w:ascii="Times New Roman" w:hAnsi="Times New Roman"/>
                <w:sz w:val="24"/>
                <w:u w:val="single"/>
              </w:rPr>
            </w:pPr>
            <w:r w:rsidRPr="00704862">
              <w:rPr>
                <w:rFonts w:ascii="Times New Roman" w:hAnsi="Times New Roman"/>
                <w:sz w:val="24"/>
                <w:u w:val="single"/>
              </w:rPr>
              <w:t xml:space="preserve">Článok 314 ods. 4 pre obchodnú líniu </w:t>
            </w:r>
            <w:proofErr w:type="spellStart"/>
            <w:r w:rsidRPr="00704862">
              <w:rPr>
                <w:rFonts w:ascii="Times New Roman" w:hAnsi="Times New Roman"/>
                <w:sz w:val="24"/>
                <w:u w:val="single"/>
              </w:rPr>
              <w:t>retailového</w:t>
            </w:r>
            <w:proofErr w:type="spellEnd"/>
            <w:r w:rsidRPr="00704862">
              <w:rPr>
                <w:rFonts w:ascii="Times New Roman" w:hAnsi="Times New Roman"/>
                <w:sz w:val="24"/>
                <w:u w:val="single"/>
              </w:rPr>
              <w:t xml:space="preserve"> bankovníctva</w:t>
            </w:r>
          </w:p>
        </w:tc>
      </w:tr>
      <w:tr w:rsidR="00F86288" w:rsidRPr="00704862"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704862" w:rsidRDefault="00F86288" w:rsidP="0062765D">
            <w:pPr>
              <w:rPr>
                <w:rFonts w:ascii="Times New Roman" w:hAnsi="Times New Roman"/>
                <w:sz w:val="24"/>
              </w:rPr>
            </w:pPr>
            <w:r w:rsidRPr="00704862">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704862" w:rsidRDefault="00452946" w:rsidP="00C86126">
            <w:pPr>
              <w:keepNext/>
              <w:jc w:val="left"/>
              <w:rPr>
                <w:rFonts w:ascii="Times New Roman" w:hAnsi="Times New Roman"/>
                <w:b/>
                <w:bCs/>
                <w:sz w:val="24"/>
                <w:u w:val="single"/>
              </w:rPr>
            </w:pPr>
            <w:r w:rsidRPr="00704862">
              <w:rPr>
                <w:rFonts w:ascii="Times New Roman" w:hAnsi="Times New Roman"/>
                <w:b/>
                <w:sz w:val="24"/>
                <w:u w:val="single"/>
              </w:rPr>
              <w:t>Alternatívny štandardizovaný prístup podľa článku 314 ods. 4 (komerčné bankovníctvo)</w:t>
            </w:r>
          </w:p>
          <w:p w14:paraId="03643C1A" w14:textId="1F6FF309" w:rsidR="00452946" w:rsidRPr="00704862" w:rsidRDefault="00452946" w:rsidP="0062765D">
            <w:pPr>
              <w:jc w:val="left"/>
              <w:rPr>
                <w:rFonts w:ascii="Times New Roman" w:hAnsi="Times New Roman"/>
                <w:sz w:val="24"/>
              </w:rPr>
            </w:pPr>
            <w:r w:rsidRPr="00704862">
              <w:rPr>
                <w:rFonts w:ascii="Times New Roman" w:hAnsi="Times New Roman"/>
                <w:sz w:val="24"/>
              </w:rPr>
              <w:t>Článok 314 ods. 4 pre obchodnú líniu komerčného bankovníctva</w:t>
            </w:r>
          </w:p>
        </w:tc>
      </w:tr>
      <w:tr w:rsidR="0062765D" w:rsidRPr="00704862"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704862" w:rsidRDefault="0062765D" w:rsidP="0062765D">
            <w:pPr>
              <w:rPr>
                <w:rFonts w:ascii="Times New Roman" w:hAnsi="Times New Roman"/>
                <w:sz w:val="24"/>
              </w:rPr>
            </w:pPr>
            <w:r w:rsidRPr="00704862">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704862" w:rsidRDefault="0062765D" w:rsidP="00C86126">
            <w:pPr>
              <w:keepNext/>
              <w:jc w:val="left"/>
              <w:rPr>
                <w:rFonts w:ascii="Times New Roman" w:hAnsi="Times New Roman"/>
                <w:b/>
                <w:bCs/>
                <w:sz w:val="24"/>
                <w:u w:val="single"/>
              </w:rPr>
            </w:pPr>
            <w:r w:rsidRPr="00704862">
              <w:rPr>
                <w:rFonts w:ascii="Times New Roman" w:hAnsi="Times New Roman"/>
                <w:b/>
                <w:sz w:val="24"/>
                <w:u w:val="single"/>
              </w:rPr>
              <w:t>Doplňujúca položka: ILDC súvisiaca s jednotlivou inštitúciou/konsolidovanou skupinou (vrátane subjektov posudzovaných podľa článku 314 ods. 3)</w:t>
            </w:r>
          </w:p>
          <w:p w14:paraId="0A3600F0" w14:textId="061B9374" w:rsidR="00623144" w:rsidRPr="00704862" w:rsidRDefault="0062765D" w:rsidP="0062765D">
            <w:pPr>
              <w:jc w:val="left"/>
              <w:rPr>
                <w:rFonts w:ascii="Times New Roman" w:hAnsi="Times New Roman"/>
                <w:bCs/>
                <w:sz w:val="24"/>
              </w:rPr>
            </w:pPr>
            <w:r w:rsidRPr="00704862">
              <w:rPr>
                <w:rFonts w:ascii="Times New Roman" w:hAnsi="Times New Roman"/>
                <w:sz w:val="24"/>
              </w:rPr>
              <w:t xml:space="preserve">Ak sa na inštitúciu vzťahuje výnimka uvedená v článku 314 ods. 3, vykazuje teoretickú individuálnu alebo konsolidovanú ILDC vypočítanú v súlade s článkom 314 ods. 2 nariadenia (EÚ) č. 575/2013, ako keby inštitúcia túto výnimku neuplatňovala. </w:t>
            </w:r>
          </w:p>
        </w:tc>
      </w:tr>
      <w:tr w:rsidR="00502B1A" w:rsidRPr="00704862"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704862" w:rsidRDefault="00F43925" w:rsidP="0062765D">
            <w:pPr>
              <w:rPr>
                <w:rFonts w:ascii="Times New Roman" w:hAnsi="Times New Roman"/>
                <w:sz w:val="24"/>
              </w:rPr>
            </w:pPr>
            <w:r w:rsidRPr="00704862">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704862" w:rsidRDefault="00F43925" w:rsidP="00C86126">
            <w:pPr>
              <w:keepNext/>
              <w:jc w:val="left"/>
              <w:rPr>
                <w:rFonts w:ascii="Times New Roman" w:hAnsi="Times New Roman"/>
                <w:b/>
                <w:bCs/>
                <w:sz w:val="24"/>
                <w:u w:val="single"/>
              </w:rPr>
            </w:pPr>
            <w:r w:rsidRPr="00704862">
              <w:rPr>
                <w:rFonts w:ascii="Times New Roman" w:hAnsi="Times New Roman"/>
                <w:b/>
                <w:sz w:val="24"/>
                <w:u w:val="single"/>
              </w:rPr>
              <w:t>Prístup použitý na výpočet FC</w:t>
            </w:r>
          </w:p>
          <w:p w14:paraId="6D07D0F8" w14:textId="76B0C171" w:rsidR="009A383C" w:rsidRPr="00704862" w:rsidRDefault="0046793D" w:rsidP="0062765D">
            <w:pPr>
              <w:jc w:val="left"/>
              <w:rPr>
                <w:rFonts w:ascii="Times New Roman" w:hAnsi="Times New Roman"/>
                <w:color w:val="000000" w:themeColor="text1"/>
                <w:sz w:val="24"/>
              </w:rPr>
            </w:pPr>
            <w:r w:rsidRPr="00704862">
              <w:rPr>
                <w:rFonts w:ascii="Times New Roman" w:hAnsi="Times New Roman"/>
                <w:color w:val="000000" w:themeColor="text1"/>
                <w:sz w:val="24"/>
              </w:rPr>
              <w:t xml:space="preserve">Inštitúcie oznámia, ktorý prístup použili (účtovný prístup alebo </w:t>
            </w:r>
            <w:proofErr w:type="spellStart"/>
            <w:r w:rsidRPr="00704862">
              <w:rPr>
                <w:rFonts w:ascii="Times New Roman" w:hAnsi="Times New Roman"/>
                <w:color w:val="000000" w:themeColor="text1"/>
                <w:sz w:val="24"/>
              </w:rPr>
              <w:t>prudenciálnu</w:t>
            </w:r>
            <w:proofErr w:type="spellEnd"/>
            <w:r w:rsidRPr="00704862">
              <w:rPr>
                <w:rFonts w:ascii="Times New Roman" w:hAnsi="Times New Roman"/>
                <w:color w:val="000000" w:themeColor="text1"/>
                <w:sz w:val="24"/>
              </w:rPr>
              <w:t xml:space="preserve"> hranicu) na výpočet FC v súlade s článkom 314 ods. 6 nariadenia (EÚ) č. 575/2013</w:t>
            </w:r>
          </w:p>
        </w:tc>
      </w:tr>
    </w:tbl>
    <w:p w14:paraId="705ACE51" w14:textId="77777777" w:rsidR="00C601CA" w:rsidRPr="00704862"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04862">
        <w:rPr>
          <w:rFonts w:ascii="Times New Roman" w:hAnsi="Times New Roman"/>
          <w:b/>
          <w:sz w:val="24"/>
        </w:rPr>
        <w:t>C 16.02 Operačné riziko – zložka obchodného ukazovateľa (OPR BIC)</w:t>
      </w:r>
    </w:p>
    <w:p w14:paraId="66A9EB3D" w14:textId="6275D425" w:rsidR="00C601CA" w:rsidRPr="00704862" w:rsidRDefault="00C601CA" w:rsidP="3B06A011">
      <w:pPr>
        <w:spacing w:before="0" w:after="240"/>
        <w:ind w:left="360" w:hanging="360"/>
        <w:rPr>
          <w:rFonts w:ascii="Times New Roman" w:hAnsi="Times New Roman"/>
          <w:sz w:val="24"/>
        </w:rPr>
      </w:pPr>
      <w:r w:rsidRPr="00704862">
        <w:rPr>
          <w:rStyle w:val="DNEx2"/>
        </w:rPr>
        <w:t>141 i.</w:t>
      </w:r>
      <w:r w:rsidRPr="00704862">
        <w:rPr>
          <w:rFonts w:ascii="Times New Roman" w:hAnsi="Times New Roman"/>
          <w:sz w:val="24"/>
        </w:rPr>
        <w:t xml:space="preserve"> Inštitúcie vykazujú podrobné informácie za každý z posledných troch finančných rokov o výške príslušného zoznamu položiek, ktoré by mali byť súčasťou výpočtu čiastkových zložiek BI, ktoré prispievajú k výpočtu OFR pre operačné riziko. V prípade potreby sa vypočítajú priemerné hodnoty za celé obdobie (pokrývajúce posledné tri finančné roky), aby sa určili zložky BI, ktoré vstupujú do výpočtu OFR, ako sa uvádza v časti C 16.01.</w:t>
      </w:r>
    </w:p>
    <w:p w14:paraId="1FB28011" w14:textId="0D984BE2" w:rsidR="00C601CA" w:rsidRPr="00704862" w:rsidRDefault="00C601CA" w:rsidP="3B06A011">
      <w:pPr>
        <w:spacing w:before="0" w:after="240"/>
        <w:ind w:left="360" w:hanging="360"/>
        <w:rPr>
          <w:rFonts w:ascii="Times New Roman" w:hAnsi="Times New Roman"/>
          <w:sz w:val="24"/>
        </w:rPr>
      </w:pPr>
      <w:r w:rsidRPr="00704862">
        <w:rPr>
          <w:rStyle w:val="DNEx2"/>
        </w:rPr>
        <w:t xml:space="preserve">141 </w:t>
      </w:r>
      <w:proofErr w:type="spellStart"/>
      <w:r w:rsidRPr="00704862">
        <w:rPr>
          <w:rStyle w:val="DNEx2"/>
        </w:rPr>
        <w:t>ia</w:t>
      </w:r>
      <w:proofErr w:type="spellEnd"/>
      <w:r w:rsidRPr="00704862">
        <w:rPr>
          <w:rStyle w:val="DNEx2"/>
        </w:rPr>
        <w:t>.</w:t>
      </w:r>
      <w:r w:rsidRPr="00704862">
        <w:rPr>
          <w:rFonts w:ascii="Times New Roman" w:hAnsi="Times New Roman"/>
          <w:sz w:val="24"/>
        </w:rPr>
        <w:t xml:space="preserve"> V súlade s článkom 314 ods. 8 nariadenia (EÚ) č. 575/2013, ak nie sú k dispozícii žiadne historické údaje, inštitúcie vykazujú odhady obchodnej činnosti zamerané do budúcnosti. Ak má inštitúcia k dispozícii údaje za menej ako tri roky týkajúce sa podrobných položiek, ktoré sú súčasťou zložiek BI, dostupné historické údaje (auditované údaje) sa prednostne priradia k príslušným stĺpcom vo vzore. Ak má inštitúcia k dispozícii historické údaje týkajúce sa zložiek BI len za jeden rok, hodnoty sa vykazujú v stĺpci zodpovedajúcom poslednému roku (napr. „posledný rok“) a odhady do budúcnosti sa zahrnú do roku –2, resp. roku –3, kým nebudú tieto údaje k dispozícii.</w:t>
      </w:r>
    </w:p>
    <w:p w14:paraId="1DE7DE26" w14:textId="5D5881B5" w:rsidR="00C601CA" w:rsidRPr="00704862" w:rsidRDefault="00C601CA" w:rsidP="3B06A011">
      <w:pPr>
        <w:spacing w:before="0" w:after="240"/>
        <w:ind w:left="360" w:hanging="360"/>
        <w:rPr>
          <w:rFonts w:ascii="Times New Roman" w:hAnsi="Times New Roman"/>
          <w:sz w:val="24"/>
        </w:rPr>
      </w:pPr>
      <w:r w:rsidRPr="00704862">
        <w:rPr>
          <w:rStyle w:val="DNEx2"/>
        </w:rPr>
        <w:t xml:space="preserve">141 </w:t>
      </w:r>
      <w:proofErr w:type="spellStart"/>
      <w:r w:rsidRPr="00704862">
        <w:rPr>
          <w:rStyle w:val="DNEx2"/>
        </w:rPr>
        <w:t>ib</w:t>
      </w:r>
      <w:proofErr w:type="spellEnd"/>
      <w:r w:rsidRPr="00704862">
        <w:rPr>
          <w:rStyle w:val="DNEx2"/>
        </w:rPr>
        <w:t>.</w:t>
      </w:r>
      <w:r w:rsidRPr="00704862">
        <w:rPr>
          <w:rFonts w:ascii="Times New Roman" w:hAnsi="Times New Roman"/>
          <w:sz w:val="24"/>
        </w:rPr>
        <w:t xml:space="preserve"> V prípade konsolidovaného vykazovania, keď sa na inštitúciu vzťahuje výnimka uvedená v článku 314 ods. 3, inštitúcia nezahrnie do podpoložiek, ktoré sú súčasťou výpočtu </w:t>
      </w:r>
      <w:r w:rsidRPr="00704862">
        <w:rPr>
          <w:rFonts w:ascii="Times New Roman" w:hAnsi="Times New Roman"/>
          <w:sz w:val="24"/>
        </w:rPr>
        <w:lastRenderedPageBreak/>
        <w:t xml:space="preserve">ILDC (v riadkoch 0010 – 0210), žiadne údaje týkajúce sa tých konkrétnych dcérskych inštitúcií, ktorých ILDC sa počíta osobitne.  </w:t>
      </w:r>
      <w:bookmarkStart w:id="58" w:name="_Hlk156469703"/>
      <w:r w:rsidRPr="00704862">
        <w:rPr>
          <w:rFonts w:ascii="Times New Roman" w:hAnsi="Times New Roman"/>
          <w:sz w:val="24"/>
        </w:rPr>
        <w:t>Zostatky medzi dcérskou spoločnosťou posudzovanou podľa uvedeného článku, a zvyškom skupiny sa vylúčia.</w:t>
      </w:r>
      <w:bookmarkEnd w:id="58"/>
    </w:p>
    <w:p w14:paraId="634226B4" w14:textId="4E823C48" w:rsidR="00C601CA" w:rsidRPr="00704862" w:rsidRDefault="00C601CA" w:rsidP="00C601CA">
      <w:pPr>
        <w:spacing w:before="0" w:after="240"/>
        <w:ind w:left="360" w:hanging="360"/>
        <w:rPr>
          <w:rFonts w:ascii="Times New Roman" w:hAnsi="Times New Roman"/>
          <w:sz w:val="24"/>
        </w:rPr>
      </w:pPr>
      <w:r w:rsidRPr="00704862">
        <w:rPr>
          <w:rStyle w:val="DNEx2"/>
        </w:rPr>
        <w:t xml:space="preserve">141 </w:t>
      </w:r>
      <w:proofErr w:type="spellStart"/>
      <w:r w:rsidRPr="00704862">
        <w:rPr>
          <w:rStyle w:val="DNEx2"/>
        </w:rPr>
        <w:t>ic</w:t>
      </w:r>
      <w:proofErr w:type="spellEnd"/>
      <w:r w:rsidRPr="00704862">
        <w:rPr>
          <w:rStyle w:val="DNEx2"/>
        </w:rPr>
        <w:t>.</w:t>
      </w:r>
      <w:r w:rsidRPr="00704862">
        <w:rPr>
          <w:rFonts w:ascii="Times New Roman" w:hAnsi="Times New Roman"/>
          <w:sz w:val="24"/>
        </w:rPr>
        <w:t xml:space="preserve"> Ak sa na inštitúciu vzťahuje výnimka uvedená v článku 314 ods. 4 nariadenia (EÚ) č. 575/2013, inštitúcia do vzoru nezahrnie žiadne údaje z obchodných línií </w:t>
      </w:r>
      <w:proofErr w:type="spellStart"/>
      <w:r w:rsidRPr="00704862">
        <w:rPr>
          <w:rFonts w:ascii="Times New Roman" w:hAnsi="Times New Roman"/>
          <w:sz w:val="24"/>
        </w:rPr>
        <w:t>retailového</w:t>
      </w:r>
      <w:proofErr w:type="spellEnd"/>
      <w:r w:rsidRPr="00704862">
        <w:rPr>
          <w:rFonts w:ascii="Times New Roman" w:hAnsi="Times New Roman"/>
          <w:sz w:val="24"/>
        </w:rPr>
        <w:t xml:space="preserve"> a/alebo komerčného bankovníctva.</w:t>
      </w:r>
    </w:p>
    <w:p w14:paraId="28DA4CC5" w14:textId="77777777" w:rsidR="00F11F65" w:rsidRPr="00704862" w:rsidRDefault="00F11F65" w:rsidP="00C86126">
      <w:pPr>
        <w:keepNext/>
        <w:spacing w:before="0" w:after="240"/>
        <w:ind w:left="360"/>
        <w:rPr>
          <w:rFonts w:ascii="Times New Roman" w:hAnsi="Times New Roman"/>
          <w:sz w:val="24"/>
          <w:u w:val="single"/>
        </w:rPr>
      </w:pPr>
      <w:r w:rsidRPr="00704862">
        <w:rPr>
          <w:rFonts w:ascii="Times New Roman" w:hAnsi="Times New Roman"/>
          <w:sz w:val="24"/>
          <w:u w:val="single"/>
        </w:rPr>
        <w:t>Pokyny týkajúce sa konkrétnych pozícií:</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704862" w14:paraId="2FDB9FF0" w14:textId="77777777" w:rsidTr="3B06A011">
        <w:trPr>
          <w:trHeight w:val="300"/>
        </w:trPr>
        <w:tc>
          <w:tcPr>
            <w:tcW w:w="1260" w:type="dxa"/>
            <w:shd w:val="clear" w:color="auto" w:fill="BFBFBF" w:themeFill="background1" w:themeFillShade="BF"/>
          </w:tcPr>
          <w:p w14:paraId="58528F69" w14:textId="77777777" w:rsidR="00084CC2" w:rsidRPr="00704862" w:rsidRDefault="00084CC2">
            <w:pPr>
              <w:autoSpaceDE w:val="0"/>
              <w:autoSpaceDN w:val="0"/>
              <w:adjustRightInd w:val="0"/>
              <w:spacing w:before="0" w:after="0"/>
              <w:rPr>
                <w:rFonts w:ascii="Times New Roman" w:hAnsi="Times New Roman"/>
                <w:b/>
                <w:sz w:val="24"/>
              </w:rPr>
            </w:pPr>
            <w:r w:rsidRPr="00704862">
              <w:rPr>
                <w:rFonts w:ascii="Times New Roman" w:hAnsi="Times New Roman"/>
                <w:b/>
                <w:sz w:val="24"/>
              </w:rPr>
              <w:t>Stĺpce</w:t>
            </w:r>
          </w:p>
        </w:tc>
        <w:tc>
          <w:tcPr>
            <w:tcW w:w="7756" w:type="dxa"/>
            <w:shd w:val="clear" w:color="auto" w:fill="BFBFBF" w:themeFill="background1" w:themeFillShade="BF"/>
          </w:tcPr>
          <w:p w14:paraId="72548768" w14:textId="77777777" w:rsidR="00084CC2" w:rsidRPr="00704862" w:rsidDel="00B46ADB" w:rsidRDefault="00084CC2">
            <w:pPr>
              <w:autoSpaceDE w:val="0"/>
              <w:autoSpaceDN w:val="0"/>
              <w:adjustRightInd w:val="0"/>
              <w:spacing w:before="0" w:after="0"/>
              <w:jc w:val="left"/>
              <w:rPr>
                <w:rFonts w:ascii="Times New Roman" w:hAnsi="Times New Roman"/>
                <w:bCs/>
                <w:sz w:val="24"/>
                <w:u w:val="single"/>
              </w:rPr>
            </w:pPr>
            <w:r w:rsidRPr="00704862">
              <w:rPr>
                <w:rFonts w:ascii="Times New Roman" w:hAnsi="Times New Roman"/>
                <w:b/>
                <w:sz w:val="24"/>
              </w:rPr>
              <w:t>Odkazy na právne predpisy a pokyny</w:t>
            </w:r>
          </w:p>
        </w:tc>
      </w:tr>
      <w:tr w:rsidR="00084CC2" w:rsidRPr="00704862" w14:paraId="36E0086D" w14:textId="77777777" w:rsidTr="3B06A011">
        <w:trPr>
          <w:trHeight w:val="300"/>
        </w:trPr>
        <w:tc>
          <w:tcPr>
            <w:tcW w:w="1260" w:type="dxa"/>
          </w:tcPr>
          <w:p w14:paraId="1793771B" w14:textId="2774E50E" w:rsidR="00084CC2" w:rsidRPr="00704862" w:rsidRDefault="00084CC2">
            <w:pPr>
              <w:autoSpaceDE w:val="0"/>
              <w:autoSpaceDN w:val="0"/>
              <w:adjustRightInd w:val="0"/>
              <w:rPr>
                <w:rFonts w:ascii="Times New Roman" w:hAnsi="Times New Roman"/>
                <w:bCs/>
                <w:sz w:val="24"/>
              </w:rPr>
            </w:pPr>
            <w:r w:rsidRPr="00704862">
              <w:rPr>
                <w:rFonts w:ascii="Times New Roman" w:hAnsi="Times New Roman"/>
                <w:sz w:val="24"/>
                <w:lang w:eastAsia="nl-BE"/>
              </w:rPr>
              <w:t>0010,</w:t>
            </w:r>
          </w:p>
          <w:p w14:paraId="0F4D1423" w14:textId="4A841DEE" w:rsidR="00084CC2" w:rsidRPr="00704862" w:rsidRDefault="00084CC2">
            <w:pPr>
              <w:autoSpaceDE w:val="0"/>
              <w:autoSpaceDN w:val="0"/>
              <w:adjustRightInd w:val="0"/>
              <w:rPr>
                <w:rFonts w:ascii="Times New Roman" w:hAnsi="Times New Roman"/>
                <w:bCs/>
                <w:sz w:val="24"/>
              </w:rPr>
            </w:pPr>
            <w:r w:rsidRPr="00704862">
              <w:rPr>
                <w:rFonts w:ascii="Times New Roman" w:hAnsi="Times New Roman"/>
                <w:sz w:val="24"/>
                <w:lang w:eastAsia="nl-BE"/>
              </w:rPr>
              <w:t>0030,</w:t>
            </w:r>
          </w:p>
          <w:p w14:paraId="1B0A4794" w14:textId="77777777" w:rsidR="00084CC2" w:rsidRPr="00704862" w:rsidRDefault="00084CC2">
            <w:pPr>
              <w:autoSpaceDE w:val="0"/>
              <w:autoSpaceDN w:val="0"/>
              <w:adjustRightInd w:val="0"/>
              <w:rPr>
                <w:rFonts w:ascii="Times New Roman" w:hAnsi="Times New Roman"/>
                <w:bCs/>
                <w:sz w:val="24"/>
              </w:rPr>
            </w:pPr>
            <w:r w:rsidRPr="00704862">
              <w:rPr>
                <w:rFonts w:ascii="Times New Roman" w:hAnsi="Times New Roman"/>
                <w:sz w:val="24"/>
                <w:lang w:eastAsia="nl-BE"/>
              </w:rPr>
              <w:t>0050</w:t>
            </w:r>
          </w:p>
        </w:tc>
        <w:tc>
          <w:tcPr>
            <w:tcW w:w="7756" w:type="dxa"/>
          </w:tcPr>
          <w:p w14:paraId="7468A977" w14:textId="497D171E" w:rsidR="00084CC2" w:rsidRPr="00704862" w:rsidRDefault="00084CC2" w:rsidP="00C86126">
            <w:pPr>
              <w:keepNext/>
              <w:autoSpaceDE w:val="0"/>
              <w:autoSpaceDN w:val="0"/>
              <w:adjustRightInd w:val="0"/>
              <w:jc w:val="left"/>
              <w:rPr>
                <w:rFonts w:ascii="Times New Roman" w:hAnsi="Times New Roman"/>
                <w:sz w:val="24"/>
              </w:rPr>
            </w:pPr>
            <w:r w:rsidRPr="00704862">
              <w:rPr>
                <w:rFonts w:ascii="Times New Roman" w:hAnsi="Times New Roman"/>
                <w:b/>
                <w:sz w:val="24"/>
                <w:u w:val="single"/>
              </w:rPr>
              <w:t>Účtovná hodnota</w:t>
            </w:r>
          </w:p>
          <w:p w14:paraId="6E3A3CFA" w14:textId="77777777" w:rsidR="00084CC2" w:rsidRPr="00704862" w:rsidRDefault="00084CC2" w:rsidP="3B06A011">
            <w:pPr>
              <w:autoSpaceDE w:val="0"/>
              <w:autoSpaceDN w:val="0"/>
              <w:adjustRightInd w:val="0"/>
              <w:rPr>
                <w:rFonts w:ascii="Times New Roman" w:hAnsi="Times New Roman"/>
                <w:sz w:val="24"/>
              </w:rPr>
            </w:pPr>
            <w:r w:rsidRPr="00704862">
              <w:rPr>
                <w:rFonts w:ascii="Times New Roman" w:hAnsi="Times New Roman"/>
                <w:sz w:val="24"/>
              </w:rPr>
              <w:t>Hodnota podľa účtovného štandardu pre zoznam položiek, ktoré sú súčasťou čiastkových zložiek a zložiek (ILDC, SC a FC), ktoré tvoria súčasť výpočtu BI za každý z posledných troch finančných rokov.</w:t>
            </w:r>
          </w:p>
          <w:p w14:paraId="4B4241AC" w14:textId="77777777" w:rsidR="00084CC2" w:rsidRPr="00704862" w:rsidRDefault="00084CC2" w:rsidP="3B06A011">
            <w:pPr>
              <w:rPr>
                <w:rFonts w:ascii="Times New Roman" w:hAnsi="Times New Roman"/>
                <w:sz w:val="24"/>
              </w:rPr>
            </w:pPr>
            <w:r w:rsidRPr="00704862">
              <w:rPr>
                <w:rFonts w:ascii="Times New Roman" w:hAnsi="Times New Roman"/>
                <w:sz w:val="24"/>
              </w:rPr>
              <w:t>Inštitúcie pravidelne prehodnocujú účtovné hodnoty vykazované v stĺpcoch 0010 a 0030 a v prípade potreby ich upravujú tak, aby odrážali vplyv zlúčení/ splynutí, nadobudnutí a odpredajov v súlade s článkom 315 ods. 1 a 2 nariadenia (EÚ) č. 575/2013.</w:t>
            </w:r>
          </w:p>
          <w:p w14:paraId="47DE5141" w14:textId="77777777" w:rsidR="00084CC2" w:rsidRPr="00704862" w:rsidRDefault="00084CC2">
            <w:pPr>
              <w:rPr>
                <w:rFonts w:ascii="Times New Roman" w:hAnsi="Times New Roman"/>
                <w:bCs/>
                <w:sz w:val="24"/>
              </w:rPr>
            </w:pPr>
            <w:r w:rsidRPr="00704862">
              <w:rPr>
                <w:rFonts w:ascii="Times New Roman" w:hAnsi="Times New Roman"/>
                <w:sz w:val="24"/>
              </w:rPr>
              <w:t xml:space="preserve">V prípade položiek, ktoré sú súčasťou čiastkových zložiek výpočtu FC, by sa mala vykazovať hodnota podľa účtovného prístupu na identifikáciu položiek obchodnej a bankovej knihy, aj keď inštitúcia vypočítava FC podľa </w:t>
            </w:r>
            <w:proofErr w:type="spellStart"/>
            <w:r w:rsidRPr="00704862">
              <w:rPr>
                <w:rFonts w:ascii="Times New Roman" w:hAnsi="Times New Roman"/>
                <w:sz w:val="24"/>
              </w:rPr>
              <w:t>prudenciálneho</w:t>
            </w:r>
            <w:proofErr w:type="spellEnd"/>
            <w:r w:rsidRPr="00704862">
              <w:rPr>
                <w:rFonts w:ascii="Times New Roman" w:hAnsi="Times New Roman"/>
                <w:sz w:val="24"/>
              </w:rPr>
              <w:t xml:space="preserve"> prístupu na identifikáciu týchto položiek [prístup s </w:t>
            </w:r>
            <w:proofErr w:type="spellStart"/>
            <w:r w:rsidRPr="00704862">
              <w:rPr>
                <w:rFonts w:ascii="Times New Roman" w:hAnsi="Times New Roman"/>
                <w:sz w:val="24"/>
              </w:rPr>
              <w:t>prudenciálnou</w:t>
            </w:r>
            <w:proofErr w:type="spellEnd"/>
            <w:r w:rsidRPr="00704862">
              <w:rPr>
                <w:rFonts w:ascii="Times New Roman" w:hAnsi="Times New Roman"/>
                <w:sz w:val="24"/>
              </w:rPr>
              <w:t xml:space="preserve"> hranicou (PBA)]. </w:t>
            </w:r>
          </w:p>
        </w:tc>
      </w:tr>
      <w:tr w:rsidR="00084CC2" w:rsidRPr="00704862" w14:paraId="46E17FC3" w14:textId="77777777" w:rsidTr="3B06A011">
        <w:trPr>
          <w:trHeight w:val="300"/>
        </w:trPr>
        <w:tc>
          <w:tcPr>
            <w:tcW w:w="1260" w:type="dxa"/>
          </w:tcPr>
          <w:p w14:paraId="4BB000F5" w14:textId="77777777" w:rsidR="00084CC2" w:rsidRPr="00704862" w:rsidRDefault="00084CC2">
            <w:pPr>
              <w:autoSpaceDE w:val="0"/>
              <w:autoSpaceDN w:val="0"/>
              <w:adjustRightInd w:val="0"/>
              <w:rPr>
                <w:rFonts w:ascii="Times New Roman" w:hAnsi="Times New Roman"/>
                <w:bCs/>
                <w:sz w:val="24"/>
              </w:rPr>
            </w:pPr>
            <w:r w:rsidRPr="00704862">
              <w:rPr>
                <w:rFonts w:ascii="Times New Roman" w:hAnsi="Times New Roman"/>
                <w:sz w:val="24"/>
                <w:lang w:eastAsia="nl-BE"/>
              </w:rPr>
              <w:t>0020, 0040, 0060</w:t>
            </w:r>
          </w:p>
        </w:tc>
        <w:tc>
          <w:tcPr>
            <w:tcW w:w="7756" w:type="dxa"/>
          </w:tcPr>
          <w:p w14:paraId="3A219C28" w14:textId="77777777" w:rsidR="00084CC2" w:rsidRPr="00704862" w:rsidRDefault="00084CC2" w:rsidP="00C86126">
            <w:pPr>
              <w:keepNext/>
              <w:autoSpaceDE w:val="0"/>
              <w:autoSpaceDN w:val="0"/>
              <w:adjustRightInd w:val="0"/>
              <w:rPr>
                <w:rFonts w:ascii="Times New Roman" w:hAnsi="Times New Roman"/>
                <w:sz w:val="24"/>
              </w:rPr>
            </w:pPr>
            <w:r w:rsidRPr="00704862">
              <w:rPr>
                <w:rFonts w:ascii="Times New Roman" w:hAnsi="Times New Roman"/>
                <w:b/>
                <w:sz w:val="24"/>
                <w:u w:val="single"/>
              </w:rPr>
              <w:t xml:space="preserve">Hodnota – prístup s </w:t>
            </w:r>
            <w:proofErr w:type="spellStart"/>
            <w:r w:rsidRPr="00704862">
              <w:rPr>
                <w:rFonts w:ascii="Times New Roman" w:hAnsi="Times New Roman"/>
                <w:b/>
                <w:sz w:val="24"/>
                <w:u w:val="single"/>
              </w:rPr>
              <w:t>prudenciálnou</w:t>
            </w:r>
            <w:proofErr w:type="spellEnd"/>
            <w:r w:rsidRPr="00704862">
              <w:rPr>
                <w:rFonts w:ascii="Times New Roman" w:hAnsi="Times New Roman"/>
                <w:b/>
                <w:sz w:val="24"/>
                <w:u w:val="single"/>
              </w:rPr>
              <w:t xml:space="preserve"> hranicou</w:t>
            </w:r>
          </w:p>
          <w:p w14:paraId="36708C9D" w14:textId="5EECA3B4" w:rsidR="00084CC2" w:rsidRPr="00704862" w:rsidRDefault="00084CC2" w:rsidP="3B06A011">
            <w:pPr>
              <w:autoSpaceDE w:val="0"/>
              <w:autoSpaceDN w:val="0"/>
              <w:adjustRightInd w:val="0"/>
              <w:rPr>
                <w:rFonts w:ascii="Times New Roman" w:hAnsi="Times New Roman"/>
                <w:sz w:val="24"/>
              </w:rPr>
            </w:pPr>
            <w:r w:rsidRPr="00704862">
              <w:rPr>
                <w:rFonts w:ascii="Times New Roman" w:hAnsi="Times New Roman"/>
                <w:sz w:val="24"/>
              </w:rPr>
              <w:t xml:space="preserve">Hodnota podľa účtovného štandardu pre zoznam položiek, ktoré vstupujú do výpočtu čiastkových zložiek FC vypočítaných na základe </w:t>
            </w:r>
            <w:proofErr w:type="spellStart"/>
            <w:r w:rsidRPr="00704862">
              <w:rPr>
                <w:rFonts w:ascii="Times New Roman" w:hAnsi="Times New Roman"/>
                <w:sz w:val="24"/>
              </w:rPr>
              <w:t>prudenciálneho</w:t>
            </w:r>
            <w:proofErr w:type="spellEnd"/>
            <w:r w:rsidRPr="00704862">
              <w:rPr>
                <w:rFonts w:ascii="Times New Roman" w:hAnsi="Times New Roman"/>
                <w:sz w:val="24"/>
              </w:rPr>
              <w:t xml:space="preserve"> prístupu (PBA) na identifikáciu položiek obchodnej knihy a bankovej knihy za každý z posledných troch finančných rokov.</w:t>
            </w:r>
          </w:p>
          <w:p w14:paraId="16CF33F6" w14:textId="37510702" w:rsidR="00084CC2" w:rsidRPr="00704862" w:rsidRDefault="00084CC2">
            <w:pPr>
              <w:autoSpaceDE w:val="0"/>
              <w:autoSpaceDN w:val="0"/>
              <w:adjustRightInd w:val="0"/>
              <w:rPr>
                <w:rFonts w:ascii="Times New Roman" w:hAnsi="Times New Roman"/>
                <w:sz w:val="24"/>
              </w:rPr>
            </w:pPr>
            <w:r w:rsidRPr="00704862">
              <w:rPr>
                <w:rFonts w:ascii="Times New Roman" w:hAnsi="Times New Roman"/>
                <w:sz w:val="24"/>
              </w:rPr>
              <w:t>Ak inštitúcia nepoužíva PBA (alebo sa rozhodla vrátiť k účtovnému prístupu), nemali by sa vykazovať žiadne hodnoty.</w:t>
            </w:r>
          </w:p>
          <w:p w14:paraId="26091E70" w14:textId="77777777" w:rsidR="00084CC2" w:rsidRPr="00704862" w:rsidRDefault="00084CC2" w:rsidP="3B06A011">
            <w:pPr>
              <w:autoSpaceDE w:val="0"/>
              <w:autoSpaceDN w:val="0"/>
              <w:adjustRightInd w:val="0"/>
              <w:rPr>
                <w:rFonts w:ascii="Times New Roman" w:hAnsi="Times New Roman"/>
                <w:sz w:val="24"/>
              </w:rPr>
            </w:pPr>
            <w:r w:rsidRPr="00704862">
              <w:rPr>
                <w:rFonts w:ascii="Times New Roman" w:hAnsi="Times New Roman"/>
                <w:sz w:val="24"/>
              </w:rPr>
              <w:t>Inštitúcie pravidelne prehodnocujú hodnoty vykazované v stĺpcoch 0020 a 0040 a v prípade potreby ich upravujú tak, aby odrážali vplyv zlúčení/ splynutí, nadobudnutí a odpredajov v súlade s článkom 315 ods. 1 a 2 nariadenia (EÚ) č. 575/2013.</w:t>
            </w:r>
          </w:p>
        </w:tc>
      </w:tr>
      <w:tr w:rsidR="00084CC2" w:rsidRPr="00704862" w14:paraId="186E3B5C" w14:textId="77777777" w:rsidTr="3B06A011">
        <w:trPr>
          <w:trHeight w:val="300"/>
        </w:trPr>
        <w:tc>
          <w:tcPr>
            <w:tcW w:w="1260" w:type="dxa"/>
          </w:tcPr>
          <w:p w14:paraId="53EF23D8" w14:textId="77777777" w:rsidR="00084CC2" w:rsidRPr="00704862" w:rsidRDefault="00084CC2">
            <w:pPr>
              <w:autoSpaceDE w:val="0"/>
              <w:autoSpaceDN w:val="0"/>
              <w:adjustRightInd w:val="0"/>
              <w:rPr>
                <w:rFonts w:ascii="Times New Roman" w:hAnsi="Times New Roman"/>
                <w:bCs/>
                <w:sz w:val="24"/>
              </w:rPr>
            </w:pPr>
            <w:r w:rsidRPr="00704862">
              <w:rPr>
                <w:rFonts w:ascii="Times New Roman" w:hAnsi="Times New Roman"/>
                <w:sz w:val="24"/>
                <w:lang w:eastAsia="nl-BE"/>
              </w:rPr>
              <w:t>0070</w:t>
            </w:r>
          </w:p>
        </w:tc>
        <w:tc>
          <w:tcPr>
            <w:tcW w:w="7756" w:type="dxa"/>
          </w:tcPr>
          <w:p w14:paraId="183F04AA" w14:textId="77777777" w:rsidR="00084CC2" w:rsidRPr="00704862" w:rsidRDefault="00084CC2" w:rsidP="00C86126">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Priemerné hodnoty</w:t>
            </w:r>
          </w:p>
          <w:p w14:paraId="44A2B683" w14:textId="3A86B0AB" w:rsidR="00084CC2" w:rsidRPr="00704862" w:rsidRDefault="00084CC2" w:rsidP="3B06A011">
            <w:pPr>
              <w:autoSpaceDE w:val="0"/>
              <w:autoSpaceDN w:val="0"/>
              <w:adjustRightInd w:val="0"/>
              <w:jc w:val="left"/>
              <w:rPr>
                <w:rFonts w:ascii="Times New Roman" w:hAnsi="Times New Roman"/>
                <w:sz w:val="24"/>
              </w:rPr>
            </w:pPr>
            <w:r w:rsidRPr="00704862">
              <w:rPr>
                <w:rFonts w:ascii="Times New Roman" w:hAnsi="Times New Roman"/>
                <w:sz w:val="24"/>
              </w:rPr>
              <w:t>Priemerné hodnoty za posledné 3 finančné roky čiastkových zložiek použitých pri výpočte ILDC, SC a FC.</w:t>
            </w:r>
          </w:p>
          <w:p w14:paraId="3140A7BE" w14:textId="77777777" w:rsidR="00084CC2" w:rsidRPr="00704862" w:rsidRDefault="00084CC2" w:rsidP="3B06A011">
            <w:pPr>
              <w:autoSpaceDE w:val="0"/>
              <w:autoSpaceDN w:val="0"/>
              <w:adjustRightInd w:val="0"/>
              <w:jc w:val="left"/>
              <w:rPr>
                <w:rFonts w:ascii="Times New Roman" w:hAnsi="Times New Roman"/>
                <w:sz w:val="24"/>
              </w:rPr>
            </w:pPr>
            <w:r w:rsidRPr="00704862">
              <w:rPr>
                <w:rFonts w:ascii="Times New Roman" w:hAnsi="Times New Roman"/>
                <w:sz w:val="24"/>
              </w:rPr>
              <w:t>Ak inštitúcia pri výpočte FC používa PBA, priemer bude odrážať účtovné hodnoty s použitím PBA za posledné tri finančné roky v súlade s článkom 314 ods. 6 nariadenia (EÚ) č. 575/2013 namiesto hodnôt na základe účtovného prístupu.</w:t>
            </w:r>
          </w:p>
          <w:p w14:paraId="186FE9EF" w14:textId="77777777" w:rsidR="00084CC2" w:rsidRPr="00704862" w:rsidRDefault="00084CC2" w:rsidP="3B06A011">
            <w:pPr>
              <w:autoSpaceDE w:val="0"/>
              <w:autoSpaceDN w:val="0"/>
              <w:adjustRightInd w:val="0"/>
              <w:jc w:val="left"/>
              <w:rPr>
                <w:rFonts w:ascii="Times New Roman" w:hAnsi="Times New Roman"/>
                <w:sz w:val="24"/>
              </w:rPr>
            </w:pPr>
            <w:r w:rsidRPr="00704862">
              <w:rPr>
                <w:rFonts w:ascii="Times New Roman" w:hAnsi="Times New Roman"/>
                <w:sz w:val="24"/>
              </w:rPr>
              <w:t xml:space="preserve">V prípade, že sa to môže uplatniť, priemer sa vypočíta zohľadnením absolútnych hodnôt za rok podľa pokynov vymedzených na úrovni riadkov.  </w:t>
            </w:r>
          </w:p>
        </w:tc>
      </w:tr>
    </w:tbl>
    <w:p w14:paraId="1F54B3B2" w14:textId="77777777" w:rsidR="00956D86" w:rsidRPr="00704862" w:rsidRDefault="00956D86" w:rsidP="00956D86">
      <w:pPr>
        <w:spacing w:before="0" w:after="240"/>
        <w:rPr>
          <w:rFonts w:ascii="Times New Roman" w:hAnsi="Times New Roman"/>
          <w:sz w:val="24"/>
          <w:u w:val="single"/>
          <w:lang w:eastAsia="de-DE"/>
        </w:rPr>
      </w:pPr>
    </w:p>
    <w:p w14:paraId="18AFA035" w14:textId="79F3F6EC" w:rsidR="0054223D" w:rsidRPr="00704862" w:rsidRDefault="00956D86" w:rsidP="00C86126">
      <w:pPr>
        <w:keepNext/>
        <w:spacing w:before="0" w:after="240"/>
        <w:rPr>
          <w:rFonts w:ascii="Times New Roman" w:hAnsi="Times New Roman"/>
          <w:sz w:val="24"/>
          <w:u w:val="single"/>
        </w:rPr>
      </w:pPr>
      <w:r w:rsidRPr="00704862">
        <w:rPr>
          <w:rFonts w:ascii="Times New Roman" w:hAnsi="Times New Roman"/>
          <w:sz w:val="24"/>
          <w:u w:val="single"/>
        </w:rPr>
        <w:t>Pokyny týkajúce sa konkrétnych pozícií:</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704862"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704862" w:rsidRDefault="00706701">
            <w:pPr>
              <w:jc w:val="center"/>
              <w:rPr>
                <w:rFonts w:ascii="Times New Roman" w:hAnsi="Times New Roman"/>
                <w:b/>
                <w:sz w:val="24"/>
              </w:rPr>
            </w:pPr>
            <w:r w:rsidRPr="00704862">
              <w:rPr>
                <w:rFonts w:ascii="Times New Roman" w:hAnsi="Times New Roman"/>
                <w:b/>
                <w:sz w:val="24"/>
              </w:rPr>
              <w:t>Riadky</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704862" w:rsidRDefault="00706701">
            <w:pPr>
              <w:jc w:val="left"/>
              <w:rPr>
                <w:rFonts w:ascii="Times New Roman" w:hAnsi="Times New Roman"/>
                <w:b/>
                <w:sz w:val="24"/>
              </w:rPr>
            </w:pPr>
            <w:r w:rsidRPr="00704862">
              <w:rPr>
                <w:rFonts w:ascii="Times New Roman" w:hAnsi="Times New Roman"/>
                <w:b/>
                <w:sz w:val="24"/>
              </w:rPr>
              <w:t>Odkazy na právne predpisy a pokyny</w:t>
            </w:r>
          </w:p>
        </w:tc>
      </w:tr>
      <w:tr w:rsidR="00706701" w:rsidRPr="00704862"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704862" w:rsidRDefault="00706701">
            <w:pPr>
              <w:jc w:val="center"/>
              <w:rPr>
                <w:rFonts w:ascii="Times New Roman" w:hAnsi="Times New Roman"/>
                <w:b/>
                <w:bCs/>
                <w:sz w:val="24"/>
              </w:rPr>
            </w:pPr>
            <w:bookmarkStart w:id="59" w:name="_Hlk141696448"/>
            <w:r w:rsidRPr="00704862">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704862" w:rsidRDefault="00706701" w:rsidP="005D3C49">
            <w:pPr>
              <w:pStyle w:val="ListParagraph"/>
              <w:numPr>
                <w:ilvl w:val="0"/>
                <w:numId w:val="42"/>
              </w:numPr>
              <w:ind w:hanging="720"/>
              <w:jc w:val="left"/>
              <w:rPr>
                <w:rFonts w:ascii="Times New Roman" w:hAnsi="Times New Roman"/>
                <w:b/>
                <w:bCs/>
                <w:sz w:val="24"/>
              </w:rPr>
            </w:pPr>
            <w:r w:rsidRPr="00704862">
              <w:rPr>
                <w:rFonts w:ascii="Times New Roman" w:hAnsi="Times New Roman"/>
                <w:b/>
                <w:sz w:val="24"/>
              </w:rPr>
              <w:t xml:space="preserve">Zložka úrokov, lízingov a dividend (ILDC) </w:t>
            </w:r>
          </w:p>
        </w:tc>
      </w:tr>
      <w:bookmarkEnd w:id="59"/>
      <w:tr w:rsidR="00706701" w:rsidRPr="00704862"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704862" w:rsidRDefault="00706701" w:rsidP="00C86126">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Zložka úrokov</w:t>
            </w:r>
          </w:p>
          <w:p w14:paraId="46B8D5AA" w14:textId="77777777" w:rsidR="00706701" w:rsidRPr="00704862" w:rsidRDefault="00706701">
            <w:pPr>
              <w:jc w:val="left"/>
              <w:rPr>
                <w:rFonts w:ascii="Times New Roman" w:hAnsi="Times New Roman"/>
                <w:color w:val="000000" w:themeColor="text1"/>
                <w:sz w:val="24"/>
              </w:rPr>
            </w:pPr>
            <w:r w:rsidRPr="00704862">
              <w:rPr>
                <w:rFonts w:ascii="Times New Roman" w:hAnsi="Times New Roman"/>
                <w:sz w:val="24"/>
              </w:rPr>
              <w:t>Zložka úrokov (IC) sa vypočíta v súlade s článkom 314 ods. 2 nariadenia (EÚ) č. 575/2013.</w:t>
            </w:r>
          </w:p>
        </w:tc>
      </w:tr>
      <w:tr w:rsidR="00706701" w:rsidRPr="00704862"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704862" w:rsidRDefault="00706701" w:rsidP="00C86126">
            <w:pPr>
              <w:keepNext/>
              <w:jc w:val="left"/>
              <w:rPr>
                <w:rFonts w:ascii="Times New Roman" w:hAnsi="Times New Roman"/>
                <w:sz w:val="24"/>
              </w:rPr>
            </w:pPr>
            <w:r w:rsidRPr="00704862">
              <w:rPr>
                <w:rFonts w:ascii="Times New Roman" w:hAnsi="Times New Roman"/>
                <w:b/>
                <w:sz w:val="24"/>
                <w:u w:val="single"/>
              </w:rPr>
              <w:t>Čistý príjem</w:t>
            </w:r>
          </w:p>
          <w:p w14:paraId="3377C483" w14:textId="37CAF683" w:rsidR="00706701" w:rsidRPr="00704862" w:rsidRDefault="00706701" w:rsidP="00C86126">
            <w:pPr>
              <w:jc w:val="left"/>
              <w:rPr>
                <w:rFonts w:ascii="Times New Roman" w:hAnsi="Times New Roman"/>
                <w:sz w:val="24"/>
              </w:rPr>
            </w:pPr>
            <w:r w:rsidRPr="00704862">
              <w:rPr>
                <w:rFonts w:ascii="Times New Roman" w:hAnsi="Times New Roman"/>
                <w:sz w:val="24"/>
              </w:rPr>
              <w:t>Čistý príjem je rozdiel úrokovými výnosmi (a to aj z majetku, ktorý je predmetom lízingu) a úrokovými nákladmi (a to aj z majetku, ktorý je predmetom lízingu).</w:t>
            </w:r>
          </w:p>
        </w:tc>
      </w:tr>
      <w:tr w:rsidR="00706701" w:rsidRPr="00704862"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704862" w:rsidRDefault="00706701" w:rsidP="00C86126">
            <w:pPr>
              <w:keepNext/>
              <w:autoSpaceDE w:val="0"/>
              <w:autoSpaceDN w:val="0"/>
              <w:adjustRightInd w:val="0"/>
              <w:jc w:val="left"/>
              <w:rPr>
                <w:rFonts w:ascii="Times New Roman" w:hAnsi="Times New Roman"/>
                <w:sz w:val="24"/>
              </w:rPr>
            </w:pPr>
            <w:r w:rsidRPr="00704862">
              <w:rPr>
                <w:rFonts w:ascii="Times New Roman" w:hAnsi="Times New Roman"/>
                <w:b/>
                <w:sz w:val="24"/>
                <w:u w:val="single"/>
              </w:rPr>
              <w:t>Úrokové výnosy [a to aj z majetku, ktorý je predmetom lízingu (finančného a operatívneho)]</w:t>
            </w:r>
          </w:p>
          <w:p w14:paraId="368622FE" w14:textId="005FC713" w:rsidR="00706701" w:rsidRPr="00704862" w:rsidRDefault="00706701" w:rsidP="00C86126">
            <w:pPr>
              <w:jc w:val="left"/>
              <w:rPr>
                <w:rFonts w:ascii="Times New Roman" w:hAnsi="Times New Roman"/>
                <w:sz w:val="24"/>
              </w:rPr>
            </w:pPr>
            <w:r w:rsidRPr="00704862">
              <w:rPr>
                <w:rFonts w:ascii="Times New Roman" w:hAnsi="Times New Roman"/>
                <w:sz w:val="24"/>
              </w:rPr>
              <w:t>Súčet úrokových výnosov, výnosov z majetku, ktorý je predmetom lízingu, iných ako úrokové výnosy a zisky z majetku, ktorý je predmetom lízingu.</w:t>
            </w:r>
          </w:p>
        </w:tc>
      </w:tr>
      <w:tr w:rsidR="00706701" w:rsidRPr="00704862"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704862" w:rsidRDefault="00706701" w:rsidP="00C86126">
            <w:pPr>
              <w:keepNext/>
              <w:autoSpaceDE w:val="0"/>
              <w:autoSpaceDN w:val="0"/>
              <w:adjustRightInd w:val="0"/>
              <w:rPr>
                <w:rFonts w:ascii="Times New Roman" w:hAnsi="Times New Roman"/>
                <w:b/>
                <w:bCs/>
                <w:sz w:val="24"/>
                <w:u w:val="single"/>
              </w:rPr>
            </w:pPr>
            <w:r w:rsidRPr="00704862">
              <w:rPr>
                <w:rFonts w:ascii="Times New Roman" w:hAnsi="Times New Roman"/>
                <w:b/>
                <w:sz w:val="24"/>
                <w:u w:val="single"/>
              </w:rPr>
              <w:t>Úrokový výnos</w:t>
            </w:r>
          </w:p>
          <w:p w14:paraId="7868AC51" w14:textId="7564E251" w:rsidR="00706701" w:rsidRPr="00704862" w:rsidRDefault="00706701" w:rsidP="00C86126">
            <w:pPr>
              <w:autoSpaceDE w:val="0"/>
              <w:autoSpaceDN w:val="0"/>
              <w:adjustRightInd w:val="0"/>
              <w:rPr>
                <w:rFonts w:ascii="Times New Roman" w:hAnsi="Times New Roman"/>
                <w:sz w:val="24"/>
              </w:rPr>
            </w:pPr>
            <w:r w:rsidRPr="00704862">
              <w:rPr>
                <w:rFonts w:ascii="Times New Roman" w:hAnsi="Times New Roman"/>
                <w:sz w:val="24"/>
              </w:rPr>
              <w:t>Inštitúcie vykazujú úrokové výnosy v súlade s časťou 2 bodom 31 prílohy V k IT riešeniam EBA a podľa ďalších špecifikácií z časti 2 bodov 187, 189 a 194ii prílohy V k IT riešeniam EBA.</w:t>
            </w:r>
          </w:p>
        </w:tc>
      </w:tr>
      <w:tr w:rsidR="00706701" w:rsidRPr="00704862"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704862" w:rsidRDefault="00706701" w:rsidP="00C86126">
            <w:pPr>
              <w:keepNext/>
              <w:autoSpaceDE w:val="0"/>
              <w:autoSpaceDN w:val="0"/>
              <w:adjustRightInd w:val="0"/>
              <w:rPr>
                <w:rFonts w:ascii="Times New Roman" w:hAnsi="Times New Roman"/>
                <w:b/>
                <w:sz w:val="24"/>
                <w:u w:val="single"/>
              </w:rPr>
            </w:pPr>
            <w:r w:rsidRPr="00704862">
              <w:rPr>
                <w:rFonts w:ascii="Times New Roman" w:hAnsi="Times New Roman"/>
                <w:b/>
                <w:sz w:val="24"/>
                <w:u w:val="single"/>
              </w:rPr>
              <w:t>Výnosy z majetku, ktorý je predmetom lízingu (finančného a operačného) iné ako úrokové výnosy</w:t>
            </w:r>
          </w:p>
          <w:p w14:paraId="3C1E42C0" w14:textId="348C6239" w:rsidR="00706701" w:rsidRPr="00704862" w:rsidRDefault="00706701" w:rsidP="00C86126">
            <w:pPr>
              <w:keepNext/>
              <w:autoSpaceDE w:val="0"/>
              <w:autoSpaceDN w:val="0"/>
              <w:adjustRightInd w:val="0"/>
              <w:rPr>
                <w:rFonts w:ascii="Times New Roman" w:hAnsi="Times New Roman"/>
                <w:color w:val="000000" w:themeColor="text1"/>
                <w:sz w:val="24"/>
              </w:rPr>
            </w:pPr>
            <w:r w:rsidRPr="00704862">
              <w:rPr>
                <w:rFonts w:ascii="Times New Roman" w:hAnsi="Times New Roman"/>
                <w:color w:val="000000" w:themeColor="text1"/>
                <w:sz w:val="24"/>
              </w:rPr>
              <w:t>Inštitúcie vykazujú výnosy v súlade s prílohou V časťou 2 odsekmi 314 a 315 IT riešení EBA týkajúcich sa lízingu, ktoré predstavujú:</w:t>
            </w:r>
          </w:p>
          <w:p w14:paraId="6FF3A068" w14:textId="08A1030C" w:rsidR="00706701" w:rsidRPr="00704862" w:rsidRDefault="00706701" w:rsidP="3B06A011">
            <w:pPr>
              <w:numPr>
                <w:ilvl w:val="0"/>
                <w:numId w:val="33"/>
              </w:numPr>
              <w:autoSpaceDE w:val="0"/>
              <w:autoSpaceDN w:val="0"/>
              <w:adjustRightInd w:val="0"/>
              <w:rPr>
                <w:rFonts w:ascii="Times New Roman" w:hAnsi="Times New Roman"/>
                <w:color w:val="000000" w:themeColor="text1"/>
                <w:sz w:val="24"/>
              </w:rPr>
            </w:pPr>
            <w:r w:rsidRPr="00704862">
              <w:rPr>
                <w:rFonts w:ascii="Times New Roman" w:hAnsi="Times New Roman"/>
                <w:color w:val="000000" w:themeColor="text1"/>
                <w:sz w:val="24"/>
              </w:rPr>
              <w:t>výnosy zo zmien reálnej hodnoty investícií do nehnuteľností, ktoré generujú nájomné a oceňujú sa pomocou modelu reálnej hodnoty;</w:t>
            </w:r>
          </w:p>
          <w:p w14:paraId="2D8595F3" w14:textId="4A13D1E6" w:rsidR="00706701" w:rsidRPr="00704862" w:rsidRDefault="00706701" w:rsidP="00C86126">
            <w:pPr>
              <w:numPr>
                <w:ilvl w:val="0"/>
                <w:numId w:val="33"/>
              </w:numPr>
              <w:autoSpaceDE w:val="0"/>
              <w:autoSpaceDN w:val="0"/>
              <w:adjustRightInd w:val="0"/>
              <w:rPr>
                <w:rFonts w:ascii="Times New Roman" w:hAnsi="Times New Roman"/>
                <w:color w:val="000000" w:themeColor="text1"/>
                <w:sz w:val="24"/>
              </w:rPr>
            </w:pPr>
            <w:r w:rsidRPr="00704862">
              <w:rPr>
                <w:rFonts w:ascii="Times New Roman" w:hAnsi="Times New Roman"/>
                <w:color w:val="000000" w:themeColor="text1"/>
                <w:sz w:val="24"/>
              </w:rPr>
              <w:t>príjmy z operatívneho lízingu vrátane príjmov z prenájmu investičného nehnuteľného majetku.</w:t>
            </w:r>
          </w:p>
        </w:tc>
      </w:tr>
      <w:tr w:rsidR="00706701" w:rsidRPr="00704862"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704862" w:rsidRDefault="00706701" w:rsidP="00C86126">
            <w:pPr>
              <w:keepNext/>
              <w:rPr>
                <w:rFonts w:ascii="Times New Roman" w:hAnsi="Times New Roman"/>
                <w:b/>
                <w:sz w:val="24"/>
                <w:u w:val="single"/>
              </w:rPr>
            </w:pPr>
            <w:r w:rsidRPr="00704862">
              <w:rPr>
                <w:rFonts w:ascii="Times New Roman" w:hAnsi="Times New Roman"/>
                <w:b/>
                <w:sz w:val="24"/>
                <w:u w:val="single"/>
              </w:rPr>
              <w:t>Zisky z majetku, ktorý je predmetom lízingu (finančného a operatívneho)</w:t>
            </w:r>
          </w:p>
          <w:p w14:paraId="2D6DD1F1" w14:textId="77777777" w:rsidR="00706701" w:rsidRPr="00704862" w:rsidRDefault="00706701" w:rsidP="00C86126">
            <w:pPr>
              <w:keepNext/>
              <w:rPr>
                <w:rFonts w:ascii="Times New Roman" w:hAnsi="Times New Roman"/>
                <w:color w:val="000000" w:themeColor="text1"/>
                <w:sz w:val="24"/>
              </w:rPr>
            </w:pPr>
            <w:r w:rsidRPr="00704862">
              <w:rPr>
                <w:rFonts w:ascii="Times New Roman" w:hAnsi="Times New Roman"/>
                <w:color w:val="000000" w:themeColor="text1"/>
                <w:sz w:val="24"/>
              </w:rPr>
              <w:t>Inštitúcie vykazujú:</w:t>
            </w:r>
          </w:p>
          <w:p w14:paraId="691BE117" w14:textId="2D1116E8" w:rsidR="00706701" w:rsidRPr="00704862" w:rsidRDefault="00706701" w:rsidP="402EDAAF">
            <w:pPr>
              <w:numPr>
                <w:ilvl w:val="0"/>
                <w:numId w:val="33"/>
              </w:numPr>
              <w:autoSpaceDE w:val="0"/>
              <w:autoSpaceDN w:val="0"/>
              <w:adjustRightInd w:val="0"/>
              <w:rPr>
                <w:rFonts w:ascii="Times New Roman" w:hAnsi="Times New Roman"/>
                <w:color w:val="000000" w:themeColor="text1"/>
                <w:sz w:val="24"/>
              </w:rPr>
            </w:pPr>
            <w:r w:rsidRPr="00704862">
              <w:rPr>
                <w:rFonts w:ascii="Times New Roman" w:hAnsi="Times New Roman"/>
                <w:color w:val="000000" w:themeColor="text1"/>
                <w:sz w:val="24"/>
              </w:rPr>
              <w:t>zisky z úprav lízingu v súlade s časťou 2 odsekom 49 prílohy V k IT riešeniam EBA;</w:t>
            </w:r>
          </w:p>
          <w:p w14:paraId="5ADA8033" w14:textId="214DF7F8" w:rsidR="00706701" w:rsidRPr="00704862" w:rsidRDefault="00706701" w:rsidP="00C86126">
            <w:pPr>
              <w:numPr>
                <w:ilvl w:val="0"/>
                <w:numId w:val="33"/>
              </w:numPr>
              <w:autoSpaceDE w:val="0"/>
              <w:autoSpaceDN w:val="0"/>
              <w:adjustRightInd w:val="0"/>
              <w:rPr>
                <w:rFonts w:ascii="Times New Roman" w:hAnsi="Times New Roman"/>
                <w:color w:val="000000" w:themeColor="text1"/>
                <w:sz w:val="24"/>
              </w:rPr>
            </w:pPr>
            <w:r w:rsidRPr="00704862">
              <w:rPr>
                <w:rFonts w:ascii="Times New Roman" w:hAnsi="Times New Roman"/>
                <w:color w:val="000000" w:themeColor="text1"/>
                <w:sz w:val="24"/>
              </w:rPr>
              <w:t>zvyšok ostatných prevádzkových výnosov (Ostatné prevádzkové výnosy. Ostatné) v súlade s časťou 2 bodmi 314 a 316 prílohy V k IT riešeniam EBA, ak súvisia s majetkom, ktorý je predmetom lízingu.</w:t>
            </w:r>
          </w:p>
        </w:tc>
      </w:tr>
      <w:tr w:rsidR="00706701" w:rsidRPr="00704862"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704862" w:rsidRDefault="00706701" w:rsidP="00C86126">
            <w:pPr>
              <w:keepNext/>
              <w:autoSpaceDE w:val="0"/>
              <w:autoSpaceDN w:val="0"/>
              <w:adjustRightInd w:val="0"/>
              <w:rPr>
                <w:rFonts w:ascii="Times New Roman" w:hAnsi="Times New Roman"/>
                <w:b/>
                <w:bCs/>
                <w:sz w:val="24"/>
                <w:u w:val="single"/>
              </w:rPr>
            </w:pPr>
            <w:r w:rsidRPr="00704862">
              <w:rPr>
                <w:rFonts w:ascii="Times New Roman" w:hAnsi="Times New Roman"/>
                <w:b/>
                <w:sz w:val="24"/>
                <w:u w:val="single"/>
              </w:rPr>
              <w:t>Úrokové náklady [a to aj z majetku, ktorý je predmetom lízingu (finančného a operatívneho)]</w:t>
            </w:r>
          </w:p>
          <w:p w14:paraId="6AA3E45C" w14:textId="472EB33E" w:rsidR="00706701" w:rsidRPr="00704862" w:rsidRDefault="00706701" w:rsidP="00C86126">
            <w:pPr>
              <w:rPr>
                <w:rFonts w:ascii="Times New Roman" w:hAnsi="Times New Roman"/>
                <w:sz w:val="24"/>
              </w:rPr>
            </w:pPr>
            <w:r w:rsidRPr="00704862">
              <w:rPr>
                <w:rFonts w:ascii="Times New Roman" w:hAnsi="Times New Roman"/>
                <w:sz w:val="24"/>
              </w:rPr>
              <w:t>Súčet úrokových nákladov, nákladov z majetku, ktorý je predmetom lízingu, iných ako úrokové náklady a straty z majetku, ktorý je predmetom lízingu.</w:t>
            </w:r>
          </w:p>
        </w:tc>
      </w:tr>
      <w:tr w:rsidR="00706701" w:rsidRPr="00704862"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704862" w:rsidRDefault="00706701" w:rsidP="00C86126">
            <w:pPr>
              <w:keepNext/>
              <w:autoSpaceDE w:val="0"/>
              <w:autoSpaceDN w:val="0"/>
              <w:adjustRightInd w:val="0"/>
              <w:rPr>
                <w:rFonts w:ascii="Times New Roman" w:hAnsi="Times New Roman"/>
                <w:b/>
                <w:bCs/>
                <w:sz w:val="24"/>
              </w:rPr>
            </w:pPr>
            <w:r w:rsidRPr="00704862">
              <w:rPr>
                <w:rFonts w:ascii="Times New Roman" w:hAnsi="Times New Roman"/>
                <w:b/>
                <w:sz w:val="24"/>
                <w:u w:val="single"/>
              </w:rPr>
              <w:t>(Úrokové náklady)</w:t>
            </w:r>
          </w:p>
          <w:p w14:paraId="344C922F" w14:textId="3760ED23" w:rsidR="00706701" w:rsidRPr="00704862" w:rsidRDefault="00706701">
            <w:pPr>
              <w:rPr>
                <w:rFonts w:ascii="Times New Roman" w:hAnsi="Times New Roman"/>
                <w:sz w:val="24"/>
              </w:rPr>
            </w:pPr>
            <w:r w:rsidRPr="00704862">
              <w:rPr>
                <w:rFonts w:ascii="Times New Roman" w:hAnsi="Times New Roman"/>
                <w:sz w:val="24"/>
              </w:rPr>
              <w:t>Inštitúcie vykazujú úrokové náklady v súlade s časťou 2 bodom 31 prílohy V k IT riešeniam EBA a podľa ďalších špecifikácií z časti 2 bodov 188, 190 a 194ii prílohy V k IT riešeniam EBA.</w:t>
            </w:r>
          </w:p>
          <w:p w14:paraId="672B06B8" w14:textId="659F3CAB" w:rsidR="00706701" w:rsidRPr="00704862" w:rsidRDefault="00706701" w:rsidP="00C86126">
            <w:pPr>
              <w:rPr>
                <w:rFonts w:ascii="Times New Roman" w:hAnsi="Times New Roman"/>
                <w:sz w:val="24"/>
              </w:rPr>
            </w:pPr>
            <w:r w:rsidRPr="00704862">
              <w:rPr>
                <w:rFonts w:ascii="Times New Roman" w:hAnsi="Times New Roman"/>
                <w:sz w:val="24"/>
              </w:rPr>
              <w:t>Úrokové náklady, ktoré sú spôsobené udalosťami operačného rizika, sa tu nevykazujú. Namiesto toho sa vykazujú v zložke služieb (v rámci položky „Celkové straty, náklady, rezervy a iné finančné vplyvy vyplývajúce z udalostí operačného rizika“) v súlade s článkom 314 ods. 5 nariadenia (EÚ) č. 575/2013.</w:t>
            </w:r>
          </w:p>
        </w:tc>
      </w:tr>
      <w:tr w:rsidR="00706701" w:rsidRPr="00704862"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704862" w:rsidRDefault="00706701" w:rsidP="00C86126">
            <w:pPr>
              <w:keepNext/>
              <w:autoSpaceDE w:val="0"/>
              <w:autoSpaceDN w:val="0"/>
              <w:adjustRightInd w:val="0"/>
              <w:rPr>
                <w:rFonts w:ascii="Times New Roman" w:hAnsi="Times New Roman"/>
                <w:bCs/>
                <w:sz w:val="24"/>
                <w:u w:val="single"/>
              </w:rPr>
            </w:pPr>
            <w:r w:rsidRPr="00704862">
              <w:rPr>
                <w:rFonts w:ascii="Times New Roman" w:hAnsi="Times New Roman"/>
                <w:b/>
                <w:sz w:val="24"/>
                <w:u w:val="single"/>
              </w:rPr>
              <w:t>(Náklady z majetku, ktorý je predmetom operatívneho lízingu, okrem úrokových nákladov)</w:t>
            </w:r>
          </w:p>
          <w:p w14:paraId="10725118" w14:textId="571F764A" w:rsidR="00706701" w:rsidRPr="00704862" w:rsidRDefault="00706701" w:rsidP="00C86126">
            <w:pPr>
              <w:keepNext/>
              <w:autoSpaceDE w:val="0"/>
              <w:autoSpaceDN w:val="0"/>
              <w:adjustRightInd w:val="0"/>
              <w:rPr>
                <w:rFonts w:ascii="Times New Roman" w:hAnsi="Times New Roman"/>
                <w:sz w:val="24"/>
              </w:rPr>
            </w:pPr>
            <w:r w:rsidRPr="00704862">
              <w:rPr>
                <w:rFonts w:ascii="Times New Roman" w:hAnsi="Times New Roman"/>
                <w:sz w:val="24"/>
              </w:rPr>
              <w:t>Súčet nákladov predstavujúcich odpisy, zníženie hodnoty alebo (–) zrušenie zníženia hodnoty majetku, ktorý je predmetom operatívneho lízingu, a ostatné administratívne náklady súvisiace s majetkom, ktorý je premetom lízingu, ako sa uvádza ďalej:</w:t>
            </w:r>
          </w:p>
          <w:p w14:paraId="0C9DC8A2" w14:textId="755E1595" w:rsidR="00706701" w:rsidRPr="00704862" w:rsidRDefault="00706701" w:rsidP="3B06A011">
            <w:pPr>
              <w:pStyle w:val="ListParagraph"/>
              <w:numPr>
                <w:ilvl w:val="0"/>
                <w:numId w:val="30"/>
              </w:numPr>
              <w:spacing w:before="0" w:after="0"/>
              <w:rPr>
                <w:rFonts w:ascii="Times New Roman" w:hAnsi="Times New Roman"/>
                <w:sz w:val="24"/>
              </w:rPr>
            </w:pPr>
            <w:r w:rsidRPr="00704862">
              <w:rPr>
                <w:rFonts w:ascii="Times New Roman" w:hAnsi="Times New Roman"/>
                <w:b/>
                <w:sz w:val="24"/>
                <w:u w:val="single"/>
              </w:rPr>
              <w:t>(Odpisy majetku, ktorý je predmetom operatívneho lízingu):</w:t>
            </w:r>
            <w:r w:rsidRPr="00704862">
              <w:rPr>
                <w:rFonts w:ascii="Times New Roman" w:hAnsi="Times New Roman"/>
                <w:b/>
                <w:sz w:val="24"/>
              </w:rPr>
              <w:t xml:space="preserve"> </w:t>
            </w:r>
            <w:r w:rsidRPr="00704862">
              <w:rPr>
                <w:rFonts w:ascii="Times New Roman" w:hAnsi="Times New Roman"/>
                <w:sz w:val="24"/>
              </w:rPr>
              <w:t>Inštitúcie vykazujú náklady z majetku, ktorý je predmetom lízingu, ktoré predstavujú náklady na odpisy, ako sa vykazujú v súlade s medzinárodnými účtovnými štandardmi (IAS) 1, odsekmi 102 a 104, ale len majetku, ktorý je predmetom operatívneho lízingu, z ktorého výnosy alebo náklady sú zahrnuté do výpočtu zložky úrokov.</w:t>
            </w:r>
          </w:p>
          <w:p w14:paraId="1C26AA33" w14:textId="30370F54" w:rsidR="00706701" w:rsidRPr="00704862" w:rsidRDefault="00706701" w:rsidP="402EDAAF">
            <w:pPr>
              <w:pStyle w:val="ListParagraph"/>
              <w:numPr>
                <w:ilvl w:val="0"/>
                <w:numId w:val="30"/>
              </w:numPr>
              <w:spacing w:before="0" w:after="0"/>
              <w:rPr>
                <w:rFonts w:ascii="Times New Roman" w:hAnsi="Times New Roman"/>
                <w:strike/>
                <w:sz w:val="24"/>
              </w:rPr>
            </w:pPr>
            <w:r w:rsidRPr="00704862">
              <w:rPr>
                <w:rFonts w:ascii="Times New Roman" w:hAnsi="Times New Roman"/>
                <w:b/>
                <w:sz w:val="24"/>
                <w:u w:val="single"/>
              </w:rPr>
              <w:t>[Zníženie hodnoty alebo (–) zrušenie zníženia hodnoty majetku, ktorý je predmetom operatívneho lízingu]:</w:t>
            </w:r>
            <w:r w:rsidRPr="00704862">
              <w:rPr>
                <w:rFonts w:ascii="Times New Roman" w:hAnsi="Times New Roman"/>
                <w:b/>
                <w:sz w:val="24"/>
              </w:rPr>
              <w:t xml:space="preserve"> </w:t>
            </w:r>
            <w:r w:rsidRPr="00704862">
              <w:rPr>
                <w:rFonts w:ascii="Times New Roman" w:hAnsi="Times New Roman"/>
                <w:sz w:val="24"/>
              </w:rPr>
              <w:t>Inštitúcie vykazujú náklady z majetku, ktorý je predmetom operatívneho lízingu, ktoré predstavujú zníženie hodnoty alebo zrušenie zníženia hodnoty v súlade s IAS 36, odsekom 126 písm. a), b) z majetku, ktorý je predmetom operatívneho lízingu.</w:t>
            </w:r>
          </w:p>
          <w:p w14:paraId="125C149D" w14:textId="335030E3" w:rsidR="00706701" w:rsidRPr="00704862" w:rsidRDefault="00706701" w:rsidP="00C86126">
            <w:pPr>
              <w:pStyle w:val="ListParagraph"/>
              <w:keepNext/>
              <w:numPr>
                <w:ilvl w:val="0"/>
                <w:numId w:val="30"/>
              </w:numPr>
              <w:spacing w:before="0" w:after="0"/>
              <w:rPr>
                <w:rFonts w:ascii="Times New Roman" w:hAnsi="Times New Roman"/>
                <w:sz w:val="24"/>
              </w:rPr>
            </w:pPr>
            <w:r w:rsidRPr="00704862">
              <w:rPr>
                <w:rFonts w:ascii="Times New Roman" w:hAnsi="Times New Roman"/>
                <w:b/>
                <w:sz w:val="24"/>
                <w:u w:val="single"/>
              </w:rPr>
              <w:t>(Náklady z majetku, ktorý je predmetom operatívneho lízingu, vrátane ostatných administratívnych nákladov súvisiacich s majetkom, ktorý je predmetom operatívneho lízingu):</w:t>
            </w:r>
            <w:r w:rsidRPr="00704862">
              <w:rPr>
                <w:rFonts w:ascii="Times New Roman" w:hAnsi="Times New Roman"/>
                <w:sz w:val="24"/>
              </w:rPr>
              <w:t xml:space="preserve"> Inštitúcie vykazujú náklady v súlade s časťou 2 odsekmi 314 a 315 prílohy V k IT riešeniam EBA týkajúce sa operatívneho lízingu, ktoré predstavujú:</w:t>
            </w:r>
          </w:p>
          <w:p w14:paraId="718F7358" w14:textId="75A5342A" w:rsidR="00706701" w:rsidRPr="00704862" w:rsidRDefault="00706701" w:rsidP="00706701">
            <w:pPr>
              <w:pStyle w:val="ListParagraph"/>
              <w:numPr>
                <w:ilvl w:val="0"/>
                <w:numId w:val="31"/>
              </w:numPr>
              <w:spacing w:before="0" w:after="0"/>
              <w:ind w:left="1440"/>
              <w:rPr>
                <w:rFonts w:ascii="Times New Roman" w:hAnsi="Times New Roman"/>
                <w:sz w:val="24"/>
              </w:rPr>
            </w:pPr>
            <w:r w:rsidRPr="00704862">
              <w:rPr>
                <w:rFonts w:ascii="Times New Roman" w:hAnsi="Times New Roman"/>
                <w:sz w:val="24"/>
              </w:rPr>
              <w:t>náklady zo zmien reálnej hodnoty investícií do nehnuteľností, ktoré generujú nájomné a oceňujú sa pomocou modelu reálnej hodnoty z majetku, ktorý je predmetom operatívneho lízingu;</w:t>
            </w:r>
          </w:p>
          <w:p w14:paraId="2748EC88" w14:textId="5DCF269E" w:rsidR="00706701" w:rsidRPr="00704862" w:rsidRDefault="00706701" w:rsidP="00706701">
            <w:pPr>
              <w:pStyle w:val="ListParagraph"/>
              <w:numPr>
                <w:ilvl w:val="0"/>
                <w:numId w:val="31"/>
              </w:numPr>
              <w:spacing w:before="0" w:after="0"/>
              <w:ind w:left="1440"/>
              <w:rPr>
                <w:rFonts w:ascii="Times New Roman" w:hAnsi="Times New Roman"/>
                <w:sz w:val="24"/>
              </w:rPr>
            </w:pPr>
            <w:r w:rsidRPr="00704862">
              <w:rPr>
                <w:rFonts w:ascii="Times New Roman" w:hAnsi="Times New Roman"/>
                <w:sz w:val="24"/>
              </w:rPr>
              <w:t>náklady na operatívny lízing vrátane priamych prevádzkových nákladov z investičného nehnuteľného majetku, ktorý generujú nájomné.</w:t>
            </w:r>
          </w:p>
          <w:p w14:paraId="33A6F719" w14:textId="77777777" w:rsidR="00706701" w:rsidRPr="00704862" w:rsidRDefault="00706701">
            <w:pPr>
              <w:spacing w:before="0" w:after="0"/>
              <w:ind w:left="708"/>
              <w:rPr>
                <w:rFonts w:ascii="Times New Roman" w:hAnsi="Times New Roman"/>
                <w:sz w:val="24"/>
              </w:rPr>
            </w:pPr>
          </w:p>
          <w:p w14:paraId="27623DD2" w14:textId="17A8CADF" w:rsidR="00706701" w:rsidRPr="00704862" w:rsidRDefault="00706701" w:rsidP="009D6499">
            <w:pPr>
              <w:rPr>
                <w:rFonts w:ascii="Times New Roman" w:hAnsi="Times New Roman"/>
                <w:sz w:val="24"/>
              </w:rPr>
            </w:pPr>
            <w:r w:rsidRPr="00704862">
              <w:rPr>
                <w:rFonts w:ascii="Times New Roman" w:hAnsi="Times New Roman"/>
                <w:sz w:val="24"/>
              </w:rPr>
              <w:t>Okrem toho by tu inštitúcie mali vykazovať ostatné administratívne náklady z majetku, ktorý je predmetom operatívneho lízingu, v súlade s časťou 2 odsekom 208ix prílohy V k IT riešeniam EBA.</w:t>
            </w:r>
          </w:p>
          <w:p w14:paraId="5B3CD38B" w14:textId="2339E1D0" w:rsidR="00706701" w:rsidRPr="00704862" w:rsidRDefault="00706701" w:rsidP="00AC6EFA">
            <w:pPr>
              <w:rPr>
                <w:rFonts w:ascii="Times New Roman" w:hAnsi="Times New Roman"/>
                <w:sz w:val="24"/>
              </w:rPr>
            </w:pPr>
            <w:r w:rsidRPr="00704862">
              <w:rPr>
                <w:rFonts w:ascii="Times New Roman" w:hAnsi="Times New Roman"/>
                <w:sz w:val="24"/>
              </w:rPr>
              <w:lastRenderedPageBreak/>
              <w:t>Náklady, ktoré sú spôsobené udalosťami operačného rizika, sa tu nevykazujú. Namiesto toho sa vykazujú v zložke služieb (v rámci položky „Celkové straty, náklady, rezervy a iné finančné vplyvy vyplývajúce z udalostí operačného rizika“) v súlade s článkom 314 ods. 5 nariadenia (EÚ) č. 575/2013.</w:t>
            </w:r>
          </w:p>
        </w:tc>
      </w:tr>
      <w:tr w:rsidR="00706701" w:rsidRPr="00704862"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704862" w:rsidRDefault="00706701" w:rsidP="00AC6EFA">
            <w:pPr>
              <w:keepNext/>
              <w:rPr>
                <w:rFonts w:ascii="Times New Roman" w:hAnsi="Times New Roman"/>
                <w:b/>
                <w:bCs/>
                <w:sz w:val="24"/>
                <w:u w:val="single"/>
              </w:rPr>
            </w:pPr>
            <w:r w:rsidRPr="00704862">
              <w:rPr>
                <w:rFonts w:ascii="Times New Roman" w:hAnsi="Times New Roman"/>
                <w:b/>
                <w:sz w:val="24"/>
                <w:u w:val="single"/>
              </w:rPr>
              <w:t>(Straty z majetku, ktorý je premetom operatívneho lízingu)</w:t>
            </w:r>
          </w:p>
          <w:p w14:paraId="40649E77" w14:textId="77777777" w:rsidR="00706701" w:rsidRPr="00704862" w:rsidRDefault="00706701" w:rsidP="00AC6EFA">
            <w:pPr>
              <w:keepNext/>
              <w:rPr>
                <w:rFonts w:ascii="Times New Roman" w:hAnsi="Times New Roman"/>
                <w:sz w:val="24"/>
              </w:rPr>
            </w:pPr>
            <w:r w:rsidRPr="00704862">
              <w:rPr>
                <w:rFonts w:ascii="Times New Roman" w:hAnsi="Times New Roman"/>
                <w:sz w:val="24"/>
              </w:rPr>
              <w:t>Inštitúcie vykazujú:</w:t>
            </w:r>
          </w:p>
          <w:p w14:paraId="3DA6FBC5" w14:textId="3CB78DA8" w:rsidR="00706701" w:rsidRPr="00704862" w:rsidRDefault="00706701" w:rsidP="3B06A011">
            <w:pPr>
              <w:numPr>
                <w:ilvl w:val="0"/>
                <w:numId w:val="34"/>
              </w:numPr>
              <w:rPr>
                <w:rFonts w:ascii="Times New Roman" w:hAnsi="Times New Roman"/>
                <w:sz w:val="24"/>
              </w:rPr>
            </w:pPr>
            <w:r w:rsidRPr="00704862">
              <w:rPr>
                <w:rFonts w:ascii="Times New Roman" w:hAnsi="Times New Roman"/>
                <w:sz w:val="24"/>
              </w:rPr>
              <w:t>zvyšok ostatných prevádzkových nákladov (Ostatné prevádzkové náklady. Ostatné) v súlade s časťou 2, oddielom 29.3, bodom 316 prílohy V k IT riešeniam EBA, ak súvisia s majetkom, ktorý je predmetom lízingu.</w:t>
            </w:r>
          </w:p>
          <w:p w14:paraId="6F639438" w14:textId="7E98AE78" w:rsidR="00706701" w:rsidRPr="00704862" w:rsidRDefault="00706701" w:rsidP="00AC6EFA">
            <w:pPr>
              <w:rPr>
                <w:rFonts w:ascii="Times New Roman" w:hAnsi="Times New Roman"/>
                <w:sz w:val="24"/>
              </w:rPr>
            </w:pPr>
            <w:r w:rsidRPr="00704862">
              <w:rPr>
                <w:rFonts w:ascii="Times New Roman" w:hAnsi="Times New Roman"/>
                <w:sz w:val="24"/>
              </w:rPr>
              <w:t>Straty, ktoré sú spôsobené udalosťami operačného rizika, sa tu nevykazujú. Namiesto toho sa vykazujú v zložke služieb (v rámci položky „Celkové straty, náklady, rezervy a iné finančné vplyvy vyplývajúce z udalostí operačného rizika“) v súlade s článkom 314 ods. 5 nariadenia (EÚ) č. 575/2013.</w:t>
            </w:r>
          </w:p>
        </w:tc>
      </w:tr>
      <w:tr w:rsidR="00706701" w:rsidRPr="00704862"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704862" w:rsidRDefault="00706701" w:rsidP="00AC6EFA">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Zložka aktív</w:t>
            </w:r>
          </w:p>
          <w:p w14:paraId="394E55B5" w14:textId="426A1D7E" w:rsidR="00706701" w:rsidRPr="00704862" w:rsidRDefault="00706701" w:rsidP="00AC6EFA">
            <w:pPr>
              <w:autoSpaceDE w:val="0"/>
              <w:autoSpaceDN w:val="0"/>
              <w:adjustRightInd w:val="0"/>
              <w:jc w:val="left"/>
              <w:rPr>
                <w:rFonts w:ascii="Times New Roman" w:hAnsi="Times New Roman"/>
                <w:color w:val="000000" w:themeColor="text1"/>
                <w:sz w:val="24"/>
              </w:rPr>
            </w:pPr>
            <w:r w:rsidRPr="00704862">
              <w:rPr>
                <w:rFonts w:ascii="Times New Roman" w:hAnsi="Times New Roman"/>
                <w:sz w:val="24"/>
              </w:rPr>
              <w:t>Zložka aktív (AC) sa vypočíta v súlade s článkom 314 ods. 2 nariadenia (EÚ) č. 575/2013.</w:t>
            </w:r>
          </w:p>
        </w:tc>
      </w:tr>
      <w:tr w:rsidR="00706701" w:rsidRPr="00704862"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704862" w:rsidRDefault="00706701" w:rsidP="00AC6EFA">
            <w:pPr>
              <w:keepNext/>
              <w:jc w:val="left"/>
              <w:rPr>
                <w:rFonts w:ascii="Times New Roman" w:hAnsi="Times New Roman"/>
                <w:b/>
                <w:bCs/>
                <w:sz w:val="24"/>
                <w:u w:val="single"/>
              </w:rPr>
            </w:pPr>
            <w:r w:rsidRPr="00704862">
              <w:rPr>
                <w:rFonts w:ascii="Times New Roman" w:hAnsi="Times New Roman"/>
                <w:b/>
                <w:sz w:val="24"/>
                <w:u w:val="single"/>
              </w:rPr>
              <w:t>Celkové aktíva</w:t>
            </w:r>
          </w:p>
          <w:p w14:paraId="3A1B8717" w14:textId="7BFA33D3" w:rsidR="00706701" w:rsidRPr="00704862" w:rsidRDefault="00706701" w:rsidP="00AC6EFA">
            <w:pPr>
              <w:jc w:val="left"/>
              <w:rPr>
                <w:rFonts w:ascii="Times New Roman" w:hAnsi="Times New Roman"/>
                <w:sz w:val="24"/>
              </w:rPr>
            </w:pPr>
            <w:r w:rsidRPr="00704862">
              <w:rPr>
                <w:rFonts w:ascii="Times New Roman" w:hAnsi="Times New Roman"/>
                <w:sz w:val="24"/>
              </w:rPr>
              <w:t>Súčet hrubej účtovnej hodnoty zostatkov hotovosti v centrálnych bankách a ostatných vkladov splatných na požiadanie, dlhových cenných papierov, úverov a záloh, ako aj účtovnej hodnoty derivátov a majetku, ktorý je predmetom lízingu.</w:t>
            </w:r>
          </w:p>
        </w:tc>
      </w:tr>
      <w:tr w:rsidR="00706701" w:rsidRPr="00704862"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704862" w:rsidRDefault="00706701" w:rsidP="00AC6EFA">
            <w:pPr>
              <w:keepNext/>
              <w:autoSpaceDE w:val="0"/>
              <w:autoSpaceDN w:val="0"/>
              <w:adjustRightInd w:val="0"/>
              <w:jc w:val="left"/>
              <w:rPr>
                <w:rFonts w:ascii="Times New Roman" w:hAnsi="Times New Roman"/>
                <w:b/>
                <w:bCs/>
                <w:sz w:val="24"/>
              </w:rPr>
            </w:pPr>
            <w:r w:rsidRPr="00704862">
              <w:rPr>
                <w:rFonts w:ascii="Times New Roman" w:hAnsi="Times New Roman"/>
                <w:b/>
                <w:sz w:val="24"/>
                <w:u w:val="single"/>
              </w:rPr>
              <w:t>Hotovosť v centrálnych bankách a ostatné vklady splatné na požiadanie</w:t>
            </w:r>
          </w:p>
          <w:p w14:paraId="4188D5D9" w14:textId="48A329AD" w:rsidR="00706701" w:rsidRPr="00704862" w:rsidRDefault="00706701" w:rsidP="00AC6EFA">
            <w:pPr>
              <w:autoSpaceDE w:val="0"/>
              <w:autoSpaceDN w:val="0"/>
              <w:adjustRightInd w:val="0"/>
              <w:jc w:val="left"/>
              <w:rPr>
                <w:rFonts w:ascii="Times New Roman" w:hAnsi="Times New Roman"/>
                <w:sz w:val="24"/>
              </w:rPr>
            </w:pPr>
            <w:r w:rsidRPr="00704862">
              <w:rPr>
                <w:rFonts w:ascii="Times New Roman" w:hAnsi="Times New Roman"/>
                <w:sz w:val="24"/>
              </w:rPr>
              <w:t>Inštitúcie vykazujú hrubú účtovnú hodnotu hotovosti v centrálnych bankách a ostatných vkladov splatných na požiadanie v súlade s časťou 2 ods. 2 a 3 prílohy V k IT riešeniam EBA.</w:t>
            </w:r>
          </w:p>
        </w:tc>
      </w:tr>
      <w:tr w:rsidR="00706701" w:rsidRPr="00704862"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704862" w:rsidRDefault="00706701" w:rsidP="00AC6EFA">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Dlhové cenné papiere</w:t>
            </w:r>
          </w:p>
          <w:p w14:paraId="2C34543A" w14:textId="013B8A5A" w:rsidR="00706701" w:rsidRPr="00704862" w:rsidRDefault="00706701" w:rsidP="3B06A011">
            <w:pPr>
              <w:autoSpaceDE w:val="0"/>
              <w:autoSpaceDN w:val="0"/>
              <w:adjustRightInd w:val="0"/>
              <w:jc w:val="left"/>
              <w:rPr>
                <w:rFonts w:ascii="Times New Roman" w:hAnsi="Times New Roman"/>
                <w:sz w:val="24"/>
              </w:rPr>
            </w:pPr>
            <w:r w:rsidRPr="00704862">
              <w:rPr>
                <w:rFonts w:ascii="Times New Roman" w:hAnsi="Times New Roman"/>
                <w:sz w:val="24"/>
              </w:rPr>
              <w:t xml:space="preserve">Inštitúcie vykazujú hrubú účtovnú hodnotu dlhových cenných papierov v súlade s časťou 1 odsekmi 31 a 34 prílohy V k IT riešeniam EBA.  </w:t>
            </w:r>
          </w:p>
        </w:tc>
      </w:tr>
      <w:tr w:rsidR="00706701" w:rsidRPr="00704862"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704862" w:rsidRDefault="00706701" w:rsidP="00AC6EFA">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Úvery a zálohy</w:t>
            </w:r>
          </w:p>
          <w:p w14:paraId="66A4F90F" w14:textId="3682ADC9" w:rsidR="00706701" w:rsidRPr="00704862" w:rsidRDefault="00706701" w:rsidP="00AC6EFA">
            <w:pPr>
              <w:autoSpaceDE w:val="0"/>
              <w:autoSpaceDN w:val="0"/>
              <w:adjustRightInd w:val="0"/>
              <w:jc w:val="left"/>
              <w:rPr>
                <w:rFonts w:ascii="Times New Roman" w:hAnsi="Times New Roman"/>
                <w:sz w:val="24"/>
              </w:rPr>
            </w:pPr>
            <w:r w:rsidRPr="00704862">
              <w:rPr>
                <w:rFonts w:ascii="Times New Roman" w:hAnsi="Times New Roman"/>
                <w:sz w:val="24"/>
              </w:rPr>
              <w:t>Inštitúcie vykazujú hrubú účtovnú hodnotu úverov a záloh v súlade s časťou 1 odsekmi 32 a 34 prílohy V k IT riešeniam EBA.</w:t>
            </w:r>
          </w:p>
        </w:tc>
      </w:tr>
      <w:tr w:rsidR="00706701" w:rsidRPr="00704862"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704862" w:rsidRDefault="00706701">
            <w:pPr>
              <w:jc w:val="center"/>
              <w:rPr>
                <w:rFonts w:ascii="Times New Roman" w:hAnsi="Times New Roman"/>
                <w:sz w:val="24"/>
                <w:highlight w:val="yellow"/>
              </w:rPr>
            </w:pPr>
            <w:r w:rsidRPr="00704862">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704862" w:rsidRDefault="00706701" w:rsidP="00AC6EFA">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Deriváty</w:t>
            </w:r>
          </w:p>
          <w:p w14:paraId="47BBB2C1" w14:textId="4E51CCFD" w:rsidR="00706701" w:rsidRPr="00704862" w:rsidRDefault="00706701" w:rsidP="00AC6EFA">
            <w:pPr>
              <w:autoSpaceDE w:val="0"/>
              <w:autoSpaceDN w:val="0"/>
              <w:adjustRightInd w:val="0"/>
              <w:jc w:val="left"/>
              <w:rPr>
                <w:rFonts w:ascii="Times New Roman" w:hAnsi="Times New Roman"/>
                <w:sz w:val="24"/>
              </w:rPr>
            </w:pPr>
            <w:r w:rsidRPr="00704862">
              <w:rPr>
                <w:rFonts w:ascii="Times New Roman" w:hAnsi="Times New Roman"/>
                <w:sz w:val="24"/>
              </w:rPr>
              <w:t xml:space="preserve">Súčet účtovnej hodnoty derivátov, ktoré sú určené na obchodovanie a účtovanie </w:t>
            </w:r>
            <w:proofErr w:type="spellStart"/>
            <w:r w:rsidRPr="00704862">
              <w:rPr>
                <w:rFonts w:ascii="Times New Roman" w:hAnsi="Times New Roman"/>
                <w:sz w:val="24"/>
              </w:rPr>
              <w:t>hedžingu</w:t>
            </w:r>
            <w:proofErr w:type="spellEnd"/>
            <w:r w:rsidRPr="00704862">
              <w:rPr>
                <w:rFonts w:ascii="Times New Roman" w:hAnsi="Times New Roman"/>
                <w:sz w:val="24"/>
              </w:rPr>
              <w:t>.</w:t>
            </w:r>
          </w:p>
        </w:tc>
      </w:tr>
      <w:tr w:rsidR="00706701" w:rsidRPr="00704862"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704862" w:rsidRDefault="00706701" w:rsidP="00AC6EFA">
            <w:pPr>
              <w:keepNext/>
              <w:autoSpaceDE w:val="0"/>
              <w:autoSpaceDN w:val="0"/>
              <w:adjustRightInd w:val="0"/>
              <w:jc w:val="left"/>
              <w:rPr>
                <w:rFonts w:ascii="Times New Roman" w:hAnsi="Times New Roman"/>
                <w:sz w:val="24"/>
                <w:u w:val="single"/>
              </w:rPr>
            </w:pPr>
            <w:r w:rsidRPr="00704862">
              <w:rPr>
                <w:rFonts w:ascii="Times New Roman" w:hAnsi="Times New Roman"/>
                <w:b/>
                <w:sz w:val="24"/>
                <w:u w:val="single"/>
              </w:rPr>
              <w:t xml:space="preserve">Obchodovanie a ekonomický </w:t>
            </w:r>
            <w:proofErr w:type="spellStart"/>
            <w:r w:rsidRPr="00704862">
              <w:rPr>
                <w:rFonts w:ascii="Times New Roman" w:hAnsi="Times New Roman"/>
                <w:b/>
                <w:sz w:val="24"/>
                <w:u w:val="single"/>
              </w:rPr>
              <w:t>hedžing</w:t>
            </w:r>
            <w:proofErr w:type="spellEnd"/>
          </w:p>
          <w:p w14:paraId="19E4F11B" w14:textId="7C3CDC20" w:rsidR="00706701" w:rsidRPr="00704862" w:rsidRDefault="00706701" w:rsidP="00AC6EFA">
            <w:pPr>
              <w:autoSpaceDE w:val="0"/>
              <w:autoSpaceDN w:val="0"/>
              <w:adjustRightInd w:val="0"/>
              <w:rPr>
                <w:rFonts w:ascii="Times New Roman" w:hAnsi="Times New Roman"/>
                <w:sz w:val="24"/>
              </w:rPr>
            </w:pPr>
            <w:r w:rsidRPr="00704862">
              <w:rPr>
                <w:rFonts w:ascii="Times New Roman" w:hAnsi="Times New Roman"/>
                <w:sz w:val="24"/>
              </w:rPr>
              <w:t xml:space="preserve">Inštitúcie vykazujú účtovnú hodnotu derivátov na obchodovanie a derivátov ekonomického </w:t>
            </w:r>
            <w:proofErr w:type="spellStart"/>
            <w:r w:rsidRPr="00704862">
              <w:rPr>
                <w:rFonts w:ascii="Times New Roman" w:hAnsi="Times New Roman"/>
                <w:sz w:val="24"/>
              </w:rPr>
              <w:t>hedžingu</w:t>
            </w:r>
            <w:proofErr w:type="spellEnd"/>
            <w:r w:rsidRPr="00704862">
              <w:rPr>
                <w:rFonts w:ascii="Times New Roman" w:hAnsi="Times New Roman"/>
                <w:sz w:val="24"/>
              </w:rPr>
              <w:t xml:space="preserve"> tak, ako sa vykazujú v súlade s dodatkom A k IFRS 9 alebo podľa národných GAAP v súlade s časťou 1 odsekmi 17 a 27 prílohy V k IT </w:t>
            </w:r>
            <w:r w:rsidRPr="00704862">
              <w:rPr>
                <w:rFonts w:ascii="Times New Roman" w:hAnsi="Times New Roman"/>
                <w:sz w:val="24"/>
              </w:rPr>
              <w:lastRenderedPageBreak/>
              <w:t>riešeniam EBA, pokiaľ takéto deriváty počas finančného roka generovali úrokové alebo podobné toky, ktoré boli vykázané ako úrokové výnosy alebo úrokové náklady.</w:t>
            </w:r>
          </w:p>
        </w:tc>
      </w:tr>
      <w:tr w:rsidR="00706701" w:rsidRPr="00704862"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 xml:space="preserve">Účtovanie </w:t>
            </w:r>
            <w:proofErr w:type="spellStart"/>
            <w:r w:rsidRPr="00704862">
              <w:rPr>
                <w:rFonts w:ascii="Times New Roman" w:hAnsi="Times New Roman"/>
                <w:b/>
                <w:sz w:val="24"/>
                <w:u w:val="single"/>
              </w:rPr>
              <w:t>hedžingu</w:t>
            </w:r>
            <w:proofErr w:type="spellEnd"/>
          </w:p>
          <w:p w14:paraId="7F517CA2" w14:textId="574313CE" w:rsidR="00706701" w:rsidRPr="00704862" w:rsidRDefault="00706701" w:rsidP="00816707">
            <w:pPr>
              <w:autoSpaceDE w:val="0"/>
              <w:autoSpaceDN w:val="0"/>
              <w:adjustRightInd w:val="0"/>
              <w:rPr>
                <w:rFonts w:ascii="Times New Roman" w:hAnsi="Times New Roman"/>
                <w:sz w:val="24"/>
              </w:rPr>
            </w:pPr>
            <w:r w:rsidRPr="00704862">
              <w:rPr>
                <w:rFonts w:ascii="Times New Roman" w:hAnsi="Times New Roman"/>
                <w:sz w:val="24"/>
              </w:rPr>
              <w:t xml:space="preserve">Inštitúcie vykazujú účtovnú hodnotu derivátov účtovania </w:t>
            </w:r>
            <w:proofErr w:type="spellStart"/>
            <w:r w:rsidRPr="00704862">
              <w:rPr>
                <w:rFonts w:ascii="Times New Roman" w:hAnsi="Times New Roman"/>
                <w:sz w:val="24"/>
              </w:rPr>
              <w:t>hedžingu</w:t>
            </w:r>
            <w:proofErr w:type="spellEnd"/>
            <w:r w:rsidRPr="00704862">
              <w:rPr>
                <w:rFonts w:ascii="Times New Roman" w:hAnsi="Times New Roman"/>
                <w:sz w:val="24"/>
              </w:rPr>
              <w:t xml:space="preserve"> v súlade s časťou 1 odsekmi 22 a 27 prílohy V k IT riešeniam EBA, ak takéto deriváty vytvorili úrokové alebo podobné toky, ktoré boli vykázané ako úrokové výnosy alebo úrokové náklady.</w:t>
            </w:r>
          </w:p>
        </w:tc>
      </w:tr>
      <w:tr w:rsidR="00706701" w:rsidRPr="00704862"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Majetok, ktorý je predmetom lízingu</w:t>
            </w:r>
          </w:p>
          <w:p w14:paraId="0B5B103E" w14:textId="77777777" w:rsidR="00706701" w:rsidRPr="00704862" w:rsidRDefault="00706701" w:rsidP="00816707">
            <w:pPr>
              <w:keepNext/>
              <w:autoSpaceDE w:val="0"/>
              <w:autoSpaceDN w:val="0"/>
              <w:adjustRightInd w:val="0"/>
              <w:jc w:val="left"/>
              <w:rPr>
                <w:rFonts w:ascii="Times New Roman" w:hAnsi="Times New Roman"/>
                <w:sz w:val="24"/>
              </w:rPr>
            </w:pPr>
            <w:r w:rsidRPr="00704862">
              <w:rPr>
                <w:rFonts w:ascii="Times New Roman" w:hAnsi="Times New Roman"/>
                <w:sz w:val="24"/>
              </w:rPr>
              <w:t>Inštitúcie vykazujú účtovnú hodnotu všetkého majetku, ktorý je predmetom lízingu a ktorý zahŕňa:</w:t>
            </w:r>
          </w:p>
          <w:p w14:paraId="3F8AD3D8" w14:textId="1E82C5B0" w:rsidR="00706701" w:rsidRPr="00704862" w:rsidRDefault="00706701" w:rsidP="3B06A011">
            <w:pPr>
              <w:numPr>
                <w:ilvl w:val="0"/>
                <w:numId w:val="32"/>
              </w:numPr>
              <w:autoSpaceDE w:val="0"/>
              <w:autoSpaceDN w:val="0"/>
              <w:adjustRightInd w:val="0"/>
              <w:jc w:val="left"/>
              <w:rPr>
                <w:rFonts w:ascii="Times New Roman" w:hAnsi="Times New Roman"/>
                <w:sz w:val="24"/>
              </w:rPr>
            </w:pPr>
            <w:r w:rsidRPr="00704862">
              <w:rPr>
                <w:rFonts w:ascii="Times New Roman" w:hAnsi="Times New Roman"/>
                <w:sz w:val="24"/>
              </w:rPr>
              <w:t>nehnuteľnosti, stroje a zariadenia v súlade s IAS 16, odsekmi 6 a 29 a IAS 1, odsek 54 písm. a);</w:t>
            </w:r>
          </w:p>
          <w:p w14:paraId="4BEDDD96" w14:textId="2746E3C2" w:rsidR="00706701" w:rsidRPr="00704862" w:rsidRDefault="00706701" w:rsidP="3B06A011">
            <w:pPr>
              <w:numPr>
                <w:ilvl w:val="0"/>
                <w:numId w:val="32"/>
              </w:numPr>
              <w:autoSpaceDE w:val="0"/>
              <w:autoSpaceDN w:val="0"/>
              <w:adjustRightInd w:val="0"/>
              <w:jc w:val="left"/>
              <w:rPr>
                <w:rFonts w:ascii="Times New Roman" w:hAnsi="Times New Roman"/>
                <w:sz w:val="24"/>
              </w:rPr>
            </w:pPr>
            <w:r w:rsidRPr="00704862">
              <w:rPr>
                <w:rFonts w:ascii="Times New Roman" w:hAnsi="Times New Roman"/>
                <w:sz w:val="24"/>
              </w:rPr>
              <w:t>Investičný nehnuteľný majetok v súlade s IAS 40 ods. 5 a 30 a s IAS 1 ods. 54 písm. b);</w:t>
            </w:r>
          </w:p>
          <w:p w14:paraId="7F5A8E58" w14:textId="791CFF78" w:rsidR="00706701" w:rsidRPr="00704862" w:rsidRDefault="00706701" w:rsidP="3B06A011">
            <w:pPr>
              <w:numPr>
                <w:ilvl w:val="0"/>
                <w:numId w:val="32"/>
              </w:numPr>
              <w:autoSpaceDE w:val="0"/>
              <w:autoSpaceDN w:val="0"/>
              <w:adjustRightInd w:val="0"/>
              <w:jc w:val="left"/>
              <w:rPr>
                <w:rFonts w:ascii="Times New Roman" w:hAnsi="Times New Roman"/>
                <w:sz w:val="24"/>
              </w:rPr>
            </w:pPr>
            <w:r w:rsidRPr="00704862">
              <w:rPr>
                <w:rFonts w:ascii="Times New Roman" w:hAnsi="Times New Roman"/>
                <w:sz w:val="24"/>
              </w:rPr>
              <w:t>ostatný nehmotný majetok v súlade s IAS 38, odsekmi 8, 118 a 122, ako aj s časťou 2, odsekom 303 prílohy V k IT riešeniam EBA.</w:t>
            </w:r>
          </w:p>
        </w:tc>
      </w:tr>
      <w:tr w:rsidR="00706701" w:rsidRPr="00704862"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Zložka dividend</w:t>
            </w:r>
          </w:p>
          <w:p w14:paraId="4B4463D0" w14:textId="589CD086" w:rsidR="00706701" w:rsidRPr="00704862" w:rsidRDefault="00706701" w:rsidP="00816707">
            <w:pPr>
              <w:autoSpaceDE w:val="0"/>
              <w:autoSpaceDN w:val="0"/>
              <w:adjustRightInd w:val="0"/>
              <w:jc w:val="left"/>
              <w:rPr>
                <w:rFonts w:ascii="Times New Roman" w:hAnsi="Times New Roman"/>
                <w:color w:val="000000" w:themeColor="text1"/>
                <w:sz w:val="24"/>
              </w:rPr>
            </w:pPr>
            <w:r w:rsidRPr="00704862">
              <w:rPr>
                <w:rFonts w:ascii="Times New Roman" w:hAnsi="Times New Roman"/>
                <w:sz w:val="24"/>
              </w:rPr>
              <w:t>Zložka dividend (DC) sa vypočíta v súlade s článkom 314 ods. 2 nariadenia (EÚ) č. 575/2013.</w:t>
            </w:r>
          </w:p>
        </w:tc>
      </w:tr>
      <w:tr w:rsidR="00706701" w:rsidRPr="00704862"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Dividendové výnosy</w:t>
            </w:r>
          </w:p>
          <w:p w14:paraId="5A3CA3F0" w14:textId="12F893E0" w:rsidR="00706701" w:rsidRPr="00704862" w:rsidRDefault="00706701" w:rsidP="00816707">
            <w:pPr>
              <w:jc w:val="left"/>
              <w:rPr>
                <w:rFonts w:ascii="Times New Roman" w:hAnsi="Times New Roman"/>
                <w:sz w:val="24"/>
              </w:rPr>
            </w:pPr>
            <w:r w:rsidRPr="00704862">
              <w:rPr>
                <w:rFonts w:ascii="Times New Roman" w:hAnsi="Times New Roman"/>
                <w:sz w:val="24"/>
              </w:rPr>
              <w:t>Inštitúcie vykazujú dividendové výnosy v súlade s časťou 2 odsekmi 40 až 42 prílohy V k IT riešeniam EBA.</w:t>
            </w:r>
          </w:p>
        </w:tc>
      </w:tr>
      <w:tr w:rsidR="00706701" w:rsidRPr="00704862"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704862" w:rsidRDefault="00706701">
            <w:pPr>
              <w:jc w:val="center"/>
              <w:rPr>
                <w:rFonts w:ascii="Times New Roman" w:hAnsi="Times New Roman"/>
                <w:b/>
                <w:bCs/>
                <w:sz w:val="24"/>
              </w:rPr>
            </w:pPr>
            <w:r w:rsidRPr="00704862">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704862" w:rsidRDefault="00706701" w:rsidP="005D3C49">
            <w:pPr>
              <w:pStyle w:val="ListParagraph"/>
              <w:numPr>
                <w:ilvl w:val="0"/>
                <w:numId w:val="42"/>
              </w:numPr>
              <w:ind w:hanging="720"/>
              <w:jc w:val="left"/>
              <w:rPr>
                <w:rFonts w:ascii="Times New Roman" w:hAnsi="Times New Roman"/>
                <w:b/>
                <w:bCs/>
                <w:sz w:val="24"/>
              </w:rPr>
            </w:pPr>
            <w:r w:rsidRPr="00704862">
              <w:rPr>
                <w:rFonts w:ascii="Times New Roman" w:hAnsi="Times New Roman"/>
                <w:b/>
                <w:sz w:val="24"/>
              </w:rPr>
              <w:t>Zložka služieb (SC)</w:t>
            </w:r>
          </w:p>
        </w:tc>
      </w:tr>
      <w:tr w:rsidR="00706701" w:rsidRPr="00704862"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704862" w:rsidRDefault="00706701">
            <w:pPr>
              <w:jc w:val="center"/>
              <w:rPr>
                <w:rFonts w:ascii="Times New Roman" w:eastAsia="Verdana" w:hAnsi="Times New Roman"/>
                <w:sz w:val="24"/>
              </w:rPr>
            </w:pPr>
            <w:r w:rsidRPr="00704862">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Ostatné prevádzkové výnosy</w:t>
            </w:r>
          </w:p>
          <w:p w14:paraId="1DB0DB47" w14:textId="56E6BA92" w:rsidR="00706701" w:rsidRPr="00704862" w:rsidRDefault="00706701">
            <w:pPr>
              <w:jc w:val="left"/>
              <w:rPr>
                <w:rFonts w:ascii="Times New Roman" w:hAnsi="Times New Roman"/>
                <w:color w:val="000000" w:themeColor="text1"/>
                <w:sz w:val="24"/>
              </w:rPr>
            </w:pPr>
            <w:r w:rsidRPr="00704862">
              <w:rPr>
                <w:rFonts w:ascii="Times New Roman" w:hAnsi="Times New Roman"/>
                <w:color w:val="000000" w:themeColor="text1"/>
                <w:sz w:val="24"/>
              </w:rPr>
              <w:t>Článok 314 ods. 5 nariadenia (EÚ) č. 575/2013.</w:t>
            </w:r>
          </w:p>
          <w:p w14:paraId="2FA21B44" w14:textId="185CC926" w:rsidR="00706701" w:rsidRPr="00704862" w:rsidRDefault="00706701" w:rsidP="00816707">
            <w:p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Vymáhanie administratívnych nákladov by sa nemalo posudzovať v súlade s článkom 5 regulačných technických predpisov o zložkách obchodného ukazovateľa, ktoré sa majú vypracovať podľa článku 314 ods. 9 nariadenia (EÚ) č. 575/2013.</w:t>
            </w:r>
          </w:p>
        </w:tc>
      </w:tr>
      <w:tr w:rsidR="00706701" w:rsidRPr="00704862"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704862" w:rsidRDefault="00706701" w:rsidP="00816707">
            <w:pPr>
              <w:keepNext/>
              <w:jc w:val="left"/>
              <w:rPr>
                <w:rFonts w:ascii="Times New Roman" w:hAnsi="Times New Roman"/>
                <w:color w:val="000000" w:themeColor="text1"/>
                <w:sz w:val="24"/>
              </w:rPr>
            </w:pPr>
            <w:r w:rsidRPr="00704862">
              <w:rPr>
                <w:rFonts w:ascii="Times New Roman" w:hAnsi="Times New Roman"/>
                <w:b/>
                <w:sz w:val="24"/>
                <w:u w:val="single"/>
              </w:rPr>
              <w:t>Ostatné prevádzkové výnosy od členov patriacich do tej istej schémy inštitucionálneho zabezpečenia</w:t>
            </w:r>
          </w:p>
          <w:p w14:paraId="3862B978" w14:textId="3A9D6C9B" w:rsidR="00706701" w:rsidRPr="00704862" w:rsidRDefault="00706701" w:rsidP="00816707">
            <w:pPr>
              <w:autoSpaceDE w:val="0"/>
              <w:autoSpaceDN w:val="0"/>
              <w:adjustRightInd w:val="0"/>
              <w:jc w:val="left"/>
              <w:rPr>
                <w:rFonts w:ascii="Times New Roman" w:hAnsi="Times New Roman"/>
                <w:b/>
                <w:bCs/>
                <w:sz w:val="24"/>
                <w:highlight w:val="yellow"/>
                <w:u w:val="single"/>
              </w:rPr>
            </w:pPr>
            <w:r w:rsidRPr="00704862">
              <w:rPr>
                <w:rFonts w:ascii="Times New Roman" w:hAnsi="Times New Roman"/>
                <w:color w:val="000000" w:themeColor="text1"/>
                <w:sz w:val="24"/>
              </w:rPr>
              <w:t>Výška ostatných prevádzkových výnosov prijatých od inštitúcií, ktoré sú členmi tej istej schémy inštitucionálneho zabezpečenia v súlade s článkom 314 ods. 5 nariadenia (EÚ) č. 575/2013.</w:t>
            </w:r>
          </w:p>
        </w:tc>
      </w:tr>
      <w:tr w:rsidR="00706701" w:rsidRPr="00704862"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Zisk z neobežného majetku a skupín na vyradenie klasifikovaných ako držané na predaj, ktoré sa nekvalifikujú ako ukončené činnosti</w:t>
            </w:r>
          </w:p>
          <w:p w14:paraId="0734D115" w14:textId="22088D70" w:rsidR="00706701" w:rsidRPr="00704862" w:rsidRDefault="00706701">
            <w:pPr>
              <w:jc w:val="left"/>
              <w:rPr>
                <w:rFonts w:ascii="Times New Roman" w:hAnsi="Times New Roman"/>
                <w:sz w:val="24"/>
              </w:rPr>
            </w:pPr>
            <w:r w:rsidRPr="00704862">
              <w:rPr>
                <w:rFonts w:ascii="Times New Roman" w:hAnsi="Times New Roman"/>
                <w:sz w:val="24"/>
              </w:rPr>
              <w:t>Inštitúcie vykazujú zisky z neobežného majetku a skupín na vyradenie klasifikovaných ako držané na predaj, ktoré sa nekvalifikujú ako ukončené činnosti, v súlade s časťou 2 odsekom 55 prílohy V k IT riešeniam EBA.</w:t>
            </w:r>
          </w:p>
          <w:p w14:paraId="5DDC81DA" w14:textId="445C39D2" w:rsidR="00706701" w:rsidRPr="00704862" w:rsidRDefault="00706701" w:rsidP="00816707">
            <w:pPr>
              <w:jc w:val="left"/>
              <w:rPr>
                <w:rFonts w:ascii="Times New Roman" w:hAnsi="Times New Roman"/>
                <w:color w:val="000000" w:themeColor="text1"/>
                <w:sz w:val="24"/>
              </w:rPr>
            </w:pPr>
            <w:r w:rsidRPr="00704862">
              <w:rPr>
                <w:rFonts w:ascii="Times New Roman" w:hAnsi="Times New Roman"/>
                <w:color w:val="000000" w:themeColor="text1"/>
                <w:sz w:val="24"/>
              </w:rPr>
              <w:t>Vykazujú sa len zisky; v prípade straty sa hodnota považuje za nulovú.</w:t>
            </w:r>
          </w:p>
        </w:tc>
      </w:tr>
      <w:tr w:rsidR="00706701" w:rsidRPr="00704862"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Ostatné</w:t>
            </w:r>
          </w:p>
          <w:p w14:paraId="3FB1D922" w14:textId="659C47D1" w:rsidR="00706701" w:rsidRPr="00704862" w:rsidRDefault="00706701" w:rsidP="00816707">
            <w:pPr>
              <w:keepNext/>
              <w:autoSpaceDE w:val="0"/>
              <w:autoSpaceDN w:val="0"/>
              <w:adjustRightInd w:val="0"/>
              <w:jc w:val="left"/>
              <w:rPr>
                <w:rFonts w:ascii="Times New Roman" w:hAnsi="Times New Roman"/>
                <w:sz w:val="24"/>
              </w:rPr>
            </w:pPr>
            <w:r w:rsidRPr="00704862">
              <w:rPr>
                <w:rFonts w:ascii="Times New Roman" w:hAnsi="Times New Roman"/>
                <w:sz w:val="24"/>
              </w:rPr>
              <w:t>Inštitúcie vykazujú ostatné prevádzkové výnosy v súlade s časťou 2 odsekmi 314 a 316 prílohy V k IT riešeniam EBA, ktoré predstavujú:</w:t>
            </w:r>
          </w:p>
          <w:p w14:paraId="24E3BFED" w14:textId="77777777" w:rsidR="00706701" w:rsidRPr="00704862"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výnosy zo zmien reálnej hodnoty hmotného majetku oceňovaného pomocou modelu reálnej hodnoty, okrem výnosov zo zmien reálnej hodnoty investičného nehnuteľného majetku, ktoré generujú nájomné a oceňujú sa pomocou modelu reálnej hodnoty;</w:t>
            </w:r>
          </w:p>
          <w:p w14:paraId="409BFFF4" w14:textId="6ACBBCB8" w:rsidR="00706701" w:rsidRPr="00704862"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704862">
              <w:rPr>
                <w:rFonts w:ascii="Times New Roman" w:hAnsi="Times New Roman"/>
                <w:sz w:val="24"/>
              </w:rPr>
              <w:t xml:space="preserve">zvyšok ostatných prevádzkových výnosov (Ostatné prevádzkové </w:t>
            </w:r>
            <w:proofErr w:type="spellStart"/>
            <w:r w:rsidRPr="00704862">
              <w:rPr>
                <w:rFonts w:ascii="Times New Roman" w:hAnsi="Times New Roman"/>
                <w:sz w:val="24"/>
              </w:rPr>
              <w:t>výnosy.Ostatné</w:t>
            </w:r>
            <w:proofErr w:type="spellEnd"/>
            <w:r w:rsidRPr="00704862">
              <w:rPr>
                <w:rFonts w:ascii="Times New Roman" w:hAnsi="Times New Roman"/>
                <w:sz w:val="24"/>
              </w:rPr>
              <w:t>) v súlade s časťou 2, odsekmi 314 a 316 prílohy V k IT riešeniam EBA, ak nesúvisia s majetkom, ktorý je predmetom lízingu.</w:t>
            </w:r>
          </w:p>
        </w:tc>
      </w:tr>
      <w:tr w:rsidR="00706701" w:rsidRPr="00704862"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(Ostatné prevádzkové náklady)</w:t>
            </w:r>
          </w:p>
          <w:p w14:paraId="2BA9FDC2" w14:textId="2513C14D" w:rsidR="00706701" w:rsidRPr="00704862" w:rsidRDefault="00706701" w:rsidP="00816707">
            <w:pPr>
              <w:jc w:val="left"/>
              <w:rPr>
                <w:rFonts w:ascii="Times New Roman" w:hAnsi="Times New Roman"/>
                <w:color w:val="000000" w:themeColor="text1"/>
                <w:sz w:val="24"/>
              </w:rPr>
            </w:pPr>
            <w:r w:rsidRPr="00704862">
              <w:rPr>
                <w:rFonts w:ascii="Times New Roman" w:hAnsi="Times New Roman"/>
                <w:color w:val="000000" w:themeColor="text1"/>
                <w:sz w:val="24"/>
              </w:rPr>
              <w:t>Článok 314 ods. 5 nariadenia (EÚ) č. 575/2013.</w:t>
            </w:r>
          </w:p>
        </w:tc>
      </w:tr>
      <w:tr w:rsidR="00706701" w:rsidRPr="00704862"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(Ostatné prevádzkové náklady členov patriacich do tej istej schémy inštitucionálneho zabezpečenia)</w:t>
            </w:r>
          </w:p>
          <w:p w14:paraId="2738750A" w14:textId="01EB7487" w:rsidR="00706701" w:rsidRPr="00704862" w:rsidRDefault="00706701" w:rsidP="00816707">
            <w:pPr>
              <w:jc w:val="left"/>
              <w:rPr>
                <w:rFonts w:ascii="Times New Roman" w:hAnsi="Times New Roman"/>
                <w:color w:val="000000" w:themeColor="text1"/>
                <w:sz w:val="24"/>
              </w:rPr>
            </w:pPr>
            <w:r w:rsidRPr="00704862">
              <w:rPr>
                <w:rFonts w:ascii="Times New Roman" w:hAnsi="Times New Roman"/>
                <w:color w:val="000000" w:themeColor="text1"/>
                <w:sz w:val="24"/>
              </w:rPr>
              <w:t>Výška ostatných prevádzkových nákladov vyplatených inštitúciám, ktoré sú členmi tej istej schémy inštitucionálneho zabezpečenia v súlade s článkom 314 ods. 5 nariadenia (EÚ) č. 575/2013.</w:t>
            </w:r>
          </w:p>
        </w:tc>
      </w:tr>
      <w:tr w:rsidR="00706701" w:rsidRPr="00704862"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704862" w:rsidRDefault="00706701" w:rsidP="00816707">
            <w:pPr>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(Celkové straty, náklady, rezervy a iné finančné vplyvy spôsobené udalosťami operačného rizika)</w:t>
            </w:r>
          </w:p>
          <w:p w14:paraId="330BA647" w14:textId="40E21272" w:rsidR="00706701" w:rsidRPr="00704862" w:rsidRDefault="00706701" w:rsidP="00816707">
            <w:pPr>
              <w:autoSpaceDE w:val="0"/>
              <w:autoSpaceDN w:val="0"/>
              <w:adjustRightInd w:val="0"/>
              <w:jc w:val="left"/>
              <w:rPr>
                <w:rFonts w:ascii="Times New Roman" w:hAnsi="Times New Roman"/>
                <w:sz w:val="24"/>
              </w:rPr>
            </w:pPr>
            <w:r w:rsidRPr="00704862">
              <w:rPr>
                <w:rFonts w:ascii="Times New Roman" w:hAnsi="Times New Roman"/>
                <w:sz w:val="24"/>
              </w:rPr>
              <w:t>Suma, ktorá sa vykazuje v tomto riadku, zodpovedá súčtu všetkých strát, nákladov, rezerv a iných finančných vplyvov súvisiacich s udalosťami operačného rizika, ako sa vykazuje v riadku 0080 vzoru C.16.03.</w:t>
            </w:r>
          </w:p>
        </w:tc>
      </w:tr>
      <w:tr w:rsidR="00706701" w:rsidRPr="00704862"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704862" w:rsidRDefault="00706701" w:rsidP="00816707">
            <w:pPr>
              <w:keepNext/>
              <w:jc w:val="left"/>
              <w:rPr>
                <w:rFonts w:ascii="Times New Roman" w:hAnsi="Times New Roman"/>
                <w:b/>
                <w:bCs/>
                <w:sz w:val="24"/>
                <w:highlight w:val="yellow"/>
                <w:u w:val="single"/>
              </w:rPr>
            </w:pPr>
            <w:r w:rsidRPr="00704862">
              <w:rPr>
                <w:rFonts w:ascii="Times New Roman" w:hAnsi="Times New Roman"/>
                <w:b/>
                <w:sz w:val="24"/>
                <w:u w:val="single"/>
              </w:rPr>
              <w:t>(Straty z neobežného majetku a skupín na vyradenie klasifikovaných ako držané na predaj, ktoré sa nekvalifikujú ako ukončené činnosti)</w:t>
            </w:r>
          </w:p>
          <w:p w14:paraId="67A93594" w14:textId="43CF5A55" w:rsidR="00706701" w:rsidRPr="00704862" w:rsidRDefault="00706701" w:rsidP="3B06A011">
            <w:pPr>
              <w:jc w:val="left"/>
              <w:rPr>
                <w:rFonts w:ascii="Times New Roman" w:hAnsi="Times New Roman"/>
                <w:color w:val="000000" w:themeColor="text1"/>
                <w:sz w:val="24"/>
              </w:rPr>
            </w:pPr>
            <w:r w:rsidRPr="00704862">
              <w:rPr>
                <w:rFonts w:ascii="Times New Roman" w:hAnsi="Times New Roman"/>
                <w:color w:val="000000" w:themeColor="text1"/>
                <w:sz w:val="24"/>
              </w:rPr>
              <w:t>Inštitúcie vykazujú straty, ktoré sú iné než straty z dôvodu udalostí operačného rizika, z neobežného majetku a skupín na vyradenie klasifikovaných ako držané na predaj, ktoré sa nekvalifikujú ako ukončené činnosti, v súlade s časťou 2 odsekom 55 prílohy V k IT riešeniam EBA.</w:t>
            </w:r>
          </w:p>
          <w:p w14:paraId="08B1A825" w14:textId="3BEA6A1F" w:rsidR="00706701" w:rsidRPr="00704862" w:rsidRDefault="00706701" w:rsidP="00816707">
            <w:pPr>
              <w:jc w:val="left"/>
              <w:rPr>
                <w:rFonts w:ascii="Times New Roman" w:hAnsi="Times New Roman"/>
                <w:color w:val="000000" w:themeColor="text1"/>
                <w:sz w:val="24"/>
              </w:rPr>
            </w:pPr>
            <w:r w:rsidRPr="00704862">
              <w:rPr>
                <w:rFonts w:ascii="Times New Roman" w:hAnsi="Times New Roman"/>
                <w:color w:val="000000" w:themeColor="text1"/>
                <w:sz w:val="24"/>
              </w:rPr>
              <w:t>Vykazujú sa len straty; v prípade zisku sa hodnota na účely tohto riadku považuje za nulovú.</w:t>
            </w:r>
          </w:p>
        </w:tc>
      </w:tr>
      <w:tr w:rsidR="00706701" w:rsidRPr="00704862"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(Ostatné)</w:t>
            </w:r>
          </w:p>
          <w:p w14:paraId="3FBA99EF" w14:textId="2B023A68" w:rsidR="00706701" w:rsidRPr="00704862" w:rsidRDefault="00706701" w:rsidP="00816707">
            <w:pPr>
              <w:keepNext/>
              <w:jc w:val="left"/>
              <w:rPr>
                <w:rFonts w:ascii="Times New Roman" w:hAnsi="Times New Roman"/>
                <w:sz w:val="24"/>
              </w:rPr>
            </w:pPr>
            <w:r w:rsidRPr="00704862">
              <w:rPr>
                <w:rFonts w:ascii="Times New Roman" w:hAnsi="Times New Roman"/>
                <w:sz w:val="24"/>
              </w:rPr>
              <w:t>Inštitúcie vykazujú ostatné prevádzkové náklady, ktoré nie sú spôsobené udalosťami operačného rizika, v súlade s časťou 2 odsekmi 314 a 316 prílohy V k IT riešeniam EBA, ktoré predstavujú:</w:t>
            </w:r>
          </w:p>
          <w:p w14:paraId="74B0437B" w14:textId="77777777" w:rsidR="00706701" w:rsidRPr="00704862" w:rsidRDefault="00706701" w:rsidP="3B06A011">
            <w:pPr>
              <w:numPr>
                <w:ilvl w:val="0"/>
                <w:numId w:val="35"/>
              </w:numPr>
              <w:autoSpaceDE w:val="0"/>
              <w:autoSpaceDN w:val="0"/>
              <w:adjustRightInd w:val="0"/>
              <w:jc w:val="left"/>
              <w:rPr>
                <w:rFonts w:ascii="Times New Roman" w:hAnsi="Times New Roman"/>
                <w:sz w:val="24"/>
              </w:rPr>
            </w:pPr>
            <w:r w:rsidRPr="00704862">
              <w:rPr>
                <w:rFonts w:ascii="Times New Roman" w:hAnsi="Times New Roman"/>
                <w:sz w:val="24"/>
              </w:rPr>
              <w:t>náklady zo zmien reálnej hodnoty hmotného majetku oceňovaného pomocou modelu reálnej hodnoty, s výnimkou nákladov zo zmien reálnej hodnoty investičného nehnuteľného majetku, ktoré generujú nájomné a sú oceňované pomocou modelu reálnej hodnoty z majetku, ktorý je predmetom operatívneho lízingu;</w:t>
            </w:r>
          </w:p>
          <w:p w14:paraId="5D1423D9" w14:textId="07454CC0" w:rsidR="00706701" w:rsidRPr="00704862" w:rsidRDefault="00706701" w:rsidP="00816707">
            <w:pPr>
              <w:numPr>
                <w:ilvl w:val="0"/>
                <w:numId w:val="35"/>
              </w:numPr>
              <w:autoSpaceDE w:val="0"/>
              <w:autoSpaceDN w:val="0"/>
              <w:adjustRightInd w:val="0"/>
              <w:jc w:val="left"/>
              <w:rPr>
                <w:rFonts w:ascii="Times New Roman" w:hAnsi="Times New Roman"/>
                <w:sz w:val="24"/>
              </w:rPr>
            </w:pPr>
            <w:r w:rsidRPr="00704862">
              <w:rPr>
                <w:rFonts w:ascii="Times New Roman" w:hAnsi="Times New Roman"/>
                <w:sz w:val="24"/>
              </w:rPr>
              <w:t xml:space="preserve">zvyšok ostatných prevádzkových nákladov (Ostatné prevádzkové </w:t>
            </w:r>
            <w:proofErr w:type="spellStart"/>
            <w:r w:rsidRPr="00704862">
              <w:rPr>
                <w:rFonts w:ascii="Times New Roman" w:hAnsi="Times New Roman"/>
                <w:sz w:val="24"/>
              </w:rPr>
              <w:t>náklady.Ostatné</w:t>
            </w:r>
            <w:proofErr w:type="spellEnd"/>
            <w:r w:rsidRPr="00704862">
              <w:rPr>
                <w:rFonts w:ascii="Times New Roman" w:hAnsi="Times New Roman"/>
                <w:sz w:val="24"/>
              </w:rPr>
              <w:t>) v súlade s časťou 2, odsekmi 314 a 316 prílohy V k IT riešeniam EBA, ak nesúvisia s majetkom, ktorý je predmetom lízingu.</w:t>
            </w:r>
          </w:p>
        </w:tc>
      </w:tr>
      <w:tr w:rsidR="00706701" w:rsidRPr="00704862"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Zložka príjmov z poplatkov a provízií</w:t>
            </w:r>
          </w:p>
          <w:p w14:paraId="1B909257" w14:textId="089E0B90" w:rsidR="00706701" w:rsidRPr="00704862" w:rsidRDefault="00706701" w:rsidP="00816707">
            <w:pPr>
              <w:autoSpaceDE w:val="0"/>
              <w:autoSpaceDN w:val="0"/>
              <w:adjustRightInd w:val="0"/>
              <w:jc w:val="left"/>
              <w:rPr>
                <w:rFonts w:ascii="Times New Roman" w:hAnsi="Times New Roman"/>
                <w:color w:val="000000" w:themeColor="text1"/>
                <w:sz w:val="24"/>
              </w:rPr>
            </w:pPr>
            <w:r w:rsidRPr="00704862">
              <w:rPr>
                <w:rFonts w:ascii="Times New Roman" w:hAnsi="Times New Roman"/>
                <w:sz w:val="24"/>
              </w:rPr>
              <w:t>Príjmy z poplatkov a provízií sa vypočítajú v súlade s článkom 314 ods. 5 nariadenia (EÚ) č. 575/2013.</w:t>
            </w:r>
          </w:p>
        </w:tc>
      </w:tr>
      <w:tr w:rsidR="00706701" w:rsidRPr="00704862"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Príjem z poplatkov a provízií</w:t>
            </w:r>
          </w:p>
          <w:p w14:paraId="11E6C495" w14:textId="0B9B7860" w:rsidR="00706701" w:rsidRPr="00704862" w:rsidRDefault="00706701" w:rsidP="3B06A011">
            <w:pPr>
              <w:jc w:val="left"/>
              <w:rPr>
                <w:rFonts w:ascii="Times New Roman" w:hAnsi="Times New Roman"/>
                <w:sz w:val="24"/>
              </w:rPr>
            </w:pPr>
            <w:r w:rsidRPr="00704862">
              <w:rPr>
                <w:rFonts w:ascii="Times New Roman" w:hAnsi="Times New Roman"/>
                <w:sz w:val="24"/>
              </w:rPr>
              <w:t>Inštitúcie vykazujú príjmy z poplatkov a provízií v súlade s časťou 2 odsekmi 281 až 284 prílohy V k IT riešeniam EBA.</w:t>
            </w:r>
          </w:p>
          <w:p w14:paraId="5D10316A" w14:textId="322E546D" w:rsidR="00706701" w:rsidRPr="00704862" w:rsidRDefault="00020A96" w:rsidP="00816707">
            <w:pPr>
              <w:jc w:val="left"/>
              <w:rPr>
                <w:rFonts w:ascii="Times New Roman" w:hAnsi="Times New Roman"/>
                <w:color w:val="000000" w:themeColor="text1"/>
                <w:sz w:val="24"/>
              </w:rPr>
            </w:pPr>
            <w:r w:rsidRPr="00704862">
              <w:rPr>
                <w:rFonts w:ascii="Times New Roman" w:hAnsi="Times New Roman"/>
                <w:color w:val="000000" w:themeColor="text1"/>
                <w:sz w:val="24"/>
              </w:rPr>
              <w:t>Do tejto položky by sa mali zahrnúť aj príjmy z vedľajších činností, ako sú IT činnosti potrebné na vykonávanie finančnej služby, v súlade s článkom 7 regulačných technických predpisov, ktoré sa majú vypracovať podľa článku 314 ods. 9 nariadenia (EÚ) č. 575/2013.</w:t>
            </w:r>
          </w:p>
        </w:tc>
      </w:tr>
      <w:tr w:rsidR="00706701" w:rsidRPr="00704862"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z toho: od členov patriacich do tej istej schémy inštitucionálneho zabezpečenia</w:t>
            </w:r>
          </w:p>
          <w:p w14:paraId="592F6C4C" w14:textId="3669AD85" w:rsidR="00706701" w:rsidRPr="00704862" w:rsidRDefault="00706701" w:rsidP="00816707">
            <w:pPr>
              <w:jc w:val="left"/>
              <w:rPr>
                <w:rFonts w:ascii="Times New Roman" w:hAnsi="Times New Roman"/>
                <w:color w:val="000000" w:themeColor="text1"/>
                <w:sz w:val="24"/>
              </w:rPr>
            </w:pPr>
            <w:r w:rsidRPr="00704862">
              <w:rPr>
                <w:rFonts w:ascii="Times New Roman" w:hAnsi="Times New Roman"/>
                <w:color w:val="000000" w:themeColor="text1"/>
                <w:sz w:val="24"/>
              </w:rPr>
              <w:t>Časť príjmov z poplatkov a provízií získaných od inštitúcií, ktoré sú členmi tej istej schémy inštitucionálneho zabezpečenia v súlade s článkom 314 ods. 5 nariadenia (EÚ) č. 575/2013.</w:t>
            </w:r>
          </w:p>
        </w:tc>
      </w:tr>
      <w:tr w:rsidR="00706701" w:rsidRPr="00704862"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(Zložka nákladov na poplatky a provízie)</w:t>
            </w:r>
          </w:p>
          <w:p w14:paraId="1706D87C" w14:textId="0F328B94" w:rsidR="00706701" w:rsidRPr="00704862" w:rsidRDefault="00706701" w:rsidP="00816707">
            <w:pPr>
              <w:autoSpaceDE w:val="0"/>
              <w:autoSpaceDN w:val="0"/>
              <w:adjustRightInd w:val="0"/>
              <w:jc w:val="left"/>
              <w:rPr>
                <w:rFonts w:ascii="Times New Roman" w:hAnsi="Times New Roman"/>
                <w:color w:val="000000" w:themeColor="text1"/>
                <w:sz w:val="24"/>
              </w:rPr>
            </w:pPr>
            <w:r w:rsidRPr="00704862">
              <w:rPr>
                <w:rFonts w:ascii="Times New Roman" w:hAnsi="Times New Roman"/>
                <w:sz w:val="24"/>
              </w:rPr>
              <w:t>Náklady na poplatky a provízie sa vypočítajú v súlade s článkom 314 ods. 5 nariadenia (EÚ) č. 575/2013.</w:t>
            </w:r>
          </w:p>
        </w:tc>
      </w:tr>
      <w:tr w:rsidR="00706701" w:rsidRPr="00704862"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(Náklady na poplatky a provízie)</w:t>
            </w:r>
          </w:p>
          <w:p w14:paraId="1B7A110D" w14:textId="78D5FD23" w:rsidR="00706701" w:rsidRPr="00704862" w:rsidRDefault="00706701" w:rsidP="3B06A011">
            <w:pPr>
              <w:jc w:val="left"/>
              <w:rPr>
                <w:rFonts w:ascii="Times New Roman" w:hAnsi="Times New Roman"/>
                <w:sz w:val="24"/>
              </w:rPr>
            </w:pPr>
            <w:r w:rsidRPr="00704862">
              <w:rPr>
                <w:rFonts w:ascii="Times New Roman" w:hAnsi="Times New Roman"/>
                <w:sz w:val="24"/>
              </w:rPr>
              <w:t>Inštitúcie vykazujú náklady na poplatky a provízie v súlade s časťou 2 odsekmi 281 až 284 prílohy V k IT riešeniam EBA.</w:t>
            </w:r>
          </w:p>
          <w:p w14:paraId="7CE7D7C4" w14:textId="21217273" w:rsidR="00706701" w:rsidRPr="00704862" w:rsidRDefault="00706701" w:rsidP="00816707">
            <w:pPr>
              <w:rPr>
                <w:rFonts w:ascii="Times New Roman" w:hAnsi="Times New Roman"/>
                <w:sz w:val="24"/>
              </w:rPr>
            </w:pPr>
            <w:r w:rsidRPr="00704862">
              <w:rPr>
                <w:rFonts w:ascii="Times New Roman" w:hAnsi="Times New Roman"/>
                <w:color w:val="000000" w:themeColor="text1"/>
                <w:sz w:val="24"/>
              </w:rPr>
              <w:t xml:space="preserve">V tomto riadku by sa mali vykazovať poplatky za externé poskytovanie finančných služieb, ktoré sú uvedené v zozname činností uvedenom v článku 8 regulačných technických predpisov, ktoré sa majú vypracovať podľa článku 314 ods. 9 nariadenia (EÚ) č. 575/2013, v prípade, že sú zahrnuté v rámci uplatňovaného účtovného rámca do administratívnych nákladov v súlade s článkom 16 uvedených regulačných technických predpisov. Do tejto položky by sa mali zahrnúť aj </w:t>
            </w:r>
            <w:r w:rsidRPr="00704862">
              <w:rPr>
                <w:rFonts w:ascii="Times New Roman" w:hAnsi="Times New Roman"/>
                <w:color w:val="000000" w:themeColor="text1"/>
                <w:sz w:val="24"/>
              </w:rPr>
              <w:lastRenderedPageBreak/>
              <w:t>výdavky na vedľajšie činnosti, ako sú činnosti v oblasti IT potrebné na vykonávanie finančnej služby.</w:t>
            </w:r>
          </w:p>
        </w:tc>
      </w:tr>
      <w:tr w:rsidR="00706701" w:rsidRPr="00704862"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704862" w:rsidRDefault="00706701" w:rsidP="00816707">
            <w:pPr>
              <w:keepNext/>
              <w:jc w:val="left"/>
              <w:rPr>
                <w:rFonts w:ascii="Times New Roman" w:hAnsi="Times New Roman"/>
                <w:b/>
                <w:bCs/>
                <w:sz w:val="24"/>
                <w:u w:val="single"/>
              </w:rPr>
            </w:pPr>
            <w:r w:rsidRPr="00704862">
              <w:rPr>
                <w:rFonts w:ascii="Times New Roman" w:hAnsi="Times New Roman"/>
                <w:b/>
                <w:sz w:val="24"/>
                <w:u w:val="single"/>
              </w:rPr>
              <w:t>(z toho členov patriacim do tej istej schémy inštitucionálneho zabezpečenia)</w:t>
            </w:r>
          </w:p>
          <w:p w14:paraId="166C532F" w14:textId="19E6B593" w:rsidR="00706701" w:rsidRPr="00704862" w:rsidRDefault="00706701" w:rsidP="3B06A011">
            <w:pPr>
              <w:jc w:val="left"/>
              <w:rPr>
                <w:rFonts w:ascii="Times New Roman" w:hAnsi="Times New Roman"/>
                <w:color w:val="000000" w:themeColor="text1"/>
                <w:sz w:val="24"/>
              </w:rPr>
            </w:pPr>
            <w:r w:rsidRPr="00704862">
              <w:rPr>
                <w:rFonts w:ascii="Times New Roman" w:hAnsi="Times New Roman"/>
                <w:color w:val="000000" w:themeColor="text1"/>
                <w:sz w:val="24"/>
              </w:rPr>
              <w:t>Časť nákladov na poplatky a provízie zaplatené inštitúciám, ktoré sú členmi tej istej schémy inštitucionálneho zabezpečenia v súlade s článkom 314 ods. 5 nariadenia (EÚ) č. 575/2013.</w:t>
            </w:r>
          </w:p>
        </w:tc>
      </w:tr>
      <w:tr w:rsidR="00706701" w:rsidRPr="00704862"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704862" w:rsidRDefault="00706701">
            <w:pPr>
              <w:jc w:val="center"/>
              <w:rPr>
                <w:rFonts w:ascii="Times New Roman" w:hAnsi="Times New Roman"/>
                <w:b/>
                <w:bCs/>
                <w:sz w:val="24"/>
              </w:rPr>
            </w:pPr>
            <w:r w:rsidRPr="00704862">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704862" w:rsidRDefault="00706701" w:rsidP="005D3C49">
            <w:pPr>
              <w:pStyle w:val="ListParagraph"/>
              <w:numPr>
                <w:ilvl w:val="0"/>
                <w:numId w:val="42"/>
              </w:numPr>
              <w:ind w:hanging="720"/>
              <w:jc w:val="left"/>
              <w:rPr>
                <w:rFonts w:ascii="Times New Roman" w:hAnsi="Times New Roman"/>
                <w:b/>
                <w:bCs/>
                <w:sz w:val="24"/>
              </w:rPr>
            </w:pPr>
            <w:r w:rsidRPr="00704862">
              <w:rPr>
                <w:rFonts w:ascii="Times New Roman" w:hAnsi="Times New Roman"/>
                <w:b/>
                <w:sz w:val="24"/>
              </w:rPr>
              <w:t>Finančná zložka (FC)</w:t>
            </w:r>
          </w:p>
        </w:tc>
      </w:tr>
      <w:tr w:rsidR="00706701" w:rsidRPr="00704862"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Zložka obchodnej knihy</w:t>
            </w:r>
          </w:p>
          <w:p w14:paraId="52BBA148" w14:textId="4335F393" w:rsidR="00706701" w:rsidRPr="00704862" w:rsidRDefault="00706701" w:rsidP="00816707">
            <w:pPr>
              <w:autoSpaceDE w:val="0"/>
              <w:autoSpaceDN w:val="0"/>
              <w:adjustRightInd w:val="0"/>
              <w:jc w:val="left"/>
              <w:rPr>
                <w:rFonts w:ascii="Times New Roman" w:hAnsi="Times New Roman"/>
                <w:b/>
                <w:bCs/>
                <w:sz w:val="24"/>
                <w:u w:val="single"/>
              </w:rPr>
            </w:pPr>
            <w:r w:rsidRPr="00704862">
              <w:rPr>
                <w:rFonts w:ascii="Times New Roman" w:hAnsi="Times New Roman"/>
                <w:color w:val="000000" w:themeColor="text1"/>
                <w:sz w:val="24"/>
              </w:rPr>
              <w:t>Zložka obchodnej knihy sa vypočíta v súlade s článkom 314 ods. 6 nariadenia (EÚ) č. 575/2013.</w:t>
            </w:r>
          </w:p>
        </w:tc>
      </w:tr>
      <w:tr w:rsidR="00706701" w:rsidRPr="00704862"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Čistý zisk alebo (–) strata vzťahujúce sa na obchodnú knihu</w:t>
            </w:r>
          </w:p>
          <w:p w14:paraId="7DFF44B4" w14:textId="78716B45" w:rsidR="00706701" w:rsidRPr="00704862" w:rsidRDefault="00706701" w:rsidP="00816707">
            <w:pPr>
              <w:keepNext/>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Čistý zisk alebo strata vzťahujúce sa na obchodnú knihu sa vypočítajú ako súčet:</w:t>
            </w:r>
          </w:p>
          <w:p w14:paraId="44FBBADB" w14:textId="322D2290" w:rsidR="00706701" w:rsidRPr="00704862"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ziskov alebo (–) strát z finančných aktív a záväzkov držaných na obchodovanie a z obchodovanie, v čistom;</w:t>
            </w:r>
          </w:p>
          <w:p w14:paraId="09B047DE" w14:textId="0CE06CCB" w:rsidR="00706701" w:rsidRPr="00704862"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 xml:space="preserve">ziskov alebo (–) strát z účtovania </w:t>
            </w:r>
            <w:proofErr w:type="spellStart"/>
            <w:r w:rsidRPr="00704862">
              <w:rPr>
                <w:rFonts w:ascii="Times New Roman" w:hAnsi="Times New Roman"/>
                <w:color w:val="000000" w:themeColor="text1"/>
                <w:sz w:val="24"/>
              </w:rPr>
              <w:t>hedžingu</w:t>
            </w:r>
            <w:proofErr w:type="spellEnd"/>
            <w:r w:rsidRPr="00704862">
              <w:rPr>
                <w:rFonts w:ascii="Times New Roman" w:hAnsi="Times New Roman"/>
                <w:color w:val="000000" w:themeColor="text1"/>
                <w:sz w:val="24"/>
              </w:rPr>
              <w:t>, v čistom, a kurzových rozdielov [zisk alebo (–) strata], v čistom, súvisiacich s obchodnou knihou.</w:t>
            </w:r>
          </w:p>
        </w:tc>
      </w:tr>
      <w:tr w:rsidR="00706701" w:rsidRPr="00704862"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Zisky alebo (–) straty z finančných aktív a záväzkov držaných na obchodovanie alebo z obchodovania, v čistom</w:t>
            </w:r>
          </w:p>
          <w:p w14:paraId="36FDE244" w14:textId="18BA5FB8" w:rsidR="00706701" w:rsidRPr="00704862" w:rsidRDefault="00706701" w:rsidP="00816707">
            <w:pPr>
              <w:autoSpaceDE w:val="0"/>
              <w:autoSpaceDN w:val="0"/>
              <w:adjustRightInd w:val="0"/>
              <w:jc w:val="left"/>
              <w:rPr>
                <w:rFonts w:ascii="Times New Roman" w:hAnsi="Times New Roman"/>
                <w:sz w:val="24"/>
              </w:rPr>
            </w:pPr>
            <w:r w:rsidRPr="00704862">
              <w:rPr>
                <w:rFonts w:ascii="Times New Roman" w:hAnsi="Times New Roman"/>
                <w:sz w:val="24"/>
              </w:rPr>
              <w:t>Inštitúcie vykazujú zisky alebo (–) straty z finančných aktív a záväzkov držaných na obchodovanie v súlade s časťou 2 odsekmi 43 a 46 prílohy V k IT riešeniam EBA alebo z finančných aktív a záväzkov držaných na obchodovanie v súlade so smernicou o ročnej účtovnej závierke</w:t>
            </w:r>
            <w:r w:rsidR="00782176" w:rsidRPr="00704862">
              <w:rPr>
                <w:rFonts w:ascii="Times New Roman" w:hAnsi="Times New Roman"/>
                <w:sz w:val="24"/>
                <w:vertAlign w:val="superscript"/>
              </w:rPr>
              <w:footnoteReference w:id="5"/>
            </w:r>
            <w:r w:rsidRPr="00704862">
              <w:rPr>
                <w:rFonts w:ascii="Times New Roman" w:hAnsi="Times New Roman"/>
                <w:sz w:val="24"/>
              </w:rPr>
              <w:t>, článkom 27, Vertikálne usporiadanie, ods. 6.</w:t>
            </w:r>
          </w:p>
        </w:tc>
      </w:tr>
      <w:tr w:rsidR="00706701" w:rsidRPr="00704862"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 xml:space="preserve">Obchodná kniha – Zisky alebo (–) straty z účtovania </w:t>
            </w:r>
            <w:proofErr w:type="spellStart"/>
            <w:r w:rsidRPr="00704862">
              <w:rPr>
                <w:rFonts w:ascii="Times New Roman" w:hAnsi="Times New Roman"/>
                <w:b/>
                <w:sz w:val="24"/>
                <w:u w:val="single"/>
              </w:rPr>
              <w:t>hedžingu</w:t>
            </w:r>
            <w:proofErr w:type="spellEnd"/>
            <w:r w:rsidRPr="00704862">
              <w:rPr>
                <w:rFonts w:ascii="Times New Roman" w:hAnsi="Times New Roman"/>
                <w:b/>
                <w:sz w:val="24"/>
                <w:u w:val="single"/>
              </w:rPr>
              <w:t>, v čistom</w:t>
            </w:r>
          </w:p>
          <w:p w14:paraId="63C52B79" w14:textId="088F08BA" w:rsidR="00706701" w:rsidRPr="00704862" w:rsidRDefault="00706701">
            <w:pPr>
              <w:autoSpaceDE w:val="0"/>
              <w:autoSpaceDN w:val="0"/>
              <w:adjustRightInd w:val="0"/>
              <w:jc w:val="left"/>
              <w:rPr>
                <w:rFonts w:ascii="Times New Roman" w:hAnsi="Times New Roman"/>
                <w:b/>
                <w:bCs/>
                <w:sz w:val="24"/>
                <w:u w:val="single"/>
              </w:rPr>
            </w:pPr>
            <w:r w:rsidRPr="00704862">
              <w:rPr>
                <w:rFonts w:ascii="Times New Roman" w:hAnsi="Times New Roman"/>
                <w:sz w:val="24"/>
              </w:rPr>
              <w:t xml:space="preserve">Inštitúcie vykazujú zisky alebo (–) straty z účtovania </w:t>
            </w:r>
            <w:proofErr w:type="spellStart"/>
            <w:r w:rsidRPr="00704862">
              <w:rPr>
                <w:rFonts w:ascii="Times New Roman" w:hAnsi="Times New Roman"/>
                <w:sz w:val="24"/>
              </w:rPr>
              <w:t>hedžingu</w:t>
            </w:r>
            <w:proofErr w:type="spellEnd"/>
            <w:r w:rsidRPr="00704862">
              <w:rPr>
                <w:rFonts w:ascii="Times New Roman" w:hAnsi="Times New Roman"/>
                <w:sz w:val="24"/>
              </w:rPr>
              <w:t xml:space="preserve"> v čistom vyjadrení v rámci zložky obchodnej knihy len za takých výnimočných okolností, keď sa účtovanie </w:t>
            </w:r>
            <w:proofErr w:type="spellStart"/>
            <w:r w:rsidRPr="00704862">
              <w:rPr>
                <w:rFonts w:ascii="Times New Roman" w:hAnsi="Times New Roman"/>
                <w:sz w:val="24"/>
              </w:rPr>
              <w:t>hedžingu</w:t>
            </w:r>
            <w:proofErr w:type="spellEnd"/>
            <w:r w:rsidRPr="00704862">
              <w:rPr>
                <w:rFonts w:ascii="Times New Roman" w:hAnsi="Times New Roman"/>
                <w:sz w:val="24"/>
              </w:rPr>
              <w:t xml:space="preserve"> vypočítané v súlade s časťou 2 odsekom 47 prílohy V k IT riešeniam EBA alebo v súlade s článkom 8 ods. 1 písm. a), ods. 6 a 8 smernice o účtovníctve používa na zabezpečenie finančných aktív a záväzkov držaných na obchodovanie alebo finančných aktív a záväzkov na obchodovanie. </w:t>
            </w:r>
          </w:p>
        </w:tc>
      </w:tr>
      <w:tr w:rsidR="00706701" w:rsidRPr="00704862"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Obchodná kniha – kurzové rozdiely [zisk alebo (–) strata], v čistom</w:t>
            </w:r>
          </w:p>
          <w:p w14:paraId="5ACB0892" w14:textId="77777777" w:rsidR="00706701" w:rsidRPr="00704862" w:rsidRDefault="00706701" w:rsidP="3B06A011">
            <w:pPr>
              <w:autoSpaceDE w:val="0"/>
              <w:autoSpaceDN w:val="0"/>
              <w:adjustRightInd w:val="0"/>
              <w:jc w:val="left"/>
              <w:rPr>
                <w:rFonts w:ascii="Times New Roman" w:hAnsi="Times New Roman"/>
                <w:sz w:val="24"/>
              </w:rPr>
            </w:pPr>
            <w:r w:rsidRPr="00704862">
              <w:rPr>
                <w:rFonts w:ascii="Times New Roman" w:hAnsi="Times New Roman"/>
                <w:sz w:val="24"/>
              </w:rPr>
              <w:t xml:space="preserve">Inštitúcie vykazujú kurzové rozdiely [zisk alebo (–) stratu] v čistom vyjadrení len vtedy, ak takéto rozdiely vypočítané v súlade s IAS 21.28, 52 písm. a) alebo </w:t>
            </w:r>
            <w:r w:rsidRPr="00704862">
              <w:rPr>
                <w:rFonts w:ascii="Times New Roman" w:hAnsi="Times New Roman"/>
                <w:sz w:val="24"/>
              </w:rPr>
              <w:lastRenderedPageBreak/>
              <w:t>v súlade s článkom 39 smernice o ročnej účtovnej závierke pochádzajú z finančných aktív a záväzkov držaných na obchodovanie alebo z finančných aktív a záväzkov držaných na obchodovanie.</w:t>
            </w:r>
          </w:p>
        </w:tc>
      </w:tr>
      <w:tr w:rsidR="00706701" w:rsidRPr="00704862"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Zložka bankovej knihy</w:t>
            </w:r>
          </w:p>
          <w:p w14:paraId="146255FE" w14:textId="40F6E39F" w:rsidR="00706701" w:rsidRPr="00704862" w:rsidRDefault="00706701" w:rsidP="00816707">
            <w:p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Zložka bankovej knihy sa vypočíta v súlade s článkom 314 ods. 6 nariadenia (EÚ) č. 575/2013.</w:t>
            </w:r>
          </w:p>
        </w:tc>
      </w:tr>
      <w:tr w:rsidR="00706701" w:rsidRPr="00704862"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704862" w:rsidDel="000D7108" w:rsidRDefault="00706701">
            <w:pPr>
              <w:jc w:val="center"/>
              <w:rPr>
                <w:rFonts w:ascii="Times New Roman" w:hAnsi="Times New Roman"/>
                <w:sz w:val="24"/>
              </w:rPr>
            </w:pPr>
            <w:r w:rsidRPr="00704862">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Čistý zisk alebo (–) strata vzťahujúce sa na bankovú knihu</w:t>
            </w:r>
          </w:p>
          <w:p w14:paraId="047BD7DA" w14:textId="5BF61DFC" w:rsidR="00706701" w:rsidRPr="00704862" w:rsidRDefault="00706701" w:rsidP="00816707">
            <w:pPr>
              <w:keepNext/>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Čistý zisk alebo strata vzťahujúce sa na bankovú knihu sa vypočítajú ako súčet:</w:t>
            </w:r>
          </w:p>
          <w:p w14:paraId="1E147DDF" w14:textId="0BE9227E" w:rsidR="00706701" w:rsidRPr="00704862"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ziskov alebo (–) strát z ukončenia vykazovania finančných aktív a záväzkov, ktoré nie sú ocenené v reálnej hodnote cez výkaz ziskov a strát, v čistom;</w:t>
            </w:r>
          </w:p>
          <w:p w14:paraId="132D85EB" w14:textId="09DCFC5E" w:rsidR="00706701" w:rsidRPr="00704862" w:rsidRDefault="00706701" w:rsidP="3B06A011">
            <w:pPr>
              <w:numPr>
                <w:ilvl w:val="0"/>
                <w:numId w:val="37"/>
              </w:numPr>
              <w:autoSpaceDE w:val="0"/>
              <w:autoSpaceDN w:val="0"/>
              <w:adjustRightInd w:val="0"/>
              <w:jc w:val="left"/>
              <w:rPr>
                <w:rFonts w:ascii="Times New Roman" w:hAnsi="Times New Roman"/>
                <w:sz w:val="24"/>
              </w:rPr>
            </w:pPr>
            <w:r w:rsidRPr="00704862">
              <w:rPr>
                <w:rFonts w:ascii="Times New Roman" w:hAnsi="Times New Roman"/>
                <w:color w:val="000000" w:themeColor="text1"/>
                <w:sz w:val="24"/>
              </w:rPr>
              <w:t>ziskov alebo (–) strát z neobchodných finančných aktív povinne vykazovaných v reálnej hodnote cez výkaz ziskov a strát, v čistom;</w:t>
            </w:r>
          </w:p>
          <w:p w14:paraId="54773ACC" w14:textId="7DCA4549" w:rsidR="00706701" w:rsidRPr="00704862"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04862">
              <w:rPr>
                <w:rFonts w:ascii="Times New Roman" w:hAnsi="Times New Roman"/>
                <w:color w:val="000000" w:themeColor="text1"/>
                <w:sz w:val="24"/>
              </w:rPr>
              <w:t>ziskov alebo (–) strát z finančných aktív a záväzkov ocenených v reálnej hodnote cez výkaz ziskov a strát, v čistom;</w:t>
            </w:r>
          </w:p>
          <w:p w14:paraId="7D178750" w14:textId="04FD65E5" w:rsidR="00706701" w:rsidRPr="00704862" w:rsidRDefault="00706701" w:rsidP="3B06A011">
            <w:pPr>
              <w:numPr>
                <w:ilvl w:val="0"/>
                <w:numId w:val="37"/>
              </w:numPr>
              <w:autoSpaceDE w:val="0"/>
              <w:autoSpaceDN w:val="0"/>
              <w:adjustRightInd w:val="0"/>
              <w:jc w:val="left"/>
              <w:rPr>
                <w:rFonts w:ascii="Times New Roman" w:hAnsi="Times New Roman"/>
                <w:b/>
                <w:bCs/>
                <w:sz w:val="24"/>
                <w:u w:val="single"/>
              </w:rPr>
            </w:pPr>
            <w:r w:rsidRPr="00704862">
              <w:rPr>
                <w:rFonts w:ascii="Times New Roman" w:hAnsi="Times New Roman"/>
                <w:color w:val="000000" w:themeColor="text1"/>
                <w:sz w:val="24"/>
              </w:rPr>
              <w:t xml:space="preserve">ziskov alebo (–) strát z účtovania </w:t>
            </w:r>
            <w:proofErr w:type="spellStart"/>
            <w:r w:rsidRPr="00704862">
              <w:rPr>
                <w:rFonts w:ascii="Times New Roman" w:hAnsi="Times New Roman"/>
                <w:color w:val="000000" w:themeColor="text1"/>
                <w:sz w:val="24"/>
              </w:rPr>
              <w:t>hedžingu</w:t>
            </w:r>
            <w:proofErr w:type="spellEnd"/>
            <w:r w:rsidRPr="00704862">
              <w:rPr>
                <w:rFonts w:ascii="Times New Roman" w:hAnsi="Times New Roman"/>
                <w:color w:val="000000" w:themeColor="text1"/>
                <w:sz w:val="24"/>
              </w:rPr>
              <w:t xml:space="preserve">, v čistom, a kurzových rozdielov [zisk alebo (–) strata], v čistom, súvisiacich s bankovou knihou. </w:t>
            </w:r>
          </w:p>
        </w:tc>
      </w:tr>
      <w:tr w:rsidR="00706701" w:rsidRPr="00704862"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704862" w:rsidRDefault="00706701">
            <w:pPr>
              <w:jc w:val="center"/>
              <w:rPr>
                <w:rFonts w:ascii="Times New Roman" w:hAnsi="Times New Roman"/>
                <w:sz w:val="24"/>
              </w:rPr>
            </w:pPr>
            <w:r w:rsidRPr="00704862">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Zisky alebo (–) straty z ukončenia vykazovania finančných aktív a záväzkov, ktoré nie sú ocenené v reálnej hodnote cez výkaz ziskov a strát, v čistom</w:t>
            </w:r>
          </w:p>
          <w:p w14:paraId="1804BE4C" w14:textId="5A871311" w:rsidR="00706701" w:rsidRPr="00704862" w:rsidRDefault="00706701" w:rsidP="00816707">
            <w:pPr>
              <w:autoSpaceDE w:val="0"/>
              <w:autoSpaceDN w:val="0"/>
              <w:adjustRightInd w:val="0"/>
              <w:jc w:val="left"/>
              <w:rPr>
                <w:rFonts w:ascii="Times New Roman" w:hAnsi="Times New Roman"/>
                <w:sz w:val="24"/>
              </w:rPr>
            </w:pPr>
            <w:r w:rsidRPr="00704862">
              <w:rPr>
                <w:rFonts w:ascii="Times New Roman" w:hAnsi="Times New Roman"/>
                <w:sz w:val="24"/>
              </w:rPr>
              <w:t>Inštitúcie vykazujú zisky alebo (–) straty z ukončenia vykazovania finančných aktív, ktoré nie sú ocenené v reálnej hodnote cez výkaz ziskov a strát, v čistom vyjadrení, v súlade s časťou 2 ods. 45 prílohy V k IT riešeniam EBA alebo v súlade so smernicou o ročnej účtovnej závierke, článkom 27, Vertikálne usporiadanie, ods. 6.</w:t>
            </w:r>
          </w:p>
        </w:tc>
      </w:tr>
      <w:tr w:rsidR="00706701" w:rsidRPr="00704862"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Zisky alebo (–) straty z neobchodných finančných aktív povinne vykazovaných v reálnej hodnote cez výkaz ziskov a strát, v čistom</w:t>
            </w:r>
          </w:p>
          <w:p w14:paraId="701ABB48" w14:textId="0AF357E2" w:rsidR="00706701" w:rsidRPr="00704862" w:rsidRDefault="00706701" w:rsidP="00816707">
            <w:pPr>
              <w:autoSpaceDE w:val="0"/>
              <w:autoSpaceDN w:val="0"/>
              <w:adjustRightInd w:val="0"/>
              <w:jc w:val="left"/>
              <w:rPr>
                <w:rFonts w:ascii="Times New Roman" w:hAnsi="Times New Roman"/>
                <w:sz w:val="24"/>
              </w:rPr>
            </w:pPr>
            <w:r w:rsidRPr="00704862">
              <w:rPr>
                <w:rFonts w:ascii="Times New Roman" w:hAnsi="Times New Roman"/>
                <w:sz w:val="24"/>
              </w:rPr>
              <w:t>Inštitúcie vykazujú zisky alebo (–) straty z neobchodných finančných aktív povinne oceňovaných v reálnej hodnote cez výkaz ziskov a strát v čistom vyjadrení v súlade s časťou 2 odsekom 46 prílohy V k IT riešeniam EBA.</w:t>
            </w:r>
          </w:p>
        </w:tc>
      </w:tr>
      <w:tr w:rsidR="00706701" w:rsidRPr="00704862"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704862" w:rsidRDefault="00706701" w:rsidP="00816707">
            <w:pPr>
              <w:keepNext/>
              <w:jc w:val="left"/>
              <w:rPr>
                <w:rFonts w:ascii="Times New Roman" w:hAnsi="Times New Roman"/>
                <w:b/>
                <w:bCs/>
                <w:sz w:val="24"/>
              </w:rPr>
            </w:pPr>
            <w:r w:rsidRPr="00704862">
              <w:rPr>
                <w:rFonts w:ascii="Times New Roman" w:hAnsi="Times New Roman"/>
                <w:b/>
                <w:sz w:val="24"/>
                <w:u w:val="single"/>
              </w:rPr>
              <w:t>Zisky alebo (–) straty z finančných aktív a záväzkov ocenených v reálnej hodnote cez výkaz ziskov a strát, v čistom</w:t>
            </w:r>
          </w:p>
          <w:p w14:paraId="38E43415" w14:textId="347F3160" w:rsidR="00706701" w:rsidRPr="00704862" w:rsidRDefault="00706701" w:rsidP="00816707">
            <w:pPr>
              <w:jc w:val="left"/>
              <w:rPr>
                <w:rFonts w:ascii="Times New Roman" w:hAnsi="Times New Roman"/>
                <w:sz w:val="24"/>
              </w:rPr>
            </w:pPr>
            <w:r w:rsidRPr="00704862">
              <w:rPr>
                <w:rFonts w:ascii="Times New Roman" w:hAnsi="Times New Roman"/>
                <w:sz w:val="24"/>
              </w:rPr>
              <w:t>Inštitúcie vykazujú zisky alebo (–) straty z finančných aktív povinne ocenených v reálnej hodnote cez výkaz ziskov a strát v čistom vyjadrení, v súlade s časťou 2 ods. 44 prílohy V k IT riešeniam EBA.</w:t>
            </w:r>
          </w:p>
        </w:tc>
      </w:tr>
      <w:tr w:rsidR="00706701" w:rsidRPr="00704862"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704862" w:rsidRDefault="00706701" w:rsidP="00816707">
            <w:pPr>
              <w:keepNext/>
              <w:jc w:val="left"/>
              <w:rPr>
                <w:rFonts w:ascii="Times New Roman" w:hAnsi="Times New Roman"/>
                <w:b/>
                <w:bCs/>
                <w:sz w:val="24"/>
              </w:rPr>
            </w:pPr>
            <w:r w:rsidRPr="00704862">
              <w:rPr>
                <w:rFonts w:ascii="Times New Roman" w:hAnsi="Times New Roman"/>
                <w:b/>
                <w:sz w:val="24"/>
                <w:u w:val="single"/>
              </w:rPr>
              <w:t xml:space="preserve">Banková kniha – Zisky alebo (–) straty z účtovania </w:t>
            </w:r>
            <w:proofErr w:type="spellStart"/>
            <w:r w:rsidRPr="00704862">
              <w:rPr>
                <w:rFonts w:ascii="Times New Roman" w:hAnsi="Times New Roman"/>
                <w:b/>
                <w:sz w:val="24"/>
                <w:u w:val="single"/>
              </w:rPr>
              <w:t>hedžingu</w:t>
            </w:r>
            <w:proofErr w:type="spellEnd"/>
            <w:r w:rsidRPr="00704862">
              <w:rPr>
                <w:rFonts w:ascii="Times New Roman" w:hAnsi="Times New Roman"/>
                <w:b/>
                <w:sz w:val="24"/>
                <w:u w:val="single"/>
              </w:rPr>
              <w:t>, v čistom</w:t>
            </w:r>
          </w:p>
          <w:p w14:paraId="2A6D52A9" w14:textId="0E95F32A" w:rsidR="00706701" w:rsidRPr="00704862" w:rsidRDefault="00706701" w:rsidP="00816707">
            <w:pPr>
              <w:jc w:val="left"/>
              <w:rPr>
                <w:rFonts w:ascii="Times New Roman" w:eastAsia="Segoe UI" w:hAnsi="Times New Roman"/>
                <w:color w:val="333333"/>
                <w:sz w:val="24"/>
              </w:rPr>
            </w:pPr>
            <w:r w:rsidRPr="00704862">
              <w:rPr>
                <w:rFonts w:ascii="Times New Roman" w:hAnsi="Times New Roman"/>
                <w:sz w:val="24"/>
              </w:rPr>
              <w:t xml:space="preserve">Inštitúcie vykazujú zisky alebo (–) straty z účtovania </w:t>
            </w:r>
            <w:proofErr w:type="spellStart"/>
            <w:r w:rsidRPr="00704862">
              <w:rPr>
                <w:rFonts w:ascii="Times New Roman" w:hAnsi="Times New Roman"/>
                <w:sz w:val="24"/>
              </w:rPr>
              <w:t>hedžingu</w:t>
            </w:r>
            <w:proofErr w:type="spellEnd"/>
            <w:r w:rsidRPr="00704862">
              <w:rPr>
                <w:rFonts w:ascii="Times New Roman" w:hAnsi="Times New Roman"/>
                <w:sz w:val="24"/>
              </w:rPr>
              <w:t xml:space="preserve"> v čistom vyjadrení v súlade s časťou 2 odsekom 47 prílohy V k IT riešeniam EBA alebo v súlade s článkom 8 ods. 1 písm. a), ods. 6 a 8 smernice o účtovníctve, ak tieto </w:t>
            </w:r>
            <w:r w:rsidRPr="00704862">
              <w:rPr>
                <w:rFonts w:ascii="Times New Roman" w:hAnsi="Times New Roman"/>
                <w:sz w:val="24"/>
              </w:rPr>
              <w:lastRenderedPageBreak/>
              <w:t>zisky alebo straty pochádzajú z finančných aktív a záväzkov držaných v bankovej knihe.</w:t>
            </w:r>
          </w:p>
        </w:tc>
      </w:tr>
      <w:tr w:rsidR="00706701" w:rsidRPr="00704862"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704862" w:rsidRDefault="00706701">
            <w:pPr>
              <w:jc w:val="center"/>
              <w:rPr>
                <w:rFonts w:ascii="Times New Roman" w:hAnsi="Times New Roman"/>
                <w:sz w:val="24"/>
              </w:rPr>
            </w:pPr>
            <w:r w:rsidRPr="00704862">
              <w:rPr>
                <w:rFonts w:ascii="Times New Roman" w:hAnsi="Times New Roman"/>
                <w:sz w:val="24"/>
                <w:lang w:eastAsia="en-GB"/>
              </w:rPr>
              <w:lastRenderedPageBreak/>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704862" w:rsidRDefault="00706701"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Banková kniha – kurzové rozdiely [zisk alebo (–) strata], v čistom</w:t>
            </w:r>
          </w:p>
          <w:p w14:paraId="64BD0466" w14:textId="299E4A15" w:rsidR="00706701" w:rsidRPr="00704862" w:rsidRDefault="00706701" w:rsidP="00816707">
            <w:pPr>
              <w:autoSpaceDE w:val="0"/>
              <w:autoSpaceDN w:val="0"/>
              <w:adjustRightInd w:val="0"/>
              <w:jc w:val="left"/>
              <w:rPr>
                <w:rFonts w:ascii="Times New Roman" w:hAnsi="Times New Roman"/>
                <w:sz w:val="24"/>
              </w:rPr>
            </w:pPr>
            <w:r w:rsidRPr="00704862">
              <w:rPr>
                <w:rFonts w:ascii="Times New Roman" w:hAnsi="Times New Roman"/>
                <w:sz w:val="24"/>
              </w:rPr>
              <w:t>Inštitúcie vykazujú kurzové rozdiely [zisk alebo (–) strata] v čistom vyjadrení v súlade s IAS 21.28, 52 písm. a) alebo v súlade s článkom 39 smernice o ročnej účtovnej závierke, ak tieto rozdiely pochádzajú z finančných aktív a záväzkov držaných v bankovej knihe.</w:t>
            </w:r>
          </w:p>
        </w:tc>
      </w:tr>
    </w:tbl>
    <w:p w14:paraId="3BAED557" w14:textId="25A6B242" w:rsidR="00706701" w:rsidRPr="00704862" w:rsidRDefault="009D4652" w:rsidP="00816707">
      <w:pPr>
        <w:keepNext/>
        <w:spacing w:before="240" w:after="240"/>
        <w:outlineLvl w:val="1"/>
        <w:rPr>
          <w:rFonts w:ascii="Times New Roman" w:eastAsia="Arial" w:hAnsi="Times New Roman"/>
          <w:b/>
          <w:sz w:val="24"/>
        </w:rPr>
      </w:pPr>
      <w:r w:rsidRPr="00704862">
        <w:rPr>
          <w:rFonts w:ascii="Times New Roman" w:hAnsi="Times New Roman"/>
          <w:b/>
          <w:sz w:val="24"/>
        </w:rPr>
        <w:t>C 16.03 Rozdelenie operačného rizika (OPR BD)</w:t>
      </w:r>
    </w:p>
    <w:p w14:paraId="0786BD02" w14:textId="083AB539" w:rsidR="005537B7" w:rsidRPr="00704862" w:rsidRDefault="005A02FF" w:rsidP="3B06A011">
      <w:pPr>
        <w:spacing w:before="0" w:after="240"/>
        <w:rPr>
          <w:rFonts w:ascii="Times New Roman" w:hAnsi="Times New Roman"/>
          <w:color w:val="000000" w:themeColor="text1"/>
          <w:sz w:val="24"/>
        </w:rPr>
      </w:pPr>
      <w:r w:rsidRPr="00704862">
        <w:rPr>
          <w:rStyle w:val="DNEx2"/>
        </w:rPr>
        <w:t xml:space="preserve">141 j </w:t>
      </w:r>
      <w:r w:rsidRPr="00704862">
        <w:rPr>
          <w:rFonts w:ascii="Times New Roman" w:hAnsi="Times New Roman"/>
          <w:color w:val="000000" w:themeColor="text1"/>
          <w:sz w:val="24"/>
        </w:rPr>
        <w:t>V súlade s článkom 314 ods. 5 nariadenia (EÚ) č. 575/2013 sa v tomto vzore uvádzajú podrobné informácie o stratách, nákladoch, rezervách a iných finančných vplyvoch z bežných bankových operácií v dôsledku udalostí operačného rizika, ktoré sa účtujú do všetkých položiek výkazu ziskov a strát. V prípade, že tieto straty, výdavky, rezervy a iné finančné straty nie sú spôsobené udalosťami operačného rizika, nebudú v tomto vzore zaznamenané a namiesto toho sa vykážu v oddiele ILDC vzoru C 16.02. Tu vykázané položky vstupujú do výpočtu ostatných prevádzkových nákladov vo vzore C 16.02, ktoré sa používajú na výpočet SC BI.</w:t>
      </w:r>
    </w:p>
    <w:p w14:paraId="442B3A41" w14:textId="79CB4E46" w:rsidR="008D04DE" w:rsidRPr="00704862" w:rsidRDefault="008D04DE" w:rsidP="3B06A011">
      <w:pPr>
        <w:spacing w:before="0" w:after="240"/>
        <w:rPr>
          <w:rFonts w:ascii="Times New Roman" w:hAnsi="Times New Roman"/>
          <w:sz w:val="24"/>
        </w:rPr>
      </w:pPr>
      <w:r w:rsidRPr="00704862">
        <w:rPr>
          <w:rStyle w:val="DNEx2"/>
        </w:rPr>
        <w:t xml:space="preserve">141 ja. </w:t>
      </w:r>
      <w:r w:rsidRPr="00704862">
        <w:rPr>
          <w:rFonts w:ascii="Times New Roman" w:hAnsi="Times New Roman"/>
          <w:sz w:val="24"/>
        </w:rPr>
        <w:t>Podľa stĺpca inštitúcie vykazujú hodnotu podľa platného účtovného štandardu za každý z posledných troch finančných rokov. Inštitúcie pravidelne prehodnocujú účtovné hodnoty a v prípade potreby ich upravujú tak, aby odrážali vplyv zlúčení/splynutí, nadobudnutí a odpredajov v súlade s článkom 315 ods. 1 a 2 nariadenia (EÚ) č. 575/2013.</w:t>
      </w:r>
    </w:p>
    <w:p w14:paraId="4A051934" w14:textId="729C45E2" w:rsidR="0014735F" w:rsidRPr="00704862" w:rsidRDefault="0014735F" w:rsidP="008D04DE">
      <w:pPr>
        <w:spacing w:before="0" w:after="240"/>
        <w:rPr>
          <w:rFonts w:ascii="Times New Roman" w:hAnsi="Times New Roman"/>
          <w:sz w:val="24"/>
        </w:rPr>
      </w:pPr>
      <w:r w:rsidRPr="00704862">
        <w:rPr>
          <w:rStyle w:val="DNEx2"/>
        </w:rPr>
        <w:t xml:space="preserve">141 </w:t>
      </w:r>
      <w:proofErr w:type="spellStart"/>
      <w:r w:rsidRPr="00704862">
        <w:rPr>
          <w:rStyle w:val="DNEx2"/>
        </w:rPr>
        <w:t>jb</w:t>
      </w:r>
      <w:proofErr w:type="spellEnd"/>
      <w:r w:rsidRPr="00704862">
        <w:rPr>
          <w:rStyle w:val="DNEx2"/>
        </w:rPr>
        <w:t xml:space="preserve">. </w:t>
      </w:r>
      <w:r w:rsidRPr="00704862">
        <w:rPr>
          <w:rFonts w:ascii="Times New Roman" w:hAnsi="Times New Roman"/>
          <w:sz w:val="24"/>
        </w:rPr>
        <w:t xml:space="preserve">Ak sa na inštitúciu vzťahuje výnimka uvedená v článku 314 ods. 4 nariadenia (EÚ) č. 575/2013, inštitúcia do vzoru nezahrnie žiadne údaje z obchodných línií </w:t>
      </w:r>
      <w:proofErr w:type="spellStart"/>
      <w:r w:rsidRPr="00704862">
        <w:rPr>
          <w:rFonts w:ascii="Times New Roman" w:hAnsi="Times New Roman"/>
          <w:sz w:val="24"/>
        </w:rPr>
        <w:t>retailového</w:t>
      </w:r>
      <w:proofErr w:type="spellEnd"/>
      <w:r w:rsidRPr="00704862">
        <w:rPr>
          <w:rFonts w:ascii="Times New Roman" w:hAnsi="Times New Roman"/>
          <w:sz w:val="24"/>
        </w:rPr>
        <w:t xml:space="preserve"> a/alebo komerčného bankovníctva, v súlade s pokynmi pre vzor C 16.02.</w:t>
      </w:r>
    </w:p>
    <w:p w14:paraId="41A152DD" w14:textId="77777777" w:rsidR="008F173B" w:rsidRPr="00704862" w:rsidRDefault="008F173B" w:rsidP="00816707">
      <w:pPr>
        <w:keepNext/>
        <w:spacing w:before="0" w:after="240"/>
        <w:rPr>
          <w:rFonts w:ascii="Times New Roman" w:hAnsi="Times New Roman"/>
          <w:sz w:val="24"/>
          <w:u w:val="single"/>
        </w:rPr>
      </w:pPr>
      <w:r w:rsidRPr="00704862">
        <w:rPr>
          <w:rFonts w:ascii="Times New Roman" w:hAnsi="Times New Roman"/>
          <w:sz w:val="24"/>
          <w:u w:val="single"/>
        </w:rPr>
        <w:t>Pokyny týkajúce sa konkrétnych pozícií:</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704862" w14:paraId="0B7107E1" w14:textId="77777777" w:rsidTr="3B06A011">
        <w:trPr>
          <w:trHeight w:val="696"/>
        </w:trPr>
        <w:tc>
          <w:tcPr>
            <w:tcW w:w="9209" w:type="dxa"/>
            <w:gridSpan w:val="2"/>
            <w:shd w:val="clear" w:color="auto" w:fill="CCCCCC"/>
          </w:tcPr>
          <w:p w14:paraId="69A21E4B" w14:textId="633881A3" w:rsidR="009F552B" w:rsidRPr="00704862" w:rsidRDefault="009F552B">
            <w:pPr>
              <w:autoSpaceDE w:val="0"/>
              <w:autoSpaceDN w:val="0"/>
              <w:adjustRightInd w:val="0"/>
              <w:spacing w:after="0"/>
              <w:rPr>
                <w:rFonts w:ascii="Times New Roman" w:hAnsi="Times New Roman"/>
                <w:b/>
                <w:bCs/>
                <w:sz w:val="24"/>
              </w:rPr>
            </w:pPr>
            <w:r w:rsidRPr="00704862">
              <w:rPr>
                <w:rFonts w:ascii="Times New Roman" w:hAnsi="Times New Roman"/>
                <w:b/>
                <w:sz w:val="24"/>
              </w:rPr>
              <w:t xml:space="preserve">Riadky </w:t>
            </w:r>
          </w:p>
        </w:tc>
      </w:tr>
      <w:tr w:rsidR="009F552B" w:rsidRPr="00704862"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704862" w:rsidRDefault="004B40A6" w:rsidP="00816707">
            <w:pPr>
              <w:keepNext/>
              <w:jc w:val="left"/>
              <w:rPr>
                <w:rFonts w:ascii="Times New Roman" w:hAnsi="Times New Roman"/>
                <w:b/>
                <w:bCs/>
                <w:sz w:val="24"/>
                <w:u w:val="single"/>
              </w:rPr>
            </w:pPr>
            <w:r w:rsidRPr="00704862">
              <w:rPr>
                <w:rFonts w:ascii="Times New Roman" w:hAnsi="Times New Roman"/>
                <w:b/>
                <w:sz w:val="24"/>
                <w:u w:val="single"/>
              </w:rPr>
              <w:t>(Úrokové náklady)</w:t>
            </w:r>
          </w:p>
          <w:p w14:paraId="5797B5A2" w14:textId="18A0A5CE" w:rsidR="009F552B" w:rsidRPr="00704862" w:rsidRDefault="009F552B" w:rsidP="00816707">
            <w:pPr>
              <w:jc w:val="left"/>
              <w:rPr>
                <w:rFonts w:ascii="Times New Roman" w:hAnsi="Times New Roman"/>
                <w:sz w:val="24"/>
              </w:rPr>
            </w:pPr>
            <w:r w:rsidRPr="00704862">
              <w:rPr>
                <w:rFonts w:ascii="Times New Roman" w:hAnsi="Times New Roman"/>
                <w:sz w:val="24"/>
              </w:rPr>
              <w:t>Inštitúcie vykazujú úrokové náklady súvisiace s udalosťami operačného rizika v súlade s časťou 2 bodom 31 prílohy V k IT riešeniam EBA a podľa ďalších špecifikácií z časti 2 bodov 188, 190 a 194ii prílohy V k IT riešeniam EBA.</w:t>
            </w:r>
          </w:p>
        </w:tc>
      </w:tr>
      <w:tr w:rsidR="009F552B" w:rsidRPr="00704862"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704862" w:rsidRDefault="004B40A6"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(Ostatné prevádzkové náklady)</w:t>
            </w:r>
          </w:p>
          <w:p w14:paraId="61FAD11B" w14:textId="66058E06" w:rsidR="009F552B" w:rsidRPr="00704862" w:rsidRDefault="009F552B" w:rsidP="00816707">
            <w:pPr>
              <w:jc w:val="left"/>
              <w:rPr>
                <w:rFonts w:ascii="Times New Roman" w:hAnsi="Times New Roman"/>
                <w:sz w:val="24"/>
              </w:rPr>
            </w:pPr>
            <w:r w:rsidRPr="00704862">
              <w:rPr>
                <w:rFonts w:ascii="Times New Roman" w:hAnsi="Times New Roman"/>
                <w:sz w:val="24"/>
              </w:rPr>
              <w:t>Inštitúcie vykazujú zvyšok ostatných prevádzkových nákladov (Ostatné prevádzkové náklady. Ostatné) v súlade s časťou 2 bodmi 314 a 316 prílohy V k IT riešeniam EBA, ak nesúvisia s majetkom, ktorý je predmetom lízingu, a vznikli v dôsledku udalostí operačného rizika.</w:t>
            </w:r>
          </w:p>
        </w:tc>
      </w:tr>
      <w:tr w:rsidR="009F552B" w:rsidRPr="00704862"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lastRenderedPageBreak/>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704862" w:rsidRDefault="004B40A6"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(Administratívne výdavky)</w:t>
            </w:r>
          </w:p>
          <w:p w14:paraId="61C27363" w14:textId="1552BB56" w:rsidR="009F552B" w:rsidRPr="00704862" w:rsidRDefault="009F552B" w:rsidP="00816707">
            <w:pPr>
              <w:keepNext/>
              <w:jc w:val="left"/>
            </w:pPr>
            <w:r w:rsidRPr="00704862">
              <w:rPr>
                <w:rFonts w:ascii="Times New Roman" w:hAnsi="Times New Roman"/>
                <w:sz w:val="24"/>
              </w:rPr>
              <w:t>V dôsledku udalostí operačného rizika inštitúcie vykazujú:</w:t>
            </w:r>
          </w:p>
          <w:p w14:paraId="7BD17D9E" w14:textId="7D2BD965" w:rsidR="009F552B" w:rsidRPr="00704862" w:rsidRDefault="009F552B" w:rsidP="3B06A011">
            <w:pPr>
              <w:numPr>
                <w:ilvl w:val="0"/>
                <w:numId w:val="39"/>
              </w:numPr>
              <w:jc w:val="left"/>
              <w:rPr>
                <w:rFonts w:ascii="Times New Roman" w:hAnsi="Times New Roman"/>
                <w:sz w:val="24"/>
              </w:rPr>
            </w:pPr>
            <w:r w:rsidRPr="00704862">
              <w:rPr>
                <w:rFonts w:ascii="Times New Roman" w:hAnsi="Times New Roman"/>
                <w:sz w:val="24"/>
              </w:rPr>
              <w:t>výdavky na zamestnancov v súlade s IAS 19.7; IAS 1.102, IG 6 / smernica o ročnej účtovnej závierke, čl. 27, Vertikálne usporiadanie, ods. 8 písm. a) a ako sa uvádza v časti 2 ods. 311 prílohy V k IT riešeniam EBA;</w:t>
            </w:r>
          </w:p>
          <w:p w14:paraId="0EBA8EBF" w14:textId="76BE017A" w:rsidR="009F552B" w:rsidRPr="00704862" w:rsidRDefault="009F552B" w:rsidP="3B06A011">
            <w:pPr>
              <w:numPr>
                <w:ilvl w:val="0"/>
                <w:numId w:val="39"/>
              </w:numPr>
              <w:jc w:val="left"/>
              <w:rPr>
                <w:rFonts w:ascii="Times New Roman" w:hAnsi="Times New Roman"/>
                <w:sz w:val="24"/>
              </w:rPr>
            </w:pPr>
            <w:r w:rsidRPr="00704862">
              <w:rPr>
                <w:rFonts w:ascii="Times New Roman" w:hAnsi="Times New Roman"/>
                <w:sz w:val="24"/>
              </w:rPr>
              <w:t>ostatné administratívne výdavky v súlade s časťou 2 odsekmi 208i až 208x prílohy V k IT riešeniam EBA.</w:t>
            </w:r>
          </w:p>
          <w:p w14:paraId="57562758" w14:textId="563AF0E3" w:rsidR="009F552B" w:rsidRPr="00704862"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704862">
              <w:rPr>
                <w:rFonts w:ascii="Times New Roman" w:hAnsi="Times New Roman"/>
                <w:sz w:val="24"/>
              </w:rPr>
              <w:t>Inštitúcie vylúčia tie poplatky za outsourcing zaplatené za poskytovanie finančných služieb v prípade, že sú zahrnuté do administratívnych výdavkov podľa platného účtovného rámca.</w:t>
            </w:r>
          </w:p>
        </w:tc>
      </w:tr>
      <w:tr w:rsidR="009F552B" w:rsidRPr="00704862"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704862" w:rsidRDefault="004B40A6"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(Zníženie hodnoty v dôsledku udalostí operačného rizika)</w:t>
            </w:r>
          </w:p>
          <w:p w14:paraId="1F7B0374" w14:textId="2E380EC1" w:rsidR="009F552B" w:rsidRPr="00704862" w:rsidRDefault="009F552B" w:rsidP="00816707">
            <w:pPr>
              <w:autoSpaceDE w:val="0"/>
              <w:autoSpaceDN w:val="0"/>
              <w:adjustRightInd w:val="0"/>
              <w:jc w:val="left"/>
              <w:rPr>
                <w:rFonts w:ascii="Times New Roman" w:hAnsi="Times New Roman"/>
                <w:sz w:val="24"/>
              </w:rPr>
            </w:pPr>
            <w:r w:rsidRPr="00704862">
              <w:rPr>
                <w:rFonts w:ascii="Times New Roman" w:hAnsi="Times New Roman"/>
                <w:sz w:val="24"/>
              </w:rPr>
              <w:t>Inštitúcie vykazujú odpisy v súlade s IAS 1.102, 104, ktoré sú spôsobené udalosťami operačného rizika, okrem odpisov súvisiacich s majetkom, ktorý je predmetom lízingu.</w:t>
            </w:r>
          </w:p>
        </w:tc>
      </w:tr>
      <w:tr w:rsidR="009F552B" w:rsidRPr="00704862"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704862" w:rsidRDefault="004B40A6" w:rsidP="00816707">
            <w:pPr>
              <w:keepNext/>
              <w:autoSpaceDE w:val="0"/>
              <w:autoSpaceDN w:val="0"/>
              <w:adjustRightInd w:val="0"/>
              <w:jc w:val="left"/>
              <w:rPr>
                <w:rFonts w:ascii="Times New Roman" w:hAnsi="Times New Roman"/>
                <w:b/>
                <w:bCs/>
                <w:sz w:val="24"/>
                <w:u w:val="single"/>
              </w:rPr>
            </w:pPr>
            <w:r w:rsidRPr="00704862">
              <w:rPr>
                <w:rFonts w:ascii="Times New Roman" w:hAnsi="Times New Roman"/>
                <w:b/>
                <w:sz w:val="24"/>
                <w:u w:val="single"/>
              </w:rPr>
              <w:t>[Rezervy alebo (–) zrušenie rezerv]</w:t>
            </w:r>
          </w:p>
          <w:p w14:paraId="4CCFA330" w14:textId="379AD73C" w:rsidR="009F552B" w:rsidRPr="00704862" w:rsidRDefault="009F552B" w:rsidP="00816707">
            <w:pPr>
              <w:autoSpaceDE w:val="0"/>
              <w:autoSpaceDN w:val="0"/>
              <w:adjustRightInd w:val="0"/>
              <w:rPr>
                <w:rFonts w:ascii="Times New Roman" w:hAnsi="Times New Roman"/>
                <w:sz w:val="24"/>
              </w:rPr>
            </w:pPr>
            <w:r w:rsidRPr="00704862">
              <w:rPr>
                <w:rFonts w:ascii="Times New Roman" w:hAnsi="Times New Roman"/>
                <w:sz w:val="24"/>
              </w:rPr>
              <w:t>Inštitúcie vykazujú rezervy alebo (–) zrušenie rezerv v súlade s IAS 37.59, 84; IAS 1.98 písm. b), f), g) a s časťou 2 ods. 48i a 50 prílohy V k IT riešeniam EBA, ktoré sú spôsobené udalosťami operačného rizika.</w:t>
            </w:r>
          </w:p>
        </w:tc>
      </w:tr>
      <w:tr w:rsidR="009F552B" w:rsidRPr="00704862"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704862" w:rsidRDefault="00674FCF" w:rsidP="00816707">
            <w:pPr>
              <w:keepNext/>
              <w:jc w:val="left"/>
              <w:rPr>
                <w:rFonts w:ascii="Times New Roman" w:hAnsi="Times New Roman"/>
                <w:b/>
                <w:bCs/>
                <w:sz w:val="24"/>
                <w:u w:val="single"/>
              </w:rPr>
            </w:pPr>
            <w:r w:rsidRPr="00704862">
              <w:rPr>
                <w:rFonts w:ascii="Times New Roman" w:hAnsi="Times New Roman"/>
                <w:b/>
                <w:sz w:val="24"/>
                <w:u w:val="single"/>
              </w:rPr>
              <w:t>[Zníženie hodnoty alebo (–) zrušenie zníženia hodnoty]</w:t>
            </w:r>
          </w:p>
          <w:p w14:paraId="4D37D74D" w14:textId="77777777" w:rsidR="009F552B" w:rsidRPr="00704862" w:rsidRDefault="009F552B" w:rsidP="00816707">
            <w:pPr>
              <w:keepNext/>
              <w:autoSpaceDE w:val="0"/>
              <w:autoSpaceDN w:val="0"/>
              <w:adjustRightInd w:val="0"/>
              <w:jc w:val="left"/>
              <w:rPr>
                <w:rFonts w:ascii="Times New Roman" w:hAnsi="Times New Roman"/>
                <w:sz w:val="24"/>
              </w:rPr>
            </w:pPr>
            <w:r w:rsidRPr="00704862">
              <w:rPr>
                <w:rFonts w:ascii="Times New Roman" w:hAnsi="Times New Roman"/>
                <w:sz w:val="24"/>
              </w:rPr>
              <w:t>V dôsledku udalostí operačného rizika inštitúcie vykazujú:</w:t>
            </w:r>
          </w:p>
          <w:p w14:paraId="724B79DD" w14:textId="78CC1E40" w:rsidR="009F552B" w:rsidRPr="00704862" w:rsidRDefault="009F552B" w:rsidP="3B06A011">
            <w:pPr>
              <w:pStyle w:val="ListParagraph"/>
              <w:numPr>
                <w:ilvl w:val="0"/>
                <w:numId w:val="38"/>
              </w:numPr>
              <w:autoSpaceDE w:val="0"/>
              <w:autoSpaceDN w:val="0"/>
              <w:adjustRightInd w:val="0"/>
              <w:jc w:val="left"/>
              <w:rPr>
                <w:rFonts w:ascii="Times New Roman" w:hAnsi="Times New Roman"/>
                <w:sz w:val="24"/>
              </w:rPr>
            </w:pPr>
            <w:r w:rsidRPr="00704862">
              <w:rPr>
                <w:rFonts w:ascii="Times New Roman" w:hAnsi="Times New Roman"/>
                <w:sz w:val="24"/>
              </w:rPr>
              <w:t>zníženie hodnoty alebo zrušenie zníženia hodnoty finančných aktív, ktoré nie sú oceňované v reálnej hodnote cez výkaz ziskov a strát, v súlade s časťou 2 odsekmi 51 a 53 prílohy V k IT riešeniam EBA.</w:t>
            </w:r>
          </w:p>
          <w:p w14:paraId="0EC36168" w14:textId="3FF3C7AB" w:rsidR="009F552B" w:rsidRPr="00704862" w:rsidRDefault="009F552B">
            <w:pPr>
              <w:pStyle w:val="ListParagraph"/>
              <w:numPr>
                <w:ilvl w:val="0"/>
                <w:numId w:val="38"/>
              </w:numPr>
              <w:autoSpaceDE w:val="0"/>
              <w:autoSpaceDN w:val="0"/>
              <w:adjustRightInd w:val="0"/>
              <w:jc w:val="left"/>
              <w:rPr>
                <w:rFonts w:ascii="Times New Roman" w:hAnsi="Times New Roman"/>
                <w:sz w:val="24"/>
              </w:rPr>
            </w:pPr>
            <w:r w:rsidRPr="00704862">
              <w:rPr>
                <w:rFonts w:ascii="Times New Roman" w:hAnsi="Times New Roman"/>
                <w:sz w:val="24"/>
              </w:rPr>
              <w:t>zníženie hodnoty alebo zrušenie zníženia hodnoty investícií do dcérskych spoločností, spoločných podnikov a pridružených podnikov v súlade s IAS 28, ods. 40 až 43.</w:t>
            </w:r>
          </w:p>
          <w:p w14:paraId="787C8847" w14:textId="063FB4C8" w:rsidR="009F552B" w:rsidRPr="00704862" w:rsidRDefault="009F552B" w:rsidP="3B06A011">
            <w:pPr>
              <w:autoSpaceDE w:val="0"/>
              <w:autoSpaceDN w:val="0"/>
              <w:adjustRightInd w:val="0"/>
              <w:spacing w:before="0" w:after="0"/>
              <w:jc w:val="left"/>
              <w:rPr>
                <w:rFonts w:ascii="Times New Roman" w:hAnsi="Times New Roman"/>
                <w:sz w:val="24"/>
              </w:rPr>
            </w:pPr>
            <w:r w:rsidRPr="00704862">
              <w:rPr>
                <w:rFonts w:ascii="Times New Roman" w:hAnsi="Times New Roman"/>
                <w:sz w:val="24"/>
              </w:rPr>
              <w:t>Zníženie hodnoty alebo (–) zrušenie zníženia hodnoty v dôsledku strát z úverového rizika sa v tomto riadku neposudzuje bez ohľadu na príslušný účtovný rámec z dôvodu, že nesúvisí s udalosťami operačného rizika.</w:t>
            </w:r>
          </w:p>
        </w:tc>
      </w:tr>
      <w:tr w:rsidR="009F552B" w:rsidRPr="00704862"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704862" w:rsidRDefault="009F552B">
            <w:pPr>
              <w:spacing w:before="0" w:after="0"/>
              <w:jc w:val="center"/>
              <w:rPr>
                <w:rFonts w:ascii="Times New Roman" w:hAnsi="Times New Roman"/>
                <w:sz w:val="24"/>
              </w:rPr>
            </w:pPr>
            <w:r w:rsidRPr="00704862">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704862" w:rsidRDefault="005C6B6E" w:rsidP="005D2D2B">
            <w:pPr>
              <w:pStyle w:val="Style2"/>
            </w:pPr>
            <w:bookmarkStart w:id="60" w:name="_Hlk152863457"/>
            <w:r w:rsidRPr="00704862">
              <w:t>(Ostatné</w:t>
            </w:r>
            <w:bookmarkEnd w:id="60"/>
            <w:r w:rsidRPr="00704862">
              <w:t>)</w:t>
            </w:r>
          </w:p>
          <w:p w14:paraId="772CE03A" w14:textId="4A3FD976" w:rsidR="009F552B" w:rsidRPr="00704862" w:rsidRDefault="009F552B" w:rsidP="00816707">
            <w:pPr>
              <w:spacing w:before="0"/>
              <w:jc w:val="left"/>
              <w:rPr>
                <w:rFonts w:ascii="Times New Roman" w:hAnsi="Times New Roman"/>
                <w:sz w:val="24"/>
              </w:rPr>
            </w:pPr>
            <w:r w:rsidRPr="00704862">
              <w:rPr>
                <w:rFonts w:ascii="Times New Roman" w:hAnsi="Times New Roman"/>
                <w:sz w:val="24"/>
              </w:rPr>
              <w:t>Inštitúcie vykazujú zvyšok ostatných strát spôsobených udalosťami operačného rizika, ktoré nie sú zahrnuté v uvedenom.</w:t>
            </w:r>
          </w:p>
        </w:tc>
      </w:tr>
      <w:tr w:rsidR="009F552B" w:rsidRPr="00704862"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704862" w:rsidRDefault="009F552B">
            <w:pPr>
              <w:jc w:val="center"/>
              <w:rPr>
                <w:rFonts w:ascii="Times New Roman" w:hAnsi="Times New Roman"/>
                <w:sz w:val="24"/>
              </w:rPr>
            </w:pPr>
            <w:r w:rsidRPr="00704862">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704862" w:rsidRDefault="005C6B6E" w:rsidP="00816707">
            <w:pPr>
              <w:keepNext/>
              <w:jc w:val="left"/>
              <w:rPr>
                <w:rFonts w:ascii="Times New Roman" w:hAnsi="Times New Roman"/>
                <w:b/>
                <w:bCs/>
                <w:sz w:val="24"/>
                <w:u w:val="single"/>
              </w:rPr>
            </w:pPr>
            <w:r w:rsidRPr="00704862">
              <w:rPr>
                <w:rFonts w:ascii="Times New Roman" w:hAnsi="Times New Roman"/>
                <w:b/>
                <w:sz w:val="24"/>
                <w:u w:val="single"/>
              </w:rPr>
              <w:t>(Spolu)</w:t>
            </w:r>
          </w:p>
          <w:p w14:paraId="7430E0AB" w14:textId="77777777" w:rsidR="009F552B" w:rsidRPr="00704862" w:rsidRDefault="009F552B">
            <w:pPr>
              <w:spacing w:before="0"/>
              <w:jc w:val="left"/>
              <w:rPr>
                <w:rFonts w:ascii="Times New Roman" w:hAnsi="Times New Roman"/>
                <w:sz w:val="24"/>
              </w:rPr>
            </w:pPr>
            <w:r w:rsidRPr="00704862">
              <w:rPr>
                <w:rFonts w:ascii="Times New Roman" w:hAnsi="Times New Roman"/>
                <w:sz w:val="24"/>
              </w:rPr>
              <w:t>Je to súčet súm v riadkoch 0010 až 0070 tohto vzoru.</w:t>
            </w:r>
          </w:p>
        </w:tc>
      </w:tr>
    </w:tbl>
    <w:p w14:paraId="46FBD577" w14:textId="77777777" w:rsidR="008F173B" w:rsidRPr="00704862" w:rsidRDefault="008F173B" w:rsidP="00E150E9">
      <w:pPr>
        <w:spacing w:before="0" w:after="240"/>
        <w:rPr>
          <w:rFonts w:ascii="Times New Roman" w:hAnsi="Times New Roman"/>
          <w:sz w:val="24"/>
          <w:u w:val="single"/>
          <w:lang w:eastAsia="de-DE"/>
        </w:rPr>
      </w:pPr>
    </w:p>
    <w:p w14:paraId="34C0CC98" w14:textId="2F5C6465" w:rsidR="0006491B" w:rsidRPr="00704862" w:rsidRDefault="00F14249" w:rsidP="00F14249">
      <w:pPr>
        <w:keepNext/>
        <w:spacing w:before="240" w:after="240"/>
        <w:outlineLvl w:val="1"/>
        <w:rPr>
          <w:rFonts w:ascii="Times New Roman" w:eastAsia="Arial" w:hAnsi="Times New Roman"/>
          <w:b/>
          <w:sz w:val="24"/>
          <w:u w:val="single"/>
        </w:rPr>
      </w:pPr>
      <w:r w:rsidRPr="00704862">
        <w:rPr>
          <w:rFonts w:ascii="Times New Roman" w:hAnsi="Times New Roman"/>
          <w:b/>
          <w:sz w:val="24"/>
          <w:u w:val="single"/>
        </w:rPr>
        <w:t>C 16.04 – Informácie o dcérskych spoločnostiach, na ktoré sa vzťahuje článok 314 ods. 3</w:t>
      </w:r>
    </w:p>
    <w:p w14:paraId="3BD38534" w14:textId="280DEE20" w:rsidR="0070736D" w:rsidRPr="00704862" w:rsidRDefault="00350A84" w:rsidP="00816707">
      <w:pPr>
        <w:spacing w:before="240" w:after="240"/>
        <w:outlineLvl w:val="1"/>
        <w:rPr>
          <w:rFonts w:ascii="Times New Roman" w:hAnsi="Times New Roman"/>
          <w:sz w:val="24"/>
        </w:rPr>
      </w:pPr>
      <w:r w:rsidRPr="00704862">
        <w:rPr>
          <w:rStyle w:val="DNEx2"/>
        </w:rPr>
        <w:t xml:space="preserve">141 k </w:t>
      </w:r>
      <w:r w:rsidRPr="00704862">
        <w:rPr>
          <w:rFonts w:ascii="Times New Roman" w:hAnsi="Times New Roman"/>
          <w:sz w:val="24"/>
        </w:rPr>
        <w:t xml:space="preserve">V prípade konsolidovaného vykazovania, keď sa na inštitúciu vzťahuje výnimka uvedená v článku 314 ods. 3, sa tu poskytnú informácie o ILDC a jej čiastkových zložkách za tie dcérske </w:t>
      </w:r>
      <w:r w:rsidRPr="00704862">
        <w:rPr>
          <w:rFonts w:ascii="Times New Roman" w:hAnsi="Times New Roman"/>
          <w:sz w:val="24"/>
        </w:rPr>
        <w:lastRenderedPageBreak/>
        <w:t>inštitúcie, pre ktoré sa počíta samostatná ILDC. Pre každú dcérsku inštitúciu sa uvedie samostatný riadok. Zostatky medzi dcérskymi spoločnosťami, na ktoré sa vzťahuje výnimka uvedená v článku 314 ods. 3, a zvyškom skupiny sa vylúčia.</w:t>
      </w:r>
    </w:p>
    <w:p w14:paraId="6A4F0063" w14:textId="77394F39" w:rsidR="006127C5" w:rsidRPr="00704862" w:rsidRDefault="006B4564" w:rsidP="00816707">
      <w:pPr>
        <w:keepNext/>
        <w:spacing w:before="0" w:after="240"/>
        <w:rPr>
          <w:rFonts w:ascii="Times New Roman" w:hAnsi="Times New Roman"/>
          <w:sz w:val="24"/>
          <w:u w:val="single"/>
        </w:rPr>
      </w:pPr>
      <w:r w:rsidRPr="00704862">
        <w:rPr>
          <w:rFonts w:ascii="Times New Roman" w:hAnsi="Times New Roman"/>
          <w:sz w:val="24"/>
          <w:u w:val="single"/>
        </w:rPr>
        <w:t>Pokyny týkajúce sa konkrétnych pozícií:</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704862" w14:paraId="7B074C2D" w14:textId="77777777" w:rsidTr="29F3C040">
        <w:trPr>
          <w:trHeight w:val="300"/>
        </w:trPr>
        <w:tc>
          <w:tcPr>
            <w:tcW w:w="9015" w:type="dxa"/>
            <w:gridSpan w:val="2"/>
            <w:shd w:val="clear" w:color="auto" w:fill="BFBFBF" w:themeFill="background1" w:themeFillShade="BF"/>
          </w:tcPr>
          <w:p w14:paraId="798B9606" w14:textId="77777777" w:rsidR="006B3866" w:rsidRPr="00704862" w:rsidRDefault="006B3866" w:rsidP="00816707">
            <w:pPr>
              <w:keepNext/>
              <w:spacing w:after="0"/>
              <w:rPr>
                <w:rFonts w:ascii="Times New Roman" w:hAnsi="Times New Roman"/>
                <w:b/>
                <w:bCs/>
                <w:sz w:val="24"/>
              </w:rPr>
            </w:pPr>
            <w:r w:rsidRPr="00704862">
              <w:rPr>
                <w:rFonts w:ascii="Times New Roman" w:hAnsi="Times New Roman"/>
                <w:b/>
                <w:sz w:val="24"/>
              </w:rPr>
              <w:t>Stĺpce</w:t>
            </w:r>
          </w:p>
        </w:tc>
      </w:tr>
      <w:tr w:rsidR="006B3866" w:rsidRPr="00704862" w14:paraId="09575E6A" w14:textId="77777777" w:rsidTr="29F3C040">
        <w:trPr>
          <w:trHeight w:val="300"/>
        </w:trPr>
        <w:tc>
          <w:tcPr>
            <w:tcW w:w="1005" w:type="dxa"/>
            <w:shd w:val="clear" w:color="auto" w:fill="BFBFBF" w:themeFill="background1" w:themeFillShade="BF"/>
          </w:tcPr>
          <w:p w14:paraId="62025F0B" w14:textId="77777777" w:rsidR="006B3866" w:rsidRPr="00704862" w:rsidRDefault="006B3866" w:rsidP="00816707">
            <w:pPr>
              <w:keepNext/>
              <w:spacing w:before="0" w:after="240"/>
              <w:jc w:val="left"/>
              <w:rPr>
                <w:rFonts w:ascii="Times New Roman" w:hAnsi="Times New Roman"/>
                <w:sz w:val="24"/>
                <w:highlight w:val="darkGray"/>
              </w:rPr>
            </w:pPr>
            <w:r w:rsidRPr="00704862">
              <w:rPr>
                <w:rFonts w:ascii="Times New Roman" w:hAnsi="Times New Roman"/>
                <w:sz w:val="24"/>
                <w:highlight w:val="darkGray"/>
                <w:lang w:val="en-GB" w:eastAsia="es-ES_tradnl"/>
              </w:rPr>
              <w:t>0010</w:t>
            </w:r>
          </w:p>
        </w:tc>
        <w:tc>
          <w:tcPr>
            <w:tcW w:w="8010" w:type="dxa"/>
          </w:tcPr>
          <w:p w14:paraId="10051D37" w14:textId="77777777" w:rsidR="006B3866" w:rsidRPr="00704862" w:rsidRDefault="006B3866" w:rsidP="00816707">
            <w:pPr>
              <w:keepNext/>
              <w:autoSpaceDE w:val="0"/>
              <w:autoSpaceDN w:val="0"/>
              <w:adjustRightInd w:val="0"/>
              <w:spacing w:before="0" w:after="240"/>
              <w:jc w:val="left"/>
              <w:rPr>
                <w:rFonts w:ascii="Times New Roman" w:hAnsi="Times New Roman"/>
                <w:b/>
                <w:bCs/>
                <w:sz w:val="24"/>
                <w:u w:val="single"/>
              </w:rPr>
            </w:pPr>
            <w:r w:rsidRPr="00704862">
              <w:rPr>
                <w:rFonts w:ascii="Times New Roman" w:hAnsi="Times New Roman"/>
                <w:b/>
                <w:sz w:val="24"/>
                <w:u w:val="single"/>
              </w:rPr>
              <w:t>Názov právnickej osoby</w:t>
            </w:r>
          </w:p>
          <w:p w14:paraId="2F3E6FE5" w14:textId="77777777" w:rsidR="006B3866" w:rsidRPr="00704862" w:rsidRDefault="006B3866">
            <w:pPr>
              <w:spacing w:before="0" w:after="240"/>
              <w:jc w:val="left"/>
              <w:rPr>
                <w:rFonts w:ascii="Times New Roman" w:hAnsi="Times New Roman"/>
                <w:sz w:val="24"/>
              </w:rPr>
            </w:pPr>
            <w:r w:rsidRPr="00704862">
              <w:rPr>
                <w:rFonts w:ascii="Times New Roman" w:hAnsi="Times New Roman"/>
                <w:sz w:val="24"/>
              </w:rPr>
              <w:t>Názov každej právnickej osoby</w:t>
            </w:r>
          </w:p>
        </w:tc>
      </w:tr>
      <w:tr w:rsidR="006B3866" w:rsidRPr="00704862" w14:paraId="0C574563" w14:textId="77777777" w:rsidTr="29F3C040">
        <w:trPr>
          <w:trHeight w:val="300"/>
        </w:trPr>
        <w:tc>
          <w:tcPr>
            <w:tcW w:w="1005" w:type="dxa"/>
            <w:shd w:val="clear" w:color="auto" w:fill="BFBFBF" w:themeFill="background1" w:themeFillShade="BF"/>
          </w:tcPr>
          <w:p w14:paraId="77CDC127" w14:textId="77777777" w:rsidR="006B3866" w:rsidRPr="00704862" w:rsidRDefault="006B3866">
            <w:pPr>
              <w:spacing w:before="0" w:after="240"/>
              <w:jc w:val="left"/>
              <w:rPr>
                <w:rFonts w:ascii="Times New Roman" w:hAnsi="Times New Roman"/>
                <w:sz w:val="24"/>
                <w:highlight w:val="darkGray"/>
              </w:rPr>
            </w:pPr>
            <w:r w:rsidRPr="00704862">
              <w:rPr>
                <w:rFonts w:ascii="Times New Roman" w:hAnsi="Times New Roman"/>
                <w:sz w:val="24"/>
                <w:highlight w:val="darkGray"/>
                <w:lang w:val="en-GB" w:eastAsia="es-ES_tradnl"/>
              </w:rPr>
              <w:t>0020</w:t>
            </w:r>
          </w:p>
        </w:tc>
        <w:tc>
          <w:tcPr>
            <w:tcW w:w="8010" w:type="dxa"/>
          </w:tcPr>
          <w:p w14:paraId="2B77DB4C" w14:textId="77777777" w:rsidR="006B3866" w:rsidRPr="00704862" w:rsidRDefault="006B3866" w:rsidP="00816707">
            <w:pPr>
              <w:keepNext/>
              <w:autoSpaceDE w:val="0"/>
              <w:autoSpaceDN w:val="0"/>
              <w:adjustRightInd w:val="0"/>
              <w:spacing w:before="0" w:after="240"/>
              <w:jc w:val="left"/>
              <w:rPr>
                <w:rFonts w:ascii="Times New Roman" w:hAnsi="Times New Roman"/>
                <w:b/>
                <w:bCs/>
                <w:sz w:val="24"/>
                <w:u w:val="single"/>
              </w:rPr>
            </w:pPr>
            <w:r w:rsidRPr="00704862">
              <w:rPr>
                <w:rFonts w:ascii="Times New Roman" w:hAnsi="Times New Roman"/>
                <w:b/>
                <w:sz w:val="24"/>
                <w:u w:val="single"/>
              </w:rPr>
              <w:t>Kód LEI</w:t>
            </w:r>
          </w:p>
          <w:p w14:paraId="3024BC44" w14:textId="46C93A37" w:rsidR="006B3866" w:rsidRPr="00704862" w:rsidRDefault="006B3866">
            <w:pPr>
              <w:spacing w:before="0" w:after="240"/>
              <w:jc w:val="left"/>
              <w:rPr>
                <w:rFonts w:ascii="Times New Roman" w:eastAsia="Arial" w:hAnsi="Times New Roman"/>
                <w:sz w:val="24"/>
                <w:szCs w:val="20"/>
              </w:rPr>
            </w:pPr>
            <w:r w:rsidRPr="00704862">
              <w:rPr>
                <w:rFonts w:ascii="Times New Roman" w:hAnsi="Times New Roman"/>
                <w:sz w:val="24"/>
              </w:rPr>
              <w:t xml:space="preserve">Identifikačný kód právnickej osoby </w:t>
            </w:r>
          </w:p>
        </w:tc>
      </w:tr>
      <w:tr w:rsidR="006B3866" w:rsidRPr="00704862" w14:paraId="08733BAF" w14:textId="77777777" w:rsidTr="29F3C040">
        <w:trPr>
          <w:trHeight w:val="300"/>
        </w:trPr>
        <w:tc>
          <w:tcPr>
            <w:tcW w:w="1005" w:type="dxa"/>
            <w:shd w:val="clear" w:color="auto" w:fill="BFBFBF" w:themeFill="background1" w:themeFillShade="BF"/>
          </w:tcPr>
          <w:p w14:paraId="0B0DA1CA" w14:textId="77777777" w:rsidR="006B3866" w:rsidRPr="00704862" w:rsidRDefault="006B3866">
            <w:pPr>
              <w:spacing w:before="0" w:after="240"/>
              <w:jc w:val="left"/>
              <w:rPr>
                <w:rFonts w:ascii="Times New Roman" w:hAnsi="Times New Roman"/>
                <w:sz w:val="24"/>
                <w:highlight w:val="darkGray"/>
              </w:rPr>
            </w:pPr>
            <w:r w:rsidRPr="00704862">
              <w:rPr>
                <w:rFonts w:ascii="Times New Roman" w:hAnsi="Times New Roman"/>
                <w:sz w:val="24"/>
                <w:highlight w:val="darkGray"/>
                <w:lang w:val="en-GB" w:eastAsia="es-ES_tradnl"/>
              </w:rPr>
              <w:t>0030</w:t>
            </w:r>
          </w:p>
        </w:tc>
        <w:tc>
          <w:tcPr>
            <w:tcW w:w="8010" w:type="dxa"/>
          </w:tcPr>
          <w:p w14:paraId="2504660D" w14:textId="77777777" w:rsidR="006B3866" w:rsidRPr="00704862" w:rsidRDefault="006B3866" w:rsidP="00816707">
            <w:pPr>
              <w:keepNext/>
              <w:spacing w:before="0" w:after="240"/>
              <w:jc w:val="left"/>
              <w:rPr>
                <w:rFonts w:ascii="Times New Roman" w:hAnsi="Times New Roman"/>
                <w:b/>
                <w:bCs/>
                <w:sz w:val="24"/>
                <w:u w:val="single"/>
              </w:rPr>
            </w:pPr>
            <w:r w:rsidRPr="00704862">
              <w:rPr>
                <w:rFonts w:ascii="Times New Roman" w:hAnsi="Times New Roman"/>
                <w:b/>
                <w:sz w:val="24"/>
                <w:u w:val="single"/>
              </w:rPr>
              <w:t>ILDC</w:t>
            </w:r>
          </w:p>
          <w:p w14:paraId="34CBC5E2" w14:textId="77777777" w:rsidR="006B3866" w:rsidRPr="00704862" w:rsidRDefault="006B3866" w:rsidP="29F3C040">
            <w:pPr>
              <w:spacing w:before="0" w:after="240"/>
              <w:jc w:val="left"/>
              <w:rPr>
                <w:rFonts w:ascii="Times New Roman" w:hAnsi="Times New Roman"/>
                <w:color w:val="000000" w:themeColor="text1"/>
                <w:sz w:val="24"/>
              </w:rPr>
            </w:pPr>
            <w:r w:rsidRPr="00704862">
              <w:rPr>
                <w:rFonts w:ascii="Times New Roman" w:hAnsi="Times New Roman"/>
                <w:sz w:val="24"/>
              </w:rPr>
              <w:t>Zložka úrokov, lízingov a dividend (ILDC) sa vypočíta v súlade s článkom 314 ods. 2 nariadenia (EÚ) č. 575/2013.</w:t>
            </w:r>
          </w:p>
        </w:tc>
      </w:tr>
      <w:tr w:rsidR="006B3866" w:rsidRPr="00704862" w14:paraId="0236EA38" w14:textId="77777777" w:rsidTr="29F3C040">
        <w:trPr>
          <w:trHeight w:val="300"/>
        </w:trPr>
        <w:tc>
          <w:tcPr>
            <w:tcW w:w="1005" w:type="dxa"/>
            <w:shd w:val="clear" w:color="auto" w:fill="BFBFBF" w:themeFill="background1" w:themeFillShade="BF"/>
          </w:tcPr>
          <w:p w14:paraId="47C54E1D" w14:textId="77777777" w:rsidR="006B3866" w:rsidRPr="00704862" w:rsidRDefault="006B3866">
            <w:pPr>
              <w:spacing w:before="0" w:after="240"/>
              <w:jc w:val="left"/>
              <w:rPr>
                <w:rFonts w:ascii="Times New Roman" w:hAnsi="Times New Roman"/>
                <w:sz w:val="24"/>
                <w:highlight w:val="darkGray"/>
              </w:rPr>
            </w:pPr>
            <w:r w:rsidRPr="00704862">
              <w:rPr>
                <w:rFonts w:ascii="Times New Roman" w:hAnsi="Times New Roman"/>
                <w:sz w:val="24"/>
                <w:highlight w:val="darkGray"/>
                <w:lang w:val="en-GB" w:eastAsia="es-ES_tradnl"/>
              </w:rPr>
              <w:t>0040</w:t>
            </w:r>
          </w:p>
        </w:tc>
        <w:tc>
          <w:tcPr>
            <w:tcW w:w="8010" w:type="dxa"/>
          </w:tcPr>
          <w:p w14:paraId="77528872" w14:textId="77777777" w:rsidR="006B3866" w:rsidRPr="00704862" w:rsidRDefault="006B3866" w:rsidP="00816707">
            <w:pPr>
              <w:keepNext/>
              <w:spacing w:before="0" w:after="240"/>
              <w:jc w:val="left"/>
              <w:rPr>
                <w:rFonts w:ascii="Times New Roman" w:hAnsi="Times New Roman"/>
                <w:b/>
                <w:bCs/>
                <w:sz w:val="24"/>
                <w:u w:val="single"/>
              </w:rPr>
            </w:pPr>
            <w:r w:rsidRPr="00704862">
              <w:rPr>
                <w:rFonts w:ascii="Times New Roman" w:hAnsi="Times New Roman"/>
                <w:b/>
                <w:sz w:val="24"/>
                <w:u w:val="single"/>
              </w:rPr>
              <w:t>IC</w:t>
            </w:r>
          </w:p>
          <w:p w14:paraId="34497C6B" w14:textId="77777777" w:rsidR="006B3866" w:rsidRPr="00704862" w:rsidRDefault="006B3866">
            <w:pPr>
              <w:spacing w:before="0" w:after="240"/>
              <w:jc w:val="left"/>
              <w:rPr>
                <w:rFonts w:ascii="Times New Roman" w:hAnsi="Times New Roman"/>
                <w:b/>
                <w:bCs/>
                <w:sz w:val="24"/>
                <w:u w:val="single"/>
              </w:rPr>
            </w:pPr>
            <w:r w:rsidRPr="00704862">
              <w:rPr>
                <w:rFonts w:ascii="Times New Roman" w:hAnsi="Times New Roman"/>
                <w:sz w:val="24"/>
              </w:rPr>
              <w:t>Zložka úrokov (IC) sa vypočíta v súlade s článkom 314 ods. 2 nariadenia (EÚ) č. 575/2013.</w:t>
            </w:r>
          </w:p>
        </w:tc>
      </w:tr>
      <w:tr w:rsidR="006B3866" w:rsidRPr="00704862" w14:paraId="40B86984" w14:textId="77777777" w:rsidTr="29F3C040">
        <w:trPr>
          <w:trHeight w:val="300"/>
        </w:trPr>
        <w:tc>
          <w:tcPr>
            <w:tcW w:w="1005" w:type="dxa"/>
            <w:shd w:val="clear" w:color="auto" w:fill="BFBFBF" w:themeFill="background1" w:themeFillShade="BF"/>
          </w:tcPr>
          <w:p w14:paraId="0FC4158D" w14:textId="77777777" w:rsidR="006B3866" w:rsidRPr="00704862" w:rsidRDefault="006B3866">
            <w:pPr>
              <w:spacing w:before="0" w:after="240"/>
              <w:jc w:val="left"/>
              <w:rPr>
                <w:rFonts w:ascii="Times New Roman" w:hAnsi="Times New Roman"/>
                <w:sz w:val="24"/>
                <w:highlight w:val="darkGray"/>
              </w:rPr>
            </w:pPr>
            <w:r w:rsidRPr="00704862">
              <w:rPr>
                <w:rFonts w:ascii="Times New Roman" w:hAnsi="Times New Roman"/>
                <w:sz w:val="24"/>
                <w:highlight w:val="darkGray"/>
                <w:lang w:val="en-GB" w:eastAsia="es-ES_tradnl"/>
              </w:rPr>
              <w:t>0050</w:t>
            </w:r>
          </w:p>
        </w:tc>
        <w:tc>
          <w:tcPr>
            <w:tcW w:w="8010" w:type="dxa"/>
          </w:tcPr>
          <w:p w14:paraId="707B8655" w14:textId="77777777" w:rsidR="006B3866" w:rsidRPr="00704862" w:rsidRDefault="006B3866" w:rsidP="00816707">
            <w:pPr>
              <w:keepNext/>
              <w:autoSpaceDE w:val="0"/>
              <w:autoSpaceDN w:val="0"/>
              <w:adjustRightInd w:val="0"/>
              <w:spacing w:before="0" w:after="240"/>
              <w:jc w:val="left"/>
              <w:rPr>
                <w:rFonts w:ascii="Times New Roman" w:hAnsi="Times New Roman"/>
                <w:b/>
                <w:bCs/>
                <w:sz w:val="24"/>
                <w:u w:val="single"/>
              </w:rPr>
            </w:pPr>
            <w:r w:rsidRPr="00704862">
              <w:rPr>
                <w:rFonts w:ascii="Times New Roman" w:hAnsi="Times New Roman"/>
                <w:b/>
                <w:sz w:val="24"/>
                <w:u w:val="single"/>
              </w:rPr>
              <w:t>AC</w:t>
            </w:r>
          </w:p>
          <w:p w14:paraId="4DDD5FFE" w14:textId="77777777" w:rsidR="006B3866" w:rsidRPr="00704862" w:rsidRDefault="006B3866">
            <w:pPr>
              <w:spacing w:before="0" w:after="240"/>
              <w:jc w:val="left"/>
              <w:rPr>
                <w:rFonts w:ascii="Times New Roman" w:hAnsi="Times New Roman"/>
                <w:color w:val="000000" w:themeColor="text1"/>
                <w:sz w:val="24"/>
              </w:rPr>
            </w:pPr>
            <w:r w:rsidRPr="00704862">
              <w:rPr>
                <w:rFonts w:ascii="Times New Roman" w:hAnsi="Times New Roman"/>
                <w:color w:val="000000" w:themeColor="text1"/>
                <w:sz w:val="24"/>
              </w:rPr>
              <w:t>Zložka aktív (AC) sa vypočíta v súlade s článkom 314 ods. 2 nariadenia (EÚ) č. 575/2013.</w:t>
            </w:r>
          </w:p>
        </w:tc>
      </w:tr>
      <w:tr w:rsidR="006B3866" w:rsidRPr="00704862" w14:paraId="56C68C88" w14:textId="77777777" w:rsidTr="29F3C040">
        <w:trPr>
          <w:trHeight w:val="300"/>
        </w:trPr>
        <w:tc>
          <w:tcPr>
            <w:tcW w:w="1005" w:type="dxa"/>
            <w:shd w:val="clear" w:color="auto" w:fill="BFBFBF" w:themeFill="background1" w:themeFillShade="BF"/>
          </w:tcPr>
          <w:p w14:paraId="7DB4C969" w14:textId="77777777" w:rsidR="006B3866" w:rsidRPr="00704862" w:rsidRDefault="006B3866">
            <w:pPr>
              <w:spacing w:before="0" w:after="240"/>
              <w:jc w:val="left"/>
              <w:rPr>
                <w:rFonts w:ascii="Times New Roman" w:hAnsi="Times New Roman"/>
                <w:sz w:val="24"/>
                <w:highlight w:val="darkGray"/>
              </w:rPr>
            </w:pPr>
            <w:r w:rsidRPr="00704862">
              <w:rPr>
                <w:rFonts w:ascii="Times New Roman" w:hAnsi="Times New Roman"/>
                <w:sz w:val="24"/>
                <w:highlight w:val="darkGray"/>
                <w:lang w:val="en-GB" w:eastAsia="es-ES_tradnl"/>
              </w:rPr>
              <w:t>0060</w:t>
            </w:r>
          </w:p>
        </w:tc>
        <w:tc>
          <w:tcPr>
            <w:tcW w:w="8010" w:type="dxa"/>
          </w:tcPr>
          <w:p w14:paraId="1B9FC6E5" w14:textId="77777777" w:rsidR="006B3866" w:rsidRPr="00704862" w:rsidRDefault="006B3866" w:rsidP="00816707">
            <w:pPr>
              <w:keepNext/>
              <w:autoSpaceDE w:val="0"/>
              <w:autoSpaceDN w:val="0"/>
              <w:adjustRightInd w:val="0"/>
              <w:spacing w:before="0" w:after="240"/>
              <w:jc w:val="left"/>
              <w:rPr>
                <w:rFonts w:ascii="Times New Roman" w:hAnsi="Times New Roman"/>
                <w:b/>
                <w:bCs/>
                <w:sz w:val="24"/>
                <w:u w:val="single"/>
              </w:rPr>
            </w:pPr>
            <w:r w:rsidRPr="00704862">
              <w:rPr>
                <w:rFonts w:ascii="Times New Roman" w:hAnsi="Times New Roman"/>
                <w:b/>
                <w:sz w:val="24"/>
                <w:u w:val="single"/>
              </w:rPr>
              <w:t>DC</w:t>
            </w:r>
          </w:p>
          <w:p w14:paraId="5B9DFB82" w14:textId="77777777" w:rsidR="006B3866" w:rsidRPr="00704862" w:rsidRDefault="006B3866" w:rsidP="29F3C040">
            <w:pPr>
              <w:autoSpaceDE w:val="0"/>
              <w:autoSpaceDN w:val="0"/>
              <w:adjustRightInd w:val="0"/>
              <w:spacing w:before="0" w:after="240"/>
              <w:jc w:val="left"/>
              <w:rPr>
                <w:rFonts w:ascii="Times New Roman" w:hAnsi="Times New Roman"/>
                <w:color w:val="000000" w:themeColor="text1"/>
                <w:sz w:val="24"/>
              </w:rPr>
            </w:pPr>
            <w:r w:rsidRPr="00704862">
              <w:rPr>
                <w:rFonts w:ascii="Times New Roman" w:hAnsi="Times New Roman"/>
                <w:color w:val="000000" w:themeColor="text1"/>
                <w:sz w:val="24"/>
              </w:rPr>
              <w:t>Zložka dividend (DC) sa vypočíta v súlade s článkom 314 ods. 2 nariadenia (EÚ) č. 575/2013.</w:t>
            </w:r>
          </w:p>
        </w:tc>
      </w:tr>
    </w:tbl>
    <w:p w14:paraId="21F9BF35" w14:textId="58517957" w:rsidR="007E561D" w:rsidRPr="00704862" w:rsidRDefault="00FD54FC" w:rsidP="005D3C49">
      <w:pPr>
        <w:pStyle w:val="Instructionsberschrift2"/>
        <w:numPr>
          <w:ilvl w:val="1"/>
          <w:numId w:val="41"/>
        </w:numPr>
        <w:ind w:left="567" w:hanging="567"/>
        <w:rPr>
          <w:rFonts w:ascii="Times New Roman" w:hAnsi="Times New Roman" w:cs="Times New Roman"/>
          <w:sz w:val="24"/>
        </w:rPr>
      </w:pPr>
      <w:r w:rsidRPr="00704862">
        <w:rPr>
          <w:rFonts w:ascii="Times New Roman" w:hAnsi="Times New Roman"/>
          <w:sz w:val="24"/>
        </w:rPr>
        <w:t>Operačné riziko: Podrobné informácie o stratách za posledný rok (OPR DETAILS)</w:t>
      </w:r>
      <w:bookmarkEnd w:id="56"/>
      <w:bookmarkEnd w:id="57"/>
    </w:p>
    <w:p w14:paraId="430B891B" w14:textId="4472DD48" w:rsidR="00FD54FC" w:rsidRPr="00704862"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704862">
        <w:rPr>
          <w:rFonts w:ascii="Times New Roman" w:hAnsi="Times New Roman"/>
          <w:sz w:val="24"/>
        </w:rPr>
        <w:t>Všeobecné poznámky</w:t>
      </w:r>
      <w:bookmarkEnd w:id="61"/>
      <w:bookmarkEnd w:id="62"/>
    </w:p>
    <w:p w14:paraId="4AD0CC5E" w14:textId="39750429" w:rsidR="002871CE" w:rsidRPr="00704862" w:rsidRDefault="005C14B0" w:rsidP="00A768EA">
      <w:pPr>
        <w:pStyle w:val="InstructionsText2"/>
        <w:numPr>
          <w:ilvl w:val="0"/>
          <w:numId w:val="29"/>
        </w:numPr>
      </w:pPr>
      <w:bookmarkStart w:id="63" w:name="_Hlk152855791"/>
      <w:r w:rsidRPr="00704862">
        <w:t xml:space="preserve"> Vo vzore C 17.01 (OPR DETAILS 1) sa uvádzajú súhrnné informácie o hrubých stratách a pokrytí strát, ktoré inštitúcia zaznamenala za posledný rok, podľa druhov udalostí a obchodných línií v súlade s vymedzeniami v tabuľke 1 a tabuľke 2 v tomto oddiele. Vzor C 17.02 (OPR DETAILS 2) obsahuje podrobné informácie o najväčších stratových udalostiach v poslednom roku. Mali by sa zaznamenať len udalosti, ktoré majú za následok stratu.</w:t>
      </w:r>
    </w:p>
    <w:p w14:paraId="2FD685B4" w14:textId="42F38B19" w:rsidR="00C30107" w:rsidRPr="00704862" w:rsidRDefault="00C30107" w:rsidP="00816707">
      <w:pPr>
        <w:pStyle w:val="InstructionsText2"/>
        <w:keepNext/>
        <w:numPr>
          <w:ilvl w:val="0"/>
          <w:numId w:val="0"/>
        </w:numPr>
      </w:pPr>
      <w:r w:rsidRPr="00704862">
        <w:lastRenderedPageBreak/>
        <w:t>Tabuľka 1:  Druhy udalostí v prípade udalostí operačného rizika</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704862"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704862" w:rsidRDefault="00C30107" w:rsidP="00816707">
            <w:pPr>
              <w:keepNext/>
              <w:spacing w:before="60" w:after="60"/>
              <w:rPr>
                <w:rFonts w:ascii="Times New Roman" w:hAnsi="Times New Roman"/>
                <w:b/>
                <w:bCs/>
                <w:sz w:val="24"/>
              </w:rPr>
            </w:pPr>
            <w:r w:rsidRPr="00704862">
              <w:rPr>
                <w:rFonts w:ascii="Times New Roman" w:hAnsi="Times New Roman"/>
                <w:b/>
                <w:sz w:val="24"/>
              </w:rPr>
              <w:t>Kategória druhu udalosti</w:t>
            </w:r>
          </w:p>
        </w:tc>
        <w:tc>
          <w:tcPr>
            <w:tcW w:w="6450" w:type="dxa"/>
            <w:tcMar>
              <w:top w:w="30" w:type="dxa"/>
              <w:left w:w="30" w:type="dxa"/>
              <w:bottom w:w="30" w:type="dxa"/>
              <w:right w:w="30" w:type="dxa"/>
            </w:tcMar>
          </w:tcPr>
          <w:p w14:paraId="2E0EB72D" w14:textId="77777777" w:rsidR="00C30107" w:rsidRPr="00704862" w:rsidRDefault="00C30107" w:rsidP="00816707">
            <w:pPr>
              <w:keepNext/>
              <w:spacing w:before="60" w:after="60"/>
              <w:rPr>
                <w:rFonts w:ascii="Times New Roman" w:hAnsi="Times New Roman"/>
                <w:b/>
                <w:bCs/>
                <w:sz w:val="24"/>
              </w:rPr>
            </w:pPr>
            <w:r w:rsidRPr="00704862">
              <w:rPr>
                <w:rFonts w:ascii="Times New Roman" w:hAnsi="Times New Roman"/>
                <w:b/>
                <w:sz w:val="24"/>
              </w:rPr>
              <w:t>Vymedzenie pojmu</w:t>
            </w:r>
          </w:p>
        </w:tc>
      </w:tr>
      <w:tr w:rsidR="00C30107" w:rsidRPr="00704862"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704862" w:rsidRDefault="00C30107" w:rsidP="00816707">
            <w:pPr>
              <w:keepNext/>
              <w:spacing w:before="60" w:after="60"/>
              <w:rPr>
                <w:rFonts w:ascii="Times New Roman" w:hAnsi="Times New Roman"/>
                <w:sz w:val="24"/>
              </w:rPr>
            </w:pPr>
            <w:r w:rsidRPr="00704862">
              <w:rPr>
                <w:rFonts w:ascii="Times New Roman" w:hAnsi="Times New Roman"/>
                <w:sz w:val="24"/>
              </w:rPr>
              <w:t>Interný podvod</w:t>
            </w:r>
          </w:p>
        </w:tc>
        <w:tc>
          <w:tcPr>
            <w:tcW w:w="6450" w:type="dxa"/>
            <w:tcMar>
              <w:top w:w="30" w:type="dxa"/>
              <w:left w:w="30" w:type="dxa"/>
              <w:bottom w:w="30" w:type="dxa"/>
              <w:right w:w="30" w:type="dxa"/>
            </w:tcMar>
          </w:tcPr>
          <w:p w14:paraId="1E631938" w14:textId="77777777" w:rsidR="00C30107" w:rsidRPr="00704862" w:rsidRDefault="00C30107" w:rsidP="00816707">
            <w:pPr>
              <w:keepNext/>
              <w:spacing w:before="60" w:after="60"/>
              <w:rPr>
                <w:rFonts w:ascii="Times New Roman" w:hAnsi="Times New Roman"/>
                <w:sz w:val="24"/>
              </w:rPr>
            </w:pPr>
            <w:r w:rsidRPr="00704862">
              <w:rPr>
                <w:rFonts w:ascii="Times New Roman" w:hAnsi="Times New Roman"/>
                <w:sz w:val="24"/>
              </w:rPr>
              <w:t>Straty spôsobené činmi, ktorých cieľom je podvod, sprenevera majetku alebo obchádzanie predpisov, zákona alebo politiky spoločnosti, s výnimkou prípadov diverzity/diskriminácie, ktoré sa týkajú aspoň jednej internej strany</w:t>
            </w:r>
          </w:p>
        </w:tc>
      </w:tr>
      <w:tr w:rsidR="00C30107" w:rsidRPr="00704862"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704862" w:rsidRDefault="00C30107">
            <w:pPr>
              <w:spacing w:before="60" w:after="60"/>
              <w:rPr>
                <w:rFonts w:ascii="Times New Roman" w:hAnsi="Times New Roman"/>
                <w:sz w:val="24"/>
              </w:rPr>
            </w:pPr>
            <w:r w:rsidRPr="00704862">
              <w:rPr>
                <w:rFonts w:ascii="Times New Roman" w:hAnsi="Times New Roman"/>
                <w:sz w:val="24"/>
              </w:rPr>
              <w:t>Externý podvod</w:t>
            </w:r>
          </w:p>
        </w:tc>
        <w:tc>
          <w:tcPr>
            <w:tcW w:w="6450" w:type="dxa"/>
            <w:tcMar>
              <w:top w:w="30" w:type="dxa"/>
              <w:left w:w="30" w:type="dxa"/>
              <w:bottom w:w="30" w:type="dxa"/>
              <w:right w:w="30" w:type="dxa"/>
            </w:tcMar>
          </w:tcPr>
          <w:p w14:paraId="2E0CACFE" w14:textId="77777777" w:rsidR="00C30107" w:rsidRPr="00704862" w:rsidRDefault="00C30107" w:rsidP="29F3C040">
            <w:pPr>
              <w:spacing w:before="60" w:after="60"/>
              <w:rPr>
                <w:rFonts w:ascii="Times New Roman" w:hAnsi="Times New Roman"/>
                <w:sz w:val="24"/>
              </w:rPr>
            </w:pPr>
            <w:r w:rsidRPr="00704862">
              <w:rPr>
                <w:rFonts w:ascii="Times New Roman" w:hAnsi="Times New Roman"/>
                <w:sz w:val="24"/>
              </w:rPr>
              <w:t>Straty spôsobené konaním tretej strany, ktorého cieľom je podvod, sprenevera majetku alebo obchádzanie zákona</w:t>
            </w:r>
          </w:p>
        </w:tc>
      </w:tr>
      <w:tr w:rsidR="00C30107" w:rsidRPr="00704862"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704862" w:rsidRDefault="00C30107">
            <w:pPr>
              <w:spacing w:before="60" w:after="60"/>
              <w:rPr>
                <w:rFonts w:ascii="Times New Roman" w:hAnsi="Times New Roman"/>
                <w:sz w:val="24"/>
              </w:rPr>
            </w:pPr>
            <w:r w:rsidRPr="00704862">
              <w:rPr>
                <w:rFonts w:ascii="Times New Roman" w:hAnsi="Times New Roman"/>
                <w:sz w:val="24"/>
              </w:rPr>
              <w:t>Pracovné postupy a bezpečnosť na pracovisku</w:t>
            </w:r>
          </w:p>
        </w:tc>
        <w:tc>
          <w:tcPr>
            <w:tcW w:w="6450" w:type="dxa"/>
            <w:tcMar>
              <w:top w:w="30" w:type="dxa"/>
              <w:left w:w="30" w:type="dxa"/>
              <w:bottom w:w="30" w:type="dxa"/>
              <w:right w:w="30" w:type="dxa"/>
            </w:tcMar>
          </w:tcPr>
          <w:p w14:paraId="63E67FC3" w14:textId="77777777" w:rsidR="00C30107" w:rsidRPr="00704862" w:rsidRDefault="00C30107">
            <w:pPr>
              <w:spacing w:before="60" w:after="60"/>
              <w:rPr>
                <w:rFonts w:ascii="Times New Roman" w:hAnsi="Times New Roman"/>
                <w:sz w:val="24"/>
              </w:rPr>
            </w:pPr>
            <w:r w:rsidRPr="00704862">
              <w:rPr>
                <w:rFonts w:ascii="Times New Roman" w:hAnsi="Times New Roman"/>
                <w:sz w:val="24"/>
              </w:rPr>
              <w:t>Straty vyplývajúce z konania v rozpore s pracovnoprávnymi, zdravotnými alebo bezpečnostnými predpismi alebo dohodami, z vyplatenia nárokov na náhradu osobnej škody alebo z udalostí súvisiacich s diverzitou/diskrimináciou</w:t>
            </w:r>
          </w:p>
        </w:tc>
      </w:tr>
      <w:tr w:rsidR="00C30107" w:rsidRPr="00704862"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704862" w:rsidRDefault="00C30107">
            <w:pPr>
              <w:spacing w:before="60" w:after="60"/>
              <w:rPr>
                <w:rFonts w:ascii="Times New Roman" w:hAnsi="Times New Roman"/>
                <w:sz w:val="24"/>
              </w:rPr>
            </w:pPr>
            <w:r w:rsidRPr="00704862">
              <w:rPr>
                <w:rFonts w:ascii="Times New Roman" w:hAnsi="Times New Roman"/>
                <w:sz w:val="24"/>
              </w:rPr>
              <w:t>Klienti, produkty a obchodné postupy</w:t>
            </w:r>
          </w:p>
        </w:tc>
        <w:tc>
          <w:tcPr>
            <w:tcW w:w="6450" w:type="dxa"/>
            <w:tcMar>
              <w:top w:w="30" w:type="dxa"/>
              <w:left w:w="30" w:type="dxa"/>
              <w:bottom w:w="30" w:type="dxa"/>
              <w:right w:w="30" w:type="dxa"/>
            </w:tcMar>
          </w:tcPr>
          <w:p w14:paraId="232F6D15" w14:textId="77777777" w:rsidR="00C30107" w:rsidRPr="00704862" w:rsidRDefault="00C30107">
            <w:pPr>
              <w:spacing w:before="60" w:after="60"/>
              <w:rPr>
                <w:rFonts w:ascii="Times New Roman" w:hAnsi="Times New Roman"/>
                <w:sz w:val="24"/>
              </w:rPr>
            </w:pPr>
            <w:r w:rsidRPr="00704862">
              <w:rPr>
                <w:rFonts w:ascii="Times New Roman" w:hAnsi="Times New Roman"/>
                <w:sz w:val="24"/>
              </w:rPr>
              <w:t xml:space="preserve">Straty vyplývajúce z neúmyselného alebo nedbanlivostného nesplnenia profesionálnych povinností voči konkrétnym klientom (vrátane </w:t>
            </w:r>
            <w:proofErr w:type="spellStart"/>
            <w:r w:rsidRPr="00704862">
              <w:rPr>
                <w:rFonts w:ascii="Times New Roman" w:hAnsi="Times New Roman"/>
                <w:sz w:val="24"/>
              </w:rPr>
              <w:t>fiduciárnych</w:t>
            </w:r>
            <w:proofErr w:type="spellEnd"/>
            <w:r w:rsidRPr="00704862">
              <w:rPr>
                <w:rFonts w:ascii="Times New Roman" w:hAnsi="Times New Roman"/>
                <w:sz w:val="24"/>
              </w:rPr>
              <w:t xml:space="preserve"> povinností a požiadaviek vhodnosti) alebo z povahy alebo dizajnu produktu</w:t>
            </w:r>
          </w:p>
        </w:tc>
      </w:tr>
      <w:tr w:rsidR="00C30107" w:rsidRPr="00704862"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704862" w:rsidRDefault="00C30107">
            <w:pPr>
              <w:spacing w:before="60" w:after="60"/>
              <w:rPr>
                <w:rFonts w:ascii="Times New Roman" w:hAnsi="Times New Roman"/>
                <w:sz w:val="24"/>
              </w:rPr>
            </w:pPr>
            <w:r w:rsidRPr="00704862">
              <w:rPr>
                <w:rFonts w:ascii="Times New Roman" w:hAnsi="Times New Roman"/>
                <w:sz w:val="24"/>
              </w:rPr>
              <w:t>Poškodenie hmotného majetku</w:t>
            </w:r>
          </w:p>
        </w:tc>
        <w:tc>
          <w:tcPr>
            <w:tcW w:w="6450" w:type="dxa"/>
            <w:tcMar>
              <w:top w:w="30" w:type="dxa"/>
              <w:left w:w="30" w:type="dxa"/>
              <w:bottom w:w="30" w:type="dxa"/>
              <w:right w:w="30" w:type="dxa"/>
            </w:tcMar>
          </w:tcPr>
          <w:p w14:paraId="6071BCEC" w14:textId="77777777" w:rsidR="00C30107" w:rsidRPr="00704862" w:rsidRDefault="00C30107">
            <w:pPr>
              <w:spacing w:before="60" w:after="60"/>
              <w:rPr>
                <w:rFonts w:ascii="Times New Roman" w:hAnsi="Times New Roman"/>
                <w:sz w:val="24"/>
              </w:rPr>
            </w:pPr>
            <w:r w:rsidRPr="00704862">
              <w:rPr>
                <w:rFonts w:ascii="Times New Roman" w:hAnsi="Times New Roman"/>
                <w:sz w:val="24"/>
              </w:rPr>
              <w:t>Straty vyplývajúce zo straty alebo poškodenia hmotného majetku v dôsledku prírodných katastrof alebo iných udalostí</w:t>
            </w:r>
          </w:p>
        </w:tc>
      </w:tr>
      <w:tr w:rsidR="00C30107" w:rsidRPr="00704862"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704862" w:rsidRDefault="00C30107">
            <w:pPr>
              <w:spacing w:before="60" w:after="60"/>
              <w:rPr>
                <w:rFonts w:ascii="Times New Roman" w:hAnsi="Times New Roman"/>
                <w:sz w:val="24"/>
              </w:rPr>
            </w:pPr>
            <w:r w:rsidRPr="00704862">
              <w:rPr>
                <w:rFonts w:ascii="Times New Roman" w:hAnsi="Times New Roman"/>
                <w:sz w:val="24"/>
              </w:rPr>
              <w:t>Narušenie prevádzky a systémové zlyhania</w:t>
            </w:r>
          </w:p>
        </w:tc>
        <w:tc>
          <w:tcPr>
            <w:tcW w:w="6450" w:type="dxa"/>
            <w:tcMar>
              <w:top w:w="30" w:type="dxa"/>
              <w:left w:w="30" w:type="dxa"/>
              <w:bottom w:w="30" w:type="dxa"/>
              <w:right w:w="30" w:type="dxa"/>
            </w:tcMar>
          </w:tcPr>
          <w:p w14:paraId="0552CE79" w14:textId="77777777" w:rsidR="00C30107" w:rsidRPr="00704862" w:rsidRDefault="00C30107">
            <w:pPr>
              <w:spacing w:before="60" w:after="60"/>
              <w:rPr>
                <w:rFonts w:ascii="Times New Roman" w:hAnsi="Times New Roman"/>
                <w:sz w:val="24"/>
              </w:rPr>
            </w:pPr>
            <w:r w:rsidRPr="00704862">
              <w:rPr>
                <w:rFonts w:ascii="Times New Roman" w:hAnsi="Times New Roman"/>
                <w:sz w:val="24"/>
              </w:rPr>
              <w:t>Straty vyplývajúce z narušenia prevádzky alebo systémových zlyhaní</w:t>
            </w:r>
          </w:p>
        </w:tc>
      </w:tr>
      <w:tr w:rsidR="00C30107" w:rsidRPr="00704862"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704862" w:rsidRDefault="00C30107">
            <w:pPr>
              <w:spacing w:before="60" w:after="60"/>
              <w:rPr>
                <w:rFonts w:ascii="Times New Roman" w:hAnsi="Times New Roman"/>
                <w:sz w:val="24"/>
              </w:rPr>
            </w:pPr>
            <w:r w:rsidRPr="00704862">
              <w:rPr>
                <w:rFonts w:ascii="Times New Roman" w:hAnsi="Times New Roman"/>
                <w:sz w:val="24"/>
              </w:rPr>
              <w:t>Realizácia, dodávky a riadenie procesov</w:t>
            </w:r>
          </w:p>
        </w:tc>
        <w:tc>
          <w:tcPr>
            <w:tcW w:w="6450" w:type="dxa"/>
            <w:tcMar>
              <w:top w:w="30" w:type="dxa"/>
              <w:left w:w="30" w:type="dxa"/>
              <w:bottom w:w="30" w:type="dxa"/>
              <w:right w:w="30" w:type="dxa"/>
            </w:tcMar>
          </w:tcPr>
          <w:p w14:paraId="23B151D9" w14:textId="77777777" w:rsidR="00C30107" w:rsidRPr="00704862" w:rsidRDefault="00C30107">
            <w:pPr>
              <w:spacing w:before="60" w:after="60"/>
              <w:rPr>
                <w:rFonts w:ascii="Times New Roman" w:hAnsi="Times New Roman"/>
                <w:sz w:val="24"/>
              </w:rPr>
            </w:pPr>
            <w:r w:rsidRPr="00704862">
              <w:rPr>
                <w:rFonts w:ascii="Times New Roman" w:hAnsi="Times New Roman"/>
                <w:sz w:val="24"/>
              </w:rPr>
              <w:t>Straty z neúspešného spracovania transakcií alebo riadenia procesov, zo vzťahov s obchodnými protistranami a dodávateľmi</w:t>
            </w:r>
          </w:p>
        </w:tc>
      </w:tr>
    </w:tbl>
    <w:p w14:paraId="18C5F03D" w14:textId="77777777" w:rsidR="00C30107" w:rsidRPr="00704862" w:rsidRDefault="00C30107" w:rsidP="00E434A1">
      <w:pPr>
        <w:pStyle w:val="InstructionsText2"/>
        <w:numPr>
          <w:ilvl w:val="0"/>
          <w:numId w:val="0"/>
        </w:numPr>
      </w:pPr>
    </w:p>
    <w:p w14:paraId="38E4F126" w14:textId="592D7E1F" w:rsidR="00C30107" w:rsidRPr="00704862" w:rsidRDefault="00C30107" w:rsidP="00816707">
      <w:pPr>
        <w:pStyle w:val="InstructionsText2"/>
        <w:keepNext/>
        <w:numPr>
          <w:ilvl w:val="0"/>
          <w:numId w:val="0"/>
        </w:numPr>
      </w:pPr>
      <w:r w:rsidRPr="00704862">
        <w:t>Tabuľka 2:  Obchodné línie</w:t>
      </w:r>
    </w:p>
    <w:tbl>
      <w:tblPr>
        <w:tblW w:w="9136" w:type="dxa"/>
        <w:tblLayout w:type="fixed"/>
        <w:tblLook w:val="04A0" w:firstRow="1" w:lastRow="0" w:firstColumn="1" w:lastColumn="0" w:noHBand="0" w:noVBand="1"/>
      </w:tblPr>
      <w:tblGrid>
        <w:gridCol w:w="2400"/>
        <w:gridCol w:w="6736"/>
      </w:tblGrid>
      <w:tr w:rsidR="00105D77" w:rsidRPr="00704862"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704862" w:rsidRDefault="00105D77">
            <w:pPr>
              <w:spacing w:before="60" w:after="60"/>
              <w:rPr>
                <w:rFonts w:ascii="Times New Roman" w:hAnsi="Times New Roman"/>
                <w:b/>
                <w:bCs/>
                <w:sz w:val="24"/>
              </w:rPr>
            </w:pPr>
            <w:r w:rsidRPr="00704862">
              <w:rPr>
                <w:rFonts w:ascii="Times New Roman" w:hAnsi="Times New Roman"/>
                <w:b/>
                <w:sz w:val="24"/>
              </w:rPr>
              <w:t>Obchodná línia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704862" w:rsidRDefault="00105D77">
            <w:pPr>
              <w:spacing w:before="60" w:after="60"/>
              <w:rPr>
                <w:rFonts w:ascii="Times New Roman" w:hAnsi="Times New Roman"/>
                <w:b/>
                <w:bCs/>
                <w:sz w:val="24"/>
              </w:rPr>
            </w:pPr>
            <w:r w:rsidRPr="00704862">
              <w:rPr>
                <w:rFonts w:ascii="Times New Roman" w:hAnsi="Times New Roman"/>
                <w:b/>
                <w:sz w:val="24"/>
              </w:rPr>
              <w:t>Zoznam činností</w:t>
            </w:r>
          </w:p>
        </w:tc>
      </w:tr>
      <w:tr w:rsidR="00105D77" w:rsidRPr="00704862"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Podnikové financie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704862" w:rsidRDefault="00105D77">
            <w:pPr>
              <w:spacing w:before="60" w:after="60"/>
              <w:rPr>
                <w:rFonts w:ascii="Times New Roman" w:hAnsi="Times New Roman"/>
                <w:sz w:val="24"/>
              </w:rPr>
            </w:pPr>
            <w:r w:rsidRPr="00704862">
              <w:rPr>
                <w:rFonts w:ascii="Times New Roman" w:hAnsi="Times New Roman"/>
                <w:sz w:val="24"/>
              </w:rPr>
              <w:t>Upisovanie finančných nástrojov alebo umiestňovanie finančných nástrojov na základe nepodmieneného záväzku</w:t>
            </w:r>
          </w:p>
          <w:p w14:paraId="2E81165F" w14:textId="77777777" w:rsidR="00105D77" w:rsidRPr="00704862" w:rsidRDefault="00105D77">
            <w:pPr>
              <w:spacing w:before="60" w:after="60"/>
              <w:rPr>
                <w:rFonts w:ascii="Times New Roman" w:hAnsi="Times New Roman"/>
                <w:sz w:val="24"/>
              </w:rPr>
            </w:pPr>
            <w:r w:rsidRPr="00704862">
              <w:rPr>
                <w:rFonts w:ascii="Times New Roman" w:hAnsi="Times New Roman"/>
                <w:sz w:val="24"/>
              </w:rPr>
              <w:t>Služby súvisiace s upisovaním</w:t>
            </w:r>
          </w:p>
          <w:p w14:paraId="294412EE" w14:textId="77777777" w:rsidR="00105D77" w:rsidRPr="00704862" w:rsidRDefault="00105D77">
            <w:pPr>
              <w:spacing w:before="60" w:after="60"/>
              <w:rPr>
                <w:rFonts w:ascii="Times New Roman" w:hAnsi="Times New Roman"/>
                <w:sz w:val="24"/>
              </w:rPr>
            </w:pPr>
            <w:r w:rsidRPr="00704862">
              <w:rPr>
                <w:rFonts w:ascii="Times New Roman" w:hAnsi="Times New Roman"/>
                <w:sz w:val="24"/>
              </w:rPr>
              <w:t>Investičné poradenstvo</w:t>
            </w:r>
          </w:p>
          <w:p w14:paraId="3396F4D3"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Poradenstvo podnikom v oblasti kapitálovej štruktúry, odvetvovej stratégie a súvisiacich záležitostí a poradenstvo a služby týkajúce sa fúzií a kúpy podnikov</w:t>
            </w:r>
          </w:p>
          <w:p w14:paraId="413B1D9E" w14:textId="77777777" w:rsidR="00105D77" w:rsidRPr="00704862" w:rsidRDefault="00105D77">
            <w:pPr>
              <w:spacing w:before="60" w:after="60"/>
              <w:rPr>
                <w:rFonts w:ascii="Times New Roman" w:hAnsi="Times New Roman"/>
                <w:sz w:val="24"/>
              </w:rPr>
            </w:pPr>
            <w:r w:rsidRPr="00704862">
              <w:rPr>
                <w:rFonts w:ascii="Times New Roman" w:hAnsi="Times New Roman"/>
                <w:sz w:val="24"/>
              </w:rPr>
              <w:t>Investičný výskum a finančná analýza a iné formy všeobecných odporúčaní týkajúcich sa transakcií s finančnými nástrojmi</w:t>
            </w:r>
          </w:p>
        </w:tc>
      </w:tr>
      <w:tr w:rsidR="00105D77" w:rsidRPr="00704862"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704862" w:rsidRDefault="00105D77">
            <w:pPr>
              <w:spacing w:before="60" w:after="60"/>
              <w:rPr>
                <w:rFonts w:ascii="Times New Roman" w:hAnsi="Times New Roman"/>
                <w:sz w:val="24"/>
              </w:rPr>
            </w:pPr>
            <w:r w:rsidRPr="00704862">
              <w:rPr>
                <w:rFonts w:ascii="Times New Roman" w:hAnsi="Times New Roman"/>
                <w:sz w:val="24"/>
              </w:rPr>
              <w:lastRenderedPageBreak/>
              <w:t>Obchodovanie a predaj</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704862" w:rsidRDefault="00105D77">
            <w:pPr>
              <w:spacing w:before="60" w:after="60"/>
              <w:rPr>
                <w:rFonts w:ascii="Times New Roman" w:hAnsi="Times New Roman"/>
                <w:sz w:val="24"/>
              </w:rPr>
            </w:pPr>
            <w:r w:rsidRPr="00704862">
              <w:rPr>
                <w:rFonts w:ascii="Times New Roman" w:hAnsi="Times New Roman"/>
                <w:sz w:val="24"/>
              </w:rPr>
              <w:t>Obchodovanie na vlastný účet</w:t>
            </w:r>
          </w:p>
          <w:p w14:paraId="2C39E21A"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Peňažné maklérstvo</w:t>
            </w:r>
          </w:p>
          <w:p w14:paraId="43A3C940"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Prijímanie a postupovanie pokynov týkajúcich sa finančných nástrojov</w:t>
            </w:r>
          </w:p>
          <w:p w14:paraId="7D6C72DD" w14:textId="77777777" w:rsidR="00105D77" w:rsidRPr="00704862" w:rsidRDefault="00105D77">
            <w:pPr>
              <w:spacing w:before="60" w:after="60"/>
              <w:rPr>
                <w:rFonts w:ascii="Times New Roman" w:hAnsi="Times New Roman"/>
                <w:sz w:val="24"/>
              </w:rPr>
            </w:pPr>
            <w:r w:rsidRPr="00704862">
              <w:rPr>
                <w:rFonts w:ascii="Times New Roman" w:hAnsi="Times New Roman"/>
                <w:sz w:val="24"/>
              </w:rPr>
              <w:t>Vykonávanie príkazov v mene klientov</w:t>
            </w:r>
          </w:p>
          <w:p w14:paraId="447F8797" w14:textId="77777777" w:rsidR="00105D77" w:rsidRPr="00704862" w:rsidRDefault="00105D77">
            <w:pPr>
              <w:spacing w:before="60" w:after="60"/>
              <w:rPr>
                <w:rFonts w:ascii="Times New Roman" w:hAnsi="Times New Roman"/>
                <w:sz w:val="24"/>
              </w:rPr>
            </w:pPr>
            <w:r w:rsidRPr="00704862">
              <w:rPr>
                <w:rFonts w:ascii="Times New Roman" w:hAnsi="Times New Roman"/>
                <w:sz w:val="24"/>
              </w:rPr>
              <w:t>Umiestňovanie finančných nástrojov bez nepodmieneného záväzku</w:t>
            </w:r>
          </w:p>
          <w:p w14:paraId="6B8176B5"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Prevádzka multilaterálneho obchodného systému</w:t>
            </w:r>
          </w:p>
        </w:tc>
      </w:tr>
      <w:tr w:rsidR="00105D77" w:rsidRPr="00704862"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704862" w:rsidRDefault="00105D77">
            <w:pPr>
              <w:spacing w:before="60" w:after="60"/>
              <w:rPr>
                <w:rFonts w:ascii="Times New Roman" w:hAnsi="Times New Roman"/>
                <w:sz w:val="24"/>
              </w:rPr>
            </w:pPr>
            <w:proofErr w:type="spellStart"/>
            <w:r w:rsidRPr="00704862">
              <w:rPr>
                <w:rFonts w:ascii="Times New Roman" w:hAnsi="Times New Roman"/>
                <w:sz w:val="24"/>
              </w:rPr>
              <w:t>Retailové</w:t>
            </w:r>
            <w:proofErr w:type="spellEnd"/>
            <w:r w:rsidRPr="00704862">
              <w:rPr>
                <w:rFonts w:ascii="Times New Roman" w:hAnsi="Times New Roman"/>
                <w:sz w:val="24"/>
              </w:rPr>
              <w:t xml:space="preserve"> maklérstvo</w:t>
            </w:r>
          </w:p>
          <w:p w14:paraId="1644FF45" w14:textId="77777777" w:rsidR="00105D77" w:rsidRPr="00704862" w:rsidRDefault="00105D77">
            <w:pPr>
              <w:spacing w:before="60" w:after="60"/>
              <w:rPr>
                <w:rFonts w:ascii="Times New Roman" w:hAnsi="Times New Roman"/>
                <w:sz w:val="24"/>
              </w:rPr>
            </w:pPr>
            <w:r w:rsidRPr="00704862">
              <w:rPr>
                <w:rFonts w:ascii="Times New Roman" w:hAnsi="Times New Roman"/>
                <w:sz w:val="24"/>
              </w:rPr>
              <w:t xml:space="preserve">(Činnosti s fyzickými osobami alebo s MSP, ktoré spĺňajú kritériá stanovené v článku 123 pre triedu </w:t>
            </w:r>
            <w:proofErr w:type="spellStart"/>
            <w:r w:rsidRPr="00704862">
              <w:rPr>
                <w:rFonts w:ascii="Times New Roman" w:hAnsi="Times New Roman"/>
                <w:sz w:val="24"/>
              </w:rPr>
              <w:t>retailových</w:t>
            </w:r>
            <w:proofErr w:type="spellEnd"/>
            <w:r w:rsidRPr="00704862">
              <w:rPr>
                <w:rFonts w:ascii="Times New Roman" w:hAnsi="Times New Roman"/>
                <w:sz w:val="24"/>
              </w:rPr>
              <w:t xml:space="preserve"> expozícií)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Prijímanie a postupovanie pokynov týkajúcich sa finančných nástrojov</w:t>
            </w:r>
          </w:p>
          <w:p w14:paraId="0A298DA8" w14:textId="77777777" w:rsidR="00105D77" w:rsidRPr="00704862" w:rsidRDefault="00105D77">
            <w:pPr>
              <w:spacing w:before="60" w:after="60"/>
              <w:rPr>
                <w:rFonts w:ascii="Times New Roman" w:hAnsi="Times New Roman"/>
                <w:sz w:val="24"/>
              </w:rPr>
            </w:pPr>
            <w:r w:rsidRPr="00704862">
              <w:rPr>
                <w:rFonts w:ascii="Times New Roman" w:hAnsi="Times New Roman"/>
                <w:sz w:val="24"/>
              </w:rPr>
              <w:t>Vykonávanie príkazov v mene klientov</w:t>
            </w:r>
          </w:p>
          <w:p w14:paraId="772C1A67" w14:textId="77777777" w:rsidR="00105D77" w:rsidRPr="00704862" w:rsidRDefault="00105D77">
            <w:pPr>
              <w:spacing w:before="60" w:after="60"/>
              <w:rPr>
                <w:rFonts w:ascii="Times New Roman" w:hAnsi="Times New Roman"/>
                <w:sz w:val="24"/>
              </w:rPr>
            </w:pPr>
            <w:r w:rsidRPr="00704862">
              <w:rPr>
                <w:rFonts w:ascii="Times New Roman" w:hAnsi="Times New Roman"/>
                <w:sz w:val="24"/>
              </w:rPr>
              <w:t>Umiestňovanie finančných nástrojov bez nepodmieneného záväzku</w:t>
            </w:r>
          </w:p>
        </w:tc>
      </w:tr>
      <w:tr w:rsidR="00105D77" w:rsidRPr="00704862"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704862" w:rsidRDefault="00105D77">
            <w:pPr>
              <w:spacing w:before="60" w:after="60"/>
              <w:rPr>
                <w:rFonts w:ascii="Times New Roman" w:hAnsi="Times New Roman"/>
                <w:sz w:val="24"/>
              </w:rPr>
            </w:pPr>
            <w:r w:rsidRPr="00704862">
              <w:rPr>
                <w:rFonts w:ascii="Times New Roman" w:hAnsi="Times New Roman"/>
                <w:sz w:val="24"/>
              </w:rPr>
              <w:t>Komerčné bankovníctvo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Prijímanie vkladov a iných splatných finančných prostriedkov</w:t>
            </w:r>
          </w:p>
          <w:p w14:paraId="76F23BE8"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Požičiavanie</w:t>
            </w:r>
          </w:p>
          <w:p w14:paraId="45F13788" w14:textId="77777777" w:rsidR="00105D77" w:rsidRPr="00704862" w:rsidRDefault="00105D77">
            <w:pPr>
              <w:spacing w:before="60" w:after="60"/>
              <w:rPr>
                <w:rFonts w:ascii="Times New Roman" w:hAnsi="Times New Roman"/>
                <w:sz w:val="24"/>
              </w:rPr>
            </w:pPr>
            <w:r w:rsidRPr="00704862">
              <w:rPr>
                <w:rFonts w:ascii="Times New Roman" w:hAnsi="Times New Roman"/>
                <w:sz w:val="24"/>
              </w:rPr>
              <w:t>Finančný lízing</w:t>
            </w:r>
          </w:p>
          <w:p w14:paraId="51EC26CF" w14:textId="77777777" w:rsidR="00105D77" w:rsidRPr="00704862" w:rsidRDefault="00105D77">
            <w:pPr>
              <w:spacing w:before="60" w:after="60"/>
              <w:rPr>
                <w:rFonts w:ascii="Times New Roman" w:hAnsi="Times New Roman"/>
                <w:sz w:val="24"/>
              </w:rPr>
            </w:pPr>
            <w:r w:rsidRPr="00704862">
              <w:rPr>
                <w:rFonts w:ascii="Times New Roman" w:hAnsi="Times New Roman"/>
                <w:sz w:val="24"/>
              </w:rPr>
              <w:t>Záruky a záväzky</w:t>
            </w:r>
          </w:p>
        </w:tc>
      </w:tr>
      <w:tr w:rsidR="00105D77" w:rsidRPr="00704862"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704862" w:rsidRDefault="00105D77">
            <w:pPr>
              <w:spacing w:before="60" w:after="60"/>
              <w:rPr>
                <w:rFonts w:ascii="Times New Roman" w:hAnsi="Times New Roman"/>
                <w:sz w:val="24"/>
              </w:rPr>
            </w:pPr>
            <w:proofErr w:type="spellStart"/>
            <w:r w:rsidRPr="00704862">
              <w:rPr>
                <w:rFonts w:ascii="Times New Roman" w:hAnsi="Times New Roman"/>
                <w:sz w:val="24"/>
              </w:rPr>
              <w:t>Retailové</w:t>
            </w:r>
            <w:proofErr w:type="spellEnd"/>
            <w:r w:rsidRPr="00704862">
              <w:rPr>
                <w:rFonts w:ascii="Times New Roman" w:hAnsi="Times New Roman"/>
                <w:sz w:val="24"/>
              </w:rPr>
              <w:t xml:space="preserve"> bankovníctvo</w:t>
            </w:r>
          </w:p>
          <w:p w14:paraId="7CAFF922" w14:textId="77777777" w:rsidR="00105D77" w:rsidRPr="00704862" w:rsidRDefault="00105D77">
            <w:pPr>
              <w:spacing w:before="60" w:after="60"/>
              <w:rPr>
                <w:rFonts w:ascii="Times New Roman" w:hAnsi="Times New Roman"/>
                <w:sz w:val="24"/>
              </w:rPr>
            </w:pPr>
            <w:r w:rsidRPr="00704862">
              <w:rPr>
                <w:rFonts w:ascii="Times New Roman" w:hAnsi="Times New Roman"/>
                <w:sz w:val="24"/>
              </w:rPr>
              <w:t xml:space="preserve">(Činnosti s fyzickými osobami alebo s MSP, ktoré spĺňajú kritériá stanovené v článku 123 pre triedu </w:t>
            </w:r>
            <w:proofErr w:type="spellStart"/>
            <w:r w:rsidRPr="00704862">
              <w:rPr>
                <w:rFonts w:ascii="Times New Roman" w:hAnsi="Times New Roman"/>
                <w:sz w:val="24"/>
              </w:rPr>
              <w:t>retailových</w:t>
            </w:r>
            <w:proofErr w:type="spellEnd"/>
            <w:r w:rsidRPr="00704862">
              <w:rPr>
                <w:rFonts w:ascii="Times New Roman" w:hAnsi="Times New Roman"/>
                <w:sz w:val="24"/>
              </w:rPr>
              <w:t xml:space="preserve"> expozícií)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Prijímanie vkladov a iných splatných finančných prostriedkov</w:t>
            </w:r>
          </w:p>
          <w:p w14:paraId="36AF04A5"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Požičiavanie</w:t>
            </w:r>
          </w:p>
          <w:p w14:paraId="7351F485" w14:textId="77777777" w:rsidR="00105D77" w:rsidRPr="00704862" w:rsidRDefault="00105D77">
            <w:pPr>
              <w:spacing w:before="60" w:after="60"/>
              <w:rPr>
                <w:rFonts w:ascii="Times New Roman" w:hAnsi="Times New Roman"/>
                <w:sz w:val="24"/>
              </w:rPr>
            </w:pPr>
            <w:r w:rsidRPr="00704862">
              <w:rPr>
                <w:rFonts w:ascii="Times New Roman" w:hAnsi="Times New Roman"/>
                <w:sz w:val="24"/>
              </w:rPr>
              <w:t>Finančný lízing</w:t>
            </w:r>
          </w:p>
          <w:p w14:paraId="2A1E9691" w14:textId="77777777" w:rsidR="00105D77" w:rsidRPr="00704862" w:rsidRDefault="00105D77">
            <w:pPr>
              <w:spacing w:before="60" w:after="60"/>
              <w:rPr>
                <w:rFonts w:ascii="Times New Roman" w:hAnsi="Times New Roman"/>
                <w:sz w:val="24"/>
              </w:rPr>
            </w:pPr>
            <w:r w:rsidRPr="00704862">
              <w:rPr>
                <w:rFonts w:ascii="Times New Roman" w:hAnsi="Times New Roman"/>
                <w:sz w:val="24"/>
              </w:rPr>
              <w:t>Záruky a záväzky</w:t>
            </w:r>
          </w:p>
        </w:tc>
      </w:tr>
      <w:tr w:rsidR="00105D77" w:rsidRPr="00704862"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704862" w:rsidRDefault="00105D77">
            <w:pPr>
              <w:spacing w:before="60" w:after="60"/>
              <w:rPr>
                <w:rFonts w:ascii="Times New Roman" w:hAnsi="Times New Roman"/>
                <w:sz w:val="24"/>
              </w:rPr>
            </w:pPr>
            <w:r w:rsidRPr="00704862">
              <w:rPr>
                <w:rFonts w:ascii="Times New Roman" w:hAnsi="Times New Roman"/>
                <w:sz w:val="24"/>
              </w:rPr>
              <w:t>Platby a zúčtovanie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704862" w:rsidRDefault="00105D77">
            <w:pPr>
              <w:spacing w:before="60" w:after="60"/>
              <w:rPr>
                <w:rFonts w:ascii="Times New Roman" w:hAnsi="Times New Roman"/>
                <w:sz w:val="24"/>
              </w:rPr>
            </w:pPr>
            <w:r w:rsidRPr="00704862">
              <w:rPr>
                <w:rFonts w:ascii="Times New Roman" w:hAnsi="Times New Roman"/>
                <w:sz w:val="24"/>
              </w:rPr>
              <w:t>Služby prevodu peňazí</w:t>
            </w:r>
          </w:p>
          <w:p w14:paraId="44972E69" w14:textId="77777777" w:rsidR="00105D77" w:rsidRPr="00704862" w:rsidRDefault="00105D77">
            <w:pPr>
              <w:spacing w:before="60" w:after="60"/>
              <w:rPr>
                <w:rFonts w:ascii="Times New Roman" w:hAnsi="Times New Roman"/>
                <w:sz w:val="24"/>
              </w:rPr>
            </w:pPr>
            <w:r w:rsidRPr="00704862">
              <w:rPr>
                <w:rFonts w:ascii="Times New Roman" w:hAnsi="Times New Roman"/>
                <w:sz w:val="24"/>
              </w:rPr>
              <w:t>Vydávanie a správa platobných prostriedkov</w:t>
            </w:r>
          </w:p>
        </w:tc>
      </w:tr>
      <w:tr w:rsidR="00105D77" w:rsidRPr="00704862"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704862" w:rsidRDefault="00105D77">
            <w:pPr>
              <w:spacing w:before="60" w:after="60"/>
              <w:rPr>
                <w:rFonts w:ascii="Times New Roman" w:hAnsi="Times New Roman"/>
                <w:sz w:val="24"/>
              </w:rPr>
            </w:pPr>
            <w:r w:rsidRPr="00704862">
              <w:rPr>
                <w:rFonts w:ascii="Times New Roman" w:hAnsi="Times New Roman"/>
                <w:sz w:val="24"/>
              </w:rPr>
              <w:t>Agentúrne služby</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704862" w:rsidRDefault="00105D77">
            <w:pPr>
              <w:spacing w:before="60" w:after="60"/>
              <w:rPr>
                <w:rFonts w:ascii="Times New Roman" w:hAnsi="Times New Roman"/>
                <w:sz w:val="24"/>
              </w:rPr>
            </w:pPr>
            <w:r w:rsidRPr="00704862">
              <w:rPr>
                <w:rFonts w:ascii="Times New Roman" w:hAnsi="Times New Roman"/>
                <w:sz w:val="24"/>
              </w:rPr>
              <w:t>Úschova a správa finančných nástrojov na účet klientov vrátane úschovy a súvisiacich služieb, ako je riadenie likvidity/zábezpeky</w:t>
            </w:r>
          </w:p>
        </w:tc>
      </w:tr>
      <w:tr w:rsidR="00105D77" w:rsidRPr="00704862"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704862" w:rsidRDefault="00105D77">
            <w:pPr>
              <w:spacing w:before="60" w:after="60"/>
              <w:rPr>
                <w:rFonts w:ascii="Times New Roman" w:hAnsi="Times New Roman"/>
                <w:sz w:val="24"/>
              </w:rPr>
            </w:pPr>
            <w:r w:rsidRPr="00704862">
              <w:rPr>
                <w:rFonts w:ascii="Times New Roman" w:hAnsi="Times New Roman"/>
                <w:sz w:val="24"/>
              </w:rPr>
              <w:t>Riadenie aktív</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704862" w:rsidRDefault="00105D77">
            <w:pPr>
              <w:spacing w:before="60" w:after="60"/>
              <w:rPr>
                <w:rFonts w:ascii="Times New Roman" w:hAnsi="Times New Roman"/>
                <w:sz w:val="24"/>
              </w:rPr>
            </w:pPr>
            <w:r w:rsidRPr="00704862">
              <w:rPr>
                <w:rFonts w:ascii="Times New Roman" w:hAnsi="Times New Roman"/>
                <w:sz w:val="24"/>
              </w:rPr>
              <w:t>Riadenie portfólia</w:t>
            </w:r>
          </w:p>
          <w:p w14:paraId="1153DFEB" w14:textId="77777777" w:rsidR="00105D77" w:rsidRPr="00704862" w:rsidRDefault="00105D77">
            <w:pPr>
              <w:spacing w:before="60" w:after="60"/>
              <w:rPr>
                <w:rFonts w:ascii="Times New Roman" w:hAnsi="Times New Roman"/>
                <w:sz w:val="24"/>
              </w:rPr>
            </w:pPr>
            <w:r w:rsidRPr="00704862">
              <w:rPr>
                <w:rFonts w:ascii="Times New Roman" w:hAnsi="Times New Roman"/>
                <w:sz w:val="24"/>
              </w:rPr>
              <w:t>Riadenie PKIPCP</w:t>
            </w:r>
          </w:p>
          <w:p w14:paraId="59C1F470" w14:textId="77777777" w:rsidR="00105D77" w:rsidRPr="00704862" w:rsidRDefault="00105D77">
            <w:pPr>
              <w:spacing w:before="60" w:after="60"/>
              <w:rPr>
                <w:rFonts w:ascii="Times New Roman" w:hAnsi="Times New Roman"/>
                <w:sz w:val="24"/>
              </w:rPr>
            </w:pPr>
            <w:r w:rsidRPr="00704862">
              <w:rPr>
                <w:rFonts w:ascii="Times New Roman" w:hAnsi="Times New Roman"/>
                <w:sz w:val="24"/>
              </w:rPr>
              <w:t>Iné formy riadenia aktív</w:t>
            </w:r>
          </w:p>
        </w:tc>
      </w:tr>
      <w:tr w:rsidR="00105D77" w:rsidRPr="00704862"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704862" w:rsidRDefault="00105D77">
            <w:pPr>
              <w:spacing w:before="60" w:after="60"/>
              <w:rPr>
                <w:rFonts w:ascii="Times New Roman" w:hAnsi="Times New Roman"/>
                <w:color w:val="333333"/>
                <w:sz w:val="24"/>
              </w:rPr>
            </w:pPr>
            <w:r w:rsidRPr="00704862">
              <w:rPr>
                <w:rFonts w:ascii="Times New Roman" w:hAnsi="Times New Roman"/>
                <w:color w:val="333333"/>
                <w:sz w:val="24"/>
              </w:rPr>
              <w:t>Podnikové položky</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704862" w:rsidRDefault="00105D77">
            <w:pPr>
              <w:spacing w:before="60" w:after="60"/>
              <w:rPr>
                <w:rFonts w:ascii="Times New Roman" w:eastAsia="Verdana" w:hAnsi="Times New Roman"/>
                <w:sz w:val="24"/>
              </w:rPr>
            </w:pPr>
            <w:r w:rsidRPr="00704862">
              <w:rPr>
                <w:rFonts w:ascii="Times New Roman" w:hAnsi="Times New Roman"/>
                <w:sz w:val="24"/>
              </w:rPr>
              <w:t xml:space="preserve">Stratové udalosti, ktoré ovplyvňujú celú inštitúciu a nie sú uvedené vo vyššie uvedených kategóriách. </w:t>
            </w:r>
          </w:p>
        </w:tc>
      </w:tr>
    </w:tbl>
    <w:p w14:paraId="5EFFCA85" w14:textId="77777777" w:rsidR="00C30107" w:rsidRPr="00704862" w:rsidRDefault="00C30107" w:rsidP="00E434A1">
      <w:pPr>
        <w:pStyle w:val="InstructionsText2"/>
        <w:numPr>
          <w:ilvl w:val="0"/>
          <w:numId w:val="0"/>
        </w:numPr>
      </w:pPr>
    </w:p>
    <w:p w14:paraId="3089C09D" w14:textId="77777777" w:rsidR="00C30107" w:rsidRPr="00704862" w:rsidRDefault="00C30107" w:rsidP="00E434A1">
      <w:pPr>
        <w:pStyle w:val="InstructionsText2"/>
        <w:numPr>
          <w:ilvl w:val="0"/>
          <w:numId w:val="0"/>
        </w:numPr>
      </w:pPr>
    </w:p>
    <w:bookmarkEnd w:id="63"/>
    <w:p w14:paraId="504CA18E" w14:textId="173B7075" w:rsidR="00FD54FC" w:rsidRPr="00704862" w:rsidRDefault="008F3052" w:rsidP="3B06A011">
      <w:pPr>
        <w:pStyle w:val="InstructionsText2"/>
        <w:numPr>
          <w:ilvl w:val="0"/>
          <w:numId w:val="0"/>
        </w:numPr>
      </w:pPr>
      <w:r w:rsidRPr="00704862">
        <w:rPr>
          <w:rStyle w:val="DNEx2"/>
        </w:rPr>
        <w:lastRenderedPageBreak/>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143</w:t>
      </w:r>
      <w:r w:rsidRPr="00704862">
        <w:rPr>
          <w:rStyle w:val="DNEx2"/>
        </w:rPr>
        <w:fldChar w:fldCharType="end"/>
      </w:r>
      <w:r w:rsidRPr="00704862">
        <w:rPr>
          <w:rStyle w:val="DNEx2"/>
        </w:rPr>
        <w:t xml:space="preserve">. </w:t>
      </w:r>
      <w:r w:rsidRPr="00704862">
        <w:t>Straty z operačného rizika súvisiace s úverovým rizikom, ktoré sa zohľadňujú v hodnote rizikovo váženej expozície pre úverové riziko (hraničné udalosti operačného rizika súvisiace s úvermi), sa nezohľadňujú vo vzore C 17.01 ani vo vzore C 17.02 podľa článku 317 ods. 5 nariadenia (EÚ) č. 575/2013.</w:t>
      </w:r>
    </w:p>
    <w:p w14:paraId="26DEA8B1" w14:textId="414C5450"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144</w:t>
      </w:r>
      <w:r w:rsidRPr="00704862">
        <w:rPr>
          <w:rStyle w:val="DNEx2"/>
        </w:rPr>
        <w:fldChar w:fldCharType="end"/>
      </w:r>
      <w:r w:rsidRPr="00704862">
        <w:rPr>
          <w:rStyle w:val="DNEx2"/>
        </w:rPr>
        <w:t xml:space="preserve">. </w:t>
      </w:r>
      <w:r w:rsidRPr="00704862">
        <w:t>[prázdne]</w:t>
      </w:r>
    </w:p>
    <w:p w14:paraId="46FA5B8D" w14:textId="284B4DDE"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145</w:t>
      </w:r>
      <w:r w:rsidRPr="00704862">
        <w:rPr>
          <w:rStyle w:val="DNEx2"/>
        </w:rPr>
        <w:fldChar w:fldCharType="end"/>
      </w:r>
      <w:r w:rsidRPr="00704862">
        <w:rPr>
          <w:rStyle w:val="DNEx2"/>
        </w:rPr>
        <w:t xml:space="preserve">. </w:t>
      </w:r>
      <w:r w:rsidRPr="00704862">
        <w:t>„Hrubá strata“ znamená stratu – ako sa uvádza v článku 318 ods. 1 nariadenia (EÚ) č. 575/2013 – spojenú s operačným rizikom aj pred realizáciou náhrad akéhokoľvek druhu, bez toho, aby boli dotknuté „rýchlo nahradené stratové udalosti", ako sa vymedzujú nižšie.</w:t>
      </w:r>
    </w:p>
    <w:p w14:paraId="0D97147B" w14:textId="7F3E3213"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146</w:t>
      </w:r>
      <w:r w:rsidRPr="00704862">
        <w:rPr>
          <w:rStyle w:val="DNEx2"/>
        </w:rPr>
        <w:fldChar w:fldCharType="end"/>
      </w:r>
      <w:r w:rsidRPr="00704862">
        <w:rPr>
          <w:rStyle w:val="DNEx2"/>
        </w:rPr>
        <w:t xml:space="preserve">. </w:t>
      </w:r>
      <w:r w:rsidRPr="00704862">
        <w:t>„Náhrada“ znamená – ako sa uvádza v článku 318 ods. 1 jednu alebo viacero nezávislých udalostí súvisiacich s pôvodnou udalosťou operačného rizika, ktoré sú časovo oddelené a pri ktorých sa získajú finančné prostriedky alebo toky hospodárskych úžitkov od tretej strany.</w:t>
      </w:r>
    </w:p>
    <w:p w14:paraId="77F96781" w14:textId="7AAE69F6" w:rsidR="00FD54FC" w:rsidRPr="00704862" w:rsidRDefault="00E434A1"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147</w:t>
      </w:r>
      <w:r w:rsidRPr="00704862">
        <w:rPr>
          <w:rStyle w:val="DNEx2"/>
        </w:rPr>
        <w:fldChar w:fldCharType="end"/>
      </w:r>
      <w:r w:rsidRPr="00704862">
        <w:rPr>
          <w:rStyle w:val="DNEx2"/>
        </w:rPr>
        <w:t xml:space="preserve">. </w:t>
      </w:r>
      <w:r w:rsidRPr="00704862">
        <w:t>„Rýchlo nahradené stratové udalosti" sú udalosti operačného rizika, ktoré vedú k stratám, ktoré sú čiastočne alebo úplne uhradené do piatich pracovných dní. V prípade udalosti s rýchlym nahradením sa do vymedzenia hrubej straty zahrnie len tá časť straty, ktorá nie je úplne nahradená (t. j. strata očistená o čiastočnú rýchlu náhradu). V dôsledku toho sa stratové udalosti, ktoré vedú k stratám, ktoré sú plne uhradené do piatich pracovných dní, nezahŕňajú do vymedzenia hrubej straty a ani do vykazovania v rámci OPR DETAILS.</w:t>
      </w:r>
    </w:p>
    <w:p w14:paraId="3604C23D" w14:textId="1024002D"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148</w:t>
      </w:r>
      <w:r w:rsidRPr="00704862">
        <w:rPr>
          <w:rStyle w:val="DNEx2"/>
        </w:rPr>
        <w:fldChar w:fldCharType="end"/>
      </w:r>
      <w:r w:rsidRPr="00704862">
        <w:rPr>
          <w:rStyle w:val="DNEx2"/>
        </w:rPr>
        <w:t xml:space="preserve">. </w:t>
      </w:r>
      <w:r w:rsidRPr="00704862">
        <w:t>„Dátum zaúčtovania“ je dátum, kedy bola strata alebo rezerva/provízia prvýkrát vykázaná vo výkaze ziskov a strát, a to z titulu straty v dôsledku operačného rizika, ako sa uvádza v článku 317 ods. 4 písm. a) nariadenia (EÚ) č. 575/2013. Tieto dátumy logicky nasledujú za „dátumom výskytu udalosti“ (t. j. dátumom, kedy sa udalosť operačného rizika stala alebo začala) a „dátumom zistenia“ (t. j. dátumom, kedy sa inštitúcia dozvedela o udalosti operačného rizika).</w:t>
      </w:r>
    </w:p>
    <w:p w14:paraId="6F9C7A18" w14:textId="502770EC" w:rsidR="00FD54FC" w:rsidRPr="00704862" w:rsidRDefault="00E434A1"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149</w:t>
      </w:r>
      <w:r w:rsidRPr="00704862">
        <w:rPr>
          <w:rStyle w:val="DNEx2"/>
        </w:rPr>
        <w:fldChar w:fldCharType="end"/>
      </w:r>
      <w:r w:rsidRPr="00704862">
        <w:rPr>
          <w:rStyle w:val="DNEx2"/>
        </w:rPr>
        <w:t xml:space="preserve">. </w:t>
      </w:r>
      <w:r w:rsidRPr="00704862">
        <w:t>Straty spôsobené spoločnou udalosťou operačného rizika alebo viacerými udalosťami súvisiacimi s počiatočnou udalosťou operačného rizika, ktorá generuje udalosti alebo straty („základná udalosť“), sa na účely výpočtu prahu pre vykazovanie sčítajú. V prípade, že celková čistá suma vypočítaná za obdobie 10 rokov prekročí prahovú hodnotu, straty a úpravy by sa mali vykazovať v nadväznosti na účtovný vplyv v súlade s článkom 317 ods. 3 písm. c) a článkom 318 ods. 1 nariadenia (EÚ) č. 575/2013, aj keď vplyv v konkrétnom období môže byť nižší ako prahová hodnota.</w:t>
      </w:r>
    </w:p>
    <w:p w14:paraId="13FA59F7" w14:textId="1423FEE1"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150</w:t>
      </w:r>
      <w:r w:rsidRPr="00704862">
        <w:rPr>
          <w:rStyle w:val="DNEx2"/>
        </w:rPr>
        <w:fldChar w:fldCharType="end"/>
      </w:r>
      <w:r w:rsidRPr="00704862">
        <w:rPr>
          <w:rStyle w:val="DNEx2"/>
        </w:rPr>
        <w:t xml:space="preserve">. </w:t>
      </w:r>
      <w:r w:rsidRPr="00704862">
        <w:t>Údaje vykazované v júni príslušného roka sú priebežné údaje, zatiaľ čo konečné údaje sa vykazujú v decembri. Preto údaje v júni majú šesťmesačné referenčné obdobie (t. j. od 1. januára do 30. júna kalendárneho roka), zatiaľ čo údaje v decembri majú dvanásťmesačné referenčné obdobie (t. j. od 1. januára do 31. decembra kalendárneho roka). V prípade údajov vykazovaných v júni aj v decembri „predchádzajúce referenčné obdobia vykazovania“ znamenajú všetky referenčné obdobia vykazovania do konca predchádzajúceho kalendárneho roka vrátane.</w:t>
      </w:r>
    </w:p>
    <w:p w14:paraId="065A1906" w14:textId="0BAA0889" w:rsidR="00FD54FC" w:rsidRPr="00704862"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704862">
        <w:rPr>
          <w:rFonts w:ascii="Times New Roman" w:hAnsi="Times New Roman"/>
          <w:sz w:val="24"/>
        </w:rPr>
        <w:t>C 17.01: Straty z operačného rizika a náhrady podľa obchodných línií a druhu stratových udalostí za posledný rok (OPR DETAILS 1)</w:t>
      </w:r>
      <w:bookmarkEnd w:id="64"/>
      <w:bookmarkEnd w:id="65"/>
    </w:p>
    <w:p w14:paraId="497EA8D0" w14:textId="05AB7FBB" w:rsidR="00FD54FC" w:rsidRPr="00704862"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704862">
        <w:rPr>
          <w:rFonts w:ascii="Times New Roman" w:hAnsi="Times New Roman"/>
          <w:sz w:val="24"/>
        </w:rPr>
        <w:t>Všeobecné poznámky</w:t>
      </w:r>
      <w:bookmarkEnd w:id="66"/>
      <w:bookmarkEnd w:id="67"/>
    </w:p>
    <w:p w14:paraId="1B1EFECB" w14:textId="631AA582" w:rsidR="00FD54FC" w:rsidRPr="00704862" w:rsidRDefault="00E434A1"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151</w:t>
      </w:r>
      <w:r w:rsidRPr="00704862">
        <w:rPr>
          <w:rStyle w:val="DNEx2"/>
        </w:rPr>
        <w:fldChar w:fldCharType="end"/>
      </w:r>
      <w:r w:rsidRPr="00704862">
        <w:rPr>
          <w:rStyle w:val="DNEx2"/>
        </w:rPr>
        <w:t xml:space="preserve"> </w:t>
      </w:r>
      <w:r w:rsidRPr="00704862">
        <w:t xml:space="preserve">Vo vzore C 17.01 sa uvádzajú súhrnné informácie o stratách a náhradách nad prahovými hodnotami, ktoré inštitúcia zaznamenala za posledný rok, podľa druhov udalostí a obchodných </w:t>
      </w:r>
      <w:r w:rsidRPr="00704862">
        <w:lastRenderedPageBreak/>
        <w:t>línií v súlade s vymedzeniami v tabuľke 1 a tabuľke 2 v tomto oddiele. Je možné, že straty zodpovedajúce jednej stratovej udalosti sú rozdelené do viacerých obchodných línií.</w:t>
      </w:r>
    </w:p>
    <w:p w14:paraId="0F217350" w14:textId="104C538F"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152</w:t>
      </w:r>
      <w:r w:rsidRPr="00704862">
        <w:rPr>
          <w:rStyle w:val="DNEx2"/>
        </w:rPr>
        <w:fldChar w:fldCharType="end"/>
      </w:r>
      <w:r w:rsidRPr="00704862">
        <w:rPr>
          <w:rStyle w:val="DNEx2"/>
        </w:rPr>
        <w:t xml:space="preserve">. </w:t>
      </w:r>
      <w:r w:rsidRPr="00704862">
        <w:t>V stĺpcoch sa uvádzajú rôzne typy stratových udalostí a súčty za každú obchodnú líniu spolu s doplňujúcou položkou, v ktorej sa uvádza najnižšia interná prahová hodnota použitá pri zbere údajov o stratách, pričom v rámci každej obchodnej línie sa odhaľuje najnižšia a najvyššia prahová hodnota, ak existuje viac ako jedna prahová hodnota.</w:t>
      </w:r>
    </w:p>
    <w:p w14:paraId="11517512" w14:textId="76CAEDF3"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153</w:t>
      </w:r>
      <w:r w:rsidRPr="00704862">
        <w:rPr>
          <w:rStyle w:val="DNEx2"/>
        </w:rPr>
        <w:fldChar w:fldCharType="end"/>
      </w:r>
      <w:r w:rsidRPr="00704862">
        <w:rPr>
          <w:rStyle w:val="DNEx2"/>
        </w:rPr>
        <w:t xml:space="preserve">. </w:t>
      </w:r>
      <w:r w:rsidRPr="00704862">
        <w:t>V riadkoch sa uvádzajú obchodné línie a v rámci každej obchodnej línie informácie o počte stratových udalostí (nové stratové udalosti), hrubej výške straty (nové stratové udalosti), počte stratových udalostí, ktoré podliehajú úpravám strát, úpravách strát týkajúcich sa predchádzajúcich období vykazovania, maximálnej jednorazovej strate, súčte piatich najväčších strát a celkovej výške nahradených strát (priame náhrady strát, ako aj náhrady z poistenia a ďalších mechanizmov presunu rizika).</w:t>
      </w:r>
    </w:p>
    <w:p w14:paraId="01C6C8D7" w14:textId="1A1609D7" w:rsidR="008E3F40"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154</w:t>
      </w:r>
      <w:r w:rsidRPr="00704862">
        <w:rPr>
          <w:rStyle w:val="DNEx2"/>
        </w:rPr>
        <w:fldChar w:fldCharType="end"/>
      </w:r>
      <w:r w:rsidRPr="00704862">
        <w:rPr>
          <w:rStyle w:val="DNEx2"/>
        </w:rPr>
        <w:t xml:space="preserve">. </w:t>
      </w:r>
      <w:r w:rsidRPr="00704862">
        <w:t>Pre obchodné línie spolu sa údaje o počte stratových udalostí a hrubej výške straty vykazujú aj pre určité rozsahy na základe stanovených prahových hodnôt, t. j. 10 000, 20 000, 100 000 a 1 000 000. Prahové hodnoty sú stanovené v eurách a sú zahrnuté na účely porovnateľnosti vykázaných strát medzi inštitúciami. Tieto prahové hodnoty preto nemusia nevyhnutne súvisieť s minimálnymi prahovými hodnotami strát, ktoré sa používajú na zber interných údajov o stratách, ktoré sa majú uvádzať v inej časti vzoru.</w:t>
      </w:r>
    </w:p>
    <w:p w14:paraId="66F6BC90" w14:textId="0130F6E9" w:rsidR="008A1E95" w:rsidRPr="00704862" w:rsidRDefault="006B71D2" w:rsidP="008E3C30">
      <w:pPr>
        <w:pStyle w:val="InstructionsText2"/>
        <w:numPr>
          <w:ilvl w:val="0"/>
          <w:numId w:val="0"/>
        </w:numPr>
      </w:pPr>
      <w:r w:rsidRPr="00704862">
        <w:rPr>
          <w:rStyle w:val="DNEx2"/>
        </w:rPr>
        <w:t xml:space="preserve">154a. </w:t>
      </w:r>
      <w:r w:rsidRPr="00704862">
        <w:t>Nahradené straty sa vykazujú s kladným znamienkom.</w:t>
      </w:r>
    </w:p>
    <w:p w14:paraId="31AE8FCD" w14:textId="77777777" w:rsidR="008A1E95" w:rsidRPr="00704862" w:rsidRDefault="008A1E95" w:rsidP="00E434A1">
      <w:pPr>
        <w:pStyle w:val="InstructionsText2"/>
        <w:numPr>
          <w:ilvl w:val="0"/>
          <w:numId w:val="0"/>
        </w:numPr>
      </w:pPr>
    </w:p>
    <w:p w14:paraId="3EEEA3D5" w14:textId="61AFA838" w:rsidR="00FD54FC" w:rsidRPr="00704862"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704862">
        <w:rPr>
          <w:rFonts w:ascii="Times New Roman" w:hAnsi="Times New Roman"/>
          <w:sz w:val="24"/>
        </w:rPr>
        <w:t>Pokyny týkajúce sa konkrétnych pozícií</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704862" w14:paraId="5673A92F" w14:textId="77777777" w:rsidTr="3B06A011">
        <w:trPr>
          <w:trHeight w:val="576"/>
        </w:trPr>
        <w:tc>
          <w:tcPr>
            <w:tcW w:w="9180" w:type="dxa"/>
            <w:gridSpan w:val="2"/>
            <w:shd w:val="clear" w:color="auto" w:fill="CCCCCC"/>
          </w:tcPr>
          <w:p w14:paraId="64100A9A" w14:textId="77777777" w:rsidR="00FD54FC" w:rsidRPr="00704862" w:rsidRDefault="00FD54FC" w:rsidP="005D3C49">
            <w:pPr>
              <w:keepNext/>
              <w:autoSpaceDE w:val="0"/>
              <w:autoSpaceDN w:val="0"/>
              <w:adjustRightInd w:val="0"/>
              <w:spacing w:after="0"/>
              <w:rPr>
                <w:rFonts w:ascii="Times New Roman" w:hAnsi="Times New Roman"/>
                <w:b/>
                <w:bCs/>
                <w:sz w:val="24"/>
              </w:rPr>
            </w:pPr>
            <w:r w:rsidRPr="00704862">
              <w:rPr>
                <w:rFonts w:ascii="Times New Roman" w:hAnsi="Times New Roman"/>
                <w:b/>
                <w:sz w:val="24"/>
              </w:rPr>
              <w:t>Stĺpce</w:t>
            </w:r>
          </w:p>
        </w:tc>
      </w:tr>
      <w:tr w:rsidR="00FD54FC" w:rsidRPr="00704862" w14:paraId="66F8475E" w14:textId="77777777" w:rsidTr="3B06A011">
        <w:tc>
          <w:tcPr>
            <w:tcW w:w="985" w:type="dxa"/>
          </w:tcPr>
          <w:p w14:paraId="2E2E57DA" w14:textId="77777777" w:rsidR="00FD54FC" w:rsidRPr="00704862" w:rsidRDefault="00C93FC2" w:rsidP="000F70EC">
            <w:pPr>
              <w:autoSpaceDE w:val="0"/>
              <w:autoSpaceDN w:val="0"/>
              <w:adjustRightInd w:val="0"/>
              <w:spacing w:before="0" w:after="0"/>
              <w:rPr>
                <w:rFonts w:ascii="Times New Roman" w:hAnsi="Times New Roman"/>
                <w:bCs/>
                <w:sz w:val="24"/>
              </w:rPr>
            </w:pPr>
            <w:r w:rsidRPr="00704862">
              <w:rPr>
                <w:rFonts w:ascii="Times New Roman" w:hAnsi="Times New Roman"/>
                <w:sz w:val="24"/>
                <w:lang w:eastAsia="nl-BE"/>
              </w:rPr>
              <w:t>0010-0070</w:t>
            </w:r>
          </w:p>
        </w:tc>
        <w:tc>
          <w:tcPr>
            <w:tcW w:w="8195" w:type="dxa"/>
          </w:tcPr>
          <w:p w14:paraId="42ED0FA0" w14:textId="77777777" w:rsidR="00FD54FC" w:rsidRPr="00704862" w:rsidRDefault="00FD54FC" w:rsidP="005D3C49">
            <w:pPr>
              <w:keepNext/>
              <w:autoSpaceDE w:val="0"/>
              <w:autoSpaceDN w:val="0"/>
              <w:adjustRightInd w:val="0"/>
              <w:spacing w:before="0" w:after="0"/>
              <w:rPr>
                <w:rStyle w:val="InstructionsTabelleberschrift"/>
                <w:rFonts w:ascii="Times New Roman" w:hAnsi="Times New Roman"/>
                <w:sz w:val="24"/>
              </w:rPr>
            </w:pPr>
            <w:r w:rsidRPr="00704862">
              <w:rPr>
                <w:rStyle w:val="InstructionsTabelleberschrift"/>
                <w:rFonts w:ascii="Times New Roman" w:hAnsi="Times New Roman"/>
                <w:sz w:val="24"/>
              </w:rPr>
              <w:t>DRUHY UDALOSTÍ</w:t>
            </w:r>
          </w:p>
          <w:p w14:paraId="77CB6459" w14:textId="34950BD9" w:rsidR="0084728B" w:rsidRPr="00704862" w:rsidRDefault="00FD54FC" w:rsidP="3B06A011">
            <w:pPr>
              <w:rPr>
                <w:rFonts w:ascii="Times New Roman" w:hAnsi="Times New Roman"/>
                <w:sz w:val="24"/>
              </w:rPr>
            </w:pPr>
            <w:r w:rsidRPr="00704862">
              <w:rPr>
                <w:rFonts w:ascii="Times New Roman" w:hAnsi="Times New Roman"/>
                <w:sz w:val="24"/>
              </w:rPr>
              <w:t>Inštitúcie vykazujú straty v príslušných stĺpcoch 0010 až 0070 v súlade s druhmi stratových udalostí.</w:t>
            </w:r>
          </w:p>
          <w:p w14:paraId="3023C2E3" w14:textId="3DB1C18B" w:rsidR="00FD54FC" w:rsidRPr="00704862" w:rsidRDefault="00FD54FC" w:rsidP="3B06A011">
            <w:pPr>
              <w:rPr>
                <w:rFonts w:ascii="Times New Roman" w:hAnsi="Times New Roman"/>
                <w:sz w:val="24"/>
              </w:rPr>
            </w:pPr>
            <w:r w:rsidRPr="00704862">
              <w:rPr>
                <w:rFonts w:ascii="Times New Roman" w:hAnsi="Times New Roman"/>
                <w:sz w:val="24"/>
              </w:rPr>
              <w:t>Inštitúcie, ktoré v decembri 2024 vypočítali svoju požiadavku na vlastné zdroje v súlade s prístupom základného ukazovateľa, môžu vykazovať tie straty, pri ktorých nie je identifikovaný druh stratovej udalosti, len v stĺpci 0080.</w:t>
            </w:r>
          </w:p>
        </w:tc>
      </w:tr>
      <w:tr w:rsidR="00FD54FC" w:rsidRPr="00704862" w14:paraId="50B8D542" w14:textId="77777777" w:rsidTr="3B06A011">
        <w:tc>
          <w:tcPr>
            <w:tcW w:w="985" w:type="dxa"/>
          </w:tcPr>
          <w:p w14:paraId="5DD6D73C" w14:textId="77777777" w:rsidR="00FD54FC" w:rsidRPr="00704862" w:rsidRDefault="00C93FC2" w:rsidP="00FD54FC">
            <w:pPr>
              <w:autoSpaceDE w:val="0"/>
              <w:autoSpaceDN w:val="0"/>
              <w:adjustRightInd w:val="0"/>
              <w:spacing w:before="0" w:after="0"/>
              <w:rPr>
                <w:rFonts w:ascii="Times New Roman" w:hAnsi="Times New Roman"/>
                <w:bCs/>
                <w:sz w:val="24"/>
              </w:rPr>
            </w:pPr>
            <w:r w:rsidRPr="00704862">
              <w:rPr>
                <w:rFonts w:ascii="Times New Roman" w:hAnsi="Times New Roman"/>
                <w:sz w:val="24"/>
                <w:lang w:eastAsia="nl-BE"/>
              </w:rPr>
              <w:t>0080</w:t>
            </w:r>
          </w:p>
        </w:tc>
        <w:tc>
          <w:tcPr>
            <w:tcW w:w="8195" w:type="dxa"/>
          </w:tcPr>
          <w:p w14:paraId="160BFCD4" w14:textId="77777777" w:rsidR="00FD54FC" w:rsidRPr="00704862" w:rsidRDefault="00FD54FC" w:rsidP="005D3C49">
            <w:pPr>
              <w:keepNext/>
              <w:autoSpaceDE w:val="0"/>
              <w:autoSpaceDN w:val="0"/>
              <w:adjustRightInd w:val="0"/>
              <w:spacing w:before="0" w:after="0"/>
              <w:rPr>
                <w:rStyle w:val="InstructionsTabelleberschrift"/>
                <w:rFonts w:ascii="Times New Roman" w:hAnsi="Times New Roman"/>
                <w:sz w:val="24"/>
              </w:rPr>
            </w:pPr>
            <w:r w:rsidRPr="00704862">
              <w:rPr>
                <w:rStyle w:val="InstructionsTabelleberschrift"/>
                <w:rFonts w:ascii="Times New Roman" w:hAnsi="Times New Roman"/>
                <w:sz w:val="24"/>
              </w:rPr>
              <w:t>DRUHY STRATOVÝCH UDALOSTÍ SPOLU</w:t>
            </w:r>
          </w:p>
          <w:p w14:paraId="64EF174C" w14:textId="77777777" w:rsidR="008D30F0" w:rsidRPr="00704862" w:rsidRDefault="00FD54FC" w:rsidP="00FD54FC">
            <w:pPr>
              <w:rPr>
                <w:rStyle w:val="InstructionsTabelleText"/>
                <w:rFonts w:ascii="Times New Roman" w:hAnsi="Times New Roman"/>
                <w:sz w:val="24"/>
              </w:rPr>
            </w:pPr>
            <w:r w:rsidRPr="00704862">
              <w:rPr>
                <w:rStyle w:val="InstructionsTabelleText"/>
                <w:rFonts w:ascii="Times New Roman" w:hAnsi="Times New Roman"/>
                <w:sz w:val="24"/>
              </w:rPr>
              <w:t>V stĺpci 0080 inštitúcie vykazujú pre každú obchodnú líniu celkový „počet stratových udalostí (nové stratové udalosti)“, celkovú „hrubú výšku straty (nové stratové udalosti)“, celkový „počet stratových udalostí, ktoré podliehajú úpravám strát“, celkový „počet úprav strát týkajúcich sa predchádzajúcich období vykazovania“, „maximálnu jednorazovú stratu“, „súčet piatich najväčších strát“, „celkovú výšku priamych náhrad strát“ spolu a „celkovú výšku nahradených strát z poistenia a ďalších mechanizmov presunu rizika“ spolu.</w:t>
            </w:r>
          </w:p>
          <w:p w14:paraId="435DA6FC" w14:textId="4E7CF407" w:rsidR="00FD54FC" w:rsidRPr="00704862" w:rsidRDefault="00FD54FC" w:rsidP="3B06A011">
            <w:pPr>
              <w:rPr>
                <w:rStyle w:val="InstructionsTabelleText"/>
                <w:rFonts w:ascii="Times New Roman" w:hAnsi="Times New Roman"/>
                <w:sz w:val="24"/>
              </w:rPr>
            </w:pPr>
            <w:r w:rsidRPr="00704862">
              <w:rPr>
                <w:rStyle w:val="InstructionsTabelleText"/>
                <w:rFonts w:ascii="Times New Roman" w:hAnsi="Times New Roman"/>
                <w:sz w:val="24"/>
              </w:rPr>
              <w:t>Za predpokladu, že inštitúcia identifikovala druhy stratových udalostí pre všetky straty, v stĺpci 0080 sa uvedie jednoduchý súčet počtu stratových udalostí, celko</w:t>
            </w:r>
            <w:r w:rsidRPr="00704862">
              <w:rPr>
                <w:rStyle w:val="InstructionsTabelleText"/>
                <w:rFonts w:ascii="Times New Roman" w:hAnsi="Times New Roman"/>
                <w:sz w:val="24"/>
              </w:rPr>
              <w:lastRenderedPageBreak/>
              <w:t>vých hrubých výšok strát, celkových výšok nahradených strát a „úprav strát týkajúcich sa predchádzajúcich období vykazovania“ vykázaných v stĺpcoch 0010 až 0070.</w:t>
            </w:r>
          </w:p>
          <w:p w14:paraId="7ADBEC5B" w14:textId="2AAA90E7" w:rsidR="00FD54FC" w:rsidRPr="00704862" w:rsidRDefault="00FD54FC" w:rsidP="3B06A011">
            <w:pPr>
              <w:rPr>
                <w:rStyle w:val="InstructionsTabelleText"/>
                <w:rFonts w:ascii="Times New Roman" w:hAnsi="Times New Roman"/>
                <w:sz w:val="24"/>
              </w:rPr>
            </w:pPr>
            <w:r w:rsidRPr="00704862">
              <w:rPr>
                <w:rStyle w:val="InstructionsTabelleText"/>
                <w:rFonts w:ascii="Times New Roman" w:hAnsi="Times New Roman"/>
                <w:sz w:val="24"/>
              </w:rPr>
              <w:t>„Maximálna jednorazová strata“ vykázaná v stĺpci 0080 je maximálna jednorazová strata v rámci obchodnej línie a je totožná s maximálnou hodnotou „maximálnych jednorazových strát“ vykázaných v stĺpcoch 0010 až 0070 za predpokladu, že inštitúcia identifikovala druhy stratových udalostí pre všetky straty.</w:t>
            </w:r>
          </w:p>
          <w:p w14:paraId="620764F4" w14:textId="77777777" w:rsidR="00FD54FC" w:rsidRPr="00704862" w:rsidRDefault="00FD54FC" w:rsidP="00FD54FC">
            <w:pPr>
              <w:rPr>
                <w:rFonts w:ascii="Times New Roman" w:hAnsi="Times New Roman"/>
                <w:bCs/>
                <w:sz w:val="24"/>
              </w:rPr>
            </w:pPr>
            <w:r w:rsidRPr="00704862">
              <w:rPr>
                <w:rStyle w:val="InstructionsTabelleText"/>
                <w:rFonts w:ascii="Times New Roman" w:hAnsi="Times New Roman"/>
                <w:sz w:val="24"/>
              </w:rPr>
              <w:t>V prípade súčtu piatich najväčších strát sa v stĺpci 0080 vykazuje súčet piatich najväčších strát v rámci jednej obchodnej línie.</w:t>
            </w:r>
          </w:p>
        </w:tc>
      </w:tr>
      <w:tr w:rsidR="00FD54FC" w:rsidRPr="00704862" w14:paraId="4B2FA115" w14:textId="77777777" w:rsidTr="3B06A011">
        <w:tc>
          <w:tcPr>
            <w:tcW w:w="985" w:type="dxa"/>
          </w:tcPr>
          <w:p w14:paraId="5DDA1F0A" w14:textId="77777777" w:rsidR="00FD54FC" w:rsidRPr="00704862" w:rsidRDefault="00C93FC2" w:rsidP="000F70EC">
            <w:pPr>
              <w:autoSpaceDE w:val="0"/>
              <w:autoSpaceDN w:val="0"/>
              <w:adjustRightInd w:val="0"/>
              <w:spacing w:before="0" w:after="0"/>
              <w:rPr>
                <w:rFonts w:ascii="Times New Roman" w:hAnsi="Times New Roman"/>
                <w:bCs/>
                <w:sz w:val="24"/>
              </w:rPr>
            </w:pPr>
            <w:r w:rsidRPr="00704862">
              <w:rPr>
                <w:rFonts w:ascii="Times New Roman" w:hAnsi="Times New Roman"/>
                <w:sz w:val="24"/>
                <w:lang w:eastAsia="nl-BE"/>
              </w:rPr>
              <w:lastRenderedPageBreak/>
              <w:t>0090-0100</w:t>
            </w:r>
          </w:p>
        </w:tc>
        <w:tc>
          <w:tcPr>
            <w:tcW w:w="8195" w:type="dxa"/>
          </w:tcPr>
          <w:p w14:paraId="13E5A936" w14:textId="77777777" w:rsidR="00FD54FC" w:rsidRPr="00704862" w:rsidRDefault="00FD54FC" w:rsidP="005D3C49">
            <w:pPr>
              <w:keepNext/>
              <w:autoSpaceDE w:val="0"/>
              <w:autoSpaceDN w:val="0"/>
              <w:adjustRightInd w:val="0"/>
              <w:spacing w:before="0" w:after="0"/>
              <w:rPr>
                <w:rFonts w:ascii="Times New Roman" w:hAnsi="Times New Roman"/>
                <w:sz w:val="24"/>
              </w:rPr>
            </w:pPr>
            <w:r w:rsidRPr="00704862">
              <w:rPr>
                <w:rStyle w:val="InstructionsTabelleberschrift"/>
                <w:rFonts w:ascii="Times New Roman" w:hAnsi="Times New Roman"/>
                <w:sz w:val="24"/>
              </w:rPr>
              <w:t>DOPLŇUJÚCA POLOŽKA: PRAHOVÁ HODNOTA POUŽITÁ PRI ZBERE ÚDAJOV</w:t>
            </w:r>
          </w:p>
          <w:p w14:paraId="6C9949A4" w14:textId="6C85C37C" w:rsidR="00FD54FC" w:rsidRPr="00704862" w:rsidRDefault="00FD54FC" w:rsidP="3B06A011">
            <w:pPr>
              <w:autoSpaceDE w:val="0"/>
              <w:autoSpaceDN w:val="0"/>
              <w:adjustRightInd w:val="0"/>
              <w:spacing w:before="0" w:after="0"/>
              <w:rPr>
                <w:rStyle w:val="InstructionsTabelleText"/>
                <w:rFonts w:ascii="Times New Roman" w:hAnsi="Times New Roman"/>
                <w:sz w:val="24"/>
              </w:rPr>
            </w:pPr>
            <w:r w:rsidRPr="00704862">
              <w:rPr>
                <w:rStyle w:val="InstructionsTabelleText"/>
                <w:rFonts w:ascii="Times New Roman" w:hAnsi="Times New Roman"/>
                <w:sz w:val="24"/>
              </w:rPr>
              <w:t>Inštitúcie vykazujú v stĺpcoch 0090 a 0100 minimálne prahové hodnoty strát, ktoré už boli stanovené a použité na zber interných údajov o stratách.</w:t>
            </w:r>
          </w:p>
          <w:p w14:paraId="4FAB0E4A" w14:textId="62A95685" w:rsidR="00FD54FC" w:rsidRPr="00704862" w:rsidRDefault="001F6487" w:rsidP="00FD54FC">
            <w:pPr>
              <w:autoSpaceDE w:val="0"/>
              <w:autoSpaceDN w:val="0"/>
              <w:adjustRightInd w:val="0"/>
              <w:spacing w:before="0" w:after="0"/>
              <w:rPr>
                <w:rStyle w:val="InstructionsTabelleText"/>
                <w:rFonts w:ascii="Times New Roman" w:hAnsi="Times New Roman"/>
                <w:sz w:val="24"/>
              </w:rPr>
            </w:pPr>
            <w:r w:rsidRPr="00704862">
              <w:rPr>
                <w:rStyle w:val="InstructionsTabelleText"/>
                <w:rFonts w:ascii="Times New Roman" w:hAnsi="Times New Roman"/>
                <w:sz w:val="24"/>
              </w:rPr>
              <w:t>Ak inštitúcia uplatňuje len jednu prahovú hodnotu pre každú obchodnú líniu, vyplní sa len stĺpec 0090.</w:t>
            </w:r>
          </w:p>
          <w:p w14:paraId="70501482" w14:textId="498EFA89" w:rsidR="00650B6C" w:rsidRPr="00704862" w:rsidRDefault="001F6487" w:rsidP="0002267E">
            <w:pPr>
              <w:rPr>
                <w:rStyle w:val="InstructionsTabelleText"/>
                <w:rFonts w:ascii="Times New Roman" w:hAnsi="Times New Roman"/>
                <w:sz w:val="24"/>
              </w:rPr>
            </w:pPr>
            <w:r w:rsidRPr="00704862">
              <w:rPr>
                <w:rStyle w:val="InstructionsTabelleText"/>
                <w:rFonts w:ascii="Times New Roman" w:hAnsi="Times New Roman"/>
                <w:sz w:val="24"/>
              </w:rPr>
              <w:t>Ak sa v rámci tej istej obchodnej línie uplatňujú rôzne prahové hodnoty, vyplní sa aj najvyššia uplatniteľná prahová hodnota (stĺpec 0100).</w:t>
            </w:r>
          </w:p>
        </w:tc>
      </w:tr>
    </w:tbl>
    <w:p w14:paraId="7D438528" w14:textId="77777777" w:rsidR="00FD54FC" w:rsidRPr="00704862"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704862" w14:paraId="3025DA90" w14:textId="77777777" w:rsidTr="3B06A011">
        <w:trPr>
          <w:trHeight w:val="504"/>
        </w:trPr>
        <w:tc>
          <w:tcPr>
            <w:tcW w:w="9180" w:type="dxa"/>
            <w:gridSpan w:val="2"/>
            <w:shd w:val="clear" w:color="auto" w:fill="CCCCCC"/>
          </w:tcPr>
          <w:p w14:paraId="22584A44" w14:textId="77777777" w:rsidR="00FD54FC" w:rsidRPr="00704862" w:rsidRDefault="00FD54FC" w:rsidP="005D3C49">
            <w:pPr>
              <w:keepNext/>
              <w:autoSpaceDE w:val="0"/>
              <w:autoSpaceDN w:val="0"/>
              <w:adjustRightInd w:val="0"/>
              <w:spacing w:after="0"/>
              <w:rPr>
                <w:rFonts w:ascii="Times New Roman" w:hAnsi="Times New Roman"/>
                <w:b/>
                <w:bCs/>
                <w:sz w:val="24"/>
              </w:rPr>
            </w:pPr>
            <w:r w:rsidRPr="00704862">
              <w:rPr>
                <w:rFonts w:ascii="Times New Roman" w:hAnsi="Times New Roman"/>
                <w:b/>
                <w:sz w:val="24"/>
              </w:rPr>
              <w:t>Riadky</w:t>
            </w:r>
          </w:p>
        </w:tc>
      </w:tr>
      <w:tr w:rsidR="00FD54FC" w:rsidRPr="00704862" w14:paraId="747AECBF" w14:textId="77777777" w:rsidTr="3B06A011">
        <w:tc>
          <w:tcPr>
            <w:tcW w:w="1101" w:type="dxa"/>
          </w:tcPr>
          <w:p w14:paraId="373E8135" w14:textId="77777777" w:rsidR="00FD54FC" w:rsidRPr="00704862" w:rsidRDefault="00C93FC2" w:rsidP="000F70EC">
            <w:pPr>
              <w:rPr>
                <w:rFonts w:ascii="Times New Roman" w:hAnsi="Times New Roman"/>
                <w:bCs/>
                <w:sz w:val="24"/>
              </w:rPr>
            </w:pPr>
            <w:r w:rsidRPr="00704862">
              <w:rPr>
                <w:rFonts w:ascii="Times New Roman" w:hAnsi="Times New Roman"/>
                <w:sz w:val="24"/>
                <w:lang w:eastAsia="de-DE"/>
              </w:rPr>
              <w:t>0010</w:t>
            </w:r>
            <w:r w:rsidRPr="00704862">
              <w:rPr>
                <w:rFonts w:ascii="Times New Roman" w:hAnsi="Times New Roman"/>
                <w:sz w:val="24"/>
                <w:lang w:eastAsia="nl-BE"/>
              </w:rPr>
              <w:t>-0880</w:t>
            </w:r>
          </w:p>
        </w:tc>
        <w:tc>
          <w:tcPr>
            <w:tcW w:w="8079" w:type="dxa"/>
          </w:tcPr>
          <w:p w14:paraId="73EF9F40" w14:textId="7C8BD87F"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OBCHODNÉ LÍNIE: PODNIKOVÉ FINANCIE, OBCHODOVANIE A PREDAJ, RETAILOVÉ MAKLÉRSTVO, KOMERČNÉ BANKOVNÍCTVO, RETAILOVÉ BANKOVNÍCTVO, PLATBY A ZÚČTOVANIE, AGENTÚRNE SLUŽBY, RIADENIE AKTÍV, PODNIKOVÉ POLOŽKY</w:t>
            </w:r>
          </w:p>
          <w:p w14:paraId="4ABD41A7" w14:textId="4AA98EEC" w:rsidR="00FD54FC" w:rsidRPr="00704862" w:rsidRDefault="00FD54FC" w:rsidP="00FD54FC">
            <w:pPr>
              <w:pStyle w:val="PlainText"/>
              <w:jc w:val="both"/>
              <w:rPr>
                <w:rFonts w:ascii="Times New Roman" w:hAnsi="Times New Roman"/>
                <w:sz w:val="24"/>
                <w:szCs w:val="24"/>
              </w:rPr>
            </w:pPr>
            <w:r w:rsidRPr="00704862">
              <w:rPr>
                <w:rFonts w:ascii="Times New Roman" w:hAnsi="Times New Roman"/>
                <w:sz w:val="24"/>
              </w:rPr>
              <w:t>Pre každý druh straty a obchodnú líniu inštitúcie v súlade s internými prahovými hodnotami vykazujú tieto informácie: počet stratových udalostí (nové stratové udalosti), hrubá výšku straty (nové stratové udalosti), počet stratových udalostí, ktoré podliehajú úpravám strát, úpravy strát týkajúce sa predchádzajúcich období vykazovania, maximálna jednorazová strata, súčet piatich najväčších strát, celková výška priamych náhrad strát a celková výška nahradených strát z poistenia a ďalších mechanizmov presunu rizika.</w:t>
            </w:r>
          </w:p>
          <w:p w14:paraId="598C709E" w14:textId="77777777" w:rsidR="00FD54FC" w:rsidRPr="00704862" w:rsidRDefault="00FD54FC" w:rsidP="00FD54FC">
            <w:pPr>
              <w:rPr>
                <w:rFonts w:ascii="Times New Roman" w:hAnsi="Times New Roman"/>
                <w:sz w:val="24"/>
              </w:rPr>
            </w:pPr>
            <w:r w:rsidRPr="00704862">
              <w:rPr>
                <w:rFonts w:ascii="Times New Roman" w:hAnsi="Times New Roman"/>
                <w:sz w:val="24"/>
              </w:rPr>
              <w:t>V prípade stratovej udalosti, ktorá má vplyv na viac ako jednu obchodnú líniu, sa „hrubá výška straty“ rozdelí medzi všetky dotknuté obchodné línie.</w:t>
            </w:r>
          </w:p>
          <w:p w14:paraId="7BC94C24" w14:textId="643D0143" w:rsidR="00FD54FC" w:rsidRPr="00704862" w:rsidRDefault="00FD54FC" w:rsidP="3B06A011">
            <w:pPr>
              <w:rPr>
                <w:rFonts w:ascii="Times New Roman" w:hAnsi="Times New Roman"/>
                <w:sz w:val="24"/>
              </w:rPr>
            </w:pPr>
            <w:r w:rsidRPr="00704862">
              <w:rPr>
                <w:rFonts w:ascii="Times New Roman" w:hAnsi="Times New Roman"/>
                <w:sz w:val="24"/>
              </w:rPr>
              <w:t>Inštitúcie, ktoré vypočítali svoju požiadavku na vlastné zdroje v decembri 2024 v súlade s prístupom základného ukazovateľa, môžu vykazovať straty, pri ktorých nie je identifikovaná obchodná línia, len v riadkoch 0910 – 0980.</w:t>
            </w:r>
          </w:p>
        </w:tc>
      </w:tr>
      <w:tr w:rsidR="00FD54FC" w:rsidRPr="00704862" w14:paraId="5539CB2D" w14:textId="77777777" w:rsidTr="3B06A011">
        <w:tc>
          <w:tcPr>
            <w:tcW w:w="1101" w:type="dxa"/>
          </w:tcPr>
          <w:p w14:paraId="2AD95C57"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t>0010, 0110, 0210, 0310, 0410, 0510, 0610, 0710, 0810</w:t>
            </w:r>
          </w:p>
        </w:tc>
        <w:tc>
          <w:tcPr>
            <w:tcW w:w="8079" w:type="dxa"/>
          </w:tcPr>
          <w:p w14:paraId="6FB8404E"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Počet stratových udalostí (nové stratové udalosti)</w:t>
            </w:r>
          </w:p>
          <w:p w14:paraId="0A87F437" w14:textId="77777777" w:rsidR="00FD54FC" w:rsidRPr="00704862" w:rsidRDefault="00FD54FC" w:rsidP="00FD54FC">
            <w:pPr>
              <w:rPr>
                <w:rFonts w:ascii="Times New Roman" w:hAnsi="Times New Roman"/>
                <w:sz w:val="24"/>
              </w:rPr>
            </w:pPr>
            <w:r w:rsidRPr="00704862">
              <w:rPr>
                <w:rFonts w:ascii="Times New Roman" w:hAnsi="Times New Roman"/>
                <w:sz w:val="24"/>
              </w:rPr>
              <w:t>Počet stratových udalostí je počet stratových udalostí, pri ktorých boli zaúčtované hrubé straty v rámci vykazovaného referenčného obdobia.</w:t>
            </w:r>
          </w:p>
          <w:p w14:paraId="1CB08978" w14:textId="77777777" w:rsidR="00FD54FC" w:rsidRPr="00704862" w:rsidRDefault="00FD54FC" w:rsidP="005D3C49">
            <w:pPr>
              <w:keepNext/>
              <w:rPr>
                <w:rFonts w:ascii="Times New Roman" w:hAnsi="Times New Roman"/>
                <w:sz w:val="24"/>
              </w:rPr>
            </w:pPr>
            <w:r w:rsidRPr="00704862">
              <w:rPr>
                <w:rFonts w:ascii="Times New Roman" w:hAnsi="Times New Roman"/>
                <w:sz w:val="24"/>
              </w:rPr>
              <w:t>Počet stratových udalostí sa vzťahuje na „nové udalosti“, t. j. udalosti operačného rizika:</w:t>
            </w:r>
          </w:p>
          <w:p w14:paraId="3B968FDE" w14:textId="3F1B5227" w:rsidR="00FD54FC" w:rsidRPr="00704862" w:rsidRDefault="00FD54FC" w:rsidP="005D3C49">
            <w:pPr>
              <w:pStyle w:val="ListParagraph"/>
              <w:numPr>
                <w:ilvl w:val="0"/>
                <w:numId w:val="43"/>
              </w:numPr>
              <w:tabs>
                <w:tab w:val="left" w:pos="459"/>
              </w:tabs>
              <w:ind w:hanging="1080"/>
              <w:rPr>
                <w:rFonts w:ascii="Times New Roman" w:hAnsi="Times New Roman"/>
                <w:sz w:val="24"/>
              </w:rPr>
            </w:pPr>
            <w:r w:rsidRPr="00704862">
              <w:rPr>
                <w:rFonts w:ascii="Times New Roman" w:hAnsi="Times New Roman"/>
                <w:sz w:val="24"/>
              </w:rPr>
              <w:t>„zaúčtované po prvýkrát“ v rámci vykazovaného referenčného obdobia alebo</w:t>
            </w:r>
          </w:p>
          <w:p w14:paraId="1A1A183C" w14:textId="72C3641D" w:rsidR="00FD54FC" w:rsidRPr="00704862" w:rsidRDefault="00FD54FC" w:rsidP="005D3C49">
            <w:pPr>
              <w:pStyle w:val="ListParagraph"/>
              <w:numPr>
                <w:ilvl w:val="0"/>
                <w:numId w:val="43"/>
              </w:numPr>
              <w:tabs>
                <w:tab w:val="left" w:pos="459"/>
              </w:tabs>
              <w:ind w:left="499" w:hanging="499"/>
              <w:rPr>
                <w:rFonts w:ascii="Times New Roman" w:hAnsi="Times New Roman"/>
                <w:sz w:val="24"/>
              </w:rPr>
            </w:pPr>
            <w:r w:rsidRPr="00704862">
              <w:rPr>
                <w:rFonts w:ascii="Times New Roman" w:hAnsi="Times New Roman"/>
                <w:sz w:val="24"/>
              </w:rPr>
              <w:lastRenderedPageBreak/>
              <w:t>„zaúčtovaná po prvýkrát“ v rámci predchádzajúceho referenčného obdobia vykazovania, ak stratová udalosť nebola zahrnutá do žiadnej predchádzajúcej správy na účely dohľadu, napr. preto, že bola identifikovaná ako stratová udalosť operačného rizika až v aktuálnom referenčnom období vykazovania alebo preto, že súhrnná strata, ktorú možno priradiť k tejto stratovej udalosti (t. j. pôvodná strata plus/mínus všetky úpravy straty vykonané v predchádzajúcich referenčných obdobiach vykazovania), prekročila prah interného zberu údajov až v aktuálnom referenčnom období vykazovania.</w:t>
            </w:r>
          </w:p>
          <w:p w14:paraId="76206E71" w14:textId="77777777" w:rsidR="00FD54FC" w:rsidRPr="00704862" w:rsidRDefault="00FD54FC" w:rsidP="3B06A011">
            <w:pPr>
              <w:rPr>
                <w:rStyle w:val="InstructionsTabelleberschrift"/>
                <w:rFonts w:ascii="Times New Roman" w:hAnsi="Times New Roman"/>
                <w:sz w:val="24"/>
              </w:rPr>
            </w:pPr>
            <w:r w:rsidRPr="00704862">
              <w:rPr>
                <w:rFonts w:ascii="Times New Roman" w:hAnsi="Times New Roman"/>
                <w:sz w:val="24"/>
              </w:rPr>
              <w:t>„Nové stratové udalosti“ nezahŕňajú stratové udalosti „zaúčtované po prvýkrát“ v rámci predchádzajúceho referenčného obdobia vykazovania, ktoré už boli zahrnuté v predchádzajúcich správach na účely dohľadu.</w:t>
            </w:r>
          </w:p>
        </w:tc>
      </w:tr>
      <w:tr w:rsidR="00FD54FC" w:rsidRPr="00704862" w14:paraId="67B548BF" w14:textId="77777777" w:rsidTr="3B06A011">
        <w:tc>
          <w:tcPr>
            <w:tcW w:w="1101" w:type="dxa"/>
          </w:tcPr>
          <w:p w14:paraId="25346D5E"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lastRenderedPageBreak/>
              <w:t>0020, 0120, 0220, 0320, 0420, 0520, 0620, 0720, 0820</w:t>
            </w:r>
          </w:p>
        </w:tc>
        <w:tc>
          <w:tcPr>
            <w:tcW w:w="8079" w:type="dxa"/>
          </w:tcPr>
          <w:p w14:paraId="675477D4"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Hrubá výška straty (nové škodové udalosti)</w:t>
            </w:r>
          </w:p>
          <w:p w14:paraId="2E85E133" w14:textId="404A4022" w:rsidR="00FD54FC" w:rsidRPr="00704862" w:rsidRDefault="00FD54FC" w:rsidP="00FD54FC">
            <w:pPr>
              <w:rPr>
                <w:rFonts w:ascii="Times New Roman" w:hAnsi="Times New Roman"/>
                <w:sz w:val="24"/>
              </w:rPr>
            </w:pPr>
            <w:r w:rsidRPr="00704862">
              <w:rPr>
                <w:rFonts w:ascii="Times New Roman" w:hAnsi="Times New Roman"/>
                <w:sz w:val="24"/>
              </w:rPr>
              <w:t>Hrubá výška straty predstavuje hrubú výšku straty vzťahujúcu sa na stratové udalosti operačného rizika v súlade s článkom 318 ods. 2 nariadenia (EÚ) č. 575/2013. Všetky straty súvisiace s jednou stratovou udalosťou, ktoré sa účtujú v rámci vykazovaného referenčného obdobia, sa sčítajú a považujú sa za hrubú stratu pre danú stratovú udalosť za dané vykazované referenčné obdobie.</w:t>
            </w:r>
          </w:p>
          <w:p w14:paraId="611D2B8E" w14:textId="77777777" w:rsidR="00FD54FC" w:rsidRPr="00704862" w:rsidRDefault="00FD54FC" w:rsidP="00FD54FC">
            <w:pPr>
              <w:rPr>
                <w:rFonts w:ascii="Times New Roman" w:hAnsi="Times New Roman"/>
                <w:sz w:val="24"/>
              </w:rPr>
            </w:pPr>
            <w:r w:rsidRPr="00704862">
              <w:rPr>
                <w:rFonts w:ascii="Times New Roman" w:hAnsi="Times New Roman"/>
                <w:sz w:val="24"/>
              </w:rPr>
              <w:t>Vykázaná hrubá výška straty sa vzťahuje na „nové stratové udalosti“, ako sa uvádza v riadku vyššie v tejto tabuľke. V prípade stratových udalostí „zaúčtovaných prvýkrát“ v rámci predchádzajúceho referenčného obdobia vykazovania, ktoré neboli zahrnuté v žiadnej predchádzajúcej správe na účely dohľadu, sa ako hrubá strata k referenčnému dátumu vykazovania vykazuje celková strata nahromadená do referenčného dátumu vykazovania (t. j. pôvodná strata plus/mínus všetky úpravy straty vykonané v predchádzajúcich referenčných obdobiach vykazovania).</w:t>
            </w:r>
          </w:p>
          <w:p w14:paraId="371CD21C" w14:textId="77777777" w:rsidR="00FD54FC" w:rsidRPr="00704862" w:rsidRDefault="00FD54FC" w:rsidP="3B06A011">
            <w:pPr>
              <w:rPr>
                <w:rStyle w:val="InstructionsTabelleberschrift"/>
                <w:rFonts w:ascii="Times New Roman" w:hAnsi="Times New Roman"/>
                <w:sz w:val="24"/>
              </w:rPr>
            </w:pPr>
            <w:r w:rsidRPr="00704862">
              <w:rPr>
                <w:rFonts w:ascii="Times New Roman" w:hAnsi="Times New Roman"/>
                <w:sz w:val="24"/>
              </w:rPr>
              <w:t>V sumách, ktoré sa majú vykazovať, sa nezohľadňujú získané prostriedky.</w:t>
            </w:r>
          </w:p>
        </w:tc>
      </w:tr>
      <w:tr w:rsidR="00FD54FC" w:rsidRPr="00704862" w14:paraId="35BC8758" w14:textId="77777777" w:rsidTr="3B06A011">
        <w:tc>
          <w:tcPr>
            <w:tcW w:w="1101" w:type="dxa"/>
          </w:tcPr>
          <w:p w14:paraId="30B4B9A7"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t>0030, 0130, 0230, 0330, 0430, 0530, 0630, 0730, 0830</w:t>
            </w:r>
          </w:p>
        </w:tc>
        <w:tc>
          <w:tcPr>
            <w:tcW w:w="8079" w:type="dxa"/>
          </w:tcPr>
          <w:p w14:paraId="20431596"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Počet stratových udalostí, na ktoré sa vzťahujú úpravy strát</w:t>
            </w:r>
          </w:p>
          <w:p w14:paraId="489FCDC5" w14:textId="15690A81" w:rsidR="00FD54FC" w:rsidRPr="00704862" w:rsidRDefault="00FD54FC" w:rsidP="3B06A011">
            <w:pPr>
              <w:rPr>
                <w:rFonts w:ascii="Times New Roman" w:hAnsi="Times New Roman"/>
                <w:sz w:val="24"/>
              </w:rPr>
            </w:pPr>
            <w:r w:rsidRPr="00704862">
              <w:rPr>
                <w:rFonts w:ascii="Times New Roman" w:hAnsi="Times New Roman"/>
                <w:sz w:val="24"/>
              </w:rPr>
              <w:t>Počet stratových udalostí, ktoré podliehajú úpravám strát, predstavuje počet stratových udalostí operačného rizika „zaúčtovaných prvýkrát“ v predchádzajúcich referenčných obdobiach vykazovania a už zahrnutých v predchádzajúcich správach, pri ktorých boli v aktuálnom referenčnom období vykazovania vykonané úpravy strát.</w:t>
            </w:r>
          </w:p>
          <w:p w14:paraId="35A5D3D6" w14:textId="77777777" w:rsidR="00FD54FC" w:rsidRPr="00704862" w:rsidRDefault="001F6487" w:rsidP="005F1EB8">
            <w:pPr>
              <w:rPr>
                <w:b/>
                <w:sz w:val="24"/>
              </w:rPr>
            </w:pPr>
            <w:r w:rsidRPr="00704862">
              <w:rPr>
                <w:rFonts w:ascii="Times New Roman" w:hAnsi="Times New Roman"/>
                <w:sz w:val="24"/>
              </w:rPr>
              <w:t>Ak sa v rámci vykazovaného referenčného obdobia vykonala viac ako jedna úprava straty v súvislosti so stratovou udalosťou, súčet týchto úprav strát sa v danom období počíta ako jedna úprava.</w:t>
            </w:r>
          </w:p>
        </w:tc>
      </w:tr>
      <w:tr w:rsidR="00FD54FC" w:rsidRPr="00704862" w14:paraId="4897901E" w14:textId="77777777" w:rsidTr="3B06A011">
        <w:tc>
          <w:tcPr>
            <w:tcW w:w="1101" w:type="dxa"/>
          </w:tcPr>
          <w:p w14:paraId="1CA10334"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t>0040, 0140, 0240, 0340, 0440, 0540, 0640, 0</w:t>
            </w:r>
            <w:r w:rsidRPr="00704862">
              <w:rPr>
                <w:rFonts w:ascii="Times New Roman" w:hAnsi="Times New Roman"/>
                <w:sz w:val="24"/>
                <w:lang w:eastAsia="de-DE"/>
              </w:rPr>
              <w:t>740</w:t>
            </w:r>
            <w:r w:rsidRPr="00704862">
              <w:rPr>
                <w:rFonts w:ascii="Times New Roman" w:hAnsi="Times New Roman"/>
                <w:sz w:val="24"/>
                <w:lang w:eastAsia="nl-BE"/>
              </w:rPr>
              <w:t>, 0840</w:t>
            </w:r>
          </w:p>
        </w:tc>
        <w:tc>
          <w:tcPr>
            <w:tcW w:w="8079" w:type="dxa"/>
          </w:tcPr>
          <w:p w14:paraId="68049943"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Úpravy strát týkajúce sa predchádzajúcich období vykazovania</w:t>
            </w:r>
          </w:p>
          <w:p w14:paraId="13788219" w14:textId="77777777" w:rsidR="00FD54FC" w:rsidRPr="00704862" w:rsidRDefault="00FD54FC" w:rsidP="005D3C49">
            <w:pPr>
              <w:keepNext/>
              <w:rPr>
                <w:rFonts w:ascii="Times New Roman" w:hAnsi="Times New Roman"/>
                <w:sz w:val="24"/>
              </w:rPr>
            </w:pPr>
            <w:r w:rsidRPr="00704862">
              <w:rPr>
                <w:rFonts w:ascii="Times New Roman" w:hAnsi="Times New Roman"/>
                <w:sz w:val="24"/>
              </w:rPr>
              <w:t>Úpravy strát týkajúce sa predchádzajúcich referenčných období vykazovania sú súčtom nasledujúcich prvkov (kladných alebo záporných):</w:t>
            </w:r>
          </w:p>
          <w:p w14:paraId="1123BBFF" w14:textId="68B858FE" w:rsidR="00FD54FC" w:rsidRPr="00704862" w:rsidRDefault="00FD54FC" w:rsidP="005D3C49">
            <w:pPr>
              <w:pStyle w:val="ListParagraph"/>
              <w:numPr>
                <w:ilvl w:val="0"/>
                <w:numId w:val="44"/>
              </w:numPr>
              <w:tabs>
                <w:tab w:val="left" w:pos="459"/>
              </w:tabs>
              <w:ind w:left="358" w:hanging="284"/>
              <w:rPr>
                <w:rFonts w:ascii="Times New Roman" w:hAnsi="Times New Roman"/>
                <w:sz w:val="24"/>
              </w:rPr>
            </w:pPr>
            <w:r w:rsidRPr="00704862">
              <w:rPr>
                <w:rFonts w:ascii="Times New Roman" w:hAnsi="Times New Roman"/>
                <w:sz w:val="24"/>
              </w:rPr>
              <w:t>hrubé sumy strát vzťahujúce sa na kladné úpravy strát vykonané v rámci vykazovaného referenčného obdobia (napr. zvýšenie rezerv, súvisiace stratové udalosti, dodatočné vyrovnania) udalostí operačného rizika „zaúčtovaných po prvýkrát“ a vykázaných v predchádzajúcich referenčných obdobiach vykazovania;</w:t>
            </w:r>
          </w:p>
          <w:p w14:paraId="22EFE0FB" w14:textId="1EA56092" w:rsidR="00FD54FC" w:rsidRPr="00704862" w:rsidRDefault="00FD54FC" w:rsidP="005D3C49">
            <w:pPr>
              <w:pStyle w:val="ListParagraph"/>
              <w:numPr>
                <w:ilvl w:val="0"/>
                <w:numId w:val="44"/>
              </w:numPr>
              <w:tabs>
                <w:tab w:val="left" w:pos="459"/>
              </w:tabs>
              <w:ind w:left="358" w:hanging="284"/>
              <w:rPr>
                <w:rFonts w:ascii="Times New Roman" w:hAnsi="Times New Roman"/>
                <w:sz w:val="24"/>
              </w:rPr>
            </w:pPr>
            <w:r w:rsidRPr="00704862">
              <w:rPr>
                <w:rFonts w:ascii="Times New Roman" w:hAnsi="Times New Roman"/>
                <w:sz w:val="24"/>
              </w:rPr>
              <w:lastRenderedPageBreak/>
              <w:t>hrubé sumy strát vzťahujúce sa na záporné úpravy strát vykonané v rámci referenčného obdobia vykazovania (napr. v dôsledku zníženia rezerv) stratových udalostí operačného rizika „zaúčtovaných po prvýkrát“ a vykázaných v predchádzajúcich referenčných obdobiach vykazovania.</w:t>
            </w:r>
          </w:p>
          <w:p w14:paraId="6796D1A0" w14:textId="77777777" w:rsidR="00FD54FC" w:rsidRPr="00704862" w:rsidRDefault="001F6487" w:rsidP="3B06A011">
            <w:pPr>
              <w:rPr>
                <w:rFonts w:ascii="Times New Roman" w:hAnsi="Times New Roman"/>
                <w:sz w:val="24"/>
              </w:rPr>
            </w:pPr>
            <w:r w:rsidRPr="00704862">
              <w:rPr>
                <w:rFonts w:ascii="Times New Roman" w:hAnsi="Times New Roman"/>
                <w:sz w:val="24"/>
              </w:rPr>
              <w:t>Ak sa v rámci referenčného obdobia vykazovania vykonala viac ako jedna úprava straty v súvislosti so stratovou udalosťou, sumy všetkých týchto úprav straty sa sčítajú, pričom sa zohľadní znamienko úprav (kladné, záporné). Táto suma sa považuje za úpravu straty pre danú stratovú udalosť za dané referenčné obdobie vykazovania.</w:t>
            </w:r>
          </w:p>
          <w:p w14:paraId="1FF4DC2A" w14:textId="77777777" w:rsidR="00FD54FC" w:rsidRPr="00704862" w:rsidRDefault="001F6487" w:rsidP="00FD54FC">
            <w:pPr>
              <w:rPr>
                <w:rFonts w:ascii="Times New Roman" w:hAnsi="Times New Roman"/>
                <w:sz w:val="24"/>
              </w:rPr>
            </w:pPr>
            <w:r w:rsidRPr="00704862">
              <w:rPr>
                <w:rFonts w:ascii="Times New Roman" w:hAnsi="Times New Roman"/>
                <w:sz w:val="24"/>
              </w:rPr>
              <w:t>Ak v dôsledku zápornej úpravy straty klesne upravená výška straty, ktorú možno priradiť k stratovej udalosti, pod interný prah zberu údajov inštitúcie, inštitúcia vykáže celkovú výšku straty pre túto stratovú udalosť nahromadenú do posledného nahlásenia udalosti k decembrovému referenčnému dátumu (t. j. pôvodná strata plus/mínus všetky úpravy straty vykonané v predchádzajúcich referenčných obdobiach vykazovania) so záporným znamienkom namiesto výšky samotnej zápornej úpravy straty.</w:t>
            </w:r>
          </w:p>
          <w:p w14:paraId="0FAF0676" w14:textId="77777777" w:rsidR="00FD54FC" w:rsidRPr="00704862" w:rsidRDefault="00FD54FC" w:rsidP="3B06A011">
            <w:pPr>
              <w:rPr>
                <w:b/>
                <w:bCs/>
                <w:sz w:val="24"/>
              </w:rPr>
            </w:pPr>
            <w:r w:rsidRPr="00704862">
              <w:rPr>
                <w:rFonts w:ascii="Times New Roman" w:hAnsi="Times New Roman"/>
                <w:sz w:val="24"/>
              </w:rPr>
              <w:t>V sumách, ktoré sa majú vykazovať, sa nezohľadňujú získané prostriedky.</w:t>
            </w:r>
          </w:p>
        </w:tc>
      </w:tr>
      <w:tr w:rsidR="00FD54FC" w:rsidRPr="00704862" w14:paraId="03FCD499" w14:textId="77777777" w:rsidTr="3B06A011">
        <w:tc>
          <w:tcPr>
            <w:tcW w:w="1101" w:type="dxa"/>
          </w:tcPr>
          <w:p w14:paraId="7980B206"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lastRenderedPageBreak/>
              <w:t>0050, 0150, 0250, 0350, 0450, 0550, 0650, 0750, 0850</w:t>
            </w:r>
          </w:p>
        </w:tc>
        <w:tc>
          <w:tcPr>
            <w:tcW w:w="8079" w:type="dxa"/>
          </w:tcPr>
          <w:p w14:paraId="593A9C4B"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Maximálna jednorazová strata</w:t>
            </w:r>
          </w:p>
          <w:p w14:paraId="388ADCDC" w14:textId="77777777" w:rsidR="00FD54FC" w:rsidRPr="00704862" w:rsidRDefault="00FD54FC" w:rsidP="005D3C49">
            <w:pPr>
              <w:keepNext/>
              <w:rPr>
                <w:rFonts w:ascii="Times New Roman" w:hAnsi="Times New Roman"/>
                <w:sz w:val="24"/>
              </w:rPr>
            </w:pPr>
            <w:r w:rsidRPr="00704862">
              <w:rPr>
                <w:rFonts w:ascii="Times New Roman" w:hAnsi="Times New Roman"/>
                <w:sz w:val="24"/>
              </w:rPr>
              <w:t>Maximálna jednorazová strata je väčšia z týchto hodnôt:</w:t>
            </w:r>
          </w:p>
          <w:p w14:paraId="4247C82D" w14:textId="0FA11190" w:rsidR="00FD54FC" w:rsidRPr="00704862" w:rsidRDefault="00FD54FC" w:rsidP="005D3C49">
            <w:pPr>
              <w:pStyle w:val="ListParagraph"/>
              <w:numPr>
                <w:ilvl w:val="0"/>
                <w:numId w:val="45"/>
              </w:numPr>
              <w:tabs>
                <w:tab w:val="left" w:pos="459"/>
              </w:tabs>
              <w:ind w:left="499" w:hanging="499"/>
              <w:rPr>
                <w:rFonts w:ascii="Times New Roman" w:hAnsi="Times New Roman"/>
                <w:sz w:val="24"/>
              </w:rPr>
            </w:pPr>
            <w:r w:rsidRPr="00704862">
              <w:rPr>
                <w:rFonts w:ascii="Times New Roman" w:hAnsi="Times New Roman"/>
                <w:sz w:val="24"/>
              </w:rPr>
              <w:t>najväčšia hrubá výška straty súvisiacej so stratovou udalosťou, ktorá bola prvýkrát vykázaná v rámci referenčného obdobia vykazovania, a</w:t>
            </w:r>
          </w:p>
          <w:p w14:paraId="56D74189" w14:textId="772ECB0D" w:rsidR="00FD54FC" w:rsidRPr="00704862" w:rsidRDefault="00FD54FC" w:rsidP="005D3C49">
            <w:pPr>
              <w:pStyle w:val="ListParagraph"/>
              <w:numPr>
                <w:ilvl w:val="0"/>
                <w:numId w:val="45"/>
              </w:numPr>
              <w:tabs>
                <w:tab w:val="left" w:pos="459"/>
              </w:tabs>
              <w:ind w:left="499" w:hanging="499"/>
              <w:rPr>
                <w:rFonts w:ascii="Times New Roman" w:hAnsi="Times New Roman"/>
                <w:sz w:val="24"/>
              </w:rPr>
            </w:pPr>
            <w:r w:rsidRPr="00704862">
              <w:rPr>
                <w:rFonts w:ascii="Times New Roman" w:hAnsi="Times New Roman"/>
                <w:sz w:val="24"/>
              </w:rPr>
              <w:t>najväčšia kladná suma úpravy straty (ako sa uvádza v riadkoch 0040, 0140, ..., 0840 vyššie) súvisiacej so stratovou udalosťou, ktorá bola prvýkrát vykázaná v predchádzajúcom referenčnom období vykazovania.</w:t>
            </w:r>
          </w:p>
          <w:p w14:paraId="1AFA00C9" w14:textId="77777777" w:rsidR="00FD54FC" w:rsidRPr="00704862" w:rsidRDefault="00FD54FC" w:rsidP="3B06A011">
            <w:pPr>
              <w:rPr>
                <w:sz w:val="24"/>
              </w:rPr>
            </w:pPr>
            <w:r w:rsidRPr="00704862">
              <w:rPr>
                <w:rFonts w:ascii="Times New Roman" w:hAnsi="Times New Roman"/>
                <w:sz w:val="24"/>
              </w:rPr>
              <w:t>V sumách, ktoré sa majú vykazovať, sa nezohľadňujú získané prostriedky.</w:t>
            </w:r>
          </w:p>
        </w:tc>
      </w:tr>
      <w:tr w:rsidR="00FD54FC" w:rsidRPr="00704862" w14:paraId="7ED98CBE" w14:textId="77777777" w:rsidTr="3B06A011">
        <w:tc>
          <w:tcPr>
            <w:tcW w:w="1101" w:type="dxa"/>
          </w:tcPr>
          <w:p w14:paraId="1574A031"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t>0060, 0160, 0260, 0360, 0460, 0560, 0660, 0760, 0860</w:t>
            </w:r>
          </w:p>
        </w:tc>
        <w:tc>
          <w:tcPr>
            <w:tcW w:w="8079" w:type="dxa"/>
          </w:tcPr>
          <w:p w14:paraId="36322A87"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Súčet piatich najväčších strát</w:t>
            </w:r>
          </w:p>
          <w:p w14:paraId="3D9655C2" w14:textId="77777777" w:rsidR="00FD54FC" w:rsidRPr="00704862" w:rsidRDefault="00FD54FC" w:rsidP="005D3C49">
            <w:pPr>
              <w:keepNext/>
              <w:rPr>
                <w:rFonts w:ascii="Times New Roman" w:hAnsi="Times New Roman"/>
                <w:sz w:val="24"/>
              </w:rPr>
            </w:pPr>
            <w:r w:rsidRPr="00704862">
              <w:rPr>
                <w:rFonts w:ascii="Times New Roman" w:hAnsi="Times New Roman"/>
                <w:sz w:val="24"/>
              </w:rPr>
              <w:t>Súčet piatich najväčších strát je súčtom piatich najväčších súm spomedzi:</w:t>
            </w:r>
          </w:p>
          <w:p w14:paraId="4B64CFB7" w14:textId="47C0B203" w:rsidR="00FD54FC" w:rsidRPr="00704862" w:rsidRDefault="00FD54FC" w:rsidP="005D3C49">
            <w:pPr>
              <w:pStyle w:val="ListParagraph"/>
              <w:numPr>
                <w:ilvl w:val="0"/>
                <w:numId w:val="46"/>
              </w:numPr>
              <w:tabs>
                <w:tab w:val="left" w:pos="459"/>
              </w:tabs>
              <w:ind w:left="499" w:hanging="499"/>
              <w:rPr>
                <w:rFonts w:ascii="Times New Roman" w:hAnsi="Times New Roman"/>
                <w:sz w:val="24"/>
              </w:rPr>
            </w:pPr>
            <w:r w:rsidRPr="00704862">
              <w:rPr>
                <w:rFonts w:ascii="Times New Roman" w:hAnsi="Times New Roman"/>
                <w:sz w:val="24"/>
              </w:rPr>
              <w:t>hrubých výšok strát v prípade stratových udalostí, ktoré boli prvýkrát vykázané v rámci referenčného obdobia vykazovania, a</w:t>
            </w:r>
          </w:p>
          <w:p w14:paraId="758169F5" w14:textId="305E1E4A" w:rsidR="00FD54FC" w:rsidRPr="00704862" w:rsidRDefault="00FD54FC" w:rsidP="005D3C49">
            <w:pPr>
              <w:pStyle w:val="ListParagraph"/>
              <w:numPr>
                <w:ilvl w:val="0"/>
                <w:numId w:val="46"/>
              </w:numPr>
              <w:tabs>
                <w:tab w:val="left" w:pos="459"/>
              </w:tabs>
              <w:ind w:left="499" w:hanging="499"/>
              <w:rPr>
                <w:rFonts w:ascii="Times New Roman" w:hAnsi="Times New Roman"/>
                <w:sz w:val="24"/>
              </w:rPr>
            </w:pPr>
            <w:r w:rsidRPr="00704862">
              <w:rPr>
                <w:rFonts w:ascii="Times New Roman" w:hAnsi="Times New Roman"/>
                <w:sz w:val="24"/>
              </w:rPr>
              <w:t>kladných súm úprav strát (ako sa uvádzajú v riadkoch 0040, 0140, ..., 0840 vyššie) súvisiacich so stratovými udalosťami, ktoré boli prvýkrát vykázané v predchádzajúcom referenčnom období vykazovania. Suma, ktorá sa môže kvalifikovať ako jedna z piatich najväčších, je suma samotnej úpravy straty, nie celková strata súvisiaca s príslušnou stratovou udalosťou pred alebo po úprave straty.</w:t>
            </w:r>
          </w:p>
          <w:p w14:paraId="00CACAFA" w14:textId="77777777" w:rsidR="00FD54FC" w:rsidRPr="00704862" w:rsidRDefault="00FD54FC" w:rsidP="3B06A011">
            <w:pPr>
              <w:rPr>
                <w:sz w:val="24"/>
              </w:rPr>
            </w:pPr>
            <w:r w:rsidRPr="00704862">
              <w:rPr>
                <w:rFonts w:ascii="Times New Roman" w:hAnsi="Times New Roman"/>
                <w:sz w:val="24"/>
              </w:rPr>
              <w:t>V sumách, ktoré sa majú vykazovať, sa nezohľadňujú získané prostriedky.</w:t>
            </w:r>
          </w:p>
        </w:tc>
      </w:tr>
      <w:tr w:rsidR="00FD54FC" w:rsidRPr="00704862" w14:paraId="5406E1EB" w14:textId="77777777" w:rsidTr="3B06A011">
        <w:tc>
          <w:tcPr>
            <w:tcW w:w="1101" w:type="dxa"/>
          </w:tcPr>
          <w:p w14:paraId="7AF95081"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t xml:space="preserve">0070, 0170, 0270, 0370, 0470, 0570, 0670, </w:t>
            </w:r>
            <w:r w:rsidRPr="00704862">
              <w:rPr>
                <w:rFonts w:ascii="Times New Roman" w:hAnsi="Times New Roman"/>
                <w:sz w:val="24"/>
                <w:lang w:eastAsia="nl-BE"/>
              </w:rPr>
              <w:lastRenderedPageBreak/>
              <w:t>0770, 0870</w:t>
            </w:r>
          </w:p>
        </w:tc>
        <w:tc>
          <w:tcPr>
            <w:tcW w:w="8079" w:type="dxa"/>
          </w:tcPr>
          <w:p w14:paraId="4992576E" w14:textId="77777777" w:rsidR="00FD54FC" w:rsidRPr="00704862" w:rsidRDefault="00B34B0B" w:rsidP="005D3C49">
            <w:pPr>
              <w:keepNext/>
              <w:rPr>
                <w:sz w:val="24"/>
              </w:rPr>
            </w:pPr>
            <w:r w:rsidRPr="00704862">
              <w:rPr>
                <w:rStyle w:val="InstructionsTabelleberschrift"/>
                <w:rFonts w:ascii="Times New Roman" w:hAnsi="Times New Roman"/>
                <w:sz w:val="24"/>
              </w:rPr>
              <w:lastRenderedPageBreak/>
              <w:t>Celková výška priamych náhrad strát</w:t>
            </w:r>
          </w:p>
          <w:p w14:paraId="0E30E677" w14:textId="0AA1E7F1" w:rsidR="00FD54FC" w:rsidRPr="00704862" w:rsidRDefault="00FD54FC" w:rsidP="00FD54FC">
            <w:pPr>
              <w:rPr>
                <w:rFonts w:ascii="Times New Roman" w:hAnsi="Times New Roman"/>
                <w:sz w:val="24"/>
              </w:rPr>
            </w:pPr>
            <w:r w:rsidRPr="00704862">
              <w:rPr>
                <w:rFonts w:ascii="Times New Roman" w:hAnsi="Times New Roman"/>
                <w:sz w:val="24"/>
              </w:rPr>
              <w:t>Priame náhrady strát sú všetky získané náhrady strát okrem tých, ktoré sú predmetom poistenia, ako sa uvádza v riadku nižšie v tejto tabuľke.</w:t>
            </w:r>
          </w:p>
          <w:p w14:paraId="05060BFF" w14:textId="25BCB89A" w:rsidR="008A1E95" w:rsidRPr="00704862" w:rsidRDefault="00FD54FC" w:rsidP="005D3C49">
            <w:pPr>
              <w:rPr>
                <w:rFonts w:ascii="Times New Roman" w:hAnsi="Times New Roman"/>
                <w:sz w:val="24"/>
              </w:rPr>
            </w:pPr>
            <w:r w:rsidRPr="00704862">
              <w:rPr>
                <w:rFonts w:ascii="Times New Roman" w:hAnsi="Times New Roman"/>
                <w:sz w:val="24"/>
              </w:rPr>
              <w:t xml:space="preserve">Celková priama úhrada strát je súčtom všetkých priamych náhrad a úprav priamych náhrad zaúčtovaných v rámci obdobia vykazovania a vzťahujúcich sa na </w:t>
            </w:r>
            <w:r w:rsidRPr="00704862">
              <w:rPr>
                <w:rFonts w:ascii="Times New Roman" w:hAnsi="Times New Roman"/>
                <w:sz w:val="24"/>
              </w:rPr>
              <w:lastRenderedPageBreak/>
              <w:t>stratové udalosti operačného rizika zaúčtované prvýkrát v rámci referenčného obdobia vykazovania alebo v predchádzajúcich referenčných obdobiach vykazovania.</w:t>
            </w:r>
          </w:p>
        </w:tc>
      </w:tr>
      <w:tr w:rsidR="00FD54FC" w:rsidRPr="00704862" w14:paraId="634FF9D5" w14:textId="77777777" w:rsidTr="3B06A011">
        <w:tc>
          <w:tcPr>
            <w:tcW w:w="1101" w:type="dxa"/>
          </w:tcPr>
          <w:p w14:paraId="2715DBA0" w14:textId="77777777" w:rsidR="00FD54FC" w:rsidRPr="00704862" w:rsidRDefault="00C93FC2" w:rsidP="00FD54FC">
            <w:pPr>
              <w:rPr>
                <w:rFonts w:ascii="Times New Roman" w:hAnsi="Times New Roman"/>
                <w:bCs/>
                <w:sz w:val="24"/>
              </w:rPr>
            </w:pPr>
            <w:r w:rsidRPr="00704862">
              <w:rPr>
                <w:rFonts w:ascii="Times New Roman" w:hAnsi="Times New Roman"/>
                <w:sz w:val="24"/>
                <w:lang w:eastAsia="nl-BE"/>
              </w:rPr>
              <w:lastRenderedPageBreak/>
              <w:t>0080, 0180, 0</w:t>
            </w:r>
            <w:r w:rsidRPr="00704862">
              <w:rPr>
                <w:rFonts w:ascii="Times New Roman" w:hAnsi="Times New Roman"/>
                <w:sz w:val="24"/>
                <w:lang w:eastAsia="de-DE"/>
              </w:rPr>
              <w:t>280</w:t>
            </w:r>
            <w:r w:rsidRPr="00704862">
              <w:rPr>
                <w:rFonts w:ascii="Times New Roman" w:hAnsi="Times New Roman"/>
                <w:sz w:val="24"/>
                <w:lang w:eastAsia="nl-BE"/>
              </w:rPr>
              <w:t>, 0380, 0480, 0580, 0680, 0780, 0880</w:t>
            </w:r>
          </w:p>
        </w:tc>
        <w:tc>
          <w:tcPr>
            <w:tcW w:w="8079" w:type="dxa"/>
          </w:tcPr>
          <w:p w14:paraId="0C974825" w14:textId="004BC639"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Celková náhrada z poistenia</w:t>
            </w:r>
          </w:p>
          <w:p w14:paraId="22B75DB4" w14:textId="760018A0" w:rsidR="00FD54FC" w:rsidRPr="00704862" w:rsidRDefault="00FD54FC" w:rsidP="00FD54FC">
            <w:pPr>
              <w:rPr>
                <w:rFonts w:ascii="Times New Roman" w:hAnsi="Times New Roman"/>
                <w:sz w:val="24"/>
              </w:rPr>
            </w:pPr>
            <w:r w:rsidRPr="00704862">
              <w:rPr>
                <w:rFonts w:ascii="Times New Roman" w:hAnsi="Times New Roman"/>
                <w:sz w:val="24"/>
              </w:rPr>
              <w:t>Náhradami z poistenia sú náhrady v súlade s článkom 317 ods. 1 a článkom 318 nariadenia (EÚ) č. 575/2013.</w:t>
            </w:r>
          </w:p>
          <w:p w14:paraId="6F9286F3" w14:textId="3EB99CA9" w:rsidR="00FD54FC" w:rsidRPr="00704862" w:rsidRDefault="00FD54FC" w:rsidP="3B06A011">
            <w:pPr>
              <w:rPr>
                <w:sz w:val="24"/>
              </w:rPr>
            </w:pPr>
            <w:r w:rsidRPr="00704862">
              <w:rPr>
                <w:rFonts w:ascii="Times New Roman" w:hAnsi="Times New Roman"/>
                <w:sz w:val="24"/>
              </w:rPr>
              <w:t>Celková náhrada z poistenia je súčtom všetkých náhrad z poistenia a úprav takýchto náhrad zaúčtovaných v rámci referenčného obdobia vykazovania a vzťahujúcich sa na stratové udalosti operačného rizika zaúčtované prvýkrát v rámci referenčného obdobia vykazovania alebo v predchádzajúcich referenčných obdobiach vykazovania.</w:t>
            </w:r>
          </w:p>
        </w:tc>
      </w:tr>
      <w:tr w:rsidR="00FD54FC" w:rsidRPr="00704862" w14:paraId="331252AE" w14:textId="77777777" w:rsidTr="3B06A011">
        <w:tc>
          <w:tcPr>
            <w:tcW w:w="1101" w:type="dxa"/>
          </w:tcPr>
          <w:p w14:paraId="0E304D67" w14:textId="77777777" w:rsidR="00FD54FC" w:rsidRPr="00704862" w:rsidRDefault="00C93FC2" w:rsidP="000F70EC">
            <w:pPr>
              <w:rPr>
                <w:rFonts w:ascii="Times New Roman" w:hAnsi="Times New Roman"/>
                <w:bCs/>
                <w:sz w:val="24"/>
              </w:rPr>
            </w:pPr>
            <w:r w:rsidRPr="00704862">
              <w:rPr>
                <w:rFonts w:ascii="Times New Roman" w:hAnsi="Times New Roman"/>
                <w:sz w:val="24"/>
                <w:lang w:eastAsia="de-DE"/>
              </w:rPr>
              <w:t>0910</w:t>
            </w:r>
            <w:r w:rsidRPr="00704862">
              <w:rPr>
                <w:rFonts w:ascii="Times New Roman" w:hAnsi="Times New Roman"/>
                <w:sz w:val="24"/>
                <w:lang w:eastAsia="nl-BE"/>
              </w:rPr>
              <w:t>-0980</w:t>
            </w:r>
          </w:p>
        </w:tc>
        <w:tc>
          <w:tcPr>
            <w:tcW w:w="8079" w:type="dxa"/>
          </w:tcPr>
          <w:p w14:paraId="6E1626E8"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CELKOVÝ POČET OBCHODNÝCH LÍNIÍ</w:t>
            </w:r>
          </w:p>
          <w:p w14:paraId="62DF7EDA" w14:textId="77777777" w:rsidR="00FD54FC" w:rsidRPr="00704862" w:rsidRDefault="00FD54FC" w:rsidP="3B06A011">
            <w:pPr>
              <w:rPr>
                <w:rFonts w:ascii="Times New Roman" w:hAnsi="Times New Roman"/>
                <w:sz w:val="24"/>
              </w:rPr>
            </w:pPr>
            <w:r w:rsidRPr="00704862">
              <w:rPr>
                <w:rFonts w:ascii="Times New Roman" w:hAnsi="Times New Roman"/>
                <w:sz w:val="24"/>
              </w:rPr>
              <w:t>Pri všetkých druhoch stratovej udalosti (stĺpec 0010 až 0080) sa musia uviesť informácie o celkovom počte obchodných línií.</w:t>
            </w:r>
          </w:p>
        </w:tc>
      </w:tr>
      <w:tr w:rsidR="00FD54FC" w:rsidRPr="00704862" w14:paraId="5E001C76" w14:textId="77777777" w:rsidTr="3B06A011">
        <w:tc>
          <w:tcPr>
            <w:tcW w:w="1101" w:type="dxa"/>
          </w:tcPr>
          <w:p w14:paraId="60FA9CC0" w14:textId="77777777" w:rsidR="00FD54FC" w:rsidRPr="00704862" w:rsidRDefault="00C93FC2" w:rsidP="000F70EC">
            <w:pPr>
              <w:rPr>
                <w:rFonts w:ascii="Times New Roman" w:hAnsi="Times New Roman"/>
                <w:bCs/>
                <w:sz w:val="24"/>
              </w:rPr>
            </w:pPr>
            <w:r w:rsidRPr="00704862">
              <w:rPr>
                <w:rFonts w:ascii="Times New Roman" w:hAnsi="Times New Roman"/>
                <w:sz w:val="24"/>
                <w:lang w:eastAsia="nl-BE"/>
              </w:rPr>
              <w:t>0910-0914</w:t>
            </w:r>
          </w:p>
        </w:tc>
        <w:tc>
          <w:tcPr>
            <w:tcW w:w="8079" w:type="dxa"/>
          </w:tcPr>
          <w:p w14:paraId="095C4CCB"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Počet stratových udalostí</w:t>
            </w:r>
          </w:p>
          <w:p w14:paraId="34FAAF76" w14:textId="71BBD004" w:rsidR="00FD54FC" w:rsidRPr="00704862" w:rsidRDefault="00FD54FC" w:rsidP="3B06A011">
            <w:pPr>
              <w:rPr>
                <w:rFonts w:ascii="Times New Roman" w:hAnsi="Times New Roman"/>
                <w:sz w:val="24"/>
              </w:rPr>
            </w:pPr>
            <w:r w:rsidRPr="00704862">
              <w:rPr>
                <w:rFonts w:ascii="Times New Roman" w:hAnsi="Times New Roman"/>
                <w:sz w:val="24"/>
              </w:rPr>
              <w:t>V riadku 0910 sa vykazuje počet stratových udalostí nad interným prahom podľa druhov stratových udalostí za všetky obchodné línie. Tento údaj môže byť nižší ako súhrnný počet stratových udalostí podľa obchodných línií, pretože stratové udalosti s viacerými vplyvmi (vplyvy na rôzne obchodné línie) sa považujú za jednu. Môže byť vyšší, ak inštitúcia, ktorá v decembri 2024 vypočítala svoje požiadavky na vlastné zdroje v súlade s prístupom základného ukazovateľa, nedokáže v každom prípade identifikovať obchodnú líniu (línie) ovplyvnenú stratou.</w:t>
            </w:r>
          </w:p>
          <w:p w14:paraId="1029FFB0" w14:textId="77777777" w:rsidR="00FD54FC" w:rsidRPr="00704862" w:rsidRDefault="00FD54FC" w:rsidP="00FD54FC">
            <w:pPr>
              <w:rPr>
                <w:rFonts w:ascii="Times New Roman" w:hAnsi="Times New Roman"/>
                <w:sz w:val="24"/>
              </w:rPr>
            </w:pPr>
            <w:r w:rsidRPr="00704862">
              <w:rPr>
                <w:rFonts w:ascii="Times New Roman" w:hAnsi="Times New Roman"/>
                <w:sz w:val="24"/>
              </w:rPr>
              <w:t>V riadkoch 0911 – 0914 sa uvádza počet stratových udalostí s hrubou výškou straty v rámci rozsahov stanovených v príslušných riadkoch vzoru.</w:t>
            </w:r>
          </w:p>
          <w:p w14:paraId="3642B0CB" w14:textId="732C4B5C" w:rsidR="00FD54FC" w:rsidRPr="00704862" w:rsidRDefault="00FD54FC" w:rsidP="005D3C49">
            <w:pPr>
              <w:keepNext/>
              <w:rPr>
                <w:rFonts w:ascii="Times New Roman" w:hAnsi="Times New Roman"/>
                <w:sz w:val="24"/>
              </w:rPr>
            </w:pPr>
            <w:r w:rsidRPr="00704862">
              <w:rPr>
                <w:rFonts w:ascii="Times New Roman" w:hAnsi="Times New Roman"/>
                <w:sz w:val="24"/>
              </w:rPr>
              <w:t>Za predpokladu, že inštitúcia priradila všetky svoje straty k obchodnej línii alebo že identifikovala druhy stratových udalostí pre všetky straty, pre stĺpec 0080 sa podľa potreby použijú tieto údaje:</w:t>
            </w:r>
          </w:p>
          <w:p w14:paraId="37853BE1" w14:textId="6BFD6AFC" w:rsidR="00FD54FC" w:rsidRPr="00704862" w:rsidRDefault="00FD54FC" w:rsidP="005D3C49">
            <w:pPr>
              <w:pStyle w:val="ListParagraph"/>
              <w:numPr>
                <w:ilvl w:val="0"/>
                <w:numId w:val="31"/>
              </w:numPr>
              <w:ind w:left="358" w:hanging="358"/>
              <w:rPr>
                <w:rFonts w:ascii="Times New Roman" w:hAnsi="Times New Roman"/>
                <w:sz w:val="24"/>
              </w:rPr>
            </w:pPr>
            <w:r w:rsidRPr="00704862">
              <w:rPr>
                <w:rFonts w:ascii="Times New Roman" w:hAnsi="Times New Roman"/>
                <w:sz w:val="24"/>
              </w:rPr>
              <w:t>celkový počet stratových udalostí vykázaných v riadkoch 0910 až 0914 sa rovná horizontálnemu súhrnnému počtu stratových udalostí v príslušnom riadku, pretože v týchto údajoch sa stratové udalosti s vplyvom na rôzne obchodné línie už považujú za jednu stratovú udalosť.</w:t>
            </w:r>
          </w:p>
          <w:p w14:paraId="0D57024E" w14:textId="6D59921A" w:rsidR="00FD54FC" w:rsidRPr="00704862"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704862">
              <w:rPr>
                <w:rFonts w:ascii="Times New Roman" w:hAnsi="Times New Roman"/>
                <w:sz w:val="24"/>
              </w:rPr>
              <w:t>Údaj vykázaný v stĺpci 0080, riadku 0910 sa nemusí nevyhnutne rovnať vertikálnemu súhrnnému počtu stratových udalostí, ktoré sa uvádzajú v stĺpci 0080, pretože jedna stratová udalosť môže mať vplyv na rôzne obchodné línie súčasne.</w:t>
            </w:r>
          </w:p>
        </w:tc>
      </w:tr>
      <w:tr w:rsidR="00FD54FC" w:rsidRPr="00704862" w14:paraId="758B9A40" w14:textId="77777777" w:rsidTr="3B06A011">
        <w:tc>
          <w:tcPr>
            <w:tcW w:w="1101" w:type="dxa"/>
          </w:tcPr>
          <w:p w14:paraId="4550C890" w14:textId="77777777" w:rsidR="00FD54FC" w:rsidRPr="00704862" w:rsidRDefault="00C93FC2" w:rsidP="000F70EC">
            <w:pPr>
              <w:rPr>
                <w:rFonts w:ascii="Times New Roman" w:hAnsi="Times New Roman"/>
                <w:bCs/>
                <w:sz w:val="24"/>
              </w:rPr>
            </w:pPr>
            <w:r w:rsidRPr="00704862">
              <w:rPr>
                <w:rFonts w:ascii="Times New Roman" w:hAnsi="Times New Roman"/>
                <w:sz w:val="24"/>
                <w:lang w:eastAsia="nl-BE"/>
              </w:rPr>
              <w:t>0920-0924</w:t>
            </w:r>
          </w:p>
        </w:tc>
        <w:tc>
          <w:tcPr>
            <w:tcW w:w="8079" w:type="dxa"/>
          </w:tcPr>
          <w:p w14:paraId="472B1327"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Hrubá výška straty (nové škodové udalosti)</w:t>
            </w:r>
          </w:p>
          <w:p w14:paraId="5A8AAD03" w14:textId="7CBD9A80" w:rsidR="00FD54FC" w:rsidRPr="00704862" w:rsidRDefault="00FD54FC" w:rsidP="3B06A011">
            <w:pPr>
              <w:rPr>
                <w:rFonts w:ascii="Times New Roman" w:hAnsi="Times New Roman"/>
                <w:sz w:val="24"/>
              </w:rPr>
            </w:pPr>
            <w:r w:rsidRPr="00704862">
              <w:rPr>
                <w:rFonts w:ascii="Times New Roman" w:hAnsi="Times New Roman"/>
                <w:sz w:val="24"/>
              </w:rPr>
              <w:t>Za predpokladu, že inštitúcia priradila všetky svoje straty k obchodnej línii, hrubá výška straty (nové stratové udalosti) vykázaná v riadku 0920 je jednoduchým súčtom hrubých výšok strát nových stratových udalostí pre každú obchodnú líniu.</w:t>
            </w:r>
          </w:p>
          <w:p w14:paraId="151C30DF" w14:textId="77777777" w:rsidR="00FD54FC" w:rsidRPr="00704862" w:rsidRDefault="00FD54FC" w:rsidP="00FD54FC">
            <w:pPr>
              <w:rPr>
                <w:rStyle w:val="InstructionsTabelleberschrift"/>
                <w:rFonts w:ascii="Times New Roman" w:hAnsi="Times New Roman"/>
                <w:sz w:val="24"/>
              </w:rPr>
            </w:pPr>
            <w:r w:rsidRPr="00704862">
              <w:rPr>
                <w:rFonts w:ascii="Times New Roman" w:hAnsi="Times New Roman"/>
                <w:sz w:val="24"/>
              </w:rPr>
              <w:t>V riadkoch 0921 – 0924 sa vykazuje hrubá výška škody pre škodové udalosti s hrubou výškou škody v rámci rozsahov stanovených v príslušných riadkoch.</w:t>
            </w:r>
          </w:p>
        </w:tc>
      </w:tr>
      <w:tr w:rsidR="00FD54FC" w:rsidRPr="00704862" w14:paraId="2C2C0351" w14:textId="77777777" w:rsidTr="3B06A011">
        <w:tc>
          <w:tcPr>
            <w:tcW w:w="1101" w:type="dxa"/>
          </w:tcPr>
          <w:p w14:paraId="07A96EC8" w14:textId="77777777" w:rsidR="00FD54FC" w:rsidRPr="00704862" w:rsidRDefault="00C93FC2" w:rsidP="00FD54FC">
            <w:pPr>
              <w:rPr>
                <w:rFonts w:ascii="Times New Roman" w:hAnsi="Times New Roman"/>
                <w:bCs/>
                <w:sz w:val="24"/>
              </w:rPr>
            </w:pPr>
            <w:r w:rsidRPr="00704862">
              <w:rPr>
                <w:rFonts w:ascii="Times New Roman" w:hAnsi="Times New Roman"/>
                <w:sz w:val="24"/>
                <w:lang w:eastAsia="de-DE"/>
              </w:rPr>
              <w:lastRenderedPageBreak/>
              <w:t>0930, 0</w:t>
            </w:r>
            <w:r w:rsidRPr="00704862">
              <w:rPr>
                <w:rFonts w:ascii="Times New Roman" w:hAnsi="Times New Roman"/>
                <w:sz w:val="24"/>
                <w:lang w:eastAsia="nl-BE"/>
              </w:rPr>
              <w:t>935, 0936</w:t>
            </w:r>
          </w:p>
        </w:tc>
        <w:tc>
          <w:tcPr>
            <w:tcW w:w="8079" w:type="dxa"/>
          </w:tcPr>
          <w:p w14:paraId="0A0BA6EE" w14:textId="77777777" w:rsidR="00FD54FC" w:rsidRPr="00704862" w:rsidRDefault="00FD54FC" w:rsidP="005D3C49">
            <w:pPr>
              <w:keepNext/>
              <w:rPr>
                <w:rFonts w:ascii="Times New Roman" w:hAnsi="Times New Roman"/>
                <w:sz w:val="24"/>
              </w:rPr>
            </w:pPr>
            <w:r w:rsidRPr="00704862">
              <w:rPr>
                <w:rStyle w:val="InstructionsTabelleberschrift"/>
                <w:rFonts w:ascii="Times New Roman" w:hAnsi="Times New Roman"/>
                <w:sz w:val="24"/>
              </w:rPr>
              <w:t>Počet stratových udalostí, na ktoré sa vzťahujú úpravy strát</w:t>
            </w:r>
          </w:p>
          <w:p w14:paraId="7C0FBBBE" w14:textId="1D9BA1FB" w:rsidR="00FD54FC" w:rsidRPr="00704862" w:rsidRDefault="00FD54FC" w:rsidP="3B06A011">
            <w:pPr>
              <w:rPr>
                <w:rFonts w:ascii="Times New Roman" w:hAnsi="Times New Roman"/>
                <w:sz w:val="24"/>
              </w:rPr>
            </w:pPr>
            <w:r w:rsidRPr="00704862">
              <w:rPr>
                <w:rFonts w:ascii="Times New Roman" w:hAnsi="Times New Roman"/>
                <w:sz w:val="24"/>
              </w:rPr>
              <w:t>V riadku 0930 sa uvedie súčet počtov stratových udalostí, ktoré podliehajú úpravám strát, ako sa uvádzajú v riadkoch 0030, 0130, ..., 0830. Tento údaj môže byť nižší ako súhrnný počet stratových udalostí, na ktoré sa vzťahujú úpravy strát, podľa obchodných línií, pretože stratové udalosti s viacerými vplyvmi (vplyvy na rôzne obchodné línie) sa považujú za jednu. Môže byť vyšší, ak inštitúcia, ktorá v decembri 2024 vypočítala svoje požiadavky na vlastné zdroje v súlade s prístupom základného ukazovateľa, nedokáže v každom prípade identifikovať obchodnú líniu (línie) ovplyvnenú stratou.</w:t>
            </w:r>
          </w:p>
          <w:p w14:paraId="02A26C93" w14:textId="77777777" w:rsidR="00FD54FC" w:rsidRPr="00704862" w:rsidRDefault="00FD54FC" w:rsidP="00FD54FC">
            <w:pPr>
              <w:rPr>
                <w:rStyle w:val="InstructionsTabelleberschrift"/>
                <w:rFonts w:ascii="Times New Roman" w:hAnsi="Times New Roman"/>
                <w:sz w:val="24"/>
              </w:rPr>
            </w:pPr>
            <w:r w:rsidRPr="00704862">
              <w:rPr>
                <w:rFonts w:ascii="Times New Roman" w:hAnsi="Times New Roman"/>
                <w:sz w:val="24"/>
              </w:rPr>
              <w:t>Počet stratových udalostí, ktoré boli predmetom úpravy strát, sa rozdelí na počet stratových udalostí, pri ktorých bola v rámci referenčného obdobia vykazovania vykonaná kladná úprava straty, a počet stratových udalostí, pri ktorých bola v rámci obdobia vykazovania vykonaná záporná úprava straty (všetky sa vykazujú s kladným znamienkom).</w:t>
            </w:r>
          </w:p>
        </w:tc>
      </w:tr>
      <w:tr w:rsidR="00FD54FC" w:rsidRPr="00704862" w14:paraId="601E5006" w14:textId="77777777" w:rsidTr="3B06A011">
        <w:tc>
          <w:tcPr>
            <w:tcW w:w="1101" w:type="dxa"/>
          </w:tcPr>
          <w:p w14:paraId="2F8811F2"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0940, 0945, 0946</w:t>
            </w:r>
          </w:p>
        </w:tc>
        <w:tc>
          <w:tcPr>
            <w:tcW w:w="8079" w:type="dxa"/>
          </w:tcPr>
          <w:p w14:paraId="12254164" w14:textId="77777777" w:rsidR="00FD54FC" w:rsidRPr="00704862" w:rsidRDefault="00FD54FC" w:rsidP="005D3C49">
            <w:pPr>
              <w:keepNext/>
              <w:rPr>
                <w:rFonts w:ascii="Times New Roman" w:hAnsi="Times New Roman"/>
                <w:sz w:val="24"/>
              </w:rPr>
            </w:pPr>
            <w:r w:rsidRPr="00704862">
              <w:rPr>
                <w:rStyle w:val="InstructionsTabelleberschrift"/>
                <w:rFonts w:ascii="Times New Roman" w:hAnsi="Times New Roman"/>
                <w:sz w:val="24"/>
              </w:rPr>
              <w:t>Úpravy strát týkajúce sa predchádzajúcich období vykazovania</w:t>
            </w:r>
          </w:p>
          <w:p w14:paraId="3A4A4FF4" w14:textId="280DCB1D" w:rsidR="00FD54FC" w:rsidRPr="00704862" w:rsidRDefault="00FD54FC" w:rsidP="3B06A011">
            <w:pPr>
              <w:rPr>
                <w:rFonts w:ascii="Times New Roman" w:hAnsi="Times New Roman"/>
                <w:sz w:val="24"/>
              </w:rPr>
            </w:pPr>
            <w:r w:rsidRPr="00704862">
              <w:rPr>
                <w:rFonts w:ascii="Times New Roman" w:hAnsi="Times New Roman"/>
                <w:sz w:val="24"/>
              </w:rPr>
              <w:t>V riadku 0940 sa vykazuje súčet súm úpravy strát za predchádzajúce obdobia vykazovania podľa jednotlivých obchodných línií (ako sú vykázané v riadkoch 0040, 0140, ..., 0840). Za predpokladu, že inštitúcia priradila všetky svoje straty k obchodnej línii, suma vykázaná v riadku 0940 predstavuje jednoduchý súčet úprav strát týkajúcich sa predchádzajúcich období vykazovania vykázaných za rôzne obchodné línie.</w:t>
            </w:r>
          </w:p>
          <w:p w14:paraId="4FEA0713" w14:textId="77777777" w:rsidR="00FD54FC" w:rsidRPr="00704862" w:rsidRDefault="00FD54FC" w:rsidP="00EB6FC2">
            <w:pPr>
              <w:rPr>
                <w:rFonts w:ascii="Times New Roman" w:hAnsi="Times New Roman"/>
                <w:sz w:val="24"/>
              </w:rPr>
            </w:pPr>
            <w:r w:rsidRPr="00704862">
              <w:rPr>
                <w:rFonts w:ascii="Times New Roman" w:hAnsi="Times New Roman"/>
                <w:sz w:val="24"/>
              </w:rPr>
              <w:t>Suma úprav strát sa rozdelí na sumu týkajúcu sa stratových udalostí, pri ktorých bola v sledovanom období vykonaná kladná úprava strát (riadok 0945, vykazuje sa ako kladný údaj), a na sumu týkajúcu sa stratových udalostí, pri ktorých bola v sledovanom období vykonaná záporná úprava strát (riadok 0946, vykazuje sa ako záporný údaj). Ak v dôsledku zápornej úpravy straty klesne upravená výška straty, ktorú možno priradiť k stratovej udalosti, pod interný prah zberu údajov inštitúcie, inštitúcia vykáže celkovú výšku straty pre túto stratovú udalosť nahromadenú do posledného vykázania stratovej udalosti k decembrovému referenčnému dátumu (t. j. pôvodná strata plus/mínus všetky úpravy straty vykonané v predchádzajúcich referenčných obdobiach vykazovania) so záporným znamienkom v riadku 0946 namiesto výšky samotnej zápornej úpravy straty.</w:t>
            </w:r>
          </w:p>
        </w:tc>
      </w:tr>
      <w:tr w:rsidR="00FD54FC" w:rsidRPr="00704862"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Maximálna jednorazová strata</w:t>
            </w:r>
          </w:p>
          <w:p w14:paraId="475751C9" w14:textId="4A0524CC" w:rsidR="00FD54FC" w:rsidRPr="00704862" w:rsidRDefault="00FD54FC" w:rsidP="3B06A011">
            <w:pPr>
              <w:rPr>
                <w:rFonts w:ascii="Times New Roman" w:hAnsi="Times New Roman"/>
                <w:sz w:val="24"/>
              </w:rPr>
            </w:pPr>
            <w:r w:rsidRPr="00704862">
              <w:rPr>
                <w:rFonts w:ascii="Times New Roman" w:hAnsi="Times New Roman"/>
                <w:sz w:val="24"/>
              </w:rPr>
              <w:t>Za predpokladu, že inštitúcia priradila všetky svoje straty k uvedenej obchodnej línii, maximálna jednorazová strata predstavuje maximálnu stratu nad interným prahom pre každý druh stratovej udalosti a medzi všetkými obchodnými líniami. Tieto údaje môžu byť vyššie ako najvyššia jednorazová strata zaznamenaná v jednotlivých obchodných líniách, ak má stratová udalosť vplyv na rôzne obchodné línie.</w:t>
            </w:r>
          </w:p>
          <w:p w14:paraId="7BE96ED9" w14:textId="718AAC52" w:rsidR="00FD54FC" w:rsidRPr="00704862" w:rsidRDefault="00FD54FC" w:rsidP="005D3C49">
            <w:pPr>
              <w:keepNext/>
              <w:rPr>
                <w:rFonts w:ascii="Times New Roman" w:hAnsi="Times New Roman"/>
                <w:sz w:val="24"/>
              </w:rPr>
            </w:pPr>
            <w:r w:rsidRPr="00704862">
              <w:rPr>
                <w:rFonts w:ascii="Times New Roman" w:hAnsi="Times New Roman"/>
                <w:sz w:val="24"/>
              </w:rPr>
              <w:t>Za predpokladu, že inštitúcia priradila všetky svoje straty k uvedenej obchodnej línii a že identifikovala druhy stratových udalostí pre všetky straty, pre stĺpec 0080 sa použijú tieto údaje:</w:t>
            </w:r>
          </w:p>
          <w:p w14:paraId="454E8214" w14:textId="36F9566A" w:rsidR="00FD54FC" w:rsidRPr="00704862" w:rsidRDefault="00FD54FC" w:rsidP="005D3C49">
            <w:pPr>
              <w:pStyle w:val="ListParagraph"/>
              <w:numPr>
                <w:ilvl w:val="0"/>
                <w:numId w:val="31"/>
              </w:numPr>
              <w:ind w:left="358" w:hanging="358"/>
              <w:rPr>
                <w:rFonts w:ascii="Times New Roman" w:hAnsi="Times New Roman"/>
                <w:b/>
                <w:bCs/>
                <w:sz w:val="24"/>
                <w:u w:val="single"/>
              </w:rPr>
            </w:pPr>
            <w:r w:rsidRPr="00704862">
              <w:rPr>
                <w:rFonts w:ascii="Times New Roman" w:hAnsi="Times New Roman"/>
                <w:sz w:val="24"/>
              </w:rPr>
              <w:t>maximálna jednorazová vykázaná strata sa rovná najvyššej z hodnôt uvedených v stĺpcoch 0010 – 0070 tohto riadku.</w:t>
            </w:r>
          </w:p>
          <w:p w14:paraId="6FE10DDB" w14:textId="0C0366D0" w:rsidR="00FD54FC" w:rsidRPr="00704862" w:rsidRDefault="00F41508" w:rsidP="005D3C49">
            <w:pPr>
              <w:pStyle w:val="ListParagraph"/>
              <w:numPr>
                <w:ilvl w:val="0"/>
                <w:numId w:val="31"/>
              </w:numPr>
              <w:ind w:left="358" w:hanging="358"/>
              <w:rPr>
                <w:rStyle w:val="InstructionsTabelleberschrift"/>
                <w:rFonts w:ascii="Times New Roman" w:hAnsi="Times New Roman"/>
                <w:bCs w:val="0"/>
                <w:sz w:val="24"/>
              </w:rPr>
            </w:pPr>
            <w:r w:rsidRPr="00704862">
              <w:rPr>
                <w:rFonts w:ascii="Times New Roman" w:hAnsi="Times New Roman"/>
                <w:sz w:val="24"/>
              </w:rPr>
              <w:lastRenderedPageBreak/>
              <w:t xml:space="preserve">Ak existujú stratové udalosti, ktoré majú vplyv na rôzne obchodné línie, suma vykázaná v {r0950, c0080} môže byť vyššia ako sumy „maximálnej jednorazovej straty“ na obchodnú líniu vykázané v iných riadkoch stĺpca 0080. </w:t>
            </w:r>
          </w:p>
        </w:tc>
      </w:tr>
      <w:tr w:rsidR="00FD54FC" w:rsidRPr="00704862"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Súčet piatich najväčších strát</w:t>
            </w:r>
          </w:p>
          <w:p w14:paraId="2EA9E110" w14:textId="10DD09C7" w:rsidR="00FD54FC" w:rsidRPr="00704862" w:rsidRDefault="00FD54FC" w:rsidP="3B06A011">
            <w:pPr>
              <w:rPr>
                <w:rFonts w:ascii="Times New Roman" w:hAnsi="Times New Roman"/>
                <w:sz w:val="24"/>
              </w:rPr>
            </w:pPr>
            <w:r w:rsidRPr="00704862">
              <w:rPr>
                <w:rFonts w:ascii="Times New Roman" w:hAnsi="Times New Roman"/>
                <w:sz w:val="24"/>
              </w:rPr>
              <w:t>Vykazuje sa súčet piatich najväčších hrubých strát pre každý typ stratovej udalosti a pre všetky obchodné línie. Táto suma môže byť vyššia ako najvyšší súčet piatich najväčších strát zaznamenaných v jednotlivých obchodných líniách. Túto sumu je potrebné vykázať bez ohľadu na počet strát.</w:t>
            </w:r>
          </w:p>
          <w:p w14:paraId="462BED5E" w14:textId="12CDE9EE" w:rsidR="00FD54FC" w:rsidRPr="00704862" w:rsidRDefault="00FD54FC" w:rsidP="00AB6610">
            <w:pPr>
              <w:rPr>
                <w:rStyle w:val="InstructionsTabelleberschrift"/>
                <w:rFonts w:ascii="Times New Roman" w:hAnsi="Times New Roman"/>
                <w:sz w:val="24"/>
              </w:rPr>
            </w:pPr>
            <w:r w:rsidRPr="00704862">
              <w:rPr>
                <w:rFonts w:ascii="Times New Roman" w:hAnsi="Times New Roman"/>
                <w:sz w:val="24"/>
              </w:rPr>
              <w:t>Za predpokladu, že inštitúcia priradila všetky svoje straty k uvedenej obchodnej línii a že identifikovala druhy stratových udalostí pre všetky straty, pre stĺpec 0080 je súčet piatich najväčších strát súčtom piatich najväčších strát v celej matici, čo znamená, že sa nemusí rovnať ani maximálnej hodnote „súčtu piatich najväčších strát“ v riadku 0960, ani maximálnej hodnote „súčtu piatich najväčších strát“ v stĺpci 0080.</w:t>
            </w:r>
          </w:p>
        </w:tc>
      </w:tr>
      <w:tr w:rsidR="00FD54FC" w:rsidRPr="00704862"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Celková výška priamych náhrad strát</w:t>
            </w:r>
          </w:p>
          <w:p w14:paraId="651924C3" w14:textId="6B9AE17F" w:rsidR="00FD54FC" w:rsidRPr="00704862" w:rsidRDefault="00FD54FC" w:rsidP="3B06A011">
            <w:pPr>
              <w:rPr>
                <w:rStyle w:val="InstructionsTabelleberschrift"/>
                <w:rFonts w:ascii="Times New Roman" w:hAnsi="Times New Roman"/>
                <w:sz w:val="24"/>
              </w:rPr>
            </w:pPr>
            <w:r w:rsidRPr="00704862">
              <w:rPr>
                <w:rFonts w:ascii="Times New Roman" w:hAnsi="Times New Roman"/>
                <w:sz w:val="24"/>
              </w:rPr>
              <w:t>Za predpokladu, že inštitúcia priradila všetky svoje straty k uvedenej obchodnej línii, celková výška priamych náhrad strát je jednoduchým súčtom celkovej výšky priamych náhrad strát za každú obchodnú líniu.</w:t>
            </w:r>
          </w:p>
        </w:tc>
      </w:tr>
      <w:tr w:rsidR="00FD54FC" w:rsidRPr="00704862"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Celková náhrada z poistenia</w:t>
            </w:r>
          </w:p>
          <w:p w14:paraId="105A6F22" w14:textId="54B9A449" w:rsidR="00FD54FC" w:rsidRPr="00704862" w:rsidRDefault="00FD54FC" w:rsidP="007062FD">
            <w:pPr>
              <w:rPr>
                <w:rFonts w:ascii="Times New Roman" w:hAnsi="Times New Roman"/>
                <w:b/>
                <w:bCs/>
                <w:sz w:val="24"/>
                <w:u w:val="single"/>
              </w:rPr>
            </w:pPr>
            <w:r w:rsidRPr="00704862">
              <w:rPr>
                <w:rFonts w:ascii="Times New Roman" w:hAnsi="Times New Roman"/>
                <w:sz w:val="24"/>
              </w:rPr>
              <w:t>Za predpokladu, že inštitúcia priradila všetky svoje straty k uvedenej obchodnej línii, celková výška náhrady z poistenia je jednoduchým súčtom celkovej výšky náhrady z poistenia za každú obchodnú líniu.</w:t>
            </w:r>
          </w:p>
        </w:tc>
      </w:tr>
    </w:tbl>
    <w:p w14:paraId="7FA58919" w14:textId="77777777" w:rsidR="00FD54FC" w:rsidRPr="00704862" w:rsidRDefault="00FD54FC" w:rsidP="00FD54FC">
      <w:pPr>
        <w:spacing w:before="0" w:after="0"/>
        <w:jc w:val="left"/>
        <w:rPr>
          <w:rStyle w:val="InstructionsTabelleText"/>
          <w:rFonts w:ascii="Times New Roman" w:hAnsi="Times New Roman"/>
          <w:sz w:val="24"/>
        </w:rPr>
      </w:pPr>
    </w:p>
    <w:p w14:paraId="0C898FFA" w14:textId="41898FC8" w:rsidR="00FD54FC" w:rsidRPr="00704862"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704862">
        <w:rPr>
          <w:rFonts w:ascii="Times New Roman" w:hAnsi="Times New Roman"/>
          <w:sz w:val="24"/>
        </w:rPr>
        <w:t>C 17.02: Operačné riziko: Podrobné informácie o najväčších stratových udalostiach za posledný rok (OPR DETAILS 2)</w:t>
      </w:r>
      <w:bookmarkEnd w:id="70"/>
      <w:bookmarkEnd w:id="71"/>
    </w:p>
    <w:p w14:paraId="14652218" w14:textId="75B16F8F" w:rsidR="00FD54FC" w:rsidRPr="00704862"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704862">
        <w:rPr>
          <w:rFonts w:ascii="Times New Roman" w:hAnsi="Times New Roman"/>
          <w:sz w:val="24"/>
        </w:rPr>
        <w:t>Všeobecné poznámky</w:t>
      </w:r>
      <w:bookmarkEnd w:id="72"/>
      <w:bookmarkEnd w:id="73"/>
    </w:p>
    <w:p w14:paraId="06D9B602" w14:textId="5A8442DD" w:rsidR="00FD54FC" w:rsidRPr="00704862" w:rsidRDefault="00362BB4" w:rsidP="00E434A1">
      <w:pPr>
        <w:pStyle w:val="InstructionsText2"/>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155</w:t>
      </w:r>
      <w:r w:rsidRPr="00704862">
        <w:rPr>
          <w:rStyle w:val="DNEx2"/>
        </w:rPr>
        <w:fldChar w:fldCharType="end"/>
      </w:r>
      <w:r w:rsidRPr="00704862">
        <w:rPr>
          <w:rStyle w:val="DNEx2"/>
        </w:rPr>
        <w:t xml:space="preserve">. </w:t>
      </w:r>
      <w:r w:rsidRPr="00704862">
        <w:t>Vo vzore C 17.02 sa uvedú informácie o jednotlivých stratových udalostiach (jeden riadok na každú stratovú udalosť).</w:t>
      </w:r>
    </w:p>
    <w:p w14:paraId="6928228C" w14:textId="767E281A" w:rsidR="00FD54FC" w:rsidRPr="00704862" w:rsidRDefault="00E434A1" w:rsidP="005D3C49">
      <w:pPr>
        <w:pStyle w:val="InstructionsText2"/>
        <w:keepNext/>
        <w:numPr>
          <w:ilvl w:val="0"/>
          <w:numId w:val="0"/>
        </w:numPr>
      </w:pPr>
      <w:r w:rsidRPr="00704862">
        <w:rPr>
          <w:rStyle w:val="DNEx2"/>
        </w:rPr>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156</w:t>
      </w:r>
      <w:r w:rsidRPr="00704862">
        <w:rPr>
          <w:rStyle w:val="DNEx2"/>
        </w:rPr>
        <w:fldChar w:fldCharType="end"/>
      </w:r>
      <w:r w:rsidRPr="00704862">
        <w:rPr>
          <w:rStyle w:val="DNEx2"/>
        </w:rPr>
        <w:t xml:space="preserve">. </w:t>
      </w:r>
      <w:r w:rsidRPr="00704862">
        <w:t>Informácie uvádzané v tomto vzore sa týkajú „nových stratových udalostí“, t. j. udalostí operačného rizika:</w:t>
      </w:r>
    </w:p>
    <w:p w14:paraId="43C23B10" w14:textId="575A7639" w:rsidR="00FD54FC" w:rsidRPr="00704862" w:rsidRDefault="00FD54FC" w:rsidP="005D3C49">
      <w:pPr>
        <w:pStyle w:val="InstructionsText2"/>
        <w:numPr>
          <w:ilvl w:val="0"/>
          <w:numId w:val="47"/>
        </w:numPr>
        <w:ind w:left="709" w:hanging="709"/>
      </w:pPr>
      <w:r w:rsidRPr="00704862">
        <w:t>„zaúčtované po prvýkrát“ v rámci vykazovaného referenčného obdobia alebo</w:t>
      </w:r>
    </w:p>
    <w:p w14:paraId="0D60A55D" w14:textId="6182FB91" w:rsidR="00FD54FC" w:rsidRPr="00704862" w:rsidRDefault="00FD54FC" w:rsidP="005D3C49">
      <w:pPr>
        <w:pStyle w:val="InstructionsText2"/>
        <w:numPr>
          <w:ilvl w:val="0"/>
          <w:numId w:val="47"/>
        </w:numPr>
        <w:ind w:left="0" w:firstLine="0"/>
      </w:pPr>
      <w:r w:rsidRPr="00704862">
        <w:t>„zaúčtovaných po prvýkrát“ v rámci predchádzajúceho referenčného obdobia vykazovania, ak stratová udalosť nebola zahrnutá do žiadnej predchádzajúcej správy na účely dohľadu, napr. preto, že bola identifikovaná ako stratová udalosť operačného rizika až v aktuálnom referenčnom období vykazovania alebo preto, že nahromadená strata, ktorú možno priradiť k tejto stratovej udalosti (t. j. pôvodná strata plus/mínus všetky úpravy straty vykonané v predchádzajúcich referenčných obdobiach vykazovania), prekročila prah interného zberu údajov až v aktuálnom referenčnom období vykazovania.</w:t>
      </w:r>
    </w:p>
    <w:p w14:paraId="4FB49E60" w14:textId="42C4A02F" w:rsidR="00F41508" w:rsidRPr="00704862" w:rsidRDefault="00362BB4" w:rsidP="00E434A1">
      <w:pPr>
        <w:pStyle w:val="InstructionsText2"/>
        <w:numPr>
          <w:ilvl w:val="0"/>
          <w:numId w:val="0"/>
        </w:numPr>
      </w:pPr>
      <w:r w:rsidRPr="00704862">
        <w:rPr>
          <w:rStyle w:val="DNEx2"/>
        </w:rPr>
        <w:lastRenderedPageBreak/>
        <w:fldChar w:fldCharType="begin"/>
      </w:r>
      <w:r w:rsidRPr="00704862">
        <w:rPr>
          <w:rStyle w:val="DNEx2"/>
        </w:rPr>
        <w:instrText xml:space="preserve"> seq paragraphs </w:instrText>
      </w:r>
      <w:r w:rsidRPr="00704862">
        <w:rPr>
          <w:rStyle w:val="DNEx2"/>
        </w:rPr>
        <w:fldChar w:fldCharType="separate"/>
      </w:r>
      <w:r w:rsidR="00771068" w:rsidRPr="00704862">
        <w:rPr>
          <w:rStyle w:val="DNEx2"/>
        </w:rPr>
        <w:t>157</w:t>
      </w:r>
      <w:r w:rsidRPr="00704862">
        <w:rPr>
          <w:rStyle w:val="DNEx2"/>
        </w:rPr>
        <w:fldChar w:fldCharType="end"/>
      </w:r>
      <w:r w:rsidRPr="00704862">
        <w:rPr>
          <w:rStyle w:val="DNEx2"/>
        </w:rPr>
        <w:t xml:space="preserve">. </w:t>
      </w:r>
      <w:r w:rsidRPr="00704862">
        <w:t>Hlásia sa len stratové udalosti, ktoré majú za následok hrubú výšku škody 100 000 EUR alebo viac.</w:t>
      </w:r>
    </w:p>
    <w:p w14:paraId="5F2CAE8D" w14:textId="77777777" w:rsidR="00FD54FC" w:rsidRPr="00704862" w:rsidRDefault="00FD54FC" w:rsidP="005D3C49">
      <w:pPr>
        <w:pStyle w:val="InstructionsText2"/>
        <w:keepNext/>
        <w:numPr>
          <w:ilvl w:val="0"/>
          <w:numId w:val="0"/>
        </w:numPr>
      </w:pPr>
      <w:r w:rsidRPr="00704862">
        <w:t>S výhradou tejto hranice:</w:t>
      </w:r>
    </w:p>
    <w:p w14:paraId="503143B8" w14:textId="0132C6D9" w:rsidR="00FD54FC" w:rsidRPr="00704862" w:rsidRDefault="00FD54FC" w:rsidP="005D3C49">
      <w:pPr>
        <w:pStyle w:val="InstructionsText2"/>
        <w:numPr>
          <w:ilvl w:val="0"/>
          <w:numId w:val="48"/>
        </w:numPr>
        <w:ind w:left="0" w:firstLine="0"/>
      </w:pPr>
      <w:r w:rsidRPr="00704862">
        <w:t>najväčšia udalosť pre každý druh udalosti za predpokladu, že inštitúcia identifikovala pre straty druhy udalostí, a</w:t>
      </w:r>
    </w:p>
    <w:p w14:paraId="0CFFC449" w14:textId="6483F02A" w:rsidR="00FD54FC" w:rsidRPr="00704862" w:rsidRDefault="00AA6A66" w:rsidP="005D3C49">
      <w:pPr>
        <w:pStyle w:val="InstructionsText2"/>
        <w:numPr>
          <w:ilvl w:val="0"/>
          <w:numId w:val="48"/>
        </w:numPr>
        <w:ind w:left="0" w:firstLine="0"/>
      </w:pPr>
      <w:r w:rsidRPr="00704862">
        <w:t>do vzoru sa zahrnie aspoň desať najväčších ďalších udalostí s identifikovaným druhom udalosti alebo bez neho podľa výšky hrubej straty.</w:t>
      </w:r>
    </w:p>
    <w:p w14:paraId="4B19E136" w14:textId="338E6893" w:rsidR="00FD54FC" w:rsidRPr="00704862" w:rsidRDefault="00EB6FC2" w:rsidP="005D3C49">
      <w:pPr>
        <w:pStyle w:val="InstructionsText2"/>
        <w:numPr>
          <w:ilvl w:val="0"/>
          <w:numId w:val="48"/>
        </w:numPr>
        <w:ind w:left="0" w:firstLine="0"/>
      </w:pPr>
      <w:r w:rsidRPr="00704862">
        <w:t>Stratové udalosti sa zoradia na základe hrubej straty, ktorá im bola pripísaná.</w:t>
      </w:r>
    </w:p>
    <w:p w14:paraId="3AE1B367" w14:textId="36CAE0B8" w:rsidR="00FD54FC" w:rsidRPr="00704862" w:rsidRDefault="00FD54FC" w:rsidP="005D3C49">
      <w:pPr>
        <w:pStyle w:val="InstructionsText2"/>
        <w:numPr>
          <w:ilvl w:val="0"/>
          <w:numId w:val="48"/>
        </w:numPr>
        <w:ind w:left="0" w:firstLine="0"/>
      </w:pPr>
      <w:r w:rsidRPr="00704862">
        <w:t>Stratová udalosť sa posudzuje len raz.</w:t>
      </w:r>
    </w:p>
    <w:p w14:paraId="7FAC47A3" w14:textId="50F5D832" w:rsidR="00FD54FC" w:rsidRPr="00704862"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704862">
        <w:rPr>
          <w:rFonts w:ascii="Times New Roman" w:hAnsi="Times New Roman"/>
          <w:sz w:val="24"/>
        </w:rPr>
        <w:t>Pokyny týkajúce sa konkrétnych pozícií</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704862" w14:paraId="6CFCB957" w14:textId="77777777" w:rsidTr="3B06A011">
        <w:tc>
          <w:tcPr>
            <w:tcW w:w="9062" w:type="dxa"/>
            <w:gridSpan w:val="2"/>
            <w:shd w:val="clear" w:color="auto" w:fill="BFBFBF" w:themeFill="background1" w:themeFillShade="BF"/>
          </w:tcPr>
          <w:p w14:paraId="0F453486" w14:textId="77777777" w:rsidR="00FD54FC" w:rsidRPr="00704862" w:rsidRDefault="00FD54FC" w:rsidP="005D3C49">
            <w:pPr>
              <w:keepNext/>
              <w:rPr>
                <w:rFonts w:ascii="Times New Roman" w:hAnsi="Times New Roman"/>
                <w:sz w:val="24"/>
              </w:rPr>
            </w:pPr>
            <w:r w:rsidRPr="00704862">
              <w:rPr>
                <w:rFonts w:ascii="Times New Roman" w:hAnsi="Times New Roman"/>
                <w:b/>
                <w:sz w:val="24"/>
              </w:rPr>
              <w:t>Stĺpce</w:t>
            </w:r>
          </w:p>
        </w:tc>
      </w:tr>
      <w:tr w:rsidR="00FD54FC" w:rsidRPr="00704862" w14:paraId="49D115B7" w14:textId="77777777" w:rsidTr="3B06A011">
        <w:tc>
          <w:tcPr>
            <w:tcW w:w="951" w:type="dxa"/>
          </w:tcPr>
          <w:p w14:paraId="365F3571"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0010</w:t>
            </w:r>
          </w:p>
        </w:tc>
        <w:tc>
          <w:tcPr>
            <w:tcW w:w="8111" w:type="dxa"/>
          </w:tcPr>
          <w:p w14:paraId="7D920D2F" w14:textId="77777777" w:rsidR="00FD54FC" w:rsidRPr="00704862" w:rsidRDefault="00FD54FC" w:rsidP="005D3C49">
            <w:pPr>
              <w:keepNext/>
              <w:rPr>
                <w:rFonts w:ascii="Times New Roman" w:hAnsi="Times New Roman"/>
                <w:sz w:val="24"/>
              </w:rPr>
            </w:pPr>
            <w:r w:rsidRPr="00704862">
              <w:rPr>
                <w:rStyle w:val="InstructionsTabelleberschrift"/>
                <w:rFonts w:ascii="Times New Roman" w:hAnsi="Times New Roman"/>
                <w:sz w:val="24"/>
              </w:rPr>
              <w:t>Identifikátor udalosti</w:t>
            </w:r>
          </w:p>
          <w:p w14:paraId="6710BBCF" w14:textId="6EBC6B87" w:rsidR="00FD54FC" w:rsidRPr="00704862" w:rsidRDefault="00FD54FC" w:rsidP="00FD54FC">
            <w:pPr>
              <w:rPr>
                <w:rFonts w:ascii="Times New Roman" w:hAnsi="Times New Roman"/>
                <w:sz w:val="24"/>
              </w:rPr>
            </w:pPr>
            <w:r w:rsidRPr="00704862">
              <w:rPr>
                <w:rFonts w:ascii="Times New Roman" w:hAnsi="Times New Roman"/>
                <w:sz w:val="24"/>
              </w:rPr>
              <w:t>Identifikátor udalosti je identifikátor riadku a musí byť jedinečný pre každý riadok vo vzore.</w:t>
            </w:r>
          </w:p>
          <w:p w14:paraId="0801D83B" w14:textId="77777777" w:rsidR="00FD54FC" w:rsidRPr="00704862" w:rsidRDefault="00FD54FC" w:rsidP="00FD54FC">
            <w:pPr>
              <w:rPr>
                <w:rFonts w:ascii="Times New Roman" w:hAnsi="Times New Roman"/>
                <w:sz w:val="24"/>
              </w:rPr>
            </w:pPr>
            <w:r w:rsidRPr="00704862">
              <w:rPr>
                <w:rFonts w:ascii="Times New Roman" w:hAnsi="Times New Roman"/>
                <w:sz w:val="24"/>
              </w:rPr>
              <w:t>Ak je k dispozícii interný identifikátor, inštitúcie ho uvedú. V opačnom prípade sa vykázaný identifikátor uvádza v číselnom poradí 1, 2, 3 atď.</w:t>
            </w:r>
          </w:p>
        </w:tc>
      </w:tr>
      <w:tr w:rsidR="00FD54FC" w:rsidRPr="00704862" w14:paraId="2576979E" w14:textId="77777777" w:rsidTr="3B06A011">
        <w:tc>
          <w:tcPr>
            <w:tcW w:w="951" w:type="dxa"/>
          </w:tcPr>
          <w:p w14:paraId="753AF5DA"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0020</w:t>
            </w:r>
          </w:p>
        </w:tc>
        <w:tc>
          <w:tcPr>
            <w:tcW w:w="8111" w:type="dxa"/>
          </w:tcPr>
          <w:p w14:paraId="71F6AD5E"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Dátum zaúčtovania</w:t>
            </w:r>
          </w:p>
          <w:p w14:paraId="1F65F50C" w14:textId="77777777" w:rsidR="00FD54FC" w:rsidRPr="00704862" w:rsidRDefault="00FD54FC" w:rsidP="00C7103D">
            <w:pPr>
              <w:rPr>
                <w:rFonts w:ascii="Times New Roman" w:hAnsi="Times New Roman"/>
                <w:sz w:val="24"/>
              </w:rPr>
            </w:pPr>
            <w:r w:rsidRPr="00704862">
              <w:rPr>
                <w:rFonts w:ascii="Times New Roman" w:hAnsi="Times New Roman"/>
                <w:sz w:val="24"/>
              </w:rPr>
              <w:t xml:space="preserve">Dátum zaúčtovania je dátum, kedy bola strata alebo rezerva/provízia na náhradu straty z operačného rizika prvýkrát vykázaná vo výkaze ziskov a strát. </w:t>
            </w:r>
          </w:p>
        </w:tc>
      </w:tr>
      <w:tr w:rsidR="00FD54FC" w:rsidRPr="00704862" w14:paraId="58A95795" w14:textId="77777777" w:rsidTr="3B06A011">
        <w:tc>
          <w:tcPr>
            <w:tcW w:w="951" w:type="dxa"/>
          </w:tcPr>
          <w:p w14:paraId="51A33C19"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0030</w:t>
            </w:r>
          </w:p>
        </w:tc>
        <w:tc>
          <w:tcPr>
            <w:tcW w:w="8111" w:type="dxa"/>
          </w:tcPr>
          <w:p w14:paraId="7E4571A8"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Dátum výskytu udalosti</w:t>
            </w:r>
          </w:p>
          <w:p w14:paraId="49262D6C" w14:textId="77777777" w:rsidR="00FD54FC" w:rsidRPr="00704862" w:rsidRDefault="00FD54FC" w:rsidP="00871877">
            <w:pPr>
              <w:rPr>
                <w:rFonts w:ascii="Times New Roman" w:hAnsi="Times New Roman"/>
                <w:sz w:val="24"/>
              </w:rPr>
            </w:pPr>
            <w:r w:rsidRPr="00704862">
              <w:rPr>
                <w:rFonts w:ascii="Times New Roman" w:hAnsi="Times New Roman"/>
                <w:sz w:val="24"/>
              </w:rPr>
              <w:t>Dátum výskytu udalosti je dátum, keď sa udalosť straty z operačného rizika stala alebo sa začala po prvýkrát.</w:t>
            </w:r>
          </w:p>
        </w:tc>
      </w:tr>
      <w:tr w:rsidR="00FD54FC" w:rsidRPr="00704862" w14:paraId="1D001D6C" w14:textId="77777777" w:rsidTr="3B06A011">
        <w:tc>
          <w:tcPr>
            <w:tcW w:w="951" w:type="dxa"/>
          </w:tcPr>
          <w:p w14:paraId="7391D6AD"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0040</w:t>
            </w:r>
          </w:p>
        </w:tc>
        <w:tc>
          <w:tcPr>
            <w:tcW w:w="8111" w:type="dxa"/>
          </w:tcPr>
          <w:p w14:paraId="3CE5AC19"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Dátum zistenia</w:t>
            </w:r>
          </w:p>
          <w:p w14:paraId="520821A8" w14:textId="77777777" w:rsidR="00FD54FC" w:rsidRPr="00704862" w:rsidRDefault="00FD54FC" w:rsidP="00FD54FC">
            <w:pPr>
              <w:rPr>
                <w:rFonts w:ascii="Times New Roman" w:hAnsi="Times New Roman"/>
                <w:sz w:val="24"/>
              </w:rPr>
            </w:pPr>
            <w:r w:rsidRPr="00704862">
              <w:rPr>
                <w:rFonts w:ascii="Times New Roman" w:hAnsi="Times New Roman"/>
                <w:sz w:val="24"/>
              </w:rPr>
              <w:t>Dátum zistenia je dátum, kedy sa inštitúcia dozvedela o udalosti straty z operačného rizika.</w:t>
            </w:r>
          </w:p>
        </w:tc>
      </w:tr>
      <w:tr w:rsidR="00FD54FC" w:rsidRPr="00704862" w14:paraId="76851195" w14:textId="77777777" w:rsidTr="3B06A011">
        <w:tc>
          <w:tcPr>
            <w:tcW w:w="951" w:type="dxa"/>
          </w:tcPr>
          <w:p w14:paraId="28758796"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0050</w:t>
            </w:r>
          </w:p>
        </w:tc>
        <w:tc>
          <w:tcPr>
            <w:tcW w:w="8111" w:type="dxa"/>
          </w:tcPr>
          <w:p w14:paraId="3FDF46AE" w14:textId="77777777" w:rsidR="00FD54FC" w:rsidRPr="00704862" w:rsidRDefault="00F41508"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Druh stratovej udalosti</w:t>
            </w:r>
          </w:p>
          <w:p w14:paraId="73A75C19" w14:textId="1C0C4757" w:rsidR="00FD54FC" w:rsidRPr="00704862" w:rsidRDefault="00F41508" w:rsidP="00EB6FC2">
            <w:pPr>
              <w:rPr>
                <w:rFonts w:ascii="Times New Roman" w:hAnsi="Times New Roman"/>
                <w:sz w:val="24"/>
              </w:rPr>
            </w:pPr>
            <w:r w:rsidRPr="00704862">
              <w:rPr>
                <w:rFonts w:ascii="Times New Roman" w:hAnsi="Times New Roman"/>
                <w:sz w:val="24"/>
              </w:rPr>
              <w:t xml:space="preserve">Druhy stratových udalostí vymedzené v tabuľke 1 tejto prílohy, oddiel 4.2.1. </w:t>
            </w:r>
          </w:p>
        </w:tc>
      </w:tr>
      <w:tr w:rsidR="00FD54FC" w:rsidRPr="00704862" w14:paraId="69DCDE9E" w14:textId="77777777" w:rsidTr="3B06A011">
        <w:tc>
          <w:tcPr>
            <w:tcW w:w="951" w:type="dxa"/>
          </w:tcPr>
          <w:p w14:paraId="6A006D8C"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0060</w:t>
            </w:r>
          </w:p>
        </w:tc>
        <w:tc>
          <w:tcPr>
            <w:tcW w:w="8111" w:type="dxa"/>
          </w:tcPr>
          <w:p w14:paraId="2D778DC5"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Hrubá strata</w:t>
            </w:r>
          </w:p>
          <w:p w14:paraId="5E868659" w14:textId="77777777" w:rsidR="00FD54FC" w:rsidRPr="00704862" w:rsidRDefault="00FD54FC" w:rsidP="0023276A">
            <w:pPr>
              <w:rPr>
                <w:rFonts w:ascii="Times New Roman" w:hAnsi="Times New Roman"/>
                <w:sz w:val="24"/>
              </w:rPr>
            </w:pPr>
            <w:r w:rsidRPr="00704862">
              <w:rPr>
                <w:rFonts w:ascii="Times New Roman" w:hAnsi="Times New Roman"/>
                <w:sz w:val="24"/>
              </w:rPr>
              <w:t>Hrubá strata súvisiaca so stratovou udalosťou vykázanou v riadkoch 0020, 0120 atď. vzoru C 17.01</w:t>
            </w:r>
          </w:p>
        </w:tc>
      </w:tr>
      <w:tr w:rsidR="00FD54FC" w:rsidRPr="00704862" w14:paraId="0E4E70D6" w14:textId="77777777" w:rsidTr="3B06A011">
        <w:tc>
          <w:tcPr>
            <w:tcW w:w="951" w:type="dxa"/>
          </w:tcPr>
          <w:p w14:paraId="59554EE1"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lastRenderedPageBreak/>
              <w:t>0070</w:t>
            </w:r>
          </w:p>
        </w:tc>
        <w:tc>
          <w:tcPr>
            <w:tcW w:w="8111" w:type="dxa"/>
          </w:tcPr>
          <w:p w14:paraId="38BFF4C4"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Hrubá strata po odpočítaní priamych náhrad</w:t>
            </w:r>
          </w:p>
          <w:p w14:paraId="371DD3AD" w14:textId="77777777" w:rsidR="00FD54FC" w:rsidRPr="00704862" w:rsidRDefault="00FD54FC" w:rsidP="0023276A">
            <w:pPr>
              <w:rPr>
                <w:rFonts w:ascii="Times New Roman" w:hAnsi="Times New Roman"/>
                <w:sz w:val="24"/>
              </w:rPr>
            </w:pPr>
            <w:r w:rsidRPr="00704862">
              <w:rPr>
                <w:rFonts w:ascii="Times New Roman" w:hAnsi="Times New Roman"/>
                <w:sz w:val="24"/>
              </w:rPr>
              <w:t>Hrubá strata súvisiaca so stratovou udalosťou vykázanou v riadkoch 0020, 0120 atď. vzoru C 17.01, očistená o priame náhrady súvisiace s touto stratovou udalosťou</w:t>
            </w:r>
          </w:p>
        </w:tc>
      </w:tr>
      <w:tr w:rsidR="00FD54FC" w:rsidRPr="00704862" w14:paraId="00E3E0C2" w14:textId="77777777" w:rsidTr="3B06A011">
        <w:tc>
          <w:tcPr>
            <w:tcW w:w="951" w:type="dxa"/>
          </w:tcPr>
          <w:p w14:paraId="724B852D"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0080 - 0160</w:t>
            </w:r>
          </w:p>
        </w:tc>
        <w:tc>
          <w:tcPr>
            <w:tcW w:w="8111" w:type="dxa"/>
          </w:tcPr>
          <w:p w14:paraId="5640FB78"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Hrubá strata podľa obchodných línií</w:t>
            </w:r>
          </w:p>
          <w:p w14:paraId="15FC08A2" w14:textId="6BE4BE54" w:rsidR="00FD54FC" w:rsidRPr="00704862" w:rsidRDefault="00FD54FC" w:rsidP="007062FD">
            <w:pPr>
              <w:rPr>
                <w:rFonts w:ascii="Times New Roman" w:hAnsi="Times New Roman"/>
                <w:sz w:val="24"/>
              </w:rPr>
            </w:pPr>
            <w:r w:rsidRPr="00704862">
              <w:rPr>
                <w:rFonts w:ascii="Times New Roman" w:hAnsi="Times New Roman"/>
                <w:sz w:val="24"/>
              </w:rPr>
              <w:t xml:space="preserve">Hrubá strata vykázaná v stĺpci 0060 sa priradí k príslušným obchodným líniám uvedeným v tabuľke 2, oddiel 4.2.1. </w:t>
            </w:r>
          </w:p>
        </w:tc>
      </w:tr>
      <w:tr w:rsidR="00FD54FC" w:rsidRPr="00704862" w14:paraId="557602BD" w14:textId="77777777" w:rsidTr="3B06A011">
        <w:tc>
          <w:tcPr>
            <w:tcW w:w="951" w:type="dxa"/>
          </w:tcPr>
          <w:p w14:paraId="413224E7"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0170</w:t>
            </w:r>
          </w:p>
        </w:tc>
        <w:tc>
          <w:tcPr>
            <w:tcW w:w="8111" w:type="dxa"/>
          </w:tcPr>
          <w:p w14:paraId="3BBE9520"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Názov právnickej osoby</w:t>
            </w:r>
          </w:p>
          <w:p w14:paraId="196BBE73" w14:textId="7342A187" w:rsidR="00FD54FC" w:rsidRPr="00704862" w:rsidRDefault="00FD54FC" w:rsidP="3B06A011">
            <w:pPr>
              <w:rPr>
                <w:rFonts w:ascii="Times New Roman" w:hAnsi="Times New Roman"/>
                <w:sz w:val="24"/>
              </w:rPr>
            </w:pPr>
            <w:r w:rsidRPr="00704862">
              <w:rPr>
                <w:rFonts w:ascii="Times New Roman" w:hAnsi="Times New Roman"/>
                <w:sz w:val="24"/>
              </w:rPr>
              <w:t>Názov právnickej osoby, ako sa uvádza v stĺpci 0011 v položke C 06.02, kde došlo k strate – alebo k najväčšiemu podielu na strate, ak bolo postihnutých viacero subjektov.</w:t>
            </w:r>
          </w:p>
        </w:tc>
      </w:tr>
      <w:tr w:rsidR="00FD54FC" w:rsidRPr="00704862" w14:paraId="65061E2E" w14:textId="77777777" w:rsidTr="3B06A011">
        <w:tc>
          <w:tcPr>
            <w:tcW w:w="951" w:type="dxa"/>
          </w:tcPr>
          <w:p w14:paraId="2B53F902" w14:textId="5E3BBEFD" w:rsidR="00FD54FC" w:rsidRPr="00704862" w:rsidRDefault="00C93FC2" w:rsidP="00FD54FC">
            <w:pPr>
              <w:rPr>
                <w:rFonts w:ascii="Times New Roman" w:hAnsi="Times New Roman"/>
                <w:sz w:val="24"/>
              </w:rPr>
            </w:pPr>
            <w:r w:rsidRPr="00704862">
              <w:rPr>
                <w:rFonts w:ascii="Times New Roman" w:hAnsi="Times New Roman"/>
                <w:sz w:val="24"/>
                <w:lang w:eastAsia="de-DE"/>
              </w:rPr>
              <w:t>0181</w:t>
            </w:r>
          </w:p>
        </w:tc>
        <w:tc>
          <w:tcPr>
            <w:tcW w:w="8111" w:type="dxa"/>
          </w:tcPr>
          <w:p w14:paraId="4F848E3A" w14:textId="77777777" w:rsidR="00FD54FC" w:rsidRPr="00704862" w:rsidRDefault="00105A75"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Kód</w:t>
            </w:r>
          </w:p>
          <w:p w14:paraId="2B51325F" w14:textId="351ACEFF" w:rsidR="000D0A23" w:rsidRPr="00704862" w:rsidRDefault="0062362F" w:rsidP="3B06A011">
            <w:pPr>
              <w:rPr>
                <w:rFonts w:ascii="Times New Roman" w:hAnsi="Times New Roman"/>
                <w:sz w:val="24"/>
              </w:rPr>
            </w:pPr>
            <w:r w:rsidRPr="00704862">
              <w:rPr>
                <w:rFonts w:ascii="Times New Roman" w:hAnsi="Times New Roman"/>
                <w:sz w:val="24"/>
              </w:rPr>
              <w:t>Kód právnickej osoby, ako sa uvádza v stĺpci 0021 v položke C 06.02, kde došlo k strate – alebo k najväčšiemu podielu na strate, ak bolo postihnutých viacero subjektov.</w:t>
            </w:r>
          </w:p>
        </w:tc>
      </w:tr>
      <w:tr w:rsidR="000D0A23" w:rsidRPr="00704862" w14:paraId="78136DE9" w14:textId="77777777" w:rsidTr="3B06A011">
        <w:tc>
          <w:tcPr>
            <w:tcW w:w="951" w:type="dxa"/>
          </w:tcPr>
          <w:p w14:paraId="36C0C957" w14:textId="1C3F9210" w:rsidR="000D0A23" w:rsidRPr="00704862" w:rsidRDefault="000D0A23" w:rsidP="00071D95">
            <w:pPr>
              <w:rPr>
                <w:rStyle w:val="InstructionsTabelleText"/>
                <w:rFonts w:ascii="Times New Roman" w:hAnsi="Times New Roman"/>
                <w:sz w:val="24"/>
              </w:rPr>
            </w:pPr>
            <w:r w:rsidRPr="00704862">
              <w:rPr>
                <w:rStyle w:val="InstructionsTabelleText"/>
                <w:rFonts w:ascii="Times New Roman" w:hAnsi="Times New Roman"/>
                <w:sz w:val="24"/>
              </w:rPr>
              <w:t>0185</w:t>
            </w:r>
          </w:p>
        </w:tc>
        <w:tc>
          <w:tcPr>
            <w:tcW w:w="8111" w:type="dxa"/>
          </w:tcPr>
          <w:p w14:paraId="1CF8E766" w14:textId="77777777" w:rsidR="000D0A23" w:rsidRPr="00704862" w:rsidRDefault="000D0A23"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DRUH KÓDU</w:t>
            </w:r>
          </w:p>
          <w:p w14:paraId="13D1F0E6" w14:textId="5C3CE252" w:rsidR="000D0A23" w:rsidRPr="00704862" w:rsidRDefault="000D0A23" w:rsidP="3B06A011">
            <w:pPr>
              <w:rPr>
                <w:rStyle w:val="InstructionsTabelleberschrift"/>
                <w:rFonts w:ascii="Times New Roman" w:hAnsi="Times New Roman"/>
                <w:sz w:val="24"/>
              </w:rPr>
            </w:pPr>
            <w:r w:rsidRPr="00704862">
              <w:rPr>
                <w:rFonts w:ascii="Times New Roman" w:hAnsi="Times New Roman"/>
                <w:sz w:val="24"/>
              </w:rPr>
              <w:t>Inštitúcie identifikujú druh kódu vykazovaného v stĺpci 0181 ako „kód LEI“ alebo „kód, iný ako LEI“, tiež v súlade so stĺpcom 0026 časti C 06.02. Druh kódu sa vykazuje vždy.</w:t>
            </w:r>
          </w:p>
        </w:tc>
      </w:tr>
      <w:tr w:rsidR="00FD54FC" w:rsidRPr="00704862" w14:paraId="79A2ACFE" w14:textId="77777777" w:rsidTr="3B06A011">
        <w:tc>
          <w:tcPr>
            <w:tcW w:w="951" w:type="dxa"/>
          </w:tcPr>
          <w:p w14:paraId="1C6C72FE"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0190</w:t>
            </w:r>
          </w:p>
        </w:tc>
        <w:tc>
          <w:tcPr>
            <w:tcW w:w="8111" w:type="dxa"/>
          </w:tcPr>
          <w:p w14:paraId="07842AC1"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Organizačná zložka podniku</w:t>
            </w:r>
          </w:p>
          <w:p w14:paraId="7468F598" w14:textId="77777777" w:rsidR="00FD54FC" w:rsidRPr="00704862" w:rsidRDefault="00FD54FC" w:rsidP="00FD54FC">
            <w:pPr>
              <w:rPr>
                <w:rFonts w:ascii="Times New Roman" w:hAnsi="Times New Roman"/>
                <w:sz w:val="24"/>
              </w:rPr>
            </w:pPr>
            <w:r w:rsidRPr="00704862">
              <w:rPr>
                <w:rFonts w:ascii="Times New Roman" w:hAnsi="Times New Roman"/>
                <w:sz w:val="24"/>
              </w:rPr>
              <w:t>Organizačná zložka alebo oddelenie inštitúcie, v ktorej došlo k strate – alebo k najväčšiemu podielu straty, ak bolo postihnutých viacero organizačných zložiek alebo oddelení.</w:t>
            </w:r>
          </w:p>
        </w:tc>
      </w:tr>
      <w:tr w:rsidR="00FD54FC" w:rsidRPr="00704862" w14:paraId="47FF13C8" w14:textId="77777777" w:rsidTr="3B06A011">
        <w:tc>
          <w:tcPr>
            <w:tcW w:w="951" w:type="dxa"/>
          </w:tcPr>
          <w:p w14:paraId="70D39850" w14:textId="77777777" w:rsidR="00FD54FC" w:rsidRPr="00704862" w:rsidRDefault="00C93FC2" w:rsidP="00FD54FC">
            <w:pPr>
              <w:rPr>
                <w:rFonts w:ascii="Times New Roman" w:hAnsi="Times New Roman"/>
                <w:sz w:val="24"/>
              </w:rPr>
            </w:pPr>
            <w:r w:rsidRPr="00704862">
              <w:rPr>
                <w:rFonts w:ascii="Times New Roman" w:hAnsi="Times New Roman"/>
                <w:sz w:val="24"/>
                <w:lang w:eastAsia="de-DE"/>
              </w:rPr>
              <w:t>0200</w:t>
            </w:r>
          </w:p>
        </w:tc>
        <w:tc>
          <w:tcPr>
            <w:tcW w:w="8111" w:type="dxa"/>
          </w:tcPr>
          <w:p w14:paraId="008721A3" w14:textId="77777777" w:rsidR="00FD54FC" w:rsidRPr="00704862" w:rsidRDefault="00FD54FC" w:rsidP="005D3C49">
            <w:pPr>
              <w:keepNext/>
              <w:rPr>
                <w:rStyle w:val="InstructionsTabelleberschrift"/>
                <w:rFonts w:ascii="Times New Roman" w:hAnsi="Times New Roman"/>
                <w:sz w:val="24"/>
              </w:rPr>
            </w:pPr>
            <w:r w:rsidRPr="00704862">
              <w:rPr>
                <w:rStyle w:val="InstructionsTabelleberschrift"/>
                <w:rFonts w:ascii="Times New Roman" w:hAnsi="Times New Roman"/>
                <w:sz w:val="24"/>
              </w:rPr>
              <w:t>Opis</w:t>
            </w:r>
          </w:p>
          <w:p w14:paraId="5B222555" w14:textId="77777777" w:rsidR="00FD54FC" w:rsidRPr="00704862" w:rsidRDefault="00FD54FC" w:rsidP="3B06A011">
            <w:pPr>
              <w:rPr>
                <w:rFonts w:ascii="Times New Roman" w:hAnsi="Times New Roman"/>
                <w:sz w:val="24"/>
              </w:rPr>
            </w:pPr>
            <w:r w:rsidRPr="00704862">
              <w:rPr>
                <w:rFonts w:ascii="Times New Roman" w:hAnsi="Times New Roman"/>
                <w:sz w:val="24"/>
              </w:rPr>
              <w:t>Opis stratovej udalosti, v prípade potreby v zovšeobecnenej alebo anonymizovanej podobe, ktorý obsahuje aspoň informácie o samotnej udalosti a informácie o pôvodcoch alebo príčinách stratovej udalosti, ak sú známe.</w:t>
            </w:r>
          </w:p>
        </w:tc>
      </w:tr>
    </w:tbl>
    <w:p w14:paraId="5C0CD8F3" w14:textId="59F5D27A" w:rsidR="00AC6255" w:rsidRPr="00704862" w:rsidRDefault="00AC6255" w:rsidP="005D3C49">
      <w:pPr>
        <w:spacing w:before="0" w:after="0"/>
        <w:jc w:val="left"/>
        <w:rPr>
          <w:rStyle w:val="InstructionsTabelleText"/>
          <w:rFonts w:ascii="Times New Roman" w:hAnsi="Times New Roman"/>
          <w:sz w:val="24"/>
        </w:rPr>
      </w:pPr>
    </w:p>
    <w:sectPr w:rsidR="00AC6255" w:rsidRPr="00704862"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704862" w:rsidRDefault="0031155B" w:rsidP="00D946DB">
      <w:pPr>
        <w:spacing w:before="0" w:after="0"/>
      </w:pPr>
      <w:r w:rsidRPr="00704862">
        <w:separator/>
      </w:r>
    </w:p>
  </w:endnote>
  <w:endnote w:type="continuationSeparator" w:id="0">
    <w:p w14:paraId="2EE1F359" w14:textId="77777777" w:rsidR="0031155B" w:rsidRPr="00704862" w:rsidRDefault="0031155B" w:rsidP="00D946DB">
      <w:pPr>
        <w:spacing w:before="0" w:after="0"/>
      </w:pPr>
      <w:r w:rsidRPr="00704862">
        <w:continuationSeparator/>
      </w:r>
    </w:p>
  </w:endnote>
  <w:endnote w:type="continuationNotice" w:id="1">
    <w:p w14:paraId="435D6678" w14:textId="77777777" w:rsidR="0031155B" w:rsidRPr="00704862"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704862" w:rsidRDefault="00C3070C">
    <w:pPr>
      <w:pStyle w:val="Footer"/>
      <w:framePr w:wrap="auto" w:vAnchor="text" w:hAnchor="margin" w:xAlign="right" w:y="1"/>
      <w:rPr>
        <w:rStyle w:val="PageNumber"/>
        <w:noProof/>
        <w:szCs w:val="22"/>
      </w:rPr>
    </w:pPr>
    <w:r w:rsidRPr="00704862">
      <w:rPr>
        <w:rStyle w:val="PageNumber"/>
      </w:rPr>
      <w:fldChar w:fldCharType="begin"/>
    </w:r>
    <w:r w:rsidRPr="00704862">
      <w:rPr>
        <w:rStyle w:val="PageNumber"/>
      </w:rPr>
      <w:instrText xml:space="preserve">PAGE  </w:instrText>
    </w:r>
    <w:r w:rsidRPr="00704862">
      <w:rPr>
        <w:rStyle w:val="PageNumber"/>
      </w:rPr>
      <w:fldChar w:fldCharType="separate"/>
    </w:r>
    <w:r w:rsidRPr="00704862">
      <w:rPr>
        <w:rStyle w:val="PageNumber"/>
      </w:rPr>
      <w:t>18</w:t>
    </w:r>
    <w:r w:rsidRPr="00704862">
      <w:rPr>
        <w:rStyle w:val="PageNumber"/>
      </w:rPr>
      <w:t>3</w:t>
    </w:r>
    <w:r w:rsidRPr="00704862">
      <w:rPr>
        <w:rStyle w:val="PageNumber"/>
      </w:rPr>
      <w:fldChar w:fldCharType="end"/>
    </w:r>
  </w:p>
  <w:p w14:paraId="468B5799" w14:textId="77777777" w:rsidR="00C3070C" w:rsidRPr="00704862"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704862" w:rsidRDefault="00C3070C">
    <w:pPr>
      <w:pStyle w:val="Footer"/>
      <w:jc w:val="right"/>
      <w:rPr>
        <w:rFonts w:ascii="Times New Roman" w:hAnsi="Times New Roman"/>
        <w:noProof/>
        <w:sz w:val="20"/>
        <w:szCs w:val="20"/>
      </w:rPr>
    </w:pPr>
    <w:r w:rsidRPr="00704862">
      <w:rPr>
        <w:rFonts w:ascii="Times New Roman" w:hAnsi="Times New Roman"/>
        <w:sz w:val="20"/>
      </w:rPr>
      <w:fldChar w:fldCharType="begin"/>
    </w:r>
    <w:r w:rsidRPr="00704862">
      <w:rPr>
        <w:rFonts w:ascii="Times New Roman" w:hAnsi="Times New Roman"/>
        <w:sz w:val="20"/>
      </w:rPr>
      <w:instrText xml:space="preserve"> PAGE   \* MERGEFORMAT </w:instrText>
    </w:r>
    <w:r w:rsidRPr="00704862">
      <w:rPr>
        <w:rFonts w:ascii="Times New Roman" w:hAnsi="Times New Roman"/>
        <w:sz w:val="20"/>
      </w:rPr>
      <w:fldChar w:fldCharType="separate"/>
    </w:r>
    <w:r w:rsidR="008F3052" w:rsidRPr="00704862">
      <w:rPr>
        <w:rFonts w:ascii="Times New Roman" w:hAnsi="Times New Roman"/>
        <w:sz w:val="20"/>
      </w:rPr>
      <w:t>4</w:t>
    </w:r>
    <w:r w:rsidR="008F3052" w:rsidRPr="00704862">
      <w:rPr>
        <w:rFonts w:ascii="Times New Roman" w:hAnsi="Times New Roman"/>
        <w:sz w:val="20"/>
      </w:rPr>
      <w:t>2</w:t>
    </w:r>
    <w:r w:rsidRPr="00704862">
      <w:rPr>
        <w:rFonts w:ascii="Times New Roman" w:hAnsi="Times New Roman"/>
        <w:sz w:val="20"/>
      </w:rPr>
      <w:fldChar w:fldCharType="end"/>
    </w:r>
  </w:p>
  <w:p w14:paraId="416ED6B6" w14:textId="77777777" w:rsidR="00C3070C" w:rsidRPr="00704862"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704862" w:rsidRDefault="0031155B" w:rsidP="00D946DB">
      <w:pPr>
        <w:spacing w:before="0" w:after="0"/>
      </w:pPr>
      <w:r w:rsidRPr="00704862">
        <w:separator/>
      </w:r>
    </w:p>
  </w:footnote>
  <w:footnote w:type="continuationSeparator" w:id="0">
    <w:p w14:paraId="6B62ED8F" w14:textId="77777777" w:rsidR="0031155B" w:rsidRPr="00704862" w:rsidRDefault="0031155B" w:rsidP="00D946DB">
      <w:pPr>
        <w:spacing w:before="0" w:after="0"/>
      </w:pPr>
      <w:r w:rsidRPr="00704862">
        <w:continuationSeparator/>
      </w:r>
    </w:p>
  </w:footnote>
  <w:footnote w:type="continuationNotice" w:id="1">
    <w:p w14:paraId="3B7D23BB" w14:textId="77777777" w:rsidR="0031155B" w:rsidRPr="00704862" w:rsidRDefault="0031155B">
      <w:pPr>
        <w:spacing w:before="0" w:after="0"/>
      </w:pPr>
    </w:p>
  </w:footnote>
  <w:footnote w:id="2">
    <w:p w14:paraId="47FD0ECA" w14:textId="0E0F952A" w:rsidR="00763680" w:rsidRPr="00704862" w:rsidRDefault="00763680" w:rsidP="00C86126">
      <w:pPr>
        <w:pStyle w:val="Style1"/>
      </w:pPr>
      <w:r w:rsidRPr="00704862">
        <w:rPr>
          <w:rStyle w:val="FootnoteReference"/>
        </w:rPr>
        <w:footnoteRef/>
      </w:r>
      <w:r w:rsidRPr="00704862">
        <w:t xml:space="preserve"> </w:t>
      </w:r>
      <w:hyperlink r:id="rId1" w:history="1">
        <w:r w:rsidRPr="00704862">
          <w:rPr>
            <w:rStyle w:val="Hyperlink"/>
          </w:rPr>
          <w:t>Vykonávacie technické predpisy o zmenách vo vykazovaní v oblasti dohľadu v súvislosti s CRR3/CRD6 v kroku 1 | Európsky orgán pre bankovníctvo</w:t>
        </w:r>
      </w:hyperlink>
    </w:p>
  </w:footnote>
  <w:footnote w:id="3">
    <w:p w14:paraId="6BA1C3F8" w14:textId="62D83F13" w:rsidR="00F4005E" w:rsidRPr="00704862" w:rsidRDefault="006C4DE8" w:rsidP="00C86126">
      <w:pPr>
        <w:pStyle w:val="Style1"/>
      </w:pPr>
      <w:r w:rsidRPr="00704862">
        <w:rPr>
          <w:rStyle w:val="FootnoteReference"/>
        </w:rPr>
        <w:footnoteRef/>
      </w:r>
      <w:r w:rsidRPr="00704862">
        <w:t xml:space="preserve"> </w:t>
      </w:r>
      <w:r w:rsidRPr="00704862">
        <w:t>„IFRS“ sú medzinárodné štandardy finančného výkazníctva, ako sa uvádzajú v článku 2 nariadenia (ES) č. 1606/2002.</w:t>
      </w:r>
    </w:p>
  </w:footnote>
  <w:footnote w:id="4">
    <w:p w14:paraId="388507E4" w14:textId="0625A254" w:rsidR="00464DC4" w:rsidRPr="00704862" w:rsidRDefault="00464DC4" w:rsidP="00C86126">
      <w:pPr>
        <w:pStyle w:val="Style1"/>
      </w:pPr>
      <w:r w:rsidRPr="00704862">
        <w:rPr>
          <w:rStyle w:val="FootnoteReference"/>
        </w:rPr>
        <w:footnoteRef/>
      </w:r>
      <w:r w:rsidRPr="00704862">
        <w:t xml:space="preserve"> </w:t>
      </w:r>
      <w:r w:rsidRPr="00704862">
        <w:t>„národné GAAP“ alebo „národné všeobecne uznávané účtovné zásady“ sú národné účtovné rámce vypracované podľa smernice Rady 86/635/EHS</w:t>
      </w:r>
    </w:p>
  </w:footnote>
  <w:footnote w:id="5">
    <w:p w14:paraId="1EB1AD8D" w14:textId="05924D40" w:rsidR="00782176" w:rsidRPr="00704862" w:rsidRDefault="00782176" w:rsidP="00C86126">
      <w:pPr>
        <w:pStyle w:val="Style1"/>
      </w:pPr>
      <w:r w:rsidRPr="00704862">
        <w:rPr>
          <w:rStyle w:val="FootnoteReference"/>
        </w:rPr>
        <w:footnoteRef/>
      </w:r>
      <w:r w:rsidRPr="00704862">
        <w:t xml:space="preserve"> </w:t>
      </w:r>
      <w:r w:rsidRPr="00704862">
        <w:t>Smernica Rady 86/635/EHS z 8. decembra 1986 o ročnej účtovnej závierke a konsolidovaných účtoch bánk a iných finančných inštitúcií (Ú. v. ES L 372,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704862" w:rsidRDefault="00C3070C">
    <w:pPr>
      <w:pStyle w:val="Header"/>
      <w:rPr>
        <w:noProof/>
      </w:rPr>
    </w:pPr>
    <w:r w:rsidRPr="00704862">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704862" w:rsidRDefault="00C3070C">
                          <w:pPr>
                            <w:rPr>
                              <w:rFonts w:ascii="Calibri" w:eastAsia="Calibri" w:hAnsi="Calibri" w:cs="Calibri"/>
                              <w:color w:val="000000"/>
                              <w:sz w:val="24"/>
                            </w:rPr>
                          </w:pPr>
                          <w:r w:rsidRPr="00704862">
                            <w:rPr>
                              <w:rFonts w:ascii="Calibri" w:hAnsi="Calibri"/>
                              <w:color w:val="000000"/>
                              <w:sz w:val="24"/>
                            </w:rPr>
                            <w:t>EBA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704862" w:rsidRDefault="00C3070C">
                    <w:pPr>
                      <w:rPr>
                        <w:rFonts w:ascii="Calibri" w:eastAsia="Calibri" w:hAnsi="Calibri" w:cs="Calibri"/>
                        <w:color w:val="000000"/>
                        <w:sz w:val="24"/>
                      </w:rPr>
                    </w:pPr>
                    <w:r w:rsidRPr="00704862">
                      <w:rPr>
                        <w:rFonts w:ascii="Calibri" w:hAnsi="Calibri"/>
                        <w:color w:val="000000"/>
                        <w:sz w:val="24"/>
                      </w:rPr>
                      <w:t>EBA Bežné použitie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704862" w:rsidRDefault="00C3070C">
    <w:pPr>
      <w:pStyle w:val="Header"/>
      <w:rPr>
        <w:noProof/>
      </w:rPr>
    </w:pPr>
    <w:r w:rsidRPr="00704862">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704862" w:rsidRDefault="00C3070C">
                          <w:pPr>
                            <w:rPr>
                              <w:rFonts w:ascii="Calibri" w:eastAsia="Calibri" w:hAnsi="Calibri" w:cs="Calibri"/>
                              <w:color w:val="000000"/>
                              <w:sz w:val="24"/>
                            </w:rPr>
                          </w:pPr>
                          <w:r w:rsidRPr="00704862">
                            <w:rPr>
                              <w:rFonts w:ascii="Calibri" w:hAnsi="Calibri"/>
                              <w:color w:val="000000"/>
                              <w:sz w:val="24"/>
                            </w:rPr>
                            <w:t>EBA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704862" w:rsidRDefault="00C3070C">
                    <w:pPr>
                      <w:rPr>
                        <w:rFonts w:ascii="Calibri" w:eastAsia="Calibri" w:hAnsi="Calibri" w:cs="Calibri"/>
                        <w:color w:val="000000"/>
                        <w:sz w:val="24"/>
                      </w:rPr>
                    </w:pPr>
                    <w:r w:rsidRPr="00704862">
                      <w:rPr>
                        <w:rFonts w:ascii="Calibri" w:hAnsi="Calibri"/>
                        <w:color w:val="000000"/>
                        <w:sz w:val="24"/>
                      </w:rPr>
                      <w:t>EBA Bežné použitie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704862" w:rsidRDefault="00C3070C">
    <w:pPr>
      <w:rPr>
        <w:rFonts w:ascii="Arial" w:hAnsi="Arial" w:cs="Arial"/>
        <w:noProof/>
      </w:rPr>
    </w:pPr>
    <w:r w:rsidRPr="00704862">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704862" w:rsidRDefault="00C3070C">
                          <w:pPr>
                            <w:rPr>
                              <w:rFonts w:ascii="Calibri" w:eastAsia="Calibri" w:hAnsi="Calibri" w:cs="Calibri"/>
                              <w:color w:val="000000"/>
                              <w:sz w:val="24"/>
                            </w:rPr>
                          </w:pPr>
                          <w:r w:rsidRPr="00704862">
                            <w:rPr>
                              <w:rFonts w:ascii="Calibri" w:hAnsi="Calibri"/>
                              <w:color w:val="000000"/>
                              <w:sz w:val="24"/>
                            </w:rPr>
                            <w:t>EBA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704862" w:rsidRDefault="00C3070C">
                    <w:pPr>
                      <w:rPr>
                        <w:rFonts w:ascii="Calibri" w:eastAsia="Calibri" w:hAnsi="Calibri" w:cs="Calibri"/>
                        <w:color w:val="000000"/>
                        <w:sz w:val="24"/>
                      </w:rPr>
                    </w:pPr>
                    <w:r w:rsidRPr="00704862">
                      <w:rPr>
                        <w:rFonts w:ascii="Calibri" w:hAnsi="Calibri"/>
                        <w:color w:val="000000"/>
                        <w:sz w:val="24"/>
                      </w:rPr>
                      <w:t>EBA Bežné použitie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4862"/>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k-SK"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sk-SK"/>
    </w:rPr>
  </w:style>
  <w:style w:type="character" w:customStyle="1" w:styleId="Heading2Char">
    <w:name w:val="Heading 2 Char"/>
    <w:link w:val="Heading2"/>
    <w:uiPriority w:val="99"/>
    <w:locked/>
    <w:rsid w:val="00EC5046"/>
    <w:rPr>
      <w:rFonts w:ascii="Verdana" w:hAnsi="Verdana" w:cs="Times New Roman"/>
      <w:b/>
      <w:sz w:val="24"/>
      <w:szCs w:val="24"/>
      <w:u w:val="single"/>
      <w:lang w:val="sk-SK"/>
    </w:rPr>
  </w:style>
  <w:style w:type="character" w:customStyle="1" w:styleId="Heading3Char">
    <w:name w:val="Heading 3 Char"/>
    <w:aliases w:val="Title 2 Char"/>
    <w:uiPriority w:val="99"/>
    <w:locked/>
    <w:rsid w:val="00884FEB"/>
    <w:rPr>
      <w:rFonts w:cs="Times New Roman"/>
      <w:sz w:val="24"/>
      <w:szCs w:val="24"/>
      <w:lang w:val="sk-SK"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sk-SK"/>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k-SK"/>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k-SK"/>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k-SK"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k-SK"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k-SK"/>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k-SK"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k-SK"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k-SK"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sk-SK"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9657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