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B806" w14:textId="07000D86" w:rsidR="009E7D0C" w:rsidRPr="0021480B" w:rsidRDefault="009E7D0C" w:rsidP="00A33695">
      <w:pPr>
        <w:jc w:val="center"/>
        <w:rPr>
          <w:rFonts w:ascii="Times New Roman" w:hAnsi="Times New Roman"/>
          <w:sz w:val="24"/>
        </w:rPr>
      </w:pPr>
      <w:bookmarkStart w:id="0" w:name="_Toc262568021"/>
      <w:bookmarkStart w:id="1" w:name="_Toc295829847"/>
      <w:r w:rsidRPr="0021480B">
        <w:rPr>
          <w:rFonts w:ascii="Times New Roman" w:hAnsi="Times New Roman"/>
          <w:sz w:val="24"/>
        </w:rPr>
        <w:t>MT</w:t>
      </w:r>
    </w:p>
    <w:p w14:paraId="2704A83C" w14:textId="77777777" w:rsidR="009E7D0C" w:rsidRPr="0021480B" w:rsidRDefault="009E7D0C" w:rsidP="00A33695">
      <w:pPr>
        <w:jc w:val="center"/>
        <w:rPr>
          <w:rFonts w:ascii="Times New Roman" w:hAnsi="Times New Roman"/>
          <w:sz w:val="24"/>
        </w:rPr>
      </w:pPr>
    </w:p>
    <w:p w14:paraId="24333E7A" w14:textId="5D6FD9D5" w:rsidR="008D696E" w:rsidRPr="0021480B" w:rsidRDefault="008D696E" w:rsidP="00A33695">
      <w:pPr>
        <w:jc w:val="center"/>
        <w:rPr>
          <w:rFonts w:ascii="Times New Roman" w:hAnsi="Times New Roman"/>
          <w:sz w:val="24"/>
        </w:rPr>
      </w:pPr>
      <w:r w:rsidRPr="0021480B">
        <w:rPr>
          <w:rFonts w:ascii="Times New Roman" w:hAnsi="Times New Roman"/>
          <w:sz w:val="24"/>
        </w:rPr>
        <w:t>ANNESS II</w:t>
      </w:r>
    </w:p>
    <w:p w14:paraId="37362007" w14:textId="6FB5EC15" w:rsidR="002648B0" w:rsidRPr="0021480B" w:rsidRDefault="008D696E" w:rsidP="00A33695">
      <w:pPr>
        <w:jc w:val="center"/>
        <w:rPr>
          <w:rFonts w:ascii="Times New Roman" w:hAnsi="Times New Roman"/>
          <w:sz w:val="24"/>
        </w:rPr>
      </w:pPr>
      <w:r w:rsidRPr="0021480B">
        <w:rPr>
          <w:rFonts w:ascii="Times New Roman" w:hAnsi="Times New Roman"/>
          <w:sz w:val="24"/>
        </w:rPr>
        <w:t>ANNESS II</w:t>
      </w:r>
    </w:p>
    <w:p w14:paraId="1330A6A8" w14:textId="72D1DF29" w:rsidR="000F1AF3" w:rsidRPr="0021480B" w:rsidRDefault="00D11E4C" w:rsidP="00D41692">
      <w:pPr>
        <w:jc w:val="center"/>
        <w:rPr>
          <w:rFonts w:ascii="Times New Roman" w:hAnsi="Times New Roman"/>
          <w:b/>
          <w:sz w:val="24"/>
        </w:rPr>
      </w:pPr>
      <w:r w:rsidRPr="0021480B">
        <w:rPr>
          <w:rFonts w:ascii="Times New Roman" w:hAnsi="Times New Roman"/>
          <w:b/>
          <w:sz w:val="24"/>
        </w:rPr>
        <w:t>STRUZZJONIJIET GĦAR-RAPPORTAR DWAR FONDI PROPRJI U REKWIŻITI TA’ FONDI PROPRJI</w:t>
      </w:r>
      <w:bookmarkStart w:id="2" w:name="_Toc264033192"/>
      <w:bookmarkEnd w:id="0"/>
      <w:bookmarkEnd w:id="1"/>
      <w:bookmarkEnd w:id="2"/>
    </w:p>
    <w:p w14:paraId="4C764596" w14:textId="77777777" w:rsidR="000F1AF3" w:rsidRPr="0021480B" w:rsidRDefault="000F1AF3" w:rsidP="000F1AF3">
      <w:pPr>
        <w:rPr>
          <w:rFonts w:ascii="Times New Roman" w:hAnsi="Times New Roman"/>
          <w:sz w:val="24"/>
        </w:rPr>
      </w:pPr>
    </w:p>
    <w:p w14:paraId="70585B10" w14:textId="77777777" w:rsidR="000F1AF3" w:rsidRPr="0021480B" w:rsidRDefault="000F1AF3" w:rsidP="000F1AF3">
      <w:pPr>
        <w:pStyle w:val="Heading2"/>
        <w:rPr>
          <w:rFonts w:ascii="Times New Roman" w:hAnsi="Times New Roman"/>
        </w:rPr>
      </w:pPr>
      <w:bookmarkStart w:id="3" w:name="_Toc360188322"/>
      <w:bookmarkStart w:id="4" w:name="_Toc473560870"/>
      <w:bookmarkStart w:id="5" w:name="_Toc151714358"/>
      <w:r w:rsidRPr="0021480B">
        <w:rPr>
          <w:rFonts w:ascii="Times New Roman" w:hAnsi="Times New Roman"/>
        </w:rPr>
        <w:t>PARTI II: STRUZZJONIJIET RELATATI MAL-MUDELLI</w:t>
      </w:r>
      <w:bookmarkEnd w:id="3"/>
      <w:bookmarkEnd w:id="4"/>
      <w:bookmarkEnd w:id="5"/>
    </w:p>
    <w:p w14:paraId="08AA7146" w14:textId="77777777" w:rsidR="000F1AF3" w:rsidRPr="0021480B" w:rsidRDefault="000F1AF3" w:rsidP="000F1AF3">
      <w:pPr>
        <w:rPr>
          <w:lang w:eastAsia="x-none"/>
        </w:rPr>
      </w:pPr>
    </w:p>
    <w:p w14:paraId="0DC832AB" w14:textId="77777777" w:rsidR="000F1AF3" w:rsidRPr="0021480B" w:rsidRDefault="000F1AF3" w:rsidP="000F1AF3">
      <w:r w:rsidRPr="0021480B">
        <w:rPr>
          <w:lang w:eastAsia="x-none"/>
        </w:rPr>
        <w:t>(…)</w:t>
      </w:r>
    </w:p>
    <w:p w14:paraId="7F7A0FD4" w14:textId="77777777" w:rsidR="00FC6275" w:rsidRPr="0021480B" w:rsidRDefault="00FC6275">
      <w:pPr>
        <w:spacing w:before="0" w:after="0"/>
        <w:jc w:val="left"/>
        <w:rPr>
          <w:rStyle w:val="InstructionsTabelleText"/>
          <w:rFonts w:ascii="Times New Roman" w:hAnsi="Times New Roman"/>
          <w:b/>
          <w:sz w:val="24"/>
        </w:rPr>
      </w:pPr>
    </w:p>
    <w:p w14:paraId="08BE46FC" w14:textId="245D1169" w:rsidR="00AC6255" w:rsidRPr="0021480B" w:rsidRDefault="00AC6255" w:rsidP="005D3C49">
      <w:pPr>
        <w:pStyle w:val="Instructionsberschrift2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</w:rPr>
      </w:pPr>
      <w:bookmarkStart w:id="6" w:name="_Toc260157222"/>
      <w:bookmarkStart w:id="7" w:name="_Toc262566416"/>
      <w:bookmarkStart w:id="8" w:name="_Toc295829987"/>
      <w:bookmarkStart w:id="9" w:name="_Toc310415049"/>
      <w:bookmarkStart w:id="10" w:name="_Toc360188384"/>
      <w:bookmarkStart w:id="11" w:name="_Toc473560935"/>
      <w:bookmarkStart w:id="12" w:name="_Toc152862710"/>
      <w:bookmarkStart w:id="13" w:name="_Toc260157223"/>
      <w:bookmarkStart w:id="14" w:name="_Toc262566417"/>
      <w:bookmarkStart w:id="15" w:name="_Toc264038462"/>
      <w:bookmarkStart w:id="16" w:name="_Toc295829988"/>
      <w:bookmarkStart w:id="17" w:name="_Toc310415050"/>
      <w:r w:rsidRPr="0021480B">
        <w:rPr>
          <w:rFonts w:ascii="Times New Roman" w:hAnsi="Times New Roman"/>
          <w:b/>
          <w:sz w:val="24"/>
        </w:rPr>
        <w:t>Mudelli tar-Riskju Operazzjonali</w:t>
      </w:r>
      <w:bookmarkEnd w:id="6"/>
      <w:bookmarkEnd w:id="7"/>
      <w:bookmarkEnd w:id="8"/>
      <w:bookmarkEnd w:id="9"/>
      <w:bookmarkEnd w:id="10"/>
      <w:bookmarkEnd w:id="11"/>
      <w:bookmarkEnd w:id="12"/>
    </w:p>
    <w:bookmarkEnd w:id="13"/>
    <w:bookmarkEnd w:id="14"/>
    <w:bookmarkEnd w:id="15"/>
    <w:bookmarkEnd w:id="16"/>
    <w:bookmarkEnd w:id="17"/>
    <w:p w14:paraId="1DB1CCA4" w14:textId="786B12D0" w:rsidR="00AC6255" w:rsidRPr="0021480B" w:rsidRDefault="008F3052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136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4904781C" w14:textId="6F5245AC" w:rsidR="00AC6255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137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4B809D6B" w14:textId="101DE481" w:rsidR="00AC6255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138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2023E425" w14:textId="65D3DC43" w:rsidR="00AC6255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139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1BF423DA" w14:textId="4247CC99" w:rsidR="00AC6255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140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001035D2" w14:textId="7F939878" w:rsidR="00AC6255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1"/>
        </w:rPr>
        <w:fldChar w:fldCharType="begin"/>
      </w:r>
      <w:r w:rsidRPr="0021480B">
        <w:rPr>
          <w:rStyle w:val="DNEx1"/>
        </w:rPr>
        <w:instrText xml:space="preserve"> seq paragraphs </w:instrText>
      </w:r>
      <w:r w:rsidRPr="0021480B">
        <w:rPr>
          <w:rStyle w:val="DNEx1"/>
        </w:rPr>
        <w:fldChar w:fldCharType="separate"/>
      </w:r>
      <w:r w:rsidR="00771068" w:rsidRPr="0021480B">
        <w:rPr>
          <w:rStyle w:val="DNEx1"/>
        </w:rPr>
        <w:t>141</w:t>
      </w:r>
      <w:r w:rsidRPr="0021480B">
        <w:rPr>
          <w:rStyle w:val="DNEx1"/>
        </w:rPr>
        <w:fldChar w:fldCharType="end"/>
      </w:r>
      <w:r w:rsidRPr="0021480B">
        <w:rPr>
          <w:rStyle w:val="DNEx1"/>
        </w:rPr>
        <w:t>.</w:t>
      </w:r>
      <w:r w:rsidRPr="0021480B">
        <w:rPr>
          <w:rStyle w:val="DNEx1"/>
        </w:rPr>
        <w:tab/>
      </w:r>
      <w:r w:rsidRPr="0021480B">
        <w:t>[vojt]</w:t>
      </w:r>
    </w:p>
    <w:p w14:paraId="23737963" w14:textId="4E4DFDEB" w:rsidR="0062765D" w:rsidRPr="0021480B" w:rsidRDefault="0062765D" w:rsidP="005D3C49">
      <w:pPr>
        <w:pStyle w:val="ListParagraph"/>
        <w:keepNext/>
        <w:numPr>
          <w:ilvl w:val="1"/>
          <w:numId w:val="41"/>
        </w:numPr>
        <w:spacing w:before="240" w:after="240"/>
        <w:ind w:left="709" w:hanging="709"/>
        <w:outlineLvl w:val="1"/>
        <w:rPr>
          <w:rFonts w:ascii="Times New Roman" w:eastAsia="Arial" w:hAnsi="Times New Roman"/>
          <w:b/>
          <w:sz w:val="24"/>
          <w:u w:val="single"/>
        </w:rPr>
      </w:pPr>
      <w:bookmarkStart w:id="18" w:name="_Toc152862711"/>
      <w:r w:rsidRPr="0021480B">
        <w:rPr>
          <w:rFonts w:ascii="Times New Roman" w:hAnsi="Times New Roman"/>
          <w:b/>
          <w:sz w:val="24"/>
          <w:u w:val="single"/>
        </w:rPr>
        <w:t>Rapportar tar-rekwiżiti ta’ fondi proprji għar-Riskju operazzjonali</w:t>
      </w:r>
      <w:bookmarkEnd w:id="18"/>
    </w:p>
    <w:p w14:paraId="200487A9" w14:textId="75383504" w:rsidR="0062765D" w:rsidRPr="0021480B" w:rsidRDefault="0062765D" w:rsidP="005D3C49">
      <w:pPr>
        <w:pStyle w:val="ListParagraph"/>
        <w:keepNext/>
        <w:numPr>
          <w:ilvl w:val="2"/>
          <w:numId w:val="41"/>
        </w:numPr>
        <w:spacing w:before="240" w:after="240"/>
        <w:ind w:left="709" w:hanging="709"/>
        <w:outlineLvl w:val="1"/>
        <w:rPr>
          <w:rFonts w:ascii="Times New Roman" w:eastAsia="Arial" w:hAnsi="Times New Roman"/>
          <w:b/>
          <w:sz w:val="24"/>
          <w:u w:val="single"/>
        </w:rPr>
      </w:pPr>
      <w:bookmarkStart w:id="19" w:name="_Toc152862712"/>
      <w:r w:rsidRPr="0021480B">
        <w:rPr>
          <w:rFonts w:ascii="Times New Roman" w:hAnsi="Times New Roman"/>
          <w:b/>
          <w:sz w:val="24"/>
          <w:u w:val="single"/>
        </w:rPr>
        <w:t>Kummenti Ġenerali</w:t>
      </w:r>
      <w:bookmarkEnd w:id="19"/>
    </w:p>
    <w:p w14:paraId="60C67A56" w14:textId="5F0C19D1" w:rsidR="0062765D" w:rsidRPr="0021480B" w:rsidRDefault="0062765D" w:rsidP="00855EF0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 xml:space="preserve">141a. </w:t>
      </w:r>
      <w:r w:rsidRPr="0021480B">
        <w:rPr>
          <w:rFonts w:ascii="Times New Roman" w:hAnsi="Times New Roman"/>
          <w:sz w:val="24"/>
        </w:rPr>
        <w:t>Il-mudell C 16.01 ikopri r-rekwiżiti ta’ fondi proprji (OFR, own funds requirements) għar-riskju operazzjonali taħt il-Komponent tal-Indikatur tan-Negozju (BIC, Business Indicator Component) u l-Indikatur tan-negozju relatat (BI, Business Indicator) f’konformità mal-Artikoli 312 sa 314 tar-Regolament (UE) Nru 575/2013.</w:t>
      </w:r>
    </w:p>
    <w:p w14:paraId="45817266" w14:textId="012015AA" w:rsidR="004F7163" w:rsidRPr="0021480B" w:rsidRDefault="004F7163" w:rsidP="004F7163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>141aa.</w:t>
      </w:r>
      <w:r w:rsidRPr="0021480B">
        <w:rPr>
          <w:rFonts w:ascii="Times New Roman" w:hAnsi="Times New Roman"/>
          <w:sz w:val="24"/>
        </w:rPr>
        <w:t xml:space="preserve"> Il-mudell C 16.02 jipprovdi dettalji dwar is-subkomponenti tal-Indikatur tan-Negozju (BI, Business Indicator) mill-mudell C 16.01: is-subkomponenti tal-komponent tal-imgħax, tal-kirjiet u tad-dividendi (ILDC, interest, leases and dividend component), il-komponent tas-servizzi (SC, services component) u l-komponent finanzjarju (FC, financial component), f’konformità mal-Artikolu 314 tar-Regolament (UE) Nru 575/2013.</w:t>
      </w:r>
    </w:p>
    <w:p w14:paraId="120E86E7" w14:textId="77777777" w:rsidR="004F7163" w:rsidRPr="0021480B" w:rsidRDefault="004F7163" w:rsidP="004F7163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>141ab.</w:t>
      </w:r>
      <w:r w:rsidRPr="0021480B">
        <w:rPr>
          <w:rFonts w:ascii="Times New Roman" w:hAnsi="Times New Roman"/>
          <w:sz w:val="24"/>
        </w:rPr>
        <w:t xml:space="preserve"> Il-mudell C 16.03 jipprovdi dettalji dwar it-telf, l-ispejjeż, il-provvedimenti u impatti finanzjarji oħrajn li jirriżultaw minn eventi ta’ riskju operazzjonali. Il-valur totali għandu jiġi inkluż fil-komputazzjoni tal-SC kif rifless fil-mudell C 16.02.</w:t>
      </w:r>
    </w:p>
    <w:p w14:paraId="06F95D37" w14:textId="1BF3DF7F" w:rsidR="001B76EB" w:rsidRPr="0021480B" w:rsidRDefault="001B76EB" w:rsidP="001B76EB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>141ac.</w:t>
      </w:r>
      <w:r w:rsidRPr="0021480B">
        <w:rPr>
          <w:rFonts w:ascii="Times New Roman" w:hAnsi="Times New Roman"/>
          <w:sz w:val="24"/>
        </w:rPr>
        <w:t xml:space="preserve"> Il-mudell C 16.04 jipprovdi informazzjoni kkomputata fil-livell tal-istituzzjonijiet sussidjarji f’konformità mal-Artikolu 314(3) tar-Regolament (UE) Nru 575/2013.</w:t>
      </w:r>
    </w:p>
    <w:p w14:paraId="4A6A0C5D" w14:textId="396717C5" w:rsidR="00A33B6E" w:rsidRPr="0021480B" w:rsidRDefault="00A33B6E" w:rsidP="00855EF0">
      <w:pPr>
        <w:spacing w:before="0" w:after="240"/>
        <w:ind w:left="360" w:hanging="360"/>
        <w:rPr>
          <w:rFonts w:ascii="Times New Roman" w:hAnsi="Times New Roman"/>
          <w:noProof/>
          <w:sz w:val="24"/>
          <w:lang w:eastAsia="de-DE"/>
        </w:rPr>
      </w:pPr>
    </w:p>
    <w:p w14:paraId="2BDF4A3C" w14:textId="74F2BA56" w:rsidR="00A85FE5" w:rsidRPr="0021480B" w:rsidRDefault="00DB52C6" w:rsidP="00E52A38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>141b.</w:t>
      </w:r>
      <w:r w:rsidRPr="0021480B">
        <w:rPr>
          <w:rFonts w:ascii="Times New Roman" w:hAnsi="Times New Roman"/>
          <w:sz w:val="24"/>
        </w:rPr>
        <w:t xml:space="preserve"> L-istituzzjonijiet għandhom jirrapportaw l-ammonti kollha abbażi tal-qafas kontabilistiku li jużaw għar-rapportar ta’ informazzjoni finanzjarja, sakemm ma jkunx speċifikat mod ieħor f’dan l-Anness. Ir-referenzi għar-rekwiżiti ta’ rapportar riflessi fl-Anness V tas-soluzzjonijiet tal-IT tal-EBA</w:t>
      </w:r>
      <w:r w:rsidR="00763680" w:rsidRPr="0021480B">
        <w:rPr>
          <w:rStyle w:val="FootnoteReference"/>
          <w:noProof/>
          <w:lang w:eastAsia="de-DE"/>
        </w:rPr>
        <w:footnoteReference w:id="2"/>
      </w:r>
      <w:r w:rsidRPr="0021480B">
        <w:rPr>
          <w:rFonts w:ascii="Times New Roman" w:hAnsi="Times New Roman"/>
          <w:sz w:val="24"/>
        </w:rPr>
        <w:t xml:space="preserve"> FINREP ġew riflessi fl-istruzzjonijiet kollha, minħabba l-konnessjoni mill-qrib bejn ir-rapportar tar-riskju operazzjonali u r-rapporti finanzjarji tal-istituzzjoni. Fejn tqies neċessarju li jiġu ċċarati l-istruzzjonijiet, iddaħħlu referenzi għall-IFRS rilevanti</w:t>
      </w:r>
      <w:r w:rsidR="00F4005E" w:rsidRPr="0021480B">
        <w:rPr>
          <w:rStyle w:val="FootnoteReference"/>
          <w:noProof/>
          <w:lang w:eastAsia="de-DE"/>
        </w:rPr>
        <w:footnoteReference w:id="3"/>
      </w:r>
      <w:r w:rsidRPr="0021480B">
        <w:rPr>
          <w:rFonts w:ascii="Times New Roman" w:hAnsi="Times New Roman"/>
          <w:sz w:val="24"/>
        </w:rPr>
        <w:t xml:space="preserve"> u għar-referenzi tal-nGAAP</w:t>
      </w:r>
      <w:r w:rsidR="00464DC4" w:rsidRPr="0021480B">
        <w:rPr>
          <w:rStyle w:val="FootnoteReference"/>
          <w:noProof/>
          <w:lang w:eastAsia="de-DE"/>
        </w:rPr>
        <w:footnoteReference w:id="4"/>
      </w:r>
      <w:r w:rsidRPr="0021480B">
        <w:rPr>
          <w:rFonts w:ascii="Times New Roman" w:hAnsi="Times New Roman"/>
          <w:sz w:val="24"/>
        </w:rPr>
        <w:t>.</w:t>
      </w:r>
    </w:p>
    <w:p w14:paraId="25C2C2DF" w14:textId="7F5118DC" w:rsidR="00A50632" w:rsidRPr="0021480B" w:rsidRDefault="00A50632" w:rsidP="00A50632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141ba.</w:t>
      </w:r>
      <w:r w:rsidRPr="0021480B">
        <w:rPr>
          <w:rFonts w:ascii="Times New Roman" w:hAnsi="Times New Roman"/>
          <w:sz w:val="24"/>
        </w:rPr>
        <w:t xml:space="preserve"> Il-konvenzjonijiet dwar is-sinjali użati f’dan l-anness huma konformi mal-konvenzjonijiet riflessi fl-anness V tas-soluzzjonijiet tal-IT tal-EBA: l-użu ta’ parentesi fit-tikketta ta’ entrata f’mudell ifisser li din l-entrata għandha titnaqqas biex jinkiseb total, iżda ma jfissirx li għandha tiġi rrapportata bħala negattiva.</w:t>
      </w:r>
      <w:r w:rsidRPr="0021480B">
        <w:rPr>
          <w:rFonts w:ascii="Arial" w:hAnsi="Arial"/>
          <w:sz w:val="22"/>
        </w:rPr>
        <w:t xml:space="preserve"> </w:t>
      </w:r>
      <w:r w:rsidRPr="0021480B">
        <w:rPr>
          <w:rFonts w:ascii="Times New Roman" w:hAnsi="Times New Roman"/>
          <w:sz w:val="24"/>
        </w:rPr>
        <w:t>L-entrati li għandhom jiġu rrapportati bħala negattivi huma identifikati fit-tikketti tal-mudelli billi jiġi inkluż “(-)” fil-bidu tat-tikketta tagħhom.</w:t>
      </w:r>
    </w:p>
    <w:p w14:paraId="3F5B8138" w14:textId="57B15B5B" w:rsidR="0062765D" w:rsidRPr="0021480B" w:rsidRDefault="00DB52C6" w:rsidP="0062765D">
      <w:pPr>
        <w:spacing w:before="0" w:after="240"/>
        <w:ind w:left="360" w:hanging="360"/>
        <w:rPr>
          <w:rFonts w:ascii="Times New Roman" w:hAnsi="Times New Roman"/>
          <w:noProof/>
          <w:sz w:val="24"/>
        </w:rPr>
      </w:pPr>
      <w:r w:rsidRPr="0021480B">
        <w:rPr>
          <w:rStyle w:val="DNEx2"/>
        </w:rPr>
        <w:t>141c.</w:t>
      </w:r>
      <w:r w:rsidRPr="0021480B">
        <w:rPr>
          <w:rFonts w:ascii="Times New Roman" w:hAnsi="Times New Roman"/>
          <w:sz w:val="24"/>
        </w:rPr>
        <w:t xml:space="preserve"> L-istituzzjonijiet għandhom jikkalkolaw l-OFR tagħhom u jirrapportaw l-informazzjoni fil-formoli, abbażi tal-informazzjoni disponibbli fi tmiem is-sena finanzjarja. Għaldaqstant, għandhom jintużaw l-aħħar tliet osservazzjonijiet ta’ tnax-il xahar li jibdew mit-tmiem tas-sena finanzjarja (eż. għad-dati tar-rapportar “Diċembru Y-1, Marzu Y, Ġunju Y, Settembru Y” u sena finanzjarja – tmiem “31 ta’ Diċembru”, il-kalkoli għandhom ikunu bbażati fuq is-sitwazzjoni finanzjarja fil-“31 ta’ Diċembru” billi jintużaw is-snin finanzjarji kollha Y-1, Y-2 u Y-3).</w:t>
      </w:r>
    </w:p>
    <w:p w14:paraId="34790AA0" w14:textId="4A0A92A4" w:rsidR="0062765D" w:rsidRPr="0021480B" w:rsidRDefault="00DB52C6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141d.</w:t>
      </w:r>
      <w:r w:rsidRPr="0021480B">
        <w:rPr>
          <w:rFonts w:ascii="Times New Roman" w:hAnsi="Times New Roman"/>
          <w:sz w:val="24"/>
        </w:rPr>
        <w:t xml:space="preserve"> Meta ċ-ċifri awditjati ma jkunux disponibbli, l-istituzzjonijiet jistgħu jużaw stimi tan-negozju. Fejn jintużaw ċifri awditjati, l-istituzzjonijiet għandhom jirrapportaw iċ-ċifri awditjati li huma mistennija li jibqgħu l-istess. Devjazzjonijiet minn dan il-prinċipju “mhux mibdul” huma possibbli skont l-Artikolu 315 il-paragrafi 1 u 2 tar-Regolament (UE) Nru 575/2013.</w:t>
      </w:r>
    </w:p>
    <w:p w14:paraId="27F080A5" w14:textId="12A87C97" w:rsidR="00FA5064" w:rsidRPr="0021480B" w:rsidRDefault="00DB52C6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141e.</w:t>
      </w:r>
      <w:r w:rsidRPr="0021480B">
        <w:rPr>
          <w:rFonts w:ascii="Times New Roman" w:hAnsi="Times New Roman"/>
          <w:sz w:val="24"/>
        </w:rPr>
        <w:t xml:space="preserve"> L-istituzzjonijiet ma għandhom jinkludu fir-rapportar l-ebda ċifra li tirreferi għall-entrati ddeterminati f’konformità mal-Artikolu 314(7) tar-Regolament (UE) Nru 575/2013 u kif speċifikat aktar fl-istandard tekniku regolatorju li għandu jiġi żviluppat skont l-Artikolu 314(9).</w:t>
      </w:r>
    </w:p>
    <w:p w14:paraId="65A130C3" w14:textId="64C06C9E" w:rsidR="008E3C30" w:rsidRPr="0021480B" w:rsidRDefault="00DB52C6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141f.</w:t>
      </w:r>
      <w:r w:rsidRPr="0021480B">
        <w:t xml:space="preserve"> </w:t>
      </w:r>
      <w:r w:rsidRPr="0021480B">
        <w:rPr>
          <w:rFonts w:ascii="Times New Roman" w:hAnsi="Times New Roman"/>
          <w:sz w:val="24"/>
        </w:rPr>
        <w:t>Għall-kalkolu tal-BI (eż. fil-każ ta’ istituzzjonijiet li għandhom sussidjarji b’munita li ma hijiex il-munita ta’ rapportar tal-istituzzjoni), l-istituzzjonijiet għandhom japplikaw ir-rata tal-kambju rilevanti għal kull waħda mit-tliet snin, fuq liema bażi jiġi kkomputat il-BI, skont il-qafas tal-kontabilità applikabbli. Għalhekk, ir-rata tal-kambju użata fis-sena rispettiva ma għandhiex tiġi aġġornata f’kull data tar-rapportar.</w:t>
      </w:r>
    </w:p>
    <w:p w14:paraId="06A7780A" w14:textId="1BA1142E" w:rsidR="006E63FF" w:rsidRPr="0021480B" w:rsidRDefault="008E3C30" w:rsidP="001A7684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141g.</w:t>
      </w:r>
      <w:r w:rsidRPr="0021480B">
        <w:rPr>
          <w:rFonts w:ascii="Times New Roman" w:hAnsi="Times New Roman"/>
          <w:sz w:val="24"/>
        </w:rPr>
        <w:t xml:space="preserve"> Fir-rigward tal-applikazzjoni tal-livelli limiti biex jiġi kkalkolat il-BIC skont l-Artikolu 313 tar-Regolament (UE) Nru 575/2013, l-istituzzjonijiet barra miż-żona tal-euro li jirrapportaw l-informazzjoni superviżorja fil-munita lokali tagħhom, għandhom jużaw ir-</w:t>
      </w:r>
      <w:r w:rsidRPr="0021480B">
        <w:rPr>
          <w:rFonts w:ascii="Times New Roman" w:hAnsi="Times New Roman"/>
          <w:sz w:val="24"/>
        </w:rPr>
        <w:lastRenderedPageBreak/>
        <w:t>rata tal-kambju medja għall-perjodu li għalih jiġi kkalkolat il-BIC (medja għall-aħħar tliet snin finanzjarji) f’konformità mal-qafas kontabilistiku, għall-konverżjoni tal-livell limitu fil-munita lokali tagħhom.</w:t>
      </w:r>
    </w:p>
    <w:p w14:paraId="031BD6E8" w14:textId="208E0079" w:rsidR="008803F1" w:rsidRPr="0021480B" w:rsidRDefault="0062765D" w:rsidP="005D3C49">
      <w:pPr>
        <w:pStyle w:val="ListParagraph"/>
        <w:keepNext/>
        <w:numPr>
          <w:ilvl w:val="2"/>
          <w:numId w:val="41"/>
        </w:numPr>
        <w:spacing w:before="240" w:after="240"/>
        <w:ind w:left="709" w:hanging="709"/>
        <w:outlineLvl w:val="1"/>
        <w:rPr>
          <w:rFonts w:ascii="Times New Roman" w:eastAsia="Arial" w:hAnsi="Times New Roman"/>
          <w:b/>
          <w:sz w:val="24"/>
          <w:u w:val="single"/>
        </w:rPr>
      </w:pPr>
      <w:bookmarkStart w:id="20" w:name="_Toc152862713"/>
      <w:r w:rsidRPr="0021480B">
        <w:rPr>
          <w:rFonts w:ascii="Times New Roman" w:hAnsi="Times New Roman"/>
          <w:b/>
          <w:sz w:val="24"/>
          <w:u w:val="single"/>
        </w:rPr>
        <w:t>C 16.01 Riskju Operazzjonali – Rekwiżiti ta’ fondi proprji (OPR OFR)</w:t>
      </w:r>
      <w:bookmarkEnd w:id="20"/>
    </w:p>
    <w:p w14:paraId="37EA392E" w14:textId="08491DA9" w:rsidR="0060540A" w:rsidRPr="0021480B" w:rsidRDefault="006B71D2" w:rsidP="00F83296">
      <w:pPr>
        <w:spacing w:before="0" w:after="240"/>
        <w:ind w:left="360" w:hanging="360"/>
        <w:rPr>
          <w:rFonts w:ascii="Times New Roman" w:eastAsia="Arial" w:hAnsi="Times New Roman"/>
          <w:sz w:val="24"/>
          <w:u w:val="single"/>
        </w:rPr>
      </w:pPr>
      <w:r w:rsidRPr="0021480B">
        <w:rPr>
          <w:rStyle w:val="DNEx2"/>
        </w:rPr>
        <w:t>141h.</w:t>
      </w:r>
      <w:r w:rsidRPr="0021480B">
        <w:rPr>
          <w:rFonts w:ascii="Times New Roman" w:hAnsi="Times New Roman"/>
          <w:sz w:val="24"/>
        </w:rPr>
        <w:t xml:space="preserve"> L-informazzjoni f’dan il-mudell tiġi kkalkolata billi jitqiesu l-ammonti għall-aħħar tliet snin finanzjarji.</w:t>
      </w:r>
    </w:p>
    <w:p w14:paraId="4A1DC110" w14:textId="03CEE5BE" w:rsidR="0062765D" w:rsidRPr="0021480B" w:rsidRDefault="0062765D" w:rsidP="00C86126">
      <w:pPr>
        <w:keepNext/>
        <w:spacing w:before="0" w:after="240"/>
        <w:rPr>
          <w:rFonts w:ascii="Times New Roman" w:hAnsi="Times New Roman"/>
          <w:sz w:val="24"/>
          <w:u w:val="single"/>
        </w:rPr>
      </w:pPr>
      <w:r w:rsidRPr="0021480B">
        <w:rPr>
          <w:rFonts w:ascii="Times New Roman" w:hAnsi="Times New Roman"/>
          <w:sz w:val="24"/>
          <w:u w:val="single"/>
        </w:rPr>
        <w:t>Struzzjonijiet dwar pożizzjonijiet speċifiċi: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7789"/>
      </w:tblGrid>
      <w:tr w:rsidR="0062765D" w:rsidRPr="0021480B" w14:paraId="3FE9FB08" w14:textId="77777777" w:rsidTr="3B06A011">
        <w:trPr>
          <w:trHeight w:val="300"/>
        </w:trPr>
        <w:tc>
          <w:tcPr>
            <w:tcW w:w="1225" w:type="dxa"/>
            <w:shd w:val="clear" w:color="auto" w:fill="BFBFBF" w:themeFill="background1" w:themeFillShade="BF"/>
          </w:tcPr>
          <w:p w14:paraId="72846797" w14:textId="77777777" w:rsidR="0062765D" w:rsidRPr="0021480B" w:rsidRDefault="0062765D" w:rsidP="0062765D">
            <w:pPr>
              <w:spacing w:before="0" w:after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Kolonni</w:t>
            </w:r>
          </w:p>
        </w:tc>
        <w:tc>
          <w:tcPr>
            <w:tcW w:w="7789" w:type="dxa"/>
            <w:shd w:val="clear" w:color="auto" w:fill="BFBFBF" w:themeFill="background1" w:themeFillShade="BF"/>
          </w:tcPr>
          <w:p w14:paraId="5C86F175" w14:textId="77777777" w:rsidR="0062765D" w:rsidRPr="0021480B" w:rsidRDefault="0062765D" w:rsidP="0062765D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Referenzi legali u struzzjonijiet</w:t>
            </w:r>
          </w:p>
        </w:tc>
      </w:tr>
      <w:tr w:rsidR="0062765D" w:rsidRPr="0021480B" w14:paraId="757FFFEF" w14:textId="77777777" w:rsidTr="3B06A011">
        <w:trPr>
          <w:trHeight w:val="300"/>
        </w:trPr>
        <w:tc>
          <w:tcPr>
            <w:tcW w:w="1225" w:type="dxa"/>
          </w:tcPr>
          <w:p w14:paraId="0E504078" w14:textId="77777777" w:rsidR="0062765D" w:rsidRPr="0021480B" w:rsidRDefault="0062765D" w:rsidP="0062765D">
            <w:pPr>
              <w:jc w:val="left"/>
              <w:rPr>
                <w:rFonts w:ascii="Times New Roman" w:hAnsi="Times New Roman"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0010</w:t>
            </w:r>
          </w:p>
        </w:tc>
        <w:tc>
          <w:tcPr>
            <w:tcW w:w="7789" w:type="dxa"/>
          </w:tcPr>
          <w:p w14:paraId="37C5F7E9" w14:textId="77777777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Valur</w:t>
            </w:r>
          </w:p>
          <w:p w14:paraId="40C487F3" w14:textId="77777777" w:rsidR="0062765D" w:rsidRPr="0021480B" w:rsidRDefault="0062765D" w:rsidP="0062765D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 tal-BI u t-tliet komponenti tiegħu: ILDC, SC u FC.</w:t>
            </w:r>
          </w:p>
          <w:p w14:paraId="4EA05B1B" w14:textId="77777777" w:rsidR="0062765D" w:rsidRPr="0021480B" w:rsidRDefault="0062765D" w:rsidP="3B06A011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 jinkludi l-aġġustamenti minħabba l-impatt ta’ fużjonijiet, akkwiżizzjonijiet u disponimenti f’konformità mal-Artikolu 315, il-paragrafi 1 u 2 tar-Regolament (UE) Nru 575/2013.</w:t>
            </w:r>
          </w:p>
          <w:p w14:paraId="160B8F2D" w14:textId="61260FD0" w:rsidR="00BC5ECA" w:rsidRPr="0021480B" w:rsidRDefault="00BC5ECA" w:rsidP="3B06A011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Fil-każ tal-FC, il-valur għandu jirrifletti jew il-valur kontabilistiku ddeterminat bl-użu tal-approċċ kontabilistiku inkella l-valur kontabilistiku bl-użu tal-konfini prudenzjali (Approċċ ta’ Konfini Prudenzjali — PBA, Prudential Boundary Approach) għall-identifikazzjoni tal-entrati tal-portafoll tan-negozjar u tal-portafoll bankarju. Informazzjoni dwar l-approċċ użat se tiġi rrapportata fir-ringiela 0110.</w:t>
            </w:r>
          </w:p>
          <w:p w14:paraId="78D3EEE0" w14:textId="54806951" w:rsidR="00DC6108" w:rsidRPr="0021480B" w:rsidRDefault="00DC6108" w:rsidP="0062765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2765D" w:rsidRPr="0021480B" w14:paraId="7AE3F4FB" w14:textId="77777777" w:rsidTr="3B06A011">
        <w:trPr>
          <w:trHeight w:val="300"/>
        </w:trPr>
        <w:tc>
          <w:tcPr>
            <w:tcW w:w="1225" w:type="dxa"/>
          </w:tcPr>
          <w:p w14:paraId="4A8A57B4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0020</w:t>
            </w:r>
          </w:p>
        </w:tc>
        <w:tc>
          <w:tcPr>
            <w:tcW w:w="7789" w:type="dxa"/>
          </w:tcPr>
          <w:p w14:paraId="3853732D" w14:textId="7EE877C7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li minnhom: aġġustamenti minħabba fużjoni/akkwist ta’ entitajiet jew attivitajiet</w:t>
            </w:r>
          </w:p>
          <w:p w14:paraId="74765691" w14:textId="77777777" w:rsidR="0062765D" w:rsidRPr="0021480B" w:rsidRDefault="0062765D" w:rsidP="0062765D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Il-parti tal-valur irrapportata fir-ringiela 0010 li tikkorrispondi għall-komponenti tal-BI li hija dovuta għal entitajiet jew attivitajiet fużi jew akkwiżiti f’konformità mal-Artikolu 315(1) tar-Regolament (UE) Nru 575/2013.</w:t>
            </w:r>
          </w:p>
        </w:tc>
      </w:tr>
      <w:tr w:rsidR="0062765D" w:rsidRPr="0021480B" w14:paraId="6B1C004B" w14:textId="77777777" w:rsidTr="3B06A011">
        <w:trPr>
          <w:trHeight w:val="300"/>
        </w:trPr>
        <w:tc>
          <w:tcPr>
            <w:tcW w:w="1225" w:type="dxa"/>
          </w:tcPr>
          <w:p w14:paraId="163A2836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0030</w:t>
            </w:r>
          </w:p>
        </w:tc>
        <w:tc>
          <w:tcPr>
            <w:tcW w:w="7789" w:type="dxa"/>
          </w:tcPr>
          <w:p w14:paraId="5025702A" w14:textId="374811C4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(Aġġustamenti dovuti għad-disponiment ta’ entitajiet jew attivitajiet)</w:t>
            </w:r>
          </w:p>
          <w:p w14:paraId="474CDF36" w14:textId="77777777" w:rsidR="0062765D" w:rsidRPr="0021480B" w:rsidRDefault="0062765D" w:rsidP="0062765D">
            <w:pPr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L-ammont eskluż mill-komponenti tal-BI relatati mal-entitajiet jew mal-attivitajiet disposti f’konformità mal-Artikolu 315(2) tar-Regolament (UE) Nru 575/2013.</w:t>
            </w:r>
          </w:p>
        </w:tc>
      </w:tr>
      <w:tr w:rsidR="0062765D" w:rsidRPr="0021480B" w14:paraId="29E6E185" w14:textId="77777777" w:rsidTr="3B06A011">
        <w:trPr>
          <w:trHeight w:val="300"/>
        </w:trPr>
        <w:tc>
          <w:tcPr>
            <w:tcW w:w="1225" w:type="dxa"/>
          </w:tcPr>
          <w:p w14:paraId="2C4429BE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0040</w:t>
            </w:r>
          </w:p>
        </w:tc>
        <w:tc>
          <w:tcPr>
            <w:tcW w:w="7789" w:type="dxa"/>
          </w:tcPr>
          <w:p w14:paraId="4E023876" w14:textId="4513D957" w:rsidR="0062765D" w:rsidRPr="0021480B" w:rsidRDefault="0062765D" w:rsidP="00C86126">
            <w:pPr>
              <w:keepNext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Ir-rekwiżiti ta’ fondi proprji</w:t>
            </w:r>
          </w:p>
          <w:p w14:paraId="035197F4" w14:textId="37420E0A" w:rsidR="0062765D" w:rsidRPr="0021480B" w:rsidRDefault="0062765D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L-OFR għandu jiġi kkalkolat f’konformità mal-Artikoli 312 sa 314 tar-Regolament (UE) Nru 575/2013. (il-BIC)</w:t>
            </w:r>
          </w:p>
          <w:p w14:paraId="459E44D5" w14:textId="2585C6AF" w:rsidR="00C44D1A" w:rsidRPr="0021480B" w:rsidRDefault="00C44D1A" w:rsidP="00C44D1A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Meta istituzzjoni tkun soġġetta għad-deroga msemmija fl-Artikolu 314(4) tar-Regolament (UE) Nru 575/2013, l-istituzzjoni għandha żżid mar-rekwiżiti ta’ fondi proprji kkalkolati skont il-BIC, ir-rekwiżiti ta’ fondi proprji kkalkolati skont l-Approċċi Alternattivi Standardizzati (ASA, Alternative Standardised Approach) għal-linji operatorji tal-operazzjonijiet bankarji għall-konsumatur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u/jew tas-servizzi bankarji kummerċjali, soġġetti għad-deroga (peress li ma għandhomx ikunu parti mill-qafas tal-kalkolu tal-BIC).</w:t>
            </w:r>
          </w:p>
          <w:p w14:paraId="463CE9EC" w14:textId="2BBB634A" w:rsidR="001D111F" w:rsidRPr="0021480B" w:rsidRDefault="001D111F" w:rsidP="0062765D">
            <w:pPr>
              <w:rPr>
                <w:rFonts w:ascii="Times New Roman" w:hAnsi="Times New Roman"/>
                <w:sz w:val="24"/>
              </w:rPr>
            </w:pPr>
          </w:p>
        </w:tc>
      </w:tr>
      <w:tr w:rsidR="0062765D" w:rsidRPr="0021480B" w14:paraId="11E50E11" w14:textId="77777777" w:rsidTr="3B06A011">
        <w:trPr>
          <w:trHeight w:val="300"/>
        </w:trPr>
        <w:tc>
          <w:tcPr>
            <w:tcW w:w="1225" w:type="dxa"/>
          </w:tcPr>
          <w:p w14:paraId="19667C8B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0050</w:t>
            </w:r>
          </w:p>
        </w:tc>
        <w:tc>
          <w:tcPr>
            <w:tcW w:w="7789" w:type="dxa"/>
          </w:tcPr>
          <w:p w14:paraId="0BC49014" w14:textId="77777777" w:rsidR="0062765D" w:rsidRPr="0021480B" w:rsidRDefault="0062765D" w:rsidP="00C86126">
            <w:pPr>
              <w:keepNext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Ammont tal-iskopertura għar-riskju</w:t>
            </w:r>
          </w:p>
          <w:p w14:paraId="0ED80FDB" w14:textId="3CD083EE" w:rsidR="0062765D" w:rsidRPr="0021480B" w:rsidRDefault="0062765D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 totali tal-iskopertura għar-riskju (TREA, total risk exposure amount) għandu jiġi kkalkolat f’konformità mal-Artikolu 92 tar-Regolament (UE) Nru 575/2013.</w:t>
            </w:r>
          </w:p>
        </w:tc>
      </w:tr>
    </w:tbl>
    <w:p w14:paraId="1B595CEC" w14:textId="77777777" w:rsidR="0062765D" w:rsidRPr="0021480B" w:rsidRDefault="0062765D" w:rsidP="0062765D">
      <w:pPr>
        <w:spacing w:before="0" w:after="240"/>
        <w:rPr>
          <w:rFonts w:ascii="Times New Roman" w:hAnsi="Times New Roman"/>
          <w:sz w:val="24"/>
          <w:lang w:eastAsia="de-DE"/>
        </w:rPr>
      </w:pPr>
    </w:p>
    <w:p w14:paraId="4E4E8CCB" w14:textId="77777777" w:rsidR="0062765D" w:rsidRPr="0021480B" w:rsidRDefault="0062765D" w:rsidP="00C86126">
      <w:pPr>
        <w:keepNext/>
        <w:spacing w:before="0" w:after="240"/>
        <w:rPr>
          <w:rFonts w:ascii="Times New Roman" w:hAnsi="Times New Roman"/>
          <w:b/>
          <w:sz w:val="24"/>
        </w:rPr>
      </w:pPr>
      <w:r w:rsidRPr="0021480B">
        <w:rPr>
          <w:rFonts w:ascii="Times New Roman" w:hAnsi="Times New Roman"/>
          <w:b/>
          <w:sz w:val="24"/>
        </w:rPr>
        <w:t>Struzzjonijiet skont ir-ringiela: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580"/>
      </w:tblGrid>
      <w:tr w:rsidR="0062765D" w:rsidRPr="0021480B" w14:paraId="190B07D5" w14:textId="77777777" w:rsidTr="3B06A011">
        <w:trPr>
          <w:trHeight w:val="37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7C3764" w14:textId="77777777" w:rsidR="0062765D" w:rsidRPr="0021480B" w:rsidRDefault="0062765D" w:rsidP="0062765D">
            <w:pPr>
              <w:spacing w:before="0" w:after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Ringieli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5C387" w14:textId="77777777" w:rsidR="0062765D" w:rsidRPr="0021480B" w:rsidRDefault="0062765D" w:rsidP="0062765D">
            <w:pPr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Referenzi legali u struzzjonijiet</w:t>
            </w:r>
          </w:p>
        </w:tc>
      </w:tr>
      <w:tr w:rsidR="001E3A3B" w:rsidRPr="0021480B" w14:paraId="14B5E521" w14:textId="77777777" w:rsidTr="3B06A011">
        <w:trPr>
          <w:trHeight w:val="121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00FC3" w14:textId="4781B96D" w:rsidR="001E3A3B" w:rsidRPr="0021480B" w:rsidRDefault="001E3A3B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0010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73AF" w14:textId="77777777" w:rsidR="001E3A3B" w:rsidRPr="0021480B" w:rsidRDefault="00137C27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tal-indikatur tan-negozju u ASA</w:t>
            </w:r>
          </w:p>
          <w:p w14:paraId="66A9A1ED" w14:textId="73BDAEB6" w:rsidR="00137C27" w:rsidRPr="0021480B" w:rsidRDefault="00E0541A" w:rsidP="0062765D">
            <w:pPr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</w:rPr>
              <w:t>L-Artikolu 313 u l-Artikolu 314(4) tar-Regolament (UE) Nru 575/2013.</w:t>
            </w:r>
          </w:p>
        </w:tc>
      </w:tr>
      <w:tr w:rsidR="0062765D" w:rsidRPr="0021480B" w14:paraId="3CC09CD7" w14:textId="77777777" w:rsidTr="3B06A011">
        <w:trPr>
          <w:trHeight w:val="121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83E89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E48A" w14:textId="77777777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Indikatur tan-negozju</w:t>
            </w:r>
          </w:p>
          <w:p w14:paraId="75392277" w14:textId="77777777" w:rsidR="00A12BD5" w:rsidRPr="0021480B" w:rsidRDefault="0062765D" w:rsidP="0062765D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 tal-BI kkalkolat skont l-Artikolu 314(1) tar-Regolament (UE) Nru 575/2013.</w:t>
            </w:r>
          </w:p>
          <w:p w14:paraId="2D2342A6" w14:textId="071D6847" w:rsidR="00A55F29" w:rsidRPr="0021480B" w:rsidRDefault="00A55F29" w:rsidP="0062765D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Meta istituzzjoni tkun soġġetta għad-deroga msemmija fl-Artikolu 314(4) tar-Regolament (UE) Nru 575/2013, l-istituzzjoni ma għandha tinkludi l-ebda ċifra mil-linji operatorji tal-operazzjonijiet bankarji għall-konsumatur u/jew tas-servizzi bankarji kummerċjali fil-kamp ta’ applikazzjoni tad-deroga.  </w:t>
            </w:r>
          </w:p>
        </w:tc>
      </w:tr>
      <w:tr w:rsidR="0062765D" w:rsidRPr="0021480B" w14:paraId="43DCA039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DC955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AAED" w14:textId="77777777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tal-imgħax, tal-kirjiet u tad-dividendi</w:t>
            </w:r>
          </w:p>
          <w:p w14:paraId="47773943" w14:textId="2CF555A2" w:rsidR="0062765D" w:rsidRPr="0021480B" w:rsidRDefault="0062765D" w:rsidP="0062765D">
            <w:pPr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L-ILDC totali għandu jiġi kkalkolat f’konformità mal-Artikolu 314(2) tar-Regolament (UE) Nru 575/2013 u meta applikabbli l-Artikolu 314(3). </w:t>
            </w:r>
          </w:p>
        </w:tc>
      </w:tr>
      <w:tr w:rsidR="0062765D" w:rsidRPr="0021480B" w14:paraId="77939D32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B7F3B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A9B7" w14:textId="68D87568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ILDC relatat mal-istituzzjoni individwali / mal-Grupp ikkonsolidat (minbarra l-entitajiet ikkunsidrati mill-Artikolu 314(3))</w:t>
            </w:r>
          </w:p>
          <w:p w14:paraId="20179C90" w14:textId="1823E684" w:rsidR="0062765D" w:rsidRPr="0021480B" w:rsidRDefault="0062765D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L-ILDC għandu jiġi kkalkolat f’konformità mal-Artikolu 314(2) tar-Regolament (UE) Nru 575/2013.</w:t>
            </w:r>
          </w:p>
          <w:p w14:paraId="44DE0AF1" w14:textId="5A7C6C5A" w:rsidR="0062765D" w:rsidRPr="0021480B" w:rsidRDefault="0062765D" w:rsidP="3B06A01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Fil-każ ta’ rapportar ikkonsolidat, meta istituzzjoni tkun soġġetta għad-deroga msemmija fl-Artikolu 314(3) tar-Regolament (UE) Nru 575/2013, l-istituzzjoni ma għandha tinkludi l-ebda ċifra li hija parti mill-komputazzjoni tal-ILDC ikkalkolata separatament għal dawk l-istituzzjonijiet sussidjarji speċifiċi. Il-bilanċi bejn il-kumpaniji bejn is-sussidjarji kkunsidrati mill-artikolu u l-bqija tal-grupp għandhom jiġu eliminati.</w:t>
            </w:r>
          </w:p>
          <w:p w14:paraId="35C8E8B1" w14:textId="402D01BC" w:rsidR="0062765D" w:rsidRPr="0021480B" w:rsidRDefault="0062765D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Meta istituzzjoni tkun soġġetta għad-deroga msemmija fl-Artikolu 314(4) tar-Regolament (UE) Nru 575/2013, l-istituzzjoni ma għandha tinkludi l-ebda ċifra mil-linji operatorji tal-operazzjonijiet bankarji għall-konsumatur u/jew tas-servizzi bankarji kummerċjali fil-kamp ta’ applikazzjoni tad-deroga.  </w:t>
            </w:r>
          </w:p>
        </w:tc>
      </w:tr>
      <w:tr w:rsidR="0062765D" w:rsidRPr="0021480B" w14:paraId="10F82FD5" w14:textId="77777777" w:rsidTr="3B06A011">
        <w:trPr>
          <w:trHeight w:val="163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91A1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lastRenderedPageBreak/>
              <w:t>0050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C119" w14:textId="05AFDC00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ILDC għall-entitajiet ikkunsidrati mill-Artikolu 314(3)</w:t>
            </w:r>
          </w:p>
          <w:p w14:paraId="574F1C29" w14:textId="4EE469F6" w:rsidR="0062765D" w:rsidRPr="0021480B" w:rsidRDefault="0062765D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Fil-każ ta’ rapportar ikkonsolidat, meta istituzzjoni tkun soġġetta għad-deroga msemmija fl-Artikolu 314(3), hija għandha tirrapporta s-somma tal-ILDC għal dawk l-istituzzjonijiet sussidjarji speċifiċi li għalihom jiġi kkalkolat ILDC separat. Meta jiġi kkalkolat l-ILDC separat, għandhom jiġu eliminati l-bilanċi bejn il-kumpaniji sussidjarji u l-bqija tal-grupp.</w:t>
            </w:r>
          </w:p>
        </w:tc>
      </w:tr>
      <w:tr w:rsidR="0062765D" w:rsidRPr="0021480B" w14:paraId="73ACC69C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4A60" w14:textId="40114D4D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04A3" w14:textId="77777777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tas-servizzi</w:t>
            </w:r>
          </w:p>
          <w:p w14:paraId="68E6D128" w14:textId="742461BD" w:rsidR="0062765D" w:rsidRPr="0021480B" w:rsidRDefault="0062765D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tas-servizzi għandu jiġi kkalkolat f’konformità mal-Artikolu 314(5) tar-Regolament (UE) Nru 575/2013.</w:t>
            </w:r>
          </w:p>
          <w:p w14:paraId="79F2D39A" w14:textId="2F1617D4" w:rsidR="0062765D" w:rsidRPr="0021480B" w:rsidRDefault="00F26CC7" w:rsidP="3B06A01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Meta istituzzjoni tkun soġġetta għad-deroga msemmija fl-Artikolu 314(4) tar-Regolament (UE) Nru 575/2013, l-istituzzjoni ma għandha tinkludi l-ebda ċifra mil-linji operatorji tal-operazzjonijiet bankarji għall-konsumatur u/jew tas-servizzi bankarji kummerċjali fil-kamp ta’ applikazzjoni tad-deroga.  </w:t>
            </w:r>
          </w:p>
        </w:tc>
      </w:tr>
      <w:tr w:rsidR="0062765D" w:rsidRPr="0021480B" w14:paraId="6FF92BD0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3EB1" w14:textId="634B6FAF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D50E" w14:textId="725599E0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finanzjarju</w:t>
            </w:r>
          </w:p>
          <w:p w14:paraId="25D11A82" w14:textId="58FD16C4" w:rsidR="004A5A87" w:rsidRPr="0021480B" w:rsidRDefault="004A5A87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finanzjarju għandu jiġi kkalkolat f’konformità mal-Artikolu 314(6) tar-Regolament (UE) Nru 575/2013.</w:t>
            </w:r>
          </w:p>
          <w:p w14:paraId="7BCC8437" w14:textId="4EAEDFEB" w:rsidR="0062765D" w:rsidRPr="0021480B" w:rsidRDefault="00F26CC7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Meta istituzzjoni tkun soġġetta għad-deroga msemmija fl-Artikolu 314(4) tar-Regolament (UE) Nru 575/2013, l-istituzzjoni ma għandha tinkludi l-ebda ċifra mil-linji operatorji tal-operazzjonijiet bankarji għall-konsumatur u/jew tas-servizzi bankarji kummerċjali fil-kamp ta’ applikazzjoni tad-deroga.  </w:t>
            </w:r>
          </w:p>
        </w:tc>
      </w:tr>
      <w:tr w:rsidR="00F86288" w:rsidRPr="0021480B" w14:paraId="62850383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01CE" w14:textId="698117A2" w:rsidR="00F86288" w:rsidRPr="0021480B" w:rsidRDefault="00F86288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6558" w14:textId="77777777" w:rsidR="00F86288" w:rsidRPr="0021480B" w:rsidRDefault="00A8279E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ASA skont l-Artikolu 314(4) (Operazzjonijiet bankarji għall-konsumatur)</w:t>
            </w:r>
          </w:p>
          <w:p w14:paraId="35824B06" w14:textId="79A2A47B" w:rsidR="00452946" w:rsidRPr="0021480B" w:rsidRDefault="00452946" w:rsidP="0062765D">
            <w:pPr>
              <w:jc w:val="left"/>
              <w:rPr>
                <w:rFonts w:ascii="Times New Roman" w:hAnsi="Times New Roman"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  <w:u w:val="single"/>
              </w:rPr>
              <w:t>L-Artikolu 314(4) għal-linja operatorja tal-operazzjonijiet bankarji għall-konsumatur</w:t>
            </w:r>
          </w:p>
        </w:tc>
      </w:tr>
      <w:tr w:rsidR="00F86288" w:rsidRPr="0021480B" w14:paraId="37626D9D" w14:textId="77777777" w:rsidTr="3B06A011">
        <w:trPr>
          <w:trHeight w:val="5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C533" w14:textId="592EEFAC" w:rsidR="00F86288" w:rsidRPr="0021480B" w:rsidRDefault="00F86288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CB31" w14:textId="77777777" w:rsidR="00F86288" w:rsidRPr="0021480B" w:rsidRDefault="00452946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ASA skont l-Artikolu 314(4) (Servizzi bankarji kummerċjali)</w:t>
            </w:r>
          </w:p>
          <w:p w14:paraId="03643C1A" w14:textId="1F6FF309" w:rsidR="00452946" w:rsidRPr="0021480B" w:rsidRDefault="00452946" w:rsidP="0062765D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L-Artikolu 314(4) għal-linja operatorja tas-servizzi bankarji kummerċjali</w:t>
            </w:r>
          </w:p>
        </w:tc>
      </w:tr>
      <w:tr w:rsidR="0062765D" w:rsidRPr="0021480B" w14:paraId="54CEB826" w14:textId="77777777" w:rsidTr="003932C1">
        <w:trPr>
          <w:trHeight w:val="50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2B1E3" w14:textId="77777777" w:rsidR="0062765D" w:rsidRPr="0021480B" w:rsidRDefault="0062765D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3DE2" w14:textId="005F48BB" w:rsidR="0062765D" w:rsidRPr="0021480B" w:rsidRDefault="0062765D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Entrata fil-Memorandum: ILDC relatat mal-istituzzjoni individwali / mal-Grupp ikkonsolidat (inklużi l-entitajiet ikkunsidrati mill-Artikolu 314(3))</w:t>
            </w:r>
          </w:p>
          <w:p w14:paraId="0A3600F0" w14:textId="061B9374" w:rsidR="00623144" w:rsidRPr="0021480B" w:rsidRDefault="0062765D" w:rsidP="0062765D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Meta istituzzjoni tkun soġġetta għad-deroga msemmija fl-Artikolu 314(3), hija għandha tirrapporta l-ILDC individwali teoretiku jew ikkonsolidat ikkalkolat f’konformità mal-Artikolu 314(2) tar-Regolament (UE) Nru 575/2013, daqslikieku l-istituzzjoni ma kellhiex tapplika d-deroga. </w:t>
            </w:r>
          </w:p>
        </w:tc>
      </w:tr>
      <w:tr w:rsidR="00502B1A" w:rsidRPr="0021480B" w14:paraId="5FE8A1DE" w14:textId="77777777" w:rsidTr="003932C1">
        <w:trPr>
          <w:trHeight w:val="50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A2F9" w14:textId="082029B0" w:rsidR="00502B1A" w:rsidRPr="0021480B" w:rsidRDefault="00F43925" w:rsidP="0062765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632F" w14:textId="77777777" w:rsidR="00502B1A" w:rsidRPr="0021480B" w:rsidRDefault="00F43925" w:rsidP="00C86126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Approċċ użat għall-kalkolu tal-FC</w:t>
            </w:r>
          </w:p>
          <w:p w14:paraId="6D07D0F8" w14:textId="76B0C171" w:rsidR="009A383C" w:rsidRPr="0021480B" w:rsidRDefault="0046793D" w:rsidP="0062765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L-istituzzjonijiet għandhom jirrapportaw liema huwa l-approċċ li użaw (l-approċċ kontabilistiku jew il-konfini prudenzjali) għall-kalkolu tal-FC f’konformità mal-Artikolu 314(6) tar-Regolament (UE) Nru 575/2013</w:t>
            </w:r>
          </w:p>
        </w:tc>
      </w:tr>
    </w:tbl>
    <w:p w14:paraId="705ACE51" w14:textId="77777777" w:rsidR="00C601CA" w:rsidRPr="0021480B" w:rsidRDefault="00C601CA" w:rsidP="00C601CA">
      <w:pPr>
        <w:keepNext/>
        <w:spacing w:before="240" w:after="240"/>
        <w:outlineLvl w:val="1"/>
        <w:rPr>
          <w:rFonts w:ascii="Times New Roman" w:eastAsia="Arial" w:hAnsi="Times New Roman"/>
          <w:b/>
          <w:sz w:val="24"/>
        </w:rPr>
      </w:pPr>
      <w:bookmarkStart w:id="21" w:name="_Toc473560939"/>
      <w:bookmarkStart w:id="22" w:name="_Toc473560940"/>
      <w:bookmarkStart w:id="23" w:name="_Toc473560941"/>
      <w:bookmarkStart w:id="24" w:name="_Toc473560942"/>
      <w:bookmarkStart w:id="25" w:name="_Toc473560943"/>
      <w:bookmarkStart w:id="26" w:name="_Toc473560944"/>
      <w:bookmarkStart w:id="27" w:name="_Toc473560945"/>
      <w:bookmarkStart w:id="28" w:name="_Toc473560946"/>
      <w:bookmarkStart w:id="29" w:name="_Toc473560947"/>
      <w:bookmarkStart w:id="30" w:name="_Toc473560948"/>
      <w:bookmarkStart w:id="31" w:name="_Toc473560949"/>
      <w:bookmarkStart w:id="32" w:name="_Toc473560950"/>
      <w:bookmarkStart w:id="33" w:name="_Toc473560951"/>
      <w:bookmarkStart w:id="34" w:name="_Toc473560952"/>
      <w:bookmarkStart w:id="35" w:name="_Toc473560953"/>
      <w:bookmarkStart w:id="36" w:name="_Toc473560954"/>
      <w:bookmarkStart w:id="37" w:name="_Toc473560955"/>
      <w:bookmarkStart w:id="38" w:name="_Toc473560956"/>
      <w:bookmarkStart w:id="39" w:name="_Toc473560957"/>
      <w:bookmarkStart w:id="40" w:name="_Toc473560958"/>
      <w:bookmarkStart w:id="41" w:name="_Toc473560959"/>
      <w:bookmarkStart w:id="42" w:name="_Toc473560960"/>
      <w:bookmarkStart w:id="43" w:name="_Toc473560961"/>
      <w:bookmarkStart w:id="44" w:name="_Toc473560962"/>
      <w:bookmarkStart w:id="45" w:name="_Toc473560963"/>
      <w:bookmarkStart w:id="46" w:name="_Toc473560964"/>
      <w:bookmarkStart w:id="47" w:name="_Toc473560965"/>
      <w:bookmarkStart w:id="48" w:name="_Toc473560966"/>
      <w:bookmarkStart w:id="49" w:name="_Toc473560967"/>
      <w:bookmarkStart w:id="50" w:name="_Toc473560968"/>
      <w:bookmarkStart w:id="51" w:name="_Toc473560969"/>
      <w:bookmarkStart w:id="52" w:name="_Toc473560970"/>
      <w:bookmarkStart w:id="53" w:name="_Toc473560989"/>
      <w:bookmarkStart w:id="54" w:name="_Toc473560990"/>
      <w:bookmarkStart w:id="55" w:name="_Toc473561022"/>
      <w:bookmarkStart w:id="56" w:name="_Toc473561023"/>
      <w:bookmarkStart w:id="57" w:name="_Toc15286271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1480B">
        <w:rPr>
          <w:rFonts w:ascii="Times New Roman" w:hAnsi="Times New Roman"/>
          <w:b/>
          <w:sz w:val="24"/>
        </w:rPr>
        <w:lastRenderedPageBreak/>
        <w:t>C 16.02 Riskju Operazzjonali – Komponent Indikatur tan-Negozju (OPR BIC, Operational Risk – Business Indicator Component)</w:t>
      </w:r>
    </w:p>
    <w:p w14:paraId="66A9EB3D" w14:textId="6275D425" w:rsidR="00C601CA" w:rsidRPr="0021480B" w:rsidRDefault="00C601CA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 i.</w:t>
      </w:r>
      <w:r w:rsidRPr="0021480B">
        <w:rPr>
          <w:rFonts w:ascii="Times New Roman" w:hAnsi="Times New Roman"/>
          <w:sz w:val="24"/>
        </w:rPr>
        <w:t xml:space="preserve"> L-istituzzjonijiet għandhom jirrapportaw informazzjoni dettaljata għal kull waħda mill-aħħar tliet snin finanzjarji dwar l-ammont tal-lista rilevanti ta’ entrati li għandu jkun parti mill-kalkolu tas-subkomponenti tal-BI li jikkontribwixxu għall-kalkolu tal-OFR għar-Riskju operazzjonali. Fejn applikabbli, il-valuri medji għall-perjodu sħiħ (li jkopru l-aħħar tliet snin finanzjarji) għandhom jiġu kkalkulati biex jiġu ddeterminati l-komponenti tal-BI li jidħlu fil-kalkolu tal-OFR, kif ippreżentat f’C 16.01.</w:t>
      </w:r>
    </w:p>
    <w:p w14:paraId="1FB28011" w14:textId="0D984BE2" w:rsidR="00C601CA" w:rsidRPr="0021480B" w:rsidRDefault="00C601CA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 ia.</w:t>
      </w:r>
      <w:r w:rsidRPr="0021480B">
        <w:rPr>
          <w:rFonts w:ascii="Times New Roman" w:hAnsi="Times New Roman"/>
          <w:sz w:val="24"/>
        </w:rPr>
        <w:t xml:space="preserve"> F’konformità mal-Artikolu 314(8) tar-Regolament (UE) Nru 575/2013, fejn l-ebda </w:t>
      </w:r>
      <w:r w:rsidRPr="0021480B">
        <w:rPr>
          <w:rFonts w:ascii="Times New Roman" w:hAnsi="Times New Roman"/>
          <w:i/>
          <w:iCs/>
          <w:sz w:val="24"/>
        </w:rPr>
        <w:t>data</w:t>
      </w:r>
      <w:r w:rsidRPr="0021480B">
        <w:rPr>
          <w:rFonts w:ascii="Times New Roman" w:hAnsi="Times New Roman"/>
          <w:sz w:val="24"/>
        </w:rPr>
        <w:t xml:space="preserve"> storika ma tkun disponibbli, l-istituzzjonijiet għandhom jirrapportaw l-istimi tan-negozju li jħarsu ’l quddiem. Meta l-istituzzjoni jkollha inqas minn 3 snin ta’ </w:t>
      </w:r>
      <w:r w:rsidRPr="0021480B">
        <w:rPr>
          <w:rFonts w:ascii="Times New Roman" w:hAnsi="Times New Roman"/>
          <w:i/>
          <w:iCs/>
          <w:sz w:val="24"/>
        </w:rPr>
        <w:t>data</w:t>
      </w:r>
      <w:r w:rsidRPr="0021480B">
        <w:rPr>
          <w:rFonts w:ascii="Times New Roman" w:hAnsi="Times New Roman"/>
          <w:sz w:val="24"/>
        </w:rPr>
        <w:t xml:space="preserve"> disponibbli relatata mal-entrati dettaljati li jidħlu fil-komponenti tal-BI, id-</w:t>
      </w:r>
      <w:r w:rsidRPr="0021480B">
        <w:rPr>
          <w:rFonts w:ascii="Times New Roman" w:hAnsi="Times New Roman"/>
          <w:i/>
          <w:iCs/>
          <w:sz w:val="24"/>
        </w:rPr>
        <w:t>data</w:t>
      </w:r>
      <w:r w:rsidRPr="0021480B">
        <w:rPr>
          <w:rFonts w:ascii="Times New Roman" w:hAnsi="Times New Roman"/>
          <w:sz w:val="24"/>
        </w:rPr>
        <w:t xml:space="preserve"> storika disponibbli (ċifri awditjati) għandha tiġi assenjata skont il-prijorità lill-kolonni korrispondenti fil-mudell. Meta istituzzjoni jkollha </w:t>
      </w:r>
      <w:r w:rsidRPr="0021480B">
        <w:rPr>
          <w:rFonts w:ascii="Times New Roman" w:hAnsi="Times New Roman"/>
          <w:i/>
          <w:iCs/>
          <w:sz w:val="24"/>
        </w:rPr>
        <w:t>data</w:t>
      </w:r>
      <w:r w:rsidRPr="0021480B">
        <w:rPr>
          <w:rFonts w:ascii="Times New Roman" w:hAnsi="Times New Roman"/>
          <w:sz w:val="24"/>
        </w:rPr>
        <w:t xml:space="preserve"> storika relatata mal-komponenti tal-BI disponibbli għal sena waħda biss, il-valuri għandhom jiġu rrapportati fil-kolonna li tikkorrispondi għall-aktar sena reċenti (eż. “l-aħħar sena”) u l-istimi li jħarsu ’l quddiem għandhom jiġu inklużi fit-Tieni Sena u t-Tielet Sena rispettivament sakemm din id-</w:t>
      </w:r>
      <w:r w:rsidRPr="0021480B">
        <w:rPr>
          <w:rFonts w:ascii="Times New Roman" w:hAnsi="Times New Roman"/>
          <w:i/>
          <w:iCs/>
          <w:sz w:val="24"/>
        </w:rPr>
        <w:t>data</w:t>
      </w:r>
      <w:r w:rsidRPr="0021480B">
        <w:rPr>
          <w:rFonts w:ascii="Times New Roman" w:hAnsi="Times New Roman"/>
          <w:sz w:val="24"/>
        </w:rPr>
        <w:t xml:space="preserve"> ssir disponibbli.</w:t>
      </w:r>
    </w:p>
    <w:p w14:paraId="1DE7DE26" w14:textId="5D5881B5" w:rsidR="00C601CA" w:rsidRPr="0021480B" w:rsidRDefault="00C601CA" w:rsidP="3B06A011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 ib.</w:t>
      </w:r>
      <w:r w:rsidRPr="0021480B">
        <w:rPr>
          <w:rFonts w:ascii="Times New Roman" w:hAnsi="Times New Roman"/>
          <w:sz w:val="24"/>
        </w:rPr>
        <w:t xml:space="preserve"> Fil-każ ta’ rapportar ikkonsolidat, meta istituzzjoni tkun soġġetta għad-deroga msemmija fl-Artikolu 314(3), hija ma għandhiex tinkludi fis-subelementi li huma parti mill-kalkolu tal-ILDC (fir-ringieli 0010 – 0210) kwalunkwe ċifra relatata ma’ dawk l-istituzzjonijiet sussidjarji speċifiċi li l-ILDC tagħhom għandu jiġi kkalkolat separatament.  </w:t>
      </w:r>
      <w:bookmarkStart w:id="58" w:name="_Hlk156469703"/>
      <w:r w:rsidRPr="0021480B">
        <w:rPr>
          <w:rFonts w:ascii="Times New Roman" w:hAnsi="Times New Roman"/>
          <w:sz w:val="24"/>
        </w:rPr>
        <w:t>Il-bilanċi bejn il-kumpaniji bejn is-sussidjarja kkunsidrati mill-artikolu u l-bqija tal-grupp għandhom jiġu eliminati.</w:t>
      </w:r>
      <w:bookmarkEnd w:id="58"/>
    </w:p>
    <w:p w14:paraId="634226B4" w14:textId="4E823C48" w:rsidR="00C601CA" w:rsidRPr="0021480B" w:rsidRDefault="00C601CA" w:rsidP="00C601CA">
      <w:pPr>
        <w:spacing w:before="0" w:after="240"/>
        <w:ind w:left="360" w:hanging="360"/>
        <w:rPr>
          <w:rFonts w:ascii="Times New Roman" w:hAnsi="Times New Roman"/>
          <w:sz w:val="24"/>
        </w:rPr>
      </w:pPr>
      <w:r w:rsidRPr="0021480B">
        <w:rPr>
          <w:rStyle w:val="DNEx2"/>
        </w:rPr>
        <w:t>141 ic.</w:t>
      </w:r>
      <w:r w:rsidRPr="0021480B">
        <w:rPr>
          <w:rFonts w:ascii="Times New Roman" w:hAnsi="Times New Roman"/>
          <w:sz w:val="24"/>
        </w:rPr>
        <w:t xml:space="preserve"> Meta istituzzjoni tkun soġġetta għad-deroga msemmija fl-Artikolu 314(4) tar-Regolament (UE) Nru 575/2013, l-istituzzjoni ma għandha tinkludi f’din il-mudell l-ebda ċifra minn linji operatorji tal-operazzjonijiet bankarji għall-konsumatur u/jew tas-servizzi bankarji kummerċjali.</w:t>
      </w:r>
    </w:p>
    <w:p w14:paraId="28DA4CC5" w14:textId="77777777" w:rsidR="00F11F65" w:rsidRPr="0021480B" w:rsidRDefault="00F11F65" w:rsidP="00C86126">
      <w:pPr>
        <w:keepNext/>
        <w:spacing w:before="0" w:after="240"/>
        <w:ind w:left="360"/>
        <w:rPr>
          <w:rFonts w:ascii="Times New Roman" w:hAnsi="Times New Roman"/>
          <w:sz w:val="24"/>
          <w:u w:val="single"/>
        </w:rPr>
      </w:pPr>
      <w:r w:rsidRPr="0021480B">
        <w:rPr>
          <w:rFonts w:ascii="Times New Roman" w:hAnsi="Times New Roman"/>
          <w:sz w:val="24"/>
          <w:u w:val="single"/>
        </w:rPr>
        <w:t>Struzzjonijiet dwar pożizzjonijiet speċifiċi: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56"/>
      </w:tblGrid>
      <w:tr w:rsidR="00084CC2" w:rsidRPr="0021480B" w14:paraId="2FDB9FF0" w14:textId="77777777" w:rsidTr="3B06A011">
        <w:trPr>
          <w:trHeight w:val="300"/>
        </w:trPr>
        <w:tc>
          <w:tcPr>
            <w:tcW w:w="1260" w:type="dxa"/>
            <w:shd w:val="clear" w:color="auto" w:fill="BFBFBF" w:themeFill="background1" w:themeFillShade="BF"/>
          </w:tcPr>
          <w:p w14:paraId="58528F69" w14:textId="77777777" w:rsidR="00084CC2" w:rsidRPr="0021480B" w:rsidRDefault="00084CC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Kolonni</w:t>
            </w:r>
          </w:p>
        </w:tc>
        <w:tc>
          <w:tcPr>
            <w:tcW w:w="7756" w:type="dxa"/>
            <w:shd w:val="clear" w:color="auto" w:fill="BFBFBF" w:themeFill="background1" w:themeFillShade="BF"/>
          </w:tcPr>
          <w:p w14:paraId="72548768" w14:textId="77777777" w:rsidR="00084CC2" w:rsidRPr="0021480B" w:rsidDel="00B46ADB" w:rsidRDefault="00084CC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084CC2" w:rsidRPr="0021480B" w14:paraId="36E0086D" w14:textId="77777777" w:rsidTr="3B06A011">
        <w:trPr>
          <w:trHeight w:val="300"/>
        </w:trPr>
        <w:tc>
          <w:tcPr>
            <w:tcW w:w="1260" w:type="dxa"/>
          </w:tcPr>
          <w:p w14:paraId="1793771B" w14:textId="2774E50E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0010,</w:t>
            </w:r>
          </w:p>
          <w:p w14:paraId="0F4D1423" w14:textId="4A841DEE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0030,</w:t>
            </w:r>
          </w:p>
          <w:p w14:paraId="1B0A4794" w14:textId="77777777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0050</w:t>
            </w:r>
          </w:p>
        </w:tc>
        <w:tc>
          <w:tcPr>
            <w:tcW w:w="7756" w:type="dxa"/>
          </w:tcPr>
          <w:p w14:paraId="7468A977" w14:textId="497D171E" w:rsidR="00084CC2" w:rsidRPr="0021480B" w:rsidRDefault="00084CC2" w:rsidP="00C86126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Valur Kontabilistiku</w:t>
            </w:r>
          </w:p>
          <w:p w14:paraId="6E3A3CFA" w14:textId="77777777" w:rsidR="00084CC2" w:rsidRPr="0021480B" w:rsidRDefault="00084CC2" w:rsidP="3B06A0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 skont l-istandard tal-kontabilità għal-lista ta’ entrati li huma parti mis-subkomponenti u l-komponenti (ILDC, SC u FC) li jiffurmaw parti mill-kalkolu tal-BI għal kull waħda mill-aħħar tliet snin finanzjarji.</w:t>
            </w:r>
          </w:p>
          <w:p w14:paraId="4B4241AC" w14:textId="77777777" w:rsidR="00084CC2" w:rsidRPr="0021480B" w:rsidRDefault="00084CC2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jirrieżaminaw il-valuri kontabilistiċi rrapportati fil-kolonni 0010 u 0030 fuq bażi regolari u, fejn applikabbli, jaġġustawhom biex jirriflettu l-impatt tal-fużjonijiet, tal-akkwiżizzjonijiet u tad-disponimenti f’konformità mal-Artikolu 315, il-paragrafi 1 u 2 tar-Regolament (UE) Nru 575/2013.</w:t>
            </w:r>
          </w:p>
          <w:p w14:paraId="47DE5141" w14:textId="77777777" w:rsidR="00084CC2" w:rsidRPr="0021480B" w:rsidRDefault="00084CC2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Fil-każ ta’ entrati li huma parti mis-subkomponenti tal-kalkolu tal-FC, il-valur skont l-approċċ kontabilistiku għall-identifikazzjoni tal-entrati tal-portafoll tan-negozjar u l-portafoll bankarju għandu jiġi rrapportat anki jekk l-istituzzjoni tkun qed tikkalkula l-FC skont l-approċċ prudenzjali għall-identifikazzjoni ta’ dawk l-entrati (Approċċ ta’ Konfini Prudenzjali (PBA)). </w:t>
            </w:r>
          </w:p>
        </w:tc>
      </w:tr>
      <w:tr w:rsidR="00084CC2" w:rsidRPr="0021480B" w14:paraId="46E17FC3" w14:textId="77777777" w:rsidTr="3B06A011">
        <w:trPr>
          <w:trHeight w:val="300"/>
        </w:trPr>
        <w:tc>
          <w:tcPr>
            <w:tcW w:w="1260" w:type="dxa"/>
          </w:tcPr>
          <w:p w14:paraId="4BB000F5" w14:textId="77777777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0020, 0040, 0060</w:t>
            </w:r>
          </w:p>
        </w:tc>
        <w:tc>
          <w:tcPr>
            <w:tcW w:w="7756" w:type="dxa"/>
          </w:tcPr>
          <w:p w14:paraId="3A219C28" w14:textId="77777777" w:rsidR="00084CC2" w:rsidRPr="0021480B" w:rsidRDefault="00084CC2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Valur - Approċċ ta’ Konfini Prudenzjali</w:t>
            </w:r>
          </w:p>
          <w:p w14:paraId="36708C9D" w14:textId="5EECA3B4" w:rsidR="00084CC2" w:rsidRPr="0021480B" w:rsidRDefault="00084CC2" w:rsidP="3B06A0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 skont l-istandard tal-kontabilità għal-lista ta’ entrati li jidħlu fil-komputazzjoni tas-subkomponenti tal-FC ikkalkulat skont l-approċċ prudenzjali (PBA) għall-identifikazzjoni tal-entrati tal-portafoll tan-negozjar u l-portafoll bankarju għal kull waħda mill-aħħar tliet snin finanzjarji.</w:t>
            </w:r>
          </w:p>
          <w:p w14:paraId="16CF33F6" w14:textId="37510702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Ma għandu jiġi rrapportat l-ebda valur meta l-istituzzjoni ma tkunx qiegħda tuża l-PBA (jew tkun għażlet li terġa’ lura għall-approċċ ta’ kontabilità).</w:t>
            </w:r>
          </w:p>
          <w:p w14:paraId="26091E70" w14:textId="77777777" w:rsidR="00084CC2" w:rsidRPr="0021480B" w:rsidRDefault="00084CC2" w:rsidP="3B06A0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jirrieżaminaw il-valuri rrapportati fil-kolonni 0020 u 0040 fuq bażi regolari u, fejn applikabbli, jaġġustawhom biex jirriflettu l-impatt tal-fużjonijiet, tal-akkwiżizzjonijiet u tad-disponimenti f’konformità mal-Artikolu 315, il-paragrafi 1 u 2 tar-Regolament (UE) Nru 575/2013.</w:t>
            </w:r>
          </w:p>
        </w:tc>
      </w:tr>
      <w:tr w:rsidR="00084CC2" w:rsidRPr="0021480B" w14:paraId="186E3B5C" w14:textId="77777777" w:rsidTr="3B06A011">
        <w:trPr>
          <w:trHeight w:val="300"/>
        </w:trPr>
        <w:tc>
          <w:tcPr>
            <w:tcW w:w="1260" w:type="dxa"/>
          </w:tcPr>
          <w:p w14:paraId="53EF23D8" w14:textId="77777777" w:rsidR="00084CC2" w:rsidRPr="0021480B" w:rsidRDefault="00084C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0070</w:t>
            </w:r>
          </w:p>
        </w:tc>
        <w:tc>
          <w:tcPr>
            <w:tcW w:w="7756" w:type="dxa"/>
          </w:tcPr>
          <w:p w14:paraId="183F04AA" w14:textId="77777777" w:rsidR="00084CC2" w:rsidRPr="0021480B" w:rsidRDefault="00084CC2" w:rsidP="00C86126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Valuri medji</w:t>
            </w:r>
          </w:p>
          <w:p w14:paraId="44A2B683" w14:textId="3A86B0AB" w:rsidR="00084CC2" w:rsidRPr="0021480B" w:rsidRDefault="00084CC2" w:rsidP="3B06A0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Il-valuri medji għall-aħħar 3 snin finanzjarji tas-subkomponenti użati fil-kalkolu tal-ILDC, tal-SC u tal-FC.</w:t>
            </w:r>
          </w:p>
          <w:p w14:paraId="3140A7BE" w14:textId="77777777" w:rsidR="00084CC2" w:rsidRPr="0021480B" w:rsidRDefault="00084CC2" w:rsidP="3B06A0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Meta istituzzjoni tkun qed tuża l-PBA fil-kalkolu tal-FC, il-medja se tirrifletti l-valuri kontabilistiċi bl-użu tal-PBA għall-aħħar 3 snin finanzjarji f’konformità mal-Artikolu 314(6) tar-Regolament (UE) Nru 575/2013 minflok il-valuri skont l-approċċ kontabilistiku.</w:t>
            </w:r>
          </w:p>
          <w:p w14:paraId="186FE9EF" w14:textId="77777777" w:rsidR="00084CC2" w:rsidRPr="0021480B" w:rsidRDefault="00084CC2" w:rsidP="3B06A0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Fejn jista’ japplika l-każ, il-medja tiġi kkalkolata billi jitqiesu l-valuri assoluti għas-sena skont l-istruzzjonijiet definiti fil-livell tar-ringiela.  </w:t>
            </w:r>
          </w:p>
        </w:tc>
      </w:tr>
    </w:tbl>
    <w:p w14:paraId="1F54B3B2" w14:textId="77777777" w:rsidR="00956D86" w:rsidRPr="0021480B" w:rsidRDefault="00956D86" w:rsidP="00956D86">
      <w:pPr>
        <w:spacing w:before="0" w:after="240"/>
        <w:rPr>
          <w:rFonts w:ascii="Times New Roman" w:hAnsi="Times New Roman"/>
          <w:sz w:val="24"/>
          <w:u w:val="single"/>
          <w:lang w:eastAsia="de-DE"/>
        </w:rPr>
      </w:pPr>
    </w:p>
    <w:p w14:paraId="18AFA035" w14:textId="79F3F6EC" w:rsidR="0054223D" w:rsidRPr="0021480B" w:rsidRDefault="00956D86" w:rsidP="00C86126">
      <w:pPr>
        <w:keepNext/>
        <w:spacing w:before="0" w:after="240"/>
        <w:rPr>
          <w:rFonts w:ascii="Times New Roman" w:hAnsi="Times New Roman"/>
          <w:sz w:val="24"/>
          <w:u w:val="single"/>
        </w:rPr>
      </w:pPr>
      <w:r w:rsidRPr="0021480B">
        <w:rPr>
          <w:rFonts w:ascii="Times New Roman" w:hAnsi="Times New Roman"/>
          <w:sz w:val="24"/>
          <w:u w:val="single"/>
        </w:rPr>
        <w:t>Struzzjonijiet dwar pożizzjonijiet speċifiċi: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7963"/>
      </w:tblGrid>
      <w:tr w:rsidR="00706701" w:rsidRPr="0021480B" w14:paraId="42EC82E2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3908" w14:textId="77777777" w:rsidR="00706701" w:rsidRPr="0021480B" w:rsidRDefault="007067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Ringieli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DADA" w14:textId="77777777" w:rsidR="00706701" w:rsidRPr="0021480B" w:rsidRDefault="00706701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Referenzi legali u struzzjonijiet</w:t>
            </w:r>
          </w:p>
        </w:tc>
      </w:tr>
      <w:tr w:rsidR="00706701" w:rsidRPr="0021480B" w14:paraId="3990D33A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5FFF5" w14:textId="77777777" w:rsidR="00706701" w:rsidRPr="0021480B" w:rsidRDefault="0070670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59" w:name="_Hlk141696448"/>
            <w:r w:rsidRPr="0021480B">
              <w:rPr>
                <w:rFonts w:ascii="Times New Roman" w:hAnsi="Times New Roman"/>
                <w:b/>
                <w:sz w:val="24"/>
                <w:lang w:eastAsia="en-GB"/>
              </w:rPr>
              <w:t>0010 - 0210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CC9A6" w14:textId="6995EDA6" w:rsidR="00706701" w:rsidRPr="0021480B" w:rsidRDefault="00706701" w:rsidP="005D3C49">
            <w:pPr>
              <w:pStyle w:val="ListParagraph"/>
              <w:numPr>
                <w:ilvl w:val="0"/>
                <w:numId w:val="42"/>
              </w:numPr>
              <w:ind w:hanging="72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 xml:space="preserve">Komponent tal-imgħax, tal-kirjiet u tad-dividendi (ILDC) </w:t>
            </w:r>
          </w:p>
        </w:tc>
      </w:tr>
      <w:bookmarkEnd w:id="59"/>
      <w:tr w:rsidR="00706701" w:rsidRPr="0021480B" w14:paraId="3BE9B5C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41D75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CA0" w14:textId="77777777" w:rsidR="00706701" w:rsidRPr="0021480B" w:rsidRDefault="00706701" w:rsidP="00C86126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tal-imgħax</w:t>
            </w:r>
          </w:p>
          <w:p w14:paraId="46B8D5AA" w14:textId="77777777" w:rsidR="00706701" w:rsidRPr="0021480B" w:rsidRDefault="0070670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Il-komponent tal-imgħax (IC) għandu jiġi kkalkolat f’konformità mal-Artikolu 314(2) tar-Regolament (UE) Nru 575/2013.</w:t>
            </w:r>
          </w:p>
        </w:tc>
      </w:tr>
      <w:tr w:rsidR="00706701" w:rsidRPr="0021480B" w14:paraId="14BAB128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02130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C42" w14:textId="5C345AE6" w:rsidR="00706701" w:rsidRPr="0021480B" w:rsidRDefault="00706701" w:rsidP="00C86126">
            <w:pPr>
              <w:keepNext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Nett</w:t>
            </w:r>
          </w:p>
          <w:p w14:paraId="3377C483" w14:textId="37CAF683" w:rsidR="00706701" w:rsidRPr="0021480B" w:rsidRDefault="00706701" w:rsidP="00C86126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L-introjtu nett huwa d-differenza bejn l-Introjtu mill-Imgħax (inkluż minn assi mogħtija b’lokazzjoni) u l-ispejjeż tal-Imgħax (inkluż minn assi mogħtija b’lokazzjoni).</w:t>
            </w:r>
          </w:p>
        </w:tc>
      </w:tr>
      <w:tr w:rsidR="00706701" w:rsidRPr="0021480B" w14:paraId="52F928B0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AFDA8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03B9" w14:textId="0CF7F05B" w:rsidR="00706701" w:rsidRPr="0021480B" w:rsidRDefault="00706701" w:rsidP="00C86126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mill-Imgħax (inkluż minn assi mogħtija b’lokazzjoni (Finanzjarji u Operattivi))</w:t>
            </w:r>
          </w:p>
          <w:p w14:paraId="368622FE" w14:textId="005FC713" w:rsidR="00706701" w:rsidRPr="0021480B" w:rsidRDefault="00706701" w:rsidP="00C86126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tal-introjtu mill-imgħax, l-introjtu minn assi mogħtija b’lokazzjoni minbarra l-introjtu mill-imgħax u l-profitti minn assi mogħtija b’lokazzjoni.</w:t>
            </w:r>
          </w:p>
        </w:tc>
      </w:tr>
      <w:tr w:rsidR="00706701" w:rsidRPr="0021480B" w14:paraId="62A7A82B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ACD8A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0040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0CA9" w14:textId="77777777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mill-Imgħax</w:t>
            </w:r>
          </w:p>
          <w:p w14:paraId="7868AC51" w14:textId="7564E251" w:rsidR="00706701" w:rsidRPr="0021480B" w:rsidRDefault="00706701" w:rsidP="00C861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l-introjtu mill-imgħax f’konformità mal-Anness V, il-Parti 2, il-paragrafu 31 tas-soluzzjonijiet tal-IT tal-EBA u skont l-ispeċifikazzjonijiet ulterjuri mill-Anness V, il-Parti 2, il-paragrafi 187, 189 u 194ii tas-soluzzjonijiet tal-IT tal-EBA.</w:t>
            </w:r>
          </w:p>
        </w:tc>
      </w:tr>
      <w:tr w:rsidR="00706701" w:rsidRPr="0021480B" w14:paraId="78D64C50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B667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C6B0" w14:textId="5A9C2D8D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minn assi mogħtija b’lokazzjoni (Finanzjarji u Operattivi) minbarra l-Introjtu mill-imgħax</w:t>
            </w:r>
          </w:p>
          <w:p w14:paraId="3C1E42C0" w14:textId="348C6239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L-istituzzjonijiet għandhom jirrapportaw l-introjtu f’konformità mal-Anness V, il-Parti 2, il-paragrafi 314 u 315 tas-soluzzjonijiet tal-IT tal-EBA relatati ma’ kirjiet, li jirrappreżentaw:</w:t>
            </w:r>
          </w:p>
          <w:p w14:paraId="6FF3A068" w14:textId="08A1030C" w:rsidR="00706701" w:rsidRPr="0021480B" w:rsidRDefault="00706701" w:rsidP="3B06A0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introjtu minn bidliet fil-valur ġust fi proprjetajiet għall-investiment li jiġġeneraw kirjiet u jitkejlu bl-użu tal-mudell tal-valur ġust;</w:t>
            </w:r>
          </w:p>
          <w:p w14:paraId="2D8595F3" w14:textId="4A13D1E6" w:rsidR="00706701" w:rsidRPr="0021480B" w:rsidRDefault="00706701" w:rsidP="00C8612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introjtu minn lokazzjonijiet operazzjonali, inkluż introjtu mill-kera minn proprjetà għall-investiment.</w:t>
            </w:r>
          </w:p>
        </w:tc>
      </w:tr>
      <w:tr w:rsidR="00706701" w:rsidRPr="0021480B" w14:paraId="0B7508B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A8C60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2DB1" w14:textId="77777777" w:rsidR="00706701" w:rsidRPr="0021480B" w:rsidRDefault="00706701" w:rsidP="00C86126">
            <w:pPr>
              <w:keepNext/>
              <w:rPr>
                <w:rFonts w:ascii="Times New Roman" w:hAnsi="Times New Roman"/>
                <w:b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Profitti minn assi mogħtija b’lokazzjoni (Finanzjarji u Operattivi)</w:t>
            </w:r>
          </w:p>
          <w:p w14:paraId="2D6DD1F1" w14:textId="77777777" w:rsidR="00706701" w:rsidRPr="0021480B" w:rsidRDefault="00706701" w:rsidP="00C86126">
            <w:pPr>
              <w:keepNext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L-istituzzjonijiet għandhom jirrapportaw:</w:t>
            </w:r>
          </w:p>
          <w:p w14:paraId="691BE117" w14:textId="2D1116E8" w:rsidR="00706701" w:rsidRPr="0021480B" w:rsidRDefault="00706701" w:rsidP="402EDAA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il-qligħ minn modifiki tal-kera skont l-Anness V, il-Parti 2, il-paragrafu 49 tas-soluzzjonijiet tal-IT tal-EBA;</w:t>
            </w:r>
          </w:p>
          <w:p w14:paraId="5ADA8033" w14:textId="214DF7F8" w:rsidR="00706701" w:rsidRPr="0021480B" w:rsidRDefault="00706701" w:rsidP="00C8612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il-bqija ta’ introjtu operattiv ieħor (Introjtu Operattiv Ieħor ) f’konformità mal-Anness V, il-Parti 2, il-paragrafi 314 u 316 tas-soluzzjonijiet tal-IT tal-EBA, jekk ikunu relatati ma’ assi mogħtija b’lokazzjoni.</w:t>
            </w:r>
          </w:p>
        </w:tc>
      </w:tr>
      <w:tr w:rsidR="00706701" w:rsidRPr="0021480B" w14:paraId="2C7C8B1E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BDBFA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BF97" w14:textId="4FF637B6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tal-imgħax (inkluż minn assi mogħtija b’lokazzjoni (Finanzjarji u Operattivi))</w:t>
            </w:r>
          </w:p>
          <w:p w14:paraId="6AA3E45C" w14:textId="472EB33E" w:rsidR="00706701" w:rsidRPr="0021480B" w:rsidRDefault="00706701" w:rsidP="00C86126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tal-ispejjeż tal-imgħax, l-ispejjeż minn assi mogħtija b’lokazzjoni minbarra l-ispiża tal-imgħax u t-telf mill-assi mogħtija b’lokazzjoni operattivi.</w:t>
            </w:r>
          </w:p>
        </w:tc>
      </w:tr>
      <w:tr w:rsidR="00706701" w:rsidRPr="0021480B" w14:paraId="78ADA3A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1D4B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4482" w14:textId="77777777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tal-imgħax)</w:t>
            </w:r>
          </w:p>
          <w:p w14:paraId="344C922F" w14:textId="3760ED23" w:rsidR="00706701" w:rsidRPr="0021480B" w:rsidRDefault="0070670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l-ispejjeż tal-imgħax f’konformità mal-Anness V, il-Parti 2, il-paragrafu 31 tas-soluzzjonijiet tal-IT tal-EBA u skont l-ispeċifikazzjonijiet ulterjuri mill-Anness V, il-Parti 2, il-paragrafi 188, 190 u 194ii tas-soluzzjonijiet tal-IT tal-EBA.</w:t>
            </w:r>
          </w:p>
          <w:p w14:paraId="672B06B8" w14:textId="659F3CAB" w:rsidR="00706701" w:rsidRPr="0021480B" w:rsidRDefault="00706701" w:rsidP="00C86126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Dawk l-ispejjeż tal-imgħax li huma dovuti għal eventi ta’ riskju operazzjonali ma għandhomx jiġu rrapportati hawnhekk. Minflok, dawn għandhom jiġu rrapportati fil-Komponent tas-Servizzi (fi ħdan it-“Telf, spejjeż, provvedimenti u impatti finanzjarji oħrajn totali li jirriżultaw minn eventi ta’ riskju operazzjonali”) f’konformità mal-Artikolu 314(5) tar-Regolament (UE) Nru 575/2013.</w:t>
            </w:r>
          </w:p>
        </w:tc>
      </w:tr>
      <w:tr w:rsidR="00706701" w:rsidRPr="0021480B" w14:paraId="478C5855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CEDBA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0090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D64E" w14:textId="4A8A1879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mill-assi mogħtija b’lokazzjoni operattivi minbarra spejjeż tal-imgħax)</w:t>
            </w:r>
          </w:p>
          <w:p w14:paraId="10725118" w14:textId="571F764A" w:rsidR="00706701" w:rsidRPr="0021480B" w:rsidRDefault="00706701" w:rsidP="00C8612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tal-ispejjeż li jirrappreżentaw deprezzament, indeboliment jew (-) riversjar tal-indeboliment għall-assi mogħtija b’lokazzjoni operattivi u spejjeż amministrattivi oħrajn relatati ma’ assi mogħtija b’lokazzjoni, kif muri hawn taħt:</w:t>
            </w:r>
          </w:p>
          <w:p w14:paraId="0C9DC8A2" w14:textId="755E1595" w:rsidR="00706701" w:rsidRPr="0021480B" w:rsidRDefault="00706701" w:rsidP="3B06A011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(Deprezzament ta’ assi mogħtija b’lokazzjoni operattivi):</w:t>
            </w:r>
            <w:r w:rsidRPr="0021480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1480B">
              <w:rPr>
                <w:rFonts w:ascii="Times New Roman" w:hAnsi="Times New Roman"/>
                <w:sz w:val="24"/>
              </w:rPr>
              <w:t>L-istituzzjonijiet għandhom jirrapportaw l-ispejjeż minn assi mogħtija b’lokazzjoni li jirrappreżentaw l-ispejjeż ta’ deprezzament kif irrapportati f’konformità mal-Istandards Internazzjonali tal-Kontabilità (IAS, International Accounting Standards) 1, il-paragrafi 102 u 104 iżda biss minn assi mogħtija b’lokazzjoni operatorji li l-introjtu jew l-ispejjeż tagħhom huma inklużi fil-kalkolu tal-komponent tal-imgħax.</w:t>
            </w:r>
          </w:p>
          <w:p w14:paraId="1C26AA33" w14:textId="30370F54" w:rsidR="00706701" w:rsidRPr="0021480B" w:rsidRDefault="00706701" w:rsidP="402EDAAF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trike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(Indeboliment jew (-) riversjar tal-indeboliment fuq assi mogħtija b’lokazzjoni operattivi:</w:t>
            </w:r>
            <w:r w:rsidRPr="0021480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1480B">
              <w:rPr>
                <w:rFonts w:ascii="Times New Roman" w:hAnsi="Times New Roman"/>
                <w:sz w:val="24"/>
              </w:rPr>
              <w:t>L-istituzzjonijiet għandhom jirrapportaw l-ispejjeż mill-assi mogħtija b’lokazzjoni operattivi li jirrappreżentaw l-indeboliment jew ir-riversjar ta’ indeboliment skont l-IAS 36, il-paragrafu 126(a)(b) mill-assi mogħtija b’lokazzjoni operattivi.</w:t>
            </w:r>
          </w:p>
          <w:p w14:paraId="125C149D" w14:textId="335030E3" w:rsidR="00706701" w:rsidRPr="0021480B" w:rsidRDefault="00706701" w:rsidP="00C86126">
            <w:pPr>
              <w:pStyle w:val="ListParagraph"/>
              <w:keepNext/>
              <w:numPr>
                <w:ilvl w:val="0"/>
                <w:numId w:val="30"/>
              </w:numPr>
              <w:spacing w:before="0" w:after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minn lokazzjonijiet operazzjonali inklużi spejjeż amministrattivi oħrajn relatati mal-assi mogħtija b’lokazzjoni operattivi):</w:t>
            </w:r>
            <w:r w:rsidRPr="0021480B">
              <w:rPr>
                <w:rFonts w:ascii="Times New Roman" w:hAnsi="Times New Roman"/>
                <w:sz w:val="24"/>
              </w:rPr>
              <w:t xml:space="preserve"> L-istituzzjonijiet għandhom jirrapportaw l-ispejjeż f’konformità mal-Anness V, il-Parti 2, il-paragrafi 314 u 315 tas-soluzzjonijiet tal-IT tal-EBA relatati ma’ lokazzjonijiet operazzjonali, li jirrappreżentaw:</w:t>
            </w:r>
          </w:p>
          <w:p w14:paraId="718F7358" w14:textId="75A5342A" w:rsidR="00706701" w:rsidRPr="0021480B" w:rsidRDefault="00706701" w:rsidP="00706701">
            <w:pPr>
              <w:pStyle w:val="ListParagraph"/>
              <w:numPr>
                <w:ilvl w:val="0"/>
                <w:numId w:val="31"/>
              </w:numPr>
              <w:spacing w:before="0" w:after="0"/>
              <w:ind w:left="144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spejjeż minn bidliet fil-valur ġust fi proprjetajiet għall-investiment li jiġġeneraw kirjiet u jitkejlu bl-użu tal-mudell tal-valur ġust minn assi mogħtija b’lokazzjoni operattivi;</w:t>
            </w:r>
          </w:p>
          <w:p w14:paraId="2748EC88" w14:textId="5DCF269E" w:rsidR="00706701" w:rsidRPr="0021480B" w:rsidRDefault="00706701" w:rsidP="00706701">
            <w:pPr>
              <w:pStyle w:val="ListParagraph"/>
              <w:numPr>
                <w:ilvl w:val="0"/>
                <w:numId w:val="31"/>
              </w:numPr>
              <w:spacing w:before="0" w:after="0"/>
              <w:ind w:left="144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spejjeż fuq lokazzjonijiet operazzjonali, inklużi spejjeż operattivi diretti minn proprjetà għall-investiment li jiġġeneraw kirjiet.</w:t>
            </w:r>
          </w:p>
          <w:p w14:paraId="33A6F719" w14:textId="77777777" w:rsidR="00706701" w:rsidRPr="0021480B" w:rsidRDefault="00706701">
            <w:pPr>
              <w:spacing w:before="0" w:after="0"/>
              <w:ind w:left="708"/>
              <w:rPr>
                <w:rFonts w:ascii="Times New Roman" w:hAnsi="Times New Roman"/>
                <w:sz w:val="24"/>
              </w:rPr>
            </w:pPr>
          </w:p>
          <w:p w14:paraId="27623DD2" w14:textId="17A8CADF" w:rsidR="00706701" w:rsidRPr="0021480B" w:rsidRDefault="00706701" w:rsidP="009D6499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Barra minn hekk, l-istituzzjonijiet għandhom jirrapportaw hawnhekk spejjeż amministrattivi oħrajn mill-assi mogħtija b’lokazzjoni operattivi skont l-Anness V, il-Parti 2, il-paragrafu 208ix tas-soluzzjonijiet tal-IT tal-EBA.</w:t>
            </w:r>
          </w:p>
          <w:p w14:paraId="5B3CD38B" w14:textId="2339E1D0" w:rsidR="00706701" w:rsidRPr="0021480B" w:rsidRDefault="00706701" w:rsidP="00AC6EFA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Dawk l-ispejjeż li huma dovuti għal eventi ta’ riskju operazzjonali ma għandhomx jiġu rrapportati hawnhekk. Minflok, dawn għandhom jiġu rrapportati fil-Komponent tas-Servizzi (fi ħdan it-“Telf, spejjeż, provvedimenti u impatti finanzjarji oħrajn totali li jirriżultaw minn eventi ta’ riskju operazzjonali”) f’konformità mal-Artikolu 314(5) tar-Regolament (UE) Nru 575/2013.</w:t>
            </w:r>
          </w:p>
        </w:tc>
      </w:tr>
      <w:tr w:rsidR="00706701" w:rsidRPr="0021480B" w14:paraId="5A3A130A" w14:textId="77777777" w:rsidTr="402EDAAF">
        <w:trPr>
          <w:trHeight w:val="273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590BD" w14:textId="3FE7D29D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0100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9706" w14:textId="77777777" w:rsidR="00706701" w:rsidRPr="0021480B" w:rsidRDefault="00706701" w:rsidP="00AC6EFA">
            <w:pPr>
              <w:keepNext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(Telf mill-assi mogħtija b’lokazzjoni operattivi)</w:t>
            </w:r>
          </w:p>
          <w:p w14:paraId="40649E77" w14:textId="77777777" w:rsidR="00706701" w:rsidRPr="0021480B" w:rsidRDefault="00706701" w:rsidP="00AC6EFA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jirrapportaw:</w:t>
            </w:r>
          </w:p>
          <w:p w14:paraId="3DA6FBC5" w14:textId="3CB78DA8" w:rsidR="00706701" w:rsidRPr="0021480B" w:rsidRDefault="00706701" w:rsidP="3B06A011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il-bqija tal-ispejjeż operatorji oħrajn (spejjeż operatorji oħrajn. Oħrajn) f’konformità mal-Anness V, il-Parti 2, it-Taqsima 29.3, il-paragrafu 316 tas-soluzzjonijiet tal-IT tal-EBA, jekk ikunu relatati mal-assi mogħtija b’lokazzjoni operattivi.</w:t>
            </w:r>
          </w:p>
          <w:p w14:paraId="6F639438" w14:textId="7E98AE78" w:rsidR="00706701" w:rsidRPr="0021480B" w:rsidRDefault="00706701" w:rsidP="00AC6EFA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Dak it-telf li huwa dovut għal eventi ta’ riskju operazzjonali ma għandux jiġi rrapportat hawnhekk. Minflok, dawn għandhom jiġu rrapportati fil-Komponent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tas-Servizzi (fi ħdan it-“Telf, spejjeż, provvedimenti u impatti finanzjarji oħrajn totali li jirriżultaw minn eventi ta’ riskju operazzjonali”) f’konformità mal-Artikolu 314(5) tar-Regolament (UE) Nru 575/2013.</w:t>
            </w:r>
          </w:p>
        </w:tc>
      </w:tr>
      <w:tr w:rsidR="00706701" w:rsidRPr="0021480B" w14:paraId="0D3AD86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959A7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0110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82C" w14:textId="68C23B73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tal-assi</w:t>
            </w:r>
          </w:p>
          <w:p w14:paraId="394E55B5" w14:textId="426A1D7E" w:rsidR="00706701" w:rsidRPr="0021480B" w:rsidRDefault="00706701" w:rsidP="00AC6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Il-komponent tal-assi (AC, asset component) għandu jiġi kkalkolat f’konformità mal-Artikolu 314(2) tar-Regolament (UE) Nru 575/2013.</w:t>
            </w:r>
          </w:p>
        </w:tc>
      </w:tr>
      <w:tr w:rsidR="00706701" w:rsidRPr="0021480B" w14:paraId="4D1A5F9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D6EA5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764" w14:textId="77777777" w:rsidR="00706701" w:rsidRPr="0021480B" w:rsidRDefault="00706701" w:rsidP="00AC6EFA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Assi totali</w:t>
            </w:r>
          </w:p>
          <w:p w14:paraId="3A1B8717" w14:textId="7BFA33D3" w:rsidR="00706701" w:rsidRPr="0021480B" w:rsidRDefault="00706701" w:rsidP="00AC6EFA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tal-ammont riportat gross ta’ bilanċi ta’ flus f’banek ċentrali u depożiti ta’ domanda oħrajn, titoli ta’ dejn, self u avvanzi kif ukoll l-ammont riportat ta’ derivattivi u assi soġġetti għal kirjiet.</w:t>
            </w:r>
          </w:p>
        </w:tc>
      </w:tr>
      <w:tr w:rsidR="00706701" w:rsidRPr="0021480B" w14:paraId="3980ABD1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1DC5B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0E3" w14:textId="77777777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Bilanċi ta’ flus fil-banek ċentrali u depożiti ta’ domanda oħrajn</w:t>
            </w:r>
          </w:p>
          <w:p w14:paraId="4188D5D9" w14:textId="48A329AD" w:rsidR="00706701" w:rsidRPr="0021480B" w:rsidRDefault="00706701" w:rsidP="00AC6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l-ammont riportat gross ta’ bilanċi ta’ flus f’banek ċentrali u depożiti ta’ domanda oħrajn skont l-Anness V, il-Parti 2, il-paragrafi 2 u 3 tas-soluzzjonijiet tal-IT tal-EBA.</w:t>
            </w:r>
          </w:p>
        </w:tc>
      </w:tr>
      <w:tr w:rsidR="00706701" w:rsidRPr="0021480B" w14:paraId="6E900D55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C3D6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69E5" w14:textId="77777777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Titoli ta’ dejn</w:t>
            </w:r>
          </w:p>
          <w:p w14:paraId="2C34543A" w14:textId="013B8A5A" w:rsidR="00706701" w:rsidRPr="0021480B" w:rsidRDefault="00706701" w:rsidP="3B06A0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L-istituzzjonijiet għandhom jirrapportaw l-ammont riportat gross ta’ titoli ta’ dejn f’konformità mal-Anness V, il-Parti 1, il-paragrafi 31 u 34 tas-soluzzjonijiet tal-IT tal-EBA.  </w:t>
            </w:r>
          </w:p>
        </w:tc>
      </w:tr>
      <w:tr w:rsidR="00706701" w:rsidRPr="0021480B" w14:paraId="61F3B1F4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C7509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730" w14:textId="77777777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Self u avvanzi</w:t>
            </w:r>
          </w:p>
          <w:p w14:paraId="66A4F90F" w14:textId="3682ADC9" w:rsidR="00706701" w:rsidRPr="0021480B" w:rsidRDefault="00706701" w:rsidP="00AC6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l-ammont riportat gross ta’ self u avvanzi f’konformità mal-Anness V, il-Parti 1, il-paragrafi 32 u 34 tas-soluzzjonijiet tal-IT tal-EBA.</w:t>
            </w:r>
          </w:p>
        </w:tc>
      </w:tr>
      <w:tr w:rsidR="00706701" w:rsidRPr="0021480B" w14:paraId="06C56EFB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EC0F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CAEF" w14:textId="77777777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Derivattivi</w:t>
            </w:r>
          </w:p>
          <w:p w14:paraId="47BBB2C1" w14:textId="4E51CCFD" w:rsidR="00706701" w:rsidRPr="0021480B" w:rsidRDefault="00706701" w:rsidP="00AC6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tal-ammont riportat ta’ derivattivi li huma kontabilità għan-negozjar u għall-iħħeġġjar.</w:t>
            </w:r>
          </w:p>
        </w:tc>
      </w:tr>
      <w:tr w:rsidR="00706701" w:rsidRPr="0021480B" w14:paraId="7F02641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F56F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6E0" w14:textId="77777777" w:rsidR="00706701" w:rsidRPr="0021480B" w:rsidRDefault="00706701" w:rsidP="00AC6EFA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Kummerċ u ħeġġijiet ekonomiċi</w:t>
            </w:r>
          </w:p>
          <w:p w14:paraId="19E4F11B" w14:textId="7C3CDC20" w:rsidR="00706701" w:rsidRPr="0021480B" w:rsidRDefault="00706701" w:rsidP="00AC6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l-ammont riportat ta’ derivattivi tan-negozjar u tal-iħħeġġjar ekonomiku kif irrapportat f’konformità mal-IFRS 9 Appendiċi A jew skont nGAAP f’konformità mal-Anness V, il-Parti 1, il-paragrafi 17 u 27 tas-soluzzjonijiet tal-IT tal-EBA, sakemm tali derivattivi jkunu ġġeneraw imgħax jew flussi simili matul is-sena finanzjarja li jkunu ġew rikonoxxuti bħala introjtu mill-imgħax jew spejjeż tal-imgħax.</w:t>
            </w:r>
          </w:p>
        </w:tc>
      </w:tr>
      <w:tr w:rsidR="00706701" w:rsidRPr="0021480B" w14:paraId="74274CD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77512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0180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E06D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Kontabilità għall-iħħeġġjar</w:t>
            </w:r>
          </w:p>
          <w:p w14:paraId="7F517CA2" w14:textId="574313CE" w:rsidR="00706701" w:rsidRPr="0021480B" w:rsidRDefault="00706701" w:rsidP="008167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l-ammont riportat ta’ derivattivi ta’ kontabilità għall-iħħeġġjar skont l-Anness V, il-Parti 1, il-paragrafi 22 u 27 tas-soluzzjonijiet tal-IT tal-EBA, jekk tali derivattivi jkunu ġġeneraw imgħax jew flussi simili li jkunu ġew rikonoxxuti bħala introjtu mill-imgħax jew spejjeż tal-imgħax.</w:t>
            </w:r>
          </w:p>
        </w:tc>
      </w:tr>
      <w:tr w:rsidR="00706701" w:rsidRPr="0021480B" w14:paraId="5013B16A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B9392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0190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1C30" w14:textId="46618C0F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Assi soġġetti għal kirjiet</w:t>
            </w:r>
          </w:p>
          <w:p w14:paraId="0B5B103E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l-ammont riportat tal-assi kollha soġġetti għal kirjiet li jinkludu dan li ġej:</w:t>
            </w:r>
          </w:p>
          <w:p w14:paraId="3F8AD3D8" w14:textId="1E82C5B0" w:rsidR="00706701" w:rsidRPr="0021480B" w:rsidRDefault="00706701" w:rsidP="3B06A0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Impjanti u tagħmir ta’ proprjetà f’konformità mal-IAS 16, il-paragrafi 6 u 29 u l-IAS 1 il-paragrafu 54(a);</w:t>
            </w:r>
          </w:p>
          <w:p w14:paraId="4BEDDD96" w14:textId="2746E3C2" w:rsidR="00706701" w:rsidRPr="0021480B" w:rsidRDefault="00706701" w:rsidP="3B06A0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Proprjetà għall-investiment skont il-paragrafi 5 u 30 tal-IAS 40 u skont il-paragrafu 54(b) tal-IAS 1;</w:t>
            </w:r>
          </w:p>
          <w:p w14:paraId="7F5A8E58" w14:textId="791CFF78" w:rsidR="00706701" w:rsidRPr="0021480B" w:rsidRDefault="00706701" w:rsidP="3B06A0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Assi intanġibbli oħrajn f’konformità mal-IAS 38, il-paragrafi 8, 118 u 122 kif ukoll mal-Anness V, il-Parti 2, il-paragrafu 303 tas-soluzzjonijiet tal-IT tal-EBA.</w:t>
            </w:r>
          </w:p>
        </w:tc>
      </w:tr>
      <w:tr w:rsidR="00706701" w:rsidRPr="0021480B" w14:paraId="19B60565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A1BA2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0200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CD73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ta’ dividend</w:t>
            </w:r>
          </w:p>
          <w:p w14:paraId="4B4463D0" w14:textId="589CD086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Il-komponent tad-dividendi (DC) għandu jiġi kkalkolat f’konformità mal-Artikolu 314(2) tar-Regolament (UE) Nru 575/2013.</w:t>
            </w:r>
          </w:p>
        </w:tc>
      </w:tr>
      <w:tr w:rsidR="00706701" w:rsidRPr="0021480B" w14:paraId="636A0B0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9BD91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79F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minn dividendi</w:t>
            </w:r>
          </w:p>
          <w:p w14:paraId="5A3CA3F0" w14:textId="12F893E0" w:rsidR="00706701" w:rsidRPr="0021480B" w:rsidRDefault="00706701" w:rsidP="00816707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l-introjtu mid-dividendi f’konformità mal-Anness V, il-Parti 2, il-paragrafi 40 sa 42 tas-soluzzjonijiet tal-IT tal-EBA.</w:t>
            </w:r>
          </w:p>
        </w:tc>
      </w:tr>
      <w:tr w:rsidR="00706701" w:rsidRPr="0021480B" w14:paraId="133663ED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5C10A" w14:textId="77777777" w:rsidR="00706701" w:rsidRPr="0021480B" w:rsidRDefault="0070670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lang w:eastAsia="en-GB"/>
              </w:rPr>
              <w:t>0220 - 0360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B9100" w14:textId="47941E57" w:rsidR="00706701" w:rsidRPr="0021480B" w:rsidRDefault="00706701" w:rsidP="005D3C49">
            <w:pPr>
              <w:pStyle w:val="ListParagraph"/>
              <w:numPr>
                <w:ilvl w:val="0"/>
                <w:numId w:val="42"/>
              </w:numPr>
              <w:ind w:hanging="72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Komponent ta’ servizzi (SC)</w:t>
            </w:r>
          </w:p>
        </w:tc>
      </w:tr>
      <w:tr w:rsidR="00706701" w:rsidRPr="0021480B" w14:paraId="78FCCFE0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4340B" w14:textId="77777777" w:rsidR="00706701" w:rsidRPr="0021480B" w:rsidRDefault="00706701">
            <w:pPr>
              <w:jc w:val="center"/>
              <w:rPr>
                <w:rFonts w:ascii="Times New Roman" w:eastAsia="Verdana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D65A2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Operattiv Ieħor</w:t>
            </w:r>
          </w:p>
          <w:p w14:paraId="1DB0DB47" w14:textId="56E6BA92" w:rsidR="00706701" w:rsidRPr="0021480B" w:rsidRDefault="0070670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L-Artikolu 314(5) tar-Regolament (UE) Nru 575/2013.</w:t>
            </w:r>
          </w:p>
          <w:p w14:paraId="2FA21B44" w14:textId="185CC926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L-irkupru ta’ spejjeż amministrattivi ma għandux jitqies f’konformità mal-Artikolu 5 tal-RTS dwar il-komponenti tal-indikatur tan-negozju li għandhom jiġu żviluppati skont l-Artikolu 314(9) tar-Regolament (UE) Nru 575/2013.</w:t>
            </w:r>
          </w:p>
        </w:tc>
      </w:tr>
      <w:tr w:rsidR="00706701" w:rsidRPr="0021480B" w14:paraId="3E7207F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FABDB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09E30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operattiv ieħor minn membri li jappartjenu għall-istess IPS</w:t>
            </w:r>
          </w:p>
          <w:p w14:paraId="3862B978" w14:textId="3A9D6C9B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L-ammont ta’ introjtu operattiv ieħor riċevut minn istituzzjonijiet li huma membri tal-istess skema ta’ protezzjoni istituzzjonali f’konformità mal-Artikolu 314(5) tar-Regolament (UE) Nru 575/2013.</w:t>
            </w:r>
          </w:p>
        </w:tc>
      </w:tr>
      <w:tr w:rsidR="00706701" w:rsidRPr="0021480B" w14:paraId="6F6E77F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83A44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00AA2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Profitt minn assi mhux kurrenti u gruppi ta’ disponiment ikklassifikati bħala miżmuma għall-bejgħ li ma jikkwalifikawx bħala operazzjonijiet li ma tkomplewx</w:t>
            </w:r>
          </w:p>
          <w:p w14:paraId="0734D115" w14:textId="22088D70" w:rsidR="00706701" w:rsidRPr="0021480B" w:rsidRDefault="00706701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L-istituzzjonijiet għandhom jirrapportaw il-qligħ minn assi mhux kurrenti u gruppi tad-disponiment ikklassifikati bħala miżmuma għall-bejgħ li ma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jikkwalifikawx bħala operazzjonijiet li ma tkomplewx f’konformità mal-Anness V, il-Parti 2, il-paragrafu 55 tas-soluzzjonijiet tal-IT tal-EBA.</w:t>
            </w:r>
          </w:p>
          <w:p w14:paraId="5DDC81DA" w14:textId="445C39D2" w:rsidR="00706701" w:rsidRPr="0021480B" w:rsidRDefault="00706701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Għandu jiġi rrapportat biss il-qligħ; f’każ ta’ telf, il-valur għandu jiġi ttrattat bħala żero.</w:t>
            </w:r>
          </w:p>
        </w:tc>
      </w:tr>
      <w:tr w:rsidR="00706701" w:rsidRPr="0021480B" w14:paraId="3BB703E4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DFF0C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0250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E5CFA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Oħrajn</w:t>
            </w:r>
          </w:p>
          <w:p w14:paraId="3FB1D922" w14:textId="659C47D1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introjtu operattiv ieħor f’konformità mal-Anness V, il-Parti 2, il-paragrafi 314 u 316 tas-soluzzjonijiet tal-IT tal-EBA, li jirrappreżentaw:</w:t>
            </w:r>
          </w:p>
          <w:p w14:paraId="24E3BFED" w14:textId="77777777" w:rsidR="00706701" w:rsidRPr="0021480B" w:rsidRDefault="00706701" w:rsidP="00D33BC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introjtu minn bidliet fil-valur ġust f’assi tanġibbli mkejla bl-użu tal-mudell tal-valur ġust, minbarra introjtu minn bidliet fil-valur ġust fi proprjetajiet ta’ investiment li jiġġeneraw kirjiet u li huma mkejla bl-użu tal-mudell tal-valur ġust;</w:t>
            </w:r>
          </w:p>
          <w:p w14:paraId="409BFFF4" w14:textId="6ACBBCB8" w:rsidR="00706701" w:rsidRPr="0021480B" w:rsidRDefault="00706701" w:rsidP="0081670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il-bqija tal-introjtu operattiv ieħor (Introjtu Operattiv Ieħor. Oħrajn) f’konformità mal-Anness V, il-Parti 2, il-paragrafi 314 u 316 tas-soluzzjonijiet tal-IT tal-EBA, jekk ma jkunux relatati ma’ assi mogħtija b’lokazzjoni.</w:t>
            </w:r>
          </w:p>
        </w:tc>
      </w:tr>
      <w:tr w:rsidR="00706701" w:rsidRPr="0021480B" w14:paraId="3378B9BE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D09E8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1FF72" w14:textId="11E48BB6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operatorji oħrajn)</w:t>
            </w:r>
          </w:p>
          <w:p w14:paraId="2BA9FDC2" w14:textId="2513C14D" w:rsidR="00706701" w:rsidRPr="0021480B" w:rsidRDefault="00706701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L-Artikolu 314(5) tar-Regolament (UE) Nru 575/2013.</w:t>
            </w:r>
          </w:p>
        </w:tc>
      </w:tr>
      <w:tr w:rsidR="00706701" w:rsidRPr="0021480B" w14:paraId="3BEEBF6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85B1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79EB5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operatorji oħrajn minn membri li jappartjenu għall-istess IPS)</w:t>
            </w:r>
          </w:p>
          <w:p w14:paraId="2738750A" w14:textId="01EB7487" w:rsidR="00706701" w:rsidRPr="0021480B" w:rsidRDefault="00706701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L-ammont ta’ spejjeż operatorji oħrajn mħallsa lill-istituzzjonijiet li huma membri tal-istess skema ta’ protezzjoni istituzzjonali f’konformità mal-Artikolu 314(5) tar-Regolament (UE) Nru 575/2013.</w:t>
            </w:r>
          </w:p>
        </w:tc>
      </w:tr>
      <w:tr w:rsidR="00706701" w:rsidRPr="0021480B" w14:paraId="60F6B9C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27451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5185A" w14:textId="62CEE638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(Telf totali, spejjeż, provvedimenti u impatti finanzjarji oħrajnjn minħabba eventi ta’ riskju operazzjonali)</w:t>
            </w:r>
          </w:p>
          <w:p w14:paraId="330BA647" w14:textId="40E21272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 li għandu jiġi rrapportat f’din ir-ringiela għandu jikkorrispondi għas-somma tat-telf, l-ispejjeż, il-provvedimenti u l-impatti finanzjarji oħrajn kollha relatati ma’ eventi ta’ riskju operazzjonali kif irrapportat fir-ringiela 0080 tal-mudell C.16.03.</w:t>
            </w:r>
          </w:p>
        </w:tc>
      </w:tr>
      <w:tr w:rsidR="00706701" w:rsidRPr="0021480B" w14:paraId="228C3683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42B64D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0290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89717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(Telf minn assi mhux kurrenti u gruppi ta’ disponiment ikklassifikati bħala miżmuma għall-bejgħ li ma jikkwalifikawx bħala operazzjonijiet li ma tkomplewx)</w:t>
            </w:r>
          </w:p>
          <w:p w14:paraId="67A93594" w14:textId="43CF5A55" w:rsidR="00706701" w:rsidRPr="0021480B" w:rsidRDefault="00706701" w:rsidP="3B06A01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L-istituzzjonijiet għandhom jirrapportaw telf minbarra minħabba eventi ta’ riskju operazzjonali minn assi mhux kurrenti u gruppi tad-disponiment ikklassifikati bħala miżmuma għall-bejgħ li ma jikkwalifikawx bħala operazzjonijiet li ma tkomplewx f’konformità mal-Anness V, il-Parti 2, il-paragrafu 55 tas-soluzzjonijiet tal-IT tal-EBA.</w:t>
            </w:r>
          </w:p>
          <w:p w14:paraId="08B1A825" w14:textId="3BEA6A1F" w:rsidR="00706701" w:rsidRPr="0021480B" w:rsidRDefault="00706701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Huwa biss it-telf li għandu jiġi rrapportat; f’każ ta’ qligħ, il-valur għandu jiġi ttrattat bħala żero għall-fini ta’ din ir-ringiela.</w:t>
            </w:r>
          </w:p>
        </w:tc>
      </w:tr>
      <w:tr w:rsidR="00706701" w:rsidRPr="0021480B" w14:paraId="68B02421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3F35D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0300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C2455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(Oħrajn)</w:t>
            </w:r>
          </w:p>
          <w:p w14:paraId="3FBA99EF" w14:textId="2B023A68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spejjeż operatorji oħrajn minbarra dawk dovuti għal eventi ta’ riskju operazzjonali skont l-Anness V, il-Parti 2, il-paragrafi 314 u 316 tas-soluzzjonijiet tal-IT tal-EBA li jirrappreżentaw:</w:t>
            </w:r>
          </w:p>
          <w:p w14:paraId="74B0437B" w14:textId="77777777" w:rsidR="00706701" w:rsidRPr="0021480B" w:rsidRDefault="00706701" w:rsidP="3B06A01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spejjeż minn bidliet fil-valur ġust f’assi tanġibbli mkejla bl-użu tal-mudell tal-valur ġust, minbarra spejjeż minn bidliet fil-valur ġust fi proprjetajiet ta’ investiment li jiġġeneraw kirjiet u li jitkejlu bl-użu tal-mudell tal-valur ġust mill-assi mogħtija b’lokazzjoni operattivi;</w:t>
            </w:r>
          </w:p>
          <w:p w14:paraId="5D1423D9" w14:textId="07454CC0" w:rsidR="00706701" w:rsidRPr="0021480B" w:rsidRDefault="00706701" w:rsidP="0081670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il-bqija tal-ispejjeż operatorji oħrajn (Spejjeż Operatorji Oħrajn. Oħrajn) f’konformità mal-Anness V, il-Parti 2, il-paragrafi 314 u 316 tas-soluzzjonijiet tal-IT tal-EBA, jekk ma jkunux relatati ma’ assi mogħtija b’lokazzjoni.</w:t>
            </w:r>
          </w:p>
        </w:tc>
      </w:tr>
      <w:tr w:rsidR="00706701" w:rsidRPr="0021480B" w14:paraId="144AC62F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70032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F61D2" w14:textId="16D06340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ta’ introjtu minn tariffi u kummissjonijiet</w:t>
            </w:r>
          </w:p>
          <w:p w14:paraId="1B909257" w14:textId="089E0B90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L-introjtu minn tariffi u kummissjonijiet għandu jiġi kkalkolat f’konformità mal-Artikolu 314(5) tar-Regolament (UE) Nru 575/2013.</w:t>
            </w:r>
          </w:p>
        </w:tc>
      </w:tr>
      <w:tr w:rsidR="00706701" w:rsidRPr="0021480B" w14:paraId="51448C91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1C3DB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366AD" w14:textId="5BBF8949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Introjtu minn tariffi u kummissjonijiet</w:t>
            </w:r>
          </w:p>
          <w:p w14:paraId="11E6C495" w14:textId="0B9B7860" w:rsidR="00706701" w:rsidRPr="0021480B" w:rsidRDefault="00706701" w:rsidP="3B06A011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l-introjtu minn tariffi u kummissjonijiet f’konformità mal-Anness V, il-Parti 2, il-paragrafi 281 sa 284 tas-soluzzjonijiet tal-IT tal-EBA.</w:t>
            </w:r>
          </w:p>
          <w:p w14:paraId="5D10316A" w14:textId="322E546D" w:rsidR="00706701" w:rsidRPr="0021480B" w:rsidRDefault="00020A96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L-introjtu minn attivitajiet anċillari, bħall-attivitajiet tal-IT meħtieġa għall-eżekuzzjoni ta’ servizz finanzjarju, jenħtieġ li jiġi inkluż ukoll f’din l-entrata, f’konformità mal-Artikolu 7 tal-RTS li għandu jiġi żviluppat skont l-Artikolu 314(9) tar-Regolament (UE) Nru 575/2013.</w:t>
            </w:r>
          </w:p>
        </w:tc>
      </w:tr>
      <w:tr w:rsidR="00706701" w:rsidRPr="0021480B" w14:paraId="0B5A9540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18771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5E20C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li minnhom: minn membri li jappartjenu għall-istess IPS</w:t>
            </w:r>
          </w:p>
          <w:p w14:paraId="592F6C4C" w14:textId="3669AD85" w:rsidR="00706701" w:rsidRPr="0021480B" w:rsidRDefault="00706701" w:rsidP="00816707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Il-parti tal-introjtu minn tariffi u kummissjonijiet riċevut minn istituzzjonijiet li huma membri tal-istess skema ta’ protezzjoni istituzzjonali skont l-Artikolu 314(5) tar-Regolament (UE) Nru 575/2013.</w:t>
            </w:r>
          </w:p>
        </w:tc>
      </w:tr>
      <w:tr w:rsidR="00706701" w:rsidRPr="0021480B" w14:paraId="7CABCEC2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C7279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0449B" w14:textId="6D10A8A0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(Komponent ta’ spejjeż ta’ tariffi u kummissjonijiet)</w:t>
            </w:r>
          </w:p>
          <w:p w14:paraId="1706D87C" w14:textId="0F328B94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L-ispejjeż ta’ tariffi u kummissjonijiet għandhom jiġu kkalkolati f’konformità mal-Artikolu 314(5) tar-Regolament (UE) Nru 575/2013.</w:t>
            </w:r>
          </w:p>
        </w:tc>
      </w:tr>
      <w:tr w:rsidR="00706701" w:rsidRPr="0021480B" w14:paraId="654D6653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7E4C8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0B3AF" w14:textId="37333EB9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ta’ tariffi u kummissjonijiet)</w:t>
            </w:r>
          </w:p>
          <w:p w14:paraId="1B7A110D" w14:textId="78D5FD23" w:rsidR="00706701" w:rsidRPr="0021480B" w:rsidRDefault="00706701" w:rsidP="3B06A011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l-ispejjeż ta’ tariffi u kummissjonijiet f’konformità mal-Anness V, il-Parti 2, il-paragrafi 281 sa 284 tas-soluzzjonijiet tal-IT tal-EBA.</w:t>
            </w:r>
          </w:p>
          <w:p w14:paraId="7CE7D7C4" w14:textId="21217273" w:rsidR="00706701" w:rsidRPr="0021480B" w:rsidRDefault="00706701" w:rsidP="00816707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It-tariffi tal-esternalizzazzjoni mħallsa għall-provvista ta’ servizzi finanzjarji, irrappreżentati mil-lista ta’ attivitajiet indikata fl-Artikolu 8, tal-RTS li għandhom jiġu żviluppati skont l-Artikolu 314(9) tar-Regolament (UE) Nru 575/2013, f’każ li jiġu inklużi, skont il-qafas kontabilistiku applikat taħt l-ispejjeż amministrattivi, f’konformità mal-Artikolu 16 tal-RTS imsemmija, għandhom jiġu rrapportati </w:t>
            </w: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f’din ir-ringiela. Spejjeż minn attivitajiet anċillari, bħal attivitajiet tal-IT meħtieġa biex jiġi eżegwit servizz finanzjarju, għandhom jiġu inklużi wkoll f’din l-entrata.</w:t>
            </w:r>
          </w:p>
        </w:tc>
      </w:tr>
      <w:tr w:rsidR="00706701" w:rsidRPr="0021480B" w14:paraId="54BFEEFD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B5C2F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0360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C75B3" w14:textId="67678A5E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(li minnhom għal membri li jappartjenu għall-istess IPS)</w:t>
            </w:r>
          </w:p>
          <w:p w14:paraId="166C532F" w14:textId="19E6B593" w:rsidR="00706701" w:rsidRPr="0021480B" w:rsidRDefault="00706701" w:rsidP="3B06A011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Il-parti tal-ispejjeż tat-tariffi u tal-kummissjonijiet imħallsa lill-istituzzjonijiet li huma membri tal-istess skema ta’ protezzjoni istituzzjonali f’konformità mal-Artikolu 314(5) tar-Regolament (UE) Nru 575/2013.</w:t>
            </w:r>
          </w:p>
        </w:tc>
      </w:tr>
      <w:tr w:rsidR="00706701" w:rsidRPr="0021480B" w14:paraId="580958E7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05399" w14:textId="77777777" w:rsidR="00706701" w:rsidRPr="0021480B" w:rsidRDefault="0070670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lang w:eastAsia="en-GB"/>
              </w:rPr>
              <w:t> 0370 – 0480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3FFCE" w14:textId="6D2518D1" w:rsidR="00706701" w:rsidRPr="0021480B" w:rsidRDefault="00706701" w:rsidP="005D3C49">
            <w:pPr>
              <w:pStyle w:val="ListParagraph"/>
              <w:numPr>
                <w:ilvl w:val="0"/>
                <w:numId w:val="42"/>
              </w:numPr>
              <w:ind w:hanging="72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Komponent finanzjarju (FC)</w:t>
            </w:r>
          </w:p>
        </w:tc>
      </w:tr>
      <w:tr w:rsidR="00706701" w:rsidRPr="0021480B" w14:paraId="032734A1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4724D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1F2C1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tal-portafoll tan-negozjar</w:t>
            </w:r>
          </w:p>
          <w:p w14:paraId="52BBA148" w14:textId="4335F393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tal-portafoll tan-negozjar għandu jiġi kkalkolat skont l-Artikolu 314(6) tar-Regolament (UE) Nru 575/2013.</w:t>
            </w:r>
          </w:p>
        </w:tc>
      </w:tr>
      <w:tr w:rsidR="00706701" w:rsidRPr="0021480B" w14:paraId="4AC1D375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AC66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B1772" w14:textId="29EF25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Profitt jew (-) telf nett applikabbli għall-portafoll tan-negozjar</w:t>
            </w:r>
          </w:p>
          <w:p w14:paraId="7DFF44B4" w14:textId="78716B45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Il-profitt jew it-telf nett applikabbli għall-portafoll tan-negozjar għandu jiġi kkalkolat bħala s-somma ta’:</w:t>
            </w:r>
          </w:p>
          <w:p w14:paraId="44FBBADB" w14:textId="322D2290" w:rsidR="00706701" w:rsidRPr="0021480B" w:rsidRDefault="00706701" w:rsidP="3B06A01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Qligħ jew (-) telf fuq assi u obbligazzjonijiet finanzjarji miżmuma għan-negozjar u negozjar, nett;</w:t>
            </w:r>
          </w:p>
          <w:p w14:paraId="09B047DE" w14:textId="0CE06CCB" w:rsidR="00706701" w:rsidRPr="0021480B" w:rsidRDefault="00706701" w:rsidP="008167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Qligħ jew (-) telf minn kontabilità għall-iħħeġġjar, nett, u differenzi fil-kambju [qligħ jew (-) telf], nett, relatat mal-portafoll tan-negozjar.</w:t>
            </w:r>
          </w:p>
        </w:tc>
      </w:tr>
      <w:tr w:rsidR="00706701" w:rsidRPr="0021480B" w14:paraId="44DE133C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A181C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0390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B8D2A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Qligħ jew (-) telf fuq assi u obbligazzjonijiet finanzjarji miżmuma għan-negozjar jew għan-negozjar, nett</w:t>
            </w:r>
          </w:p>
          <w:p w14:paraId="36FDE244" w14:textId="18BA5FB8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qligħ jew (-) telf fuq assi u obbligazzjonijiet finanzjarji miżmuma għan-negozjar f’konformità mal-Anness V, il-Parti 2, il-paragrafi 43 u 46 tas-soluzzjonijiet tal-IT tal-EBA jew fuq assi u obbligazzjonijiet finanzjarji tan-negozjar f’konformità mal-BAD</w:t>
            </w:r>
            <w:r w:rsidR="00782176" w:rsidRPr="0021480B">
              <w:rPr>
                <w:rFonts w:ascii="Times New Roman" w:hAnsi="Times New Roman"/>
                <w:sz w:val="24"/>
                <w:vertAlign w:val="superscript"/>
              </w:rPr>
              <w:footnoteReference w:id="5"/>
            </w:r>
            <w:r w:rsidRPr="0021480B">
              <w:rPr>
                <w:rFonts w:ascii="Times New Roman" w:hAnsi="Times New Roman"/>
                <w:sz w:val="24"/>
              </w:rPr>
              <w:t xml:space="preserve"> l-Art 27. Tqassim vertikali(6).</w:t>
            </w:r>
          </w:p>
        </w:tc>
      </w:tr>
      <w:tr w:rsidR="00706701" w:rsidRPr="0021480B" w14:paraId="1E21BAF1" w14:textId="77777777" w:rsidTr="402ED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4B80C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0400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5044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Portafoll tan-negozjar - Qligħ jew (-) telf mill-kontabilità għall-iħħeġġjar, nett</w:t>
            </w:r>
          </w:p>
          <w:p w14:paraId="63C52B79" w14:textId="088F08BA" w:rsidR="00706701" w:rsidRPr="0021480B" w:rsidRDefault="007067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L-istituzzjonijiet għandhom jirrapportaw il-qligħ jew (-) it-telf mill-kontabilità għall-iħħeġġjar, nett taħt il-komponent tal-portafoll tan-negozjar biss f’dawk iċ-ċirkostanzi eċċezzjonali fejn il-kontabilità għall-iħħeġġjar, ikkalkolata f’konformità mal-Anness V, il-Parti 2, il-paragrafu 47 tas-soluzzjonijiet tal-IT tal-EBA jew f’konformità mal-Artikolu 8(1)(a), (6), (8) tad-Direttiva dwar il-Kontabilità tintuża għall-iħħeġġjar ta’ assi u obbligazzjonijiet finanzjarji miżmuma għan-negozjar jew għan-negozjar ta’ assi u obbligazzjonijiet finanzjarji. </w:t>
            </w:r>
          </w:p>
        </w:tc>
      </w:tr>
      <w:tr w:rsidR="00706701" w:rsidRPr="0021480B" w14:paraId="3A14AC8B" w14:textId="77777777" w:rsidTr="402ED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7E4E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0410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2625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Portafoll tan-negozjar - Differenzi fil-kambju [qligħ jew (-) telf], nett</w:t>
            </w:r>
          </w:p>
          <w:p w14:paraId="5ACB0892" w14:textId="77777777" w:rsidR="00706701" w:rsidRPr="0021480B" w:rsidRDefault="00706701" w:rsidP="3B06A0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id-differenzi fil-kambju [qligħ jew (-) telf], nett, biss meta tali differenzi, ikkalkolati f’konformità mal-IAS 21.28, 52(a) jew f’konformità mal-BAD l-Art 39 joriġinaw minn assi u obbligazzjonijiet finanzjarji miżmuma għan-negozjar jew assi u obbligazzjonijiet finanzjarji tan-negozjar.</w:t>
            </w:r>
          </w:p>
        </w:tc>
      </w:tr>
      <w:tr w:rsidR="00706701" w:rsidRPr="0021480B" w14:paraId="1B89B23D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C32BA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2E86E" w14:textId="36EDCD9F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Komponent tal-portafoll bankarju</w:t>
            </w:r>
          </w:p>
          <w:p w14:paraId="146255FE" w14:textId="40F6E39F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tal-portafoll bankarju għandu jiġi kkalkolat f’konformità mal-Artikolu 314(6) tar-Regolament (UE) Nru 575/2013.</w:t>
            </w:r>
          </w:p>
        </w:tc>
      </w:tr>
      <w:tr w:rsidR="00706701" w:rsidRPr="0021480B" w14:paraId="0AAEF4C9" w14:textId="77777777" w:rsidTr="402ED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79426" w14:textId="77777777" w:rsidR="00706701" w:rsidRPr="0021480B" w:rsidDel="000D7108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1BF1" w14:textId="1513E6A4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Profitt jew (-) telf nett applikabbli għall-portafoll bankarju</w:t>
            </w:r>
          </w:p>
          <w:p w14:paraId="047BD7DA" w14:textId="5BF61DFC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Il-profitt jew telf nett applikabbli għall-portafoll bankarju għandu jiġi kkalkolat bħala s-somma ta’:</w:t>
            </w:r>
          </w:p>
          <w:p w14:paraId="1E147DDF" w14:textId="0BE9227E" w:rsidR="00706701" w:rsidRPr="0021480B" w:rsidRDefault="00706701" w:rsidP="3B06A01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Qligħ jew (-) telf fuq l-irtirar tar-rikonoxximent tal-assi u l-obbligazzjonijiet finanzjarji mhux imkejla bil-valur ġust mgħoddija bħala profitt jew telf, nett;</w:t>
            </w:r>
          </w:p>
          <w:p w14:paraId="132D85EB" w14:textId="09DCFC5E" w:rsidR="00706701" w:rsidRPr="0021480B" w:rsidRDefault="00706701" w:rsidP="3B06A01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Qligħ jew (-) telf fuq assi finanzjarji mhux miżmuma għan-negozjar imkejla b’mod obbligatorju bil-valur ġust mgħoddija bħala profitt jew telf, nett;</w:t>
            </w:r>
          </w:p>
          <w:p w14:paraId="54773ACC" w14:textId="7DCA4549" w:rsidR="00706701" w:rsidRPr="0021480B" w:rsidRDefault="00706701" w:rsidP="3B06A01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Qligħ jew (-) telf fuq assi u obbligazzjonijiet finanzjarji deżinjati fil-valur ġust mgħoddija bħala profitt jew telf, nett;</w:t>
            </w:r>
          </w:p>
          <w:p w14:paraId="7D178750" w14:textId="04FD65E5" w:rsidR="00706701" w:rsidRPr="0021480B" w:rsidRDefault="00706701" w:rsidP="3B06A01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 xml:space="preserve">Qligħ jew (-) telf minn kontabilità għall-iħħeġġjar, differenzi netti u fil-kambju [qligħ jew (-) telf], netti, relatati mal-portafoll bankarju. </w:t>
            </w:r>
          </w:p>
        </w:tc>
      </w:tr>
      <w:tr w:rsidR="00706701" w:rsidRPr="0021480B" w14:paraId="0905234F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18C12" w14:textId="24E70AFF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7928F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Qligħ jew (-) telf fuq l-irtirar tar-rikonoxximent tal-assi finanzjarji u obbligazzjonijiet mhux imkejla bil-valur ġust mgħoddija bħala profitt jew telf, nett</w:t>
            </w:r>
          </w:p>
          <w:p w14:paraId="1804BE4C" w14:textId="5A871311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qligħ jew (-) telf fuq l-irtirar tar-rikonoxximent ta’ assi u obbligazzjonijiet finanzjarji mhux imkejla bil-valur ġust permezz ta’ profitt jew telf, nett f’konformità mal-Anness V, il-Parti 2, il-paragrafu 45 tas-soluzzjonijiet tal-IT tal-EBA jew tal-BAD l-Art 27.Tqassim vertikali(6).</w:t>
            </w:r>
          </w:p>
        </w:tc>
      </w:tr>
      <w:tr w:rsidR="00706701" w:rsidRPr="0021480B" w14:paraId="4C8FBB9B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83BEF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FF613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Qligħ jew (-) telf fuq assi finanzjarji mhux miżmuma għan-negozjar mkejla b’mod obbligatorju bil-valur ġust mgħoddija bħala profitt jew telf, nett</w:t>
            </w:r>
          </w:p>
          <w:p w14:paraId="701ABB48" w14:textId="0AF357E2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il-qligħ jew (-) it-telf fuq assi finanzjarji mhux miżmuma għan-negozjar b’mod obbligatorju bil-valur ġust permezz tal-profitt jew telf, nett f’konformità mal-Anness V, il-Parti 2, il-paragrafu 46 tas-soluzzjonijiet tal-IT tal-EBA.</w:t>
            </w:r>
          </w:p>
        </w:tc>
      </w:tr>
      <w:tr w:rsidR="00706701" w:rsidRPr="0021480B" w14:paraId="25AECDBE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D0C4A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D4AB4" w14:textId="77777777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Qligħ jew (-) telf fuq assi u obbligazzjonijiet finanzjarji deżinjati fil-valur ġust mgħoddija bħala profitt jew telf, nett</w:t>
            </w:r>
          </w:p>
          <w:p w14:paraId="38E43415" w14:textId="347F3160" w:rsidR="00706701" w:rsidRPr="0021480B" w:rsidRDefault="00706701" w:rsidP="00816707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L-istituzzjonijiet għandhom jirrapportaw qligħ jew (-) telf fuq assi u obbligazzjonijiet finanzjarji deżinjati fil-valur ġust permezz ta’ profitt jew telf,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nett f’konformità mal-Anness V, il-Parti 2, il-paragrafu 44 tas-soluzzjonijiet tal-IT tal-EBA.</w:t>
            </w:r>
          </w:p>
        </w:tc>
      </w:tr>
      <w:tr w:rsidR="00706701" w:rsidRPr="0021480B" w14:paraId="3F08E03B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7A9C5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0470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8C9CD" w14:textId="53D108FD" w:rsidR="00706701" w:rsidRPr="0021480B" w:rsidRDefault="00706701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Portafoll bankarju - Qligħ jew (-) telf minn kontabilità għall-iħħeġġjar, nett</w:t>
            </w:r>
          </w:p>
          <w:p w14:paraId="2A6D52A9" w14:textId="0E95F32A" w:rsidR="00706701" w:rsidRPr="0021480B" w:rsidRDefault="00706701" w:rsidP="00816707">
            <w:pPr>
              <w:jc w:val="left"/>
              <w:rPr>
                <w:rFonts w:ascii="Times New Roman" w:eastAsia="Segoe UI" w:hAnsi="Times New Roman"/>
                <w:color w:val="333333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il-qligħ jew (-) it-telf mill-kontabilità għall-iħħeġġjar, nett f’konformità mal-Anness V, il-Parti 2, il-paragrafu 47 tas-soluzzjonijiet tal-IT tal-EBA jew f’konformità mal-Artikolu 8(1)(a), (6), (8) tad-Direttiva dwar il-Kontabilità, meta dan il-qligħ jew telf joriġina minn assi u obbligazzjonijiet finanzjarji miżmuma fil-portafoll bankarju.</w:t>
            </w:r>
          </w:p>
        </w:tc>
      </w:tr>
      <w:tr w:rsidR="00706701" w:rsidRPr="0021480B" w14:paraId="425EAB46" w14:textId="77777777" w:rsidTr="402EDAAF">
        <w:trPr>
          <w:trHeight w:val="504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F122C" w14:textId="77777777" w:rsidR="00706701" w:rsidRPr="0021480B" w:rsidRDefault="00706701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0480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FA8C" w14:textId="77777777" w:rsidR="00706701" w:rsidRPr="0021480B" w:rsidRDefault="00706701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Portafoll bankarju - Differenzi fil-kambju [qligħ jew (-) telf], nett</w:t>
            </w:r>
          </w:p>
          <w:p w14:paraId="64BD0466" w14:textId="299E4A15" w:rsidR="00706701" w:rsidRPr="0021480B" w:rsidRDefault="00706701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id-differenzi fil-kambju [qligħ jew (−) telf], nett, f’konformità mal-IAS 21.28, 52 (a) jew f’konformità mal-Artikolu 39 tal-BAD, meta dawn id-differenzi joriġinaw minn assi u obbligazzjonijiet finanzjarji miżmuma fil-portafoll bankarju.</w:t>
            </w:r>
          </w:p>
        </w:tc>
      </w:tr>
    </w:tbl>
    <w:p w14:paraId="3BAED557" w14:textId="25A6B242" w:rsidR="00706701" w:rsidRPr="0021480B" w:rsidRDefault="009D4652" w:rsidP="00816707">
      <w:pPr>
        <w:keepNext/>
        <w:spacing w:before="240" w:after="240"/>
        <w:outlineLvl w:val="1"/>
        <w:rPr>
          <w:rFonts w:ascii="Times New Roman" w:eastAsia="Arial" w:hAnsi="Times New Roman"/>
          <w:b/>
          <w:sz w:val="24"/>
        </w:rPr>
      </w:pPr>
      <w:r w:rsidRPr="0021480B">
        <w:rPr>
          <w:rFonts w:ascii="Times New Roman" w:hAnsi="Times New Roman"/>
          <w:b/>
          <w:sz w:val="24"/>
        </w:rPr>
        <w:t>C 16.03 Tqassim tar-Riskju Operazzjonali (OPR BD)</w:t>
      </w:r>
    </w:p>
    <w:p w14:paraId="0786BD02" w14:textId="083AB539" w:rsidR="005537B7" w:rsidRPr="0021480B" w:rsidRDefault="005A02FF" w:rsidP="3B06A011">
      <w:pPr>
        <w:spacing w:before="0" w:after="240"/>
        <w:rPr>
          <w:rFonts w:ascii="Times New Roman" w:hAnsi="Times New Roman"/>
          <w:color w:val="000000" w:themeColor="text1"/>
          <w:sz w:val="24"/>
        </w:rPr>
      </w:pPr>
      <w:r w:rsidRPr="0021480B">
        <w:rPr>
          <w:rStyle w:val="DNEx2"/>
        </w:rPr>
        <w:t xml:space="preserve">141 j </w:t>
      </w:r>
      <w:r w:rsidRPr="0021480B">
        <w:rPr>
          <w:rFonts w:ascii="Times New Roman" w:hAnsi="Times New Roman"/>
          <w:color w:val="000000" w:themeColor="text1"/>
          <w:sz w:val="24"/>
        </w:rPr>
        <w:t>F’konformità mal-Artikolu 314(5) tar-Regolament (UE) Nru 575/2013, dan il-mudell jipprovdi informazzjoni dettaljata dwar telf, spejjeż, provvedimenti u impatti finanzjarji oħrajn, minn operazzjonijiet bankarji ordinarji, minħabba eventi ta’ riskju operazzjonali meqjusa fi kwalunkwe entrata tar-rapport tal-profitt u t-telf. F’każ li dan it-telf, l-ispejjeż, il-provvedimenti u telf finanzjarju ieħor ma jkunux dovuti għal eventi ta’ riskju operazzjonali, dawn ma jinqabdux minn din il-mudell u minflok jiġu rrapportati fit-taqsima ILDC tal-mudell C 16.02. L-entrati rrapportati hawnhekk idaħħlu l-kalkolu ta’ spejjeż operattivi oħra fil-mudell C 16.02 li jintużaw biex jiġi kkalkolat l-SC tal-BI.</w:t>
      </w:r>
    </w:p>
    <w:p w14:paraId="442B3A41" w14:textId="79CB4E46" w:rsidR="008D04DE" w:rsidRPr="0021480B" w:rsidRDefault="008D04DE" w:rsidP="3B06A011">
      <w:pPr>
        <w:spacing w:before="0" w:after="240"/>
        <w:rPr>
          <w:rFonts w:ascii="Times New Roman" w:hAnsi="Times New Roman"/>
          <w:sz w:val="24"/>
        </w:rPr>
      </w:pPr>
      <w:r w:rsidRPr="0021480B">
        <w:rPr>
          <w:rStyle w:val="DNEx2"/>
        </w:rPr>
        <w:t xml:space="preserve">141 ja. </w:t>
      </w:r>
      <w:r w:rsidRPr="0021480B">
        <w:rPr>
          <w:rFonts w:ascii="Times New Roman" w:hAnsi="Times New Roman"/>
          <w:sz w:val="24"/>
        </w:rPr>
        <w:t>Permezz ta’ kolonna, l-istituzzjonijiet għandhom jirrapportaw il-valur skont l-istandard tal-kontabilità applikabbli għal kull waħda mill-aħħar tliet snin finanzjarji. L-istituzzjonijiet għandhom jirrieżaminaw il-valuri kontabilistiċi rrapportati fuq bażi regolari u, fejn applikabbli, jaġġustawhom biex jirriflettu l-impatt tal-fużjonijiet, tal-akkwiżizzjonijiet u tad-disponimenti f’konformità mal-Artikolu 315(1) u (2) tar-Regolament (UE) Nru 575/2013.</w:t>
      </w:r>
    </w:p>
    <w:p w14:paraId="4A051934" w14:textId="729C45E2" w:rsidR="0014735F" w:rsidRPr="0021480B" w:rsidRDefault="0014735F" w:rsidP="008D04DE">
      <w:pPr>
        <w:spacing w:before="0" w:after="240"/>
        <w:rPr>
          <w:rFonts w:ascii="Times New Roman" w:hAnsi="Times New Roman"/>
          <w:sz w:val="24"/>
        </w:rPr>
      </w:pPr>
      <w:r w:rsidRPr="0021480B">
        <w:rPr>
          <w:rStyle w:val="DNEx2"/>
        </w:rPr>
        <w:t xml:space="preserve">141 jb. </w:t>
      </w:r>
      <w:r w:rsidRPr="0021480B">
        <w:rPr>
          <w:rFonts w:ascii="Times New Roman" w:hAnsi="Times New Roman"/>
          <w:sz w:val="24"/>
        </w:rPr>
        <w:t>Meta istituzzjoni tkun soġġetta għad-deroga msemmija fl-Artikolu 314(4) tar-Regolament (UE) Nru 575/2013, l-istituzzjoni ma għandha tinkludi f’dan il-mudell l-ebda ċifra mil-linji operatorji tal-operazzjonijiet bankarji għall-konsumatur u/jew tas-servizzi bankarji kummerċjali, f’konformità mal-istruzzjonijiet għall-mudell C 16.02.</w:t>
      </w:r>
    </w:p>
    <w:p w14:paraId="41A152DD" w14:textId="77777777" w:rsidR="008F173B" w:rsidRPr="0021480B" w:rsidRDefault="008F173B" w:rsidP="00816707">
      <w:pPr>
        <w:keepNext/>
        <w:spacing w:before="0" w:after="240"/>
        <w:rPr>
          <w:rFonts w:ascii="Times New Roman" w:hAnsi="Times New Roman"/>
          <w:sz w:val="24"/>
          <w:u w:val="single"/>
        </w:rPr>
      </w:pPr>
      <w:r w:rsidRPr="0021480B">
        <w:rPr>
          <w:rFonts w:ascii="Times New Roman" w:hAnsi="Times New Roman"/>
          <w:sz w:val="24"/>
          <w:u w:val="single"/>
        </w:rPr>
        <w:t>Struzzjonijiet dwar pożizzjonijiet speċifiċi: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8240"/>
      </w:tblGrid>
      <w:tr w:rsidR="009F552B" w:rsidRPr="0021480B" w14:paraId="0B7107E1" w14:textId="77777777" w:rsidTr="3B06A011">
        <w:trPr>
          <w:trHeight w:val="696"/>
        </w:trPr>
        <w:tc>
          <w:tcPr>
            <w:tcW w:w="9209" w:type="dxa"/>
            <w:gridSpan w:val="2"/>
            <w:shd w:val="clear" w:color="auto" w:fill="CCCCCC"/>
          </w:tcPr>
          <w:p w14:paraId="69A21E4B" w14:textId="633881A3" w:rsidR="009F552B" w:rsidRPr="0021480B" w:rsidRDefault="009F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 xml:space="preserve">Ringieli </w:t>
            </w:r>
          </w:p>
        </w:tc>
      </w:tr>
      <w:tr w:rsidR="009F552B" w:rsidRPr="0021480B" w14:paraId="721FFF22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7F40B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0010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168" w14:textId="7DC10E07" w:rsidR="009F552B" w:rsidRPr="0021480B" w:rsidRDefault="004B40A6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tal-imgħax)</w:t>
            </w:r>
          </w:p>
          <w:p w14:paraId="5797B5A2" w14:textId="18A0A5CE" w:rsidR="009F552B" w:rsidRPr="0021480B" w:rsidRDefault="009F552B" w:rsidP="00816707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l-ispejjeż tal-imgħax relatati ma’ eventi ta’ riskju operazzjonali f’konformità mal-Anness V, il-Parti 2, il-paragrafu 31 tas-soluzzjonijiet tal-IT tal-EBA u skont l-ispeċifikazzjonijiet ulterjuri mill-Anness V, il-Parti 2, il-paragrafi 188, 190 u 194ii tas-soluzzjonijiet tal-IT tal-EBA.</w:t>
            </w:r>
          </w:p>
        </w:tc>
      </w:tr>
      <w:tr w:rsidR="009F552B" w:rsidRPr="0021480B" w14:paraId="6E34E84D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BC226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0020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CF4" w14:textId="00388BC4" w:rsidR="009F552B" w:rsidRPr="0021480B" w:rsidRDefault="004B40A6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Operatorji Oħrajn)</w:t>
            </w:r>
          </w:p>
          <w:p w14:paraId="61FAD11B" w14:textId="66058E06" w:rsidR="009F552B" w:rsidRPr="0021480B" w:rsidRDefault="009F552B" w:rsidP="00816707">
            <w:p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il-bqija tal-ispejjeż operatorji oħrajn (Spejjeż Operatorji Oħrajn. Oħrajn) f’konformità mal-Anness V, il-Parti 2, il-paragrafi 314 u 316 tas-soluzzjonijiet tal-IT tal-EBA, jekk ma jkunux relatati ma’ assi mogħtija b’lokazzjoni u jkunu dovuti għal eventi ta’ riskju operazzjonali.</w:t>
            </w:r>
          </w:p>
        </w:tc>
      </w:tr>
      <w:tr w:rsidR="009F552B" w:rsidRPr="0021480B" w14:paraId="1F305268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0B699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0030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09B0" w14:textId="7F60A28D" w:rsidR="009F552B" w:rsidRPr="0021480B" w:rsidRDefault="004B40A6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(Spejjeż amministrattivi)</w:t>
            </w:r>
          </w:p>
          <w:p w14:paraId="61C27363" w14:textId="1552BB56" w:rsidR="009F552B" w:rsidRPr="0021480B" w:rsidRDefault="009F552B" w:rsidP="00816707">
            <w:pPr>
              <w:keepNext/>
              <w:jc w:val="left"/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dan li ġej, minħabba eventi ta’ riskju operazzjonali:</w:t>
            </w:r>
          </w:p>
          <w:p w14:paraId="7BD17D9E" w14:textId="7D2BD965" w:rsidR="009F552B" w:rsidRPr="0021480B" w:rsidRDefault="009F552B" w:rsidP="3B06A011">
            <w:pPr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spejjeż tal-persunal f’konformità mal-IAS 19.7; l-IAS 1.102, l-IG 6 / il-BAD l-Art 27. Tqassim vertikali (8)(a) u kif imsemmi fil-Parti 2, il-paragrafu 311 tal-Anness V għas-soluzzjonijiet tal-IT tal-EBA;</w:t>
            </w:r>
          </w:p>
          <w:p w14:paraId="0EBA8EBF" w14:textId="76BE017A" w:rsidR="009F552B" w:rsidRPr="0021480B" w:rsidRDefault="009F552B" w:rsidP="3B06A011">
            <w:pPr>
              <w:numPr>
                <w:ilvl w:val="0"/>
                <w:numId w:val="39"/>
              </w:numPr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spejjeż amministrattivi oħrajn f’konformità mal-Anness V, il-Parti 2, il-paragrafi 208i sa 208x tas-soluzzjonijiet tal-IT tal-EBA.</w:t>
            </w:r>
          </w:p>
          <w:p w14:paraId="57562758" w14:textId="563AF0E3" w:rsidR="009F552B" w:rsidRPr="0021480B" w:rsidRDefault="009F552B" w:rsidP="0081670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jeskludu dawk it-tariffi tal-esternalizzazzjoni mħallsa għall-forniment ta’ servizzi finanzjarji f’każ li jkunu inklużi taħt spejjeż amministrattivi taħt il-qafas tal-kontabilità applikabbli.</w:t>
            </w:r>
          </w:p>
        </w:tc>
      </w:tr>
      <w:tr w:rsidR="009F552B" w:rsidRPr="0021480B" w14:paraId="4D402FC3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627CA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0040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3938" w14:textId="1F756F4A" w:rsidR="009F552B" w:rsidRPr="0021480B" w:rsidRDefault="004B40A6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(Deprezzament minħabba eventi ta’ riskju operazzjonali)</w:t>
            </w:r>
          </w:p>
          <w:p w14:paraId="1F7B0374" w14:textId="2E380EC1" w:rsidR="009F552B" w:rsidRPr="0021480B" w:rsidRDefault="009F552B" w:rsidP="008167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deprezzament f’konformità mal-IAS 1.102, 104 li huwa dovut għal eventi ta’ riskju operazzjonali minbarra deprezzament relatat ma’ assi mogħtija b’lokazzjoni.</w:t>
            </w:r>
          </w:p>
        </w:tc>
      </w:tr>
      <w:tr w:rsidR="009F552B" w:rsidRPr="0021480B" w14:paraId="54B44559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535A4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0050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A56" w14:textId="1A002FE2" w:rsidR="009F552B" w:rsidRPr="0021480B" w:rsidRDefault="004B40A6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(Provvedimenti jew (-) riversjar tal-provvedimenti)</w:t>
            </w:r>
          </w:p>
          <w:p w14:paraId="4CCFA330" w14:textId="379AD73C" w:rsidR="009F552B" w:rsidRPr="0021480B" w:rsidRDefault="009F552B" w:rsidP="008167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provvedimenti jew (−) riversjar ta’ provvedimenti f’konformità mal-IAS 37.59, 84; l-IAS 1.98(b)(f)(g) u mal-Anness V, il-Parti 2, il-paragrafi 48i u 50 tas-soluzzjonijiet tal-IT tal-EBA li huma dovuti għal eventi ta’ riskju operazzjonali.</w:t>
            </w:r>
          </w:p>
        </w:tc>
      </w:tr>
      <w:tr w:rsidR="009F552B" w:rsidRPr="0021480B" w14:paraId="5C850028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54A2A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0060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723" w14:textId="1439C087" w:rsidR="009F552B" w:rsidRPr="0021480B" w:rsidRDefault="00674FCF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(Provvedimenti jew (-) riversjar ta’ provvedimenti)</w:t>
            </w:r>
          </w:p>
          <w:p w14:paraId="4D37D74D" w14:textId="77777777" w:rsidR="009F552B" w:rsidRPr="0021480B" w:rsidRDefault="009F552B" w:rsidP="00816707">
            <w:pPr>
              <w:keepNext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jirrapportaw, minħabba eventi ta’ riskju operazzjonali:</w:t>
            </w:r>
          </w:p>
          <w:p w14:paraId="724B79DD" w14:textId="78CC1E40" w:rsidR="009F552B" w:rsidRPr="0021480B" w:rsidRDefault="009F552B" w:rsidP="3B06A01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l-Indeboliment jew ir-riversjar ta’ indeboliment fuq assi finanzjarji mhux imkejla fil-valur ġust permezz ta’ profitt jew telf f’konformità mal-Anness V, il-Parti 2, il-paragrafi 51 u 53 tas-soluzzjonijiet tal-IT tal-EBA.</w:t>
            </w:r>
          </w:p>
          <w:p w14:paraId="0EC36168" w14:textId="3FF3C7AB" w:rsidR="009F552B" w:rsidRPr="0021480B" w:rsidRDefault="009F55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l-Indeboliment jew it-riversjar tal-indeboliment ta’ investimenti f’sussidjarji, impriżi konġunti u kumpaniji assoċjati, f’konformità mal-IAS 28, il-paragrafi 40 sa 43.</w:t>
            </w:r>
          </w:p>
          <w:p w14:paraId="787C8847" w14:textId="063FB4C8" w:rsidR="009F552B" w:rsidRPr="0021480B" w:rsidRDefault="009F552B" w:rsidP="3B06A01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L-indeboliment jew (-) ir-riversjar tal-indeboliment minħabba telf ta’ riskju ta’ kreditu ma għandux jitqies taħt din ir-ringiela irrispettivament mill-qafas tal-kontabilità rilevanti minħabba l-fatt li ma huwiex relatat ma’ eventi ta’ riskju operazzjonali.</w:t>
            </w:r>
          </w:p>
        </w:tc>
      </w:tr>
      <w:tr w:rsidR="009F552B" w:rsidRPr="0021480B" w14:paraId="0FA30EA7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3DBD0" w14:textId="77777777" w:rsidR="009F552B" w:rsidRPr="0021480B" w:rsidRDefault="009F552B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t>0070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996F" w14:textId="1883A186" w:rsidR="009F552B" w:rsidRPr="0021480B" w:rsidRDefault="005C6B6E" w:rsidP="005D2D2B">
            <w:pPr>
              <w:pStyle w:val="Style2"/>
            </w:pPr>
            <w:bookmarkStart w:id="60" w:name="_Hlk152863457"/>
            <w:r w:rsidRPr="0021480B">
              <w:t>(Oħrajn</w:t>
            </w:r>
            <w:bookmarkEnd w:id="60"/>
            <w:r w:rsidRPr="0021480B">
              <w:t>)</w:t>
            </w:r>
          </w:p>
          <w:p w14:paraId="772CE03A" w14:textId="4A3FD976" w:rsidR="009F552B" w:rsidRPr="0021480B" w:rsidRDefault="009F552B" w:rsidP="00816707">
            <w:pPr>
              <w:spacing w:before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il-bqija ta’ telf ieħor minħabba eventi ta’ riskju operazzjonali mhux inklużi f’dan ta’ hawn fuq.</w:t>
            </w:r>
          </w:p>
        </w:tc>
      </w:tr>
      <w:tr w:rsidR="009F552B" w:rsidRPr="0021480B" w14:paraId="122808DE" w14:textId="77777777" w:rsidTr="3B06A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5E0A0" w14:textId="77777777" w:rsidR="009F552B" w:rsidRPr="0021480B" w:rsidRDefault="009F552B">
            <w:pPr>
              <w:jc w:val="center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en-GB"/>
              </w:rPr>
              <w:lastRenderedPageBreak/>
              <w:t>0080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B06" w14:textId="42B91DEF" w:rsidR="009F552B" w:rsidRPr="0021480B" w:rsidRDefault="005C6B6E" w:rsidP="00816707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(Total)</w:t>
            </w:r>
          </w:p>
          <w:p w14:paraId="7430E0AB" w14:textId="77777777" w:rsidR="009F552B" w:rsidRPr="0021480B" w:rsidRDefault="009F552B">
            <w:pPr>
              <w:spacing w:before="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Għandu jkun is-somma tal-ammonti tar-ringieli minn 0010 sa 0070 ta’ din il-mudell.</w:t>
            </w:r>
          </w:p>
        </w:tc>
      </w:tr>
    </w:tbl>
    <w:p w14:paraId="46FBD577" w14:textId="77777777" w:rsidR="008F173B" w:rsidRPr="0021480B" w:rsidRDefault="008F173B" w:rsidP="00E150E9">
      <w:pPr>
        <w:spacing w:before="0" w:after="240"/>
        <w:rPr>
          <w:rFonts w:ascii="Times New Roman" w:hAnsi="Times New Roman"/>
          <w:sz w:val="24"/>
          <w:u w:val="single"/>
          <w:lang w:eastAsia="de-DE"/>
        </w:rPr>
      </w:pPr>
    </w:p>
    <w:p w14:paraId="34C0CC98" w14:textId="2F5C6465" w:rsidR="0006491B" w:rsidRPr="0021480B" w:rsidRDefault="00F14249" w:rsidP="00F14249">
      <w:pPr>
        <w:keepNext/>
        <w:spacing w:before="240" w:after="240"/>
        <w:outlineLvl w:val="1"/>
        <w:rPr>
          <w:rFonts w:ascii="Times New Roman" w:eastAsia="Arial" w:hAnsi="Times New Roman"/>
          <w:b/>
          <w:sz w:val="24"/>
          <w:u w:val="single"/>
        </w:rPr>
      </w:pPr>
      <w:r w:rsidRPr="0021480B">
        <w:rPr>
          <w:rFonts w:ascii="Times New Roman" w:hAnsi="Times New Roman"/>
          <w:b/>
          <w:sz w:val="24"/>
          <w:u w:val="single"/>
        </w:rPr>
        <w:t>C 16.04 – Informazzjoni dwar sussidjarji soġġetti għall-Artikolu 314(3)</w:t>
      </w:r>
    </w:p>
    <w:p w14:paraId="3BD38534" w14:textId="280DEE20" w:rsidR="0070736D" w:rsidRPr="0021480B" w:rsidRDefault="00350A84" w:rsidP="00816707">
      <w:pPr>
        <w:spacing w:before="240" w:after="240"/>
        <w:outlineLvl w:val="1"/>
        <w:rPr>
          <w:rFonts w:ascii="Times New Roman" w:hAnsi="Times New Roman"/>
          <w:sz w:val="24"/>
        </w:rPr>
      </w:pPr>
      <w:r w:rsidRPr="0021480B">
        <w:rPr>
          <w:rStyle w:val="DNEx2"/>
        </w:rPr>
        <w:t xml:space="preserve">141 k </w:t>
      </w:r>
      <w:r w:rsidRPr="0021480B">
        <w:rPr>
          <w:rFonts w:ascii="Times New Roman" w:hAnsi="Times New Roman"/>
          <w:sz w:val="24"/>
        </w:rPr>
        <w:t>Fil-każ ta’ rapportar ikkonsolidat, meta istituzzjoni tkun soġġetta għad-deroga msemmija fl-Artikolu 314(3), hija għandha tipprovdi informazzjoni dwar l-ILDC u s-subkomponenti tiegħu għal dawk l-istituzzjonijiet sussidjarji li għalihom jiġi kkalkolat ILDC separat. Għandha tiġi pprovduta ringiela separata għal kull istituzzjoni sussidjarja. Il-bilanċi bejn il-kumpaniji sussidjarji soġġetti għad-deroga msemmija fl-Artikolu 314(3) u l-bqija tal-grupp għandhom jiġu eliminati.</w:t>
      </w:r>
    </w:p>
    <w:p w14:paraId="6A4F0063" w14:textId="77394F39" w:rsidR="006127C5" w:rsidRPr="0021480B" w:rsidRDefault="006B4564" w:rsidP="00816707">
      <w:pPr>
        <w:keepNext/>
        <w:spacing w:before="0" w:after="240"/>
        <w:rPr>
          <w:rFonts w:ascii="Times New Roman" w:hAnsi="Times New Roman"/>
          <w:sz w:val="24"/>
          <w:u w:val="single"/>
        </w:rPr>
      </w:pPr>
      <w:r w:rsidRPr="0021480B">
        <w:rPr>
          <w:rFonts w:ascii="Times New Roman" w:hAnsi="Times New Roman"/>
          <w:sz w:val="24"/>
          <w:u w:val="single"/>
        </w:rPr>
        <w:t>Struzzjonijiet dwar pożizzjonijiet speċifiċi:</w:t>
      </w:r>
    </w:p>
    <w:tbl>
      <w:tblPr>
        <w:tblStyle w:val="TableGrid"/>
        <w:tblW w:w="0" w:type="auto"/>
        <w:shd w:val="clear" w:color="auto" w:fill="BFBFBF" w:themeFill="background1" w:themeFillShade="BF"/>
        <w:tblLayout w:type="fixed"/>
        <w:tblLook w:val="06A0" w:firstRow="1" w:lastRow="0" w:firstColumn="1" w:lastColumn="0" w:noHBand="1" w:noVBand="1"/>
      </w:tblPr>
      <w:tblGrid>
        <w:gridCol w:w="1005"/>
        <w:gridCol w:w="8010"/>
      </w:tblGrid>
      <w:tr w:rsidR="006B3866" w:rsidRPr="0021480B" w14:paraId="7B074C2D" w14:textId="77777777" w:rsidTr="29F3C040">
        <w:trPr>
          <w:trHeight w:val="300"/>
        </w:trPr>
        <w:tc>
          <w:tcPr>
            <w:tcW w:w="9015" w:type="dxa"/>
            <w:gridSpan w:val="2"/>
            <w:shd w:val="clear" w:color="auto" w:fill="BFBFBF" w:themeFill="background1" w:themeFillShade="BF"/>
          </w:tcPr>
          <w:p w14:paraId="798B9606" w14:textId="77777777" w:rsidR="006B3866" w:rsidRPr="0021480B" w:rsidRDefault="006B3866" w:rsidP="00816707">
            <w:pPr>
              <w:keepNext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6B3866" w:rsidRPr="0021480B" w14:paraId="09575E6A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62025F0B" w14:textId="77777777" w:rsidR="006B3866" w:rsidRPr="0021480B" w:rsidRDefault="006B3866" w:rsidP="00816707">
            <w:pPr>
              <w:keepNext/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0010</w:t>
            </w:r>
          </w:p>
        </w:tc>
        <w:tc>
          <w:tcPr>
            <w:tcW w:w="8010" w:type="dxa"/>
          </w:tcPr>
          <w:p w14:paraId="10051D37" w14:textId="77777777" w:rsidR="006B3866" w:rsidRPr="0021480B" w:rsidRDefault="006B3866" w:rsidP="00816707">
            <w:pPr>
              <w:keepNext/>
              <w:autoSpaceDE w:val="0"/>
              <w:autoSpaceDN w:val="0"/>
              <w:adjustRightInd w:val="0"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Isem tal-Entità Ġuridika</w:t>
            </w:r>
          </w:p>
          <w:p w14:paraId="2F3E6FE5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L-isem ta’ kull entità ġuridika;</w:t>
            </w:r>
          </w:p>
        </w:tc>
      </w:tr>
      <w:tr w:rsidR="006B3866" w:rsidRPr="0021480B" w14:paraId="0C574563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77CDC127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0020</w:t>
            </w:r>
          </w:p>
        </w:tc>
        <w:tc>
          <w:tcPr>
            <w:tcW w:w="8010" w:type="dxa"/>
          </w:tcPr>
          <w:p w14:paraId="2B77DB4C" w14:textId="77777777" w:rsidR="006B3866" w:rsidRPr="0021480B" w:rsidRDefault="006B3866" w:rsidP="00816707">
            <w:pPr>
              <w:keepNext/>
              <w:autoSpaceDE w:val="0"/>
              <w:autoSpaceDN w:val="0"/>
              <w:adjustRightInd w:val="0"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Kodiċi LEI</w:t>
            </w:r>
          </w:p>
          <w:p w14:paraId="3024BC44" w14:textId="46C93A37" w:rsidR="006B3866" w:rsidRPr="0021480B" w:rsidRDefault="006B3866">
            <w:pPr>
              <w:spacing w:before="0" w:after="240"/>
              <w:jc w:val="left"/>
              <w:rPr>
                <w:rFonts w:ascii="Times New Roman" w:eastAsia="Arial" w:hAnsi="Times New Roman"/>
                <w:sz w:val="24"/>
                <w:szCs w:val="20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Il-kodiċi ta’ identifikazzjoni tal-entità ġuridika </w:t>
            </w:r>
          </w:p>
        </w:tc>
      </w:tr>
      <w:tr w:rsidR="006B3866" w:rsidRPr="0021480B" w14:paraId="08733BAF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0B0DA1CA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0030</w:t>
            </w:r>
          </w:p>
        </w:tc>
        <w:tc>
          <w:tcPr>
            <w:tcW w:w="8010" w:type="dxa"/>
          </w:tcPr>
          <w:p w14:paraId="2504660D" w14:textId="77777777" w:rsidR="006B3866" w:rsidRPr="0021480B" w:rsidRDefault="006B3866" w:rsidP="00816707">
            <w:pPr>
              <w:keepNext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ILDC</w:t>
            </w:r>
          </w:p>
          <w:p w14:paraId="34CBC5E2" w14:textId="77777777" w:rsidR="006B3866" w:rsidRPr="0021480B" w:rsidRDefault="006B3866" w:rsidP="29F3C040">
            <w:pPr>
              <w:spacing w:before="0" w:after="24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Il-komponent tal-imgħax, tal-kirjiet u tad-dividendi (ILDC) għandu jiġi kkalkolat f’konformità mal-Artikolu 314(2) tar-Regolament (UE) Nru 575/2013.</w:t>
            </w:r>
          </w:p>
        </w:tc>
      </w:tr>
      <w:tr w:rsidR="006B3866" w:rsidRPr="0021480B" w14:paraId="0236EA38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47C54E1D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0040</w:t>
            </w:r>
          </w:p>
        </w:tc>
        <w:tc>
          <w:tcPr>
            <w:tcW w:w="8010" w:type="dxa"/>
          </w:tcPr>
          <w:p w14:paraId="77528872" w14:textId="77777777" w:rsidR="006B3866" w:rsidRPr="0021480B" w:rsidRDefault="006B3866" w:rsidP="00816707">
            <w:pPr>
              <w:keepNext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IC</w:t>
            </w:r>
          </w:p>
          <w:p w14:paraId="34497C6B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</w:rPr>
              <w:t>Il-komponent tal-imgħax (IC) għandu jiġi kkalkolat f’konformità mal-Artikolu 314(2) tar-Regolament (UE) Nru 575/2013.</w:t>
            </w:r>
          </w:p>
        </w:tc>
      </w:tr>
      <w:tr w:rsidR="006B3866" w:rsidRPr="0021480B" w14:paraId="40B86984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0FC4158D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0050</w:t>
            </w:r>
          </w:p>
        </w:tc>
        <w:tc>
          <w:tcPr>
            <w:tcW w:w="8010" w:type="dxa"/>
          </w:tcPr>
          <w:p w14:paraId="707B8655" w14:textId="77777777" w:rsidR="006B3866" w:rsidRPr="0021480B" w:rsidRDefault="006B3866" w:rsidP="00816707">
            <w:pPr>
              <w:keepNext/>
              <w:autoSpaceDE w:val="0"/>
              <w:autoSpaceDN w:val="0"/>
              <w:adjustRightInd w:val="0"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AC</w:t>
            </w:r>
          </w:p>
          <w:p w14:paraId="4DDD5FFE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tal-assi (AC) għandu jiġi kkalkolat f’konformità mal-Artikolu 314(2) tar-Regolament (UE) Nru 575/2013</w:t>
            </w:r>
          </w:p>
        </w:tc>
      </w:tr>
      <w:tr w:rsidR="006B3866" w:rsidRPr="0021480B" w14:paraId="56C68C88" w14:textId="77777777" w:rsidTr="29F3C040">
        <w:trPr>
          <w:trHeight w:val="300"/>
        </w:trPr>
        <w:tc>
          <w:tcPr>
            <w:tcW w:w="1005" w:type="dxa"/>
            <w:shd w:val="clear" w:color="auto" w:fill="BFBFBF" w:themeFill="background1" w:themeFillShade="BF"/>
          </w:tcPr>
          <w:p w14:paraId="7DB4C969" w14:textId="77777777" w:rsidR="006B3866" w:rsidRPr="0021480B" w:rsidRDefault="006B3866">
            <w:pPr>
              <w:spacing w:before="0" w:after="240"/>
              <w:jc w:val="left"/>
              <w:rPr>
                <w:rFonts w:ascii="Times New Roman" w:hAnsi="Times New Roman"/>
                <w:sz w:val="24"/>
                <w:highlight w:val="darkGray"/>
              </w:rPr>
            </w:pPr>
            <w:r w:rsidRPr="0021480B">
              <w:rPr>
                <w:rFonts w:ascii="Times New Roman" w:hAnsi="Times New Roman"/>
                <w:sz w:val="24"/>
                <w:highlight w:val="darkGray"/>
                <w:lang w:val="en-GB" w:eastAsia="es-ES_tradnl"/>
              </w:rPr>
              <w:t>0060</w:t>
            </w:r>
          </w:p>
        </w:tc>
        <w:tc>
          <w:tcPr>
            <w:tcW w:w="8010" w:type="dxa"/>
          </w:tcPr>
          <w:p w14:paraId="1B9FC6E5" w14:textId="77777777" w:rsidR="006B3866" w:rsidRPr="0021480B" w:rsidRDefault="006B3866" w:rsidP="00816707">
            <w:pPr>
              <w:keepNext/>
              <w:autoSpaceDE w:val="0"/>
              <w:autoSpaceDN w:val="0"/>
              <w:adjustRightInd w:val="0"/>
              <w:spacing w:before="0" w:after="24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b/>
                <w:sz w:val="24"/>
                <w:u w:val="single"/>
              </w:rPr>
              <w:t>DC</w:t>
            </w:r>
          </w:p>
          <w:p w14:paraId="5B9DFB82" w14:textId="77777777" w:rsidR="006B3866" w:rsidRPr="0021480B" w:rsidRDefault="006B3866" w:rsidP="29F3C040">
            <w:pPr>
              <w:autoSpaceDE w:val="0"/>
              <w:autoSpaceDN w:val="0"/>
              <w:adjustRightInd w:val="0"/>
              <w:spacing w:before="0" w:after="24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0B">
              <w:rPr>
                <w:rFonts w:ascii="Times New Roman" w:hAnsi="Times New Roman"/>
                <w:color w:val="000000" w:themeColor="text1"/>
                <w:sz w:val="24"/>
              </w:rPr>
              <w:t>Il-komponent tad-dividendi (DC) għandu jiġi kkalkolat f’konformità mal-Artikolu 314(2) tar-Regolament (UE) Nru 575/2013.</w:t>
            </w:r>
          </w:p>
        </w:tc>
      </w:tr>
    </w:tbl>
    <w:p w14:paraId="21F9BF35" w14:textId="58517957" w:rsidR="007E561D" w:rsidRPr="0021480B" w:rsidRDefault="00FD54FC" w:rsidP="005D3C49">
      <w:pPr>
        <w:pStyle w:val="Instructionsberschrift2"/>
        <w:numPr>
          <w:ilvl w:val="1"/>
          <w:numId w:val="41"/>
        </w:numPr>
        <w:ind w:left="567" w:hanging="567"/>
        <w:rPr>
          <w:rFonts w:ascii="Times New Roman" w:hAnsi="Times New Roman" w:cs="Times New Roman"/>
          <w:sz w:val="24"/>
        </w:rPr>
      </w:pPr>
      <w:r w:rsidRPr="0021480B">
        <w:rPr>
          <w:rFonts w:ascii="Times New Roman" w:hAnsi="Times New Roman"/>
          <w:sz w:val="24"/>
        </w:rPr>
        <w:lastRenderedPageBreak/>
        <w:t>Riskju Operazzjonali: Informazzjoni dettaljata dwar it-telf fl-aħħar sena (DETTALJI OPR)</w:t>
      </w:r>
      <w:bookmarkEnd w:id="56"/>
      <w:bookmarkEnd w:id="57"/>
    </w:p>
    <w:p w14:paraId="430B891B" w14:textId="4472DD48" w:rsidR="00FD54FC" w:rsidRPr="0021480B" w:rsidRDefault="00FD54FC" w:rsidP="005D3C49">
      <w:pPr>
        <w:pStyle w:val="Instructionsberschrift2"/>
        <w:numPr>
          <w:ilvl w:val="2"/>
          <w:numId w:val="41"/>
        </w:numPr>
        <w:ind w:left="709" w:hanging="709"/>
        <w:rPr>
          <w:rFonts w:ascii="Times New Roman" w:hAnsi="Times New Roman" w:cs="Times New Roman"/>
          <w:sz w:val="24"/>
        </w:rPr>
      </w:pPr>
      <w:bookmarkStart w:id="61" w:name="_Toc473561024"/>
      <w:bookmarkStart w:id="62" w:name="_Toc152862718"/>
      <w:r w:rsidRPr="0021480B">
        <w:rPr>
          <w:rFonts w:ascii="Times New Roman" w:hAnsi="Times New Roman"/>
          <w:sz w:val="24"/>
        </w:rPr>
        <w:t>Kummenti Ġenerali</w:t>
      </w:r>
      <w:bookmarkEnd w:id="61"/>
      <w:bookmarkEnd w:id="62"/>
    </w:p>
    <w:p w14:paraId="4AD0CC5E" w14:textId="39750429" w:rsidR="002871CE" w:rsidRPr="0021480B" w:rsidRDefault="005C14B0" w:rsidP="00A768EA">
      <w:pPr>
        <w:pStyle w:val="InstructionsText2"/>
        <w:numPr>
          <w:ilvl w:val="0"/>
          <w:numId w:val="29"/>
        </w:numPr>
      </w:pPr>
      <w:bookmarkStart w:id="63" w:name="_Hlk152855791"/>
      <w:r w:rsidRPr="0021480B">
        <w:t xml:space="preserve"> Il-mudell C 17.01 (DETTALJI OPR 1) jiġbor fil-qosor l-informazzjoni dwar it-telf gross u l-irkupri tat-telf irreġistrati minn istituzzjoni fl-aħħar sena skont it-tipi ta’ eventi u l-linji operatorji, skont id-definizzjonijiet fit-Tabella 1 u t-Tabella 2 f’din it-taqsima. Il-mudell C 17.02 (DETTALJI OPR 2) jipprovdi informazzjoni dettaljata fuq l-ikbar eventi ta’ telf fl-aktar sena riċenti. Għandhom jinqabdu biss l-eventi li jirriżultaw f’telf.</w:t>
      </w:r>
    </w:p>
    <w:p w14:paraId="2FD685B4" w14:textId="42F38B19" w:rsidR="00C30107" w:rsidRPr="0021480B" w:rsidRDefault="00C30107" w:rsidP="00816707">
      <w:pPr>
        <w:pStyle w:val="InstructionsText2"/>
        <w:keepNext/>
        <w:numPr>
          <w:ilvl w:val="0"/>
          <w:numId w:val="0"/>
        </w:numPr>
      </w:pPr>
      <w:r w:rsidRPr="0021480B">
        <w:t>Tabella 1:  Tipi ta’ eventi għal eventi ta’ riskju operazzjonali</w:t>
      </w:r>
    </w:p>
    <w:tbl>
      <w:tblPr>
        <w:tblStyle w:val="TableGrid"/>
        <w:tblW w:w="9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86"/>
        <w:gridCol w:w="6450"/>
      </w:tblGrid>
      <w:tr w:rsidR="00C30107" w:rsidRPr="0021480B" w14:paraId="05960DF2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5C5B7" w14:textId="77777777" w:rsidR="00C30107" w:rsidRPr="0021480B" w:rsidRDefault="00C30107" w:rsidP="00816707">
            <w:pPr>
              <w:keepNext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Kategorija tat-tip ta’ eventi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EB72D" w14:textId="77777777" w:rsidR="00C30107" w:rsidRPr="0021480B" w:rsidRDefault="00C30107" w:rsidP="00816707">
            <w:pPr>
              <w:keepNext/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Definizzjoni</w:t>
            </w:r>
          </w:p>
        </w:tc>
      </w:tr>
      <w:tr w:rsidR="00C30107" w:rsidRPr="0021480B" w14:paraId="5ACB2D58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1B329" w14:textId="77777777" w:rsidR="00C30107" w:rsidRPr="0021480B" w:rsidRDefault="00C30107" w:rsidP="00816707">
            <w:pPr>
              <w:keepNext/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Frodi interna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31938" w14:textId="77777777" w:rsidR="00C30107" w:rsidRPr="0021480B" w:rsidRDefault="00C30107" w:rsidP="00816707">
            <w:pPr>
              <w:keepNext/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minħabba atti ta’ tip intiż għal iffrodar, miżapproprjazzjoni ta’ proprjetà jew evażjoni tar-regolamenti, il-liġi jew il-politika tal-kumpanija, filwaqt li jiġu esklużi eventi ta’ diversità/diskriminazzjoni, li jinvolvu mill-inqas parti interna waħda</w:t>
            </w:r>
          </w:p>
        </w:tc>
      </w:tr>
      <w:tr w:rsidR="00C30107" w:rsidRPr="0021480B" w14:paraId="37555D1F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7650E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Frodi esterna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CACFE" w14:textId="77777777" w:rsidR="00C30107" w:rsidRPr="0021480B" w:rsidRDefault="00C30107" w:rsidP="29F3C040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minħabba atti ta’ tip intiż għal iffrodar, miżapproprjazzjoni ta’ proprjetà jew evażjoni tal-liġi, minn parti terza</w:t>
            </w:r>
          </w:p>
        </w:tc>
      </w:tr>
      <w:tr w:rsidR="00C30107" w:rsidRPr="0021480B" w14:paraId="1CC049D6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247B9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Prattiki tal-Impjieg u Sigurtà fuq il-post tax-Xogħol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67FC3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li jirriżulta minn atti inkonsistenti mal-liġijiet jew il-ftehimiet dwar l-impjiegi, is-saħħa jew is-sikurezza, mill-ħlas ta’ pretensjonijiet ta’ korriment personali, jew minn eventi ta’ diversità/diskriminazzjoni</w:t>
            </w:r>
          </w:p>
        </w:tc>
      </w:tr>
      <w:tr w:rsidR="00C30107" w:rsidRPr="0021480B" w14:paraId="6D787E8A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D6319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Klijenti, Prodotti u Prattiki tan-Negozju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F6D15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li jirriżulta minn nuqqas mhux intenzjonat jew negliġenti milli jintlaħaq obbligu professjonali għal klijenti speċifiċi (inklużi r-rekwiżiti fiduċjarji u ta’ adegwatezza), jew min-natura jew id-disinn ta’ prodott</w:t>
            </w:r>
          </w:p>
        </w:tc>
      </w:tr>
      <w:tr w:rsidR="00C30107" w:rsidRPr="0021480B" w14:paraId="06698FCA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B7203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Dannu għall-Assi Fiżiċi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1BCEC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li jirriżulta minn telf jew ħsara lill-assi fiżiċi minn diżastru naturali jew eventi oħrajn</w:t>
            </w:r>
          </w:p>
        </w:tc>
      </w:tr>
      <w:tr w:rsidR="00C30107" w:rsidRPr="0021480B" w14:paraId="54C7B685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DFAFF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Interruzzjoni tan-negozju u fallimenti tas-sistemi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52CE79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li jirriżulta minn tfixkil tan-negozju jew fallimenti tas-sistema</w:t>
            </w:r>
          </w:p>
        </w:tc>
      </w:tr>
      <w:tr w:rsidR="00C30107" w:rsidRPr="0021480B" w14:paraId="649DAAC7" w14:textId="77777777" w:rsidTr="29F3C040">
        <w:trPr>
          <w:trHeight w:val="300"/>
        </w:trPr>
        <w:tc>
          <w:tcPr>
            <w:tcW w:w="26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B1FFDC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Eżekuzzjoni, Twassil u Ġestjoni tal-Proċess</w:t>
            </w:r>
          </w:p>
        </w:tc>
        <w:tc>
          <w:tcPr>
            <w:tcW w:w="64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151D9" w14:textId="77777777" w:rsidR="00C30107" w:rsidRPr="0021480B" w:rsidRDefault="00C3010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minn proċessar ta’ tranżazzjonijiet li fallew jew ġestjoni ta’ proċessi, minn relazzjonijiet ma’ kontropartijiet kummerċjali u bejjiegħa</w:t>
            </w:r>
          </w:p>
        </w:tc>
      </w:tr>
    </w:tbl>
    <w:p w14:paraId="18C5F03D" w14:textId="77777777" w:rsidR="00C30107" w:rsidRPr="0021480B" w:rsidRDefault="00C30107" w:rsidP="00E434A1">
      <w:pPr>
        <w:pStyle w:val="InstructionsText2"/>
        <w:numPr>
          <w:ilvl w:val="0"/>
          <w:numId w:val="0"/>
        </w:numPr>
      </w:pPr>
    </w:p>
    <w:p w14:paraId="38E4F126" w14:textId="592D7E1F" w:rsidR="00C30107" w:rsidRPr="0021480B" w:rsidRDefault="00C30107" w:rsidP="00816707">
      <w:pPr>
        <w:pStyle w:val="InstructionsText2"/>
        <w:keepNext/>
        <w:numPr>
          <w:ilvl w:val="0"/>
          <w:numId w:val="0"/>
        </w:numPr>
      </w:pPr>
      <w:r w:rsidRPr="0021480B">
        <w:t>Tabella 2:  Linji ta’ negozju</w:t>
      </w:r>
    </w:p>
    <w:tbl>
      <w:tblPr>
        <w:tblW w:w="9136" w:type="dxa"/>
        <w:tblLayout w:type="fixed"/>
        <w:tblLook w:val="04A0" w:firstRow="1" w:lastRow="0" w:firstColumn="1" w:lastColumn="0" w:noHBand="0" w:noVBand="1"/>
      </w:tblPr>
      <w:tblGrid>
        <w:gridCol w:w="2400"/>
        <w:gridCol w:w="6736"/>
      </w:tblGrid>
      <w:tr w:rsidR="00105D77" w:rsidRPr="0021480B" w14:paraId="507A2BC0" w14:textId="77777777" w:rsidTr="00E62FFE">
        <w:trPr>
          <w:trHeight w:val="4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BB2DC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Linja operatorja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9965C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Lista ta’ attivitajiet</w:t>
            </w:r>
          </w:p>
        </w:tc>
      </w:tr>
      <w:tr w:rsidR="00105D77" w:rsidRPr="0021480B" w14:paraId="13EBFD82" w14:textId="77777777" w:rsidTr="00E62FFE">
        <w:trPr>
          <w:trHeight w:val="321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ED46E7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lastRenderedPageBreak/>
              <w:t>Finanzi korporattivi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60A2D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Sottoskrizzjoni ta’ strumenti finanzjarji jew it-tqegħid ta’ strumenti finanzjarji fuq bażi ta’ impenn sod</w:t>
            </w:r>
          </w:p>
          <w:p w14:paraId="2E81165F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Servizzi relatati mas-sottoskrizzjoni</w:t>
            </w:r>
          </w:p>
          <w:p w14:paraId="294412EE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Pariri dwar l-investiment</w:t>
            </w:r>
          </w:p>
          <w:p w14:paraId="3396F4D3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Pariri lill-impriżi dwar l-istruttura tal-kapital, l-istrateġija industrijali u kwistjonijiet relatati, u pariri u servizzi relatati mal-fużjonijiet u x-xiri ta’ impriżi</w:t>
            </w:r>
          </w:p>
          <w:p w14:paraId="413B1D9E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Riċerka dwar l-investiment u analiżi finanzjarja u forom oħra ta’ rakkomandazzjoni ġenerali relatati ma’ tranżazzjonijiet fi strumenti finanzjarji</w:t>
            </w:r>
          </w:p>
        </w:tc>
      </w:tr>
      <w:tr w:rsidR="00105D77" w:rsidRPr="0021480B" w14:paraId="60B3E933" w14:textId="77777777" w:rsidTr="00E62FFE">
        <w:trPr>
          <w:trHeight w:val="247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92629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Negozjar u bejgħ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9ED1A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Negozjar għall-kont proprju</w:t>
            </w:r>
          </w:p>
          <w:p w14:paraId="2C39E21A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Intermedjazzjoni fis-suq monetarju</w:t>
            </w:r>
          </w:p>
          <w:p w14:paraId="43A3C940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Riċeviment u trażmissjoni ta’ ordnijiet fir-rigward ta’ strument finanzjarju wieħed jew aktar</w:t>
            </w:r>
          </w:p>
          <w:p w14:paraId="7D6C72DD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L-eżekuzzjoni ta’ ordnijiet f’isem il-klijenti</w:t>
            </w:r>
          </w:p>
          <w:p w14:paraId="447F8797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It-tqegħid ta’ strumenti finanzjarji mingħajr bażi ta’ impenn sod</w:t>
            </w:r>
          </w:p>
          <w:p w14:paraId="6B8176B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Il-Funzjonament ta’ Faċilitajiet Multilaterali tan-Negozjar</w:t>
            </w:r>
          </w:p>
        </w:tc>
      </w:tr>
      <w:tr w:rsidR="00105D77" w:rsidRPr="0021480B" w14:paraId="71FDE058" w14:textId="77777777" w:rsidTr="00E62FFE">
        <w:trPr>
          <w:trHeight w:val="169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0635A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Servizz ta' intermedjazzjoni fil-livell tal-konsumaturi</w:t>
            </w:r>
          </w:p>
          <w:p w14:paraId="1644FF4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(Attivitajiet ma’ persuni fiżiċi jew ma’ SMEs li jissodisfaw il-kriterji stabbiliti fl-Artikolu 123 għall-klassi ta’ skopertura fil-livell tal-konsumaturi)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1A526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Riċeviment u trażmissjoni ta’ ordnijiet fir-rigward ta’ strument finanzjarju wieħed jew aktar</w:t>
            </w:r>
          </w:p>
          <w:p w14:paraId="0A298DA8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L-eżekuzzjoni ta’ ordnijiet f’isem il-klijenti</w:t>
            </w:r>
          </w:p>
          <w:p w14:paraId="772C1A67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It-tqegħid ta’ strumenti finanzjarji mingħajr bażi ta’ impenn sod</w:t>
            </w:r>
          </w:p>
        </w:tc>
      </w:tr>
      <w:tr w:rsidR="00105D77" w:rsidRPr="0021480B" w14:paraId="6B99BB33" w14:textId="77777777" w:rsidTr="00E62FFE">
        <w:trPr>
          <w:trHeight w:val="154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484C8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Servizzi bankarji kummerċjali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6CD63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Aċċettazzjoni ta’ depożiti u fondi oħra ripagabbli</w:t>
            </w:r>
          </w:p>
          <w:p w14:paraId="76F23BE8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Għoti ta’ self</w:t>
            </w:r>
          </w:p>
          <w:p w14:paraId="45F13788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Lokazzjoni finanzjarja</w:t>
            </w:r>
          </w:p>
          <w:p w14:paraId="51EC26CF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Garanziji u impenji</w:t>
            </w:r>
          </w:p>
        </w:tc>
      </w:tr>
      <w:tr w:rsidR="00105D77" w:rsidRPr="0021480B" w14:paraId="72830314" w14:textId="77777777" w:rsidTr="00E62FFE">
        <w:trPr>
          <w:trHeight w:val="14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F71DE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Operazzjonijiet bankarji għall-konsumatur</w:t>
            </w:r>
          </w:p>
          <w:p w14:paraId="7CAFF922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(Attivitajiet ma’ persuni fiżiċi jew ma’ SMEs li jissodisfaw il-kriterji stabbiliti fl-Artikolu 123 għall-klassi ta’ skopertura fil-livell tal-konsumaturi)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F582FE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Aċċettazzjoni ta’ depożiti u fondi oħra ripagabbli</w:t>
            </w:r>
          </w:p>
          <w:p w14:paraId="36AF04A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Għoti ta’ self</w:t>
            </w:r>
          </w:p>
          <w:p w14:paraId="7351F48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Lokazzjoni finanzjarja</w:t>
            </w:r>
          </w:p>
          <w:p w14:paraId="2A1E9691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Garanziji u impenji</w:t>
            </w:r>
          </w:p>
        </w:tc>
      </w:tr>
      <w:tr w:rsidR="00105D77" w:rsidRPr="0021480B" w14:paraId="76DC3A73" w14:textId="77777777" w:rsidTr="00E62FFE">
        <w:trPr>
          <w:trHeight w:val="103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9FE4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lastRenderedPageBreak/>
              <w:t>Pagament u saldu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3C550A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Servizzi ta’ trażmissjoni ta’ flus,</w:t>
            </w:r>
          </w:p>
          <w:p w14:paraId="44972E69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Ħruġ u amministrazzjoni ta’ mezzi ta’ pagament</w:t>
            </w:r>
          </w:p>
        </w:tc>
      </w:tr>
      <w:tr w:rsidR="00105D77" w:rsidRPr="0021480B" w14:paraId="30CA4827" w14:textId="77777777" w:rsidTr="00E62FFE">
        <w:trPr>
          <w:trHeight w:val="122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B327A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Servizzi ta’ aġenzija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8C7752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Kustodja u amministrazzjoni ta’ strumenti finanzjarji f’isem klijenti, inklużi l-kustodja u s-servizzi relatati bħall-ġestjoni ta’ flus/kollateral</w:t>
            </w:r>
          </w:p>
        </w:tc>
      </w:tr>
      <w:tr w:rsidR="00105D77" w:rsidRPr="0021480B" w14:paraId="00CB6421" w14:textId="77777777" w:rsidTr="00E62FFE">
        <w:trPr>
          <w:trHeight w:val="11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3EBEF5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Ġestjoni tal-assi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09F17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Ġestjoni tal-portafoll</w:t>
            </w:r>
          </w:p>
          <w:p w14:paraId="1153DFEB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Ġestjoni ta’ UCITS</w:t>
            </w:r>
          </w:p>
          <w:p w14:paraId="59C1F470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Forom oħra ta’ ġestjoni tal-assi</w:t>
            </w:r>
          </w:p>
        </w:tc>
      </w:tr>
      <w:tr w:rsidR="00105D77" w:rsidRPr="0021480B" w14:paraId="3543DFD5" w14:textId="77777777" w:rsidTr="00E62FFE">
        <w:trPr>
          <w:trHeight w:val="74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CE7A2" w14:textId="77777777" w:rsidR="00105D77" w:rsidRPr="0021480B" w:rsidRDefault="00105D77">
            <w:pPr>
              <w:spacing w:before="60" w:after="60"/>
              <w:rPr>
                <w:rFonts w:ascii="Times New Roman" w:hAnsi="Times New Roman"/>
                <w:color w:val="333333"/>
                <w:sz w:val="24"/>
              </w:rPr>
            </w:pPr>
            <w:r w:rsidRPr="0021480B">
              <w:rPr>
                <w:rFonts w:ascii="Times New Roman" w:hAnsi="Times New Roman"/>
                <w:color w:val="333333"/>
                <w:sz w:val="24"/>
              </w:rPr>
              <w:t>Oġġetti korporattivi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EFAAE" w14:textId="7B9E1592" w:rsidR="00105D77" w:rsidRPr="0021480B" w:rsidRDefault="00105D77">
            <w:pPr>
              <w:spacing w:before="60" w:after="60"/>
              <w:rPr>
                <w:rFonts w:ascii="Times New Roman" w:eastAsia="Verdana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Eventi ta’ telf li jaffettwaw l-istituzzjoni kollha kemm hi u ma humiex elenkati fil-kategoriji ta’ hawn fuq. </w:t>
            </w:r>
          </w:p>
        </w:tc>
      </w:tr>
    </w:tbl>
    <w:p w14:paraId="5EFFCA85" w14:textId="77777777" w:rsidR="00C30107" w:rsidRPr="0021480B" w:rsidRDefault="00C30107" w:rsidP="00E434A1">
      <w:pPr>
        <w:pStyle w:val="InstructionsText2"/>
        <w:numPr>
          <w:ilvl w:val="0"/>
          <w:numId w:val="0"/>
        </w:numPr>
      </w:pPr>
    </w:p>
    <w:p w14:paraId="3089C09D" w14:textId="77777777" w:rsidR="00C30107" w:rsidRPr="0021480B" w:rsidRDefault="00C30107" w:rsidP="00E434A1">
      <w:pPr>
        <w:pStyle w:val="InstructionsText2"/>
        <w:numPr>
          <w:ilvl w:val="0"/>
          <w:numId w:val="0"/>
        </w:numPr>
      </w:pPr>
    </w:p>
    <w:bookmarkEnd w:id="63"/>
    <w:p w14:paraId="504CA18E" w14:textId="173B7075" w:rsidR="00FD54FC" w:rsidRPr="0021480B" w:rsidRDefault="008F3052" w:rsidP="3B06A01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143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Telf mir-riskju operazzjonali relatat mar-riskju ta’ kreditu li jitqies fl-ammont tal-iskopertura ponderat għar-riskju ta’ kreditu (eventi ta’ riskju operazzjonali relatati mal-kreditu tal-limitu) la huma kkunsidrati fil-mudell C 17.01 u lanqas fil-mudell C 17.02 skont l-Artikolu 317(5) tar-Regolament (UE) Nru 575/2013.</w:t>
      </w:r>
    </w:p>
    <w:p w14:paraId="26DEA8B1" w14:textId="414C5450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144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[vojt]</w:t>
      </w:r>
    </w:p>
    <w:p w14:paraId="46FA5B8D" w14:textId="284B4DDE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145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“Telf gross” tfisser telf – kif imsemmi fl-Artikolu 318(1) tar-Regolament (UE) Nru 575/2013 – marbut ma’ riskju operazzjonali anki qabel l-irkupri ta’ kwalunkwe tip, mingħajr preġudizzju għal “eventi ta’ telf irkuprati malajr” kif definiti hawn taħt.</w:t>
      </w:r>
    </w:p>
    <w:p w14:paraId="0D97147B" w14:textId="7F3E3213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146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“Irkupru” tfisser – kif imsemmi fl-Artikolu 318(1) – okkorrenza indipendenti waħda jew aktar, relatata mal-event oriġinali ta’ riskju operazzjonali, separata fil-ħin, li fiha jiġu riċevuti fondi jew flussi ta’ dħul ta’ benefiċċji ekonomiċi minn parti terza.</w:t>
      </w:r>
    </w:p>
    <w:p w14:paraId="77F96781" w14:textId="7AAE69F6" w:rsidR="00FD54FC" w:rsidRPr="0021480B" w:rsidRDefault="00E434A1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147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“Eventi ta’ telf irkuprati malajr” tfisser eventi ta’ riskju operazzjonali li jwasslu għal telf li huwa parzjalment jew kompletament irkuprat fi żmien ħamest ijiem tax-xogħol. F’każ ta’ event ta’ telf irkuprat malajr, il-parti tat-telf li ma tkunx irkuprata b’mod sħiħ biss (jiġifieri t-telf nett tal-irkupru rapidu parzjali) għandha tiġi inkluża fid-definizzjoni ta’ telf gross. Bħala konsegwenza, eventi ta’ telf li jwasslu għal telf li jiġi rkuprat kompletament fi żmien ħamest ijiem tax-xogħol ma għandhomx jiġu inklużi fid-definizzjoni ta’ telf gross, u lanqas fir-rapportar tad-DETTALJI OPR.</w:t>
      </w:r>
    </w:p>
    <w:p w14:paraId="3604C23D" w14:textId="1024002D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148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“Data tal-kontabilità” tfisser id-data meta telf jew riżerva/provvediment ikun ġie rikonoxxut għall-ewwel darba fid-dikjarazzjoni tal-Profitt u t-Telf, kontra telf mir-riskji operazzjonali, kif imsemmi fl-Artikolu 317(4)(a) tar-Regolament (UE) Nru 575/2013. Dik id-data loġikament issegwi d-“Data tal-okkorrenza” (jiġifieri d-data meta seħħ l-event ta’ riskju operazzjonali jew ta’ meta beda) u d-“Data tal-iskoperta” (jiġifieri d-data li fiha l-istituzzjoni saret taf bl-event ta’ riskju operazzjonali).</w:t>
      </w:r>
    </w:p>
    <w:p w14:paraId="6F9C7A18" w14:textId="502770EC" w:rsidR="00FD54FC" w:rsidRPr="0021480B" w:rsidRDefault="00E434A1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lastRenderedPageBreak/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149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It-telf ikkawżat minn event ta’ riskju operazzjonali komuni jew minn eventi multipli marbuta ma’ event inizjali ta’ riskju operazzjonali li jiġġenera eventi jew telf (“event-kawża”) għandu jingħadd għall-fini tal-kalkolu tal-livell limitu għar-rapportar. F’każ li l-ammont nett totali kkalkolat għal perjodu ta’ 10 snin jaqbeż il-livell limitu, it-telf u l-aġġustamenti għandhom jiġu rrapportati wara l-impatt kontabilistiku, f’konformità mal-Artikolu 317(3)(c) u l-Artikolu 318(1) tar-Regolament (UE) Nru 575/2013, anki jekk l-impatt f’perjodu partikolari jista’ jkun aktar baxx mil-livell limitu.</w:t>
      </w:r>
    </w:p>
    <w:p w14:paraId="13FA59F7" w14:textId="1423FEE1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150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Iċ-ċifri rapportati f’Ġunju tas-sena rispettiva għandhom ikunu ċifri interim, filwaqt li ċ-ċifri finali għandhom jiġu rrapportati f’Diċembru. Għalhekk, iċ-ċifri f’Ġunju għandu jkollhom perjodu ta’ referenza ta’ sitt xhur (jiġifieri mill-1 ta’ Jannar sat-30 ta’ Ġunju tas-sena kalendarja) filwaqt li ċ-ċifri f’Diċembru għandu jkollhom perjodu ta’ referenza ta’ tnax-il xahar (jiġifieri mill-1 ta’ Jannar sal-31 ta’ Diċembru tas-sena kalendarja). Kemm għad-</w:t>
      </w:r>
      <w:r w:rsidRPr="0021480B">
        <w:rPr>
          <w:i/>
          <w:iCs/>
        </w:rPr>
        <w:t>data</w:t>
      </w:r>
      <w:r w:rsidRPr="0021480B">
        <w:t xml:space="preserve"> rrapportata f’Ġunju kif ukoll f’Diċembru, “perjodi ta’ referenza ta’ rapportar preċedenti” għandha tfisser il-perjodi ta’ referenza ta’ rapportar kollha sa u inkluż dak li jintemm fi tmiem is-sena kalendarja preċedenti.</w:t>
      </w:r>
    </w:p>
    <w:p w14:paraId="065A1906" w14:textId="0BAA0889" w:rsidR="00FD54FC" w:rsidRPr="0021480B" w:rsidRDefault="00FD54FC" w:rsidP="005D3C49">
      <w:pPr>
        <w:pStyle w:val="Instructionsberschrift2"/>
        <w:numPr>
          <w:ilvl w:val="2"/>
          <w:numId w:val="41"/>
        </w:numPr>
        <w:ind w:left="851" w:hanging="851"/>
        <w:rPr>
          <w:rFonts w:ascii="Times New Roman" w:hAnsi="Times New Roman" w:cs="Times New Roman"/>
          <w:sz w:val="24"/>
        </w:rPr>
      </w:pPr>
      <w:bookmarkStart w:id="64" w:name="_Toc473561025"/>
      <w:bookmarkStart w:id="65" w:name="_Toc152862719"/>
      <w:r w:rsidRPr="0021480B">
        <w:rPr>
          <w:rFonts w:ascii="Times New Roman" w:hAnsi="Times New Roman"/>
          <w:sz w:val="24"/>
        </w:rPr>
        <w:t>C 17.01: Telf u rkupri ta’ riskju operazzjonali skont il-linji ta’ negozju u t-tipi ta’ eventi ta’ telf fl-aħħar sena (DETTALJI OPR 1)</w:t>
      </w:r>
      <w:bookmarkEnd w:id="64"/>
      <w:bookmarkEnd w:id="65"/>
    </w:p>
    <w:p w14:paraId="497EA8D0" w14:textId="05AB7FBB" w:rsidR="00FD54FC" w:rsidRPr="0021480B" w:rsidRDefault="00FD54FC" w:rsidP="005D3C49">
      <w:pPr>
        <w:pStyle w:val="Instructionsberschrift2"/>
        <w:numPr>
          <w:ilvl w:val="3"/>
          <w:numId w:val="41"/>
        </w:numPr>
        <w:ind w:left="851" w:hanging="851"/>
        <w:rPr>
          <w:rFonts w:ascii="Times New Roman" w:hAnsi="Times New Roman" w:cs="Times New Roman"/>
          <w:sz w:val="24"/>
        </w:rPr>
      </w:pPr>
      <w:bookmarkStart w:id="66" w:name="_Toc473561026"/>
      <w:bookmarkStart w:id="67" w:name="_Toc152862720"/>
      <w:r w:rsidRPr="0021480B">
        <w:rPr>
          <w:rFonts w:ascii="Times New Roman" w:hAnsi="Times New Roman"/>
          <w:sz w:val="24"/>
        </w:rPr>
        <w:t>Kummenti Ġenerali</w:t>
      </w:r>
      <w:bookmarkEnd w:id="66"/>
      <w:bookmarkEnd w:id="67"/>
    </w:p>
    <w:p w14:paraId="1B1EFECB" w14:textId="631AA582" w:rsidR="00FD54FC" w:rsidRPr="0021480B" w:rsidRDefault="00E434A1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151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 </w:t>
      </w:r>
      <w:r w:rsidRPr="0021480B">
        <w:t>Il-mudell C 17.01, jiġbor fil-qosor l-informazzjoni dwar it-telf u l-irkupri ogħla mil-livelli limitu interni rreġistrati minn istituzzjoni fl-aħħar sena skont it-tipi ta’ eventi u l-linji ta’ negozju skont id-definizzjonijiet fit-Tabella 1 u fit-Tabella 2 f’din it-taqsima. Huwa possibbli li t-telf li jikkorrispondi għal event ta’ telf wieħed jitqassam bejn diversi linji tan-negozju.</w:t>
      </w:r>
    </w:p>
    <w:p w14:paraId="0F217350" w14:textId="104C538F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152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Il-kolonni jippreżentaw it-tipi ta’ eventi ta’ telf differenti u t-total għal kull linja tan-negozju, flimkien ma’ entrata fil-memorandum li turi l-inqas livell limitu intern applikat fil-ġbir tad-</w:t>
      </w:r>
      <w:r w:rsidRPr="0021480B">
        <w:rPr>
          <w:i/>
          <w:iCs/>
        </w:rPr>
        <w:t>data</w:t>
      </w:r>
      <w:r w:rsidRPr="0021480B">
        <w:t xml:space="preserve"> dwar it-telf, u jiżvela f’kull linja tan-negozju l-inqas u l-ogħla livell limitu fejn hemm aktar minn livell limitu wieħed.</w:t>
      </w:r>
    </w:p>
    <w:p w14:paraId="11517512" w14:textId="76CAEDF3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153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Ir-ringieli jippreżentaw il-linji operatorji, u fi ħdan kull linja operatorja, l-informazzjoni dwar l-għadd ta’ eventi ta’ telf (eventi ta’ telf ġodda), l-ammont ta’ telf gross (eventi ta’ telf ġodda), l-għadd ta’ eventi ta’ telf soġġetti għal aġġustamenti ta’ telf, l-aġġustamenti ta’ telf relatati ma’ perjodi ta’ rapportar preċedenti, it-telf uniku massimu, is-somma tal-akbar ħames telfiet u l-irkupri totali ta’ telf (irkupri ta’ telf dirett kif ukoll irkupri minn assigurazzjoni u mekkaniżmi oħrajn ta’ trasferiment ta’ riskju).</w:t>
      </w:r>
    </w:p>
    <w:p w14:paraId="01C6C8D7" w14:textId="1A1609D7" w:rsidR="008E3F40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154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Għal-linji tan-negozju totali, id-</w:t>
      </w:r>
      <w:r w:rsidRPr="0021480B">
        <w:rPr>
          <w:i/>
          <w:iCs/>
        </w:rPr>
        <w:t>data</w:t>
      </w:r>
      <w:r w:rsidRPr="0021480B">
        <w:t xml:space="preserve"> dwar l-għadd ta’ eventi ta’ telf u l-ammont ta’ telf gross għandha tiġi rrapportata wkoll għal ċerti firxiet fuq il-bażi ta’ livelli limiti stabbiliti, jiġifieri 10,000, 20,000, 100,000, u 1,000,000. Il-livelli limiti huma stabbiliti f’EUR u huma inklużi għall-finijiet ta’ komparabbiltà tat-telf irrapportat fost l-istituzzjonijiet. Għalhekk, dawk il-livelli limiti mhux neċessarjament ikunu relatati mal-livelli limiti minimi ta’ telf użati għall-ġbir ta’ </w:t>
      </w:r>
      <w:r w:rsidRPr="0021480B">
        <w:rPr>
          <w:i/>
          <w:iCs/>
        </w:rPr>
        <w:t>data</w:t>
      </w:r>
      <w:r w:rsidRPr="0021480B">
        <w:t xml:space="preserve"> interna dwar it-telf, li għandhom jiġu rrapportati f’taqsima oħra tal-mudell.</w:t>
      </w:r>
    </w:p>
    <w:p w14:paraId="66F6BC90" w14:textId="0130F6E9" w:rsidR="008A1E95" w:rsidRPr="0021480B" w:rsidRDefault="006B71D2" w:rsidP="008E3C30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t xml:space="preserve">154a. </w:t>
      </w:r>
      <w:r w:rsidRPr="0021480B">
        <w:t>L-irkupri ta’ telf għandhom jiġu rrapportati b’sinjal pożittiv.</w:t>
      </w:r>
    </w:p>
    <w:p w14:paraId="31AE8FCD" w14:textId="77777777" w:rsidR="008A1E95" w:rsidRPr="0021480B" w:rsidRDefault="008A1E95" w:rsidP="00E434A1">
      <w:pPr>
        <w:pStyle w:val="InstructionsText2"/>
        <w:numPr>
          <w:ilvl w:val="0"/>
          <w:numId w:val="0"/>
        </w:numPr>
      </w:pPr>
    </w:p>
    <w:p w14:paraId="3EEEA3D5" w14:textId="61AFA838" w:rsidR="00FD54FC" w:rsidRPr="0021480B" w:rsidRDefault="00FD54FC" w:rsidP="005D3C49">
      <w:pPr>
        <w:pStyle w:val="Instructionsberschrift2"/>
        <w:numPr>
          <w:ilvl w:val="3"/>
          <w:numId w:val="41"/>
        </w:numPr>
        <w:ind w:left="993" w:hanging="993"/>
        <w:rPr>
          <w:rFonts w:ascii="Times New Roman" w:hAnsi="Times New Roman" w:cs="Times New Roman"/>
          <w:sz w:val="24"/>
        </w:rPr>
      </w:pPr>
      <w:bookmarkStart w:id="68" w:name="_Toc473561027"/>
      <w:bookmarkStart w:id="69" w:name="_Toc152862721"/>
      <w:r w:rsidRPr="0021480B">
        <w:rPr>
          <w:rFonts w:ascii="Times New Roman" w:hAnsi="Times New Roman"/>
          <w:sz w:val="24"/>
        </w:rPr>
        <w:lastRenderedPageBreak/>
        <w:t>Struzzjonijiet dwar pożizzjonijiet speċifiċi</w:t>
      </w:r>
      <w:bookmarkEnd w:id="68"/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8081"/>
      </w:tblGrid>
      <w:tr w:rsidR="00FD54FC" w:rsidRPr="0021480B" w14:paraId="5673A92F" w14:textId="77777777" w:rsidTr="3B06A011">
        <w:trPr>
          <w:trHeight w:val="576"/>
        </w:trPr>
        <w:tc>
          <w:tcPr>
            <w:tcW w:w="9180" w:type="dxa"/>
            <w:gridSpan w:val="2"/>
            <w:shd w:val="clear" w:color="auto" w:fill="CCCCCC"/>
          </w:tcPr>
          <w:p w14:paraId="64100A9A" w14:textId="77777777" w:rsidR="00FD54FC" w:rsidRPr="0021480B" w:rsidRDefault="00FD54FC" w:rsidP="005D3C4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FD54FC" w:rsidRPr="0021480B" w14:paraId="66F8475E" w14:textId="77777777" w:rsidTr="3B06A011">
        <w:tc>
          <w:tcPr>
            <w:tcW w:w="985" w:type="dxa"/>
          </w:tcPr>
          <w:p w14:paraId="2E2E57DA" w14:textId="77777777" w:rsidR="00FD54FC" w:rsidRPr="0021480B" w:rsidRDefault="00C93FC2" w:rsidP="000F70E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0010-0070</w:t>
            </w:r>
          </w:p>
        </w:tc>
        <w:tc>
          <w:tcPr>
            <w:tcW w:w="8195" w:type="dxa"/>
          </w:tcPr>
          <w:p w14:paraId="42ED0FA0" w14:textId="77777777" w:rsidR="00FD54FC" w:rsidRPr="0021480B" w:rsidRDefault="00FD54FC" w:rsidP="005D3C49">
            <w:pPr>
              <w:keepNext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TIPI TA’ EVENTI</w:t>
            </w:r>
          </w:p>
          <w:p w14:paraId="77CB6459" w14:textId="34950BD9" w:rsidR="0084728B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jirrapportaw it-telf fil-kolonni 0010 sa 0070 rispettivi f’konformità mat-tipi ta’ eventi ta’ telf.</w:t>
            </w:r>
          </w:p>
          <w:p w14:paraId="3023C2E3" w14:textId="3DB1C18B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li kkalkolaw f’Diċembru 2024 ir-rekwiżit ta’ fondi proprji tagħhom stess f’konformità mal-BIA jistgħu jirrapportaw dak it-telf li għalih it-tip ta’ event ta’ telf ma jkunx identifikat fil-kolonna 0080 biss.</w:t>
            </w:r>
          </w:p>
        </w:tc>
      </w:tr>
      <w:tr w:rsidR="00FD54FC" w:rsidRPr="0021480B" w14:paraId="50B8D542" w14:textId="77777777" w:rsidTr="3B06A011">
        <w:tc>
          <w:tcPr>
            <w:tcW w:w="985" w:type="dxa"/>
          </w:tcPr>
          <w:p w14:paraId="5DD6D73C" w14:textId="77777777" w:rsidR="00FD54FC" w:rsidRPr="0021480B" w:rsidRDefault="00C93FC2" w:rsidP="00FD54F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0080</w:t>
            </w:r>
          </w:p>
        </w:tc>
        <w:tc>
          <w:tcPr>
            <w:tcW w:w="8195" w:type="dxa"/>
          </w:tcPr>
          <w:p w14:paraId="160BFCD4" w14:textId="77777777" w:rsidR="00FD54FC" w:rsidRPr="0021480B" w:rsidRDefault="00FD54FC" w:rsidP="005D3C49">
            <w:pPr>
              <w:keepNext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TIPI TA’ EVENTI TA’ TELF TOTALI</w:t>
            </w:r>
          </w:p>
          <w:p w14:paraId="64EF174C" w14:textId="77777777" w:rsidR="008D30F0" w:rsidRPr="0021480B" w:rsidRDefault="00FD54FC" w:rsidP="00FD54FC">
            <w:pPr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Fil-kolonna 0080, għal kull linja operatorja, l-istituzzjonijiet għandhom jirrapportaw l-“għadd totali ta’ eventi ta’ telf (eventi ġodda ta’ telf)”, it-total ta’ “ammont gross ta’ telf (eventi ġodda ta’ telf)”, l-“għadd totali ta’ eventi ta’ telf soġġetti għal aġġustamenti ta’ telf”, it-total ta’ “aġġustamenti ta’ telf relatati ma’ perjodi ta’ rapportar preċedenti”, it-“telf uniku massimu”, is-“somma tal-akbar ħames telfiet”, it-total ta’ “irkupru dirett totali ta’ telf” u t-total ta’ “rkupru totali minn assigurazzjoni u mekkaniżmi oħra ta’ trasferiment ta’ riskju”.</w:t>
            </w:r>
          </w:p>
          <w:p w14:paraId="435DA6FC" w14:textId="4E7CF407" w:rsidR="00FD54FC" w:rsidRPr="0021480B" w:rsidRDefault="00FD54FC" w:rsidP="3B06A011">
            <w:pPr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Sakemm l-istituzzjoni tkun identifikat it-tipi ta’ eventi ta’ telf għat-telf kollu, il-kolonna 0080 għandha turi l-aggregazzjoni sempliċi tal-għadd ta’ eventi ta’ telf, l-ammonti totali ta’ telf gross, l-ammonti totali ta’ rkupru ta’ telf u l-“aġġustamenti ta’ telf relatati ma’ perjodi ta’ rapportar preċedenti” rrapportati fil-kolonni 0010 sa 0070.</w:t>
            </w:r>
          </w:p>
          <w:p w14:paraId="7ADBEC5B" w14:textId="2AAA90E7" w:rsidR="00FD54FC" w:rsidRPr="0021480B" w:rsidRDefault="00FD54FC" w:rsidP="3B06A011">
            <w:pPr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L-“ikbar telfa unika” rrapportata fil-kolonna 0080 għandha tkun l-ikbar telfa f’linja operatorja u identika mal-massimu tal-“ikbar telfa unika” rrapportata fil-kolonni 0010 sa 0070, sakemm l-istituzzjoni tkun identifikat it-tipi ta’ eventi ta’ telf għat-telf kollu.</w:t>
            </w:r>
          </w:p>
          <w:p w14:paraId="620764F4" w14:textId="77777777" w:rsidR="00FD54FC" w:rsidRPr="0021480B" w:rsidRDefault="00FD54FC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Għas-somma tal-akbar ħames telfiet, fil-kolonna 0080 għandha tiġi rrapportata s-somma tal-akbar ħames telfiet f’linja operatorja waħda.</w:t>
            </w:r>
          </w:p>
        </w:tc>
      </w:tr>
      <w:tr w:rsidR="00FD54FC" w:rsidRPr="0021480B" w14:paraId="4B2FA115" w14:textId="77777777" w:rsidTr="3B06A011">
        <w:tc>
          <w:tcPr>
            <w:tcW w:w="985" w:type="dxa"/>
          </w:tcPr>
          <w:p w14:paraId="5DDA1F0A" w14:textId="77777777" w:rsidR="00FD54FC" w:rsidRPr="0021480B" w:rsidRDefault="00C93FC2" w:rsidP="000F70EC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0090-0100</w:t>
            </w:r>
          </w:p>
        </w:tc>
        <w:tc>
          <w:tcPr>
            <w:tcW w:w="8195" w:type="dxa"/>
          </w:tcPr>
          <w:p w14:paraId="13E5A936" w14:textId="77777777" w:rsidR="00FD54FC" w:rsidRPr="0021480B" w:rsidRDefault="00FD54FC" w:rsidP="005D3C49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 xml:space="preserve">ENTRATA FIL-MEMORANDUM: LIVELL LIMITU APPLIKAT FIL-ĠBIR TA’ </w:t>
            </w:r>
            <w:r w:rsidRPr="0021480B">
              <w:rPr>
                <w:rStyle w:val="InstructionsTabelleberschrift"/>
                <w:rFonts w:ascii="Times New Roman" w:hAnsi="Times New Roman"/>
                <w:i/>
                <w:iCs/>
                <w:sz w:val="24"/>
              </w:rPr>
              <w:t>DATA</w:t>
            </w:r>
          </w:p>
          <w:p w14:paraId="6C9949A4" w14:textId="6C85C37C" w:rsidR="00FD54FC" w:rsidRPr="0021480B" w:rsidRDefault="00FD54FC" w:rsidP="3B06A011">
            <w:pPr>
              <w:autoSpaceDE w:val="0"/>
              <w:autoSpaceDN w:val="0"/>
              <w:adjustRightInd w:val="0"/>
              <w:spacing w:before="0" w:after="0"/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L-istituzzjonijiet għandhom jirrapportaw fil-kolonni 0090 u 0100 il-livelli limiti minimi ta’ telf diġà definiti u użati għall-ġbir tad-</w:t>
            </w:r>
            <w:r w:rsidRPr="0021480B">
              <w:rPr>
                <w:rStyle w:val="InstructionsTabelleText"/>
                <w:rFonts w:ascii="Times New Roman" w:hAnsi="Times New Roman"/>
                <w:i/>
                <w:iCs/>
                <w:sz w:val="24"/>
              </w:rPr>
              <w:t>data</w:t>
            </w: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 xml:space="preserve"> interna dwar it-telf.</w:t>
            </w:r>
          </w:p>
          <w:p w14:paraId="4FAB0E4A" w14:textId="62A95685" w:rsidR="00FD54FC" w:rsidRPr="0021480B" w:rsidRDefault="001F6487" w:rsidP="00FD54FC">
            <w:pPr>
              <w:autoSpaceDE w:val="0"/>
              <w:autoSpaceDN w:val="0"/>
              <w:adjustRightInd w:val="0"/>
              <w:spacing w:before="0" w:after="0"/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Meta l-istituzzjoni tapplika livell limitu wieħed biss għal kull linja operatorja, għandha timtela biss il-kolonna 0090.</w:t>
            </w:r>
          </w:p>
          <w:p w14:paraId="70501482" w14:textId="498EFA89" w:rsidR="00650B6C" w:rsidRPr="0021480B" w:rsidRDefault="001F6487" w:rsidP="0002267E">
            <w:pPr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t>Meta jkun hemm livelli limiti differenti applikati fi ħdan l-istess linja tan-negozju, għandu jimtela wkoll l-ogħla livell limitu applikabbli (kolonna 0100).</w:t>
            </w:r>
          </w:p>
        </w:tc>
      </w:tr>
    </w:tbl>
    <w:p w14:paraId="7D438528" w14:textId="77777777" w:rsidR="00FD54FC" w:rsidRPr="0021480B" w:rsidRDefault="00FD54FC" w:rsidP="00FD54FC">
      <w:pPr>
        <w:pStyle w:val="PlainText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7967"/>
      </w:tblGrid>
      <w:tr w:rsidR="00FD54FC" w:rsidRPr="0021480B" w14:paraId="3025DA90" w14:textId="77777777" w:rsidTr="3B06A011">
        <w:trPr>
          <w:trHeight w:val="504"/>
        </w:trPr>
        <w:tc>
          <w:tcPr>
            <w:tcW w:w="9180" w:type="dxa"/>
            <w:gridSpan w:val="2"/>
            <w:shd w:val="clear" w:color="auto" w:fill="CCCCCC"/>
          </w:tcPr>
          <w:p w14:paraId="22584A44" w14:textId="77777777" w:rsidR="00FD54FC" w:rsidRPr="0021480B" w:rsidRDefault="00FD54FC" w:rsidP="005D3C4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FD54FC" w:rsidRPr="0021480B" w14:paraId="747AECBF" w14:textId="77777777" w:rsidTr="3B06A011">
        <w:tc>
          <w:tcPr>
            <w:tcW w:w="1101" w:type="dxa"/>
          </w:tcPr>
          <w:p w14:paraId="373E8135" w14:textId="77777777" w:rsidR="00FD54FC" w:rsidRPr="0021480B" w:rsidRDefault="00C93FC2" w:rsidP="000F70E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0010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t>-0880</w:t>
            </w:r>
          </w:p>
        </w:tc>
        <w:tc>
          <w:tcPr>
            <w:tcW w:w="8079" w:type="dxa"/>
          </w:tcPr>
          <w:p w14:paraId="73EF9F40" w14:textId="7C8BD87F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 xml:space="preserve">LINJI TA’ NEGOZJU: FINANZI KORPORATTIVI, NEGOZJAR U BEJGĦ, SENSERIJA FIL-LIVELL TAL-KONSUMATUR, SERVIZZI BANKARJI KUMMERĊJALI, OPERAZZJONIJIET BANKARJI </w:t>
            </w: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lastRenderedPageBreak/>
              <w:t>GĦALL-KONSUMATUR, PAGAMENT U SALDU, SERVIZZI TA’ AĠENZIJA, ĠESTJONI TAL-ASSI, ENTRATI KORPORATTIVI</w:t>
            </w:r>
          </w:p>
          <w:p w14:paraId="4ABD41A7" w14:textId="4AA98EEC" w:rsidR="00FD54FC" w:rsidRPr="0021480B" w:rsidRDefault="00FD54FC" w:rsidP="00FD54FC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0B">
              <w:rPr>
                <w:rFonts w:ascii="Times New Roman" w:hAnsi="Times New Roman"/>
                <w:sz w:val="24"/>
              </w:rPr>
              <w:t>Għal kull tip ta’ event ta’ telf u linja operatorja, l-istituzzjoni għandha tirrapporta, skont il-livelli limiti interni, l-informazzjoni li ġejja: l-għadd ta’ eventi ta’ telf (eventi ġodda ta’ telf), l-ammont gross ta’ telf (eventi ġodda ta’ telf), l-għadd ta’ eventi ta’ telf soġġetti għal aġġustamenti ta’ telf, aġġustamenti ta’ telf relatati ma’ perjodi ta’ rapportar preċedenti, telf uniku massimu, is-somma tal-akbar ħames telfiet, irkupru totali ta’ telf dirett u l-irkupru totali mill-assigurazzjoni u mekkaniżmi oħra ta’ trasferiment ta’ riskju.</w:t>
            </w:r>
          </w:p>
          <w:p w14:paraId="598C709E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Għal event ta’ telf li jaffettwa aktar minn linja operatorja waħda, l-“ammont ta’ telf gross” għandu jiġi distribwit fost il-linji ta’ negozju affettwati kollha.</w:t>
            </w:r>
          </w:p>
          <w:p w14:paraId="7BC94C24" w14:textId="643D0143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li kkalkolaw ir-rekwiżit ta’ fondi proprji tagħhom f’Diċembru 2024 f’konformità mal-BIA jistgħu jirrapportaw dak it-telf li għalih il-linja tan-negozju ma tiġix identifikata fir-ringieli 0910-0980 biss.</w:t>
            </w:r>
          </w:p>
        </w:tc>
      </w:tr>
      <w:tr w:rsidR="00FD54FC" w:rsidRPr="0021480B" w14:paraId="5539CB2D" w14:textId="77777777" w:rsidTr="3B06A011">
        <w:tc>
          <w:tcPr>
            <w:tcW w:w="1101" w:type="dxa"/>
          </w:tcPr>
          <w:p w14:paraId="2AD95C57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0010, 0110, 0210, 0310, 0410, 0510, 0610, 0710, 0810</w:t>
            </w:r>
          </w:p>
        </w:tc>
        <w:tc>
          <w:tcPr>
            <w:tcW w:w="8079" w:type="dxa"/>
          </w:tcPr>
          <w:p w14:paraId="6FB8404E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Għadd ta’ eventi ta’ telf (eventi ta’ telf ġodda)</w:t>
            </w:r>
          </w:p>
          <w:p w14:paraId="0A87F437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L-għadd ta’ eventi ta’ telf huwa l-għadd ta’ eventi ta’ telf li għalihom it-telf gross ġie meqjusa fil-perjodu ta’ referenza ta’ rapportar.</w:t>
            </w:r>
          </w:p>
          <w:p w14:paraId="1CB08978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L-għadd ta’ eventi ta’ telf jirreferi għal “eventi ġodda”, jiġifieri eventi ta’ riskju operazzjonali li:</w:t>
            </w:r>
          </w:p>
          <w:p w14:paraId="3B968FDE" w14:textId="3F1B5227" w:rsidR="00FD54FC" w:rsidRPr="0021480B" w:rsidRDefault="00FD54FC" w:rsidP="005D3C49">
            <w:pPr>
              <w:pStyle w:val="ListParagraph"/>
              <w:numPr>
                <w:ilvl w:val="0"/>
                <w:numId w:val="43"/>
              </w:numPr>
              <w:tabs>
                <w:tab w:val="left" w:pos="459"/>
              </w:tabs>
              <w:ind w:hanging="1080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“meqjusa għall-ewwel darba” fil-perjodu ta’ referenza ta’ rapportar; jew</w:t>
            </w:r>
          </w:p>
          <w:p w14:paraId="1A1A183C" w14:textId="72C3641D" w:rsidR="00FD54FC" w:rsidRPr="0021480B" w:rsidRDefault="00FD54FC" w:rsidP="005D3C49">
            <w:pPr>
              <w:pStyle w:val="ListParagraph"/>
              <w:numPr>
                <w:ilvl w:val="0"/>
                <w:numId w:val="43"/>
              </w:numPr>
              <w:tabs>
                <w:tab w:val="left" w:pos="459"/>
              </w:tabs>
              <w:ind w:left="499" w:hanging="499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“meqjusa għall-ewwel darba” fi żmien perjodu ta’ referenza ta’ rapportar preċedenti, meta l-event ta’ telf ma kienx inkluż f’ebda rapport superviżorju preċedenti, eż. għax kien identifikat bħala event ta’ telf ta’ riskju operazzjonali biss fil-perjodu ta’ referenza ta’ rapportar kurrenti jew minħabba li t-telf aggregat attribwibbli għal dak l-event ta’ telf (jiġifieri t-telf oriġinali bi/mingħajr l-aġġustamenti ta’ telf kollha magħmula f’perjodi ta’ referenza ta’ rapportar preċedenti) jeċċedi l-livell limitu ta’ ġbir ta’ </w:t>
            </w:r>
            <w:r w:rsidRPr="0021480B">
              <w:rPr>
                <w:rFonts w:ascii="Times New Roman" w:hAnsi="Times New Roman"/>
                <w:i/>
                <w:iCs/>
                <w:sz w:val="24"/>
              </w:rPr>
              <w:t>data</w:t>
            </w:r>
            <w:r w:rsidRPr="0021480B">
              <w:rPr>
                <w:rFonts w:ascii="Times New Roman" w:hAnsi="Times New Roman"/>
                <w:sz w:val="24"/>
              </w:rPr>
              <w:t xml:space="preserve"> interna biss fil-perjodi ta’ referenza ta’ rapportar kurrenti.</w:t>
            </w:r>
          </w:p>
          <w:p w14:paraId="76206E71" w14:textId="77777777" w:rsidR="00FD54FC" w:rsidRPr="0021480B" w:rsidRDefault="00FD54FC" w:rsidP="3B06A011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“Eventi ta’ telf ġodda” ma jinkludux eventi ta’ telf “li ġew meqjusa għall-ewwel darba” f’perjodu ta’ referenza ta’ rapportar preċedenti, li kienu diġà inklużi f’rapporti superviżorji preċedenti.</w:t>
            </w:r>
          </w:p>
        </w:tc>
      </w:tr>
      <w:tr w:rsidR="00FD54FC" w:rsidRPr="0021480B" w14:paraId="67B548BF" w14:textId="77777777" w:rsidTr="3B06A011">
        <w:tc>
          <w:tcPr>
            <w:tcW w:w="1101" w:type="dxa"/>
          </w:tcPr>
          <w:p w14:paraId="25346D5E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0020, 0120, 0220, 0320, 0420, 0520, 0620, 0720, 0820</w:t>
            </w:r>
          </w:p>
        </w:tc>
        <w:tc>
          <w:tcPr>
            <w:tcW w:w="8079" w:type="dxa"/>
          </w:tcPr>
          <w:p w14:paraId="675477D4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Ammont ta’ telf gross (eventi ta’ telf ġodda)</w:t>
            </w:r>
          </w:p>
          <w:p w14:paraId="2E85E133" w14:textId="404A4022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 ta’ telf gross għandu jkun l-ammonti ta’ telf gross pertinenti għal eventi ta’ telf ta’ riskju operazzjonali f’konformità mal-Artikolu 318(2) tar-Regolament (UE) Nru 575/2013. It-telf kollu relatat ma’ event ta’ telf wieħed li jiġi kontabbilizzat fil-perjodu ta’ referenza ta’ rapportar għandu jingħadd u jitqies bħala t-telf gross għal dak l-event ta’ telf għal dak il-perjodu ta’ referenza ta’ rapportar.</w:t>
            </w:r>
          </w:p>
          <w:p w14:paraId="611D2B8E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L-ammont ta’ telf gross irrapportat għandu jirreferi għal “eventi ta’ telf ġodda” kif imsemmija fir-ringiela aktar ’il fuq ta’ din it-Tabella. Għal eventi ta’ telf “meqjusa għall-ewwel darba” f’perjodu ta’ referenza ta’ rapportar preċedenti li ma kinux inklużi fl-ebda rapport superviżorju preċedenti, it-telf totali akkumulat sad-data ta’ referenza ta’ rapportar (jiġifieri t-telf oriġinali flimkien / nieqes l-aġġustamenti kollha għat-telf magħmula f’perjodi ta’ referenza ta’ rapportar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preċedenti) għandu jiġi rrapportat bħala t-telf gross fid-data ta’ referenza ta’ rapportar.</w:t>
            </w:r>
          </w:p>
          <w:p w14:paraId="371CD21C" w14:textId="77777777" w:rsidR="00FD54FC" w:rsidRPr="0021480B" w:rsidRDefault="00FD54FC" w:rsidP="3B06A011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li għandhom jiġu rrapportati ma għandhomx iqisu l-irkupri miksuba.</w:t>
            </w:r>
          </w:p>
        </w:tc>
      </w:tr>
      <w:tr w:rsidR="00FD54FC" w:rsidRPr="0021480B" w14:paraId="35BC8758" w14:textId="77777777" w:rsidTr="3B06A011">
        <w:tc>
          <w:tcPr>
            <w:tcW w:w="1101" w:type="dxa"/>
          </w:tcPr>
          <w:p w14:paraId="30B4B9A7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0030, 0130, 0230, 0330, 0430, 0530, 0630, 0730, 0830</w:t>
            </w:r>
          </w:p>
        </w:tc>
        <w:tc>
          <w:tcPr>
            <w:tcW w:w="8079" w:type="dxa"/>
          </w:tcPr>
          <w:p w14:paraId="20431596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Għadd ta’ eventi ta’ telf soġġetti għal aġġustamenti ta’ telf</w:t>
            </w:r>
          </w:p>
          <w:p w14:paraId="489FCDC5" w14:textId="15690A81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L-għadd ta’ eventi ta’ telf soġġetti għal aġġustamenti ta’ telf għandu jkun l-għadd ta’ eventi ta’ telf ta’ riskju operazzjonali li “tqiesu għall-ewwel darba” f’perjodi ta’ referenza ta’ rapportar preċedenti u diġà inklużi f’rapporti preċedenti, li għalihom saru aġġustamenti ta’ telf fil-perjodu ta’ referenza ta’ rapportar attwali.</w:t>
            </w:r>
          </w:p>
          <w:p w14:paraId="35A5D3D6" w14:textId="77777777" w:rsidR="00FD54FC" w:rsidRPr="0021480B" w:rsidRDefault="001F6487" w:rsidP="005F1EB8">
            <w:pPr>
              <w:rPr>
                <w:b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Meta jkun sar iktar minn aġġustament ta’ telf wieħed għal event ta’ telf fil-perjodu ta’ referenza ta’ rapportar, is-somma ta’ dawk l-aġġustamenti ta’ telf għandha tingħadd bħala aġġustament wieħed fil-perjodu.</w:t>
            </w:r>
          </w:p>
        </w:tc>
      </w:tr>
      <w:tr w:rsidR="00FD54FC" w:rsidRPr="0021480B" w14:paraId="4897901E" w14:textId="77777777" w:rsidTr="3B06A011">
        <w:tc>
          <w:tcPr>
            <w:tcW w:w="1101" w:type="dxa"/>
          </w:tcPr>
          <w:p w14:paraId="1CA10334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0040, 0140, 0240, 0340, 0440, 0540, 0640, 0</w:t>
            </w:r>
            <w:r w:rsidRPr="0021480B">
              <w:rPr>
                <w:rFonts w:ascii="Times New Roman" w:hAnsi="Times New Roman"/>
                <w:sz w:val="24"/>
                <w:lang w:eastAsia="de-DE"/>
              </w:rPr>
              <w:t>740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t>, 0840</w:t>
            </w:r>
          </w:p>
        </w:tc>
        <w:tc>
          <w:tcPr>
            <w:tcW w:w="8079" w:type="dxa"/>
          </w:tcPr>
          <w:p w14:paraId="68049943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Aġġustamenti ta’ telf relatati ma’ perjodi preċedenti ta’ rapportar</w:t>
            </w:r>
          </w:p>
          <w:p w14:paraId="13788219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Aġġustamenti ta’ telf relatati ma’ perjodi ta’ referenza ta’ rapportar preċedenti għandhom is-somma tal-elementi li ġejjin (pożittivi jew negattivi):</w:t>
            </w:r>
          </w:p>
          <w:p w14:paraId="1123BBFF" w14:textId="68B858FE" w:rsidR="00FD54FC" w:rsidRPr="0021480B" w:rsidRDefault="00FD54FC" w:rsidP="005D3C49">
            <w:pPr>
              <w:pStyle w:val="ListParagraph"/>
              <w:numPr>
                <w:ilvl w:val="0"/>
                <w:numId w:val="44"/>
              </w:numPr>
              <w:tabs>
                <w:tab w:val="left" w:pos="459"/>
              </w:tabs>
              <w:ind w:left="358" w:hanging="284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ta’ telf gross pertinenti għal aġġustamenti ta’ telf pożittivi li saru fil-perjodu ta’ referenza ta’ rapportar (eż. żieda ta’ provvedimenti, eventi ta’ telf relatati, ħlasijiet addizzjonali) ta’ eventi ta’ riskju operazzjonali li “tqiesu għall-ewwel darba” u rrapportati f’perjodi ta’ referenza ta’ rapportar preċedenti;</w:t>
            </w:r>
          </w:p>
          <w:p w14:paraId="22EFE0FB" w14:textId="1EA56092" w:rsidR="00FD54FC" w:rsidRPr="0021480B" w:rsidRDefault="00FD54FC" w:rsidP="005D3C49">
            <w:pPr>
              <w:pStyle w:val="ListParagraph"/>
              <w:numPr>
                <w:ilvl w:val="0"/>
                <w:numId w:val="44"/>
              </w:numPr>
              <w:tabs>
                <w:tab w:val="left" w:pos="459"/>
              </w:tabs>
              <w:ind w:left="358" w:hanging="284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ta’ telf gross pertinenti għal aġġustamenti ta’ telf negattivi li saru fil-perjodu ta’ referenza ta’ rapportar (eż. minħabba t-tnaqqis ta’ provvedimenti) ta’ eventi ta’ telf ta’ riskju operazzjonali “meqjusa għall-ewwel darba” u rrapportati f’perjodi ta’ referenza ta’ rapportar preċedenti.</w:t>
            </w:r>
          </w:p>
          <w:p w14:paraId="6796D1A0" w14:textId="77777777" w:rsidR="00FD54FC" w:rsidRPr="0021480B" w:rsidRDefault="001F6487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Meta jkun sar aktar minn aġġustament ta’ telf wieħed għal event ta’ telf fil-perjodu ta’ referenza ta’ rapportar, l-ammonti ta’ dawk l-aġġustamenti ta’ telf kollha għandhom jingħaddu flimkien, filwaqt li jitqies is-sinjal tal-aġġustamenti (pożittivi, negattivi). Dik is-somma titqies bħala aġġustament ta’ telf għal dak l-event ta’ telf għal dak il-perjodu ta’ referenza ta’ rapportar.</w:t>
            </w:r>
          </w:p>
          <w:p w14:paraId="1FF4DC2A" w14:textId="77777777" w:rsidR="00FD54FC" w:rsidRPr="0021480B" w:rsidRDefault="001F6487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Meta, minħabba aġġustament negattiv ta’ telf, l-ammont ta’ telf aġġustat attribwibbli għal event ta’ telf jaqa’ taħt il-livell limitu ta’ ġbir ta’ </w:t>
            </w:r>
            <w:r w:rsidRPr="0021480B">
              <w:rPr>
                <w:rFonts w:ascii="Times New Roman" w:hAnsi="Times New Roman"/>
                <w:i/>
                <w:iCs/>
                <w:sz w:val="24"/>
              </w:rPr>
              <w:t>data</w:t>
            </w:r>
            <w:r w:rsidRPr="0021480B">
              <w:rPr>
                <w:rFonts w:ascii="Times New Roman" w:hAnsi="Times New Roman"/>
                <w:sz w:val="24"/>
              </w:rPr>
              <w:t xml:space="preserve"> interna tal-istituzzjoni, l-istituzzjoni għandha tirrapporta l-ammont ta’ telf totali għal dak l-event ta’ telf akkumulat sal-aħħar darba li l-event kien irrapportat għal data ta’ referenza ta’ Diċembru (jiġifieri t-telf oriġinali flimkien ma’ / nieqes l-aġġustamenti kollha ta’ telf magħmula f’perjodi ta’ referenza ta’ rapportar preċedenti) b’sinjal negattiv minflok l-ammont tal-aġġustament negattiv innifsu.</w:t>
            </w:r>
          </w:p>
          <w:p w14:paraId="0FAF0676" w14:textId="77777777" w:rsidR="00FD54FC" w:rsidRPr="0021480B" w:rsidRDefault="00FD54FC" w:rsidP="3B06A011">
            <w:pPr>
              <w:rPr>
                <w:b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li għandhom jiġu rrapportati ma għandhomx iqisu l-irkupri miksuba.</w:t>
            </w:r>
          </w:p>
        </w:tc>
      </w:tr>
      <w:tr w:rsidR="00FD54FC" w:rsidRPr="0021480B" w14:paraId="03FCD499" w14:textId="77777777" w:rsidTr="3B06A011">
        <w:tc>
          <w:tcPr>
            <w:tcW w:w="1101" w:type="dxa"/>
          </w:tcPr>
          <w:p w14:paraId="7980B206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 xml:space="preserve">0050, 0150, 0250, 0350, 0450, 0550, 0650, 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0750, 0850</w:t>
            </w:r>
          </w:p>
        </w:tc>
        <w:tc>
          <w:tcPr>
            <w:tcW w:w="8079" w:type="dxa"/>
          </w:tcPr>
          <w:p w14:paraId="593A9C4B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lastRenderedPageBreak/>
              <w:t>It-telf uniku massimu</w:t>
            </w:r>
          </w:p>
          <w:p w14:paraId="388ADCDC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L-ikbar telfa unika hija l-ikbar minn:</w:t>
            </w:r>
          </w:p>
          <w:p w14:paraId="4247C82D" w14:textId="0FA11190" w:rsidR="00FD54FC" w:rsidRPr="0021480B" w:rsidRDefault="00FD54FC" w:rsidP="005D3C49">
            <w:pPr>
              <w:pStyle w:val="ListParagraph"/>
              <w:numPr>
                <w:ilvl w:val="0"/>
                <w:numId w:val="45"/>
              </w:numPr>
              <w:tabs>
                <w:tab w:val="left" w:pos="459"/>
              </w:tabs>
              <w:ind w:left="499" w:hanging="499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l-ikbar ammont ta’ telf gross relatat ma’ event ta’ telf irrapportat għall-ewwel darba fil-perjodu ta’ referenza ta’ rapportar; u</w:t>
            </w:r>
          </w:p>
          <w:p w14:paraId="56D74189" w14:textId="772ECB0D" w:rsidR="00FD54FC" w:rsidRPr="0021480B" w:rsidRDefault="00FD54FC" w:rsidP="005D3C49">
            <w:pPr>
              <w:pStyle w:val="ListParagraph"/>
              <w:numPr>
                <w:ilvl w:val="0"/>
                <w:numId w:val="45"/>
              </w:numPr>
              <w:tabs>
                <w:tab w:val="left" w:pos="459"/>
              </w:tabs>
              <w:ind w:left="499" w:hanging="499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lastRenderedPageBreak/>
              <w:t>l-ikbar ammont ta’ aġġustament għal telf pożittiv (kif imsemmi fir-ringieli 0040, 0140, ..., 0840 hawn fuq) relatat ma’ event ta’ telf irrapportat għall-ewwel darba f’perjodu ta’ referenza ta’ rapportar preċedenti.</w:t>
            </w:r>
          </w:p>
          <w:p w14:paraId="1AFA00C9" w14:textId="77777777" w:rsidR="00FD54FC" w:rsidRPr="0021480B" w:rsidRDefault="00FD54FC" w:rsidP="3B06A011">
            <w:pPr>
              <w:rPr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li għandhom jiġu rrapportati ma għandhomx iqisu l-irkupri miksuba.</w:t>
            </w:r>
          </w:p>
        </w:tc>
      </w:tr>
      <w:tr w:rsidR="00FD54FC" w:rsidRPr="0021480B" w14:paraId="7ED98CBE" w14:textId="77777777" w:rsidTr="3B06A011">
        <w:tc>
          <w:tcPr>
            <w:tcW w:w="1101" w:type="dxa"/>
          </w:tcPr>
          <w:p w14:paraId="1574A031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0060, 0160, 0260, 0360, 0460, 0560, 0660, 0760, 0860</w:t>
            </w:r>
          </w:p>
        </w:tc>
        <w:tc>
          <w:tcPr>
            <w:tcW w:w="8079" w:type="dxa"/>
          </w:tcPr>
          <w:p w14:paraId="36322A87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Is-somma tal-ikbar ħames eventi ta’ telf</w:t>
            </w:r>
          </w:p>
          <w:p w14:paraId="3D9655C2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Is-somma tal-ikbar ħames telfiet għandha tkun is-somma tal-ikbar ħames ammonti fost:</w:t>
            </w:r>
          </w:p>
          <w:p w14:paraId="4B64CFB7" w14:textId="47C0B203" w:rsidR="00FD54FC" w:rsidRPr="0021480B" w:rsidRDefault="00FD54FC" w:rsidP="005D3C49">
            <w:pPr>
              <w:pStyle w:val="ListParagraph"/>
              <w:numPr>
                <w:ilvl w:val="0"/>
                <w:numId w:val="46"/>
              </w:numPr>
              <w:tabs>
                <w:tab w:val="left" w:pos="459"/>
              </w:tabs>
              <w:ind w:left="499" w:hanging="499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ta’ telf gross għal eventi ta’ telf irrapportati għall-ewwel darba fil-perjodu ta’ referenza ta’ rapportar; u</w:t>
            </w:r>
          </w:p>
          <w:p w14:paraId="758169F5" w14:textId="305E1E4A" w:rsidR="00FD54FC" w:rsidRPr="0021480B" w:rsidRDefault="00FD54FC" w:rsidP="005D3C49">
            <w:pPr>
              <w:pStyle w:val="ListParagraph"/>
              <w:numPr>
                <w:ilvl w:val="0"/>
                <w:numId w:val="46"/>
              </w:numPr>
              <w:tabs>
                <w:tab w:val="left" w:pos="459"/>
              </w:tabs>
              <w:ind w:left="499" w:hanging="499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ta’ aġġustament għal telf pożittiv (kif definit għar-ringieli 0040, 0140, ..., 0840 hawn fuq) relatat ma’ eventi ta’ telf irrapportati għall-ewwel darba f’perjodu ta’ referenza ta’ rapportar preċedenti. L-ammont li jista’ jikkwalifika bħala wieħed mill-ħames l-ikbar fosthom għandu jkun l-ammont tal-aġġustament għat-telf innifsu, mhux it-telf totali assoċjat mal-event ta’ telf rispettiv qabel jew wara l-aġġustament għat-telf.</w:t>
            </w:r>
          </w:p>
          <w:p w14:paraId="00CACAFA" w14:textId="77777777" w:rsidR="00FD54FC" w:rsidRPr="0021480B" w:rsidRDefault="00FD54FC" w:rsidP="3B06A011">
            <w:pPr>
              <w:rPr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L-ammonti li għandhom jiġu rrapportati ma għandhomx iqisu l-irkupri miksuba.</w:t>
            </w:r>
          </w:p>
        </w:tc>
      </w:tr>
      <w:tr w:rsidR="00FD54FC" w:rsidRPr="0021480B" w14:paraId="5406E1EB" w14:textId="77777777" w:rsidTr="3B06A011">
        <w:tc>
          <w:tcPr>
            <w:tcW w:w="1101" w:type="dxa"/>
          </w:tcPr>
          <w:p w14:paraId="7AF95081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0070, 0170, 0270, 0370, 0470, 0570, 0670, 0770, 0870</w:t>
            </w:r>
          </w:p>
        </w:tc>
        <w:tc>
          <w:tcPr>
            <w:tcW w:w="8079" w:type="dxa"/>
          </w:tcPr>
          <w:p w14:paraId="4992576E" w14:textId="77777777" w:rsidR="00FD54FC" w:rsidRPr="0021480B" w:rsidRDefault="00B34B0B" w:rsidP="005D3C49">
            <w:pPr>
              <w:keepNext/>
              <w:rPr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Irkupru totali ta’ telf dirett</w:t>
            </w:r>
          </w:p>
          <w:p w14:paraId="0E30E677" w14:textId="0AA1E7F1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Irkupri diretti ta’ telf għandhom ikunu l-irkupri ta’ telf kollha miksuba, ħlief dawk li huma soġġetti għall-assigurazzjoni kif imsemmi fir-ringiela ta’ din it-tabella hawn taħt.</w:t>
            </w:r>
          </w:p>
          <w:p w14:paraId="05060BFF" w14:textId="25BCB89A" w:rsidR="008A1E95" w:rsidRPr="0021480B" w:rsidRDefault="00FD54FC" w:rsidP="005D3C49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L-irkupru tat-telf dirett totali għandu jkun is-somma tal-irkupri diretti u l-aġġustamenti għall-irkupri diretti kollha rrapportati fil-perjodu ta’ rapportar u pertinenti għal eventi ta’ telf ta’ riskju operazzjonali li tqiesu għall-ewwel darba fi ħdan il-perjodu ta’ referenza ta’ rapportar jew f’perjodi ta’ referenza ta’ rapportar preċedenti.</w:t>
            </w:r>
          </w:p>
        </w:tc>
      </w:tr>
      <w:tr w:rsidR="00FD54FC" w:rsidRPr="0021480B" w14:paraId="634FF9D5" w14:textId="77777777" w:rsidTr="3B06A011">
        <w:tc>
          <w:tcPr>
            <w:tcW w:w="1101" w:type="dxa"/>
          </w:tcPr>
          <w:p w14:paraId="2715DBA0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0080, 0180, 0</w:t>
            </w:r>
            <w:r w:rsidRPr="0021480B">
              <w:rPr>
                <w:rFonts w:ascii="Times New Roman" w:hAnsi="Times New Roman"/>
                <w:sz w:val="24"/>
                <w:lang w:eastAsia="de-DE"/>
              </w:rPr>
              <w:t>280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t>, 0380, 0480, 0580, 0680, 0780, 0880</w:t>
            </w:r>
          </w:p>
        </w:tc>
        <w:tc>
          <w:tcPr>
            <w:tcW w:w="8079" w:type="dxa"/>
          </w:tcPr>
          <w:p w14:paraId="0C974825" w14:textId="004BC639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Irkupru totali mill-assigurazzjoni</w:t>
            </w:r>
          </w:p>
          <w:p w14:paraId="22B75DB4" w14:textId="760018A0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L-irkupri mill-assigurazzjoni għandhom ikunu dawk l-irkupri f’konformità mal-Artikolu 317(1) u l-Artikolu 318 tar-Regolament (UE) Nru 575/2013.</w:t>
            </w:r>
          </w:p>
          <w:p w14:paraId="6F9286F3" w14:textId="3EB99CA9" w:rsidR="00FD54FC" w:rsidRPr="0021480B" w:rsidRDefault="00FD54FC" w:rsidP="3B06A011">
            <w:pPr>
              <w:rPr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L-irkupru totali mill-assigurazzjoni għandu jkun is-somma tal-irkupri kollha mill-assigurazzjoni u l-aġġustamenti għal tali rkupri meqjusa fi ħdan il-perjodu ta’ referenza ta’ rapportar u pertinenti għal eventi ta’ telf ta’ riskju operazzjonali li tqiesu għall-ewwel darba fi ħdan il-perjodu ta’ referenza ta’ rapportar jew f’perjodi ta’ referenza ta’ rapportar preċedenti.</w:t>
            </w:r>
          </w:p>
        </w:tc>
      </w:tr>
      <w:tr w:rsidR="00FD54FC" w:rsidRPr="0021480B" w14:paraId="331252AE" w14:textId="77777777" w:rsidTr="3B06A011">
        <w:tc>
          <w:tcPr>
            <w:tcW w:w="1101" w:type="dxa"/>
          </w:tcPr>
          <w:p w14:paraId="0E304D67" w14:textId="77777777" w:rsidR="00FD54FC" w:rsidRPr="0021480B" w:rsidRDefault="00C93FC2" w:rsidP="000F70E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0910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t>-0980</w:t>
            </w:r>
          </w:p>
        </w:tc>
        <w:tc>
          <w:tcPr>
            <w:tcW w:w="8079" w:type="dxa"/>
          </w:tcPr>
          <w:p w14:paraId="6E1626E8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TOTAL TAL-LINJI OPERATORJI</w:t>
            </w:r>
          </w:p>
          <w:p w14:paraId="62DF7EDA" w14:textId="77777777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Għal kull tip ta’ event ta’ telf (il-kolonna 0010 sa 0080), trid tiġi rrapportata l-informazzjoni dwar il-linji operatorji totali.</w:t>
            </w:r>
          </w:p>
        </w:tc>
      </w:tr>
      <w:tr w:rsidR="00FD54FC" w:rsidRPr="0021480B" w14:paraId="5E001C76" w14:textId="77777777" w:rsidTr="3B06A011">
        <w:tc>
          <w:tcPr>
            <w:tcW w:w="1101" w:type="dxa"/>
          </w:tcPr>
          <w:p w14:paraId="60FA9CC0" w14:textId="77777777" w:rsidR="00FD54FC" w:rsidRPr="0021480B" w:rsidRDefault="00C93FC2" w:rsidP="000F70E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t>0910-0914</w:t>
            </w:r>
          </w:p>
        </w:tc>
        <w:tc>
          <w:tcPr>
            <w:tcW w:w="8079" w:type="dxa"/>
          </w:tcPr>
          <w:p w14:paraId="095C4CCB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Għadd ta’ eventi ta’ telf</w:t>
            </w:r>
          </w:p>
          <w:p w14:paraId="34FAAF76" w14:textId="71BBD004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Fir-ringiela 0910, għandu jiġi rrapportat l-għadd ta’ eventi ta’ telf ogħla mil-livell limitu intern skont it-tipi ta’ eventi ta’ telf għal-linji operatorji totali. Din iċ-ċifra tista’ tkun inqas mill-aggregazzjoni tal-għadd ta’ eventi ta’ telf skont il-linji operatorji peress li l-eventi ta’ telf b’impatti multipli (impatti f’linji operatorji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differenti) għandhom jitqiesu bħala wieħed. Din tista’ tkun ogħla, meta istituzzjoni li kkalkolat f’Diċembru 2024 ir-rekwiżiti ta’ fondi proprji f’konformità mal-BIA ma tkunx tista’ tidentifika l-linja/i operatorja/i affettwata/i mit-telf f’kull każ.</w:t>
            </w:r>
          </w:p>
          <w:p w14:paraId="1029FFB0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Fir-ringieli 0911 – 0914, l-għadd ta’ eventi ta’ telf b’ammont ta’ telf gross fil-firxiet definiti fir-ringieli pertinenti tal-mudell għandu jiġi rrapportat.</w:t>
            </w:r>
          </w:p>
          <w:p w14:paraId="3642B0CB" w14:textId="732C4B5C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Dment li l-istituzzjoni tkun assenjat it-telf kollu tagħha għal linja operatorja jew tkun li tkun identifikat it-tipi ta’ eventi ta’ telf għat-telf kollu, dan li ġej għandu japplika għall-kolonna 0080, kif xieraq:</w:t>
            </w:r>
          </w:p>
          <w:p w14:paraId="37853BE1" w14:textId="6BFD6AFC" w:rsidR="00FD54FC" w:rsidRPr="0021480B" w:rsidRDefault="00FD54FC" w:rsidP="005D3C49">
            <w:pPr>
              <w:pStyle w:val="ListParagraph"/>
              <w:numPr>
                <w:ilvl w:val="0"/>
                <w:numId w:val="31"/>
              </w:numPr>
              <w:ind w:left="358" w:hanging="358"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L-għadd totali ta’ eventi ta’ telf irrapportati fir-ringieli minn 0910 sa 0914 huwa ugwali għall-aggregazzjoni orizzontali tal-għadd ta’ eventi ta’ telf fir-ringiela korrispondenti, għaliex f’dawk iċ-ċifri l-eventi ta’ telf b’impatti f’linji operatorji differenti jkunu diġà tqiesu bħala event ta’ telf wieħed.</w:t>
            </w:r>
          </w:p>
          <w:p w14:paraId="0D57024E" w14:textId="6D59921A" w:rsidR="00FD54FC" w:rsidRPr="0021480B" w:rsidRDefault="00FD54FC" w:rsidP="005D3C49">
            <w:pPr>
              <w:pStyle w:val="ListParagraph"/>
              <w:numPr>
                <w:ilvl w:val="0"/>
                <w:numId w:val="31"/>
              </w:numPr>
              <w:ind w:left="358" w:hanging="358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21480B">
              <w:rPr>
                <w:rFonts w:ascii="Times New Roman" w:hAnsi="Times New Roman"/>
                <w:sz w:val="24"/>
              </w:rPr>
              <w:t>Iċ-ċifra rrapportata fil-kolonna 0080, ir-ringiela 0910 mhux bilfors tkun daqs l-aggregazzjoni vertikali tal-għadd ta’ eventi ta’ telf li huma inklużi fil-kolonna 0080, għaliex event ta’ telf wieħed jista’ jkollu impatt f’linji operatorji differenti fl-istess ħin.</w:t>
            </w:r>
          </w:p>
        </w:tc>
      </w:tr>
      <w:tr w:rsidR="00FD54FC" w:rsidRPr="0021480B" w14:paraId="758B9A40" w14:textId="77777777" w:rsidTr="3B06A011">
        <w:tc>
          <w:tcPr>
            <w:tcW w:w="1101" w:type="dxa"/>
          </w:tcPr>
          <w:p w14:paraId="4550C890" w14:textId="77777777" w:rsidR="00FD54FC" w:rsidRPr="0021480B" w:rsidRDefault="00C93FC2" w:rsidP="000F70E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nl-BE"/>
              </w:rPr>
              <w:lastRenderedPageBreak/>
              <w:t>0920-0924</w:t>
            </w:r>
          </w:p>
        </w:tc>
        <w:tc>
          <w:tcPr>
            <w:tcW w:w="8079" w:type="dxa"/>
          </w:tcPr>
          <w:p w14:paraId="472B1327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Ammont ta’ telf gross (eventi ta’ telf ġodda)</w:t>
            </w:r>
          </w:p>
          <w:p w14:paraId="5A8AAD03" w14:textId="7CBD9A80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Dment li l-istituzzjoni tkun assenjat it-telf tagħha kollu għal linja operatorja, l-ammont ta’ telf gross (eventi ta’ telf ġodda) irrapportat fir-ringiela 0920 ikun l-aggregazzjoni sempliċi tal-ammonti ta’ telf gross ta’ eventi ta’ telf ġodda għal kull linja operatorja.</w:t>
            </w:r>
          </w:p>
          <w:p w14:paraId="151C30DF" w14:textId="77777777" w:rsidR="00FD54FC" w:rsidRPr="0021480B" w:rsidRDefault="00FD54FC" w:rsidP="00FD54FC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Fir-ringieli 0921 – 0924, għandu jkun irrapportat l-ammont ta’ telf gross għal eventi ta’ telf b’ammont ta’ telf gross fil-firxa definita fir-ringieli pertinenti.</w:t>
            </w:r>
          </w:p>
        </w:tc>
      </w:tr>
      <w:tr w:rsidR="00FD54FC" w:rsidRPr="0021480B" w14:paraId="2C2C0351" w14:textId="77777777" w:rsidTr="3B06A011">
        <w:tc>
          <w:tcPr>
            <w:tcW w:w="1101" w:type="dxa"/>
          </w:tcPr>
          <w:p w14:paraId="07A96EC8" w14:textId="77777777" w:rsidR="00FD54FC" w:rsidRPr="0021480B" w:rsidRDefault="00C93FC2" w:rsidP="00FD54FC">
            <w:pPr>
              <w:rPr>
                <w:rFonts w:ascii="Times New Roman" w:hAnsi="Times New Roman"/>
                <w:bCs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0930, 0</w:t>
            </w:r>
            <w:r w:rsidRPr="0021480B">
              <w:rPr>
                <w:rFonts w:ascii="Times New Roman" w:hAnsi="Times New Roman"/>
                <w:sz w:val="24"/>
                <w:lang w:eastAsia="nl-BE"/>
              </w:rPr>
              <w:t>935, 0936</w:t>
            </w:r>
          </w:p>
        </w:tc>
        <w:tc>
          <w:tcPr>
            <w:tcW w:w="8079" w:type="dxa"/>
          </w:tcPr>
          <w:p w14:paraId="0A0BA6EE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Għadd ta’ eventi ta’ telf soġġetti għal aġġustamenti ta’ telf</w:t>
            </w:r>
          </w:p>
          <w:p w14:paraId="7C0FBBBE" w14:textId="1D9BA1FB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Fir-ringiela 0930, għandu jiġi rrapportat it-total tal-għadd ta’ eventi ta’ telf soġġetti għal aġġustamenti ta’ telf kif irrapportat fir-ringieli 0030, 0130, ..., 0830. Dik iċ-ċifra tista’ tkun inqas mill-aggregazzjoni tal-għadd ta’ eventi ta’ telf soġġetti għal aġġustamenti ta’ telf skont il-linji operatorji billi eventi ta’ telf b’bosta impatti (impatti f’linji operatorji differenti) għandhom jitqiesu bħala wieħed. Din tista’ tkun ogħla, meta istituzzjoni li tkun ikkalkolat f’Diċembru 2024 ir-rekwiżiti ta’ fondi proprji f’konformità mal-BIA ma tkunx tista’ tidentifika l-linja/i operatorja/i affettwata/i mit-telf f’kull każ.</w:t>
            </w:r>
          </w:p>
          <w:p w14:paraId="02A26C93" w14:textId="77777777" w:rsidR="00FD54FC" w:rsidRPr="0021480B" w:rsidRDefault="00FD54FC" w:rsidP="00FD54FC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L-għadd ta’ eventi ta’ telf soġġetti għal aġġustamenti ta’ telf għandu jinqasam fl-għadd ta’ eventi ta’ telf li għalihom ikun sar aġġustament ta’ telf pożittiv fil-perjodu ta’ referenza ta’ rapportar u fl-għadd ta’ eventi ta’ telf li għalihom ikun sar aġġustament negattiv ta’ telf fil-perjodu ta’ rapportar (kollha rrapportati b’sinjal pożittiv).</w:t>
            </w:r>
          </w:p>
        </w:tc>
      </w:tr>
      <w:tr w:rsidR="00FD54FC" w:rsidRPr="0021480B" w14:paraId="601E5006" w14:textId="77777777" w:rsidTr="3B06A011">
        <w:tc>
          <w:tcPr>
            <w:tcW w:w="1101" w:type="dxa"/>
          </w:tcPr>
          <w:p w14:paraId="2F8811F2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0940, 0945, 0946</w:t>
            </w:r>
          </w:p>
        </w:tc>
        <w:tc>
          <w:tcPr>
            <w:tcW w:w="8079" w:type="dxa"/>
          </w:tcPr>
          <w:p w14:paraId="12254164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Aġġustamenti ta’ telf relatati ma’ perjodi preċedenti ta’ rapportar</w:t>
            </w:r>
          </w:p>
          <w:p w14:paraId="3A4A4FF4" w14:textId="280DCB1D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Fir-ringiela 0940, għandu jiġi rrapportat it-total tal-ammonti ta’ aġġustament tat-telf relatati ma’ perjodi ta’ rapportar preċedenti għal kull linja operatorja (kif irrapportat fir-ringieli 0040, 0140, ..., 0840). Dment li l-istituzzjoni tkun assenjat it-telf kollu tagħha għal linja operatorja, l-ammont irrapportat fir-ringiela 0940 </w:t>
            </w:r>
            <w:r w:rsidRPr="0021480B">
              <w:rPr>
                <w:rFonts w:ascii="Times New Roman" w:hAnsi="Times New Roman"/>
                <w:sz w:val="24"/>
              </w:rPr>
              <w:lastRenderedPageBreak/>
              <w:t>ikun l-aggregazzjoni sempliċi tal-aġġustamenti ta’ telf relatati ma’ perjodi ta’ rapportar preċedenti rrapportati għal-linji operatorji differenti.</w:t>
            </w:r>
          </w:p>
          <w:p w14:paraId="4FEA0713" w14:textId="77777777" w:rsidR="00FD54FC" w:rsidRPr="0021480B" w:rsidRDefault="00FD54FC" w:rsidP="00EB6FC2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L-ammont ta’ aġġustamenti ta’ telf għandu jinqasam fl-ammont relatat ma’ eventi ta’ telf li għalihom ikun sar aġġustament ta’ telf pożittiv fil-perjodu ta’ referenza ta’ rapportar (ringiela 0945, irrapportat bħala ċifra pożittiva) u l-ammont relatat ma’ eventi ta’ telf li għalihom ikun sar aġġustament ta’ telf negattiv fil-perjodu ta’ rapportar (ringiela 0946, irrapportat bħala ċifra negattiva). Meta, minħabba aġġustament negattiv ta’ telf, l-ammont ta’ telf aġġustat attribwibbli għal event ta’ telf jaqa’ taħt il-livell limitu ta’ ġbir ta’ </w:t>
            </w:r>
            <w:r w:rsidRPr="0021480B">
              <w:rPr>
                <w:rFonts w:ascii="Times New Roman" w:hAnsi="Times New Roman"/>
                <w:i/>
                <w:iCs/>
                <w:sz w:val="24"/>
              </w:rPr>
              <w:t>data</w:t>
            </w:r>
            <w:r w:rsidRPr="0021480B">
              <w:rPr>
                <w:rFonts w:ascii="Times New Roman" w:hAnsi="Times New Roman"/>
                <w:sz w:val="24"/>
              </w:rPr>
              <w:t xml:space="preserve"> interna tal-istituzzjoni, l-istituzzjoni għandha tirrapporta l-ammont ta’ telf totali għal dak l-event ta’ telf akkumulat sal-aħħar darba li l-event ta’ telf kien irrapportat għal data ta’ referenza ta’ Diċembru (jiġifieri t-telf oriġinali flimkien ma’ / nieqes l-aġġustamenti kollha ta’ telf magħmula f’perjodi ta’ referenza ta’ rapportar preċedenti) b’sinjal negattiv fir-ringiela 0946 minflok l-ammont tal-aġġustament negattiv innifsu.</w:t>
            </w:r>
          </w:p>
        </w:tc>
      </w:tr>
      <w:tr w:rsidR="00FD54FC" w:rsidRPr="0021480B" w14:paraId="27DD8D89" w14:textId="77777777" w:rsidTr="3B06A0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5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lastRenderedPageBreak/>
              <w:t>0950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A61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It-telf uniku massimu</w:t>
            </w:r>
          </w:p>
          <w:p w14:paraId="475751C9" w14:textId="4A0524CC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Sakemm l-istituzzjoni tkun assenjat it-telf kollu tagħha lil linja operatorja elenkata, it-telf uniku massimu għandu jkun it-telf massimu fuq il-livell limitu intern għal kull tip ta’ event ta’ telf u fost il-linji operatorji kollha. Dawk iċ-ċifri jistgħu jkunu ogħla mill-ogħla telf uniku reġistrat f’kull linja tan-negozju fejn event ta’ telf jaffettwa linji operatorji differenti.</w:t>
            </w:r>
          </w:p>
          <w:p w14:paraId="7BE96ED9" w14:textId="718AAC52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Dment li l-istituzzjoni tkun assenjat it-telf kollu tagħha għal linja operatorja elenkata li tkun identifikat it-tipi ta’ eventi ta’ telf kollha, dan li ġej għandu japplika għall-kolonna 0080:</w:t>
            </w:r>
          </w:p>
          <w:p w14:paraId="454E8214" w14:textId="36F9566A" w:rsidR="00FD54FC" w:rsidRPr="0021480B" w:rsidRDefault="00FD54FC" w:rsidP="005D3C49">
            <w:pPr>
              <w:pStyle w:val="ListParagraph"/>
              <w:numPr>
                <w:ilvl w:val="0"/>
                <w:numId w:val="31"/>
              </w:numPr>
              <w:ind w:left="358" w:hanging="358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</w:rPr>
              <w:t>L-uniku telf massimu rrapportat għandu jkun daqs l-ogħla mill-valuri rrapportati fil-kolonni 0010 – 0070 ta’ din ir-ringiela.</w:t>
            </w:r>
          </w:p>
          <w:p w14:paraId="6FE10DDB" w14:textId="0C0366D0" w:rsidR="00FD54FC" w:rsidRPr="0021480B" w:rsidRDefault="00F41508" w:rsidP="005D3C49">
            <w:pPr>
              <w:pStyle w:val="ListParagraph"/>
              <w:numPr>
                <w:ilvl w:val="0"/>
                <w:numId w:val="31"/>
              </w:numPr>
              <w:ind w:left="358" w:hanging="358"/>
              <w:rPr>
                <w:rStyle w:val="InstructionsTabelleberschrift"/>
                <w:rFonts w:ascii="Times New Roman" w:hAnsi="Times New Roman"/>
                <w:bCs w:val="0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Fejn hemm eventi ta’ telf li għandhom impatt f’linji operatorji differenti, l-ammont irrapportat f’{r0950, c0080} jista’ jkun ogħla mill-ammonti ta’ “Telf uniku massimu” għal kull linja operatorja rrapportati f’ringieli oħra tal-kolonna 0080. </w:t>
            </w:r>
          </w:p>
        </w:tc>
      </w:tr>
      <w:tr w:rsidR="00FD54FC" w:rsidRPr="0021480B" w14:paraId="1E3DFEBA" w14:textId="77777777" w:rsidTr="3B06A0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7B9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0960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4EE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Is-somma tal-ikbar ħames eventi ta’ telf</w:t>
            </w:r>
          </w:p>
          <w:p w14:paraId="2EA9E110" w14:textId="10DD09C7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Għandha tiġi rrapportata s-somma tal-ikbar ħames eventi ta’ telf gross għal kull tip ta’ event ta’ telf u fost il-linji operatorji kollha. Dik is-somma tista’ tkun ogħla mill-ogħla somma tal-ikbar ħames telfiet reġistrati f’kull linja operatorja. Dik is-somma trid tiġi rrapportata irrispettivament min-numru ta’ telfiet.</w:t>
            </w:r>
          </w:p>
          <w:p w14:paraId="462BED5E" w14:textId="12CDE9EE" w:rsidR="00FD54FC" w:rsidRPr="0021480B" w:rsidRDefault="00FD54FC" w:rsidP="00AB6610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Dment li l-istituzzjoni tkun assenjat it-telfiet kollha tagħha lil linja operatorja elenkata u li tkun identifikat it-tipi ta’ eventi ta’ telf għat-telfiet kollha, għall-kolonna 0080, is-somma tal-ikbar ħames telfiet għandha tkun is-somma tal-ikbar ħames telfiet fil-matriċi kollha, li jfisser li mhux neċessarjament tkun ugwali għal la l-valur massimu tas-“somma tal-ikbar ħames telfiet” fir-ringiela 0960 u lanqas il-valur massimu tas- “somma tal-ikbar ħames telfiet” fil-kolonna 0080.</w:t>
            </w:r>
          </w:p>
        </w:tc>
      </w:tr>
      <w:tr w:rsidR="00FD54FC" w:rsidRPr="0021480B" w14:paraId="10A42EB4" w14:textId="77777777" w:rsidTr="3B06A0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54D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lastRenderedPageBreak/>
              <w:t>0970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980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Irkupru totali ta’ telf dirett</w:t>
            </w:r>
          </w:p>
          <w:p w14:paraId="651924C3" w14:textId="6B9AE17F" w:rsidR="00FD54FC" w:rsidRPr="0021480B" w:rsidRDefault="00FD54FC" w:rsidP="3B06A011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Dment li l-istituzzjoni tkun assenjat it-telf kollu tagħha għal linja operatorja elenkata, l-irkupru dirett totali ta’ telf għandu jkun l-aggregazzjoni sempliċi tal-irkupru ta’ telf dirett totali għal kull linja operatorja.</w:t>
            </w:r>
          </w:p>
        </w:tc>
      </w:tr>
      <w:tr w:rsidR="00FD54FC" w:rsidRPr="0021480B" w14:paraId="786617A2" w14:textId="77777777" w:rsidTr="3B06A0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C0D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0980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C16" w14:textId="0ACCD2B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Irkupru totali mill-assigurazzjoni</w:t>
            </w:r>
          </w:p>
          <w:p w14:paraId="105A6F22" w14:textId="54B9A449" w:rsidR="00FD54FC" w:rsidRPr="0021480B" w:rsidRDefault="00FD54FC" w:rsidP="007062FD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21480B">
              <w:rPr>
                <w:rFonts w:ascii="Times New Roman" w:hAnsi="Times New Roman"/>
                <w:sz w:val="24"/>
              </w:rPr>
              <w:t>Sakemm l-istituzzjoni tkun assenjat it-telf kollu tagħha lil linja operatorja elenkata, l-irkupru totali mill-assigurazzjoni għandu jkun l-aggregazzjoni sempliċi tal-irkupru totali tat-telf mill-assigurazzjoni għal kull linja operatorja.</w:t>
            </w:r>
          </w:p>
        </w:tc>
      </w:tr>
    </w:tbl>
    <w:p w14:paraId="7FA58919" w14:textId="77777777" w:rsidR="00FD54FC" w:rsidRPr="0021480B" w:rsidRDefault="00FD54FC" w:rsidP="00FD54FC">
      <w:pPr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</w:p>
    <w:p w14:paraId="0C898FFA" w14:textId="41898FC8" w:rsidR="00FD54FC" w:rsidRPr="0021480B" w:rsidRDefault="00FD54FC" w:rsidP="005D3C49">
      <w:pPr>
        <w:pStyle w:val="Instructionsberschrift2"/>
        <w:numPr>
          <w:ilvl w:val="2"/>
          <w:numId w:val="41"/>
        </w:numPr>
        <w:ind w:left="993" w:hanging="993"/>
        <w:rPr>
          <w:rFonts w:ascii="Times New Roman" w:hAnsi="Times New Roman" w:cs="Times New Roman"/>
          <w:sz w:val="24"/>
        </w:rPr>
      </w:pPr>
      <w:bookmarkStart w:id="70" w:name="_Toc473561028"/>
      <w:bookmarkStart w:id="71" w:name="_Toc152862722"/>
      <w:r w:rsidRPr="0021480B">
        <w:rPr>
          <w:rFonts w:ascii="Times New Roman" w:hAnsi="Times New Roman"/>
          <w:sz w:val="24"/>
        </w:rPr>
        <w:t>C 17.02: Riskju operazzjonali: Informazzjoni dettaljata dwar l-ikbar eventi ta’ telf fl-aħħar sena (DETTALJI OPR 2)</w:t>
      </w:r>
      <w:bookmarkEnd w:id="70"/>
      <w:bookmarkEnd w:id="71"/>
    </w:p>
    <w:p w14:paraId="14652218" w14:textId="75B16F8F" w:rsidR="00FD54FC" w:rsidRPr="0021480B" w:rsidRDefault="00FD54FC" w:rsidP="005D3C49">
      <w:pPr>
        <w:pStyle w:val="Instructionsberschrift2"/>
        <w:numPr>
          <w:ilvl w:val="3"/>
          <w:numId w:val="41"/>
        </w:numPr>
        <w:ind w:hanging="1080"/>
        <w:rPr>
          <w:rFonts w:ascii="Times New Roman" w:hAnsi="Times New Roman" w:cs="Times New Roman"/>
          <w:sz w:val="24"/>
        </w:rPr>
      </w:pPr>
      <w:bookmarkStart w:id="72" w:name="_Toc473561029"/>
      <w:bookmarkStart w:id="73" w:name="_Toc152862723"/>
      <w:r w:rsidRPr="0021480B">
        <w:rPr>
          <w:rFonts w:ascii="Times New Roman" w:hAnsi="Times New Roman"/>
          <w:sz w:val="24"/>
        </w:rPr>
        <w:t>Kummenti Ġenerali</w:t>
      </w:r>
      <w:bookmarkEnd w:id="72"/>
      <w:bookmarkEnd w:id="73"/>
    </w:p>
    <w:p w14:paraId="06D9B602" w14:textId="5A8442DD" w:rsidR="00FD54FC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155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Fil-mudell 17.02, għandha tiġi pprovduta informazzjoni dwar eventi ta’ telf individwali (ringiela waħda għal kull event ta’ telf).</w:t>
      </w:r>
    </w:p>
    <w:p w14:paraId="6928228C" w14:textId="767E281A" w:rsidR="00FD54FC" w:rsidRPr="0021480B" w:rsidRDefault="00E434A1" w:rsidP="005D3C49">
      <w:pPr>
        <w:pStyle w:val="InstructionsText2"/>
        <w:keepNext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156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L-informazzjoni rrapportata f’din il-mudell għandha tirreferi għal “eventi ta’ telf ġodda”, jiġifieri eventi ta’ riskju operazzjonali:</w:t>
      </w:r>
    </w:p>
    <w:p w14:paraId="43C23B10" w14:textId="575A7639" w:rsidR="00FD54FC" w:rsidRPr="0021480B" w:rsidRDefault="00FD54FC" w:rsidP="005D3C49">
      <w:pPr>
        <w:pStyle w:val="InstructionsText2"/>
        <w:numPr>
          <w:ilvl w:val="0"/>
          <w:numId w:val="47"/>
        </w:numPr>
        <w:ind w:left="709" w:hanging="709"/>
      </w:pPr>
      <w:r w:rsidRPr="0021480B">
        <w:t>“meqjusa għall-ewwel darba” fil-perjodu ta’ referenza ta’ rapportar; jew</w:t>
      </w:r>
    </w:p>
    <w:p w14:paraId="0D60A55D" w14:textId="6182FB91" w:rsidR="00FD54FC" w:rsidRPr="0021480B" w:rsidRDefault="00FD54FC" w:rsidP="005D3C49">
      <w:pPr>
        <w:pStyle w:val="InstructionsText2"/>
        <w:numPr>
          <w:ilvl w:val="0"/>
          <w:numId w:val="47"/>
        </w:numPr>
        <w:ind w:left="0" w:firstLine="0"/>
      </w:pPr>
      <w:r w:rsidRPr="0021480B">
        <w:t>“meqjusa għall-ewwel darba” f’perjodu ta’ referenza ta’ rapportar preċedenti, fejn l-event ta’ telf ma kienx inkluż f’xi rapport superviżorju preċedenti, eż. minħabba li kien identifikat bħala event ta’ telf tar-riskju operazzjonali biss fil-perjodu ta’ referenza ta’ rapportar kurrenti jew minħabba li t-telf akkumulat attribwibbli għal dak l-event ta’ telf (jiġifieri t-telf oriġinali flimkien ma’ / nieqes l-aġġustamenti kollha ta’ telf magħmula f’perjodi ta’ referenza ta’ rapportar preċedenti) qabeż il-livell limitu tal-ġbir tad-</w:t>
      </w:r>
      <w:r w:rsidRPr="0021480B">
        <w:rPr>
          <w:i/>
          <w:iCs/>
        </w:rPr>
        <w:t>data</w:t>
      </w:r>
      <w:r w:rsidRPr="0021480B">
        <w:t xml:space="preserve"> interna biss fil-perjodu ta’ referenza ta’ rapportar kurrenti.</w:t>
      </w:r>
    </w:p>
    <w:p w14:paraId="4FB49E60" w14:textId="42C4A02F" w:rsidR="00F41508" w:rsidRPr="0021480B" w:rsidRDefault="00362BB4" w:rsidP="00E434A1">
      <w:pPr>
        <w:pStyle w:val="InstructionsText2"/>
        <w:numPr>
          <w:ilvl w:val="0"/>
          <w:numId w:val="0"/>
        </w:numPr>
      </w:pPr>
      <w:r w:rsidRPr="0021480B">
        <w:rPr>
          <w:rStyle w:val="DNEx2"/>
        </w:rPr>
        <w:fldChar w:fldCharType="begin"/>
      </w:r>
      <w:r w:rsidRPr="0021480B">
        <w:rPr>
          <w:rStyle w:val="DNEx2"/>
        </w:rPr>
        <w:instrText xml:space="preserve"> seq paragraphs </w:instrText>
      </w:r>
      <w:r w:rsidRPr="0021480B">
        <w:rPr>
          <w:rStyle w:val="DNEx2"/>
        </w:rPr>
        <w:fldChar w:fldCharType="separate"/>
      </w:r>
      <w:r w:rsidR="00771068" w:rsidRPr="0021480B">
        <w:rPr>
          <w:rStyle w:val="DNEx2"/>
        </w:rPr>
        <w:t>157</w:t>
      </w:r>
      <w:r w:rsidRPr="0021480B">
        <w:rPr>
          <w:rStyle w:val="DNEx2"/>
        </w:rPr>
        <w:fldChar w:fldCharType="end"/>
      </w:r>
      <w:r w:rsidRPr="0021480B">
        <w:rPr>
          <w:rStyle w:val="DNEx2"/>
        </w:rPr>
        <w:t xml:space="preserve">. </w:t>
      </w:r>
      <w:r w:rsidRPr="0021480B">
        <w:t>Għandhom jiġu rrapportati biss eventi ta’ telf li jinvolvu ammont ta’ telf gross ta’ EUR 100,000 jew aktar.</w:t>
      </w:r>
    </w:p>
    <w:p w14:paraId="5F2CAE8D" w14:textId="77777777" w:rsidR="00FD54FC" w:rsidRPr="0021480B" w:rsidRDefault="00FD54FC" w:rsidP="005D3C49">
      <w:pPr>
        <w:pStyle w:val="InstructionsText2"/>
        <w:keepNext/>
        <w:numPr>
          <w:ilvl w:val="0"/>
          <w:numId w:val="0"/>
        </w:numPr>
      </w:pPr>
      <w:r w:rsidRPr="0021480B">
        <w:t>Soġġett għal dak il-livell limitu:</w:t>
      </w:r>
    </w:p>
    <w:p w14:paraId="503143B8" w14:textId="0132C6D9" w:rsidR="00FD54FC" w:rsidRPr="0021480B" w:rsidRDefault="00FD54FC" w:rsidP="005D3C49">
      <w:pPr>
        <w:pStyle w:val="InstructionsText2"/>
        <w:numPr>
          <w:ilvl w:val="0"/>
          <w:numId w:val="48"/>
        </w:numPr>
        <w:ind w:left="0" w:firstLine="0"/>
      </w:pPr>
      <w:r w:rsidRPr="0021480B">
        <w:t>l-ikbar event għal kull tip ta’ event, dment li l-istituzzjoni tkun identifikat it-tipi ta’ eventi għat-telf; u</w:t>
      </w:r>
    </w:p>
    <w:p w14:paraId="0CFFC449" w14:textId="6483F02A" w:rsidR="00FD54FC" w:rsidRPr="0021480B" w:rsidRDefault="00AA6A66" w:rsidP="005D3C49">
      <w:pPr>
        <w:pStyle w:val="InstructionsText2"/>
        <w:numPr>
          <w:ilvl w:val="0"/>
          <w:numId w:val="48"/>
        </w:numPr>
        <w:ind w:left="0" w:firstLine="0"/>
      </w:pPr>
      <w:r w:rsidRPr="0021480B">
        <w:t>mill-inqas l-ikbar għaxra mill-eventi li jifdal bit-tip ta’ event identifikat jew mingħajr skont l-ammont ta’ telf gross għandu jkun inkluż fil-mudell.</w:t>
      </w:r>
    </w:p>
    <w:p w14:paraId="4B19E136" w14:textId="338E6893" w:rsidR="00FD54FC" w:rsidRPr="0021480B" w:rsidRDefault="00EB6FC2" w:rsidP="005D3C49">
      <w:pPr>
        <w:pStyle w:val="InstructionsText2"/>
        <w:numPr>
          <w:ilvl w:val="0"/>
          <w:numId w:val="48"/>
        </w:numPr>
        <w:ind w:left="0" w:firstLine="0"/>
      </w:pPr>
      <w:r w:rsidRPr="0021480B">
        <w:t>L-eventi ta’ telf għandhom jiġu kklassifikati abbażi tat-telf gross attribwit lilhom.</w:t>
      </w:r>
    </w:p>
    <w:p w14:paraId="3AE1B367" w14:textId="36CAE0B8" w:rsidR="00FD54FC" w:rsidRPr="0021480B" w:rsidRDefault="00FD54FC" w:rsidP="005D3C49">
      <w:pPr>
        <w:pStyle w:val="InstructionsText2"/>
        <w:numPr>
          <w:ilvl w:val="0"/>
          <w:numId w:val="48"/>
        </w:numPr>
        <w:ind w:left="0" w:firstLine="0"/>
      </w:pPr>
      <w:r w:rsidRPr="0021480B">
        <w:t>Event ta’ telf għandu jitqies darba biss.</w:t>
      </w:r>
    </w:p>
    <w:p w14:paraId="7FAC47A3" w14:textId="50F5D832" w:rsidR="00FD54FC" w:rsidRPr="0021480B" w:rsidRDefault="00FD54FC" w:rsidP="005D3C49">
      <w:pPr>
        <w:pStyle w:val="Instructionsberschrift2"/>
        <w:numPr>
          <w:ilvl w:val="3"/>
          <w:numId w:val="41"/>
        </w:numPr>
        <w:ind w:hanging="1080"/>
        <w:rPr>
          <w:rFonts w:ascii="Times New Roman" w:hAnsi="Times New Roman" w:cs="Times New Roman"/>
          <w:sz w:val="24"/>
        </w:rPr>
      </w:pPr>
      <w:bookmarkStart w:id="74" w:name="_Toc473561030"/>
      <w:bookmarkStart w:id="75" w:name="_Toc152862724"/>
      <w:r w:rsidRPr="0021480B">
        <w:rPr>
          <w:rFonts w:ascii="Times New Roman" w:hAnsi="Times New Roman"/>
          <w:sz w:val="24"/>
        </w:rPr>
        <w:lastRenderedPageBreak/>
        <w:t>Struzzjonijiet dwar pożizzjonijiet speċifiċi</w:t>
      </w:r>
      <w:bookmarkEnd w:id="74"/>
      <w:bookmarkEnd w:id="75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111"/>
      </w:tblGrid>
      <w:tr w:rsidR="00FD54FC" w:rsidRPr="0021480B" w14:paraId="6CFCB957" w14:textId="77777777" w:rsidTr="3B06A01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F453486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FD54FC" w:rsidRPr="0021480B" w14:paraId="49D115B7" w14:textId="77777777" w:rsidTr="3B06A011">
        <w:tc>
          <w:tcPr>
            <w:tcW w:w="951" w:type="dxa"/>
          </w:tcPr>
          <w:p w14:paraId="365F3571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0010</w:t>
            </w:r>
          </w:p>
        </w:tc>
        <w:tc>
          <w:tcPr>
            <w:tcW w:w="8111" w:type="dxa"/>
          </w:tcPr>
          <w:p w14:paraId="7D920D2F" w14:textId="77777777" w:rsidR="00FD54FC" w:rsidRPr="0021480B" w:rsidRDefault="00FD54FC" w:rsidP="005D3C49">
            <w:pPr>
              <w:keepNext/>
              <w:rPr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ID tal-event</w:t>
            </w:r>
          </w:p>
          <w:p w14:paraId="6710BBCF" w14:textId="6EBC6B8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L-ID tal-event huwa identifikatur tar-ringiela u għandu jkun uniku għal kull ringiela fil-mudell.</w:t>
            </w:r>
          </w:p>
          <w:p w14:paraId="0801D83B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Meta tkun disponibbli ID interna, l-istituzzjonijiet għandhom jipprovdu l-ID interna. Inkella, l-ID irrapportata għandha ssegwi l-ordni numerika 1, 2, 3, eċċ.</w:t>
            </w:r>
          </w:p>
        </w:tc>
      </w:tr>
      <w:tr w:rsidR="00FD54FC" w:rsidRPr="0021480B" w14:paraId="2576979E" w14:textId="77777777" w:rsidTr="3B06A011">
        <w:tc>
          <w:tcPr>
            <w:tcW w:w="951" w:type="dxa"/>
          </w:tcPr>
          <w:p w14:paraId="753AF5DA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0020</w:t>
            </w:r>
          </w:p>
        </w:tc>
        <w:tc>
          <w:tcPr>
            <w:tcW w:w="8111" w:type="dxa"/>
          </w:tcPr>
          <w:p w14:paraId="71F6AD5E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Data tal-Kontabilità</w:t>
            </w:r>
          </w:p>
          <w:p w14:paraId="1F65F50C" w14:textId="77777777" w:rsidR="00FD54FC" w:rsidRPr="0021480B" w:rsidRDefault="00FD54FC" w:rsidP="00C7103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Id-data tal-kontabilità tfisser id-data li fiha telf jew riżerva / provvediment kontra telf minn riskju operazzjonali ġie rikonoxxut għall-ewwel darba fid-dikjarazzjoni tal-Profitt u t-Telf. </w:t>
            </w:r>
          </w:p>
        </w:tc>
      </w:tr>
      <w:tr w:rsidR="00FD54FC" w:rsidRPr="0021480B" w14:paraId="58A95795" w14:textId="77777777" w:rsidTr="3B06A011">
        <w:tc>
          <w:tcPr>
            <w:tcW w:w="951" w:type="dxa"/>
          </w:tcPr>
          <w:p w14:paraId="51A33C19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0030</w:t>
            </w:r>
          </w:p>
        </w:tc>
        <w:tc>
          <w:tcPr>
            <w:tcW w:w="8111" w:type="dxa"/>
          </w:tcPr>
          <w:p w14:paraId="7E4571A8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Data tal-okkorrenza</w:t>
            </w:r>
          </w:p>
          <w:p w14:paraId="49262D6C" w14:textId="77777777" w:rsidR="00FD54FC" w:rsidRPr="0021480B" w:rsidRDefault="00FD54FC" w:rsidP="00871877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Id-data tal-okkorrenza għandha tkun id-data meta seħħ l-event ta’ telf mir-riskju operazzjonali jew meta beda.</w:t>
            </w:r>
          </w:p>
        </w:tc>
      </w:tr>
      <w:tr w:rsidR="00FD54FC" w:rsidRPr="0021480B" w14:paraId="1D001D6C" w14:textId="77777777" w:rsidTr="3B06A011">
        <w:tc>
          <w:tcPr>
            <w:tcW w:w="951" w:type="dxa"/>
          </w:tcPr>
          <w:p w14:paraId="7391D6AD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0040</w:t>
            </w:r>
          </w:p>
        </w:tc>
        <w:tc>
          <w:tcPr>
            <w:tcW w:w="8111" w:type="dxa"/>
          </w:tcPr>
          <w:p w14:paraId="3CE5AC19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Data tal-iskoperta</w:t>
            </w:r>
          </w:p>
          <w:p w14:paraId="520821A8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Id-data tal-iskoperta għandha tkun id-data li fiha l-istituzzjoni saret taf bl-event ta’ telf tar-riskju operazzjonali.</w:t>
            </w:r>
          </w:p>
        </w:tc>
      </w:tr>
      <w:tr w:rsidR="00FD54FC" w:rsidRPr="0021480B" w14:paraId="76851195" w14:textId="77777777" w:rsidTr="3B06A011">
        <w:tc>
          <w:tcPr>
            <w:tcW w:w="951" w:type="dxa"/>
          </w:tcPr>
          <w:p w14:paraId="28758796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0050</w:t>
            </w:r>
          </w:p>
        </w:tc>
        <w:tc>
          <w:tcPr>
            <w:tcW w:w="8111" w:type="dxa"/>
          </w:tcPr>
          <w:p w14:paraId="3FDF46AE" w14:textId="77777777" w:rsidR="00FD54FC" w:rsidRPr="0021480B" w:rsidRDefault="00F41508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Tip ta’ event ta’ telf</w:t>
            </w:r>
          </w:p>
          <w:p w14:paraId="73A75C19" w14:textId="1C0C4757" w:rsidR="00FD54FC" w:rsidRPr="0021480B" w:rsidRDefault="00F41508" w:rsidP="00EB6FC2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Tipi ta’ eventi ta’ telf kif definiti fit-Tabella 1 ta’ dan l-Anness, it-taqsima 4.2.1. </w:t>
            </w:r>
          </w:p>
        </w:tc>
      </w:tr>
      <w:tr w:rsidR="00FD54FC" w:rsidRPr="0021480B" w14:paraId="69DCDE9E" w14:textId="77777777" w:rsidTr="3B06A011">
        <w:tc>
          <w:tcPr>
            <w:tcW w:w="951" w:type="dxa"/>
          </w:tcPr>
          <w:p w14:paraId="6A006D8C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0060</w:t>
            </w:r>
          </w:p>
        </w:tc>
        <w:tc>
          <w:tcPr>
            <w:tcW w:w="8111" w:type="dxa"/>
          </w:tcPr>
          <w:p w14:paraId="2D778DC5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Telf gross</w:t>
            </w:r>
          </w:p>
          <w:p w14:paraId="5E868659" w14:textId="77777777" w:rsidR="00FD54FC" w:rsidRPr="0021480B" w:rsidRDefault="00FD54FC" w:rsidP="0023276A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gross relatat mal-event ta’ telf irrapportat fir-ringieli 0020, 0120 eċċ. tal-mudell C 17.01</w:t>
            </w:r>
          </w:p>
        </w:tc>
      </w:tr>
      <w:tr w:rsidR="00FD54FC" w:rsidRPr="0021480B" w14:paraId="0E4E70D6" w14:textId="77777777" w:rsidTr="3B06A011">
        <w:tc>
          <w:tcPr>
            <w:tcW w:w="951" w:type="dxa"/>
          </w:tcPr>
          <w:p w14:paraId="59554EE1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0070</w:t>
            </w:r>
          </w:p>
        </w:tc>
        <w:tc>
          <w:tcPr>
            <w:tcW w:w="8111" w:type="dxa"/>
          </w:tcPr>
          <w:p w14:paraId="38BFF4C4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Telf gross nett ta’ rkupri diretti</w:t>
            </w:r>
          </w:p>
          <w:p w14:paraId="371DD3AD" w14:textId="77777777" w:rsidR="00FD54FC" w:rsidRPr="0021480B" w:rsidRDefault="00FD54FC" w:rsidP="0023276A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Telf gross relatat mal-event ta’ telf irrapportat fir-ringieli 0020, 0120, eċċ. tal-mudell C 17.01, nett minn irkupri diretti pertinenti għal dak l-eventi ta’ telf</w:t>
            </w:r>
          </w:p>
        </w:tc>
      </w:tr>
      <w:tr w:rsidR="00FD54FC" w:rsidRPr="0021480B" w14:paraId="00E3E0C2" w14:textId="77777777" w:rsidTr="3B06A011">
        <w:tc>
          <w:tcPr>
            <w:tcW w:w="951" w:type="dxa"/>
          </w:tcPr>
          <w:p w14:paraId="724B852D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0080 - 0160</w:t>
            </w:r>
          </w:p>
        </w:tc>
        <w:tc>
          <w:tcPr>
            <w:tcW w:w="8111" w:type="dxa"/>
          </w:tcPr>
          <w:p w14:paraId="5640FB78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Telf gross skont il-linja operatorja</w:t>
            </w:r>
          </w:p>
          <w:p w14:paraId="15FC08A2" w14:textId="6BE4BE54" w:rsidR="00FD54FC" w:rsidRPr="0021480B" w:rsidRDefault="00FD54FC" w:rsidP="007062FD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 xml:space="preserve">It-telf gross kif irrapportat fil-kolonna 0060 għandu jiġi allokat lil-linji operatorji rilevanti msemmija fit-Tabella 2, it-taqsima 4.2.1. </w:t>
            </w:r>
          </w:p>
        </w:tc>
      </w:tr>
      <w:tr w:rsidR="00FD54FC" w:rsidRPr="0021480B" w14:paraId="557602BD" w14:textId="77777777" w:rsidTr="3B06A011">
        <w:tc>
          <w:tcPr>
            <w:tcW w:w="951" w:type="dxa"/>
          </w:tcPr>
          <w:p w14:paraId="413224E7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0170</w:t>
            </w:r>
          </w:p>
        </w:tc>
        <w:tc>
          <w:tcPr>
            <w:tcW w:w="8111" w:type="dxa"/>
          </w:tcPr>
          <w:p w14:paraId="3BBE9520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Isem tal-Entità Ġuridika</w:t>
            </w:r>
          </w:p>
          <w:p w14:paraId="196BBE73" w14:textId="7342A187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L-isem tal-entità ġuridika kif irrapportat fil-kolonna 0011 ta’ C 06.02 fejn it-telf – jew l-ikbar sehem tat-telf, jekk diversi entitajiet kienu affettwati – seħħ.</w:t>
            </w:r>
          </w:p>
        </w:tc>
      </w:tr>
      <w:tr w:rsidR="00FD54FC" w:rsidRPr="0021480B" w14:paraId="65061E2E" w14:textId="77777777" w:rsidTr="3B06A011">
        <w:tc>
          <w:tcPr>
            <w:tcW w:w="951" w:type="dxa"/>
          </w:tcPr>
          <w:p w14:paraId="2B53F902" w14:textId="5E3BBEFD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0181</w:t>
            </w:r>
          </w:p>
        </w:tc>
        <w:tc>
          <w:tcPr>
            <w:tcW w:w="8111" w:type="dxa"/>
          </w:tcPr>
          <w:p w14:paraId="4F848E3A" w14:textId="77777777" w:rsidR="00FD54FC" w:rsidRPr="0021480B" w:rsidRDefault="00105A75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Kodiċi</w:t>
            </w:r>
          </w:p>
          <w:p w14:paraId="2B51325F" w14:textId="351ACEFF" w:rsidR="000D0A23" w:rsidRPr="0021480B" w:rsidRDefault="0062362F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Il-kodiċi tal-entità ġuridika kif irrapportat fil-kolonna 0021 ta’ C 06.02 fejn it-telf – jew l-ikbar sehem tat-telf, jekk diversi entitajiet kienu affettwati – seħħ.</w:t>
            </w:r>
          </w:p>
        </w:tc>
      </w:tr>
      <w:tr w:rsidR="000D0A23" w:rsidRPr="0021480B" w14:paraId="78136DE9" w14:textId="77777777" w:rsidTr="3B06A011">
        <w:tc>
          <w:tcPr>
            <w:tcW w:w="951" w:type="dxa"/>
          </w:tcPr>
          <w:p w14:paraId="36C0C957" w14:textId="1C3F9210" w:rsidR="000D0A23" w:rsidRPr="0021480B" w:rsidRDefault="000D0A23" w:rsidP="00071D95">
            <w:pPr>
              <w:rPr>
                <w:rStyle w:val="InstructionsTabelleText"/>
                <w:rFonts w:ascii="Times New Roman" w:hAnsi="Times New Roman"/>
                <w:sz w:val="24"/>
              </w:rPr>
            </w:pPr>
            <w:r w:rsidRPr="0021480B">
              <w:rPr>
                <w:rStyle w:val="InstructionsTabelleText"/>
                <w:rFonts w:ascii="Times New Roman" w:hAnsi="Times New Roman"/>
                <w:sz w:val="24"/>
              </w:rPr>
              <w:lastRenderedPageBreak/>
              <w:t>0185</w:t>
            </w:r>
          </w:p>
        </w:tc>
        <w:tc>
          <w:tcPr>
            <w:tcW w:w="8111" w:type="dxa"/>
          </w:tcPr>
          <w:p w14:paraId="1CF8E766" w14:textId="77777777" w:rsidR="000D0A23" w:rsidRPr="0021480B" w:rsidRDefault="000D0A23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TIP TA’ KODIĊI</w:t>
            </w:r>
          </w:p>
          <w:p w14:paraId="13D1F0E6" w14:textId="5C3CE252" w:rsidR="000D0A23" w:rsidRPr="0021480B" w:rsidRDefault="000D0A23" w:rsidP="3B06A011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L-istituzzjonijiet għandhom jidentifikaw it-tip ta’ kodiċi rrapportat fil-kolonna 0181 bħala “Kodiċi LEI” jew “Kodiċi mhux LEI” ukoll f’konformità mal-kolonna 0026 ta’ C 06.02. It-tip ta’ kodiċi għandu dejjem jiġi rrapportat.</w:t>
            </w:r>
          </w:p>
        </w:tc>
      </w:tr>
      <w:tr w:rsidR="00FD54FC" w:rsidRPr="0021480B" w14:paraId="79A2ACFE" w14:textId="77777777" w:rsidTr="3B06A011">
        <w:tc>
          <w:tcPr>
            <w:tcW w:w="951" w:type="dxa"/>
          </w:tcPr>
          <w:p w14:paraId="1C6C72FE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0190</w:t>
            </w:r>
          </w:p>
        </w:tc>
        <w:tc>
          <w:tcPr>
            <w:tcW w:w="8111" w:type="dxa"/>
          </w:tcPr>
          <w:p w14:paraId="07842AC1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Unità tan-Negozju</w:t>
            </w:r>
          </w:p>
          <w:p w14:paraId="7468F598" w14:textId="77777777" w:rsidR="00FD54FC" w:rsidRPr="0021480B" w:rsidRDefault="00FD54FC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L-unità tan-negozju jew id-diviżjoni korporattiva tal-istituzzjoni fejn ġie affettwat it-telf – jew l-ikbar sehem tat-telf jekk ġew affettwati diversi unitajiet tan-negozju jew diviżjonijiet korporattivi – seħħ.</w:t>
            </w:r>
          </w:p>
        </w:tc>
      </w:tr>
      <w:tr w:rsidR="00FD54FC" w:rsidRPr="0021480B" w14:paraId="47FF13C8" w14:textId="77777777" w:rsidTr="3B06A011">
        <w:tc>
          <w:tcPr>
            <w:tcW w:w="951" w:type="dxa"/>
          </w:tcPr>
          <w:p w14:paraId="70D39850" w14:textId="77777777" w:rsidR="00FD54FC" w:rsidRPr="0021480B" w:rsidRDefault="00C93FC2" w:rsidP="00FD54FC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  <w:lang w:eastAsia="de-DE"/>
              </w:rPr>
              <w:t>0200</w:t>
            </w:r>
          </w:p>
        </w:tc>
        <w:tc>
          <w:tcPr>
            <w:tcW w:w="8111" w:type="dxa"/>
          </w:tcPr>
          <w:p w14:paraId="008721A3" w14:textId="77777777" w:rsidR="00FD54FC" w:rsidRPr="0021480B" w:rsidRDefault="00FD54FC" w:rsidP="005D3C49">
            <w:pPr>
              <w:keepNext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21480B">
              <w:rPr>
                <w:rStyle w:val="InstructionsTabelleberschrift"/>
                <w:rFonts w:ascii="Times New Roman" w:hAnsi="Times New Roman"/>
                <w:sz w:val="24"/>
              </w:rPr>
              <w:t>Deskrizzjoni</w:t>
            </w:r>
          </w:p>
          <w:p w14:paraId="5B222555" w14:textId="77777777" w:rsidR="00FD54FC" w:rsidRPr="0021480B" w:rsidRDefault="00FD54FC" w:rsidP="3B06A011">
            <w:pPr>
              <w:rPr>
                <w:rFonts w:ascii="Times New Roman" w:hAnsi="Times New Roman"/>
                <w:sz w:val="24"/>
              </w:rPr>
            </w:pPr>
            <w:r w:rsidRPr="0021480B">
              <w:rPr>
                <w:rFonts w:ascii="Times New Roman" w:hAnsi="Times New Roman"/>
                <w:sz w:val="24"/>
              </w:rPr>
              <w:t>Deskrizzjoni narrattiva tal-event ta’ telf, fejn meħtieġ b’mod ġeneralizzat jew anonimizzat, li għandha tinkludi mill-inqas informazzjoni dwar l-event innifsu u informazzjoni dwar il-motivaturi jew il-kawżi tal-event ta’ telf, fejn tkun magħrufa.</w:t>
            </w:r>
          </w:p>
        </w:tc>
      </w:tr>
    </w:tbl>
    <w:p w14:paraId="5C0CD8F3" w14:textId="59F5D27A" w:rsidR="00AC6255" w:rsidRPr="0021480B" w:rsidRDefault="00AC6255" w:rsidP="005D3C49">
      <w:pPr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</w:p>
    <w:sectPr w:rsidR="00AC6255" w:rsidRPr="0021480B" w:rsidSect="00450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57DA" w14:textId="77777777" w:rsidR="0031155B" w:rsidRPr="0021480B" w:rsidRDefault="0031155B" w:rsidP="00D946DB">
      <w:pPr>
        <w:spacing w:before="0" w:after="0"/>
      </w:pPr>
      <w:r w:rsidRPr="0021480B">
        <w:separator/>
      </w:r>
    </w:p>
  </w:endnote>
  <w:endnote w:type="continuationSeparator" w:id="0">
    <w:p w14:paraId="2EE1F359" w14:textId="77777777" w:rsidR="0031155B" w:rsidRPr="0021480B" w:rsidRDefault="0031155B" w:rsidP="00D946DB">
      <w:pPr>
        <w:spacing w:before="0" w:after="0"/>
      </w:pPr>
      <w:r w:rsidRPr="0021480B">
        <w:continuationSeparator/>
      </w:r>
    </w:p>
  </w:endnote>
  <w:endnote w:type="continuationNotice" w:id="1">
    <w:p w14:paraId="435D6678" w14:textId="77777777" w:rsidR="0031155B" w:rsidRPr="0021480B" w:rsidRDefault="003115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BdE Neue Helvetica 55 Roman&quot;,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A5" w14:textId="77777777" w:rsidR="00C3070C" w:rsidRPr="0021480B" w:rsidRDefault="00C3070C">
    <w:pPr>
      <w:pStyle w:val="Footer"/>
      <w:framePr w:wrap="auto" w:vAnchor="text" w:hAnchor="margin" w:xAlign="right" w:y="1"/>
      <w:rPr>
        <w:rStyle w:val="PageNumber"/>
        <w:noProof/>
        <w:szCs w:val="22"/>
      </w:rPr>
    </w:pPr>
    <w:r w:rsidRPr="0021480B">
      <w:rPr>
        <w:rStyle w:val="PageNumber"/>
      </w:rPr>
      <w:fldChar w:fldCharType="begin"/>
    </w:r>
    <w:r w:rsidRPr="0021480B">
      <w:rPr>
        <w:rStyle w:val="PageNumber"/>
      </w:rPr>
      <w:instrText xml:space="preserve">PAGE  </w:instrText>
    </w:r>
    <w:r w:rsidRPr="0021480B">
      <w:rPr>
        <w:rStyle w:val="PageNumber"/>
      </w:rPr>
      <w:fldChar w:fldCharType="separate"/>
    </w:r>
    <w:r w:rsidRPr="0021480B">
      <w:rPr>
        <w:rStyle w:val="PageNumber"/>
      </w:rPr>
      <w:t>18</w:t>
    </w:r>
    <w:r w:rsidRPr="0021480B">
      <w:rPr>
        <w:rStyle w:val="PageNumber"/>
      </w:rPr>
      <w:t>3</w:t>
    </w:r>
    <w:r w:rsidRPr="0021480B">
      <w:rPr>
        <w:rStyle w:val="PageNumber"/>
      </w:rPr>
      <w:fldChar w:fldCharType="end"/>
    </w:r>
  </w:p>
  <w:p w14:paraId="468B5799" w14:textId="77777777" w:rsidR="00C3070C" w:rsidRPr="0021480B" w:rsidRDefault="00C3070C">
    <w:pPr>
      <w:pStyle w:val="Footer"/>
      <w:ind w:right="360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5885" w14:textId="71A1082C" w:rsidR="00C3070C" w:rsidRPr="0021480B" w:rsidRDefault="00C3070C">
    <w:pPr>
      <w:pStyle w:val="Footer"/>
      <w:jc w:val="right"/>
      <w:rPr>
        <w:rFonts w:ascii="Times New Roman" w:hAnsi="Times New Roman"/>
        <w:noProof/>
        <w:sz w:val="20"/>
        <w:szCs w:val="20"/>
      </w:rPr>
    </w:pPr>
    <w:r w:rsidRPr="0021480B">
      <w:rPr>
        <w:rFonts w:ascii="Times New Roman" w:hAnsi="Times New Roman"/>
        <w:sz w:val="20"/>
      </w:rPr>
      <w:fldChar w:fldCharType="begin"/>
    </w:r>
    <w:r w:rsidRPr="0021480B">
      <w:rPr>
        <w:rFonts w:ascii="Times New Roman" w:hAnsi="Times New Roman"/>
        <w:sz w:val="20"/>
      </w:rPr>
      <w:instrText xml:space="preserve"> PAGE   \* MERGEFORMAT </w:instrText>
    </w:r>
    <w:r w:rsidRPr="0021480B">
      <w:rPr>
        <w:rFonts w:ascii="Times New Roman" w:hAnsi="Times New Roman"/>
        <w:sz w:val="20"/>
      </w:rPr>
      <w:fldChar w:fldCharType="separate"/>
    </w:r>
    <w:r w:rsidR="008F3052" w:rsidRPr="0021480B">
      <w:rPr>
        <w:rFonts w:ascii="Times New Roman" w:hAnsi="Times New Roman"/>
        <w:sz w:val="20"/>
      </w:rPr>
      <w:t>4</w:t>
    </w:r>
    <w:r w:rsidR="008F3052" w:rsidRPr="0021480B">
      <w:rPr>
        <w:rFonts w:ascii="Times New Roman" w:hAnsi="Times New Roman"/>
        <w:sz w:val="20"/>
      </w:rPr>
      <w:t>2</w:t>
    </w:r>
    <w:r w:rsidRPr="0021480B">
      <w:rPr>
        <w:rFonts w:ascii="Times New Roman" w:hAnsi="Times New Roman"/>
        <w:sz w:val="20"/>
      </w:rPr>
      <w:fldChar w:fldCharType="end"/>
    </w:r>
  </w:p>
  <w:p w14:paraId="416ED6B6" w14:textId="77777777" w:rsidR="00C3070C" w:rsidRPr="0021480B" w:rsidRDefault="00C3070C" w:rsidP="00A772B4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5E55" w14:textId="77777777" w:rsidR="0031155B" w:rsidRPr="0021480B" w:rsidRDefault="0031155B" w:rsidP="00D946DB">
      <w:pPr>
        <w:spacing w:before="0" w:after="0"/>
      </w:pPr>
      <w:r w:rsidRPr="0021480B">
        <w:separator/>
      </w:r>
    </w:p>
  </w:footnote>
  <w:footnote w:type="continuationSeparator" w:id="0">
    <w:p w14:paraId="6B62ED8F" w14:textId="77777777" w:rsidR="0031155B" w:rsidRPr="0021480B" w:rsidRDefault="0031155B" w:rsidP="00D946DB">
      <w:pPr>
        <w:spacing w:before="0" w:after="0"/>
      </w:pPr>
      <w:r w:rsidRPr="0021480B">
        <w:continuationSeparator/>
      </w:r>
    </w:p>
  </w:footnote>
  <w:footnote w:type="continuationNotice" w:id="1">
    <w:p w14:paraId="3B7D23BB" w14:textId="77777777" w:rsidR="0031155B" w:rsidRPr="0021480B" w:rsidRDefault="0031155B">
      <w:pPr>
        <w:spacing w:before="0" w:after="0"/>
      </w:pPr>
    </w:p>
  </w:footnote>
  <w:footnote w:id="2">
    <w:p w14:paraId="47FD0ECA" w14:textId="0E0F952A" w:rsidR="00763680" w:rsidRPr="0021480B" w:rsidRDefault="00763680" w:rsidP="00C86126">
      <w:pPr>
        <w:pStyle w:val="Style1"/>
      </w:pPr>
      <w:r w:rsidRPr="0021480B">
        <w:rPr>
          <w:rStyle w:val="FootnoteReference"/>
        </w:rPr>
        <w:footnoteRef/>
      </w:r>
      <w:r w:rsidRPr="0021480B">
        <w:t xml:space="preserve"> </w:t>
      </w:r>
      <w:hyperlink r:id="rId1" w:history="1">
        <w:r w:rsidRPr="0021480B">
          <w:rPr>
            <w:rStyle w:val="Hyperlink"/>
          </w:rPr>
          <w:t>Implimentazzjoni ta’ Standards Tekniċi dwar bidliet fir-rapportar superviżorju relatati ma’ CRR3/CRD6 fil-pass 1 | Awtorità Bankarja Ewropea</w:t>
        </w:r>
      </w:hyperlink>
    </w:p>
  </w:footnote>
  <w:footnote w:id="3">
    <w:p w14:paraId="6BA1C3F8" w14:textId="62D83F13" w:rsidR="00F4005E" w:rsidRPr="0021480B" w:rsidRDefault="006C4DE8" w:rsidP="00C86126">
      <w:pPr>
        <w:pStyle w:val="Style1"/>
      </w:pPr>
      <w:r w:rsidRPr="0021480B">
        <w:rPr>
          <w:rStyle w:val="FootnoteReference"/>
        </w:rPr>
        <w:footnoteRef/>
      </w:r>
      <w:r w:rsidRPr="0021480B">
        <w:t xml:space="preserve"> </w:t>
      </w:r>
      <w:r w:rsidRPr="0021480B">
        <w:t>“IFRS" tfisser Standards Internazzjonali ta’ Rapportar Finanzjarju kif definit fl-Artikolu 2 tar-Regolament (KE) Nru 1606/2002</w:t>
      </w:r>
    </w:p>
  </w:footnote>
  <w:footnote w:id="4">
    <w:p w14:paraId="388507E4" w14:textId="0625A254" w:rsidR="00464DC4" w:rsidRPr="0021480B" w:rsidRDefault="00464DC4" w:rsidP="00C86126">
      <w:pPr>
        <w:pStyle w:val="Style1"/>
      </w:pPr>
      <w:r w:rsidRPr="0021480B">
        <w:rPr>
          <w:rStyle w:val="FootnoteReference"/>
        </w:rPr>
        <w:footnoteRef/>
      </w:r>
      <w:r w:rsidRPr="0021480B">
        <w:t xml:space="preserve"> </w:t>
      </w:r>
      <w:r w:rsidRPr="0021480B">
        <w:t>“nGAAP” jew “Prinċipji Nazzjonali tal-Kontabilità Ġeneralment Aċċettati” tfisser oqfsa nazzjonali tal-kontabilità żviluppati skont id-Direttiva tal-Kunsill 86/635/KEE</w:t>
      </w:r>
    </w:p>
  </w:footnote>
  <w:footnote w:id="5">
    <w:p w14:paraId="1EB1AD8D" w14:textId="05924D40" w:rsidR="00782176" w:rsidRPr="0021480B" w:rsidRDefault="00782176" w:rsidP="00C86126">
      <w:pPr>
        <w:pStyle w:val="Style1"/>
      </w:pPr>
      <w:r w:rsidRPr="0021480B">
        <w:rPr>
          <w:rStyle w:val="FootnoteReference"/>
        </w:rPr>
        <w:footnoteRef/>
      </w:r>
      <w:r w:rsidRPr="0021480B">
        <w:t xml:space="preserve"> </w:t>
      </w:r>
      <w:r w:rsidRPr="0021480B">
        <w:t>Id-Direttiva tal-Kunsill 86/635/KEE tat-8 ta’ Diċembru 1986 dwar il-kontijiet annwali u l-kontijiet konsolidati ta’ banek u istituzzjonijiet finanzjarji oħrajn (ĠU Edizzjoni Speċjali bil-Malti Kap. 6, Vol. 1, p. 157-173)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98C1" w14:textId="7C971337" w:rsidR="00C3070C" w:rsidRPr="0021480B" w:rsidRDefault="00C3070C">
    <w:pPr>
      <w:pStyle w:val="Header"/>
      <w:rPr>
        <w:noProof/>
      </w:rPr>
    </w:pPr>
    <w:r w:rsidRPr="0021480B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C91A65" wp14:editId="3B50E3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1" name="Text Box 21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DFA35" w14:textId="0AB4BE24" w:rsidR="00C3070C" w:rsidRPr="0021480B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21480B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91A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EBA Regular Use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" filled="f" stroked="f">
              <v:textbox style="mso-fit-shape-to-text:t" inset="5pt,0,0,0">
                <w:txbxContent>
                  <w:p w14:paraId="5E3DFA35" w14:textId="0AB4BE24" w:rsidR="00C3070C" w:rsidRPr="0021480B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21480B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BBC0" w14:textId="5C594065" w:rsidR="00C3070C" w:rsidRPr="0021480B" w:rsidRDefault="00C3070C">
    <w:pPr>
      <w:pStyle w:val="Header"/>
      <w:rPr>
        <w:noProof/>
      </w:rPr>
    </w:pPr>
    <w:r w:rsidRPr="0021480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084BAA" wp14:editId="07BD71D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2" name="Text Box 22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FF338" w14:textId="5E526244" w:rsidR="00C3070C" w:rsidRPr="0021480B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21480B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84BA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EBA Regular Use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" filled="f" stroked="f">
              <v:textbox style="mso-fit-shape-to-text:t" inset="5pt,0,0,0">
                <w:txbxContent>
                  <w:p w14:paraId="26EFF338" w14:textId="5E526244" w:rsidR="00C3070C" w:rsidRPr="0021480B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21480B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755F" w14:textId="0211D059" w:rsidR="00C3070C" w:rsidRPr="0021480B" w:rsidRDefault="00C3070C">
    <w:pPr>
      <w:rPr>
        <w:rFonts w:ascii="Arial" w:hAnsi="Arial" w:cs="Arial"/>
        <w:noProof/>
      </w:rPr>
    </w:pPr>
    <w:r w:rsidRPr="0021480B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28D39" wp14:editId="2318732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0" name="Text Box 20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E9168" w14:textId="7F6D1353" w:rsidR="00C3070C" w:rsidRPr="0021480B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21480B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mill-EBA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28D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EBA Regular Use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CVOiHELwIAAFoEAAAOAAAAAAAAAAAAAAAAAC4CAABkcnMv&#10;ZTJvRG9jLnhtbFBLAQItABQABgAIAAAAIQA0gToW2gAAAAMBAAAPAAAAAAAAAAAAAAAAAIkEAABk&#10;cnMvZG93bnJldi54bWxQSwUGAAAAAAQABADzAAAAkAUAAAAA&#10;" filled="f" stroked="f">
              <v:textbox style="mso-fit-shape-to-text:t" inset="5pt,0,0,0">
                <w:txbxContent>
                  <w:p w14:paraId="338E9168" w14:textId="7F6D1353" w:rsidR="00C3070C" w:rsidRPr="0021480B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21480B">
                      <w:rPr>
                        <w:rFonts w:ascii="Calibri" w:hAnsi="Calibri"/>
                        <w:color w:val="000000"/>
                        <w:sz w:val="24"/>
                      </w:rPr>
                      <w:t>Użu Regolari mill-EBA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57C"/>
    <w:multiLevelType w:val="hybridMultilevel"/>
    <w:tmpl w:val="8F74F648"/>
    <w:lvl w:ilvl="0" w:tplc="3DECF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F1AC8"/>
    <w:multiLevelType w:val="hybridMultilevel"/>
    <w:tmpl w:val="3F22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7" w15:restartNumberingAfterBreak="0">
    <w:nsid w:val="14025725"/>
    <w:multiLevelType w:val="hybridMultilevel"/>
    <w:tmpl w:val="4036CA0C"/>
    <w:lvl w:ilvl="0" w:tplc="0A20DC8E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B1F6B"/>
    <w:multiLevelType w:val="hybridMultilevel"/>
    <w:tmpl w:val="F502012E"/>
    <w:lvl w:ilvl="0" w:tplc="D27466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AD77"/>
    <w:multiLevelType w:val="hybridMultilevel"/>
    <w:tmpl w:val="CFEE7F7A"/>
    <w:lvl w:ilvl="0" w:tplc="C7A2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C9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2C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8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0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5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88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6F72E7"/>
    <w:multiLevelType w:val="hybridMultilevel"/>
    <w:tmpl w:val="A7DA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F4841"/>
    <w:multiLevelType w:val="hybridMultilevel"/>
    <w:tmpl w:val="3228AE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4F75427"/>
    <w:multiLevelType w:val="hybridMultilevel"/>
    <w:tmpl w:val="2962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6" w15:restartNumberingAfterBreak="0">
    <w:nsid w:val="2E8B3C49"/>
    <w:multiLevelType w:val="hybridMultilevel"/>
    <w:tmpl w:val="E31E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86A14"/>
    <w:multiLevelType w:val="hybridMultilevel"/>
    <w:tmpl w:val="ADF4FFE6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8" w15:restartNumberingAfterBreak="0">
    <w:nsid w:val="2F7D7F02"/>
    <w:multiLevelType w:val="multilevel"/>
    <w:tmpl w:val="0407001D"/>
    <w:numStyleLink w:val="Formatvorlage3"/>
  </w:abstractNum>
  <w:abstractNum w:abstractNumId="19" w15:restartNumberingAfterBreak="0">
    <w:nsid w:val="312B694E"/>
    <w:multiLevelType w:val="hybridMultilevel"/>
    <w:tmpl w:val="C57E0AAE"/>
    <w:lvl w:ilvl="0" w:tplc="3DECF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749A0"/>
    <w:multiLevelType w:val="hybridMultilevel"/>
    <w:tmpl w:val="FFFFFFFF"/>
    <w:lvl w:ilvl="0" w:tplc="0CD0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D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57312"/>
    <w:multiLevelType w:val="multilevel"/>
    <w:tmpl w:val="1864F90A"/>
    <w:styleLink w:val="Formatvorlag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F1245B2"/>
    <w:multiLevelType w:val="hybridMultilevel"/>
    <w:tmpl w:val="07BA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50C05"/>
    <w:multiLevelType w:val="hybridMultilevel"/>
    <w:tmpl w:val="04021D6A"/>
    <w:lvl w:ilvl="0" w:tplc="B0B6E3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A1DBF"/>
    <w:multiLevelType w:val="hybridMultilevel"/>
    <w:tmpl w:val="B9AC9CB6"/>
    <w:lvl w:ilvl="0" w:tplc="B9C8CDA4">
      <w:start w:val="142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679513E"/>
    <w:multiLevelType w:val="hybridMultilevel"/>
    <w:tmpl w:val="74381AAC"/>
    <w:lvl w:ilvl="0" w:tplc="3DECF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72236"/>
    <w:multiLevelType w:val="hybridMultilevel"/>
    <w:tmpl w:val="E974A63C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95802"/>
    <w:multiLevelType w:val="multilevel"/>
    <w:tmpl w:val="0407001D"/>
    <w:styleLink w:val="Formatvorlage3"/>
    <w:lvl w:ilvl="0">
      <w:start w:val="1"/>
      <w:numFmt w:val="none"/>
      <w:pStyle w:val="Heading4"/>
      <w:lvlText w:val="%1"/>
      <w:lvlJc w:val="left"/>
      <w:pPr>
        <w:ind w:left="360" w:hanging="360"/>
      </w:pPr>
      <w:rPr>
        <w:rFonts w:ascii="Verdana" w:hAnsi="Verdana" w:cs="Times New Roman" w:hint="default"/>
        <w:b/>
        <w:color w:val="auto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3898"/>
    <w:multiLevelType w:val="multilevel"/>
    <w:tmpl w:val="6BE0F4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5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9FA5EA3"/>
    <w:multiLevelType w:val="multilevel"/>
    <w:tmpl w:val="D29C4EFC"/>
    <w:styleLink w:val="Formatvorlage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41" w15:restartNumberingAfterBreak="0">
    <w:nsid w:val="6BCD57BB"/>
    <w:multiLevelType w:val="multilevel"/>
    <w:tmpl w:val="5AD2A3CC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2" w15:restartNumberingAfterBreak="0">
    <w:nsid w:val="6C17A61B"/>
    <w:multiLevelType w:val="hybridMultilevel"/>
    <w:tmpl w:val="565EB29A"/>
    <w:lvl w:ilvl="0" w:tplc="6BDE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EC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1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44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A8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D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05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4C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07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89998"/>
    <w:multiLevelType w:val="hybridMultilevel"/>
    <w:tmpl w:val="2A2E6AE2"/>
    <w:lvl w:ilvl="0" w:tplc="F9CCB852">
      <w:start w:val="1"/>
      <w:numFmt w:val="bullet"/>
      <w:lvlText w:val="-"/>
      <w:lvlJc w:val="left"/>
      <w:pPr>
        <w:ind w:left="720" w:hanging="360"/>
      </w:pPr>
      <w:rPr>
        <w:rFonts w:ascii="&quot;BdE Neue Helvetica 55 Roman&quot;,s" w:hAnsi="&quot;BdE Neue Helvetica 55 Roman&quot;,s" w:hint="default"/>
      </w:rPr>
    </w:lvl>
    <w:lvl w:ilvl="1" w:tplc="B6427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49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8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2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4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A2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0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5274E"/>
    <w:multiLevelType w:val="multilevel"/>
    <w:tmpl w:val="330474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6"/>
  </w:num>
  <w:num w:numId="3">
    <w:abstractNumId w:val="46"/>
  </w:num>
  <w:num w:numId="4">
    <w:abstractNumId w:val="30"/>
  </w:num>
  <w:num w:numId="5">
    <w:abstractNumId w:val="39"/>
  </w:num>
  <w:num w:numId="6">
    <w:abstractNumId w:val="24"/>
  </w:num>
  <w:num w:numId="7">
    <w:abstractNumId w:val="45"/>
  </w:num>
  <w:num w:numId="8">
    <w:abstractNumId w:val="10"/>
  </w:num>
  <w:num w:numId="9">
    <w:abstractNumId w:val="37"/>
  </w:num>
  <w:num w:numId="10">
    <w:abstractNumId w:val="22"/>
  </w:num>
  <w:num w:numId="11">
    <w:abstractNumId w:val="32"/>
  </w:num>
  <w:num w:numId="12">
    <w:abstractNumId w:val="14"/>
  </w:num>
  <w:num w:numId="13">
    <w:abstractNumId w:val="38"/>
  </w:num>
  <w:num w:numId="14">
    <w:abstractNumId w:val="35"/>
  </w:num>
  <w:num w:numId="15">
    <w:abstractNumId w:val="21"/>
  </w:num>
  <w:num w:numId="16">
    <w:abstractNumId w:val="31"/>
  </w:num>
  <w:num w:numId="17">
    <w:abstractNumId w:val="18"/>
  </w:num>
  <w:num w:numId="18">
    <w:abstractNumId w:val="40"/>
  </w:num>
  <w:num w:numId="19">
    <w:abstractNumId w:val="6"/>
  </w:num>
  <w:num w:numId="20">
    <w:abstractNumId w:val="27"/>
  </w:num>
  <w:num w:numId="21">
    <w:abstractNumId w:val="3"/>
  </w:num>
  <w:num w:numId="22">
    <w:abstractNumId w:val="23"/>
  </w:num>
  <w:num w:numId="23">
    <w:abstractNumId w:val="44"/>
  </w:num>
  <w:num w:numId="24">
    <w:abstractNumId w:val="1"/>
  </w:num>
  <w:num w:numId="25">
    <w:abstractNumId w:val="41"/>
  </w:num>
  <w:num w:numId="26">
    <w:abstractNumId w:val="33"/>
  </w:num>
  <w:num w:numId="27">
    <w:abstractNumId w:val="0"/>
  </w:num>
  <w:num w:numId="28">
    <w:abstractNumId w:val="15"/>
  </w:num>
  <w:num w:numId="29">
    <w:abstractNumId w:val="28"/>
  </w:num>
  <w:num w:numId="30">
    <w:abstractNumId w:val="9"/>
  </w:num>
  <w:num w:numId="31">
    <w:abstractNumId w:val="43"/>
  </w:num>
  <w:num w:numId="32">
    <w:abstractNumId w:val="20"/>
  </w:num>
  <w:num w:numId="33">
    <w:abstractNumId w:val="11"/>
  </w:num>
  <w:num w:numId="34">
    <w:abstractNumId w:val="17"/>
  </w:num>
  <w:num w:numId="35">
    <w:abstractNumId w:val="12"/>
  </w:num>
  <w:num w:numId="36">
    <w:abstractNumId w:val="25"/>
  </w:num>
  <w:num w:numId="37">
    <w:abstractNumId w:val="13"/>
  </w:num>
  <w:num w:numId="38">
    <w:abstractNumId w:val="42"/>
  </w:num>
  <w:num w:numId="39">
    <w:abstractNumId w:val="16"/>
  </w:num>
  <w:num w:numId="40">
    <w:abstractNumId w:val="5"/>
  </w:num>
  <w:num w:numId="41">
    <w:abstractNumId w:val="34"/>
  </w:num>
  <w:num w:numId="42">
    <w:abstractNumId w:val="47"/>
  </w:num>
  <w:num w:numId="43">
    <w:abstractNumId w:val="8"/>
  </w:num>
  <w:num w:numId="44">
    <w:abstractNumId w:val="2"/>
  </w:num>
  <w:num w:numId="45">
    <w:abstractNumId w:val="19"/>
  </w:num>
  <w:num w:numId="46">
    <w:abstractNumId w:val="29"/>
  </w:num>
  <w:num w:numId="47">
    <w:abstractNumId w:val="26"/>
  </w:num>
  <w:num w:numId="48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gNum" w:val="1"/>
    <w:docVar w:name="LW_DocType" w:val="NORMAL"/>
  </w:docVars>
  <w:rsids>
    <w:rsidRoot w:val="00884FEB"/>
    <w:rsid w:val="000001EC"/>
    <w:rsid w:val="00000255"/>
    <w:rsid w:val="00000F1B"/>
    <w:rsid w:val="00000F70"/>
    <w:rsid w:val="000017F3"/>
    <w:rsid w:val="00001AF1"/>
    <w:rsid w:val="00001C0E"/>
    <w:rsid w:val="000020E5"/>
    <w:rsid w:val="000023DF"/>
    <w:rsid w:val="00002933"/>
    <w:rsid w:val="000029EE"/>
    <w:rsid w:val="00002E14"/>
    <w:rsid w:val="00004478"/>
    <w:rsid w:val="000044B7"/>
    <w:rsid w:val="000048B9"/>
    <w:rsid w:val="00004978"/>
    <w:rsid w:val="00004D21"/>
    <w:rsid w:val="00004FE8"/>
    <w:rsid w:val="00005078"/>
    <w:rsid w:val="00005765"/>
    <w:rsid w:val="00005FFC"/>
    <w:rsid w:val="000066C0"/>
    <w:rsid w:val="00006F7A"/>
    <w:rsid w:val="00007147"/>
    <w:rsid w:val="00007605"/>
    <w:rsid w:val="00007D0D"/>
    <w:rsid w:val="00010124"/>
    <w:rsid w:val="00011AFA"/>
    <w:rsid w:val="00011BD0"/>
    <w:rsid w:val="000120EB"/>
    <w:rsid w:val="0001224D"/>
    <w:rsid w:val="00012B9C"/>
    <w:rsid w:val="0001435A"/>
    <w:rsid w:val="00014890"/>
    <w:rsid w:val="00014DC3"/>
    <w:rsid w:val="00015290"/>
    <w:rsid w:val="00015850"/>
    <w:rsid w:val="0001693F"/>
    <w:rsid w:val="0001698A"/>
    <w:rsid w:val="00020200"/>
    <w:rsid w:val="00020516"/>
    <w:rsid w:val="00020857"/>
    <w:rsid w:val="00020A96"/>
    <w:rsid w:val="00020AF9"/>
    <w:rsid w:val="000212B7"/>
    <w:rsid w:val="0002157C"/>
    <w:rsid w:val="00021A05"/>
    <w:rsid w:val="00021A4A"/>
    <w:rsid w:val="0002267E"/>
    <w:rsid w:val="00023102"/>
    <w:rsid w:val="000232E2"/>
    <w:rsid w:val="00023383"/>
    <w:rsid w:val="000242CC"/>
    <w:rsid w:val="000243CE"/>
    <w:rsid w:val="000253DC"/>
    <w:rsid w:val="00025DCE"/>
    <w:rsid w:val="0002657F"/>
    <w:rsid w:val="00027235"/>
    <w:rsid w:val="00027D90"/>
    <w:rsid w:val="00030E10"/>
    <w:rsid w:val="000313B7"/>
    <w:rsid w:val="000317AE"/>
    <w:rsid w:val="000317FE"/>
    <w:rsid w:val="00031FA5"/>
    <w:rsid w:val="00031FD5"/>
    <w:rsid w:val="000326C1"/>
    <w:rsid w:val="00033B7C"/>
    <w:rsid w:val="00033C55"/>
    <w:rsid w:val="00034431"/>
    <w:rsid w:val="000346A9"/>
    <w:rsid w:val="00034834"/>
    <w:rsid w:val="0003510D"/>
    <w:rsid w:val="000359E1"/>
    <w:rsid w:val="00035DCC"/>
    <w:rsid w:val="000364CE"/>
    <w:rsid w:val="00036BB2"/>
    <w:rsid w:val="00036FE4"/>
    <w:rsid w:val="00037093"/>
    <w:rsid w:val="000377CC"/>
    <w:rsid w:val="00037BAE"/>
    <w:rsid w:val="00037FCC"/>
    <w:rsid w:val="00041451"/>
    <w:rsid w:val="00041480"/>
    <w:rsid w:val="000433C4"/>
    <w:rsid w:val="00045036"/>
    <w:rsid w:val="0004590F"/>
    <w:rsid w:val="00046966"/>
    <w:rsid w:val="00050BAF"/>
    <w:rsid w:val="00051D19"/>
    <w:rsid w:val="00052CAE"/>
    <w:rsid w:val="000530BC"/>
    <w:rsid w:val="00053D85"/>
    <w:rsid w:val="0005400A"/>
    <w:rsid w:val="000548A2"/>
    <w:rsid w:val="00054DC7"/>
    <w:rsid w:val="000550DE"/>
    <w:rsid w:val="0005587D"/>
    <w:rsid w:val="0005609F"/>
    <w:rsid w:val="000565B6"/>
    <w:rsid w:val="00056C0F"/>
    <w:rsid w:val="00056C8D"/>
    <w:rsid w:val="00057154"/>
    <w:rsid w:val="00057234"/>
    <w:rsid w:val="00057362"/>
    <w:rsid w:val="0005746D"/>
    <w:rsid w:val="00057640"/>
    <w:rsid w:val="00057662"/>
    <w:rsid w:val="00061C24"/>
    <w:rsid w:val="00061C5F"/>
    <w:rsid w:val="00061E48"/>
    <w:rsid w:val="00062837"/>
    <w:rsid w:val="00062A1F"/>
    <w:rsid w:val="00063085"/>
    <w:rsid w:val="00063B3F"/>
    <w:rsid w:val="00064158"/>
    <w:rsid w:val="0006491B"/>
    <w:rsid w:val="00065A83"/>
    <w:rsid w:val="0006666B"/>
    <w:rsid w:val="000674B5"/>
    <w:rsid w:val="00067DC1"/>
    <w:rsid w:val="00067EEA"/>
    <w:rsid w:val="00070113"/>
    <w:rsid w:val="00070153"/>
    <w:rsid w:val="00070518"/>
    <w:rsid w:val="00070AF9"/>
    <w:rsid w:val="00070E18"/>
    <w:rsid w:val="00071341"/>
    <w:rsid w:val="000716BC"/>
    <w:rsid w:val="000716F4"/>
    <w:rsid w:val="00071D95"/>
    <w:rsid w:val="000726BC"/>
    <w:rsid w:val="000727BA"/>
    <w:rsid w:val="00072B83"/>
    <w:rsid w:val="000737D3"/>
    <w:rsid w:val="00075513"/>
    <w:rsid w:val="000758FE"/>
    <w:rsid w:val="00076091"/>
    <w:rsid w:val="000763E0"/>
    <w:rsid w:val="00076880"/>
    <w:rsid w:val="000777A9"/>
    <w:rsid w:val="00077C5F"/>
    <w:rsid w:val="00080DDC"/>
    <w:rsid w:val="0008111C"/>
    <w:rsid w:val="0008126E"/>
    <w:rsid w:val="00081B11"/>
    <w:rsid w:val="00082265"/>
    <w:rsid w:val="000828C6"/>
    <w:rsid w:val="00083FC4"/>
    <w:rsid w:val="000843B3"/>
    <w:rsid w:val="00084591"/>
    <w:rsid w:val="00084A4D"/>
    <w:rsid w:val="00084CC2"/>
    <w:rsid w:val="000858A9"/>
    <w:rsid w:val="000860B6"/>
    <w:rsid w:val="00086A31"/>
    <w:rsid w:val="00086C6E"/>
    <w:rsid w:val="00087700"/>
    <w:rsid w:val="00087E1A"/>
    <w:rsid w:val="000903FA"/>
    <w:rsid w:val="000904F3"/>
    <w:rsid w:val="00090583"/>
    <w:rsid w:val="00090A99"/>
    <w:rsid w:val="000911FE"/>
    <w:rsid w:val="00091723"/>
    <w:rsid w:val="0009195D"/>
    <w:rsid w:val="00091CBC"/>
    <w:rsid w:val="00092F67"/>
    <w:rsid w:val="00093686"/>
    <w:rsid w:val="00093BF7"/>
    <w:rsid w:val="00094343"/>
    <w:rsid w:val="0009486D"/>
    <w:rsid w:val="00094D25"/>
    <w:rsid w:val="000950C5"/>
    <w:rsid w:val="00095191"/>
    <w:rsid w:val="00096566"/>
    <w:rsid w:val="00096876"/>
    <w:rsid w:val="0009761E"/>
    <w:rsid w:val="00097A17"/>
    <w:rsid w:val="00097C81"/>
    <w:rsid w:val="00097CBC"/>
    <w:rsid w:val="00097E91"/>
    <w:rsid w:val="000A0FC4"/>
    <w:rsid w:val="000A1955"/>
    <w:rsid w:val="000A2694"/>
    <w:rsid w:val="000A2A46"/>
    <w:rsid w:val="000A368E"/>
    <w:rsid w:val="000A3B1A"/>
    <w:rsid w:val="000A4082"/>
    <w:rsid w:val="000A46E0"/>
    <w:rsid w:val="000A4B61"/>
    <w:rsid w:val="000A4C10"/>
    <w:rsid w:val="000A57BC"/>
    <w:rsid w:val="000A6BBC"/>
    <w:rsid w:val="000A7D27"/>
    <w:rsid w:val="000A7F37"/>
    <w:rsid w:val="000B0694"/>
    <w:rsid w:val="000B0B09"/>
    <w:rsid w:val="000B0C1C"/>
    <w:rsid w:val="000B0E46"/>
    <w:rsid w:val="000B0EBE"/>
    <w:rsid w:val="000B13A1"/>
    <w:rsid w:val="000B22F6"/>
    <w:rsid w:val="000B2460"/>
    <w:rsid w:val="000B246B"/>
    <w:rsid w:val="000B267A"/>
    <w:rsid w:val="000B3C33"/>
    <w:rsid w:val="000B3E00"/>
    <w:rsid w:val="000B40F9"/>
    <w:rsid w:val="000B5DED"/>
    <w:rsid w:val="000B6A14"/>
    <w:rsid w:val="000B70E1"/>
    <w:rsid w:val="000B73C4"/>
    <w:rsid w:val="000B749E"/>
    <w:rsid w:val="000C0127"/>
    <w:rsid w:val="000C0413"/>
    <w:rsid w:val="000C0A34"/>
    <w:rsid w:val="000C191D"/>
    <w:rsid w:val="000C23E2"/>
    <w:rsid w:val="000C2455"/>
    <w:rsid w:val="000C24B5"/>
    <w:rsid w:val="000C30A6"/>
    <w:rsid w:val="000C40CD"/>
    <w:rsid w:val="000C4102"/>
    <w:rsid w:val="000C49A6"/>
    <w:rsid w:val="000C4A6C"/>
    <w:rsid w:val="000C5A1A"/>
    <w:rsid w:val="000C5EA7"/>
    <w:rsid w:val="000C6938"/>
    <w:rsid w:val="000C7632"/>
    <w:rsid w:val="000C78D9"/>
    <w:rsid w:val="000C7EAA"/>
    <w:rsid w:val="000D04B6"/>
    <w:rsid w:val="000D0826"/>
    <w:rsid w:val="000D0A23"/>
    <w:rsid w:val="000D129C"/>
    <w:rsid w:val="000D1772"/>
    <w:rsid w:val="000D194E"/>
    <w:rsid w:val="000D1FBE"/>
    <w:rsid w:val="000D220D"/>
    <w:rsid w:val="000D248B"/>
    <w:rsid w:val="000D3222"/>
    <w:rsid w:val="000D3CBC"/>
    <w:rsid w:val="000D4352"/>
    <w:rsid w:val="000D5292"/>
    <w:rsid w:val="000D5958"/>
    <w:rsid w:val="000D5D6E"/>
    <w:rsid w:val="000D67C6"/>
    <w:rsid w:val="000D6B9B"/>
    <w:rsid w:val="000D7D74"/>
    <w:rsid w:val="000E093A"/>
    <w:rsid w:val="000E1439"/>
    <w:rsid w:val="000E1572"/>
    <w:rsid w:val="000E197A"/>
    <w:rsid w:val="000E1FE7"/>
    <w:rsid w:val="000E2774"/>
    <w:rsid w:val="000E29C9"/>
    <w:rsid w:val="000E3F99"/>
    <w:rsid w:val="000E40DD"/>
    <w:rsid w:val="000E6042"/>
    <w:rsid w:val="000E6835"/>
    <w:rsid w:val="000E77F4"/>
    <w:rsid w:val="000E7971"/>
    <w:rsid w:val="000E7B3E"/>
    <w:rsid w:val="000E7BA8"/>
    <w:rsid w:val="000E7F08"/>
    <w:rsid w:val="000F0D99"/>
    <w:rsid w:val="000F11B2"/>
    <w:rsid w:val="000F13F9"/>
    <w:rsid w:val="000F1AF3"/>
    <w:rsid w:val="000F1CEA"/>
    <w:rsid w:val="000F2DB6"/>
    <w:rsid w:val="000F2EC8"/>
    <w:rsid w:val="000F2F09"/>
    <w:rsid w:val="000F3293"/>
    <w:rsid w:val="000F33AF"/>
    <w:rsid w:val="000F46D5"/>
    <w:rsid w:val="000F4702"/>
    <w:rsid w:val="000F5AE0"/>
    <w:rsid w:val="000F63AD"/>
    <w:rsid w:val="000F6A80"/>
    <w:rsid w:val="000F6B25"/>
    <w:rsid w:val="000F6C69"/>
    <w:rsid w:val="000F7045"/>
    <w:rsid w:val="000F70EC"/>
    <w:rsid w:val="0010177C"/>
    <w:rsid w:val="001019A4"/>
    <w:rsid w:val="00102C6F"/>
    <w:rsid w:val="00104370"/>
    <w:rsid w:val="0010455D"/>
    <w:rsid w:val="00104A65"/>
    <w:rsid w:val="0010559F"/>
    <w:rsid w:val="00105A75"/>
    <w:rsid w:val="00105D77"/>
    <w:rsid w:val="00105D90"/>
    <w:rsid w:val="00105EBB"/>
    <w:rsid w:val="0010605A"/>
    <w:rsid w:val="00106FC5"/>
    <w:rsid w:val="001102E5"/>
    <w:rsid w:val="00110F40"/>
    <w:rsid w:val="00113E45"/>
    <w:rsid w:val="00113EA5"/>
    <w:rsid w:val="00114B5B"/>
    <w:rsid w:val="001151C1"/>
    <w:rsid w:val="0011539B"/>
    <w:rsid w:val="00115685"/>
    <w:rsid w:val="00116018"/>
    <w:rsid w:val="001161F7"/>
    <w:rsid w:val="0012049B"/>
    <w:rsid w:val="001207D5"/>
    <w:rsid w:val="00121008"/>
    <w:rsid w:val="001219C2"/>
    <w:rsid w:val="00121BFD"/>
    <w:rsid w:val="0012355E"/>
    <w:rsid w:val="001235ED"/>
    <w:rsid w:val="00123864"/>
    <w:rsid w:val="00123D2B"/>
    <w:rsid w:val="00123D62"/>
    <w:rsid w:val="00124A44"/>
    <w:rsid w:val="00124B85"/>
    <w:rsid w:val="001250CC"/>
    <w:rsid w:val="00125707"/>
    <w:rsid w:val="00125A87"/>
    <w:rsid w:val="00125D44"/>
    <w:rsid w:val="00125DEE"/>
    <w:rsid w:val="00125E37"/>
    <w:rsid w:val="00126395"/>
    <w:rsid w:val="001273B5"/>
    <w:rsid w:val="00127986"/>
    <w:rsid w:val="00127FEA"/>
    <w:rsid w:val="00130586"/>
    <w:rsid w:val="00130EEF"/>
    <w:rsid w:val="00132366"/>
    <w:rsid w:val="001323BF"/>
    <w:rsid w:val="001324CA"/>
    <w:rsid w:val="00132778"/>
    <w:rsid w:val="00132867"/>
    <w:rsid w:val="00132D80"/>
    <w:rsid w:val="00133107"/>
    <w:rsid w:val="001331F5"/>
    <w:rsid w:val="00133396"/>
    <w:rsid w:val="00133AC1"/>
    <w:rsid w:val="00136316"/>
    <w:rsid w:val="0013647F"/>
    <w:rsid w:val="00137AC5"/>
    <w:rsid w:val="00137C27"/>
    <w:rsid w:val="00137C79"/>
    <w:rsid w:val="00137FD9"/>
    <w:rsid w:val="001402DB"/>
    <w:rsid w:val="00140571"/>
    <w:rsid w:val="001409D9"/>
    <w:rsid w:val="00140F6E"/>
    <w:rsid w:val="0014122B"/>
    <w:rsid w:val="00141DD1"/>
    <w:rsid w:val="0014209A"/>
    <w:rsid w:val="0014210E"/>
    <w:rsid w:val="00142631"/>
    <w:rsid w:val="00142917"/>
    <w:rsid w:val="001432EE"/>
    <w:rsid w:val="00144F03"/>
    <w:rsid w:val="001452FC"/>
    <w:rsid w:val="0014657C"/>
    <w:rsid w:val="00146C6B"/>
    <w:rsid w:val="00146D50"/>
    <w:rsid w:val="0014735F"/>
    <w:rsid w:val="001474E0"/>
    <w:rsid w:val="0015008C"/>
    <w:rsid w:val="0015014F"/>
    <w:rsid w:val="00151071"/>
    <w:rsid w:val="00151B44"/>
    <w:rsid w:val="00151D8A"/>
    <w:rsid w:val="0015288B"/>
    <w:rsid w:val="00152B33"/>
    <w:rsid w:val="00152F87"/>
    <w:rsid w:val="00153BEC"/>
    <w:rsid w:val="001541DD"/>
    <w:rsid w:val="00154859"/>
    <w:rsid w:val="001550FA"/>
    <w:rsid w:val="00155114"/>
    <w:rsid w:val="0015618D"/>
    <w:rsid w:val="00156555"/>
    <w:rsid w:val="001570C4"/>
    <w:rsid w:val="00157883"/>
    <w:rsid w:val="00157B19"/>
    <w:rsid w:val="001602A5"/>
    <w:rsid w:val="001605C3"/>
    <w:rsid w:val="0016072E"/>
    <w:rsid w:val="00160C30"/>
    <w:rsid w:val="00161C96"/>
    <w:rsid w:val="0016282F"/>
    <w:rsid w:val="001628A5"/>
    <w:rsid w:val="001628F4"/>
    <w:rsid w:val="00162CCF"/>
    <w:rsid w:val="00162E47"/>
    <w:rsid w:val="00163933"/>
    <w:rsid w:val="00163DBA"/>
    <w:rsid w:val="001644B8"/>
    <w:rsid w:val="00164970"/>
    <w:rsid w:val="00164B62"/>
    <w:rsid w:val="001665E1"/>
    <w:rsid w:val="00167602"/>
    <w:rsid w:val="00167619"/>
    <w:rsid w:val="00167E59"/>
    <w:rsid w:val="00170606"/>
    <w:rsid w:val="001721BD"/>
    <w:rsid w:val="001734AB"/>
    <w:rsid w:val="0017374F"/>
    <w:rsid w:val="00173D27"/>
    <w:rsid w:val="0017440D"/>
    <w:rsid w:val="00174DF3"/>
    <w:rsid w:val="00175957"/>
    <w:rsid w:val="001762E4"/>
    <w:rsid w:val="00176495"/>
    <w:rsid w:val="00176BFB"/>
    <w:rsid w:val="001771A4"/>
    <w:rsid w:val="00177B4D"/>
    <w:rsid w:val="00181010"/>
    <w:rsid w:val="00181174"/>
    <w:rsid w:val="00181888"/>
    <w:rsid w:val="00181AC7"/>
    <w:rsid w:val="001822DF"/>
    <w:rsid w:val="00182DC9"/>
    <w:rsid w:val="001835B4"/>
    <w:rsid w:val="00183B7A"/>
    <w:rsid w:val="00184045"/>
    <w:rsid w:val="001840A5"/>
    <w:rsid w:val="001843F9"/>
    <w:rsid w:val="00184605"/>
    <w:rsid w:val="00184E8A"/>
    <w:rsid w:val="00185249"/>
    <w:rsid w:val="0018533B"/>
    <w:rsid w:val="001854F6"/>
    <w:rsid w:val="00185877"/>
    <w:rsid w:val="00185A19"/>
    <w:rsid w:val="00185FA8"/>
    <w:rsid w:val="00186A15"/>
    <w:rsid w:val="00186E10"/>
    <w:rsid w:val="00187309"/>
    <w:rsid w:val="00187348"/>
    <w:rsid w:val="00187488"/>
    <w:rsid w:val="0019088A"/>
    <w:rsid w:val="00190FA3"/>
    <w:rsid w:val="001919E9"/>
    <w:rsid w:val="001924F4"/>
    <w:rsid w:val="00192744"/>
    <w:rsid w:val="00192A34"/>
    <w:rsid w:val="0019394E"/>
    <w:rsid w:val="001943AB"/>
    <w:rsid w:val="00194C8A"/>
    <w:rsid w:val="00195066"/>
    <w:rsid w:val="00195087"/>
    <w:rsid w:val="001959EF"/>
    <w:rsid w:val="00195AF0"/>
    <w:rsid w:val="00195FDC"/>
    <w:rsid w:val="0019727D"/>
    <w:rsid w:val="00197C28"/>
    <w:rsid w:val="001A0143"/>
    <w:rsid w:val="001A0FAB"/>
    <w:rsid w:val="001A1451"/>
    <w:rsid w:val="001A1FB5"/>
    <w:rsid w:val="001A2115"/>
    <w:rsid w:val="001A217F"/>
    <w:rsid w:val="001A370B"/>
    <w:rsid w:val="001A3980"/>
    <w:rsid w:val="001A40DB"/>
    <w:rsid w:val="001A44B3"/>
    <w:rsid w:val="001A523B"/>
    <w:rsid w:val="001A531E"/>
    <w:rsid w:val="001A55C6"/>
    <w:rsid w:val="001A627D"/>
    <w:rsid w:val="001A66F0"/>
    <w:rsid w:val="001A741B"/>
    <w:rsid w:val="001A7684"/>
    <w:rsid w:val="001A769B"/>
    <w:rsid w:val="001A7742"/>
    <w:rsid w:val="001B023A"/>
    <w:rsid w:val="001B0E26"/>
    <w:rsid w:val="001B0EFA"/>
    <w:rsid w:val="001B140A"/>
    <w:rsid w:val="001B1531"/>
    <w:rsid w:val="001B17E6"/>
    <w:rsid w:val="001B1F77"/>
    <w:rsid w:val="001B21AE"/>
    <w:rsid w:val="001B3FF2"/>
    <w:rsid w:val="001B43BD"/>
    <w:rsid w:val="001B44EE"/>
    <w:rsid w:val="001B4C43"/>
    <w:rsid w:val="001B4EA5"/>
    <w:rsid w:val="001B5443"/>
    <w:rsid w:val="001B5499"/>
    <w:rsid w:val="001B5725"/>
    <w:rsid w:val="001B6114"/>
    <w:rsid w:val="001B6D4D"/>
    <w:rsid w:val="001B717F"/>
    <w:rsid w:val="001B74B4"/>
    <w:rsid w:val="001B76EB"/>
    <w:rsid w:val="001B7D0F"/>
    <w:rsid w:val="001B7F1A"/>
    <w:rsid w:val="001C0671"/>
    <w:rsid w:val="001C1392"/>
    <w:rsid w:val="001C1571"/>
    <w:rsid w:val="001C195B"/>
    <w:rsid w:val="001C24B0"/>
    <w:rsid w:val="001C2A41"/>
    <w:rsid w:val="001C2BA5"/>
    <w:rsid w:val="001C3443"/>
    <w:rsid w:val="001C36B0"/>
    <w:rsid w:val="001C3D30"/>
    <w:rsid w:val="001C3FF5"/>
    <w:rsid w:val="001C5557"/>
    <w:rsid w:val="001C5CA8"/>
    <w:rsid w:val="001C6166"/>
    <w:rsid w:val="001C628E"/>
    <w:rsid w:val="001C6416"/>
    <w:rsid w:val="001C642A"/>
    <w:rsid w:val="001C743D"/>
    <w:rsid w:val="001C7897"/>
    <w:rsid w:val="001C79CB"/>
    <w:rsid w:val="001C7AB7"/>
    <w:rsid w:val="001C7BB4"/>
    <w:rsid w:val="001C7F2A"/>
    <w:rsid w:val="001D0538"/>
    <w:rsid w:val="001D05F4"/>
    <w:rsid w:val="001D111F"/>
    <w:rsid w:val="001D1D37"/>
    <w:rsid w:val="001D1F64"/>
    <w:rsid w:val="001D2640"/>
    <w:rsid w:val="001D2FE6"/>
    <w:rsid w:val="001D3409"/>
    <w:rsid w:val="001D35F9"/>
    <w:rsid w:val="001D3CE7"/>
    <w:rsid w:val="001D4848"/>
    <w:rsid w:val="001D4B9D"/>
    <w:rsid w:val="001D5403"/>
    <w:rsid w:val="001D54D3"/>
    <w:rsid w:val="001D5FA4"/>
    <w:rsid w:val="001D6D7C"/>
    <w:rsid w:val="001D7382"/>
    <w:rsid w:val="001E01BA"/>
    <w:rsid w:val="001E0C80"/>
    <w:rsid w:val="001E332C"/>
    <w:rsid w:val="001E34FC"/>
    <w:rsid w:val="001E38FD"/>
    <w:rsid w:val="001E3986"/>
    <w:rsid w:val="001E39E5"/>
    <w:rsid w:val="001E3A3B"/>
    <w:rsid w:val="001E3EF1"/>
    <w:rsid w:val="001E47B7"/>
    <w:rsid w:val="001E5A75"/>
    <w:rsid w:val="001E6127"/>
    <w:rsid w:val="001E6B9D"/>
    <w:rsid w:val="001E71B5"/>
    <w:rsid w:val="001E71D0"/>
    <w:rsid w:val="001E7AE4"/>
    <w:rsid w:val="001E7EA7"/>
    <w:rsid w:val="001F0111"/>
    <w:rsid w:val="001F0549"/>
    <w:rsid w:val="001F0D60"/>
    <w:rsid w:val="001F12DE"/>
    <w:rsid w:val="001F1711"/>
    <w:rsid w:val="001F1B80"/>
    <w:rsid w:val="001F2389"/>
    <w:rsid w:val="001F2830"/>
    <w:rsid w:val="001F2920"/>
    <w:rsid w:val="001F3145"/>
    <w:rsid w:val="001F3BBE"/>
    <w:rsid w:val="001F3D6A"/>
    <w:rsid w:val="001F4225"/>
    <w:rsid w:val="001F4660"/>
    <w:rsid w:val="001F5AC3"/>
    <w:rsid w:val="001F60B8"/>
    <w:rsid w:val="001F6487"/>
    <w:rsid w:val="001F73EA"/>
    <w:rsid w:val="00200D6E"/>
    <w:rsid w:val="00200E8E"/>
    <w:rsid w:val="00201704"/>
    <w:rsid w:val="00201A47"/>
    <w:rsid w:val="00201F3E"/>
    <w:rsid w:val="00202198"/>
    <w:rsid w:val="00202742"/>
    <w:rsid w:val="0020282E"/>
    <w:rsid w:val="002032C6"/>
    <w:rsid w:val="00203D5B"/>
    <w:rsid w:val="0020424C"/>
    <w:rsid w:val="002043A0"/>
    <w:rsid w:val="0020473B"/>
    <w:rsid w:val="00206687"/>
    <w:rsid w:val="00206D7E"/>
    <w:rsid w:val="00207498"/>
    <w:rsid w:val="00210EEA"/>
    <w:rsid w:val="00211293"/>
    <w:rsid w:val="00211C2A"/>
    <w:rsid w:val="002120E7"/>
    <w:rsid w:val="00213102"/>
    <w:rsid w:val="0021389C"/>
    <w:rsid w:val="00213DC3"/>
    <w:rsid w:val="00213E0E"/>
    <w:rsid w:val="0021480B"/>
    <w:rsid w:val="00214FDA"/>
    <w:rsid w:val="002154E5"/>
    <w:rsid w:val="00215548"/>
    <w:rsid w:val="00215CD7"/>
    <w:rsid w:val="00216C08"/>
    <w:rsid w:val="00216D67"/>
    <w:rsid w:val="0021767A"/>
    <w:rsid w:val="00220201"/>
    <w:rsid w:val="00220265"/>
    <w:rsid w:val="002205D6"/>
    <w:rsid w:val="00220B85"/>
    <w:rsid w:val="00221103"/>
    <w:rsid w:val="00221C2F"/>
    <w:rsid w:val="00222596"/>
    <w:rsid w:val="00222984"/>
    <w:rsid w:val="002229FF"/>
    <w:rsid w:val="00222AC6"/>
    <w:rsid w:val="00222CD3"/>
    <w:rsid w:val="0022311E"/>
    <w:rsid w:val="0022315F"/>
    <w:rsid w:val="002232B7"/>
    <w:rsid w:val="00224016"/>
    <w:rsid w:val="002246F4"/>
    <w:rsid w:val="00224828"/>
    <w:rsid w:val="002249DB"/>
    <w:rsid w:val="00224FE5"/>
    <w:rsid w:val="0022597E"/>
    <w:rsid w:val="00225D42"/>
    <w:rsid w:val="00225E7E"/>
    <w:rsid w:val="00226298"/>
    <w:rsid w:val="0023003C"/>
    <w:rsid w:val="002300C6"/>
    <w:rsid w:val="002301C6"/>
    <w:rsid w:val="00230536"/>
    <w:rsid w:val="002305D2"/>
    <w:rsid w:val="00230DA8"/>
    <w:rsid w:val="00232217"/>
    <w:rsid w:val="00232702"/>
    <w:rsid w:val="0023276A"/>
    <w:rsid w:val="002327CE"/>
    <w:rsid w:val="00232921"/>
    <w:rsid w:val="00232D6F"/>
    <w:rsid w:val="00232E21"/>
    <w:rsid w:val="00233577"/>
    <w:rsid w:val="002339F2"/>
    <w:rsid w:val="00234499"/>
    <w:rsid w:val="0023488F"/>
    <w:rsid w:val="00234DDB"/>
    <w:rsid w:val="00234E7D"/>
    <w:rsid w:val="0023524A"/>
    <w:rsid w:val="0023571F"/>
    <w:rsid w:val="002357EA"/>
    <w:rsid w:val="00235897"/>
    <w:rsid w:val="002367E6"/>
    <w:rsid w:val="00236E33"/>
    <w:rsid w:val="0023700C"/>
    <w:rsid w:val="00237276"/>
    <w:rsid w:val="0023738B"/>
    <w:rsid w:val="0023769E"/>
    <w:rsid w:val="002376B2"/>
    <w:rsid w:val="0024033E"/>
    <w:rsid w:val="0024073E"/>
    <w:rsid w:val="002409C1"/>
    <w:rsid w:val="00240B06"/>
    <w:rsid w:val="00241190"/>
    <w:rsid w:val="00241845"/>
    <w:rsid w:val="00242134"/>
    <w:rsid w:val="002423CA"/>
    <w:rsid w:val="0024244E"/>
    <w:rsid w:val="0024258C"/>
    <w:rsid w:val="002446F1"/>
    <w:rsid w:val="00244A93"/>
    <w:rsid w:val="00244AB0"/>
    <w:rsid w:val="00244B6A"/>
    <w:rsid w:val="00244C69"/>
    <w:rsid w:val="002450B6"/>
    <w:rsid w:val="002451F4"/>
    <w:rsid w:val="00245325"/>
    <w:rsid w:val="00245E37"/>
    <w:rsid w:val="00246BCA"/>
    <w:rsid w:val="00246F65"/>
    <w:rsid w:val="00247193"/>
    <w:rsid w:val="002473CD"/>
    <w:rsid w:val="00250176"/>
    <w:rsid w:val="00250411"/>
    <w:rsid w:val="002506A3"/>
    <w:rsid w:val="00251CF4"/>
    <w:rsid w:val="00251F24"/>
    <w:rsid w:val="00252454"/>
    <w:rsid w:val="002524DB"/>
    <w:rsid w:val="0025267A"/>
    <w:rsid w:val="0025290C"/>
    <w:rsid w:val="00253022"/>
    <w:rsid w:val="002530E8"/>
    <w:rsid w:val="00253601"/>
    <w:rsid w:val="002539C4"/>
    <w:rsid w:val="002540B2"/>
    <w:rsid w:val="002547C1"/>
    <w:rsid w:val="00254DF6"/>
    <w:rsid w:val="00255BA9"/>
    <w:rsid w:val="00255E7F"/>
    <w:rsid w:val="0025607F"/>
    <w:rsid w:val="002562F9"/>
    <w:rsid w:val="0025647D"/>
    <w:rsid w:val="002571D6"/>
    <w:rsid w:val="00257485"/>
    <w:rsid w:val="00257618"/>
    <w:rsid w:val="00257BF5"/>
    <w:rsid w:val="00257FBC"/>
    <w:rsid w:val="00260AA2"/>
    <w:rsid w:val="002618F4"/>
    <w:rsid w:val="00261B63"/>
    <w:rsid w:val="00261CF3"/>
    <w:rsid w:val="002625C0"/>
    <w:rsid w:val="00262B22"/>
    <w:rsid w:val="00262B48"/>
    <w:rsid w:val="00262C1B"/>
    <w:rsid w:val="00262D78"/>
    <w:rsid w:val="002630FB"/>
    <w:rsid w:val="0026352F"/>
    <w:rsid w:val="00263D3A"/>
    <w:rsid w:val="002647D2"/>
    <w:rsid w:val="0026485D"/>
    <w:rsid w:val="002648B0"/>
    <w:rsid w:val="00264C8C"/>
    <w:rsid w:val="00265F02"/>
    <w:rsid w:val="0026634C"/>
    <w:rsid w:val="002664C7"/>
    <w:rsid w:val="002665A0"/>
    <w:rsid w:val="002669F8"/>
    <w:rsid w:val="002678CE"/>
    <w:rsid w:val="00267A21"/>
    <w:rsid w:val="00267C6F"/>
    <w:rsid w:val="0027034D"/>
    <w:rsid w:val="00271C8B"/>
    <w:rsid w:val="00271DB1"/>
    <w:rsid w:val="00272F65"/>
    <w:rsid w:val="00273432"/>
    <w:rsid w:val="002735FE"/>
    <w:rsid w:val="002754C0"/>
    <w:rsid w:val="00275A48"/>
    <w:rsid w:val="002764F3"/>
    <w:rsid w:val="00276720"/>
    <w:rsid w:val="00276B41"/>
    <w:rsid w:val="00277058"/>
    <w:rsid w:val="002771C5"/>
    <w:rsid w:val="002805FD"/>
    <w:rsid w:val="0028072E"/>
    <w:rsid w:val="00280B99"/>
    <w:rsid w:val="00281433"/>
    <w:rsid w:val="00281598"/>
    <w:rsid w:val="002816EA"/>
    <w:rsid w:val="00283B5F"/>
    <w:rsid w:val="00283C5E"/>
    <w:rsid w:val="00284A6D"/>
    <w:rsid w:val="00284D96"/>
    <w:rsid w:val="0028519C"/>
    <w:rsid w:val="00285314"/>
    <w:rsid w:val="00285E2F"/>
    <w:rsid w:val="0028628A"/>
    <w:rsid w:val="0028689C"/>
    <w:rsid w:val="002871CE"/>
    <w:rsid w:val="00287B41"/>
    <w:rsid w:val="00290CAD"/>
    <w:rsid w:val="002917CA"/>
    <w:rsid w:val="002920FF"/>
    <w:rsid w:val="00292409"/>
    <w:rsid w:val="00292A20"/>
    <w:rsid w:val="00292CEA"/>
    <w:rsid w:val="00293490"/>
    <w:rsid w:val="00294B07"/>
    <w:rsid w:val="00294B64"/>
    <w:rsid w:val="00294E34"/>
    <w:rsid w:val="00294FBC"/>
    <w:rsid w:val="0029520F"/>
    <w:rsid w:val="00295225"/>
    <w:rsid w:val="0029626C"/>
    <w:rsid w:val="0029630E"/>
    <w:rsid w:val="00297074"/>
    <w:rsid w:val="0029716F"/>
    <w:rsid w:val="0029726F"/>
    <w:rsid w:val="0029748B"/>
    <w:rsid w:val="002A04D3"/>
    <w:rsid w:val="002A0818"/>
    <w:rsid w:val="002A09D5"/>
    <w:rsid w:val="002A1099"/>
    <w:rsid w:val="002A1B49"/>
    <w:rsid w:val="002A36BB"/>
    <w:rsid w:val="002A3C25"/>
    <w:rsid w:val="002A40E7"/>
    <w:rsid w:val="002A4378"/>
    <w:rsid w:val="002A49C0"/>
    <w:rsid w:val="002A4B85"/>
    <w:rsid w:val="002A5122"/>
    <w:rsid w:val="002A5969"/>
    <w:rsid w:val="002A5BC5"/>
    <w:rsid w:val="002A630C"/>
    <w:rsid w:val="002A677E"/>
    <w:rsid w:val="002A67C8"/>
    <w:rsid w:val="002A6913"/>
    <w:rsid w:val="002A7564"/>
    <w:rsid w:val="002A7C84"/>
    <w:rsid w:val="002B004B"/>
    <w:rsid w:val="002B06D6"/>
    <w:rsid w:val="002B15B5"/>
    <w:rsid w:val="002B1600"/>
    <w:rsid w:val="002B1CA9"/>
    <w:rsid w:val="002B1D0E"/>
    <w:rsid w:val="002B2328"/>
    <w:rsid w:val="002B2BA3"/>
    <w:rsid w:val="002B32BE"/>
    <w:rsid w:val="002B3A5C"/>
    <w:rsid w:val="002B3E36"/>
    <w:rsid w:val="002B4667"/>
    <w:rsid w:val="002B5403"/>
    <w:rsid w:val="002B5492"/>
    <w:rsid w:val="002B5B2F"/>
    <w:rsid w:val="002B5B50"/>
    <w:rsid w:val="002B5CD1"/>
    <w:rsid w:val="002B5F2D"/>
    <w:rsid w:val="002B66BD"/>
    <w:rsid w:val="002B69EF"/>
    <w:rsid w:val="002B6E63"/>
    <w:rsid w:val="002B6F09"/>
    <w:rsid w:val="002C0206"/>
    <w:rsid w:val="002C053E"/>
    <w:rsid w:val="002C06FD"/>
    <w:rsid w:val="002C1068"/>
    <w:rsid w:val="002C1251"/>
    <w:rsid w:val="002C1D9D"/>
    <w:rsid w:val="002C1FEC"/>
    <w:rsid w:val="002C37D9"/>
    <w:rsid w:val="002C3E3E"/>
    <w:rsid w:val="002C41F1"/>
    <w:rsid w:val="002C4D74"/>
    <w:rsid w:val="002C5671"/>
    <w:rsid w:val="002C6263"/>
    <w:rsid w:val="002C66A4"/>
    <w:rsid w:val="002C674A"/>
    <w:rsid w:val="002C73DC"/>
    <w:rsid w:val="002C79CA"/>
    <w:rsid w:val="002D1A5C"/>
    <w:rsid w:val="002D2C75"/>
    <w:rsid w:val="002D3156"/>
    <w:rsid w:val="002D318D"/>
    <w:rsid w:val="002D31E5"/>
    <w:rsid w:val="002D3982"/>
    <w:rsid w:val="002D4561"/>
    <w:rsid w:val="002D4CED"/>
    <w:rsid w:val="002D4E10"/>
    <w:rsid w:val="002D4F6A"/>
    <w:rsid w:val="002D523C"/>
    <w:rsid w:val="002D541B"/>
    <w:rsid w:val="002D5C4B"/>
    <w:rsid w:val="002D6B9E"/>
    <w:rsid w:val="002D7779"/>
    <w:rsid w:val="002D7A95"/>
    <w:rsid w:val="002E0148"/>
    <w:rsid w:val="002E0174"/>
    <w:rsid w:val="002E053A"/>
    <w:rsid w:val="002E0DDB"/>
    <w:rsid w:val="002E12E6"/>
    <w:rsid w:val="002E136A"/>
    <w:rsid w:val="002E2061"/>
    <w:rsid w:val="002E2164"/>
    <w:rsid w:val="002E27B0"/>
    <w:rsid w:val="002E3720"/>
    <w:rsid w:val="002E4D53"/>
    <w:rsid w:val="002E4EB7"/>
    <w:rsid w:val="002E5096"/>
    <w:rsid w:val="002E5879"/>
    <w:rsid w:val="002E587F"/>
    <w:rsid w:val="002E58AF"/>
    <w:rsid w:val="002E5A56"/>
    <w:rsid w:val="002E7287"/>
    <w:rsid w:val="002E796C"/>
    <w:rsid w:val="002E7BB4"/>
    <w:rsid w:val="002F07EA"/>
    <w:rsid w:val="002F0FB3"/>
    <w:rsid w:val="002F1163"/>
    <w:rsid w:val="002F11F3"/>
    <w:rsid w:val="002F1624"/>
    <w:rsid w:val="002F170E"/>
    <w:rsid w:val="002F1920"/>
    <w:rsid w:val="002F19BB"/>
    <w:rsid w:val="002F1E8D"/>
    <w:rsid w:val="002F2663"/>
    <w:rsid w:val="002F29AF"/>
    <w:rsid w:val="002F2FCE"/>
    <w:rsid w:val="002F39A7"/>
    <w:rsid w:val="002F4A67"/>
    <w:rsid w:val="002F4A87"/>
    <w:rsid w:val="002F5571"/>
    <w:rsid w:val="002F55FA"/>
    <w:rsid w:val="002F6AA8"/>
    <w:rsid w:val="002F78EA"/>
    <w:rsid w:val="002F79EA"/>
    <w:rsid w:val="002F7E28"/>
    <w:rsid w:val="0030006B"/>
    <w:rsid w:val="00300224"/>
    <w:rsid w:val="00302C3F"/>
    <w:rsid w:val="00303974"/>
    <w:rsid w:val="00303EDA"/>
    <w:rsid w:val="00304029"/>
    <w:rsid w:val="00304CA5"/>
    <w:rsid w:val="0030572F"/>
    <w:rsid w:val="00306163"/>
    <w:rsid w:val="00306AD1"/>
    <w:rsid w:val="00306F71"/>
    <w:rsid w:val="00306F8E"/>
    <w:rsid w:val="003073B2"/>
    <w:rsid w:val="00307737"/>
    <w:rsid w:val="0031001C"/>
    <w:rsid w:val="003105C6"/>
    <w:rsid w:val="00310F05"/>
    <w:rsid w:val="00310F96"/>
    <w:rsid w:val="00311119"/>
    <w:rsid w:val="0031155B"/>
    <w:rsid w:val="00311B2D"/>
    <w:rsid w:val="0031294F"/>
    <w:rsid w:val="00312BA3"/>
    <w:rsid w:val="00312FE5"/>
    <w:rsid w:val="00313274"/>
    <w:rsid w:val="003132E6"/>
    <w:rsid w:val="00313359"/>
    <w:rsid w:val="00313466"/>
    <w:rsid w:val="003137B9"/>
    <w:rsid w:val="00313D20"/>
    <w:rsid w:val="003140B0"/>
    <w:rsid w:val="003141F6"/>
    <w:rsid w:val="003150E6"/>
    <w:rsid w:val="00315835"/>
    <w:rsid w:val="003172C8"/>
    <w:rsid w:val="003175FE"/>
    <w:rsid w:val="00320974"/>
    <w:rsid w:val="00320BB4"/>
    <w:rsid w:val="00321526"/>
    <w:rsid w:val="00321A3B"/>
    <w:rsid w:val="003220BD"/>
    <w:rsid w:val="003228D5"/>
    <w:rsid w:val="00322AA6"/>
    <w:rsid w:val="003232D5"/>
    <w:rsid w:val="00323910"/>
    <w:rsid w:val="00324D71"/>
    <w:rsid w:val="00325654"/>
    <w:rsid w:val="003259DA"/>
    <w:rsid w:val="0032601D"/>
    <w:rsid w:val="0032635E"/>
    <w:rsid w:val="00326A21"/>
    <w:rsid w:val="0032755B"/>
    <w:rsid w:val="003277BF"/>
    <w:rsid w:val="00327DB3"/>
    <w:rsid w:val="003300FF"/>
    <w:rsid w:val="00330199"/>
    <w:rsid w:val="003303D9"/>
    <w:rsid w:val="00330896"/>
    <w:rsid w:val="00330AE5"/>
    <w:rsid w:val="00331FE6"/>
    <w:rsid w:val="0033204B"/>
    <w:rsid w:val="0033399F"/>
    <w:rsid w:val="00333A44"/>
    <w:rsid w:val="00333AB1"/>
    <w:rsid w:val="00334093"/>
    <w:rsid w:val="00334179"/>
    <w:rsid w:val="0033476C"/>
    <w:rsid w:val="00335A1B"/>
    <w:rsid w:val="003373AC"/>
    <w:rsid w:val="003374C1"/>
    <w:rsid w:val="003377B9"/>
    <w:rsid w:val="00337849"/>
    <w:rsid w:val="00337BEA"/>
    <w:rsid w:val="00340094"/>
    <w:rsid w:val="003400BB"/>
    <w:rsid w:val="00342261"/>
    <w:rsid w:val="00342B6A"/>
    <w:rsid w:val="00342C4B"/>
    <w:rsid w:val="003438E8"/>
    <w:rsid w:val="00344244"/>
    <w:rsid w:val="00344E49"/>
    <w:rsid w:val="003459F8"/>
    <w:rsid w:val="00345A82"/>
    <w:rsid w:val="00345E53"/>
    <w:rsid w:val="00345F96"/>
    <w:rsid w:val="00346234"/>
    <w:rsid w:val="00346C65"/>
    <w:rsid w:val="00346DCF"/>
    <w:rsid w:val="0034786E"/>
    <w:rsid w:val="00347FF9"/>
    <w:rsid w:val="00350A84"/>
    <w:rsid w:val="00350AC4"/>
    <w:rsid w:val="00350DDB"/>
    <w:rsid w:val="00351984"/>
    <w:rsid w:val="00352A45"/>
    <w:rsid w:val="00352C6E"/>
    <w:rsid w:val="00352FB3"/>
    <w:rsid w:val="00353D40"/>
    <w:rsid w:val="0035403D"/>
    <w:rsid w:val="00354139"/>
    <w:rsid w:val="003541BA"/>
    <w:rsid w:val="003556A3"/>
    <w:rsid w:val="00355FF4"/>
    <w:rsid w:val="003561F0"/>
    <w:rsid w:val="00356773"/>
    <w:rsid w:val="00357CD1"/>
    <w:rsid w:val="00357E3F"/>
    <w:rsid w:val="00357F63"/>
    <w:rsid w:val="0036030B"/>
    <w:rsid w:val="00360518"/>
    <w:rsid w:val="00360825"/>
    <w:rsid w:val="00360B05"/>
    <w:rsid w:val="003616A1"/>
    <w:rsid w:val="00361D60"/>
    <w:rsid w:val="00362A09"/>
    <w:rsid w:val="00362BB4"/>
    <w:rsid w:val="00363505"/>
    <w:rsid w:val="00363969"/>
    <w:rsid w:val="00364120"/>
    <w:rsid w:val="0036415F"/>
    <w:rsid w:val="0036492E"/>
    <w:rsid w:val="00364DA1"/>
    <w:rsid w:val="00364EBB"/>
    <w:rsid w:val="00366794"/>
    <w:rsid w:val="00366CAF"/>
    <w:rsid w:val="00367DCB"/>
    <w:rsid w:val="00370576"/>
    <w:rsid w:val="003705A2"/>
    <w:rsid w:val="0037077A"/>
    <w:rsid w:val="00370D79"/>
    <w:rsid w:val="00371593"/>
    <w:rsid w:val="00371653"/>
    <w:rsid w:val="00372C61"/>
    <w:rsid w:val="00373E3E"/>
    <w:rsid w:val="00374A5E"/>
    <w:rsid w:val="003757FD"/>
    <w:rsid w:val="003758D4"/>
    <w:rsid w:val="00375C47"/>
    <w:rsid w:val="00377E16"/>
    <w:rsid w:val="00380D47"/>
    <w:rsid w:val="003812AC"/>
    <w:rsid w:val="003813DF"/>
    <w:rsid w:val="0038147E"/>
    <w:rsid w:val="00381685"/>
    <w:rsid w:val="00381F65"/>
    <w:rsid w:val="003826D9"/>
    <w:rsid w:val="003829E9"/>
    <w:rsid w:val="00383D4B"/>
    <w:rsid w:val="00383FF2"/>
    <w:rsid w:val="00384177"/>
    <w:rsid w:val="00384770"/>
    <w:rsid w:val="00386492"/>
    <w:rsid w:val="00386BD4"/>
    <w:rsid w:val="00386C00"/>
    <w:rsid w:val="003872C4"/>
    <w:rsid w:val="0038731C"/>
    <w:rsid w:val="00387641"/>
    <w:rsid w:val="00387AE2"/>
    <w:rsid w:val="00387E40"/>
    <w:rsid w:val="003908C5"/>
    <w:rsid w:val="00390DDA"/>
    <w:rsid w:val="00391315"/>
    <w:rsid w:val="00391406"/>
    <w:rsid w:val="0039163C"/>
    <w:rsid w:val="00391D92"/>
    <w:rsid w:val="00392691"/>
    <w:rsid w:val="003927BE"/>
    <w:rsid w:val="00392C11"/>
    <w:rsid w:val="00392FFD"/>
    <w:rsid w:val="003932C1"/>
    <w:rsid w:val="0039346B"/>
    <w:rsid w:val="00393539"/>
    <w:rsid w:val="003935B0"/>
    <w:rsid w:val="00393FF2"/>
    <w:rsid w:val="00394410"/>
    <w:rsid w:val="00394FF1"/>
    <w:rsid w:val="003953E6"/>
    <w:rsid w:val="00397314"/>
    <w:rsid w:val="003977EC"/>
    <w:rsid w:val="0039782D"/>
    <w:rsid w:val="00397A77"/>
    <w:rsid w:val="003A0532"/>
    <w:rsid w:val="003A07D6"/>
    <w:rsid w:val="003A0835"/>
    <w:rsid w:val="003A0897"/>
    <w:rsid w:val="003A0C05"/>
    <w:rsid w:val="003A1469"/>
    <w:rsid w:val="003A1488"/>
    <w:rsid w:val="003A1B96"/>
    <w:rsid w:val="003A200A"/>
    <w:rsid w:val="003A3877"/>
    <w:rsid w:val="003A3899"/>
    <w:rsid w:val="003A415A"/>
    <w:rsid w:val="003A449C"/>
    <w:rsid w:val="003A497B"/>
    <w:rsid w:val="003A4C8B"/>
    <w:rsid w:val="003A4E0E"/>
    <w:rsid w:val="003A5743"/>
    <w:rsid w:val="003A5751"/>
    <w:rsid w:val="003A5D8C"/>
    <w:rsid w:val="003A7214"/>
    <w:rsid w:val="003A7336"/>
    <w:rsid w:val="003B00F4"/>
    <w:rsid w:val="003B05AE"/>
    <w:rsid w:val="003B06B9"/>
    <w:rsid w:val="003B09EA"/>
    <w:rsid w:val="003B0B15"/>
    <w:rsid w:val="003B190F"/>
    <w:rsid w:val="003B20D7"/>
    <w:rsid w:val="003B2129"/>
    <w:rsid w:val="003B219A"/>
    <w:rsid w:val="003B256A"/>
    <w:rsid w:val="003B25F0"/>
    <w:rsid w:val="003B2660"/>
    <w:rsid w:val="003B2712"/>
    <w:rsid w:val="003B2C7F"/>
    <w:rsid w:val="003B3112"/>
    <w:rsid w:val="003B3533"/>
    <w:rsid w:val="003B3D2E"/>
    <w:rsid w:val="003B3DBB"/>
    <w:rsid w:val="003B425E"/>
    <w:rsid w:val="003B43BA"/>
    <w:rsid w:val="003B50EE"/>
    <w:rsid w:val="003B6094"/>
    <w:rsid w:val="003B6D18"/>
    <w:rsid w:val="003B7060"/>
    <w:rsid w:val="003C050A"/>
    <w:rsid w:val="003C0EE7"/>
    <w:rsid w:val="003C0FB5"/>
    <w:rsid w:val="003C1802"/>
    <w:rsid w:val="003C1BB1"/>
    <w:rsid w:val="003C2409"/>
    <w:rsid w:val="003C2566"/>
    <w:rsid w:val="003C3168"/>
    <w:rsid w:val="003C3AAB"/>
    <w:rsid w:val="003C3B79"/>
    <w:rsid w:val="003C3FD5"/>
    <w:rsid w:val="003C4307"/>
    <w:rsid w:val="003C478C"/>
    <w:rsid w:val="003C60B9"/>
    <w:rsid w:val="003C73E7"/>
    <w:rsid w:val="003C76A2"/>
    <w:rsid w:val="003C7853"/>
    <w:rsid w:val="003D07E3"/>
    <w:rsid w:val="003D10E9"/>
    <w:rsid w:val="003D11AD"/>
    <w:rsid w:val="003D14AE"/>
    <w:rsid w:val="003D1657"/>
    <w:rsid w:val="003D17D0"/>
    <w:rsid w:val="003D199D"/>
    <w:rsid w:val="003D234F"/>
    <w:rsid w:val="003D384E"/>
    <w:rsid w:val="003D3A95"/>
    <w:rsid w:val="003D3CED"/>
    <w:rsid w:val="003D3CEF"/>
    <w:rsid w:val="003D4256"/>
    <w:rsid w:val="003D431C"/>
    <w:rsid w:val="003D485B"/>
    <w:rsid w:val="003D4EF8"/>
    <w:rsid w:val="003D56DE"/>
    <w:rsid w:val="003D5D52"/>
    <w:rsid w:val="003D655D"/>
    <w:rsid w:val="003D6641"/>
    <w:rsid w:val="003D69CB"/>
    <w:rsid w:val="003D6FED"/>
    <w:rsid w:val="003D725D"/>
    <w:rsid w:val="003D7822"/>
    <w:rsid w:val="003D7F50"/>
    <w:rsid w:val="003E098F"/>
    <w:rsid w:val="003E1A7B"/>
    <w:rsid w:val="003E3102"/>
    <w:rsid w:val="003E3E30"/>
    <w:rsid w:val="003E47C5"/>
    <w:rsid w:val="003E4EF2"/>
    <w:rsid w:val="003E5145"/>
    <w:rsid w:val="003E52DA"/>
    <w:rsid w:val="003E5B8C"/>
    <w:rsid w:val="003E63C2"/>
    <w:rsid w:val="003E71B6"/>
    <w:rsid w:val="003E7891"/>
    <w:rsid w:val="003E7AEC"/>
    <w:rsid w:val="003E7CC5"/>
    <w:rsid w:val="003F0298"/>
    <w:rsid w:val="003F05A0"/>
    <w:rsid w:val="003F1103"/>
    <w:rsid w:val="003F15BB"/>
    <w:rsid w:val="003F17BB"/>
    <w:rsid w:val="003F19BA"/>
    <w:rsid w:val="003F31B2"/>
    <w:rsid w:val="003F3523"/>
    <w:rsid w:val="003F751E"/>
    <w:rsid w:val="004005E4"/>
    <w:rsid w:val="00401111"/>
    <w:rsid w:val="0040156B"/>
    <w:rsid w:val="00401E48"/>
    <w:rsid w:val="00402284"/>
    <w:rsid w:val="00403B9F"/>
    <w:rsid w:val="0040521E"/>
    <w:rsid w:val="00405C0A"/>
    <w:rsid w:val="00407110"/>
    <w:rsid w:val="00407505"/>
    <w:rsid w:val="00407936"/>
    <w:rsid w:val="00410796"/>
    <w:rsid w:val="00411DD4"/>
    <w:rsid w:val="004120DF"/>
    <w:rsid w:val="004127F7"/>
    <w:rsid w:val="004129D0"/>
    <w:rsid w:val="00412B20"/>
    <w:rsid w:val="00412D44"/>
    <w:rsid w:val="004133D9"/>
    <w:rsid w:val="004134E6"/>
    <w:rsid w:val="004157CC"/>
    <w:rsid w:val="00415A1B"/>
    <w:rsid w:val="00417351"/>
    <w:rsid w:val="00417984"/>
    <w:rsid w:val="00422449"/>
    <w:rsid w:val="00422B88"/>
    <w:rsid w:val="00423431"/>
    <w:rsid w:val="00423556"/>
    <w:rsid w:val="00423D6C"/>
    <w:rsid w:val="00423F7E"/>
    <w:rsid w:val="004255D6"/>
    <w:rsid w:val="0042594B"/>
    <w:rsid w:val="00425F4A"/>
    <w:rsid w:val="00425F4C"/>
    <w:rsid w:val="0042766A"/>
    <w:rsid w:val="0043001B"/>
    <w:rsid w:val="00430221"/>
    <w:rsid w:val="004304C0"/>
    <w:rsid w:val="00430F6F"/>
    <w:rsid w:val="00431185"/>
    <w:rsid w:val="0043168D"/>
    <w:rsid w:val="004317F7"/>
    <w:rsid w:val="004319EB"/>
    <w:rsid w:val="0043216B"/>
    <w:rsid w:val="0043231D"/>
    <w:rsid w:val="00433508"/>
    <w:rsid w:val="004343D9"/>
    <w:rsid w:val="004350F2"/>
    <w:rsid w:val="00435476"/>
    <w:rsid w:val="004354F7"/>
    <w:rsid w:val="004357B9"/>
    <w:rsid w:val="004357F0"/>
    <w:rsid w:val="00435B81"/>
    <w:rsid w:val="00435E72"/>
    <w:rsid w:val="00436204"/>
    <w:rsid w:val="00436490"/>
    <w:rsid w:val="004367D6"/>
    <w:rsid w:val="00436929"/>
    <w:rsid w:val="00436A46"/>
    <w:rsid w:val="00436BBC"/>
    <w:rsid w:val="00437432"/>
    <w:rsid w:val="004377DA"/>
    <w:rsid w:val="004377E2"/>
    <w:rsid w:val="00437CFA"/>
    <w:rsid w:val="004408E7"/>
    <w:rsid w:val="004415C8"/>
    <w:rsid w:val="00441F78"/>
    <w:rsid w:val="00442EA5"/>
    <w:rsid w:val="00443003"/>
    <w:rsid w:val="00443775"/>
    <w:rsid w:val="00443DD0"/>
    <w:rsid w:val="004448A6"/>
    <w:rsid w:val="0044539D"/>
    <w:rsid w:val="00445C46"/>
    <w:rsid w:val="00445E06"/>
    <w:rsid w:val="0044639C"/>
    <w:rsid w:val="004504E2"/>
    <w:rsid w:val="0045099E"/>
    <w:rsid w:val="00450A2E"/>
    <w:rsid w:val="00451220"/>
    <w:rsid w:val="00451972"/>
    <w:rsid w:val="00451B63"/>
    <w:rsid w:val="00452946"/>
    <w:rsid w:val="00452A34"/>
    <w:rsid w:val="00452FEF"/>
    <w:rsid w:val="00453999"/>
    <w:rsid w:val="00454026"/>
    <w:rsid w:val="00454082"/>
    <w:rsid w:val="00454139"/>
    <w:rsid w:val="0045494E"/>
    <w:rsid w:val="00454CFC"/>
    <w:rsid w:val="00454D6B"/>
    <w:rsid w:val="00455364"/>
    <w:rsid w:val="0045592B"/>
    <w:rsid w:val="00455B49"/>
    <w:rsid w:val="00456366"/>
    <w:rsid w:val="004572EA"/>
    <w:rsid w:val="00457480"/>
    <w:rsid w:val="004575F1"/>
    <w:rsid w:val="00457837"/>
    <w:rsid w:val="004600E4"/>
    <w:rsid w:val="004603C7"/>
    <w:rsid w:val="00460458"/>
    <w:rsid w:val="004604FF"/>
    <w:rsid w:val="00460A9C"/>
    <w:rsid w:val="00461A5A"/>
    <w:rsid w:val="0046202C"/>
    <w:rsid w:val="00462588"/>
    <w:rsid w:val="004629A2"/>
    <w:rsid w:val="00462BAB"/>
    <w:rsid w:val="0046333F"/>
    <w:rsid w:val="00463F88"/>
    <w:rsid w:val="00464DC4"/>
    <w:rsid w:val="00464DCB"/>
    <w:rsid w:val="00464F34"/>
    <w:rsid w:val="004676BE"/>
    <w:rsid w:val="0046793D"/>
    <w:rsid w:val="00467DB3"/>
    <w:rsid w:val="00467F08"/>
    <w:rsid w:val="00467F65"/>
    <w:rsid w:val="00471159"/>
    <w:rsid w:val="00471A96"/>
    <w:rsid w:val="004720B7"/>
    <w:rsid w:val="0047210E"/>
    <w:rsid w:val="004727BF"/>
    <w:rsid w:val="00473975"/>
    <w:rsid w:val="00473B66"/>
    <w:rsid w:val="00474581"/>
    <w:rsid w:val="00474C49"/>
    <w:rsid w:val="0047503C"/>
    <w:rsid w:val="0047563E"/>
    <w:rsid w:val="00475B6A"/>
    <w:rsid w:val="00475D3C"/>
    <w:rsid w:val="0047602E"/>
    <w:rsid w:val="00476209"/>
    <w:rsid w:val="00476566"/>
    <w:rsid w:val="004766D4"/>
    <w:rsid w:val="0047687B"/>
    <w:rsid w:val="0047693D"/>
    <w:rsid w:val="00476B52"/>
    <w:rsid w:val="004773AB"/>
    <w:rsid w:val="00477C45"/>
    <w:rsid w:val="00477CB6"/>
    <w:rsid w:val="00477D2F"/>
    <w:rsid w:val="00480072"/>
    <w:rsid w:val="004803BB"/>
    <w:rsid w:val="0048053B"/>
    <w:rsid w:val="00480A69"/>
    <w:rsid w:val="00480F48"/>
    <w:rsid w:val="0048116C"/>
    <w:rsid w:val="0048143B"/>
    <w:rsid w:val="0048345E"/>
    <w:rsid w:val="004838C0"/>
    <w:rsid w:val="00483FC9"/>
    <w:rsid w:val="00484DDA"/>
    <w:rsid w:val="004852B9"/>
    <w:rsid w:val="00485875"/>
    <w:rsid w:val="00485CBD"/>
    <w:rsid w:val="0048684A"/>
    <w:rsid w:val="00486DA5"/>
    <w:rsid w:val="00487597"/>
    <w:rsid w:val="004876F5"/>
    <w:rsid w:val="00487A02"/>
    <w:rsid w:val="00487A08"/>
    <w:rsid w:val="004901BE"/>
    <w:rsid w:val="0049092A"/>
    <w:rsid w:val="004913CE"/>
    <w:rsid w:val="00491609"/>
    <w:rsid w:val="00491819"/>
    <w:rsid w:val="00491F4D"/>
    <w:rsid w:val="004928AC"/>
    <w:rsid w:val="00492D77"/>
    <w:rsid w:val="00493D5E"/>
    <w:rsid w:val="00494606"/>
    <w:rsid w:val="00495221"/>
    <w:rsid w:val="00495A17"/>
    <w:rsid w:val="004964A6"/>
    <w:rsid w:val="00496C53"/>
    <w:rsid w:val="00496F5D"/>
    <w:rsid w:val="004970FA"/>
    <w:rsid w:val="00497D60"/>
    <w:rsid w:val="004A01BF"/>
    <w:rsid w:val="004A0519"/>
    <w:rsid w:val="004A0885"/>
    <w:rsid w:val="004A0D4A"/>
    <w:rsid w:val="004A11BD"/>
    <w:rsid w:val="004A1D97"/>
    <w:rsid w:val="004A3247"/>
    <w:rsid w:val="004A3A58"/>
    <w:rsid w:val="004A3B3D"/>
    <w:rsid w:val="004A47BA"/>
    <w:rsid w:val="004A527A"/>
    <w:rsid w:val="004A5880"/>
    <w:rsid w:val="004A5A87"/>
    <w:rsid w:val="004A6C52"/>
    <w:rsid w:val="004A6FAC"/>
    <w:rsid w:val="004A705D"/>
    <w:rsid w:val="004A72B4"/>
    <w:rsid w:val="004A7700"/>
    <w:rsid w:val="004A7B60"/>
    <w:rsid w:val="004B031B"/>
    <w:rsid w:val="004B0D24"/>
    <w:rsid w:val="004B0D82"/>
    <w:rsid w:val="004B135C"/>
    <w:rsid w:val="004B183D"/>
    <w:rsid w:val="004B1C75"/>
    <w:rsid w:val="004B2091"/>
    <w:rsid w:val="004B2A17"/>
    <w:rsid w:val="004B38D3"/>
    <w:rsid w:val="004B38D7"/>
    <w:rsid w:val="004B3B58"/>
    <w:rsid w:val="004B40A6"/>
    <w:rsid w:val="004B4DF9"/>
    <w:rsid w:val="004B572C"/>
    <w:rsid w:val="004B584D"/>
    <w:rsid w:val="004B5870"/>
    <w:rsid w:val="004B67ED"/>
    <w:rsid w:val="004B6EA3"/>
    <w:rsid w:val="004B6F60"/>
    <w:rsid w:val="004B7F4A"/>
    <w:rsid w:val="004C03BC"/>
    <w:rsid w:val="004C0508"/>
    <w:rsid w:val="004C15A0"/>
    <w:rsid w:val="004C1ACF"/>
    <w:rsid w:val="004C4478"/>
    <w:rsid w:val="004C51C3"/>
    <w:rsid w:val="004C5778"/>
    <w:rsid w:val="004C6663"/>
    <w:rsid w:val="004C6E6F"/>
    <w:rsid w:val="004C74EC"/>
    <w:rsid w:val="004D09D7"/>
    <w:rsid w:val="004D0C15"/>
    <w:rsid w:val="004D0FF4"/>
    <w:rsid w:val="004D2031"/>
    <w:rsid w:val="004D2753"/>
    <w:rsid w:val="004D2DA8"/>
    <w:rsid w:val="004D36B6"/>
    <w:rsid w:val="004D3B8B"/>
    <w:rsid w:val="004D3C0E"/>
    <w:rsid w:val="004D416B"/>
    <w:rsid w:val="004D417C"/>
    <w:rsid w:val="004D4419"/>
    <w:rsid w:val="004D45AA"/>
    <w:rsid w:val="004D4BDB"/>
    <w:rsid w:val="004D4BE8"/>
    <w:rsid w:val="004D5161"/>
    <w:rsid w:val="004D5BCD"/>
    <w:rsid w:val="004D5E9D"/>
    <w:rsid w:val="004D5FF0"/>
    <w:rsid w:val="004D6755"/>
    <w:rsid w:val="004D6C74"/>
    <w:rsid w:val="004D780C"/>
    <w:rsid w:val="004E0244"/>
    <w:rsid w:val="004E04BF"/>
    <w:rsid w:val="004E0531"/>
    <w:rsid w:val="004E081B"/>
    <w:rsid w:val="004E0A91"/>
    <w:rsid w:val="004E1AE7"/>
    <w:rsid w:val="004E2725"/>
    <w:rsid w:val="004E28B1"/>
    <w:rsid w:val="004E2BE7"/>
    <w:rsid w:val="004E3876"/>
    <w:rsid w:val="004E40B9"/>
    <w:rsid w:val="004E4465"/>
    <w:rsid w:val="004E4AED"/>
    <w:rsid w:val="004E4F98"/>
    <w:rsid w:val="004E5B02"/>
    <w:rsid w:val="004E5BA7"/>
    <w:rsid w:val="004E6AC0"/>
    <w:rsid w:val="004E6ADB"/>
    <w:rsid w:val="004E6D06"/>
    <w:rsid w:val="004E6D5F"/>
    <w:rsid w:val="004E7936"/>
    <w:rsid w:val="004E7D09"/>
    <w:rsid w:val="004E7DF2"/>
    <w:rsid w:val="004F0068"/>
    <w:rsid w:val="004F0D16"/>
    <w:rsid w:val="004F0F3D"/>
    <w:rsid w:val="004F1DDB"/>
    <w:rsid w:val="004F2AB4"/>
    <w:rsid w:val="004F2B30"/>
    <w:rsid w:val="004F3766"/>
    <w:rsid w:val="004F458D"/>
    <w:rsid w:val="004F4727"/>
    <w:rsid w:val="004F4775"/>
    <w:rsid w:val="004F4BB8"/>
    <w:rsid w:val="004F50AF"/>
    <w:rsid w:val="004F5C89"/>
    <w:rsid w:val="004F605C"/>
    <w:rsid w:val="004F6B6B"/>
    <w:rsid w:val="004F7163"/>
    <w:rsid w:val="004F73C7"/>
    <w:rsid w:val="004F7700"/>
    <w:rsid w:val="0050148F"/>
    <w:rsid w:val="00502363"/>
    <w:rsid w:val="00502B1A"/>
    <w:rsid w:val="00502FC6"/>
    <w:rsid w:val="0050394C"/>
    <w:rsid w:val="0050396E"/>
    <w:rsid w:val="0050399F"/>
    <w:rsid w:val="00503EA2"/>
    <w:rsid w:val="00503F93"/>
    <w:rsid w:val="00504A16"/>
    <w:rsid w:val="005050CE"/>
    <w:rsid w:val="005054EE"/>
    <w:rsid w:val="00505B5C"/>
    <w:rsid w:val="005067A1"/>
    <w:rsid w:val="0050699D"/>
    <w:rsid w:val="005074D9"/>
    <w:rsid w:val="00511040"/>
    <w:rsid w:val="005116D4"/>
    <w:rsid w:val="005124C4"/>
    <w:rsid w:val="00512CC7"/>
    <w:rsid w:val="005130D9"/>
    <w:rsid w:val="005135D6"/>
    <w:rsid w:val="00513822"/>
    <w:rsid w:val="00514158"/>
    <w:rsid w:val="00514783"/>
    <w:rsid w:val="00514EB7"/>
    <w:rsid w:val="0051604A"/>
    <w:rsid w:val="00517EE9"/>
    <w:rsid w:val="005208AB"/>
    <w:rsid w:val="00520B00"/>
    <w:rsid w:val="00521476"/>
    <w:rsid w:val="00521D56"/>
    <w:rsid w:val="005229F9"/>
    <w:rsid w:val="00522F33"/>
    <w:rsid w:val="0052356D"/>
    <w:rsid w:val="0052367C"/>
    <w:rsid w:val="00523DD6"/>
    <w:rsid w:val="0052490C"/>
    <w:rsid w:val="00524F06"/>
    <w:rsid w:val="0052508A"/>
    <w:rsid w:val="005278A0"/>
    <w:rsid w:val="005279A8"/>
    <w:rsid w:val="005303F8"/>
    <w:rsid w:val="0053078D"/>
    <w:rsid w:val="00530BA1"/>
    <w:rsid w:val="00530FC7"/>
    <w:rsid w:val="005314AD"/>
    <w:rsid w:val="00531C29"/>
    <w:rsid w:val="00531FC9"/>
    <w:rsid w:val="00532026"/>
    <w:rsid w:val="00532673"/>
    <w:rsid w:val="00532DD4"/>
    <w:rsid w:val="0053327A"/>
    <w:rsid w:val="005336E4"/>
    <w:rsid w:val="00533D6A"/>
    <w:rsid w:val="00533D84"/>
    <w:rsid w:val="00533E53"/>
    <w:rsid w:val="00533F71"/>
    <w:rsid w:val="005342A5"/>
    <w:rsid w:val="00534771"/>
    <w:rsid w:val="0053499D"/>
    <w:rsid w:val="00535350"/>
    <w:rsid w:val="00535792"/>
    <w:rsid w:val="00535A98"/>
    <w:rsid w:val="00536B6D"/>
    <w:rsid w:val="0053702D"/>
    <w:rsid w:val="00537CB0"/>
    <w:rsid w:val="005403B1"/>
    <w:rsid w:val="0054122B"/>
    <w:rsid w:val="0054223D"/>
    <w:rsid w:val="005429A0"/>
    <w:rsid w:val="00542C33"/>
    <w:rsid w:val="00542EAE"/>
    <w:rsid w:val="00543964"/>
    <w:rsid w:val="00543C1E"/>
    <w:rsid w:val="00543DBD"/>
    <w:rsid w:val="005447B5"/>
    <w:rsid w:val="00544874"/>
    <w:rsid w:val="00544DA4"/>
    <w:rsid w:val="00544E37"/>
    <w:rsid w:val="00547047"/>
    <w:rsid w:val="005474CB"/>
    <w:rsid w:val="005475C0"/>
    <w:rsid w:val="00550113"/>
    <w:rsid w:val="005511AD"/>
    <w:rsid w:val="00551271"/>
    <w:rsid w:val="0055144E"/>
    <w:rsid w:val="0055245C"/>
    <w:rsid w:val="005528C1"/>
    <w:rsid w:val="00552A83"/>
    <w:rsid w:val="00552BF3"/>
    <w:rsid w:val="00552E3E"/>
    <w:rsid w:val="005537B7"/>
    <w:rsid w:val="00554261"/>
    <w:rsid w:val="00554886"/>
    <w:rsid w:val="00554A32"/>
    <w:rsid w:val="005563DA"/>
    <w:rsid w:val="0055657F"/>
    <w:rsid w:val="00557288"/>
    <w:rsid w:val="0055791B"/>
    <w:rsid w:val="00557D09"/>
    <w:rsid w:val="0056002D"/>
    <w:rsid w:val="00560A14"/>
    <w:rsid w:val="00561123"/>
    <w:rsid w:val="005617ED"/>
    <w:rsid w:val="005617F7"/>
    <w:rsid w:val="00562181"/>
    <w:rsid w:val="00562EBE"/>
    <w:rsid w:val="00563313"/>
    <w:rsid w:val="00563ADF"/>
    <w:rsid w:val="005643EA"/>
    <w:rsid w:val="00564A89"/>
    <w:rsid w:val="00565031"/>
    <w:rsid w:val="005666F4"/>
    <w:rsid w:val="00566A45"/>
    <w:rsid w:val="00566BD6"/>
    <w:rsid w:val="00566DB5"/>
    <w:rsid w:val="0056778B"/>
    <w:rsid w:val="005723E9"/>
    <w:rsid w:val="005729F8"/>
    <w:rsid w:val="00572C82"/>
    <w:rsid w:val="0057350E"/>
    <w:rsid w:val="00573DB4"/>
    <w:rsid w:val="00574D58"/>
    <w:rsid w:val="00576215"/>
    <w:rsid w:val="0057632A"/>
    <w:rsid w:val="005765A1"/>
    <w:rsid w:val="00576F30"/>
    <w:rsid w:val="00577AA3"/>
    <w:rsid w:val="00577E3B"/>
    <w:rsid w:val="0058002E"/>
    <w:rsid w:val="005808DE"/>
    <w:rsid w:val="00581FA5"/>
    <w:rsid w:val="00582399"/>
    <w:rsid w:val="00582923"/>
    <w:rsid w:val="00583884"/>
    <w:rsid w:val="005839C7"/>
    <w:rsid w:val="00583F4C"/>
    <w:rsid w:val="00584165"/>
    <w:rsid w:val="00585466"/>
    <w:rsid w:val="00585B5B"/>
    <w:rsid w:val="0058617B"/>
    <w:rsid w:val="005872C7"/>
    <w:rsid w:val="00587E96"/>
    <w:rsid w:val="00590258"/>
    <w:rsid w:val="00590272"/>
    <w:rsid w:val="00590365"/>
    <w:rsid w:val="00590386"/>
    <w:rsid w:val="005911AC"/>
    <w:rsid w:val="0059138D"/>
    <w:rsid w:val="00592325"/>
    <w:rsid w:val="00593E1F"/>
    <w:rsid w:val="0059418B"/>
    <w:rsid w:val="00594639"/>
    <w:rsid w:val="0059475E"/>
    <w:rsid w:val="00595FAD"/>
    <w:rsid w:val="0059657D"/>
    <w:rsid w:val="005965CE"/>
    <w:rsid w:val="00597BBC"/>
    <w:rsid w:val="00597C8C"/>
    <w:rsid w:val="005A020C"/>
    <w:rsid w:val="005A02FF"/>
    <w:rsid w:val="005A1804"/>
    <w:rsid w:val="005A1898"/>
    <w:rsid w:val="005A18FB"/>
    <w:rsid w:val="005A2182"/>
    <w:rsid w:val="005A2363"/>
    <w:rsid w:val="005A2C21"/>
    <w:rsid w:val="005A3975"/>
    <w:rsid w:val="005A437B"/>
    <w:rsid w:val="005A43B1"/>
    <w:rsid w:val="005A5E6A"/>
    <w:rsid w:val="005A6305"/>
    <w:rsid w:val="005A682B"/>
    <w:rsid w:val="005A760D"/>
    <w:rsid w:val="005A7713"/>
    <w:rsid w:val="005A7CA9"/>
    <w:rsid w:val="005B003B"/>
    <w:rsid w:val="005B02DE"/>
    <w:rsid w:val="005B0463"/>
    <w:rsid w:val="005B04C9"/>
    <w:rsid w:val="005B0C8D"/>
    <w:rsid w:val="005B13A0"/>
    <w:rsid w:val="005B1D51"/>
    <w:rsid w:val="005B2FDC"/>
    <w:rsid w:val="005B321D"/>
    <w:rsid w:val="005B3AEF"/>
    <w:rsid w:val="005B3B7C"/>
    <w:rsid w:val="005B3F3E"/>
    <w:rsid w:val="005B44D1"/>
    <w:rsid w:val="005B4DEC"/>
    <w:rsid w:val="005B5390"/>
    <w:rsid w:val="005B54BB"/>
    <w:rsid w:val="005B57EC"/>
    <w:rsid w:val="005B591C"/>
    <w:rsid w:val="005B5D85"/>
    <w:rsid w:val="005B6BC0"/>
    <w:rsid w:val="005B76D3"/>
    <w:rsid w:val="005C0D30"/>
    <w:rsid w:val="005C14B0"/>
    <w:rsid w:val="005C1BC9"/>
    <w:rsid w:val="005C205F"/>
    <w:rsid w:val="005C22EE"/>
    <w:rsid w:val="005C238A"/>
    <w:rsid w:val="005C287F"/>
    <w:rsid w:val="005C29CD"/>
    <w:rsid w:val="005C2A1D"/>
    <w:rsid w:val="005C4D4B"/>
    <w:rsid w:val="005C4F22"/>
    <w:rsid w:val="005C5136"/>
    <w:rsid w:val="005C517E"/>
    <w:rsid w:val="005C58A0"/>
    <w:rsid w:val="005C6B6E"/>
    <w:rsid w:val="005C6CF7"/>
    <w:rsid w:val="005C6DEB"/>
    <w:rsid w:val="005C6EE6"/>
    <w:rsid w:val="005C7542"/>
    <w:rsid w:val="005C7A65"/>
    <w:rsid w:val="005C7A91"/>
    <w:rsid w:val="005C7BB4"/>
    <w:rsid w:val="005D0B5D"/>
    <w:rsid w:val="005D0E97"/>
    <w:rsid w:val="005D129B"/>
    <w:rsid w:val="005D2D2B"/>
    <w:rsid w:val="005D2F62"/>
    <w:rsid w:val="005D3034"/>
    <w:rsid w:val="005D3318"/>
    <w:rsid w:val="005D35A0"/>
    <w:rsid w:val="005D3C49"/>
    <w:rsid w:val="005D3DD9"/>
    <w:rsid w:val="005D3E00"/>
    <w:rsid w:val="005D3F2D"/>
    <w:rsid w:val="005D40D9"/>
    <w:rsid w:val="005D451F"/>
    <w:rsid w:val="005D46B2"/>
    <w:rsid w:val="005D479B"/>
    <w:rsid w:val="005D4C3D"/>
    <w:rsid w:val="005D4E3E"/>
    <w:rsid w:val="005D5914"/>
    <w:rsid w:val="005D6BD8"/>
    <w:rsid w:val="005D6E51"/>
    <w:rsid w:val="005D75EE"/>
    <w:rsid w:val="005D7B1F"/>
    <w:rsid w:val="005E0301"/>
    <w:rsid w:val="005E03B8"/>
    <w:rsid w:val="005E0917"/>
    <w:rsid w:val="005E1B10"/>
    <w:rsid w:val="005E3471"/>
    <w:rsid w:val="005E4BEC"/>
    <w:rsid w:val="005E5070"/>
    <w:rsid w:val="005E53C2"/>
    <w:rsid w:val="005E59EB"/>
    <w:rsid w:val="005E6071"/>
    <w:rsid w:val="005E61A3"/>
    <w:rsid w:val="005E7377"/>
    <w:rsid w:val="005E7DF2"/>
    <w:rsid w:val="005E7FAD"/>
    <w:rsid w:val="005F05ED"/>
    <w:rsid w:val="005F1095"/>
    <w:rsid w:val="005F12F9"/>
    <w:rsid w:val="005F13E9"/>
    <w:rsid w:val="005F1957"/>
    <w:rsid w:val="005F1E8A"/>
    <w:rsid w:val="005F1EB8"/>
    <w:rsid w:val="005F3409"/>
    <w:rsid w:val="005F3BBE"/>
    <w:rsid w:val="005F4C2A"/>
    <w:rsid w:val="005F5A0A"/>
    <w:rsid w:val="005F5B6B"/>
    <w:rsid w:val="005F5DF8"/>
    <w:rsid w:val="005F604A"/>
    <w:rsid w:val="005F62AB"/>
    <w:rsid w:val="005F6354"/>
    <w:rsid w:val="005F6603"/>
    <w:rsid w:val="005F6FDF"/>
    <w:rsid w:val="005F7C9F"/>
    <w:rsid w:val="0060043C"/>
    <w:rsid w:val="00600733"/>
    <w:rsid w:val="00601450"/>
    <w:rsid w:val="006014C4"/>
    <w:rsid w:val="006015FF"/>
    <w:rsid w:val="0060179C"/>
    <w:rsid w:val="006022CB"/>
    <w:rsid w:val="00602764"/>
    <w:rsid w:val="00602D70"/>
    <w:rsid w:val="00602FA5"/>
    <w:rsid w:val="0060500C"/>
    <w:rsid w:val="0060540A"/>
    <w:rsid w:val="00605A9A"/>
    <w:rsid w:val="00605F23"/>
    <w:rsid w:val="00606735"/>
    <w:rsid w:val="0060673F"/>
    <w:rsid w:val="00606885"/>
    <w:rsid w:val="0060721A"/>
    <w:rsid w:val="0060723F"/>
    <w:rsid w:val="00607523"/>
    <w:rsid w:val="0060761A"/>
    <w:rsid w:val="006108B8"/>
    <w:rsid w:val="00610920"/>
    <w:rsid w:val="00610AC0"/>
    <w:rsid w:val="00610B56"/>
    <w:rsid w:val="00611073"/>
    <w:rsid w:val="006111E1"/>
    <w:rsid w:val="0061222C"/>
    <w:rsid w:val="0061248F"/>
    <w:rsid w:val="00612780"/>
    <w:rsid w:val="006127C5"/>
    <w:rsid w:val="006128D7"/>
    <w:rsid w:val="00613293"/>
    <w:rsid w:val="00613578"/>
    <w:rsid w:val="0061382B"/>
    <w:rsid w:val="00614509"/>
    <w:rsid w:val="0061482E"/>
    <w:rsid w:val="00615252"/>
    <w:rsid w:val="0061552A"/>
    <w:rsid w:val="00615741"/>
    <w:rsid w:val="00615E21"/>
    <w:rsid w:val="00616264"/>
    <w:rsid w:val="00616561"/>
    <w:rsid w:val="00616690"/>
    <w:rsid w:val="00616E90"/>
    <w:rsid w:val="00617517"/>
    <w:rsid w:val="0061766A"/>
    <w:rsid w:val="00620AB3"/>
    <w:rsid w:val="00620D4E"/>
    <w:rsid w:val="00621F97"/>
    <w:rsid w:val="00622B37"/>
    <w:rsid w:val="00622B8C"/>
    <w:rsid w:val="00622DF8"/>
    <w:rsid w:val="00623144"/>
    <w:rsid w:val="0062362F"/>
    <w:rsid w:val="00623BD2"/>
    <w:rsid w:val="00623EAD"/>
    <w:rsid w:val="00624117"/>
    <w:rsid w:val="00624624"/>
    <w:rsid w:val="00624CCA"/>
    <w:rsid w:val="0062558D"/>
    <w:rsid w:val="006259C7"/>
    <w:rsid w:val="006267B9"/>
    <w:rsid w:val="006269F7"/>
    <w:rsid w:val="00626A88"/>
    <w:rsid w:val="00626D22"/>
    <w:rsid w:val="00627143"/>
    <w:rsid w:val="00627381"/>
    <w:rsid w:val="0062765D"/>
    <w:rsid w:val="006302FD"/>
    <w:rsid w:val="00630711"/>
    <w:rsid w:val="00630BE8"/>
    <w:rsid w:val="00630F9D"/>
    <w:rsid w:val="00631405"/>
    <w:rsid w:val="00631573"/>
    <w:rsid w:val="006317A9"/>
    <w:rsid w:val="0063337F"/>
    <w:rsid w:val="00633D3C"/>
    <w:rsid w:val="00633DEB"/>
    <w:rsid w:val="0063493E"/>
    <w:rsid w:val="00634953"/>
    <w:rsid w:val="00634EC4"/>
    <w:rsid w:val="00635440"/>
    <w:rsid w:val="00635A96"/>
    <w:rsid w:val="00635EB1"/>
    <w:rsid w:val="006364E5"/>
    <w:rsid w:val="00636E68"/>
    <w:rsid w:val="006373B2"/>
    <w:rsid w:val="0063773C"/>
    <w:rsid w:val="00640475"/>
    <w:rsid w:val="006418A0"/>
    <w:rsid w:val="00643011"/>
    <w:rsid w:val="00643362"/>
    <w:rsid w:val="00643457"/>
    <w:rsid w:val="00643993"/>
    <w:rsid w:val="00643B18"/>
    <w:rsid w:val="0064497A"/>
    <w:rsid w:val="006452A4"/>
    <w:rsid w:val="00645573"/>
    <w:rsid w:val="006455B0"/>
    <w:rsid w:val="00645A54"/>
    <w:rsid w:val="00645BFA"/>
    <w:rsid w:val="00645C35"/>
    <w:rsid w:val="00646287"/>
    <w:rsid w:val="0064686A"/>
    <w:rsid w:val="00646D1B"/>
    <w:rsid w:val="006477B8"/>
    <w:rsid w:val="006479E0"/>
    <w:rsid w:val="00647F00"/>
    <w:rsid w:val="00647F9C"/>
    <w:rsid w:val="00650529"/>
    <w:rsid w:val="00650B6C"/>
    <w:rsid w:val="00650D5A"/>
    <w:rsid w:val="00650DB8"/>
    <w:rsid w:val="00651C18"/>
    <w:rsid w:val="00652460"/>
    <w:rsid w:val="00652DF7"/>
    <w:rsid w:val="00652F11"/>
    <w:rsid w:val="00652FA2"/>
    <w:rsid w:val="0065346A"/>
    <w:rsid w:val="00654A02"/>
    <w:rsid w:val="00655B6E"/>
    <w:rsid w:val="00655CEE"/>
    <w:rsid w:val="00655F94"/>
    <w:rsid w:val="0065647F"/>
    <w:rsid w:val="006566BD"/>
    <w:rsid w:val="00656B63"/>
    <w:rsid w:val="00656BF0"/>
    <w:rsid w:val="00661595"/>
    <w:rsid w:val="0066173C"/>
    <w:rsid w:val="0066186C"/>
    <w:rsid w:val="00662545"/>
    <w:rsid w:val="00662E37"/>
    <w:rsid w:val="006632F8"/>
    <w:rsid w:val="00664361"/>
    <w:rsid w:val="006646B6"/>
    <w:rsid w:val="00664874"/>
    <w:rsid w:val="00664924"/>
    <w:rsid w:val="00665674"/>
    <w:rsid w:val="006657C2"/>
    <w:rsid w:val="006660B9"/>
    <w:rsid w:val="00666996"/>
    <w:rsid w:val="006669DD"/>
    <w:rsid w:val="006673B5"/>
    <w:rsid w:val="00670758"/>
    <w:rsid w:val="00670DDB"/>
    <w:rsid w:val="006710C9"/>
    <w:rsid w:val="00672D2A"/>
    <w:rsid w:val="00673210"/>
    <w:rsid w:val="00674597"/>
    <w:rsid w:val="0067468E"/>
    <w:rsid w:val="006746DB"/>
    <w:rsid w:val="00674BF5"/>
    <w:rsid w:val="00674FCA"/>
    <w:rsid w:val="00674FCF"/>
    <w:rsid w:val="006750B8"/>
    <w:rsid w:val="00676B1C"/>
    <w:rsid w:val="00676B42"/>
    <w:rsid w:val="00676B98"/>
    <w:rsid w:val="006771CE"/>
    <w:rsid w:val="006778A2"/>
    <w:rsid w:val="00677A91"/>
    <w:rsid w:val="00680478"/>
    <w:rsid w:val="0068084D"/>
    <w:rsid w:val="00680EB1"/>
    <w:rsid w:val="00681382"/>
    <w:rsid w:val="00681AF4"/>
    <w:rsid w:val="00681C30"/>
    <w:rsid w:val="00685182"/>
    <w:rsid w:val="006855AB"/>
    <w:rsid w:val="0068594D"/>
    <w:rsid w:val="006907E9"/>
    <w:rsid w:val="00690B40"/>
    <w:rsid w:val="00690D01"/>
    <w:rsid w:val="006916DC"/>
    <w:rsid w:val="00691F49"/>
    <w:rsid w:val="00691F9C"/>
    <w:rsid w:val="00692A55"/>
    <w:rsid w:val="00692B10"/>
    <w:rsid w:val="00692BF2"/>
    <w:rsid w:val="0069572F"/>
    <w:rsid w:val="00695A63"/>
    <w:rsid w:val="00695AE9"/>
    <w:rsid w:val="00696434"/>
    <w:rsid w:val="006966FF"/>
    <w:rsid w:val="00696D33"/>
    <w:rsid w:val="00696F12"/>
    <w:rsid w:val="006972E8"/>
    <w:rsid w:val="00697F87"/>
    <w:rsid w:val="006A01F5"/>
    <w:rsid w:val="006A06CB"/>
    <w:rsid w:val="006A14F6"/>
    <w:rsid w:val="006A1610"/>
    <w:rsid w:val="006A1C30"/>
    <w:rsid w:val="006A20A0"/>
    <w:rsid w:val="006A3201"/>
    <w:rsid w:val="006A3A82"/>
    <w:rsid w:val="006A4B1B"/>
    <w:rsid w:val="006A6049"/>
    <w:rsid w:val="006A66C9"/>
    <w:rsid w:val="006A6822"/>
    <w:rsid w:val="006A6CCF"/>
    <w:rsid w:val="006A7AEE"/>
    <w:rsid w:val="006A7EC8"/>
    <w:rsid w:val="006B03FE"/>
    <w:rsid w:val="006B08A5"/>
    <w:rsid w:val="006B0EEE"/>
    <w:rsid w:val="006B19A0"/>
    <w:rsid w:val="006B1A77"/>
    <w:rsid w:val="006B2333"/>
    <w:rsid w:val="006B2A31"/>
    <w:rsid w:val="006B2C9D"/>
    <w:rsid w:val="006B2F88"/>
    <w:rsid w:val="006B36C2"/>
    <w:rsid w:val="006B3866"/>
    <w:rsid w:val="006B3BAE"/>
    <w:rsid w:val="006B4156"/>
    <w:rsid w:val="006B42A7"/>
    <w:rsid w:val="006B4564"/>
    <w:rsid w:val="006B4AC8"/>
    <w:rsid w:val="006B4D16"/>
    <w:rsid w:val="006B4E35"/>
    <w:rsid w:val="006B5308"/>
    <w:rsid w:val="006B55D6"/>
    <w:rsid w:val="006B5A2B"/>
    <w:rsid w:val="006B5BA8"/>
    <w:rsid w:val="006B5D78"/>
    <w:rsid w:val="006B71D2"/>
    <w:rsid w:val="006B7228"/>
    <w:rsid w:val="006B72F3"/>
    <w:rsid w:val="006B7FA8"/>
    <w:rsid w:val="006C0691"/>
    <w:rsid w:val="006C0915"/>
    <w:rsid w:val="006C0EF3"/>
    <w:rsid w:val="006C11BB"/>
    <w:rsid w:val="006C163A"/>
    <w:rsid w:val="006C1FB5"/>
    <w:rsid w:val="006C2B49"/>
    <w:rsid w:val="006C2F15"/>
    <w:rsid w:val="006C2F61"/>
    <w:rsid w:val="006C35BA"/>
    <w:rsid w:val="006C3FF9"/>
    <w:rsid w:val="006C4136"/>
    <w:rsid w:val="006C4174"/>
    <w:rsid w:val="006C45C6"/>
    <w:rsid w:val="006C4A8F"/>
    <w:rsid w:val="006C4D76"/>
    <w:rsid w:val="006C4DE8"/>
    <w:rsid w:val="006C52E6"/>
    <w:rsid w:val="006C5419"/>
    <w:rsid w:val="006C5A08"/>
    <w:rsid w:val="006C5A49"/>
    <w:rsid w:val="006C628F"/>
    <w:rsid w:val="006C65B3"/>
    <w:rsid w:val="006C66DB"/>
    <w:rsid w:val="006C6C01"/>
    <w:rsid w:val="006C6D3F"/>
    <w:rsid w:val="006C6E5D"/>
    <w:rsid w:val="006C6EE0"/>
    <w:rsid w:val="006C7201"/>
    <w:rsid w:val="006D035C"/>
    <w:rsid w:val="006D1B6A"/>
    <w:rsid w:val="006D1DDA"/>
    <w:rsid w:val="006D2499"/>
    <w:rsid w:val="006D35FC"/>
    <w:rsid w:val="006D3840"/>
    <w:rsid w:val="006D3B1A"/>
    <w:rsid w:val="006D4906"/>
    <w:rsid w:val="006D49F3"/>
    <w:rsid w:val="006D5981"/>
    <w:rsid w:val="006D665A"/>
    <w:rsid w:val="006D6AE0"/>
    <w:rsid w:val="006D71F3"/>
    <w:rsid w:val="006D7512"/>
    <w:rsid w:val="006E01DA"/>
    <w:rsid w:val="006E0809"/>
    <w:rsid w:val="006E0E76"/>
    <w:rsid w:val="006E0FC4"/>
    <w:rsid w:val="006E192D"/>
    <w:rsid w:val="006E1A84"/>
    <w:rsid w:val="006E3247"/>
    <w:rsid w:val="006E3440"/>
    <w:rsid w:val="006E347B"/>
    <w:rsid w:val="006E49F0"/>
    <w:rsid w:val="006E52E7"/>
    <w:rsid w:val="006E5764"/>
    <w:rsid w:val="006E5D07"/>
    <w:rsid w:val="006E63FF"/>
    <w:rsid w:val="006E6778"/>
    <w:rsid w:val="006E6AEF"/>
    <w:rsid w:val="006E71BB"/>
    <w:rsid w:val="006F05B2"/>
    <w:rsid w:val="006F0968"/>
    <w:rsid w:val="006F20A4"/>
    <w:rsid w:val="006F2637"/>
    <w:rsid w:val="006F2989"/>
    <w:rsid w:val="006F333E"/>
    <w:rsid w:val="006F3626"/>
    <w:rsid w:val="006F3CAC"/>
    <w:rsid w:val="006F503D"/>
    <w:rsid w:val="006F53D7"/>
    <w:rsid w:val="006F57E9"/>
    <w:rsid w:val="006F7C5C"/>
    <w:rsid w:val="00700DE8"/>
    <w:rsid w:val="00700DFD"/>
    <w:rsid w:val="00701E4F"/>
    <w:rsid w:val="0070368E"/>
    <w:rsid w:val="007038D5"/>
    <w:rsid w:val="00703905"/>
    <w:rsid w:val="00703C87"/>
    <w:rsid w:val="007047A5"/>
    <w:rsid w:val="00705025"/>
    <w:rsid w:val="007062FD"/>
    <w:rsid w:val="007063EE"/>
    <w:rsid w:val="007065FE"/>
    <w:rsid w:val="00706701"/>
    <w:rsid w:val="00706D25"/>
    <w:rsid w:val="0070736D"/>
    <w:rsid w:val="0070781A"/>
    <w:rsid w:val="007079CE"/>
    <w:rsid w:val="007106FB"/>
    <w:rsid w:val="007111B3"/>
    <w:rsid w:val="007118A0"/>
    <w:rsid w:val="00711BCF"/>
    <w:rsid w:val="00711F3A"/>
    <w:rsid w:val="007121C9"/>
    <w:rsid w:val="00712B6C"/>
    <w:rsid w:val="00712C8C"/>
    <w:rsid w:val="00712DE1"/>
    <w:rsid w:val="00712F56"/>
    <w:rsid w:val="00713011"/>
    <w:rsid w:val="0071322C"/>
    <w:rsid w:val="0071377A"/>
    <w:rsid w:val="00713E91"/>
    <w:rsid w:val="00714E47"/>
    <w:rsid w:val="007153EF"/>
    <w:rsid w:val="007158B2"/>
    <w:rsid w:val="00717068"/>
    <w:rsid w:val="007172B2"/>
    <w:rsid w:val="00720ADC"/>
    <w:rsid w:val="00721A22"/>
    <w:rsid w:val="00721CEA"/>
    <w:rsid w:val="0072265E"/>
    <w:rsid w:val="00722A10"/>
    <w:rsid w:val="007233B1"/>
    <w:rsid w:val="00723A50"/>
    <w:rsid w:val="00724108"/>
    <w:rsid w:val="007241D3"/>
    <w:rsid w:val="007247ED"/>
    <w:rsid w:val="007248BD"/>
    <w:rsid w:val="007260DA"/>
    <w:rsid w:val="00727159"/>
    <w:rsid w:val="00727756"/>
    <w:rsid w:val="00730040"/>
    <w:rsid w:val="007322FC"/>
    <w:rsid w:val="0073242B"/>
    <w:rsid w:val="00732D6D"/>
    <w:rsid w:val="00733B77"/>
    <w:rsid w:val="007345D3"/>
    <w:rsid w:val="0073473E"/>
    <w:rsid w:val="00734839"/>
    <w:rsid w:val="0073527C"/>
    <w:rsid w:val="0073581C"/>
    <w:rsid w:val="00735F76"/>
    <w:rsid w:val="007363FA"/>
    <w:rsid w:val="00736AD5"/>
    <w:rsid w:val="00736D27"/>
    <w:rsid w:val="00736F34"/>
    <w:rsid w:val="00737825"/>
    <w:rsid w:val="00737CC7"/>
    <w:rsid w:val="00741BA6"/>
    <w:rsid w:val="007420C6"/>
    <w:rsid w:val="007421F4"/>
    <w:rsid w:val="007434D0"/>
    <w:rsid w:val="0074443D"/>
    <w:rsid w:val="007445C4"/>
    <w:rsid w:val="00744A59"/>
    <w:rsid w:val="00745142"/>
    <w:rsid w:val="0074520F"/>
    <w:rsid w:val="00745369"/>
    <w:rsid w:val="007463E2"/>
    <w:rsid w:val="007466A4"/>
    <w:rsid w:val="00747258"/>
    <w:rsid w:val="00747FFA"/>
    <w:rsid w:val="007503D4"/>
    <w:rsid w:val="0075112B"/>
    <w:rsid w:val="00751FBE"/>
    <w:rsid w:val="007528E5"/>
    <w:rsid w:val="00752B94"/>
    <w:rsid w:val="0075303E"/>
    <w:rsid w:val="0075306B"/>
    <w:rsid w:val="0075397B"/>
    <w:rsid w:val="00754ADC"/>
    <w:rsid w:val="0075517F"/>
    <w:rsid w:val="007574C3"/>
    <w:rsid w:val="00757765"/>
    <w:rsid w:val="00757C6D"/>
    <w:rsid w:val="00757C76"/>
    <w:rsid w:val="00760166"/>
    <w:rsid w:val="007608E4"/>
    <w:rsid w:val="00760D4A"/>
    <w:rsid w:val="007615A8"/>
    <w:rsid w:val="00761856"/>
    <w:rsid w:val="00761891"/>
    <w:rsid w:val="00762178"/>
    <w:rsid w:val="0076257F"/>
    <w:rsid w:val="00763680"/>
    <w:rsid w:val="00763A4B"/>
    <w:rsid w:val="00763B4B"/>
    <w:rsid w:val="0076476D"/>
    <w:rsid w:val="00764BC5"/>
    <w:rsid w:val="00764E61"/>
    <w:rsid w:val="00765008"/>
    <w:rsid w:val="00766BA5"/>
    <w:rsid w:val="0076760A"/>
    <w:rsid w:val="007676ED"/>
    <w:rsid w:val="007679BF"/>
    <w:rsid w:val="00770830"/>
    <w:rsid w:val="0077085A"/>
    <w:rsid w:val="00770C81"/>
    <w:rsid w:val="00770D40"/>
    <w:rsid w:val="00770EAF"/>
    <w:rsid w:val="00770F0C"/>
    <w:rsid w:val="00771068"/>
    <w:rsid w:val="007711E7"/>
    <w:rsid w:val="007715D6"/>
    <w:rsid w:val="00771841"/>
    <w:rsid w:val="00771BC8"/>
    <w:rsid w:val="00771E97"/>
    <w:rsid w:val="0077276E"/>
    <w:rsid w:val="007745EB"/>
    <w:rsid w:val="007749CC"/>
    <w:rsid w:val="00775210"/>
    <w:rsid w:val="0077559A"/>
    <w:rsid w:val="0078015D"/>
    <w:rsid w:val="00780DE5"/>
    <w:rsid w:val="00781160"/>
    <w:rsid w:val="00781E90"/>
    <w:rsid w:val="00782176"/>
    <w:rsid w:val="007827A3"/>
    <w:rsid w:val="007827A8"/>
    <w:rsid w:val="00782DD2"/>
    <w:rsid w:val="00783881"/>
    <w:rsid w:val="00783CDF"/>
    <w:rsid w:val="00783DA7"/>
    <w:rsid w:val="0078416A"/>
    <w:rsid w:val="007843C7"/>
    <w:rsid w:val="00784477"/>
    <w:rsid w:val="00784A19"/>
    <w:rsid w:val="00784C9E"/>
    <w:rsid w:val="0078506A"/>
    <w:rsid w:val="00785E60"/>
    <w:rsid w:val="00785F3E"/>
    <w:rsid w:val="007861CA"/>
    <w:rsid w:val="0078641D"/>
    <w:rsid w:val="007864CA"/>
    <w:rsid w:val="00787028"/>
    <w:rsid w:val="00787733"/>
    <w:rsid w:val="00787CDE"/>
    <w:rsid w:val="00790738"/>
    <w:rsid w:val="007907BA"/>
    <w:rsid w:val="00791D1F"/>
    <w:rsid w:val="00791DA9"/>
    <w:rsid w:val="00792655"/>
    <w:rsid w:val="0079311D"/>
    <w:rsid w:val="00793EAF"/>
    <w:rsid w:val="00794E8A"/>
    <w:rsid w:val="00795E09"/>
    <w:rsid w:val="00795EC6"/>
    <w:rsid w:val="007968EE"/>
    <w:rsid w:val="007969A4"/>
    <w:rsid w:val="00796EBB"/>
    <w:rsid w:val="00797715"/>
    <w:rsid w:val="00797C89"/>
    <w:rsid w:val="007A00D6"/>
    <w:rsid w:val="007A0CE8"/>
    <w:rsid w:val="007A0F9C"/>
    <w:rsid w:val="007A1067"/>
    <w:rsid w:val="007A1969"/>
    <w:rsid w:val="007A1D61"/>
    <w:rsid w:val="007A1E2E"/>
    <w:rsid w:val="007A212A"/>
    <w:rsid w:val="007A3184"/>
    <w:rsid w:val="007A37BB"/>
    <w:rsid w:val="007A39B8"/>
    <w:rsid w:val="007A3CC9"/>
    <w:rsid w:val="007A40CB"/>
    <w:rsid w:val="007A49AC"/>
    <w:rsid w:val="007A4CFD"/>
    <w:rsid w:val="007A59A1"/>
    <w:rsid w:val="007B0068"/>
    <w:rsid w:val="007B025E"/>
    <w:rsid w:val="007B0721"/>
    <w:rsid w:val="007B094B"/>
    <w:rsid w:val="007B0AC3"/>
    <w:rsid w:val="007B16A3"/>
    <w:rsid w:val="007B1928"/>
    <w:rsid w:val="007B2006"/>
    <w:rsid w:val="007B23C6"/>
    <w:rsid w:val="007B2F85"/>
    <w:rsid w:val="007B4067"/>
    <w:rsid w:val="007B42A2"/>
    <w:rsid w:val="007B45DE"/>
    <w:rsid w:val="007B4F0B"/>
    <w:rsid w:val="007B4FD3"/>
    <w:rsid w:val="007B54D6"/>
    <w:rsid w:val="007B5523"/>
    <w:rsid w:val="007B5D54"/>
    <w:rsid w:val="007B7467"/>
    <w:rsid w:val="007C099C"/>
    <w:rsid w:val="007C2334"/>
    <w:rsid w:val="007C2F65"/>
    <w:rsid w:val="007C3753"/>
    <w:rsid w:val="007C3B71"/>
    <w:rsid w:val="007C3C26"/>
    <w:rsid w:val="007C4917"/>
    <w:rsid w:val="007C4C33"/>
    <w:rsid w:val="007C5DF2"/>
    <w:rsid w:val="007C634D"/>
    <w:rsid w:val="007C64F7"/>
    <w:rsid w:val="007C6C4F"/>
    <w:rsid w:val="007C6E13"/>
    <w:rsid w:val="007C6E66"/>
    <w:rsid w:val="007C7012"/>
    <w:rsid w:val="007C795D"/>
    <w:rsid w:val="007C7C9C"/>
    <w:rsid w:val="007D0ABB"/>
    <w:rsid w:val="007D1696"/>
    <w:rsid w:val="007D183F"/>
    <w:rsid w:val="007D1F12"/>
    <w:rsid w:val="007D2AEF"/>
    <w:rsid w:val="007D2CE6"/>
    <w:rsid w:val="007D315D"/>
    <w:rsid w:val="007D3EA1"/>
    <w:rsid w:val="007D4712"/>
    <w:rsid w:val="007D4FF8"/>
    <w:rsid w:val="007D633B"/>
    <w:rsid w:val="007D63B3"/>
    <w:rsid w:val="007D6C2E"/>
    <w:rsid w:val="007D7D73"/>
    <w:rsid w:val="007E16E5"/>
    <w:rsid w:val="007E18B7"/>
    <w:rsid w:val="007E18BB"/>
    <w:rsid w:val="007E33D4"/>
    <w:rsid w:val="007E39E6"/>
    <w:rsid w:val="007E3DCF"/>
    <w:rsid w:val="007E475F"/>
    <w:rsid w:val="007E5285"/>
    <w:rsid w:val="007E561D"/>
    <w:rsid w:val="007E69E0"/>
    <w:rsid w:val="007E6F35"/>
    <w:rsid w:val="007E7340"/>
    <w:rsid w:val="007E78DF"/>
    <w:rsid w:val="007F0343"/>
    <w:rsid w:val="007F0442"/>
    <w:rsid w:val="007F0E3B"/>
    <w:rsid w:val="007F1856"/>
    <w:rsid w:val="007F1970"/>
    <w:rsid w:val="007F3089"/>
    <w:rsid w:val="007F360A"/>
    <w:rsid w:val="007F4243"/>
    <w:rsid w:val="007F501C"/>
    <w:rsid w:val="007F5121"/>
    <w:rsid w:val="007F5225"/>
    <w:rsid w:val="007F540E"/>
    <w:rsid w:val="007F5488"/>
    <w:rsid w:val="007F61D6"/>
    <w:rsid w:val="007F6D99"/>
    <w:rsid w:val="007F6E9E"/>
    <w:rsid w:val="007F7794"/>
    <w:rsid w:val="007F7831"/>
    <w:rsid w:val="007F7A60"/>
    <w:rsid w:val="00800080"/>
    <w:rsid w:val="008004DF"/>
    <w:rsid w:val="008015A0"/>
    <w:rsid w:val="0080161E"/>
    <w:rsid w:val="00802421"/>
    <w:rsid w:val="008024B2"/>
    <w:rsid w:val="00802958"/>
    <w:rsid w:val="0080381E"/>
    <w:rsid w:val="00803C30"/>
    <w:rsid w:val="00804478"/>
    <w:rsid w:val="008044E6"/>
    <w:rsid w:val="008049DD"/>
    <w:rsid w:val="00804D12"/>
    <w:rsid w:val="00804D43"/>
    <w:rsid w:val="00804E37"/>
    <w:rsid w:val="00805255"/>
    <w:rsid w:val="008054BD"/>
    <w:rsid w:val="0080570B"/>
    <w:rsid w:val="00805773"/>
    <w:rsid w:val="00810586"/>
    <w:rsid w:val="00810D73"/>
    <w:rsid w:val="00810F1E"/>
    <w:rsid w:val="00810F87"/>
    <w:rsid w:val="0081176B"/>
    <w:rsid w:val="008122CC"/>
    <w:rsid w:val="00812582"/>
    <w:rsid w:val="008125D7"/>
    <w:rsid w:val="008125DC"/>
    <w:rsid w:val="008126F5"/>
    <w:rsid w:val="008136B4"/>
    <w:rsid w:val="00813B8E"/>
    <w:rsid w:val="008145C0"/>
    <w:rsid w:val="008151A6"/>
    <w:rsid w:val="00815EE9"/>
    <w:rsid w:val="008164FC"/>
    <w:rsid w:val="00816707"/>
    <w:rsid w:val="00816B32"/>
    <w:rsid w:val="00816F2D"/>
    <w:rsid w:val="0082014C"/>
    <w:rsid w:val="00820BEF"/>
    <w:rsid w:val="00820E23"/>
    <w:rsid w:val="0082105B"/>
    <w:rsid w:val="008218A6"/>
    <w:rsid w:val="00821924"/>
    <w:rsid w:val="008221EB"/>
    <w:rsid w:val="0082247E"/>
    <w:rsid w:val="008226CF"/>
    <w:rsid w:val="00822727"/>
    <w:rsid w:val="008241B9"/>
    <w:rsid w:val="008245CD"/>
    <w:rsid w:val="008248E0"/>
    <w:rsid w:val="00825F19"/>
    <w:rsid w:val="00826E25"/>
    <w:rsid w:val="00827BBD"/>
    <w:rsid w:val="00827C10"/>
    <w:rsid w:val="00827C9A"/>
    <w:rsid w:val="008304E8"/>
    <w:rsid w:val="00830D71"/>
    <w:rsid w:val="00830F86"/>
    <w:rsid w:val="00831ABE"/>
    <w:rsid w:val="00831F76"/>
    <w:rsid w:val="0083278B"/>
    <w:rsid w:val="0083285E"/>
    <w:rsid w:val="00832AA1"/>
    <w:rsid w:val="008335D5"/>
    <w:rsid w:val="00833EC0"/>
    <w:rsid w:val="008343BD"/>
    <w:rsid w:val="0083444D"/>
    <w:rsid w:val="00834E93"/>
    <w:rsid w:val="00836845"/>
    <w:rsid w:val="008371A5"/>
    <w:rsid w:val="00837612"/>
    <w:rsid w:val="0084042B"/>
    <w:rsid w:val="00840A22"/>
    <w:rsid w:val="00841322"/>
    <w:rsid w:val="00841645"/>
    <w:rsid w:val="008420D9"/>
    <w:rsid w:val="008427C5"/>
    <w:rsid w:val="00842A5C"/>
    <w:rsid w:val="008437E1"/>
    <w:rsid w:val="0084420A"/>
    <w:rsid w:val="00844689"/>
    <w:rsid w:val="00844BF5"/>
    <w:rsid w:val="00845545"/>
    <w:rsid w:val="00845551"/>
    <w:rsid w:val="008469DF"/>
    <w:rsid w:val="00846DF1"/>
    <w:rsid w:val="0084728B"/>
    <w:rsid w:val="008503E1"/>
    <w:rsid w:val="00850412"/>
    <w:rsid w:val="00850C75"/>
    <w:rsid w:val="00851278"/>
    <w:rsid w:val="0085261B"/>
    <w:rsid w:val="00852CAD"/>
    <w:rsid w:val="00852CE3"/>
    <w:rsid w:val="00854146"/>
    <w:rsid w:val="0085432E"/>
    <w:rsid w:val="008549C7"/>
    <w:rsid w:val="00854E5A"/>
    <w:rsid w:val="0085520E"/>
    <w:rsid w:val="00855799"/>
    <w:rsid w:val="00855D5F"/>
    <w:rsid w:val="00855E9C"/>
    <w:rsid w:val="00855EAC"/>
    <w:rsid w:val="00855EF0"/>
    <w:rsid w:val="008564FF"/>
    <w:rsid w:val="00856854"/>
    <w:rsid w:val="0085692D"/>
    <w:rsid w:val="00856948"/>
    <w:rsid w:val="00856E42"/>
    <w:rsid w:val="00857386"/>
    <w:rsid w:val="008578F1"/>
    <w:rsid w:val="0086119A"/>
    <w:rsid w:val="00863003"/>
    <w:rsid w:val="00864235"/>
    <w:rsid w:val="0086427F"/>
    <w:rsid w:val="008644AC"/>
    <w:rsid w:val="00864AE7"/>
    <w:rsid w:val="00865AC9"/>
    <w:rsid w:val="0086634C"/>
    <w:rsid w:val="008663AF"/>
    <w:rsid w:val="00866C27"/>
    <w:rsid w:val="00867471"/>
    <w:rsid w:val="00867C62"/>
    <w:rsid w:val="00867EDC"/>
    <w:rsid w:val="00870531"/>
    <w:rsid w:val="00870D88"/>
    <w:rsid w:val="008716AE"/>
    <w:rsid w:val="00871877"/>
    <w:rsid w:val="00871CAF"/>
    <w:rsid w:val="008726CA"/>
    <w:rsid w:val="008737EA"/>
    <w:rsid w:val="00873855"/>
    <w:rsid w:val="00873BC6"/>
    <w:rsid w:val="0087411F"/>
    <w:rsid w:val="008744A5"/>
    <w:rsid w:val="008745D3"/>
    <w:rsid w:val="0087489F"/>
    <w:rsid w:val="00874F0C"/>
    <w:rsid w:val="00875044"/>
    <w:rsid w:val="00875C7F"/>
    <w:rsid w:val="00876475"/>
    <w:rsid w:val="00876876"/>
    <w:rsid w:val="00876D29"/>
    <w:rsid w:val="00880389"/>
    <w:rsid w:val="008803F1"/>
    <w:rsid w:val="00880E92"/>
    <w:rsid w:val="00881238"/>
    <w:rsid w:val="008815DE"/>
    <w:rsid w:val="0088172D"/>
    <w:rsid w:val="00881778"/>
    <w:rsid w:val="00882103"/>
    <w:rsid w:val="00882429"/>
    <w:rsid w:val="008824B3"/>
    <w:rsid w:val="00883142"/>
    <w:rsid w:val="00884384"/>
    <w:rsid w:val="00884B2C"/>
    <w:rsid w:val="00884FEB"/>
    <w:rsid w:val="00885185"/>
    <w:rsid w:val="00885309"/>
    <w:rsid w:val="0088587E"/>
    <w:rsid w:val="0088630E"/>
    <w:rsid w:val="00886C8D"/>
    <w:rsid w:val="00887637"/>
    <w:rsid w:val="00887929"/>
    <w:rsid w:val="00887A83"/>
    <w:rsid w:val="0089010B"/>
    <w:rsid w:val="008907AD"/>
    <w:rsid w:val="00891BDF"/>
    <w:rsid w:val="00892B2B"/>
    <w:rsid w:val="00892D29"/>
    <w:rsid w:val="00893133"/>
    <w:rsid w:val="008932B5"/>
    <w:rsid w:val="00894221"/>
    <w:rsid w:val="00894AF0"/>
    <w:rsid w:val="008957C5"/>
    <w:rsid w:val="008968A4"/>
    <w:rsid w:val="00896AD0"/>
    <w:rsid w:val="00897812"/>
    <w:rsid w:val="008A05EC"/>
    <w:rsid w:val="008A0983"/>
    <w:rsid w:val="008A1203"/>
    <w:rsid w:val="008A15A6"/>
    <w:rsid w:val="008A1A1E"/>
    <w:rsid w:val="008A1A3E"/>
    <w:rsid w:val="008A1C51"/>
    <w:rsid w:val="008A1E95"/>
    <w:rsid w:val="008A301C"/>
    <w:rsid w:val="008A3152"/>
    <w:rsid w:val="008A3D96"/>
    <w:rsid w:val="008A4007"/>
    <w:rsid w:val="008A49E8"/>
    <w:rsid w:val="008A509C"/>
    <w:rsid w:val="008A57FE"/>
    <w:rsid w:val="008A5DBC"/>
    <w:rsid w:val="008A61B3"/>
    <w:rsid w:val="008A654A"/>
    <w:rsid w:val="008A6EB7"/>
    <w:rsid w:val="008A7A5D"/>
    <w:rsid w:val="008B03CF"/>
    <w:rsid w:val="008B18D4"/>
    <w:rsid w:val="008B1A0F"/>
    <w:rsid w:val="008B1D49"/>
    <w:rsid w:val="008B2119"/>
    <w:rsid w:val="008B23C9"/>
    <w:rsid w:val="008B2F5E"/>
    <w:rsid w:val="008B37B1"/>
    <w:rsid w:val="008B3A5F"/>
    <w:rsid w:val="008B3CFF"/>
    <w:rsid w:val="008B3E8F"/>
    <w:rsid w:val="008B43B9"/>
    <w:rsid w:val="008B6066"/>
    <w:rsid w:val="008B695F"/>
    <w:rsid w:val="008B6B86"/>
    <w:rsid w:val="008B7267"/>
    <w:rsid w:val="008B73EE"/>
    <w:rsid w:val="008C017D"/>
    <w:rsid w:val="008C0601"/>
    <w:rsid w:val="008C06AC"/>
    <w:rsid w:val="008C09FE"/>
    <w:rsid w:val="008C122C"/>
    <w:rsid w:val="008C1630"/>
    <w:rsid w:val="008C2330"/>
    <w:rsid w:val="008C26F8"/>
    <w:rsid w:val="008C2DC4"/>
    <w:rsid w:val="008C407F"/>
    <w:rsid w:val="008C5233"/>
    <w:rsid w:val="008C5886"/>
    <w:rsid w:val="008C624D"/>
    <w:rsid w:val="008C66C7"/>
    <w:rsid w:val="008C6A9B"/>
    <w:rsid w:val="008C6E0B"/>
    <w:rsid w:val="008C732E"/>
    <w:rsid w:val="008D04DE"/>
    <w:rsid w:val="008D0D6A"/>
    <w:rsid w:val="008D1A82"/>
    <w:rsid w:val="008D1D6C"/>
    <w:rsid w:val="008D2210"/>
    <w:rsid w:val="008D230A"/>
    <w:rsid w:val="008D24A6"/>
    <w:rsid w:val="008D274F"/>
    <w:rsid w:val="008D2D92"/>
    <w:rsid w:val="008D30F0"/>
    <w:rsid w:val="008D39DC"/>
    <w:rsid w:val="008D3F1E"/>
    <w:rsid w:val="008D4535"/>
    <w:rsid w:val="008D53B8"/>
    <w:rsid w:val="008D545F"/>
    <w:rsid w:val="008D5CDE"/>
    <w:rsid w:val="008D6256"/>
    <w:rsid w:val="008D62E0"/>
    <w:rsid w:val="008D6581"/>
    <w:rsid w:val="008D6707"/>
    <w:rsid w:val="008D696E"/>
    <w:rsid w:val="008D6E21"/>
    <w:rsid w:val="008D7D83"/>
    <w:rsid w:val="008E0316"/>
    <w:rsid w:val="008E0688"/>
    <w:rsid w:val="008E0E86"/>
    <w:rsid w:val="008E0F08"/>
    <w:rsid w:val="008E10EF"/>
    <w:rsid w:val="008E20BD"/>
    <w:rsid w:val="008E234F"/>
    <w:rsid w:val="008E38E8"/>
    <w:rsid w:val="008E3C30"/>
    <w:rsid w:val="008E3CA9"/>
    <w:rsid w:val="008E3F40"/>
    <w:rsid w:val="008E47D2"/>
    <w:rsid w:val="008E5ADB"/>
    <w:rsid w:val="008F0657"/>
    <w:rsid w:val="008F0BB5"/>
    <w:rsid w:val="008F173B"/>
    <w:rsid w:val="008F1797"/>
    <w:rsid w:val="008F1D51"/>
    <w:rsid w:val="008F2C6B"/>
    <w:rsid w:val="008F2C9F"/>
    <w:rsid w:val="008F2D4E"/>
    <w:rsid w:val="008F3052"/>
    <w:rsid w:val="008F42E6"/>
    <w:rsid w:val="008F4E5E"/>
    <w:rsid w:val="008F50BD"/>
    <w:rsid w:val="008F50DF"/>
    <w:rsid w:val="008F5387"/>
    <w:rsid w:val="008F54B0"/>
    <w:rsid w:val="008F5BFE"/>
    <w:rsid w:val="008F6645"/>
    <w:rsid w:val="008F68C6"/>
    <w:rsid w:val="008F6A7A"/>
    <w:rsid w:val="008F6C88"/>
    <w:rsid w:val="008F7C56"/>
    <w:rsid w:val="009000FA"/>
    <w:rsid w:val="009002F9"/>
    <w:rsid w:val="0090036A"/>
    <w:rsid w:val="00900C1D"/>
    <w:rsid w:val="00901501"/>
    <w:rsid w:val="009016B6"/>
    <w:rsid w:val="009018B3"/>
    <w:rsid w:val="00902EFC"/>
    <w:rsid w:val="00905EA9"/>
    <w:rsid w:val="009068C9"/>
    <w:rsid w:val="00907115"/>
    <w:rsid w:val="00907513"/>
    <w:rsid w:val="00910210"/>
    <w:rsid w:val="009109C8"/>
    <w:rsid w:val="009118EE"/>
    <w:rsid w:val="00912709"/>
    <w:rsid w:val="00912DF5"/>
    <w:rsid w:val="00913104"/>
    <w:rsid w:val="00914623"/>
    <w:rsid w:val="00915A37"/>
    <w:rsid w:val="00916197"/>
    <w:rsid w:val="00917EC3"/>
    <w:rsid w:val="009200FE"/>
    <w:rsid w:val="00920491"/>
    <w:rsid w:val="00921700"/>
    <w:rsid w:val="00922464"/>
    <w:rsid w:val="00922B19"/>
    <w:rsid w:val="00922F04"/>
    <w:rsid w:val="0092368F"/>
    <w:rsid w:val="009239A1"/>
    <w:rsid w:val="0092451B"/>
    <w:rsid w:val="009247A0"/>
    <w:rsid w:val="00924EEF"/>
    <w:rsid w:val="00924FE7"/>
    <w:rsid w:val="009258A2"/>
    <w:rsid w:val="00926264"/>
    <w:rsid w:val="009265F9"/>
    <w:rsid w:val="009270FE"/>
    <w:rsid w:val="00927A7A"/>
    <w:rsid w:val="00927A8B"/>
    <w:rsid w:val="00927B49"/>
    <w:rsid w:val="00927C12"/>
    <w:rsid w:val="00927F02"/>
    <w:rsid w:val="0093055F"/>
    <w:rsid w:val="00930817"/>
    <w:rsid w:val="009308DB"/>
    <w:rsid w:val="00931528"/>
    <w:rsid w:val="009317AA"/>
    <w:rsid w:val="0093202C"/>
    <w:rsid w:val="00932E47"/>
    <w:rsid w:val="009339C1"/>
    <w:rsid w:val="00934057"/>
    <w:rsid w:val="00934426"/>
    <w:rsid w:val="009349EC"/>
    <w:rsid w:val="00934BDB"/>
    <w:rsid w:val="00934F04"/>
    <w:rsid w:val="00935E33"/>
    <w:rsid w:val="00936395"/>
    <w:rsid w:val="00936BB3"/>
    <w:rsid w:val="00936DD1"/>
    <w:rsid w:val="009371BA"/>
    <w:rsid w:val="00937A7D"/>
    <w:rsid w:val="00937C0D"/>
    <w:rsid w:val="00940BBF"/>
    <w:rsid w:val="00941255"/>
    <w:rsid w:val="0094162B"/>
    <w:rsid w:val="00941843"/>
    <w:rsid w:val="00942368"/>
    <w:rsid w:val="009433BC"/>
    <w:rsid w:val="0094380A"/>
    <w:rsid w:val="00944530"/>
    <w:rsid w:val="00944876"/>
    <w:rsid w:val="00944CBC"/>
    <w:rsid w:val="0094525D"/>
    <w:rsid w:val="0094552F"/>
    <w:rsid w:val="00945ED3"/>
    <w:rsid w:val="00947028"/>
    <w:rsid w:val="0094786E"/>
    <w:rsid w:val="00947A01"/>
    <w:rsid w:val="00950950"/>
    <w:rsid w:val="00950EE5"/>
    <w:rsid w:val="00951204"/>
    <w:rsid w:val="0095141B"/>
    <w:rsid w:val="009517CA"/>
    <w:rsid w:val="00952D33"/>
    <w:rsid w:val="0095353C"/>
    <w:rsid w:val="00953D93"/>
    <w:rsid w:val="00953DD0"/>
    <w:rsid w:val="00954485"/>
    <w:rsid w:val="009544BB"/>
    <w:rsid w:val="00954A0C"/>
    <w:rsid w:val="009552F3"/>
    <w:rsid w:val="00955AA6"/>
    <w:rsid w:val="00955BC2"/>
    <w:rsid w:val="00955C81"/>
    <w:rsid w:val="00955F25"/>
    <w:rsid w:val="00956D86"/>
    <w:rsid w:val="00957CEF"/>
    <w:rsid w:val="00957F48"/>
    <w:rsid w:val="00960B47"/>
    <w:rsid w:val="00962BBD"/>
    <w:rsid w:val="0096378F"/>
    <w:rsid w:val="00964E1D"/>
    <w:rsid w:val="00965272"/>
    <w:rsid w:val="00965D27"/>
    <w:rsid w:val="00966663"/>
    <w:rsid w:val="00966D62"/>
    <w:rsid w:val="0096746C"/>
    <w:rsid w:val="0096773B"/>
    <w:rsid w:val="00967868"/>
    <w:rsid w:val="00967FAE"/>
    <w:rsid w:val="009717DC"/>
    <w:rsid w:val="0097195F"/>
    <w:rsid w:val="00971A2C"/>
    <w:rsid w:val="009720F9"/>
    <w:rsid w:val="009721E6"/>
    <w:rsid w:val="009728B6"/>
    <w:rsid w:val="00972A1C"/>
    <w:rsid w:val="00973707"/>
    <w:rsid w:val="009737BB"/>
    <w:rsid w:val="00973973"/>
    <w:rsid w:val="00973B8E"/>
    <w:rsid w:val="00974150"/>
    <w:rsid w:val="009742FC"/>
    <w:rsid w:val="00974B2F"/>
    <w:rsid w:val="00974E3F"/>
    <w:rsid w:val="00974F0C"/>
    <w:rsid w:val="00975344"/>
    <w:rsid w:val="00975CA2"/>
    <w:rsid w:val="00975F7F"/>
    <w:rsid w:val="00976222"/>
    <w:rsid w:val="009769DE"/>
    <w:rsid w:val="00976BA2"/>
    <w:rsid w:val="00977321"/>
    <w:rsid w:val="00980330"/>
    <w:rsid w:val="009807C6"/>
    <w:rsid w:val="00980B7B"/>
    <w:rsid w:val="00980C25"/>
    <w:rsid w:val="00980D92"/>
    <w:rsid w:val="009812DE"/>
    <w:rsid w:val="00981540"/>
    <w:rsid w:val="0098182F"/>
    <w:rsid w:val="0098245F"/>
    <w:rsid w:val="00983168"/>
    <w:rsid w:val="00984376"/>
    <w:rsid w:val="00984A5C"/>
    <w:rsid w:val="00984C90"/>
    <w:rsid w:val="00985397"/>
    <w:rsid w:val="00985B99"/>
    <w:rsid w:val="0098605E"/>
    <w:rsid w:val="00986D41"/>
    <w:rsid w:val="00986FA9"/>
    <w:rsid w:val="0098757C"/>
    <w:rsid w:val="0098778D"/>
    <w:rsid w:val="00987BED"/>
    <w:rsid w:val="00990A2F"/>
    <w:rsid w:val="00991B6C"/>
    <w:rsid w:val="00991C37"/>
    <w:rsid w:val="00991D59"/>
    <w:rsid w:val="009921F0"/>
    <w:rsid w:val="00992254"/>
    <w:rsid w:val="0099270E"/>
    <w:rsid w:val="00993945"/>
    <w:rsid w:val="00993B8B"/>
    <w:rsid w:val="00995A7F"/>
    <w:rsid w:val="00995B12"/>
    <w:rsid w:val="00995F08"/>
    <w:rsid w:val="0099694B"/>
    <w:rsid w:val="00996F5E"/>
    <w:rsid w:val="009A0C4E"/>
    <w:rsid w:val="009A1317"/>
    <w:rsid w:val="009A1662"/>
    <w:rsid w:val="009A1A9B"/>
    <w:rsid w:val="009A2864"/>
    <w:rsid w:val="009A2E43"/>
    <w:rsid w:val="009A3042"/>
    <w:rsid w:val="009A3568"/>
    <w:rsid w:val="009A383C"/>
    <w:rsid w:val="009A3874"/>
    <w:rsid w:val="009A4094"/>
    <w:rsid w:val="009A4399"/>
    <w:rsid w:val="009A455A"/>
    <w:rsid w:val="009A47E2"/>
    <w:rsid w:val="009A4B3E"/>
    <w:rsid w:val="009A5B8F"/>
    <w:rsid w:val="009A6265"/>
    <w:rsid w:val="009A6E08"/>
    <w:rsid w:val="009A7A38"/>
    <w:rsid w:val="009B09F5"/>
    <w:rsid w:val="009B0E38"/>
    <w:rsid w:val="009B169B"/>
    <w:rsid w:val="009B25C7"/>
    <w:rsid w:val="009B32A4"/>
    <w:rsid w:val="009B355E"/>
    <w:rsid w:val="009B4D6A"/>
    <w:rsid w:val="009B511B"/>
    <w:rsid w:val="009B526D"/>
    <w:rsid w:val="009B591B"/>
    <w:rsid w:val="009B5985"/>
    <w:rsid w:val="009B627A"/>
    <w:rsid w:val="009B688D"/>
    <w:rsid w:val="009B6CE4"/>
    <w:rsid w:val="009B79D8"/>
    <w:rsid w:val="009C001E"/>
    <w:rsid w:val="009C083D"/>
    <w:rsid w:val="009C18D4"/>
    <w:rsid w:val="009C1D2C"/>
    <w:rsid w:val="009C2C58"/>
    <w:rsid w:val="009C3801"/>
    <w:rsid w:val="009C3D16"/>
    <w:rsid w:val="009C3DD6"/>
    <w:rsid w:val="009C4291"/>
    <w:rsid w:val="009C42EE"/>
    <w:rsid w:val="009C43C7"/>
    <w:rsid w:val="009C44E7"/>
    <w:rsid w:val="009C4702"/>
    <w:rsid w:val="009C5582"/>
    <w:rsid w:val="009C5B86"/>
    <w:rsid w:val="009C68BF"/>
    <w:rsid w:val="009C6BAF"/>
    <w:rsid w:val="009C7899"/>
    <w:rsid w:val="009C7D6A"/>
    <w:rsid w:val="009D054B"/>
    <w:rsid w:val="009D0E26"/>
    <w:rsid w:val="009D30AF"/>
    <w:rsid w:val="009D3244"/>
    <w:rsid w:val="009D35F8"/>
    <w:rsid w:val="009D433D"/>
    <w:rsid w:val="009D4652"/>
    <w:rsid w:val="009D50E7"/>
    <w:rsid w:val="009D54C4"/>
    <w:rsid w:val="009D5501"/>
    <w:rsid w:val="009D5D1A"/>
    <w:rsid w:val="009D6376"/>
    <w:rsid w:val="009D6499"/>
    <w:rsid w:val="009D6EDB"/>
    <w:rsid w:val="009D7A90"/>
    <w:rsid w:val="009D7CB6"/>
    <w:rsid w:val="009E0E82"/>
    <w:rsid w:val="009E283E"/>
    <w:rsid w:val="009E2BBD"/>
    <w:rsid w:val="009E34EB"/>
    <w:rsid w:val="009E3E9A"/>
    <w:rsid w:val="009E402A"/>
    <w:rsid w:val="009E42EE"/>
    <w:rsid w:val="009E4A27"/>
    <w:rsid w:val="009E4FA0"/>
    <w:rsid w:val="009E563E"/>
    <w:rsid w:val="009E5C39"/>
    <w:rsid w:val="009E5CC6"/>
    <w:rsid w:val="009E5DCC"/>
    <w:rsid w:val="009E655E"/>
    <w:rsid w:val="009E718A"/>
    <w:rsid w:val="009E7D0C"/>
    <w:rsid w:val="009E7D4D"/>
    <w:rsid w:val="009E7DDE"/>
    <w:rsid w:val="009F0653"/>
    <w:rsid w:val="009F07A4"/>
    <w:rsid w:val="009F09F5"/>
    <w:rsid w:val="009F1084"/>
    <w:rsid w:val="009F1550"/>
    <w:rsid w:val="009F19E9"/>
    <w:rsid w:val="009F1C9B"/>
    <w:rsid w:val="009F1F3F"/>
    <w:rsid w:val="009F2B54"/>
    <w:rsid w:val="009F362C"/>
    <w:rsid w:val="009F3AD0"/>
    <w:rsid w:val="009F3BF5"/>
    <w:rsid w:val="009F45B7"/>
    <w:rsid w:val="009F5262"/>
    <w:rsid w:val="009F552B"/>
    <w:rsid w:val="009F56A9"/>
    <w:rsid w:val="009F6C1E"/>
    <w:rsid w:val="009F78B4"/>
    <w:rsid w:val="009F7C08"/>
    <w:rsid w:val="009F7E97"/>
    <w:rsid w:val="009F7EB0"/>
    <w:rsid w:val="00A00A5D"/>
    <w:rsid w:val="00A01714"/>
    <w:rsid w:val="00A01C72"/>
    <w:rsid w:val="00A0239C"/>
    <w:rsid w:val="00A02850"/>
    <w:rsid w:val="00A03381"/>
    <w:rsid w:val="00A03C89"/>
    <w:rsid w:val="00A03DC9"/>
    <w:rsid w:val="00A045D1"/>
    <w:rsid w:val="00A0483F"/>
    <w:rsid w:val="00A04CFA"/>
    <w:rsid w:val="00A06A11"/>
    <w:rsid w:val="00A074F9"/>
    <w:rsid w:val="00A07646"/>
    <w:rsid w:val="00A07F63"/>
    <w:rsid w:val="00A10C90"/>
    <w:rsid w:val="00A11C6E"/>
    <w:rsid w:val="00A12B66"/>
    <w:rsid w:val="00A12BD5"/>
    <w:rsid w:val="00A1332A"/>
    <w:rsid w:val="00A135CD"/>
    <w:rsid w:val="00A136CD"/>
    <w:rsid w:val="00A14679"/>
    <w:rsid w:val="00A146AC"/>
    <w:rsid w:val="00A159E2"/>
    <w:rsid w:val="00A15B5B"/>
    <w:rsid w:val="00A16FFF"/>
    <w:rsid w:val="00A17D1F"/>
    <w:rsid w:val="00A201CF"/>
    <w:rsid w:val="00A20B73"/>
    <w:rsid w:val="00A20BEC"/>
    <w:rsid w:val="00A21489"/>
    <w:rsid w:val="00A2220F"/>
    <w:rsid w:val="00A22C57"/>
    <w:rsid w:val="00A232F8"/>
    <w:rsid w:val="00A24751"/>
    <w:rsid w:val="00A248E2"/>
    <w:rsid w:val="00A25059"/>
    <w:rsid w:val="00A26662"/>
    <w:rsid w:val="00A2674E"/>
    <w:rsid w:val="00A26BDB"/>
    <w:rsid w:val="00A274E7"/>
    <w:rsid w:val="00A2757B"/>
    <w:rsid w:val="00A27943"/>
    <w:rsid w:val="00A27BBC"/>
    <w:rsid w:val="00A3076F"/>
    <w:rsid w:val="00A3095B"/>
    <w:rsid w:val="00A30C4C"/>
    <w:rsid w:val="00A31125"/>
    <w:rsid w:val="00A320B1"/>
    <w:rsid w:val="00A325F5"/>
    <w:rsid w:val="00A33695"/>
    <w:rsid w:val="00A33B6E"/>
    <w:rsid w:val="00A33C55"/>
    <w:rsid w:val="00A34026"/>
    <w:rsid w:val="00A369B8"/>
    <w:rsid w:val="00A369C3"/>
    <w:rsid w:val="00A37988"/>
    <w:rsid w:val="00A37A04"/>
    <w:rsid w:val="00A37AB8"/>
    <w:rsid w:val="00A402A3"/>
    <w:rsid w:val="00A402A8"/>
    <w:rsid w:val="00A40918"/>
    <w:rsid w:val="00A41661"/>
    <w:rsid w:val="00A41740"/>
    <w:rsid w:val="00A4281F"/>
    <w:rsid w:val="00A4309F"/>
    <w:rsid w:val="00A4319E"/>
    <w:rsid w:val="00A44331"/>
    <w:rsid w:val="00A44410"/>
    <w:rsid w:val="00A45F9F"/>
    <w:rsid w:val="00A46C33"/>
    <w:rsid w:val="00A47285"/>
    <w:rsid w:val="00A50632"/>
    <w:rsid w:val="00A50EB7"/>
    <w:rsid w:val="00A51AA9"/>
    <w:rsid w:val="00A5203F"/>
    <w:rsid w:val="00A5221E"/>
    <w:rsid w:val="00A524B3"/>
    <w:rsid w:val="00A525A9"/>
    <w:rsid w:val="00A53185"/>
    <w:rsid w:val="00A532F5"/>
    <w:rsid w:val="00A53C11"/>
    <w:rsid w:val="00A53C17"/>
    <w:rsid w:val="00A5427A"/>
    <w:rsid w:val="00A5527A"/>
    <w:rsid w:val="00A55F29"/>
    <w:rsid w:val="00A564EB"/>
    <w:rsid w:val="00A56F0F"/>
    <w:rsid w:val="00A60195"/>
    <w:rsid w:val="00A60FD6"/>
    <w:rsid w:val="00A6322C"/>
    <w:rsid w:val="00A6394C"/>
    <w:rsid w:val="00A64421"/>
    <w:rsid w:val="00A648C2"/>
    <w:rsid w:val="00A65050"/>
    <w:rsid w:val="00A65482"/>
    <w:rsid w:val="00A65FAB"/>
    <w:rsid w:val="00A6683C"/>
    <w:rsid w:val="00A66DBD"/>
    <w:rsid w:val="00A66EC6"/>
    <w:rsid w:val="00A6706B"/>
    <w:rsid w:val="00A672A8"/>
    <w:rsid w:val="00A675D9"/>
    <w:rsid w:val="00A700A3"/>
    <w:rsid w:val="00A70159"/>
    <w:rsid w:val="00A70245"/>
    <w:rsid w:val="00A707F3"/>
    <w:rsid w:val="00A7217D"/>
    <w:rsid w:val="00A72DF3"/>
    <w:rsid w:val="00A73282"/>
    <w:rsid w:val="00A7376F"/>
    <w:rsid w:val="00A73A26"/>
    <w:rsid w:val="00A74B40"/>
    <w:rsid w:val="00A74D8D"/>
    <w:rsid w:val="00A751A0"/>
    <w:rsid w:val="00A75338"/>
    <w:rsid w:val="00A76381"/>
    <w:rsid w:val="00A76868"/>
    <w:rsid w:val="00A768EA"/>
    <w:rsid w:val="00A772B4"/>
    <w:rsid w:val="00A774C1"/>
    <w:rsid w:val="00A779E9"/>
    <w:rsid w:val="00A77C90"/>
    <w:rsid w:val="00A801A9"/>
    <w:rsid w:val="00A8092A"/>
    <w:rsid w:val="00A80A02"/>
    <w:rsid w:val="00A80C2E"/>
    <w:rsid w:val="00A8279E"/>
    <w:rsid w:val="00A8286E"/>
    <w:rsid w:val="00A82F95"/>
    <w:rsid w:val="00A8318E"/>
    <w:rsid w:val="00A831AC"/>
    <w:rsid w:val="00A839C8"/>
    <w:rsid w:val="00A840BE"/>
    <w:rsid w:val="00A840D5"/>
    <w:rsid w:val="00A85131"/>
    <w:rsid w:val="00A85CE0"/>
    <w:rsid w:val="00A85E91"/>
    <w:rsid w:val="00A85F5D"/>
    <w:rsid w:val="00A85FE5"/>
    <w:rsid w:val="00A86139"/>
    <w:rsid w:val="00A86EB4"/>
    <w:rsid w:val="00A90BDF"/>
    <w:rsid w:val="00A92BF8"/>
    <w:rsid w:val="00A92CFF"/>
    <w:rsid w:val="00A92F0D"/>
    <w:rsid w:val="00A93E04"/>
    <w:rsid w:val="00A94F5F"/>
    <w:rsid w:val="00A94FBC"/>
    <w:rsid w:val="00A95150"/>
    <w:rsid w:val="00A9559C"/>
    <w:rsid w:val="00A95711"/>
    <w:rsid w:val="00A95FD0"/>
    <w:rsid w:val="00A96300"/>
    <w:rsid w:val="00A9676E"/>
    <w:rsid w:val="00A9797B"/>
    <w:rsid w:val="00A97C62"/>
    <w:rsid w:val="00A97DCA"/>
    <w:rsid w:val="00AA02BE"/>
    <w:rsid w:val="00AA0F32"/>
    <w:rsid w:val="00AA1619"/>
    <w:rsid w:val="00AA1B66"/>
    <w:rsid w:val="00AA3189"/>
    <w:rsid w:val="00AA36EB"/>
    <w:rsid w:val="00AA43A1"/>
    <w:rsid w:val="00AA5F90"/>
    <w:rsid w:val="00AA629F"/>
    <w:rsid w:val="00AA63BD"/>
    <w:rsid w:val="00AA6A66"/>
    <w:rsid w:val="00AA72D7"/>
    <w:rsid w:val="00AA7658"/>
    <w:rsid w:val="00AB01A1"/>
    <w:rsid w:val="00AB0412"/>
    <w:rsid w:val="00AB0885"/>
    <w:rsid w:val="00AB1C4B"/>
    <w:rsid w:val="00AB2389"/>
    <w:rsid w:val="00AB2825"/>
    <w:rsid w:val="00AB2C97"/>
    <w:rsid w:val="00AB2F46"/>
    <w:rsid w:val="00AB308F"/>
    <w:rsid w:val="00AB393F"/>
    <w:rsid w:val="00AB3FE1"/>
    <w:rsid w:val="00AB4E51"/>
    <w:rsid w:val="00AB5C94"/>
    <w:rsid w:val="00AB63E5"/>
    <w:rsid w:val="00AB6610"/>
    <w:rsid w:val="00AB67AA"/>
    <w:rsid w:val="00AB6846"/>
    <w:rsid w:val="00AB7835"/>
    <w:rsid w:val="00AB7B8D"/>
    <w:rsid w:val="00AB7EF6"/>
    <w:rsid w:val="00AC06B8"/>
    <w:rsid w:val="00AC0B1B"/>
    <w:rsid w:val="00AC0C9F"/>
    <w:rsid w:val="00AC0F2C"/>
    <w:rsid w:val="00AC14E2"/>
    <w:rsid w:val="00AC1F38"/>
    <w:rsid w:val="00AC3054"/>
    <w:rsid w:val="00AC4274"/>
    <w:rsid w:val="00AC4299"/>
    <w:rsid w:val="00AC4E3A"/>
    <w:rsid w:val="00AC5975"/>
    <w:rsid w:val="00AC5D72"/>
    <w:rsid w:val="00AC5F45"/>
    <w:rsid w:val="00AC6255"/>
    <w:rsid w:val="00AC63E3"/>
    <w:rsid w:val="00AC654C"/>
    <w:rsid w:val="00AC6570"/>
    <w:rsid w:val="00AC6619"/>
    <w:rsid w:val="00AC6EFA"/>
    <w:rsid w:val="00AC7107"/>
    <w:rsid w:val="00AD005D"/>
    <w:rsid w:val="00AD061B"/>
    <w:rsid w:val="00AD07FC"/>
    <w:rsid w:val="00AD0B59"/>
    <w:rsid w:val="00AD0C6F"/>
    <w:rsid w:val="00AD12C5"/>
    <w:rsid w:val="00AD1A08"/>
    <w:rsid w:val="00AD1F99"/>
    <w:rsid w:val="00AD2498"/>
    <w:rsid w:val="00AD2B53"/>
    <w:rsid w:val="00AD3710"/>
    <w:rsid w:val="00AD3790"/>
    <w:rsid w:val="00AD414B"/>
    <w:rsid w:val="00AD4452"/>
    <w:rsid w:val="00AD4571"/>
    <w:rsid w:val="00AD49CB"/>
    <w:rsid w:val="00AD70F1"/>
    <w:rsid w:val="00AD71C5"/>
    <w:rsid w:val="00AD7567"/>
    <w:rsid w:val="00AD7970"/>
    <w:rsid w:val="00AE0C1B"/>
    <w:rsid w:val="00AE141F"/>
    <w:rsid w:val="00AE1CD7"/>
    <w:rsid w:val="00AE247D"/>
    <w:rsid w:val="00AE2C18"/>
    <w:rsid w:val="00AE3D79"/>
    <w:rsid w:val="00AE4020"/>
    <w:rsid w:val="00AE764A"/>
    <w:rsid w:val="00AE79F2"/>
    <w:rsid w:val="00AE7CD3"/>
    <w:rsid w:val="00AF003B"/>
    <w:rsid w:val="00AF07E2"/>
    <w:rsid w:val="00AF1037"/>
    <w:rsid w:val="00AF17F9"/>
    <w:rsid w:val="00AF1E50"/>
    <w:rsid w:val="00AF1F57"/>
    <w:rsid w:val="00AF2910"/>
    <w:rsid w:val="00AF3C10"/>
    <w:rsid w:val="00AF3C69"/>
    <w:rsid w:val="00AF3D7A"/>
    <w:rsid w:val="00AF4023"/>
    <w:rsid w:val="00AF4ED2"/>
    <w:rsid w:val="00AF5506"/>
    <w:rsid w:val="00AF61D0"/>
    <w:rsid w:val="00AF6219"/>
    <w:rsid w:val="00AF62BC"/>
    <w:rsid w:val="00AF672F"/>
    <w:rsid w:val="00AF6F2C"/>
    <w:rsid w:val="00AF7FA5"/>
    <w:rsid w:val="00B00262"/>
    <w:rsid w:val="00B006E9"/>
    <w:rsid w:val="00B0115C"/>
    <w:rsid w:val="00B01163"/>
    <w:rsid w:val="00B01C89"/>
    <w:rsid w:val="00B024AD"/>
    <w:rsid w:val="00B024D7"/>
    <w:rsid w:val="00B03014"/>
    <w:rsid w:val="00B030EA"/>
    <w:rsid w:val="00B03CD3"/>
    <w:rsid w:val="00B048F1"/>
    <w:rsid w:val="00B049B4"/>
    <w:rsid w:val="00B04BAE"/>
    <w:rsid w:val="00B04D23"/>
    <w:rsid w:val="00B057CA"/>
    <w:rsid w:val="00B05FDA"/>
    <w:rsid w:val="00B067DE"/>
    <w:rsid w:val="00B1119D"/>
    <w:rsid w:val="00B11505"/>
    <w:rsid w:val="00B11D0D"/>
    <w:rsid w:val="00B12271"/>
    <w:rsid w:val="00B12E10"/>
    <w:rsid w:val="00B12EA6"/>
    <w:rsid w:val="00B13C78"/>
    <w:rsid w:val="00B13F06"/>
    <w:rsid w:val="00B14047"/>
    <w:rsid w:val="00B14253"/>
    <w:rsid w:val="00B145A2"/>
    <w:rsid w:val="00B14842"/>
    <w:rsid w:val="00B1489B"/>
    <w:rsid w:val="00B15280"/>
    <w:rsid w:val="00B15761"/>
    <w:rsid w:val="00B15DB6"/>
    <w:rsid w:val="00B15F2D"/>
    <w:rsid w:val="00B17100"/>
    <w:rsid w:val="00B171C0"/>
    <w:rsid w:val="00B17999"/>
    <w:rsid w:val="00B20317"/>
    <w:rsid w:val="00B20E5D"/>
    <w:rsid w:val="00B212C5"/>
    <w:rsid w:val="00B21DE2"/>
    <w:rsid w:val="00B21E50"/>
    <w:rsid w:val="00B22110"/>
    <w:rsid w:val="00B2291A"/>
    <w:rsid w:val="00B22E27"/>
    <w:rsid w:val="00B23005"/>
    <w:rsid w:val="00B23A34"/>
    <w:rsid w:val="00B23BE1"/>
    <w:rsid w:val="00B267A1"/>
    <w:rsid w:val="00B26927"/>
    <w:rsid w:val="00B277C4"/>
    <w:rsid w:val="00B30046"/>
    <w:rsid w:val="00B30336"/>
    <w:rsid w:val="00B30A1C"/>
    <w:rsid w:val="00B30B13"/>
    <w:rsid w:val="00B31D8A"/>
    <w:rsid w:val="00B320ED"/>
    <w:rsid w:val="00B32341"/>
    <w:rsid w:val="00B32AFB"/>
    <w:rsid w:val="00B33B48"/>
    <w:rsid w:val="00B34001"/>
    <w:rsid w:val="00B345E4"/>
    <w:rsid w:val="00B34B0B"/>
    <w:rsid w:val="00B34B77"/>
    <w:rsid w:val="00B34DD6"/>
    <w:rsid w:val="00B35F80"/>
    <w:rsid w:val="00B3602B"/>
    <w:rsid w:val="00B36BA6"/>
    <w:rsid w:val="00B36EAA"/>
    <w:rsid w:val="00B374A6"/>
    <w:rsid w:val="00B4162D"/>
    <w:rsid w:val="00B4177D"/>
    <w:rsid w:val="00B42941"/>
    <w:rsid w:val="00B42947"/>
    <w:rsid w:val="00B431BD"/>
    <w:rsid w:val="00B434F1"/>
    <w:rsid w:val="00B439B1"/>
    <w:rsid w:val="00B43C2A"/>
    <w:rsid w:val="00B43F29"/>
    <w:rsid w:val="00B4423C"/>
    <w:rsid w:val="00B442BD"/>
    <w:rsid w:val="00B449EB"/>
    <w:rsid w:val="00B44FD0"/>
    <w:rsid w:val="00B45022"/>
    <w:rsid w:val="00B4512A"/>
    <w:rsid w:val="00B454FC"/>
    <w:rsid w:val="00B457F2"/>
    <w:rsid w:val="00B45948"/>
    <w:rsid w:val="00B459FA"/>
    <w:rsid w:val="00B45BCF"/>
    <w:rsid w:val="00B4618A"/>
    <w:rsid w:val="00B465DF"/>
    <w:rsid w:val="00B46BAF"/>
    <w:rsid w:val="00B46F04"/>
    <w:rsid w:val="00B47B20"/>
    <w:rsid w:val="00B47F0C"/>
    <w:rsid w:val="00B50194"/>
    <w:rsid w:val="00B50B0A"/>
    <w:rsid w:val="00B50D11"/>
    <w:rsid w:val="00B51CC6"/>
    <w:rsid w:val="00B51F42"/>
    <w:rsid w:val="00B522A4"/>
    <w:rsid w:val="00B52306"/>
    <w:rsid w:val="00B52872"/>
    <w:rsid w:val="00B528A1"/>
    <w:rsid w:val="00B52CE6"/>
    <w:rsid w:val="00B52D27"/>
    <w:rsid w:val="00B53030"/>
    <w:rsid w:val="00B53847"/>
    <w:rsid w:val="00B53939"/>
    <w:rsid w:val="00B542AB"/>
    <w:rsid w:val="00B5657C"/>
    <w:rsid w:val="00B56F19"/>
    <w:rsid w:val="00B571F5"/>
    <w:rsid w:val="00B57211"/>
    <w:rsid w:val="00B612BC"/>
    <w:rsid w:val="00B614BF"/>
    <w:rsid w:val="00B61565"/>
    <w:rsid w:val="00B6190A"/>
    <w:rsid w:val="00B62635"/>
    <w:rsid w:val="00B6498C"/>
    <w:rsid w:val="00B64EB6"/>
    <w:rsid w:val="00B6527B"/>
    <w:rsid w:val="00B65598"/>
    <w:rsid w:val="00B704AB"/>
    <w:rsid w:val="00B712EE"/>
    <w:rsid w:val="00B71CD5"/>
    <w:rsid w:val="00B71DAC"/>
    <w:rsid w:val="00B72E87"/>
    <w:rsid w:val="00B72E9F"/>
    <w:rsid w:val="00B730C7"/>
    <w:rsid w:val="00B734C4"/>
    <w:rsid w:val="00B7350E"/>
    <w:rsid w:val="00B746CC"/>
    <w:rsid w:val="00B74792"/>
    <w:rsid w:val="00B74827"/>
    <w:rsid w:val="00B74CDB"/>
    <w:rsid w:val="00B7583B"/>
    <w:rsid w:val="00B759BA"/>
    <w:rsid w:val="00B77A2C"/>
    <w:rsid w:val="00B77AAD"/>
    <w:rsid w:val="00B80B4B"/>
    <w:rsid w:val="00B811B0"/>
    <w:rsid w:val="00B814CA"/>
    <w:rsid w:val="00B816A3"/>
    <w:rsid w:val="00B821F9"/>
    <w:rsid w:val="00B822A4"/>
    <w:rsid w:val="00B828CC"/>
    <w:rsid w:val="00B83834"/>
    <w:rsid w:val="00B83DDE"/>
    <w:rsid w:val="00B846EC"/>
    <w:rsid w:val="00B84DD0"/>
    <w:rsid w:val="00B8560C"/>
    <w:rsid w:val="00B856D5"/>
    <w:rsid w:val="00B8575F"/>
    <w:rsid w:val="00B85B8C"/>
    <w:rsid w:val="00B85E2F"/>
    <w:rsid w:val="00B85F75"/>
    <w:rsid w:val="00B86114"/>
    <w:rsid w:val="00B86B2D"/>
    <w:rsid w:val="00B86CA9"/>
    <w:rsid w:val="00B87417"/>
    <w:rsid w:val="00B877AB"/>
    <w:rsid w:val="00B90B8D"/>
    <w:rsid w:val="00B91440"/>
    <w:rsid w:val="00B918B1"/>
    <w:rsid w:val="00B9269E"/>
    <w:rsid w:val="00B92AAD"/>
    <w:rsid w:val="00B92F87"/>
    <w:rsid w:val="00B93FA1"/>
    <w:rsid w:val="00B9490A"/>
    <w:rsid w:val="00B94F66"/>
    <w:rsid w:val="00B96FBD"/>
    <w:rsid w:val="00B9740B"/>
    <w:rsid w:val="00B976B5"/>
    <w:rsid w:val="00B976CF"/>
    <w:rsid w:val="00B97F1B"/>
    <w:rsid w:val="00BA05FE"/>
    <w:rsid w:val="00BA0C95"/>
    <w:rsid w:val="00BA0F9A"/>
    <w:rsid w:val="00BA118D"/>
    <w:rsid w:val="00BA19A5"/>
    <w:rsid w:val="00BA1BF6"/>
    <w:rsid w:val="00BA1C6C"/>
    <w:rsid w:val="00BA2863"/>
    <w:rsid w:val="00BA325A"/>
    <w:rsid w:val="00BA3843"/>
    <w:rsid w:val="00BA4871"/>
    <w:rsid w:val="00BA4A8E"/>
    <w:rsid w:val="00BA4F0B"/>
    <w:rsid w:val="00BA5402"/>
    <w:rsid w:val="00BA5699"/>
    <w:rsid w:val="00BA58FE"/>
    <w:rsid w:val="00BA5C1F"/>
    <w:rsid w:val="00BA6384"/>
    <w:rsid w:val="00BA6E03"/>
    <w:rsid w:val="00BA7058"/>
    <w:rsid w:val="00BA75DC"/>
    <w:rsid w:val="00BA7BA9"/>
    <w:rsid w:val="00BA7CE0"/>
    <w:rsid w:val="00BB0C1F"/>
    <w:rsid w:val="00BB169C"/>
    <w:rsid w:val="00BB1DFE"/>
    <w:rsid w:val="00BB20A0"/>
    <w:rsid w:val="00BB22D4"/>
    <w:rsid w:val="00BB3AFC"/>
    <w:rsid w:val="00BB3CBE"/>
    <w:rsid w:val="00BB4174"/>
    <w:rsid w:val="00BB465E"/>
    <w:rsid w:val="00BB4F8A"/>
    <w:rsid w:val="00BB50BB"/>
    <w:rsid w:val="00BB568E"/>
    <w:rsid w:val="00BB5AB0"/>
    <w:rsid w:val="00BB5B5D"/>
    <w:rsid w:val="00BB6397"/>
    <w:rsid w:val="00BB6B9C"/>
    <w:rsid w:val="00BB6CDC"/>
    <w:rsid w:val="00BB7260"/>
    <w:rsid w:val="00BB73C8"/>
    <w:rsid w:val="00BB7691"/>
    <w:rsid w:val="00BB7E19"/>
    <w:rsid w:val="00BC068F"/>
    <w:rsid w:val="00BC0A7F"/>
    <w:rsid w:val="00BC1220"/>
    <w:rsid w:val="00BC1DCA"/>
    <w:rsid w:val="00BC2C58"/>
    <w:rsid w:val="00BC3A29"/>
    <w:rsid w:val="00BC3F13"/>
    <w:rsid w:val="00BC40B5"/>
    <w:rsid w:val="00BC41EE"/>
    <w:rsid w:val="00BC43FD"/>
    <w:rsid w:val="00BC47BF"/>
    <w:rsid w:val="00BC4F1C"/>
    <w:rsid w:val="00BC51F5"/>
    <w:rsid w:val="00BC5ECA"/>
    <w:rsid w:val="00BC61CD"/>
    <w:rsid w:val="00BC61F2"/>
    <w:rsid w:val="00BC67C0"/>
    <w:rsid w:val="00BC6F32"/>
    <w:rsid w:val="00BC6F41"/>
    <w:rsid w:val="00BC7165"/>
    <w:rsid w:val="00BC793E"/>
    <w:rsid w:val="00BC7E64"/>
    <w:rsid w:val="00BD0AF7"/>
    <w:rsid w:val="00BD1270"/>
    <w:rsid w:val="00BD1379"/>
    <w:rsid w:val="00BD2FE7"/>
    <w:rsid w:val="00BD36DE"/>
    <w:rsid w:val="00BD39D2"/>
    <w:rsid w:val="00BD4E13"/>
    <w:rsid w:val="00BD52C3"/>
    <w:rsid w:val="00BD5485"/>
    <w:rsid w:val="00BD5F43"/>
    <w:rsid w:val="00BD661B"/>
    <w:rsid w:val="00BD687C"/>
    <w:rsid w:val="00BD69C4"/>
    <w:rsid w:val="00BD6DB9"/>
    <w:rsid w:val="00BD75D1"/>
    <w:rsid w:val="00BE0363"/>
    <w:rsid w:val="00BE0A45"/>
    <w:rsid w:val="00BE1233"/>
    <w:rsid w:val="00BE1238"/>
    <w:rsid w:val="00BE1277"/>
    <w:rsid w:val="00BE1311"/>
    <w:rsid w:val="00BE19C2"/>
    <w:rsid w:val="00BE2509"/>
    <w:rsid w:val="00BE358B"/>
    <w:rsid w:val="00BE35DF"/>
    <w:rsid w:val="00BE3D91"/>
    <w:rsid w:val="00BE4109"/>
    <w:rsid w:val="00BE447B"/>
    <w:rsid w:val="00BE4569"/>
    <w:rsid w:val="00BE4782"/>
    <w:rsid w:val="00BE47D8"/>
    <w:rsid w:val="00BE4FD9"/>
    <w:rsid w:val="00BE57DA"/>
    <w:rsid w:val="00BE5D73"/>
    <w:rsid w:val="00BE6DFE"/>
    <w:rsid w:val="00BE7383"/>
    <w:rsid w:val="00BE79AB"/>
    <w:rsid w:val="00BF0637"/>
    <w:rsid w:val="00BF124A"/>
    <w:rsid w:val="00BF160C"/>
    <w:rsid w:val="00BF1D5A"/>
    <w:rsid w:val="00BF2170"/>
    <w:rsid w:val="00BF37A9"/>
    <w:rsid w:val="00BF3A6D"/>
    <w:rsid w:val="00BF3C23"/>
    <w:rsid w:val="00BF4770"/>
    <w:rsid w:val="00BF513A"/>
    <w:rsid w:val="00BF540A"/>
    <w:rsid w:val="00BF6036"/>
    <w:rsid w:val="00BF64CD"/>
    <w:rsid w:val="00BF67D7"/>
    <w:rsid w:val="00BF69D2"/>
    <w:rsid w:val="00BF6AF6"/>
    <w:rsid w:val="00BF6EB4"/>
    <w:rsid w:val="00BF6EC1"/>
    <w:rsid w:val="00BF7257"/>
    <w:rsid w:val="00BF7347"/>
    <w:rsid w:val="00BF7B94"/>
    <w:rsid w:val="00BF7C53"/>
    <w:rsid w:val="00C00D74"/>
    <w:rsid w:val="00C017D1"/>
    <w:rsid w:val="00C029BC"/>
    <w:rsid w:val="00C02A1C"/>
    <w:rsid w:val="00C02D50"/>
    <w:rsid w:val="00C030A6"/>
    <w:rsid w:val="00C047D7"/>
    <w:rsid w:val="00C04D37"/>
    <w:rsid w:val="00C05941"/>
    <w:rsid w:val="00C0657C"/>
    <w:rsid w:val="00C074C4"/>
    <w:rsid w:val="00C079F5"/>
    <w:rsid w:val="00C10CD4"/>
    <w:rsid w:val="00C11521"/>
    <w:rsid w:val="00C11B8D"/>
    <w:rsid w:val="00C125B0"/>
    <w:rsid w:val="00C12AE0"/>
    <w:rsid w:val="00C12F2A"/>
    <w:rsid w:val="00C12FEB"/>
    <w:rsid w:val="00C1357C"/>
    <w:rsid w:val="00C14093"/>
    <w:rsid w:val="00C140C6"/>
    <w:rsid w:val="00C144EF"/>
    <w:rsid w:val="00C1534E"/>
    <w:rsid w:val="00C15A56"/>
    <w:rsid w:val="00C20927"/>
    <w:rsid w:val="00C211DC"/>
    <w:rsid w:val="00C2135F"/>
    <w:rsid w:val="00C21AAB"/>
    <w:rsid w:val="00C227A7"/>
    <w:rsid w:val="00C233C6"/>
    <w:rsid w:val="00C23D0C"/>
    <w:rsid w:val="00C23D4E"/>
    <w:rsid w:val="00C23FF2"/>
    <w:rsid w:val="00C24ED2"/>
    <w:rsid w:val="00C24F3F"/>
    <w:rsid w:val="00C255CC"/>
    <w:rsid w:val="00C25670"/>
    <w:rsid w:val="00C259E2"/>
    <w:rsid w:val="00C2636B"/>
    <w:rsid w:val="00C26754"/>
    <w:rsid w:val="00C26869"/>
    <w:rsid w:val="00C26C3A"/>
    <w:rsid w:val="00C2709D"/>
    <w:rsid w:val="00C2773B"/>
    <w:rsid w:val="00C277FB"/>
    <w:rsid w:val="00C27CEA"/>
    <w:rsid w:val="00C30107"/>
    <w:rsid w:val="00C30639"/>
    <w:rsid w:val="00C306B3"/>
    <w:rsid w:val="00C306F6"/>
    <w:rsid w:val="00C3070C"/>
    <w:rsid w:val="00C309E5"/>
    <w:rsid w:val="00C30E2E"/>
    <w:rsid w:val="00C3194E"/>
    <w:rsid w:val="00C31BBB"/>
    <w:rsid w:val="00C3220C"/>
    <w:rsid w:val="00C32B69"/>
    <w:rsid w:val="00C337A6"/>
    <w:rsid w:val="00C345ED"/>
    <w:rsid w:val="00C34837"/>
    <w:rsid w:val="00C348B3"/>
    <w:rsid w:val="00C34F38"/>
    <w:rsid w:val="00C3548F"/>
    <w:rsid w:val="00C356C8"/>
    <w:rsid w:val="00C35B3C"/>
    <w:rsid w:val="00C367B4"/>
    <w:rsid w:val="00C36956"/>
    <w:rsid w:val="00C36B2D"/>
    <w:rsid w:val="00C37197"/>
    <w:rsid w:val="00C37615"/>
    <w:rsid w:val="00C379AA"/>
    <w:rsid w:val="00C37B29"/>
    <w:rsid w:val="00C37CB7"/>
    <w:rsid w:val="00C40AFB"/>
    <w:rsid w:val="00C40CC9"/>
    <w:rsid w:val="00C40D60"/>
    <w:rsid w:val="00C43A7D"/>
    <w:rsid w:val="00C4425F"/>
    <w:rsid w:val="00C44320"/>
    <w:rsid w:val="00C44421"/>
    <w:rsid w:val="00C44A04"/>
    <w:rsid w:val="00C44C83"/>
    <w:rsid w:val="00C44D1A"/>
    <w:rsid w:val="00C45F5E"/>
    <w:rsid w:val="00C4623C"/>
    <w:rsid w:val="00C462A9"/>
    <w:rsid w:val="00C46DB1"/>
    <w:rsid w:val="00C4706F"/>
    <w:rsid w:val="00C47BD3"/>
    <w:rsid w:val="00C47E57"/>
    <w:rsid w:val="00C504D3"/>
    <w:rsid w:val="00C5267A"/>
    <w:rsid w:val="00C536B3"/>
    <w:rsid w:val="00C53B22"/>
    <w:rsid w:val="00C53C3F"/>
    <w:rsid w:val="00C53C4E"/>
    <w:rsid w:val="00C542A9"/>
    <w:rsid w:val="00C54763"/>
    <w:rsid w:val="00C5505F"/>
    <w:rsid w:val="00C55547"/>
    <w:rsid w:val="00C55649"/>
    <w:rsid w:val="00C55F82"/>
    <w:rsid w:val="00C56043"/>
    <w:rsid w:val="00C563A1"/>
    <w:rsid w:val="00C56DBA"/>
    <w:rsid w:val="00C576F8"/>
    <w:rsid w:val="00C57A57"/>
    <w:rsid w:val="00C57F07"/>
    <w:rsid w:val="00C5FC5A"/>
    <w:rsid w:val="00C601CA"/>
    <w:rsid w:val="00C604F5"/>
    <w:rsid w:val="00C61336"/>
    <w:rsid w:val="00C61583"/>
    <w:rsid w:val="00C61FF5"/>
    <w:rsid w:val="00C6238A"/>
    <w:rsid w:val="00C62CD3"/>
    <w:rsid w:val="00C62DC8"/>
    <w:rsid w:val="00C63517"/>
    <w:rsid w:val="00C635CF"/>
    <w:rsid w:val="00C635FD"/>
    <w:rsid w:val="00C64027"/>
    <w:rsid w:val="00C6547C"/>
    <w:rsid w:val="00C66473"/>
    <w:rsid w:val="00C67004"/>
    <w:rsid w:val="00C679E4"/>
    <w:rsid w:val="00C7073E"/>
    <w:rsid w:val="00C707EE"/>
    <w:rsid w:val="00C7103D"/>
    <w:rsid w:val="00C71514"/>
    <w:rsid w:val="00C717C8"/>
    <w:rsid w:val="00C7187C"/>
    <w:rsid w:val="00C71AF2"/>
    <w:rsid w:val="00C71B86"/>
    <w:rsid w:val="00C71C39"/>
    <w:rsid w:val="00C71D62"/>
    <w:rsid w:val="00C723EA"/>
    <w:rsid w:val="00C731CE"/>
    <w:rsid w:val="00C747DC"/>
    <w:rsid w:val="00C757B4"/>
    <w:rsid w:val="00C75AE2"/>
    <w:rsid w:val="00C76804"/>
    <w:rsid w:val="00C76E4A"/>
    <w:rsid w:val="00C800A3"/>
    <w:rsid w:val="00C80731"/>
    <w:rsid w:val="00C80811"/>
    <w:rsid w:val="00C81C8B"/>
    <w:rsid w:val="00C82F83"/>
    <w:rsid w:val="00C839AF"/>
    <w:rsid w:val="00C841B5"/>
    <w:rsid w:val="00C84BAF"/>
    <w:rsid w:val="00C84C64"/>
    <w:rsid w:val="00C8571F"/>
    <w:rsid w:val="00C85EAB"/>
    <w:rsid w:val="00C86126"/>
    <w:rsid w:val="00C863A3"/>
    <w:rsid w:val="00C8687B"/>
    <w:rsid w:val="00C86B79"/>
    <w:rsid w:val="00C87C87"/>
    <w:rsid w:val="00C87CEE"/>
    <w:rsid w:val="00C9009E"/>
    <w:rsid w:val="00C90199"/>
    <w:rsid w:val="00C91042"/>
    <w:rsid w:val="00C917B0"/>
    <w:rsid w:val="00C91D08"/>
    <w:rsid w:val="00C91DC9"/>
    <w:rsid w:val="00C92CA2"/>
    <w:rsid w:val="00C93697"/>
    <w:rsid w:val="00C93FC2"/>
    <w:rsid w:val="00C941FF"/>
    <w:rsid w:val="00C94812"/>
    <w:rsid w:val="00C94AFD"/>
    <w:rsid w:val="00C95414"/>
    <w:rsid w:val="00C95E48"/>
    <w:rsid w:val="00C960CE"/>
    <w:rsid w:val="00C965D8"/>
    <w:rsid w:val="00C9673B"/>
    <w:rsid w:val="00C96D0C"/>
    <w:rsid w:val="00C973FB"/>
    <w:rsid w:val="00CA0856"/>
    <w:rsid w:val="00CA0C40"/>
    <w:rsid w:val="00CA126C"/>
    <w:rsid w:val="00CA13B9"/>
    <w:rsid w:val="00CA21CA"/>
    <w:rsid w:val="00CA236C"/>
    <w:rsid w:val="00CA270D"/>
    <w:rsid w:val="00CA2E80"/>
    <w:rsid w:val="00CA2E92"/>
    <w:rsid w:val="00CA35D4"/>
    <w:rsid w:val="00CA4EB2"/>
    <w:rsid w:val="00CA5492"/>
    <w:rsid w:val="00CA6135"/>
    <w:rsid w:val="00CA61EE"/>
    <w:rsid w:val="00CA6F54"/>
    <w:rsid w:val="00CB08DF"/>
    <w:rsid w:val="00CB1734"/>
    <w:rsid w:val="00CB17C4"/>
    <w:rsid w:val="00CB1B95"/>
    <w:rsid w:val="00CB1F27"/>
    <w:rsid w:val="00CB256D"/>
    <w:rsid w:val="00CB29FA"/>
    <w:rsid w:val="00CB3146"/>
    <w:rsid w:val="00CB3376"/>
    <w:rsid w:val="00CB3C8D"/>
    <w:rsid w:val="00CB484B"/>
    <w:rsid w:val="00CB4E0C"/>
    <w:rsid w:val="00CB5059"/>
    <w:rsid w:val="00CB5A21"/>
    <w:rsid w:val="00CB6C8D"/>
    <w:rsid w:val="00CB7D2C"/>
    <w:rsid w:val="00CB7F46"/>
    <w:rsid w:val="00CC0068"/>
    <w:rsid w:val="00CC05F5"/>
    <w:rsid w:val="00CC112B"/>
    <w:rsid w:val="00CC2508"/>
    <w:rsid w:val="00CC2601"/>
    <w:rsid w:val="00CC26A6"/>
    <w:rsid w:val="00CC2B5B"/>
    <w:rsid w:val="00CC2F2F"/>
    <w:rsid w:val="00CC47A1"/>
    <w:rsid w:val="00CC4F4F"/>
    <w:rsid w:val="00CC4F94"/>
    <w:rsid w:val="00CC59CD"/>
    <w:rsid w:val="00CC6811"/>
    <w:rsid w:val="00CC6A7B"/>
    <w:rsid w:val="00CC7195"/>
    <w:rsid w:val="00CC73DA"/>
    <w:rsid w:val="00CC765A"/>
    <w:rsid w:val="00CD0467"/>
    <w:rsid w:val="00CD0F76"/>
    <w:rsid w:val="00CD1420"/>
    <w:rsid w:val="00CD1B30"/>
    <w:rsid w:val="00CD1EBF"/>
    <w:rsid w:val="00CD20AE"/>
    <w:rsid w:val="00CD295D"/>
    <w:rsid w:val="00CD2FDB"/>
    <w:rsid w:val="00CD35F2"/>
    <w:rsid w:val="00CD385E"/>
    <w:rsid w:val="00CD3F0E"/>
    <w:rsid w:val="00CD4356"/>
    <w:rsid w:val="00CD6CEB"/>
    <w:rsid w:val="00CD7623"/>
    <w:rsid w:val="00CD7D5B"/>
    <w:rsid w:val="00CD7E64"/>
    <w:rsid w:val="00CD7ED8"/>
    <w:rsid w:val="00CE0817"/>
    <w:rsid w:val="00CE1093"/>
    <w:rsid w:val="00CE27C9"/>
    <w:rsid w:val="00CE2A31"/>
    <w:rsid w:val="00CE2B78"/>
    <w:rsid w:val="00CE31F7"/>
    <w:rsid w:val="00CE3EDA"/>
    <w:rsid w:val="00CE47AF"/>
    <w:rsid w:val="00CE4BEB"/>
    <w:rsid w:val="00CE4C49"/>
    <w:rsid w:val="00CE5173"/>
    <w:rsid w:val="00CE51FF"/>
    <w:rsid w:val="00CE5491"/>
    <w:rsid w:val="00CE561A"/>
    <w:rsid w:val="00CE5754"/>
    <w:rsid w:val="00CE57C5"/>
    <w:rsid w:val="00CE5ACF"/>
    <w:rsid w:val="00CE6C28"/>
    <w:rsid w:val="00CE71C8"/>
    <w:rsid w:val="00CE7221"/>
    <w:rsid w:val="00CE797B"/>
    <w:rsid w:val="00CE7F91"/>
    <w:rsid w:val="00CF0568"/>
    <w:rsid w:val="00CF09F3"/>
    <w:rsid w:val="00CF1093"/>
    <w:rsid w:val="00CF156A"/>
    <w:rsid w:val="00CF206F"/>
    <w:rsid w:val="00CF2532"/>
    <w:rsid w:val="00CF2D64"/>
    <w:rsid w:val="00CF334C"/>
    <w:rsid w:val="00CF3F9C"/>
    <w:rsid w:val="00CF4C30"/>
    <w:rsid w:val="00CF5466"/>
    <w:rsid w:val="00CF5957"/>
    <w:rsid w:val="00CF65FD"/>
    <w:rsid w:val="00CF67A9"/>
    <w:rsid w:val="00CF6B09"/>
    <w:rsid w:val="00CF6D85"/>
    <w:rsid w:val="00CF6F63"/>
    <w:rsid w:val="00D011F6"/>
    <w:rsid w:val="00D021AF"/>
    <w:rsid w:val="00D02486"/>
    <w:rsid w:val="00D024BD"/>
    <w:rsid w:val="00D02770"/>
    <w:rsid w:val="00D02E89"/>
    <w:rsid w:val="00D0427F"/>
    <w:rsid w:val="00D054C0"/>
    <w:rsid w:val="00D057A6"/>
    <w:rsid w:val="00D05A94"/>
    <w:rsid w:val="00D05C59"/>
    <w:rsid w:val="00D06F70"/>
    <w:rsid w:val="00D07EE2"/>
    <w:rsid w:val="00D10120"/>
    <w:rsid w:val="00D10700"/>
    <w:rsid w:val="00D11D41"/>
    <w:rsid w:val="00D11E4A"/>
    <w:rsid w:val="00D11E4C"/>
    <w:rsid w:val="00D1223C"/>
    <w:rsid w:val="00D14A32"/>
    <w:rsid w:val="00D14EE0"/>
    <w:rsid w:val="00D15808"/>
    <w:rsid w:val="00D15BED"/>
    <w:rsid w:val="00D16380"/>
    <w:rsid w:val="00D1690D"/>
    <w:rsid w:val="00D16FBF"/>
    <w:rsid w:val="00D1786A"/>
    <w:rsid w:val="00D2018B"/>
    <w:rsid w:val="00D202DB"/>
    <w:rsid w:val="00D2062B"/>
    <w:rsid w:val="00D20799"/>
    <w:rsid w:val="00D209AF"/>
    <w:rsid w:val="00D20C67"/>
    <w:rsid w:val="00D20E33"/>
    <w:rsid w:val="00D212FE"/>
    <w:rsid w:val="00D21548"/>
    <w:rsid w:val="00D217D6"/>
    <w:rsid w:val="00D21A7C"/>
    <w:rsid w:val="00D21B29"/>
    <w:rsid w:val="00D21E29"/>
    <w:rsid w:val="00D229AC"/>
    <w:rsid w:val="00D2428D"/>
    <w:rsid w:val="00D24331"/>
    <w:rsid w:val="00D244BF"/>
    <w:rsid w:val="00D2506C"/>
    <w:rsid w:val="00D25321"/>
    <w:rsid w:val="00D25ABC"/>
    <w:rsid w:val="00D25B2D"/>
    <w:rsid w:val="00D27F99"/>
    <w:rsid w:val="00D300D9"/>
    <w:rsid w:val="00D3098D"/>
    <w:rsid w:val="00D30A68"/>
    <w:rsid w:val="00D30BE6"/>
    <w:rsid w:val="00D30C04"/>
    <w:rsid w:val="00D3128F"/>
    <w:rsid w:val="00D314D5"/>
    <w:rsid w:val="00D318BC"/>
    <w:rsid w:val="00D31AC6"/>
    <w:rsid w:val="00D31C7A"/>
    <w:rsid w:val="00D32447"/>
    <w:rsid w:val="00D330B9"/>
    <w:rsid w:val="00D33AA1"/>
    <w:rsid w:val="00D33BC9"/>
    <w:rsid w:val="00D33C40"/>
    <w:rsid w:val="00D3441D"/>
    <w:rsid w:val="00D34F75"/>
    <w:rsid w:val="00D35BD5"/>
    <w:rsid w:val="00D35C30"/>
    <w:rsid w:val="00D35F0A"/>
    <w:rsid w:val="00D36501"/>
    <w:rsid w:val="00D3686E"/>
    <w:rsid w:val="00D36C9B"/>
    <w:rsid w:val="00D3700D"/>
    <w:rsid w:val="00D412C0"/>
    <w:rsid w:val="00D41692"/>
    <w:rsid w:val="00D4194D"/>
    <w:rsid w:val="00D424CA"/>
    <w:rsid w:val="00D42942"/>
    <w:rsid w:val="00D42EDE"/>
    <w:rsid w:val="00D4457C"/>
    <w:rsid w:val="00D44F8B"/>
    <w:rsid w:val="00D459E0"/>
    <w:rsid w:val="00D459F5"/>
    <w:rsid w:val="00D45B15"/>
    <w:rsid w:val="00D4645D"/>
    <w:rsid w:val="00D46C2D"/>
    <w:rsid w:val="00D47551"/>
    <w:rsid w:val="00D47CD7"/>
    <w:rsid w:val="00D504AD"/>
    <w:rsid w:val="00D51A17"/>
    <w:rsid w:val="00D52387"/>
    <w:rsid w:val="00D5285D"/>
    <w:rsid w:val="00D5292C"/>
    <w:rsid w:val="00D52A03"/>
    <w:rsid w:val="00D52FC3"/>
    <w:rsid w:val="00D52FEA"/>
    <w:rsid w:val="00D533DD"/>
    <w:rsid w:val="00D53774"/>
    <w:rsid w:val="00D5433B"/>
    <w:rsid w:val="00D548CD"/>
    <w:rsid w:val="00D54C42"/>
    <w:rsid w:val="00D550E7"/>
    <w:rsid w:val="00D556AB"/>
    <w:rsid w:val="00D55777"/>
    <w:rsid w:val="00D5667C"/>
    <w:rsid w:val="00D5668A"/>
    <w:rsid w:val="00D5689B"/>
    <w:rsid w:val="00D56AF5"/>
    <w:rsid w:val="00D57047"/>
    <w:rsid w:val="00D57780"/>
    <w:rsid w:val="00D60795"/>
    <w:rsid w:val="00D60F96"/>
    <w:rsid w:val="00D61651"/>
    <w:rsid w:val="00D618CD"/>
    <w:rsid w:val="00D6286A"/>
    <w:rsid w:val="00D634CB"/>
    <w:rsid w:val="00D645B2"/>
    <w:rsid w:val="00D6494A"/>
    <w:rsid w:val="00D64ADE"/>
    <w:rsid w:val="00D64B66"/>
    <w:rsid w:val="00D6607A"/>
    <w:rsid w:val="00D66CAA"/>
    <w:rsid w:val="00D66F87"/>
    <w:rsid w:val="00D67483"/>
    <w:rsid w:val="00D7014E"/>
    <w:rsid w:val="00D70AD1"/>
    <w:rsid w:val="00D70F07"/>
    <w:rsid w:val="00D71194"/>
    <w:rsid w:val="00D71995"/>
    <w:rsid w:val="00D7242F"/>
    <w:rsid w:val="00D72A55"/>
    <w:rsid w:val="00D731E3"/>
    <w:rsid w:val="00D73EEE"/>
    <w:rsid w:val="00D742A8"/>
    <w:rsid w:val="00D74308"/>
    <w:rsid w:val="00D75438"/>
    <w:rsid w:val="00D768D3"/>
    <w:rsid w:val="00D76DB7"/>
    <w:rsid w:val="00D77789"/>
    <w:rsid w:val="00D77799"/>
    <w:rsid w:val="00D803CA"/>
    <w:rsid w:val="00D8096D"/>
    <w:rsid w:val="00D81422"/>
    <w:rsid w:val="00D81C35"/>
    <w:rsid w:val="00D8254C"/>
    <w:rsid w:val="00D825B3"/>
    <w:rsid w:val="00D826AC"/>
    <w:rsid w:val="00D82913"/>
    <w:rsid w:val="00D82B60"/>
    <w:rsid w:val="00D82D8F"/>
    <w:rsid w:val="00D8369E"/>
    <w:rsid w:val="00D8416E"/>
    <w:rsid w:val="00D84EB7"/>
    <w:rsid w:val="00D8545A"/>
    <w:rsid w:val="00D85AC7"/>
    <w:rsid w:val="00D8617F"/>
    <w:rsid w:val="00D863DE"/>
    <w:rsid w:val="00D87007"/>
    <w:rsid w:val="00D87BAB"/>
    <w:rsid w:val="00D87F0E"/>
    <w:rsid w:val="00D90713"/>
    <w:rsid w:val="00D90BFF"/>
    <w:rsid w:val="00D92396"/>
    <w:rsid w:val="00D9362C"/>
    <w:rsid w:val="00D946DB"/>
    <w:rsid w:val="00D947C4"/>
    <w:rsid w:val="00D95045"/>
    <w:rsid w:val="00D95228"/>
    <w:rsid w:val="00D9537E"/>
    <w:rsid w:val="00D956C2"/>
    <w:rsid w:val="00D95B93"/>
    <w:rsid w:val="00D967FA"/>
    <w:rsid w:val="00D96E61"/>
    <w:rsid w:val="00DA040A"/>
    <w:rsid w:val="00DA04E2"/>
    <w:rsid w:val="00DA0978"/>
    <w:rsid w:val="00DA0A82"/>
    <w:rsid w:val="00DA0B84"/>
    <w:rsid w:val="00DA0BDB"/>
    <w:rsid w:val="00DA0D0F"/>
    <w:rsid w:val="00DA0DB4"/>
    <w:rsid w:val="00DA0EA2"/>
    <w:rsid w:val="00DA1253"/>
    <w:rsid w:val="00DA1525"/>
    <w:rsid w:val="00DA218A"/>
    <w:rsid w:val="00DA29E7"/>
    <w:rsid w:val="00DA2E4B"/>
    <w:rsid w:val="00DA3B36"/>
    <w:rsid w:val="00DA3E72"/>
    <w:rsid w:val="00DA3FEB"/>
    <w:rsid w:val="00DA4727"/>
    <w:rsid w:val="00DA4A2F"/>
    <w:rsid w:val="00DA4AAA"/>
    <w:rsid w:val="00DA4AAE"/>
    <w:rsid w:val="00DA4D9D"/>
    <w:rsid w:val="00DA5B75"/>
    <w:rsid w:val="00DA6C44"/>
    <w:rsid w:val="00DA6CB8"/>
    <w:rsid w:val="00DA6F0D"/>
    <w:rsid w:val="00DA77E1"/>
    <w:rsid w:val="00DA7C34"/>
    <w:rsid w:val="00DA7F01"/>
    <w:rsid w:val="00DB0274"/>
    <w:rsid w:val="00DB0F07"/>
    <w:rsid w:val="00DB2DD0"/>
    <w:rsid w:val="00DB3B68"/>
    <w:rsid w:val="00DB3EEA"/>
    <w:rsid w:val="00DB3F35"/>
    <w:rsid w:val="00DB40CA"/>
    <w:rsid w:val="00DB4C59"/>
    <w:rsid w:val="00DB4F40"/>
    <w:rsid w:val="00DB52C6"/>
    <w:rsid w:val="00DB5503"/>
    <w:rsid w:val="00DB61BB"/>
    <w:rsid w:val="00DC03E0"/>
    <w:rsid w:val="00DC03F8"/>
    <w:rsid w:val="00DC0817"/>
    <w:rsid w:val="00DC09EA"/>
    <w:rsid w:val="00DC0A81"/>
    <w:rsid w:val="00DC1225"/>
    <w:rsid w:val="00DC1E40"/>
    <w:rsid w:val="00DC1FD1"/>
    <w:rsid w:val="00DC277C"/>
    <w:rsid w:val="00DC2A01"/>
    <w:rsid w:val="00DC2D05"/>
    <w:rsid w:val="00DC3A83"/>
    <w:rsid w:val="00DC3B38"/>
    <w:rsid w:val="00DC40DA"/>
    <w:rsid w:val="00DC4CE4"/>
    <w:rsid w:val="00DC6108"/>
    <w:rsid w:val="00DC7A04"/>
    <w:rsid w:val="00DD00B4"/>
    <w:rsid w:val="00DD07FF"/>
    <w:rsid w:val="00DD092D"/>
    <w:rsid w:val="00DD11A7"/>
    <w:rsid w:val="00DD156E"/>
    <w:rsid w:val="00DD1906"/>
    <w:rsid w:val="00DD2C1E"/>
    <w:rsid w:val="00DD332D"/>
    <w:rsid w:val="00DD3474"/>
    <w:rsid w:val="00DD41BE"/>
    <w:rsid w:val="00DD4CFC"/>
    <w:rsid w:val="00DD5EFB"/>
    <w:rsid w:val="00DD5F87"/>
    <w:rsid w:val="00DD60DF"/>
    <w:rsid w:val="00DD6BC6"/>
    <w:rsid w:val="00DD6D54"/>
    <w:rsid w:val="00DD6F35"/>
    <w:rsid w:val="00DD72AA"/>
    <w:rsid w:val="00DD7885"/>
    <w:rsid w:val="00DD791B"/>
    <w:rsid w:val="00DE0157"/>
    <w:rsid w:val="00DE0496"/>
    <w:rsid w:val="00DE07A9"/>
    <w:rsid w:val="00DE08E6"/>
    <w:rsid w:val="00DE0962"/>
    <w:rsid w:val="00DE21B5"/>
    <w:rsid w:val="00DE223B"/>
    <w:rsid w:val="00DE230A"/>
    <w:rsid w:val="00DE2370"/>
    <w:rsid w:val="00DE26F2"/>
    <w:rsid w:val="00DE30F5"/>
    <w:rsid w:val="00DE3389"/>
    <w:rsid w:val="00DE4001"/>
    <w:rsid w:val="00DE489B"/>
    <w:rsid w:val="00DE48EF"/>
    <w:rsid w:val="00DE4EF2"/>
    <w:rsid w:val="00DE5752"/>
    <w:rsid w:val="00DE583B"/>
    <w:rsid w:val="00DE5A31"/>
    <w:rsid w:val="00DE73B4"/>
    <w:rsid w:val="00DE7B41"/>
    <w:rsid w:val="00DE7C81"/>
    <w:rsid w:val="00DF0BF5"/>
    <w:rsid w:val="00DF0EF2"/>
    <w:rsid w:val="00DF12C6"/>
    <w:rsid w:val="00DF1A5D"/>
    <w:rsid w:val="00DF30EB"/>
    <w:rsid w:val="00DF3C02"/>
    <w:rsid w:val="00DF4F3C"/>
    <w:rsid w:val="00DF4FF2"/>
    <w:rsid w:val="00DF65DF"/>
    <w:rsid w:val="00DF70AE"/>
    <w:rsid w:val="00DF7382"/>
    <w:rsid w:val="00E00116"/>
    <w:rsid w:val="00E0175F"/>
    <w:rsid w:val="00E01DA0"/>
    <w:rsid w:val="00E01F9D"/>
    <w:rsid w:val="00E026FB"/>
    <w:rsid w:val="00E02F76"/>
    <w:rsid w:val="00E03E51"/>
    <w:rsid w:val="00E03E93"/>
    <w:rsid w:val="00E050F3"/>
    <w:rsid w:val="00E052A9"/>
    <w:rsid w:val="00E0541A"/>
    <w:rsid w:val="00E0639C"/>
    <w:rsid w:val="00E06628"/>
    <w:rsid w:val="00E06E19"/>
    <w:rsid w:val="00E07C8E"/>
    <w:rsid w:val="00E10726"/>
    <w:rsid w:val="00E10B85"/>
    <w:rsid w:val="00E11F7B"/>
    <w:rsid w:val="00E120F4"/>
    <w:rsid w:val="00E124F7"/>
    <w:rsid w:val="00E12B38"/>
    <w:rsid w:val="00E13203"/>
    <w:rsid w:val="00E1366E"/>
    <w:rsid w:val="00E14075"/>
    <w:rsid w:val="00E14099"/>
    <w:rsid w:val="00E1421C"/>
    <w:rsid w:val="00E143FD"/>
    <w:rsid w:val="00E14C4D"/>
    <w:rsid w:val="00E150E9"/>
    <w:rsid w:val="00E15116"/>
    <w:rsid w:val="00E16498"/>
    <w:rsid w:val="00E1685B"/>
    <w:rsid w:val="00E1696D"/>
    <w:rsid w:val="00E1750A"/>
    <w:rsid w:val="00E20553"/>
    <w:rsid w:val="00E20D20"/>
    <w:rsid w:val="00E20FAC"/>
    <w:rsid w:val="00E2178E"/>
    <w:rsid w:val="00E21A4A"/>
    <w:rsid w:val="00E22D5E"/>
    <w:rsid w:val="00E23222"/>
    <w:rsid w:val="00E2355B"/>
    <w:rsid w:val="00E237F7"/>
    <w:rsid w:val="00E23F45"/>
    <w:rsid w:val="00E23F47"/>
    <w:rsid w:val="00E2447E"/>
    <w:rsid w:val="00E249EF"/>
    <w:rsid w:val="00E25862"/>
    <w:rsid w:val="00E26CB6"/>
    <w:rsid w:val="00E2761E"/>
    <w:rsid w:val="00E27969"/>
    <w:rsid w:val="00E27ACF"/>
    <w:rsid w:val="00E302C9"/>
    <w:rsid w:val="00E32386"/>
    <w:rsid w:val="00E3279F"/>
    <w:rsid w:val="00E32BAE"/>
    <w:rsid w:val="00E32DA2"/>
    <w:rsid w:val="00E32EE4"/>
    <w:rsid w:val="00E33BF7"/>
    <w:rsid w:val="00E340D7"/>
    <w:rsid w:val="00E34533"/>
    <w:rsid w:val="00E35D48"/>
    <w:rsid w:val="00E3668F"/>
    <w:rsid w:val="00E3720E"/>
    <w:rsid w:val="00E37761"/>
    <w:rsid w:val="00E37AFF"/>
    <w:rsid w:val="00E40398"/>
    <w:rsid w:val="00E417B5"/>
    <w:rsid w:val="00E41A58"/>
    <w:rsid w:val="00E41E4F"/>
    <w:rsid w:val="00E41E9E"/>
    <w:rsid w:val="00E42A4D"/>
    <w:rsid w:val="00E43206"/>
    <w:rsid w:val="00E434A1"/>
    <w:rsid w:val="00E43668"/>
    <w:rsid w:val="00E43CD2"/>
    <w:rsid w:val="00E440D2"/>
    <w:rsid w:val="00E44D8A"/>
    <w:rsid w:val="00E4528E"/>
    <w:rsid w:val="00E4580E"/>
    <w:rsid w:val="00E45F52"/>
    <w:rsid w:val="00E46508"/>
    <w:rsid w:val="00E46936"/>
    <w:rsid w:val="00E46AC0"/>
    <w:rsid w:val="00E46B6F"/>
    <w:rsid w:val="00E47129"/>
    <w:rsid w:val="00E473B0"/>
    <w:rsid w:val="00E47B54"/>
    <w:rsid w:val="00E47CCD"/>
    <w:rsid w:val="00E50750"/>
    <w:rsid w:val="00E509EA"/>
    <w:rsid w:val="00E50E79"/>
    <w:rsid w:val="00E50FA0"/>
    <w:rsid w:val="00E512AD"/>
    <w:rsid w:val="00E515D5"/>
    <w:rsid w:val="00E519AF"/>
    <w:rsid w:val="00E52003"/>
    <w:rsid w:val="00E5209B"/>
    <w:rsid w:val="00E52782"/>
    <w:rsid w:val="00E52A38"/>
    <w:rsid w:val="00E53E55"/>
    <w:rsid w:val="00E543B2"/>
    <w:rsid w:val="00E54B05"/>
    <w:rsid w:val="00E55C69"/>
    <w:rsid w:val="00E5715E"/>
    <w:rsid w:val="00E57F52"/>
    <w:rsid w:val="00E609F9"/>
    <w:rsid w:val="00E60B53"/>
    <w:rsid w:val="00E60C82"/>
    <w:rsid w:val="00E61840"/>
    <w:rsid w:val="00E6245E"/>
    <w:rsid w:val="00E62B44"/>
    <w:rsid w:val="00E62FFE"/>
    <w:rsid w:val="00E6373B"/>
    <w:rsid w:val="00E63DC8"/>
    <w:rsid w:val="00E64990"/>
    <w:rsid w:val="00E64BFE"/>
    <w:rsid w:val="00E65359"/>
    <w:rsid w:val="00E66040"/>
    <w:rsid w:val="00E6616A"/>
    <w:rsid w:val="00E67B4A"/>
    <w:rsid w:val="00E67F16"/>
    <w:rsid w:val="00E70990"/>
    <w:rsid w:val="00E70AB0"/>
    <w:rsid w:val="00E71171"/>
    <w:rsid w:val="00E71F27"/>
    <w:rsid w:val="00E7205D"/>
    <w:rsid w:val="00E721D9"/>
    <w:rsid w:val="00E723F5"/>
    <w:rsid w:val="00E72403"/>
    <w:rsid w:val="00E72404"/>
    <w:rsid w:val="00E72D68"/>
    <w:rsid w:val="00E737A1"/>
    <w:rsid w:val="00E73F4B"/>
    <w:rsid w:val="00E74C2C"/>
    <w:rsid w:val="00E752CD"/>
    <w:rsid w:val="00E75655"/>
    <w:rsid w:val="00E75993"/>
    <w:rsid w:val="00E75BCB"/>
    <w:rsid w:val="00E7631C"/>
    <w:rsid w:val="00E764E7"/>
    <w:rsid w:val="00E76EB7"/>
    <w:rsid w:val="00E80172"/>
    <w:rsid w:val="00E804CC"/>
    <w:rsid w:val="00E808B5"/>
    <w:rsid w:val="00E81BBF"/>
    <w:rsid w:val="00E81DB9"/>
    <w:rsid w:val="00E81EF5"/>
    <w:rsid w:val="00E81F69"/>
    <w:rsid w:val="00E822F7"/>
    <w:rsid w:val="00E8231C"/>
    <w:rsid w:val="00E8262F"/>
    <w:rsid w:val="00E828D9"/>
    <w:rsid w:val="00E84C8E"/>
    <w:rsid w:val="00E85358"/>
    <w:rsid w:val="00E863C1"/>
    <w:rsid w:val="00E86638"/>
    <w:rsid w:val="00E86B98"/>
    <w:rsid w:val="00E871FE"/>
    <w:rsid w:val="00E87A07"/>
    <w:rsid w:val="00E87B6C"/>
    <w:rsid w:val="00E9217C"/>
    <w:rsid w:val="00E921F1"/>
    <w:rsid w:val="00E92741"/>
    <w:rsid w:val="00E92C04"/>
    <w:rsid w:val="00E92EE4"/>
    <w:rsid w:val="00E93A70"/>
    <w:rsid w:val="00E93AB5"/>
    <w:rsid w:val="00E93F76"/>
    <w:rsid w:val="00E94FB9"/>
    <w:rsid w:val="00E96511"/>
    <w:rsid w:val="00E96A85"/>
    <w:rsid w:val="00E9758A"/>
    <w:rsid w:val="00E979E9"/>
    <w:rsid w:val="00E97CD2"/>
    <w:rsid w:val="00EA00B1"/>
    <w:rsid w:val="00EA050A"/>
    <w:rsid w:val="00EA0754"/>
    <w:rsid w:val="00EA0BAB"/>
    <w:rsid w:val="00EA0F2F"/>
    <w:rsid w:val="00EA11F0"/>
    <w:rsid w:val="00EA16A0"/>
    <w:rsid w:val="00EA1F5A"/>
    <w:rsid w:val="00EA2AFF"/>
    <w:rsid w:val="00EA2B36"/>
    <w:rsid w:val="00EA3FEF"/>
    <w:rsid w:val="00EA4108"/>
    <w:rsid w:val="00EA419C"/>
    <w:rsid w:val="00EA45F4"/>
    <w:rsid w:val="00EA4F4F"/>
    <w:rsid w:val="00EA56D1"/>
    <w:rsid w:val="00EA6388"/>
    <w:rsid w:val="00EB154B"/>
    <w:rsid w:val="00EB1DBE"/>
    <w:rsid w:val="00EB1EEE"/>
    <w:rsid w:val="00EB211D"/>
    <w:rsid w:val="00EB31E6"/>
    <w:rsid w:val="00EB5013"/>
    <w:rsid w:val="00EB50C9"/>
    <w:rsid w:val="00EB53AD"/>
    <w:rsid w:val="00EB5804"/>
    <w:rsid w:val="00EB5C9A"/>
    <w:rsid w:val="00EB6224"/>
    <w:rsid w:val="00EB62C2"/>
    <w:rsid w:val="00EB6DEA"/>
    <w:rsid w:val="00EB6E04"/>
    <w:rsid w:val="00EB6FC2"/>
    <w:rsid w:val="00EC0AAB"/>
    <w:rsid w:val="00EC0AF4"/>
    <w:rsid w:val="00EC0B74"/>
    <w:rsid w:val="00EC14B2"/>
    <w:rsid w:val="00EC153B"/>
    <w:rsid w:val="00EC1703"/>
    <w:rsid w:val="00EC1707"/>
    <w:rsid w:val="00EC19AE"/>
    <w:rsid w:val="00EC1EA0"/>
    <w:rsid w:val="00EC2E9B"/>
    <w:rsid w:val="00EC2F5E"/>
    <w:rsid w:val="00EC38B2"/>
    <w:rsid w:val="00EC4E70"/>
    <w:rsid w:val="00EC5046"/>
    <w:rsid w:val="00EC53E0"/>
    <w:rsid w:val="00EC57C6"/>
    <w:rsid w:val="00EC5FA2"/>
    <w:rsid w:val="00EC6235"/>
    <w:rsid w:val="00EC7AB4"/>
    <w:rsid w:val="00ED048B"/>
    <w:rsid w:val="00ED1379"/>
    <w:rsid w:val="00ED1956"/>
    <w:rsid w:val="00ED1D99"/>
    <w:rsid w:val="00ED20CB"/>
    <w:rsid w:val="00ED3795"/>
    <w:rsid w:val="00ED4629"/>
    <w:rsid w:val="00ED52BC"/>
    <w:rsid w:val="00ED55F7"/>
    <w:rsid w:val="00ED65E5"/>
    <w:rsid w:val="00ED66A4"/>
    <w:rsid w:val="00ED6D84"/>
    <w:rsid w:val="00ED78AD"/>
    <w:rsid w:val="00ED7C8E"/>
    <w:rsid w:val="00ED7F35"/>
    <w:rsid w:val="00EE0582"/>
    <w:rsid w:val="00EE079A"/>
    <w:rsid w:val="00EE0848"/>
    <w:rsid w:val="00EE0B9D"/>
    <w:rsid w:val="00EE1177"/>
    <w:rsid w:val="00EE2205"/>
    <w:rsid w:val="00EE2BDA"/>
    <w:rsid w:val="00EE2BEA"/>
    <w:rsid w:val="00EE2CD5"/>
    <w:rsid w:val="00EE34F2"/>
    <w:rsid w:val="00EE4058"/>
    <w:rsid w:val="00EE535A"/>
    <w:rsid w:val="00EE5691"/>
    <w:rsid w:val="00EE5C67"/>
    <w:rsid w:val="00EE63B4"/>
    <w:rsid w:val="00EE690D"/>
    <w:rsid w:val="00EE6F6C"/>
    <w:rsid w:val="00EF03E6"/>
    <w:rsid w:val="00EF09AA"/>
    <w:rsid w:val="00EF0C0C"/>
    <w:rsid w:val="00EF0DA4"/>
    <w:rsid w:val="00EF2642"/>
    <w:rsid w:val="00EF36D2"/>
    <w:rsid w:val="00EF3E19"/>
    <w:rsid w:val="00EF3F0D"/>
    <w:rsid w:val="00EF3F40"/>
    <w:rsid w:val="00EF3FFE"/>
    <w:rsid w:val="00EF57B0"/>
    <w:rsid w:val="00EF6F9D"/>
    <w:rsid w:val="00EF6FD5"/>
    <w:rsid w:val="00EF7386"/>
    <w:rsid w:val="00EF73D9"/>
    <w:rsid w:val="00F004BA"/>
    <w:rsid w:val="00F006CF"/>
    <w:rsid w:val="00F00A38"/>
    <w:rsid w:val="00F00AD7"/>
    <w:rsid w:val="00F0115E"/>
    <w:rsid w:val="00F015E6"/>
    <w:rsid w:val="00F02C9A"/>
    <w:rsid w:val="00F02E37"/>
    <w:rsid w:val="00F0322C"/>
    <w:rsid w:val="00F03A91"/>
    <w:rsid w:val="00F03DE3"/>
    <w:rsid w:val="00F0425D"/>
    <w:rsid w:val="00F04C31"/>
    <w:rsid w:val="00F052D1"/>
    <w:rsid w:val="00F05816"/>
    <w:rsid w:val="00F07FEC"/>
    <w:rsid w:val="00F1041F"/>
    <w:rsid w:val="00F1062E"/>
    <w:rsid w:val="00F10AFC"/>
    <w:rsid w:val="00F11185"/>
    <w:rsid w:val="00F114E6"/>
    <w:rsid w:val="00F117D1"/>
    <w:rsid w:val="00F11F65"/>
    <w:rsid w:val="00F12A95"/>
    <w:rsid w:val="00F12EA3"/>
    <w:rsid w:val="00F13526"/>
    <w:rsid w:val="00F14249"/>
    <w:rsid w:val="00F1455C"/>
    <w:rsid w:val="00F14A2E"/>
    <w:rsid w:val="00F14A91"/>
    <w:rsid w:val="00F14B07"/>
    <w:rsid w:val="00F14DFA"/>
    <w:rsid w:val="00F160B4"/>
    <w:rsid w:val="00F163FF"/>
    <w:rsid w:val="00F17177"/>
    <w:rsid w:val="00F176BA"/>
    <w:rsid w:val="00F177C6"/>
    <w:rsid w:val="00F17B2E"/>
    <w:rsid w:val="00F20C33"/>
    <w:rsid w:val="00F20E7A"/>
    <w:rsid w:val="00F215C7"/>
    <w:rsid w:val="00F217D5"/>
    <w:rsid w:val="00F219A4"/>
    <w:rsid w:val="00F2228C"/>
    <w:rsid w:val="00F22648"/>
    <w:rsid w:val="00F23247"/>
    <w:rsid w:val="00F249CD"/>
    <w:rsid w:val="00F2521E"/>
    <w:rsid w:val="00F258F1"/>
    <w:rsid w:val="00F259B6"/>
    <w:rsid w:val="00F25EF3"/>
    <w:rsid w:val="00F26B14"/>
    <w:rsid w:val="00F26CC7"/>
    <w:rsid w:val="00F26CE4"/>
    <w:rsid w:val="00F271B3"/>
    <w:rsid w:val="00F30076"/>
    <w:rsid w:val="00F315FD"/>
    <w:rsid w:val="00F32496"/>
    <w:rsid w:val="00F325B9"/>
    <w:rsid w:val="00F32D09"/>
    <w:rsid w:val="00F33ABB"/>
    <w:rsid w:val="00F34382"/>
    <w:rsid w:val="00F34525"/>
    <w:rsid w:val="00F34849"/>
    <w:rsid w:val="00F348D2"/>
    <w:rsid w:val="00F356CE"/>
    <w:rsid w:val="00F358AF"/>
    <w:rsid w:val="00F35C54"/>
    <w:rsid w:val="00F36287"/>
    <w:rsid w:val="00F362B4"/>
    <w:rsid w:val="00F3670A"/>
    <w:rsid w:val="00F372AF"/>
    <w:rsid w:val="00F37847"/>
    <w:rsid w:val="00F37BEE"/>
    <w:rsid w:val="00F37C9B"/>
    <w:rsid w:val="00F4005E"/>
    <w:rsid w:val="00F40211"/>
    <w:rsid w:val="00F4034A"/>
    <w:rsid w:val="00F41508"/>
    <w:rsid w:val="00F41698"/>
    <w:rsid w:val="00F423F0"/>
    <w:rsid w:val="00F42FE9"/>
    <w:rsid w:val="00F430B2"/>
    <w:rsid w:val="00F43577"/>
    <w:rsid w:val="00F43925"/>
    <w:rsid w:val="00F4393C"/>
    <w:rsid w:val="00F45359"/>
    <w:rsid w:val="00F45413"/>
    <w:rsid w:val="00F46113"/>
    <w:rsid w:val="00F463F5"/>
    <w:rsid w:val="00F47564"/>
    <w:rsid w:val="00F47628"/>
    <w:rsid w:val="00F47A9F"/>
    <w:rsid w:val="00F47CA5"/>
    <w:rsid w:val="00F50709"/>
    <w:rsid w:val="00F5103B"/>
    <w:rsid w:val="00F510BA"/>
    <w:rsid w:val="00F5132F"/>
    <w:rsid w:val="00F519A4"/>
    <w:rsid w:val="00F527CB"/>
    <w:rsid w:val="00F52DBF"/>
    <w:rsid w:val="00F52DF6"/>
    <w:rsid w:val="00F52FC6"/>
    <w:rsid w:val="00F530D8"/>
    <w:rsid w:val="00F535E7"/>
    <w:rsid w:val="00F5381F"/>
    <w:rsid w:val="00F5524C"/>
    <w:rsid w:val="00F56365"/>
    <w:rsid w:val="00F56546"/>
    <w:rsid w:val="00F56641"/>
    <w:rsid w:val="00F56956"/>
    <w:rsid w:val="00F57838"/>
    <w:rsid w:val="00F57A08"/>
    <w:rsid w:val="00F57ED1"/>
    <w:rsid w:val="00F60315"/>
    <w:rsid w:val="00F60EF2"/>
    <w:rsid w:val="00F60F37"/>
    <w:rsid w:val="00F61095"/>
    <w:rsid w:val="00F6111F"/>
    <w:rsid w:val="00F61AC4"/>
    <w:rsid w:val="00F61BAE"/>
    <w:rsid w:val="00F620A2"/>
    <w:rsid w:val="00F6227B"/>
    <w:rsid w:val="00F62DE7"/>
    <w:rsid w:val="00F63080"/>
    <w:rsid w:val="00F634DE"/>
    <w:rsid w:val="00F63AB7"/>
    <w:rsid w:val="00F63BA7"/>
    <w:rsid w:val="00F63E8D"/>
    <w:rsid w:val="00F64898"/>
    <w:rsid w:val="00F65282"/>
    <w:rsid w:val="00F65399"/>
    <w:rsid w:val="00F65E76"/>
    <w:rsid w:val="00F661FA"/>
    <w:rsid w:val="00F66294"/>
    <w:rsid w:val="00F66371"/>
    <w:rsid w:val="00F66830"/>
    <w:rsid w:val="00F66DFB"/>
    <w:rsid w:val="00F67634"/>
    <w:rsid w:val="00F70579"/>
    <w:rsid w:val="00F71DF2"/>
    <w:rsid w:val="00F71FB1"/>
    <w:rsid w:val="00F72493"/>
    <w:rsid w:val="00F72A56"/>
    <w:rsid w:val="00F73554"/>
    <w:rsid w:val="00F74018"/>
    <w:rsid w:val="00F75233"/>
    <w:rsid w:val="00F75FD2"/>
    <w:rsid w:val="00F7604E"/>
    <w:rsid w:val="00F7616B"/>
    <w:rsid w:val="00F765F7"/>
    <w:rsid w:val="00F76AE1"/>
    <w:rsid w:val="00F777C7"/>
    <w:rsid w:val="00F77BB1"/>
    <w:rsid w:val="00F800B6"/>
    <w:rsid w:val="00F8071F"/>
    <w:rsid w:val="00F811C6"/>
    <w:rsid w:val="00F811F8"/>
    <w:rsid w:val="00F83296"/>
    <w:rsid w:val="00F834C3"/>
    <w:rsid w:val="00F8411E"/>
    <w:rsid w:val="00F849F4"/>
    <w:rsid w:val="00F84B2D"/>
    <w:rsid w:val="00F84BC7"/>
    <w:rsid w:val="00F855D5"/>
    <w:rsid w:val="00F85D06"/>
    <w:rsid w:val="00F86288"/>
    <w:rsid w:val="00F87E46"/>
    <w:rsid w:val="00F91199"/>
    <w:rsid w:val="00F913DC"/>
    <w:rsid w:val="00F9145F"/>
    <w:rsid w:val="00F91E30"/>
    <w:rsid w:val="00F926F0"/>
    <w:rsid w:val="00F92B41"/>
    <w:rsid w:val="00F92BFE"/>
    <w:rsid w:val="00F93228"/>
    <w:rsid w:val="00F93400"/>
    <w:rsid w:val="00F9356C"/>
    <w:rsid w:val="00F93B5F"/>
    <w:rsid w:val="00F9591C"/>
    <w:rsid w:val="00F96208"/>
    <w:rsid w:val="00F96DEE"/>
    <w:rsid w:val="00F9775A"/>
    <w:rsid w:val="00F97A85"/>
    <w:rsid w:val="00F97A95"/>
    <w:rsid w:val="00FA04B2"/>
    <w:rsid w:val="00FA100A"/>
    <w:rsid w:val="00FA3252"/>
    <w:rsid w:val="00FA3858"/>
    <w:rsid w:val="00FA3865"/>
    <w:rsid w:val="00FA46C8"/>
    <w:rsid w:val="00FA4E19"/>
    <w:rsid w:val="00FA5064"/>
    <w:rsid w:val="00FA5561"/>
    <w:rsid w:val="00FA610E"/>
    <w:rsid w:val="00FA641C"/>
    <w:rsid w:val="00FA66D0"/>
    <w:rsid w:val="00FA67D6"/>
    <w:rsid w:val="00FA6E69"/>
    <w:rsid w:val="00FA7635"/>
    <w:rsid w:val="00FA77E4"/>
    <w:rsid w:val="00FA7CEF"/>
    <w:rsid w:val="00FB1578"/>
    <w:rsid w:val="00FB199D"/>
    <w:rsid w:val="00FB1C26"/>
    <w:rsid w:val="00FB1D44"/>
    <w:rsid w:val="00FB2410"/>
    <w:rsid w:val="00FB25EE"/>
    <w:rsid w:val="00FB2CD7"/>
    <w:rsid w:val="00FB2E7B"/>
    <w:rsid w:val="00FB2FF1"/>
    <w:rsid w:val="00FB4872"/>
    <w:rsid w:val="00FB4960"/>
    <w:rsid w:val="00FB5258"/>
    <w:rsid w:val="00FB5985"/>
    <w:rsid w:val="00FB5DD8"/>
    <w:rsid w:val="00FC019F"/>
    <w:rsid w:val="00FC04E6"/>
    <w:rsid w:val="00FC0624"/>
    <w:rsid w:val="00FC0B81"/>
    <w:rsid w:val="00FC1030"/>
    <w:rsid w:val="00FC1715"/>
    <w:rsid w:val="00FC20DD"/>
    <w:rsid w:val="00FC223C"/>
    <w:rsid w:val="00FC25E9"/>
    <w:rsid w:val="00FC2B6B"/>
    <w:rsid w:val="00FC371D"/>
    <w:rsid w:val="00FC41EC"/>
    <w:rsid w:val="00FC4A4B"/>
    <w:rsid w:val="00FC4D06"/>
    <w:rsid w:val="00FC5515"/>
    <w:rsid w:val="00FC5B54"/>
    <w:rsid w:val="00FC60C0"/>
    <w:rsid w:val="00FC6275"/>
    <w:rsid w:val="00FC6589"/>
    <w:rsid w:val="00FC6C35"/>
    <w:rsid w:val="00FC6D7A"/>
    <w:rsid w:val="00FC70BF"/>
    <w:rsid w:val="00FD0193"/>
    <w:rsid w:val="00FD0FAA"/>
    <w:rsid w:val="00FD12BF"/>
    <w:rsid w:val="00FD14DF"/>
    <w:rsid w:val="00FD16F5"/>
    <w:rsid w:val="00FD17D7"/>
    <w:rsid w:val="00FD239F"/>
    <w:rsid w:val="00FD2AE8"/>
    <w:rsid w:val="00FD32B8"/>
    <w:rsid w:val="00FD32FA"/>
    <w:rsid w:val="00FD380B"/>
    <w:rsid w:val="00FD3883"/>
    <w:rsid w:val="00FD38B8"/>
    <w:rsid w:val="00FD41A1"/>
    <w:rsid w:val="00FD457C"/>
    <w:rsid w:val="00FD54FC"/>
    <w:rsid w:val="00FD5ABD"/>
    <w:rsid w:val="00FD61F8"/>
    <w:rsid w:val="00FD6675"/>
    <w:rsid w:val="00FD6AF6"/>
    <w:rsid w:val="00FD6CCB"/>
    <w:rsid w:val="00FD6D27"/>
    <w:rsid w:val="00FD6F00"/>
    <w:rsid w:val="00FD73DC"/>
    <w:rsid w:val="00FD7524"/>
    <w:rsid w:val="00FD7960"/>
    <w:rsid w:val="00FD7CAF"/>
    <w:rsid w:val="00FD7E66"/>
    <w:rsid w:val="00FD7FB3"/>
    <w:rsid w:val="00FE00EC"/>
    <w:rsid w:val="00FE052A"/>
    <w:rsid w:val="00FE0EDD"/>
    <w:rsid w:val="00FE219F"/>
    <w:rsid w:val="00FE21F5"/>
    <w:rsid w:val="00FE28F4"/>
    <w:rsid w:val="00FE30C1"/>
    <w:rsid w:val="00FE3366"/>
    <w:rsid w:val="00FE3BD8"/>
    <w:rsid w:val="00FE43D5"/>
    <w:rsid w:val="00FE4546"/>
    <w:rsid w:val="00FE4747"/>
    <w:rsid w:val="00FE4AE0"/>
    <w:rsid w:val="00FE4D22"/>
    <w:rsid w:val="00FE63C2"/>
    <w:rsid w:val="00FE6805"/>
    <w:rsid w:val="00FE6968"/>
    <w:rsid w:val="00FE6995"/>
    <w:rsid w:val="00FE69AC"/>
    <w:rsid w:val="00FE6CFB"/>
    <w:rsid w:val="00FF0040"/>
    <w:rsid w:val="00FF1422"/>
    <w:rsid w:val="00FF15C6"/>
    <w:rsid w:val="00FF1617"/>
    <w:rsid w:val="00FF16CB"/>
    <w:rsid w:val="00FF182E"/>
    <w:rsid w:val="00FF208F"/>
    <w:rsid w:val="00FF2658"/>
    <w:rsid w:val="00FF2818"/>
    <w:rsid w:val="00FF2D0E"/>
    <w:rsid w:val="00FF2F51"/>
    <w:rsid w:val="00FF325F"/>
    <w:rsid w:val="00FF36A5"/>
    <w:rsid w:val="00FF3B3B"/>
    <w:rsid w:val="00FF75CC"/>
    <w:rsid w:val="00FF7726"/>
    <w:rsid w:val="017CFB5E"/>
    <w:rsid w:val="07859241"/>
    <w:rsid w:val="07E32C6E"/>
    <w:rsid w:val="08820879"/>
    <w:rsid w:val="08FD2D54"/>
    <w:rsid w:val="0929C8F9"/>
    <w:rsid w:val="0CE86720"/>
    <w:rsid w:val="10938E76"/>
    <w:rsid w:val="12C2E25E"/>
    <w:rsid w:val="13886121"/>
    <w:rsid w:val="14B9F50B"/>
    <w:rsid w:val="150DB7AC"/>
    <w:rsid w:val="15B77EAB"/>
    <w:rsid w:val="15B92082"/>
    <w:rsid w:val="15D85431"/>
    <w:rsid w:val="17DDF4CD"/>
    <w:rsid w:val="1F2470FA"/>
    <w:rsid w:val="22327785"/>
    <w:rsid w:val="2307EF88"/>
    <w:rsid w:val="232C9656"/>
    <w:rsid w:val="238EDBCC"/>
    <w:rsid w:val="23F8FC14"/>
    <w:rsid w:val="24B550A7"/>
    <w:rsid w:val="252E7EE8"/>
    <w:rsid w:val="25428D19"/>
    <w:rsid w:val="2705AFFA"/>
    <w:rsid w:val="29347D05"/>
    <w:rsid w:val="29F3C040"/>
    <w:rsid w:val="2ABD104B"/>
    <w:rsid w:val="2BB8FFFA"/>
    <w:rsid w:val="2D122AE6"/>
    <w:rsid w:val="2D21CA2C"/>
    <w:rsid w:val="2D98B88B"/>
    <w:rsid w:val="2E84F476"/>
    <w:rsid w:val="2E857C8B"/>
    <w:rsid w:val="31BE6697"/>
    <w:rsid w:val="32BFDA66"/>
    <w:rsid w:val="3783BA80"/>
    <w:rsid w:val="378DED4E"/>
    <w:rsid w:val="3B06A011"/>
    <w:rsid w:val="3C99733E"/>
    <w:rsid w:val="3D78150B"/>
    <w:rsid w:val="3F1498B8"/>
    <w:rsid w:val="3F7C7D5F"/>
    <w:rsid w:val="402EDAAF"/>
    <w:rsid w:val="40D94743"/>
    <w:rsid w:val="428A35F1"/>
    <w:rsid w:val="4299D1CC"/>
    <w:rsid w:val="4575962E"/>
    <w:rsid w:val="4857B5BD"/>
    <w:rsid w:val="48DC92B9"/>
    <w:rsid w:val="49A4947D"/>
    <w:rsid w:val="4A9A1919"/>
    <w:rsid w:val="4E6F56B7"/>
    <w:rsid w:val="4F3669E2"/>
    <w:rsid w:val="4F39E5C2"/>
    <w:rsid w:val="4F57E5F1"/>
    <w:rsid w:val="516FDE54"/>
    <w:rsid w:val="51874041"/>
    <w:rsid w:val="54AB2CC8"/>
    <w:rsid w:val="54AC4C98"/>
    <w:rsid w:val="5854A793"/>
    <w:rsid w:val="5AACF0D6"/>
    <w:rsid w:val="5AD645FD"/>
    <w:rsid w:val="5C7A0CE7"/>
    <w:rsid w:val="5DC7392C"/>
    <w:rsid w:val="5EE9B972"/>
    <w:rsid w:val="614C6E3B"/>
    <w:rsid w:val="6203A814"/>
    <w:rsid w:val="6662F08F"/>
    <w:rsid w:val="66C0A222"/>
    <w:rsid w:val="69C460C0"/>
    <w:rsid w:val="6FE85455"/>
    <w:rsid w:val="73236262"/>
    <w:rsid w:val="73528C6E"/>
    <w:rsid w:val="73D1159F"/>
    <w:rsid w:val="7488CB44"/>
    <w:rsid w:val="76BC035D"/>
    <w:rsid w:val="78BC57EF"/>
    <w:rsid w:val="7C204B97"/>
    <w:rsid w:val="7D3B748B"/>
    <w:rsid w:val="7D6C4627"/>
    <w:rsid w:val="7E0A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D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mt-MT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DA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aliases w:val="Cover title white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5A75"/>
    <w:pPr>
      <w:keepNext/>
      <w:spacing w:before="240"/>
      <w:outlineLvl w:val="1"/>
    </w:pPr>
    <w:rPr>
      <w:rFonts w:eastAsia="Arial"/>
      <w:b/>
      <w:sz w:val="24"/>
      <w:u w:val="single"/>
      <w:lang w:eastAsia="x-none"/>
    </w:rPr>
  </w:style>
  <w:style w:type="paragraph" w:styleId="Heading3">
    <w:name w:val="heading 3"/>
    <w:aliases w:val="Title 2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numPr>
        <w:numId w:val="17"/>
      </w:numPr>
      <w:spacing w:before="160"/>
      <w:outlineLvl w:val="3"/>
    </w:pPr>
    <w:rPr>
      <w:b/>
      <w:u w:val="single"/>
    </w:rPr>
  </w:style>
  <w:style w:type="paragraph" w:styleId="Heading5">
    <w:name w:val="heading 5"/>
    <w:aliases w:val="Cover subtitle white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mt-MT"/>
    </w:rPr>
  </w:style>
  <w:style w:type="character" w:customStyle="1" w:styleId="Heading2Char">
    <w:name w:val="Heading 2 Char"/>
    <w:link w:val="Heading2"/>
    <w:uiPriority w:val="99"/>
    <w:locked/>
    <w:rsid w:val="00EC5046"/>
    <w:rPr>
      <w:rFonts w:ascii="Verdana" w:hAnsi="Verdana" w:cs="Times New Roman"/>
      <w:b/>
      <w:sz w:val="24"/>
      <w:szCs w:val="24"/>
      <w:u w:val="single"/>
      <w:lang w:val="mt-MT"/>
    </w:rPr>
  </w:style>
  <w:style w:type="character" w:customStyle="1" w:styleId="Heading3Char">
    <w:name w:val="Heading 3 Char"/>
    <w:aliases w:val="Title 2 Char"/>
    <w:uiPriority w:val="99"/>
    <w:locked/>
    <w:rsid w:val="00884FEB"/>
    <w:rPr>
      <w:rFonts w:cs="Times New Roman"/>
      <w:sz w:val="24"/>
      <w:szCs w:val="24"/>
      <w:lang w:val="mt-MT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aliases w:val="Cover subtitle white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qFormat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1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2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3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4"/>
      </w:numPr>
      <w:spacing w:line="240" w:lineRule="exact"/>
    </w:pPr>
  </w:style>
  <w:style w:type="paragraph" w:styleId="FootnoteText">
    <w:name w:val="footnote text"/>
    <w:basedOn w:val="Normal"/>
    <w:link w:val="FootnoteTextChar"/>
    <w:qFormat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eastAsia="de-DE"/>
    </w:rPr>
  </w:style>
  <w:style w:type="character" w:customStyle="1" w:styleId="FootnoteTextChar">
    <w:name w:val="Footnote Text Char"/>
    <w:link w:val="FootnoteText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qFormat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eastAsia="de-DE"/>
    </w:rPr>
  </w:style>
  <w:style w:type="character" w:customStyle="1" w:styleId="FooterChar">
    <w:name w:val="Footer Char"/>
    <w:link w:val="Footer"/>
    <w:uiPriority w:val="99"/>
    <w:locked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7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8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eastAsia="de-DE"/>
    </w:rPr>
  </w:style>
  <w:style w:type="character" w:customStyle="1" w:styleId="HeaderChar">
    <w:name w:val="Header Char"/>
    <w:link w:val="Header"/>
    <w:uiPriority w:val="99"/>
    <w:locked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9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0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1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2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aliases w:val="Title 2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E434A1"/>
    <w:pPr>
      <w:tabs>
        <w:tab w:val="left" w:pos="794"/>
        <w:tab w:val="right" w:leader="dot" w:pos="9071"/>
      </w:tabs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eastAsia="de-DE"/>
    </w:rPr>
  </w:style>
  <w:style w:type="character" w:customStyle="1" w:styleId="QuoteChar">
    <w:name w:val="Quote Char"/>
    <w:link w:val="Quote"/>
    <w:uiPriority w:val="29"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4FEB"/>
    <w:rPr>
      <w:rFonts w:eastAsia="Arial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locked/>
    <w:rsid w:val="00884FEB"/>
    <w:rPr>
      <w:rFonts w:ascii="Verdana" w:hAnsi="Verdana" w:cs="Times New Roman"/>
      <w:sz w:val="20"/>
      <w:szCs w:val="20"/>
      <w:lang w:val="mt-MT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mt-MT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13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14"/>
      </w:numPr>
      <w:spacing w:before="240" w:after="60" w:line="360" w:lineRule="auto"/>
    </w:pPr>
    <w:rPr>
      <w:rFonts w:ascii="Verdana" w:eastAsia="Times New Roman" w:hAnsi="Verdana"/>
      <w:szCs w:val="26"/>
      <w:u w:val="single"/>
      <w:lang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030E10"/>
    <w:pPr>
      <w:spacing w:before="0"/>
    </w:pPr>
    <w:rPr>
      <w:rFonts w:ascii="Times New Roman" w:hAnsi="Times New Roman"/>
      <w:sz w:val="24"/>
      <w:lang w:eastAsia="de-D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mt-MT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030E10"/>
    <w:rPr>
      <w:rFonts w:ascii="Times New Roman" w:eastAsia="Times New Roman" w:hAnsi="Times New Roman"/>
      <w:sz w:val="24"/>
      <w:szCs w:val="24"/>
      <w:lang w:eastAsia="de-DE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8F50DF"/>
    <w:pPr>
      <w:numPr>
        <w:numId w:val="15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mt-MT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mt-MT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19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mt-MT" w:eastAsia="de-DE"/>
    </w:rPr>
  </w:style>
  <w:style w:type="paragraph" w:customStyle="1" w:styleId="NumPar1">
    <w:name w:val="NumPar 1"/>
    <w:basedOn w:val="Normal"/>
    <w:next w:val="Normal"/>
    <w:link w:val="NumPar1Char"/>
    <w:uiPriority w:val="99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mt-MT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6"/>
      </w:numPr>
    </w:pPr>
  </w:style>
  <w:style w:type="numbering" w:customStyle="1" w:styleId="Formatvorlage3">
    <w:name w:val="Formatvorlage3"/>
    <w:uiPriority w:val="99"/>
    <w:rsid w:val="00BF60F7"/>
    <w:pPr>
      <w:numPr>
        <w:numId w:val="16"/>
      </w:numPr>
    </w:pPr>
  </w:style>
  <w:style w:type="numbering" w:customStyle="1" w:styleId="Formatvorlage1">
    <w:name w:val="Formatvorlage1"/>
    <w:uiPriority w:val="99"/>
    <w:rsid w:val="00BF60F7"/>
    <w:pPr>
      <w:numPr>
        <w:numId w:val="5"/>
      </w:numPr>
    </w:pPr>
  </w:style>
  <w:style w:type="numbering" w:customStyle="1" w:styleId="Formatvorlage4">
    <w:name w:val="Formatvorlage4"/>
    <w:uiPriority w:val="99"/>
    <w:rsid w:val="00BF60F7"/>
    <w:pPr>
      <w:numPr>
        <w:numId w:val="18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mt-MT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styleId="NormalWeb">
    <w:name w:val="Normal (Web)"/>
    <w:basedOn w:val="Normal"/>
    <w:uiPriority w:val="99"/>
    <w:unhideWhenUsed/>
    <w:locked/>
    <w:rsid w:val="00C7103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locked/>
    <w:rsid w:val="00C7103D"/>
    <w:rPr>
      <w:i/>
      <w:iCs/>
    </w:rPr>
  </w:style>
  <w:style w:type="paragraph" w:customStyle="1" w:styleId="TableMainHeading">
    <w:name w:val="TableMainHeading"/>
    <w:basedOn w:val="Normal"/>
    <w:next w:val="Normal"/>
    <w:uiPriority w:val="99"/>
    <w:rsid w:val="007C64F7"/>
    <w:pPr>
      <w:jc w:val="left"/>
    </w:pPr>
    <w:rPr>
      <w:rFonts w:ascii="Segoe UI" w:hAnsi="Segoe UI"/>
      <w:sz w:val="22"/>
      <w:szCs w:val="20"/>
    </w:rPr>
  </w:style>
  <w:style w:type="paragraph" w:customStyle="1" w:styleId="body">
    <w:name w:val="body"/>
    <w:qFormat/>
    <w:rsid w:val="008151A6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paragraph" w:customStyle="1" w:styleId="Applicationdirecte">
    <w:name w:val="Application directe"/>
    <w:basedOn w:val="Normal"/>
    <w:next w:val="Fait"/>
    <w:rsid w:val="00595FAD"/>
    <w:pPr>
      <w:spacing w:before="480"/>
    </w:pPr>
    <w:rPr>
      <w:rFonts w:ascii="Times New Roman" w:hAnsi="Times New Roman"/>
      <w:sz w:val="24"/>
    </w:rPr>
  </w:style>
  <w:style w:type="paragraph" w:customStyle="1" w:styleId="Fait">
    <w:name w:val="Fait à"/>
    <w:basedOn w:val="Normal"/>
    <w:next w:val="Normal"/>
    <w:rsid w:val="00595FAD"/>
    <w:pPr>
      <w:keepNext/>
      <w:spacing w:after="0"/>
    </w:pPr>
    <w:rPr>
      <w:rFonts w:ascii="Times New Roman" w:hAnsi="Times New Roman"/>
      <w:sz w:val="24"/>
    </w:rPr>
  </w:style>
  <w:style w:type="paragraph" w:customStyle="1" w:styleId="Numberedtilelevel1">
    <w:name w:val="Numbered tile level 1"/>
    <w:basedOn w:val="Titlelevel1"/>
    <w:qFormat/>
    <w:rsid w:val="00595FAD"/>
    <w:pPr>
      <w:numPr>
        <w:numId w:val="25"/>
      </w:numPr>
    </w:pPr>
  </w:style>
  <w:style w:type="paragraph" w:customStyle="1" w:styleId="Numberedtitlelevel2">
    <w:name w:val="Numbered title level 2"/>
    <w:basedOn w:val="Titlelevel2"/>
    <w:next w:val="body"/>
    <w:qFormat/>
    <w:rsid w:val="00595FAD"/>
    <w:pPr>
      <w:numPr>
        <w:ilvl w:val="1"/>
        <w:numId w:val="25"/>
      </w:numPr>
    </w:pPr>
  </w:style>
  <w:style w:type="paragraph" w:customStyle="1" w:styleId="Titlelevel2">
    <w:name w:val="Title level 2"/>
    <w:qFormat/>
    <w:rsid w:val="00595FAD"/>
    <w:pPr>
      <w:spacing w:before="240" w:after="240"/>
    </w:pPr>
    <w:rPr>
      <w:rFonts w:asciiTheme="majorHAnsi" w:eastAsiaTheme="majorEastAsia" w:hAnsiTheme="majorHAnsi" w:cstheme="majorBidi"/>
      <w:bCs/>
      <w:color w:val="1F497D" w:themeColor="text2"/>
      <w:sz w:val="32"/>
      <w:szCs w:val="24"/>
      <w:lang w:eastAsia="en-US" w:bidi="ar-SA"/>
    </w:rPr>
  </w:style>
  <w:style w:type="paragraph" w:customStyle="1" w:styleId="Tableheader">
    <w:name w:val="Table header"/>
    <w:next w:val="Tabledata"/>
    <w:qFormat/>
    <w:rsid w:val="00595FAD"/>
    <w:pPr>
      <w:spacing w:after="80"/>
    </w:pPr>
    <w:rPr>
      <w:rFonts w:ascii="Calibri" w:eastAsia="Times New Roman" w:hAnsi="Calibri"/>
      <w:b/>
      <w:color w:val="000000"/>
      <w:sz w:val="22"/>
      <w:szCs w:val="22"/>
      <w:lang w:eastAsia="en-US" w:bidi="ar-SA"/>
    </w:rPr>
  </w:style>
  <w:style w:type="paragraph" w:customStyle="1" w:styleId="Tabledata">
    <w:name w:val="Table data"/>
    <w:basedOn w:val="body"/>
    <w:qFormat/>
    <w:rsid w:val="00595FAD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eastAsia="en-GB"/>
    </w:rPr>
  </w:style>
  <w:style w:type="paragraph" w:customStyle="1" w:styleId="List1">
    <w:name w:val="List1"/>
    <w:autoRedefine/>
    <w:qFormat/>
    <w:rsid w:val="00595FAD"/>
    <w:pPr>
      <w:numPr>
        <w:numId w:val="23"/>
      </w:numPr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table" w:styleId="TableProfessional">
    <w:name w:val="Table Professional"/>
    <w:basedOn w:val="TableNormal"/>
    <w:uiPriority w:val="99"/>
    <w:semiHidden/>
    <w:unhideWhenUsed/>
    <w:locked/>
    <w:rsid w:val="00595FAD"/>
    <w:rPr>
      <w:rFonts w:asciiTheme="minorHAnsi" w:eastAsiaTheme="minorEastAsia" w:hAnsiTheme="minorHAnsi" w:cstheme="minorBidi"/>
      <w:sz w:val="24"/>
      <w:szCs w:val="24"/>
      <w:lang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locked/>
    <w:rsid w:val="00595FAD"/>
    <w:pPr>
      <w:numPr>
        <w:numId w:val="24"/>
      </w:numPr>
      <w:spacing w:before="240" w:after="120"/>
      <w:contextualSpacing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paragraph" w:customStyle="1" w:styleId="Titlelevel1">
    <w:name w:val="Title level 1"/>
    <w:autoRedefine/>
    <w:qFormat/>
    <w:rsid w:val="00595FAD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eastAsia="en-US" w:bidi="ar-SA"/>
    </w:rPr>
  </w:style>
  <w:style w:type="paragraph" w:customStyle="1" w:styleId="Titlelevel3">
    <w:name w:val="Title level 3"/>
    <w:qFormat/>
    <w:rsid w:val="00595FAD"/>
    <w:pPr>
      <w:spacing w:before="240" w:after="240"/>
    </w:pPr>
    <w:rPr>
      <w:rFonts w:asciiTheme="minorHAnsi" w:eastAsiaTheme="minorEastAsia" w:hAnsiTheme="minorHAnsi" w:cstheme="minorBidi"/>
      <w:b/>
      <w:color w:val="1F497D" w:themeColor="text2"/>
      <w:sz w:val="24"/>
      <w:szCs w:val="24"/>
      <w:lang w:eastAsia="en-US" w:bidi="ar-SA"/>
    </w:rPr>
  </w:style>
  <w:style w:type="paragraph" w:customStyle="1" w:styleId="Titlelevel4">
    <w:name w:val="Title level 4"/>
    <w:next w:val="body"/>
    <w:qFormat/>
    <w:rsid w:val="00595FAD"/>
    <w:pPr>
      <w:spacing w:before="240" w:after="240"/>
    </w:pPr>
    <w:rPr>
      <w:rFonts w:asciiTheme="minorHAnsi" w:eastAsiaTheme="minorEastAsia" w:hAnsiTheme="minorHAnsi" w:cstheme="minorBidi"/>
      <w:color w:val="EEECE1" w:themeColor="background2"/>
      <w:sz w:val="24"/>
      <w:szCs w:val="24"/>
      <w:lang w:eastAsia="en-US" w:bidi="ar-SA"/>
    </w:rPr>
  </w:style>
  <w:style w:type="paragraph" w:customStyle="1" w:styleId="Figuretitle">
    <w:name w:val="Figure title"/>
    <w:basedOn w:val="body"/>
    <w:next w:val="Normal"/>
    <w:autoRedefine/>
    <w:qFormat/>
    <w:rsid w:val="00595FAD"/>
    <w:pPr>
      <w:keepNext/>
      <w:spacing w:before="360" w:after="360"/>
    </w:pPr>
    <w:rPr>
      <w:rFonts w:eastAsia="Times New Roman" w:cs="Times New Roman"/>
      <w:bCs/>
      <w:noProof/>
      <w:color w:val="1F497D" w:themeColor="text2"/>
      <w:szCs w:val="20"/>
      <w:lang w:eastAsia="en-GB"/>
    </w:rPr>
  </w:style>
  <w:style w:type="table" w:customStyle="1" w:styleId="EBAtable">
    <w:name w:val="EBA table"/>
    <w:basedOn w:val="TableNormal"/>
    <w:uiPriority w:val="99"/>
    <w:rsid w:val="00595FAD"/>
    <w:rPr>
      <w:rFonts w:asciiTheme="minorHAnsi" w:eastAsiaTheme="minorEastAsia" w:hAnsiTheme="minorHAnsi" w:cstheme="minorBidi"/>
      <w:sz w:val="24"/>
      <w:szCs w:val="24"/>
      <w:lang w:eastAsia="en-US" w:bidi="ar-SA"/>
    </w:rPr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Runningtitle">
    <w:name w:val="Running title"/>
    <w:qFormat/>
    <w:rsid w:val="00595FAD"/>
    <w:rPr>
      <w:rFonts w:asciiTheme="minorHAnsi" w:eastAsiaTheme="minorEastAsia" w:hAnsiTheme="minorHAnsi" w:cstheme="minorBidi"/>
      <w:caps/>
      <w:sz w:val="16"/>
      <w:szCs w:val="18"/>
      <w:lang w:eastAsia="en-US" w:bidi="ar-SA"/>
    </w:rPr>
  </w:style>
  <w:style w:type="paragraph" w:customStyle="1" w:styleId="bullet1">
    <w:name w:val="bullet 1"/>
    <w:basedOn w:val="body"/>
    <w:next w:val="body"/>
    <w:qFormat/>
    <w:rsid w:val="00595FAD"/>
    <w:pPr>
      <w:numPr>
        <w:numId w:val="21"/>
      </w:numPr>
    </w:pPr>
    <w:rPr>
      <w:szCs w:val="22"/>
    </w:rPr>
  </w:style>
  <w:style w:type="paragraph" w:customStyle="1" w:styleId="bullet2">
    <w:name w:val="bullet 2"/>
    <w:basedOn w:val="body"/>
    <w:qFormat/>
    <w:rsid w:val="00595FAD"/>
    <w:pPr>
      <w:numPr>
        <w:numId w:val="20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595FAD"/>
    <w:pPr>
      <w:numPr>
        <w:ilvl w:val="2"/>
        <w:numId w:val="25"/>
      </w:numPr>
    </w:pPr>
  </w:style>
  <w:style w:type="table" w:styleId="LightShading">
    <w:name w:val="Light Shading"/>
    <w:basedOn w:val="TableNormal"/>
    <w:uiPriority w:val="60"/>
    <w:rsid w:val="00595FAD"/>
    <w:rPr>
      <w:rFonts w:asciiTheme="minorHAnsi" w:eastAsiaTheme="minorEastAsia" w:hAnsiTheme="minorHAnsi" w:cstheme="minorBidi"/>
      <w:color w:val="000000" w:themeColor="text1" w:themeShade="BF"/>
      <w:sz w:val="24"/>
      <w:szCs w:val="24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95FAD"/>
    <w:rPr>
      <w:rFonts w:asciiTheme="minorHAnsi" w:eastAsiaTheme="minorEastAsia" w:hAnsiTheme="minorHAnsi" w:cstheme="minorBidi"/>
      <w:color w:val="365F91" w:themeColor="accent1" w:themeShade="BF"/>
      <w:sz w:val="24"/>
      <w:szCs w:val="24"/>
      <w:lang w:eastAsia="en-US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595FAD"/>
  </w:style>
  <w:style w:type="paragraph" w:customStyle="1" w:styleId="Numberedtitlelevel4">
    <w:name w:val="Numbered title level 4"/>
    <w:basedOn w:val="Titlelevel4"/>
    <w:qFormat/>
    <w:rsid w:val="00595FAD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qFormat/>
    <w:locked/>
    <w:rsid w:val="00595FAD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5FAD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mt-MT" w:eastAsia="en-US" w:bidi="ar-SA"/>
    </w:rPr>
  </w:style>
  <w:style w:type="paragraph" w:styleId="Subtitle">
    <w:name w:val="Subtitle"/>
    <w:next w:val="Normal"/>
    <w:link w:val="SubtitleChar"/>
    <w:autoRedefine/>
    <w:uiPriority w:val="11"/>
    <w:qFormat/>
    <w:locked/>
    <w:rsid w:val="00595FAD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95FAD"/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styleId="BookTitle">
    <w:name w:val="Book Title"/>
    <w:basedOn w:val="DefaultParagraphFont"/>
    <w:uiPriority w:val="33"/>
    <w:qFormat/>
    <w:rsid w:val="00595FAD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595FAD"/>
    <w:rPr>
      <w:rFonts w:asciiTheme="minorHAnsi" w:hAnsiTheme="minorHAnsi"/>
      <w:b/>
      <w:bCs/>
      <w:caps w:val="0"/>
      <w:smallCaps w:val="0"/>
      <w:color w:val="EEECE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595FAD"/>
    <w:rPr>
      <w:bCs/>
      <w:lang w:eastAsia="en-GB"/>
    </w:rPr>
  </w:style>
  <w:style w:type="paragraph" w:styleId="ListBullet">
    <w:name w:val="List Bullet"/>
    <w:basedOn w:val="Normal"/>
    <w:semiHidden/>
    <w:qFormat/>
    <w:locked/>
    <w:rsid w:val="00595FAD"/>
    <w:pPr>
      <w:numPr>
        <w:numId w:val="27"/>
      </w:numPr>
      <w:spacing w:before="0" w:after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customStyle="1" w:styleId="numberedparagraph">
    <w:name w:val="numbered paragraph"/>
    <w:basedOn w:val="body"/>
    <w:qFormat/>
    <w:rsid w:val="00595FAD"/>
    <w:pPr>
      <w:numPr>
        <w:numId w:val="26"/>
      </w:numPr>
    </w:pPr>
  </w:style>
  <w:style w:type="character" w:customStyle="1" w:styleId="Marker">
    <w:name w:val="Marker"/>
    <w:rsid w:val="00595FAD"/>
    <w:rPr>
      <w:color w:val="0000FF"/>
      <w:shd w:val="clear" w:color="auto" w:fill="auto"/>
    </w:rPr>
  </w:style>
  <w:style w:type="character" w:customStyle="1" w:styleId="Marker2">
    <w:name w:val="Marker2"/>
    <w:rsid w:val="00595FAD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595FAD"/>
    <w:pPr>
      <w:jc w:val="center"/>
    </w:pPr>
    <w:rPr>
      <w:rFonts w:ascii="Times New Roman" w:hAnsi="Times New Roman"/>
      <w:b/>
      <w:sz w:val="24"/>
      <w:u w:val="single"/>
    </w:rPr>
  </w:style>
  <w:style w:type="paragraph" w:customStyle="1" w:styleId="Considrant">
    <w:name w:val="Considérant"/>
    <w:basedOn w:val="Normal"/>
    <w:rsid w:val="00595FAD"/>
    <w:pPr>
      <w:numPr>
        <w:numId w:val="28"/>
      </w:numPr>
    </w:pPr>
    <w:rPr>
      <w:rFonts w:ascii="Times New Roman" w:hAnsi="Times New Roman"/>
      <w:sz w:val="24"/>
    </w:rPr>
  </w:style>
  <w:style w:type="paragraph" w:customStyle="1" w:styleId="Datedadoption">
    <w:name w:val="Date d'adoption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Formuledadoption">
    <w:name w:val="Formule d'adoption"/>
    <w:basedOn w:val="Normal"/>
    <w:next w:val="Titrearticle"/>
    <w:rsid w:val="00595FAD"/>
    <w:pPr>
      <w:keepNext/>
    </w:pPr>
    <w:rPr>
      <w:rFonts w:ascii="Times New Roman" w:hAnsi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595FAD"/>
    <w:pPr>
      <w:keepNext/>
      <w:tabs>
        <w:tab w:val="left" w:pos="4252"/>
      </w:tabs>
      <w:spacing w:before="720" w:after="0"/>
    </w:pPr>
    <w:rPr>
      <w:rFonts w:ascii="Times New Roman" w:hAnsi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595FAD"/>
    <w:pPr>
      <w:tabs>
        <w:tab w:val="left" w:pos="4252"/>
      </w:tabs>
      <w:spacing w:before="0" w:after="0"/>
      <w:jc w:val="left"/>
    </w:pPr>
    <w:rPr>
      <w:rFonts w:ascii="Times New Roman" w:hAnsi="Times New Roman"/>
      <w:i/>
      <w:sz w:val="24"/>
    </w:rPr>
  </w:style>
  <w:style w:type="paragraph" w:customStyle="1" w:styleId="Titreobjet">
    <w:name w:val="Titre objet"/>
    <w:basedOn w:val="Normal"/>
    <w:next w:val="Normal"/>
    <w:rsid w:val="00595FAD"/>
    <w:pPr>
      <w:spacing w:before="360" w:after="360"/>
      <w:jc w:val="center"/>
    </w:pPr>
    <w:rPr>
      <w:rFonts w:ascii="Times New Roman" w:hAnsi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595FAD"/>
    <w:rPr>
      <w:rFonts w:ascii="Times New Roman" w:hAnsi="Times New Roman"/>
      <w:sz w:val="24"/>
    </w:rPr>
  </w:style>
  <w:style w:type="paragraph" w:customStyle="1" w:styleId="Institutionquiagit">
    <w:name w:val="Institution qui agit"/>
    <w:basedOn w:val="Normal"/>
    <w:next w:val="Normal"/>
    <w:rsid w:val="00595FAD"/>
    <w:pPr>
      <w:keepNext/>
      <w:spacing w:before="60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595FAD"/>
    <w:pPr>
      <w:spacing w:before="0"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TableNote">
    <w:name w:val="TableNote"/>
    <w:basedOn w:val="Normal"/>
    <w:rsid w:val="00595FAD"/>
    <w:pPr>
      <w:spacing w:before="60"/>
    </w:pPr>
    <w:rPr>
      <w:rFonts w:ascii="Segoe UI" w:hAnsi="Segoe UI"/>
      <w:sz w:val="15"/>
      <w:szCs w:val="20"/>
    </w:rPr>
  </w:style>
  <w:style w:type="paragraph" w:customStyle="1" w:styleId="CM11">
    <w:name w:val="CM1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13">
    <w:name w:val="CM1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3">
    <w:name w:val="CM3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5777"/>
    <w:rPr>
      <w:rFonts w:ascii="Verdana" w:eastAsia="Times New Roman" w:hAnsi="Verdana"/>
      <w:szCs w:val="24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5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7761"/>
    <w:rPr>
      <w:color w:val="605E5C"/>
      <w:shd w:val="clear" w:color="auto" w:fill="E1DFDD"/>
    </w:rPr>
  </w:style>
  <w:style w:type="paragraph" w:customStyle="1" w:styleId="NumberedparagraphL1">
    <w:name w:val="Numbered paragraph L1"/>
    <w:basedOn w:val="Normal"/>
    <w:link w:val="NumberedparagraphL1Char"/>
    <w:uiPriority w:val="1"/>
    <w:qFormat/>
    <w:rsid w:val="00AF5506"/>
    <w:pPr>
      <w:spacing w:before="240" w:line="276" w:lineRule="auto"/>
    </w:pPr>
    <w:rPr>
      <w:rFonts w:asciiTheme="minorHAnsi" w:hAnsiTheme="minorHAnsi" w:cstheme="minorBidi"/>
    </w:rPr>
  </w:style>
  <w:style w:type="character" w:customStyle="1" w:styleId="NumberedparagraphL1Char">
    <w:name w:val="Numbered paragraph L1 Char"/>
    <w:basedOn w:val="DefaultParagraphFont"/>
    <w:link w:val="NumberedparagraphL1"/>
    <w:uiPriority w:val="1"/>
    <w:rsid w:val="00AF5506"/>
    <w:rPr>
      <w:rFonts w:asciiTheme="minorHAnsi" w:eastAsia="Times New Roman" w:hAnsiTheme="minorHAnsi" w:cstheme="minorBidi"/>
      <w:szCs w:val="24"/>
      <w:lang w:eastAsia="en-US" w:bidi="ar-SA"/>
    </w:rPr>
  </w:style>
  <w:style w:type="character" w:customStyle="1" w:styleId="ui-provider">
    <w:name w:val="ui-provider"/>
    <w:basedOn w:val="DefaultParagraphFont"/>
    <w:rsid w:val="00B77A2C"/>
  </w:style>
  <w:style w:type="character" w:styleId="Mention">
    <w:name w:val="Mention"/>
    <w:basedOn w:val="DefaultParagraphFont"/>
    <w:uiPriority w:val="99"/>
    <w:unhideWhenUsed/>
    <w:rsid w:val="00EB211D"/>
    <w:rPr>
      <w:color w:val="2B579A"/>
      <w:shd w:val="clear" w:color="auto" w:fill="E1DFDD"/>
    </w:rPr>
  </w:style>
  <w:style w:type="character" w:customStyle="1" w:styleId="DNEx1">
    <w:name w:val="DNEx1"/>
    <w:basedOn w:val="DefaultParagraphFont"/>
    <w:uiPriority w:val="1"/>
    <w:qFormat/>
    <w:rsid w:val="00C86126"/>
  </w:style>
  <w:style w:type="character" w:customStyle="1" w:styleId="DNEx2">
    <w:name w:val="DNEx2"/>
    <w:basedOn w:val="DefaultParagraphFont"/>
    <w:uiPriority w:val="1"/>
    <w:qFormat/>
    <w:rsid w:val="00C86126"/>
    <w:rPr>
      <w:rFonts w:ascii="Times New Roman" w:hAnsi="Times New Roman"/>
      <w:sz w:val="24"/>
      <w:lang w:eastAsia="de-DE"/>
    </w:rPr>
  </w:style>
  <w:style w:type="paragraph" w:customStyle="1" w:styleId="Style1">
    <w:name w:val="Style1"/>
    <w:basedOn w:val="FootnoteText"/>
    <w:qFormat/>
    <w:rsid w:val="00C86126"/>
    <w:rPr>
      <w:rFonts w:eastAsia="Times New Roman"/>
    </w:rPr>
  </w:style>
  <w:style w:type="paragraph" w:customStyle="1" w:styleId="Style2">
    <w:name w:val="Style2"/>
    <w:basedOn w:val="Normal"/>
    <w:qFormat/>
    <w:rsid w:val="005D2D2B"/>
    <w:pPr>
      <w:keepNext/>
      <w:spacing w:before="0" w:line="259" w:lineRule="auto"/>
      <w:jc w:val="left"/>
    </w:pPr>
    <w:rPr>
      <w:rFonts w:ascii="Times New Roman" w:hAnsi="Times New Roman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ba.europa.eu/activities/single-rulebook/regulatory-activities/supervisory-reporting/implementing-technical-standards-supervisory-reporting-changes-related-crr3crd6-step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86269AE2424A8D342950147AB377" ma:contentTypeVersion="3" ma:contentTypeDescription="Create a new document." ma:contentTypeScope="" ma:versionID="1c6d71e8fe77cb1d31a72a025cb5529a">
  <xsd:schema xmlns:xsd="http://www.w3.org/2001/XMLSchema" xmlns:xs="http://www.w3.org/2001/XMLSchema" xmlns:p="http://schemas.microsoft.com/office/2006/metadata/properties" xmlns:ns2="d520683a-cb21-4d3a-9123-58e4528859ba" targetNamespace="http://schemas.microsoft.com/office/2006/metadata/properties" ma:root="true" ma:fieldsID="cdbf0337ca5db9b749df9a74d0371656" ns2:_="">
    <xsd:import namespace="d520683a-cb21-4d3a-9123-58e452885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683a-cb21-4d3a-9123-58e452885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28C9C-3A1B-490D-856C-158C4347D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D7027-2894-4510-AA92-4A9D2D9A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683a-cb21-4d3a-9123-58e45288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903E8-976A-4911-AA4D-4A107B94B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E4F42-7645-4234-8C8A-5A366B35CC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9267</Words>
  <Characters>65516</Characters>
  <Application>Microsoft Office Word</Application>
  <DocSecurity>0</DocSecurity>
  <Lines>545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2025-10-14T15:53:00Z</dcterms:created>
  <dcterms:modified xsi:type="dcterms:W3CDTF">2025-12-05T14:10:00Z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0x01010061D786269AE2424A8D342950147AB377</vt:lpwstr>
  </property>
</Properties>
</file>