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9C6447" w:rsidRDefault="00E114F3" w:rsidP="00370155">
      <w:pPr>
        <w:pStyle w:val="Annexetitre"/>
        <w:spacing w:before="0"/>
        <w:ind w:firstLine="720"/>
        <w:jc w:val="left"/>
      </w:pPr>
      <w:r w:rsidRPr="009C6447">
        <w:t>BILAGA XXXII – Instruktioner för mallar för offentliggörande av operativ risk</w:t>
      </w:r>
    </w:p>
    <w:p w14:paraId="672A6659" w14:textId="77777777" w:rsidR="00E114F3" w:rsidRPr="009C6447" w:rsidRDefault="00E114F3" w:rsidP="00E114F3">
      <w:pPr>
        <w:spacing w:after="120"/>
        <w:jc w:val="both"/>
        <w:rPr>
          <w:rFonts w:ascii="Times New Roman" w:hAnsi="Times New Roman"/>
          <w:b/>
          <w:bCs/>
          <w:sz w:val="24"/>
        </w:rPr>
      </w:pPr>
    </w:p>
    <w:p w14:paraId="384DD143" w14:textId="77777777" w:rsidR="00E114F3" w:rsidRPr="009C6447" w:rsidRDefault="00E114F3" w:rsidP="00E114F3">
      <w:pPr>
        <w:spacing w:after="120"/>
        <w:rPr>
          <w:rFonts w:ascii="Times New Roman" w:hAnsi="Times New Roman"/>
          <w:bCs/>
          <w:sz w:val="24"/>
        </w:rPr>
      </w:pPr>
      <w:r w:rsidRPr="009C6447">
        <w:rPr>
          <w:rFonts w:ascii="Times New Roman" w:hAnsi="Times New Roman"/>
          <w:b/>
          <w:sz w:val="24"/>
        </w:rPr>
        <w:t xml:space="preserve">Tabell EU ORA – Kvalitativa uppgifter om operativ risk. </w:t>
      </w:r>
      <w:r w:rsidRPr="009C6447">
        <w:rPr>
          <w:rFonts w:ascii="Times New Roman" w:hAnsi="Times New Roman"/>
          <w:sz w:val="24"/>
        </w:rPr>
        <w:t>Flexibel tabell</w:t>
      </w:r>
    </w:p>
    <w:p w14:paraId="2E1E5572" w14:textId="6D56D6EF" w:rsidR="00E114F3" w:rsidRPr="009C6447" w:rsidRDefault="2A1FD4BE" w:rsidP="44B77564">
      <w:pPr>
        <w:numPr>
          <w:ilvl w:val="0"/>
          <w:numId w:val="1"/>
        </w:numPr>
        <w:spacing w:after="120"/>
        <w:jc w:val="both"/>
        <w:rPr>
          <w:rFonts w:ascii="Calibri" w:eastAsia="Times New Roman" w:hAnsi="Calibri" w:cs="Times New Roman"/>
          <w:color w:val="000000"/>
        </w:rPr>
      </w:pPr>
      <w:r w:rsidRPr="009C6447">
        <w:rPr>
          <w:rFonts w:ascii="Times New Roman" w:hAnsi="Times New Roman"/>
          <w:sz w:val="24"/>
        </w:rPr>
        <w:t>Instituten ska offentliggöra den information som anges i denna tabell vid tillämpning av artiklarna 435.1 och 466.1 a i förordning (EU) nr 575/2013</w:t>
      </w:r>
      <w:r w:rsidR="00E114F3" w:rsidRPr="009C6447">
        <w:rPr>
          <w:rStyle w:val="FootnoteReference"/>
          <w:rFonts w:ascii="Times New Roman" w:hAnsi="Times New Roman"/>
          <w:sz w:val="24"/>
          <w:szCs w:val="24"/>
        </w:rPr>
        <w:footnoteReference w:id="2"/>
      </w:r>
      <w:r w:rsidRPr="009C6447">
        <w:rPr>
          <w:rFonts w:ascii="Times New Roman" w:hAnsi="Times New Roman"/>
          <w:sz w:val="24"/>
        </w:rPr>
        <w:t>.</w:t>
      </w:r>
    </w:p>
    <w:p w14:paraId="728254AD" w14:textId="52B3E768" w:rsidR="00E114F3" w:rsidRPr="009C6447" w:rsidRDefault="00E114F3" w:rsidP="00E114F3">
      <w:pPr>
        <w:numPr>
          <w:ilvl w:val="0"/>
          <w:numId w:val="1"/>
        </w:numPr>
        <w:spacing w:after="120"/>
        <w:jc w:val="both"/>
        <w:rPr>
          <w:rFonts w:ascii="Times New Roman" w:hAnsi="Times New Roman"/>
          <w:bCs/>
          <w:sz w:val="24"/>
        </w:rPr>
      </w:pPr>
      <w:r w:rsidRPr="009C6447">
        <w:rPr>
          <w:rFonts w:ascii="Times New Roman" w:hAnsi="Times New Roman"/>
          <w:sz w:val="24"/>
        </w:rPr>
        <w:t xml:space="preserve">Instituten ska följa de instruktioner som anges nedan i denna bilaga för att fylla i tabellen EU ORA för offentliggörande av operativ risk, som den beskrivs i bilaga XXXI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w:t>
      </w:r>
    </w:p>
    <w:tbl>
      <w:tblPr>
        <w:tblW w:w="8926" w:type="dxa"/>
        <w:tblLook w:val="04A0" w:firstRow="1" w:lastRow="0" w:firstColumn="1" w:lastColumn="0" w:noHBand="0" w:noVBand="1"/>
      </w:tblPr>
      <w:tblGrid>
        <w:gridCol w:w="1555"/>
        <w:gridCol w:w="7371"/>
      </w:tblGrid>
      <w:tr w:rsidR="00E114F3" w:rsidRPr="009C6447"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9C6447" w:rsidRDefault="00E114F3">
            <w:pPr>
              <w:spacing w:after="120"/>
              <w:rPr>
                <w:rFonts w:ascii="Times New Roman" w:eastAsia="Times New Roman" w:hAnsi="Times New Roman" w:cs="Times New Roman"/>
                <w:b/>
                <w:bCs/>
                <w:color w:val="000000"/>
                <w:sz w:val="24"/>
              </w:rPr>
            </w:pPr>
            <w:r w:rsidRPr="009C6447">
              <w:rPr>
                <w:rFonts w:ascii="Times New Roman" w:hAnsi="Times New Roman"/>
                <w:b/>
                <w:color w:val="000000"/>
                <w:sz w:val="24"/>
              </w:rPr>
              <w:t>Hänvisningar till lagstiftning och instruktioner</w:t>
            </w:r>
          </w:p>
        </w:tc>
      </w:tr>
      <w:tr w:rsidR="00E114F3" w:rsidRPr="009C6447"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9C6447" w:rsidRDefault="00E114F3">
            <w:pPr>
              <w:spacing w:after="120"/>
              <w:rPr>
                <w:rFonts w:ascii="Times New Roman" w:eastAsia="Times New Roman" w:hAnsi="Times New Roman" w:cs="Times New Roman"/>
                <w:b/>
                <w:bCs/>
                <w:color w:val="000000"/>
                <w:sz w:val="24"/>
              </w:rPr>
            </w:pPr>
            <w:r w:rsidRPr="009C6447">
              <w:rPr>
                <w:rFonts w:ascii="Times New Roman" w:hAnsi="Times New Roman"/>
                <w:b/>
                <w:color w:val="000000"/>
                <w:sz w:val="24"/>
              </w:rPr>
              <w:t>Radnummer</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9C6447" w:rsidRDefault="00E114F3">
            <w:pPr>
              <w:spacing w:after="120"/>
              <w:rPr>
                <w:rFonts w:ascii="Times New Roman" w:eastAsia="Times New Roman" w:hAnsi="Times New Roman" w:cs="Times New Roman"/>
                <w:b/>
                <w:bCs/>
                <w:color w:val="000000"/>
                <w:sz w:val="24"/>
              </w:rPr>
            </w:pPr>
            <w:r w:rsidRPr="009C6447">
              <w:rPr>
                <w:rFonts w:ascii="Times New Roman" w:hAnsi="Times New Roman"/>
                <w:b/>
                <w:color w:val="000000"/>
                <w:sz w:val="24"/>
              </w:rPr>
              <w:t>Förklaring</w:t>
            </w:r>
          </w:p>
        </w:tc>
      </w:tr>
      <w:tr w:rsidR="00E114F3" w:rsidRPr="009C6447"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9C6447" w:rsidRDefault="00E114F3">
            <w:pPr>
              <w:spacing w:after="120"/>
              <w:jc w:val="center"/>
              <w:rPr>
                <w:rFonts w:ascii="Times New Roman" w:eastAsia="Times New Roman" w:hAnsi="Times New Roman" w:cs="Times New Roman"/>
                <w:color w:val="000000"/>
                <w:sz w:val="24"/>
              </w:rPr>
            </w:pPr>
            <w:r w:rsidRPr="009C6447">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9C6447" w:rsidRDefault="00E114F3">
            <w:pPr>
              <w:spacing w:after="120"/>
              <w:jc w:val="both"/>
              <w:rPr>
                <w:rFonts w:ascii="Times New Roman" w:eastAsia="Times New Roman" w:hAnsi="Times New Roman" w:cs="Times New Roman"/>
                <w:b/>
                <w:color w:val="000000"/>
                <w:sz w:val="24"/>
              </w:rPr>
            </w:pPr>
            <w:r w:rsidRPr="009C6447">
              <w:rPr>
                <w:rFonts w:ascii="Times New Roman" w:hAnsi="Times New Roman"/>
                <w:b/>
                <w:color w:val="000000"/>
                <w:sz w:val="24"/>
              </w:rPr>
              <w:t>Offentliggörande av mål och riktlinjer för riskhantering</w:t>
            </w:r>
          </w:p>
          <w:p w14:paraId="65684A44" w14:textId="36ED8962" w:rsidR="00E114F3" w:rsidRPr="009C6447" w:rsidRDefault="2A1FD4BE">
            <w:pPr>
              <w:spacing w:after="120"/>
              <w:rPr>
                <w:rFonts w:ascii="Times New Roman" w:eastAsia="Times New Roman" w:hAnsi="Times New Roman" w:cs="Times New Roman"/>
                <w:color w:val="000000"/>
                <w:sz w:val="24"/>
              </w:rPr>
            </w:pPr>
            <w:r w:rsidRPr="009C6447">
              <w:rPr>
                <w:rFonts w:ascii="Times New Roman" w:hAnsi="Times New Roman"/>
                <w:color w:val="000000" w:themeColor="text1"/>
                <w:sz w:val="24"/>
              </w:rPr>
              <w:t>I enlighet med artikel 435.1 a i förordning (EU) nr 575/2013 ska instituten offentliggöra sina mål, policyer, ramverk och riktlinjer för hanteringen av operativ risk, inbegripet strategier och processer för att hantera risken.</w:t>
            </w:r>
          </w:p>
        </w:tc>
      </w:tr>
      <w:tr w:rsidR="00E114F3" w:rsidRPr="009C6447"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9C6447" w:rsidRDefault="00E114F3">
            <w:pPr>
              <w:spacing w:after="120"/>
              <w:jc w:val="center"/>
              <w:rPr>
                <w:rFonts w:ascii="Times New Roman" w:eastAsia="Times New Roman" w:hAnsi="Times New Roman" w:cs="Times New Roman"/>
                <w:color w:val="000000"/>
                <w:sz w:val="24"/>
              </w:rPr>
            </w:pPr>
            <w:r w:rsidRPr="009C6447">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9C6447" w:rsidRDefault="00885AC5" w:rsidP="00885AC5">
            <w:pPr>
              <w:spacing w:before="120" w:after="120"/>
              <w:jc w:val="both"/>
              <w:rPr>
                <w:rFonts w:ascii="Times New Roman" w:eastAsia="Times New Roman" w:hAnsi="Times New Roman" w:cs="Times New Roman"/>
                <w:b/>
                <w:color w:val="000000"/>
                <w:sz w:val="24"/>
              </w:rPr>
            </w:pPr>
            <w:r w:rsidRPr="009C6447">
              <w:rPr>
                <w:rFonts w:ascii="Times New Roman" w:hAnsi="Times New Roman"/>
                <w:b/>
                <w:color w:val="000000"/>
                <w:sz w:val="24"/>
              </w:rPr>
              <w:t>Offentliggörande av strukturen och organisationen av riskhanteringsfunktionen för operativa risker</w:t>
            </w:r>
          </w:p>
          <w:p w14:paraId="739779F0" w14:textId="092C61F0" w:rsidR="00E114F3" w:rsidRPr="009C6447" w:rsidRDefault="00885AC5">
            <w:pPr>
              <w:spacing w:after="120"/>
              <w:jc w:val="both"/>
              <w:rPr>
                <w:rFonts w:ascii="Times New Roman" w:eastAsia="Times New Roman" w:hAnsi="Times New Roman" w:cs="Times New Roman"/>
                <w:color w:val="000000"/>
                <w:sz w:val="24"/>
              </w:rPr>
            </w:pPr>
            <w:r w:rsidRPr="009C6447">
              <w:rPr>
                <w:rFonts w:ascii="Times New Roman" w:hAnsi="Times New Roman"/>
                <w:color w:val="000000" w:themeColor="text1"/>
                <w:sz w:val="24"/>
              </w:rPr>
              <w:t>I enlighet med artikel 435.1 b i förordning (EU) nr 575/2013 ska instituten offentliggöra strukturen och organisationen av riskhanteringsfunktionen för operativa risker, inbegripet uppgifter om grunden för riskhanteringsfunktionen för operativa riskers behörighet, dess befogenheter och ansvar enligt institutets stiftelseurkund och styrdokument samt kontrollfunktion.</w:t>
            </w:r>
          </w:p>
        </w:tc>
      </w:tr>
      <w:tr w:rsidR="00E114F3" w:rsidRPr="009C6447"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9C6447" w:rsidRDefault="00E114F3">
            <w:pPr>
              <w:spacing w:after="120"/>
              <w:jc w:val="center"/>
              <w:rPr>
                <w:rFonts w:ascii="Times New Roman" w:eastAsia="Times New Roman" w:hAnsi="Times New Roman" w:cs="Times New Roman"/>
                <w:color w:val="000000"/>
                <w:sz w:val="24"/>
              </w:rPr>
            </w:pPr>
            <w:r w:rsidRPr="009C6447">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9C6447" w:rsidRDefault="005129A3" w:rsidP="005129A3">
            <w:pPr>
              <w:spacing w:before="120" w:after="120"/>
              <w:jc w:val="both"/>
              <w:rPr>
                <w:rFonts w:ascii="Times New Roman" w:eastAsia="Times New Roman" w:hAnsi="Times New Roman" w:cs="Times New Roman"/>
                <w:b/>
                <w:color w:val="000000"/>
                <w:sz w:val="24"/>
              </w:rPr>
            </w:pPr>
            <w:r w:rsidRPr="009C6447">
              <w:rPr>
                <w:rFonts w:ascii="Times New Roman" w:hAnsi="Times New Roman"/>
                <w:b/>
                <w:color w:val="000000"/>
                <w:sz w:val="24"/>
              </w:rPr>
              <w:t>Beskrivning av mätsystemets omfattning och karaktär</w:t>
            </w:r>
          </w:p>
          <w:p w14:paraId="2426746E" w14:textId="624D178E" w:rsidR="00E114F3" w:rsidRPr="009C6447" w:rsidRDefault="005129A3">
            <w:pPr>
              <w:spacing w:after="120"/>
              <w:jc w:val="both"/>
              <w:rPr>
                <w:rFonts w:ascii="Times New Roman" w:eastAsia="Times New Roman" w:hAnsi="Times New Roman" w:cs="Times New Roman"/>
                <w:color w:val="000000"/>
                <w:sz w:val="24"/>
              </w:rPr>
            </w:pPr>
            <w:r w:rsidRPr="009C6447">
              <w:rPr>
                <w:rFonts w:ascii="Times New Roman" w:hAnsi="Times New Roman"/>
                <w:color w:val="000000" w:themeColor="text1"/>
                <w:sz w:val="24"/>
              </w:rPr>
              <w:t xml:space="preserve">I enlighet med artikel </w:t>
            </w:r>
            <w:proofErr w:type="gramStart"/>
            <w:r w:rsidRPr="009C6447">
              <w:rPr>
                <w:rFonts w:ascii="Times New Roman" w:hAnsi="Times New Roman"/>
                <w:color w:val="000000" w:themeColor="text1"/>
                <w:sz w:val="24"/>
              </w:rPr>
              <w:t>435.1</w:t>
            </w:r>
            <w:proofErr w:type="gramEnd"/>
            <w:r w:rsidRPr="009C6447">
              <w:rPr>
                <w:rFonts w:ascii="Times New Roman" w:hAnsi="Times New Roman"/>
                <w:color w:val="000000" w:themeColor="text1"/>
                <w:sz w:val="24"/>
              </w:rPr>
              <w:t xml:space="preserve"> c i förordning (EU) nr 575/2013 ska instituten offentliggöra omfattningen och karaktären av systemet för mätning av operativa risker (dvs. de system och uppgifter som används för att mäta operativa risker i syfte att uppskatta kapitalkravet för operativ risk).</w:t>
            </w:r>
          </w:p>
        </w:tc>
      </w:tr>
      <w:tr w:rsidR="00E114F3" w:rsidRPr="009C6447"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9C6447" w:rsidRDefault="00E114F3">
            <w:pPr>
              <w:spacing w:after="120"/>
              <w:jc w:val="center"/>
              <w:rPr>
                <w:rFonts w:ascii="Times New Roman" w:eastAsia="Times New Roman" w:hAnsi="Times New Roman" w:cs="Times New Roman"/>
                <w:color w:val="000000"/>
                <w:sz w:val="24"/>
              </w:rPr>
            </w:pPr>
            <w:r w:rsidRPr="009C6447">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9C6447" w:rsidRDefault="005D02AE" w:rsidP="005D02AE">
            <w:pPr>
              <w:spacing w:before="120" w:after="120"/>
              <w:jc w:val="both"/>
              <w:rPr>
                <w:rFonts w:ascii="Times New Roman" w:eastAsia="Times New Roman" w:hAnsi="Times New Roman" w:cs="Times New Roman"/>
                <w:b/>
                <w:color w:val="000000"/>
                <w:sz w:val="24"/>
              </w:rPr>
            </w:pPr>
            <w:r w:rsidRPr="009C6447">
              <w:rPr>
                <w:rFonts w:ascii="Times New Roman" w:hAnsi="Times New Roman"/>
                <w:b/>
                <w:color w:val="000000" w:themeColor="text1"/>
                <w:sz w:val="24"/>
              </w:rPr>
              <w:t>Beskrivning av omfattningen och karaktären av ramverket för rapportering om operativ risk</w:t>
            </w:r>
          </w:p>
          <w:p w14:paraId="1EE9A69D" w14:textId="428D8604" w:rsidR="00E114F3" w:rsidRPr="009C6447" w:rsidRDefault="005D02AE">
            <w:pPr>
              <w:spacing w:after="120"/>
              <w:jc w:val="both"/>
              <w:rPr>
                <w:rFonts w:ascii="Times New Roman" w:eastAsia="Times New Roman" w:hAnsi="Times New Roman" w:cs="Times New Roman"/>
                <w:color w:val="000000"/>
                <w:sz w:val="24"/>
              </w:rPr>
            </w:pPr>
            <w:r w:rsidRPr="009C6447">
              <w:rPr>
                <w:rFonts w:ascii="Times New Roman" w:hAnsi="Times New Roman"/>
                <w:color w:val="000000" w:themeColor="text1"/>
                <w:sz w:val="24"/>
              </w:rPr>
              <w:t>I enlighet med artikel </w:t>
            </w:r>
            <w:proofErr w:type="gramStart"/>
            <w:r w:rsidRPr="009C6447">
              <w:rPr>
                <w:rFonts w:ascii="Times New Roman" w:hAnsi="Times New Roman"/>
                <w:color w:val="000000" w:themeColor="text1"/>
                <w:sz w:val="24"/>
              </w:rPr>
              <w:t>435.1</w:t>
            </w:r>
            <w:proofErr w:type="gramEnd"/>
            <w:r w:rsidRPr="009C6447">
              <w:rPr>
                <w:rFonts w:ascii="Times New Roman" w:hAnsi="Times New Roman"/>
                <w:color w:val="000000" w:themeColor="text1"/>
                <w:sz w:val="24"/>
              </w:rPr>
              <w:t> c i förordning (EU) nr 575/2013 ska instituten offentliggöra omfattningen och karaktären av ramverket för rapportering av operativ risk till den verkställande ledningen och styrelsen.</w:t>
            </w:r>
          </w:p>
        </w:tc>
      </w:tr>
      <w:tr w:rsidR="00E5460F" w:rsidRPr="009C6447"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9C6447" w:rsidRDefault="00E5460F">
            <w:pPr>
              <w:spacing w:after="120"/>
              <w:jc w:val="center"/>
              <w:rPr>
                <w:rFonts w:ascii="Times New Roman" w:eastAsia="Times New Roman" w:hAnsi="Times New Roman" w:cs="Times New Roman"/>
                <w:color w:val="000000"/>
                <w:sz w:val="24"/>
              </w:rPr>
            </w:pPr>
            <w:r w:rsidRPr="009C6447">
              <w:rPr>
                <w:rFonts w:ascii="Times New Roman" w:hAnsi="Times New Roman"/>
                <w:color w:val="000000"/>
                <w:sz w:val="24"/>
              </w:rPr>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9C6447" w:rsidRDefault="00E25C0C" w:rsidP="00E25C0C">
            <w:pPr>
              <w:spacing w:before="120" w:after="120"/>
              <w:jc w:val="both"/>
              <w:rPr>
                <w:rFonts w:ascii="Times New Roman" w:eastAsia="Times New Roman" w:hAnsi="Times New Roman" w:cs="Times New Roman"/>
                <w:color w:val="000000"/>
                <w:sz w:val="24"/>
              </w:rPr>
            </w:pPr>
            <w:r w:rsidRPr="009C6447">
              <w:rPr>
                <w:rFonts w:ascii="Times New Roman" w:hAnsi="Times New Roman"/>
                <w:b/>
                <w:color w:val="000000" w:themeColor="text1"/>
                <w:sz w:val="24"/>
              </w:rPr>
              <w:t>Beskrivning av riktlinjer och strategier för riskreducering och risksäkring</w:t>
            </w:r>
          </w:p>
          <w:p w14:paraId="443DC7A5" w14:textId="7D68A10D" w:rsidR="00E5460F" w:rsidRPr="009C6447" w:rsidDel="009A4E43" w:rsidRDefault="00E25C0C" w:rsidP="00E25C0C">
            <w:pPr>
              <w:spacing w:after="120"/>
              <w:jc w:val="both"/>
              <w:rPr>
                <w:rFonts w:ascii="Times New Roman" w:eastAsia="Times New Roman" w:hAnsi="Times New Roman" w:cs="Times New Roman"/>
                <w:b/>
                <w:color w:val="000000"/>
                <w:sz w:val="24"/>
              </w:rPr>
            </w:pPr>
            <w:r w:rsidRPr="009C6447">
              <w:rPr>
                <w:rFonts w:ascii="Times New Roman" w:hAnsi="Times New Roman"/>
                <w:color w:val="000000" w:themeColor="text1"/>
                <w:sz w:val="24"/>
              </w:rPr>
              <w:t xml:space="preserve">I enlighet med artikel 435.1 d i förordning (EU) nr 575/2013 ska institut offentliggöra sina riktlinjer och strategier för den riskreducering och risksäkring som används vid hantering av operativ risk, inbegripet när </w:t>
            </w:r>
            <w:r w:rsidRPr="009C6447">
              <w:rPr>
                <w:rFonts w:ascii="Times New Roman" w:hAnsi="Times New Roman"/>
                <w:color w:val="000000" w:themeColor="text1"/>
                <w:sz w:val="24"/>
              </w:rPr>
              <w:lastRenderedPageBreak/>
              <w:t xml:space="preserve">reduceringen av den operativa risken uppnås genom riktlinjer (i vilket fall de ska offentliggöra riktlinjerna för </w:t>
            </w:r>
            <w:proofErr w:type="spellStart"/>
            <w:r w:rsidRPr="009C6447">
              <w:rPr>
                <w:rFonts w:ascii="Times New Roman" w:hAnsi="Times New Roman"/>
                <w:color w:val="000000" w:themeColor="text1"/>
                <w:sz w:val="24"/>
              </w:rPr>
              <w:t>riskkultur</w:t>
            </w:r>
            <w:proofErr w:type="spellEnd"/>
            <w:r w:rsidRPr="009C6447">
              <w:rPr>
                <w:rFonts w:ascii="Times New Roman" w:hAnsi="Times New Roman"/>
                <w:color w:val="000000" w:themeColor="text1"/>
                <w:sz w:val="24"/>
              </w:rPr>
              <w:t xml:space="preserve">, riskbenägenhet och </w:t>
            </w:r>
            <w:proofErr w:type="spellStart"/>
            <w:r w:rsidRPr="009C6447">
              <w:rPr>
                <w:rFonts w:ascii="Times New Roman" w:hAnsi="Times New Roman"/>
                <w:color w:val="000000" w:themeColor="text1"/>
                <w:sz w:val="24"/>
              </w:rPr>
              <w:t>utkontraktering</w:t>
            </w:r>
            <w:proofErr w:type="spellEnd"/>
            <w:r w:rsidRPr="009C6447">
              <w:rPr>
                <w:rFonts w:ascii="Times New Roman" w:hAnsi="Times New Roman"/>
                <w:color w:val="000000" w:themeColor="text1"/>
                <w:sz w:val="24"/>
              </w:rPr>
              <w:t>) eller om detta uppnås genom avyttring av högriskverksamheter eller genom upprättande av kontroller. Instituten ska också offentliggöra de återstående exponeringar som absorberas av instituten själva eller, i tillämpliga fall, de återstående exponeringarna som överförs på olika sätt, bland annat via försäkringar.</w:t>
            </w:r>
          </w:p>
        </w:tc>
      </w:tr>
    </w:tbl>
    <w:p w14:paraId="0A37501D" w14:textId="77777777" w:rsidR="00E114F3" w:rsidRPr="009C6447" w:rsidRDefault="00E114F3" w:rsidP="00E114F3">
      <w:pPr>
        <w:spacing w:after="120"/>
        <w:jc w:val="both"/>
        <w:rPr>
          <w:rFonts w:ascii="Times New Roman" w:hAnsi="Times New Roman" w:cs="Times New Roman"/>
          <w:b/>
          <w:bCs/>
          <w:sz w:val="24"/>
        </w:rPr>
      </w:pPr>
    </w:p>
    <w:p w14:paraId="73228265" w14:textId="2825D40F" w:rsidR="00E114F3" w:rsidRPr="009C6447" w:rsidRDefault="00E114F3" w:rsidP="00E114F3">
      <w:pPr>
        <w:spacing w:after="120"/>
        <w:jc w:val="both"/>
        <w:rPr>
          <w:rFonts w:ascii="Times New Roman" w:hAnsi="Times New Roman" w:cs="Times New Roman"/>
          <w:bCs/>
          <w:sz w:val="24"/>
        </w:rPr>
      </w:pPr>
      <w:r w:rsidRPr="009C6447">
        <w:rPr>
          <w:rFonts w:ascii="Times New Roman" w:hAnsi="Times New Roman"/>
          <w:b/>
          <w:sz w:val="24"/>
        </w:rPr>
        <w:t xml:space="preserve">Mallen EU OR1 – Förluster till följd av operativa risker. </w:t>
      </w:r>
      <w:r w:rsidRPr="009C6447">
        <w:rPr>
          <w:rFonts w:ascii="Times New Roman" w:hAnsi="Times New Roman"/>
          <w:sz w:val="24"/>
        </w:rPr>
        <w:t>Fast mall</w:t>
      </w:r>
    </w:p>
    <w:p w14:paraId="70B287DB" w14:textId="7164F419" w:rsidR="00D740B8" w:rsidRPr="009C6447" w:rsidRDefault="00D740B8" w:rsidP="00D740B8">
      <w:pPr>
        <w:numPr>
          <w:ilvl w:val="0"/>
          <w:numId w:val="1"/>
        </w:numPr>
        <w:jc w:val="both"/>
        <w:rPr>
          <w:rFonts w:ascii="Times New Roman" w:hAnsi="Times New Roman" w:cs="Times New Roman"/>
          <w:bCs/>
          <w:sz w:val="24"/>
        </w:rPr>
      </w:pPr>
      <w:r w:rsidRPr="009C6447">
        <w:rPr>
          <w:rFonts w:ascii="Times New Roman" w:hAnsi="Times New Roman"/>
          <w:sz w:val="24"/>
        </w:rPr>
        <w:t>Instituten ska offentliggöra den information som ingår i mall EU OR1 vid tillämpning av artikel 446.2 a och b i förordning (EU) nr 575/2013. Denna mall innehåller information om de årliga förlusterna till följd av operativa risker som uppstått under de senaste tio åren, baserat på redovisningsdatumet för de uppkomna förlusterna. Dessa årliga förluster till följd av operativa risker kommer att beräknas i enlighet med artikel 316.1 i förordning (EU) nr 575/2013 och omfattar, i enlighet med artikel 317.2 i förordning (EU) nr 575/2013, alla förluster som härrör från alla de enheter som omfattas av konsolideringen, inbegripet förluster från sammanslagna eller förvärvade verksamheter (i enlighet med artikel 321.1 i förordning (EU) nr 575/2013). Denna information ska tillhandahållas i den mån den är tillgänglig och efter bästa förmåga, till dess att artiklarna 316.3, 317.9, 320.3 och 321.2 i förordning (EU) nr 575/2013 blir tillämpliga.</w:t>
      </w:r>
    </w:p>
    <w:p w14:paraId="0C12CA7B" w14:textId="77777777" w:rsidR="00D740B8" w:rsidRPr="009C6447" w:rsidRDefault="00D740B8" w:rsidP="00D740B8">
      <w:pPr>
        <w:ind w:left="360"/>
        <w:jc w:val="both"/>
        <w:rPr>
          <w:rFonts w:ascii="Times New Roman" w:hAnsi="Times New Roman" w:cs="Times New Roman"/>
          <w:bCs/>
          <w:sz w:val="24"/>
        </w:rPr>
      </w:pPr>
    </w:p>
    <w:p w14:paraId="47EE9624" w14:textId="4A5B22B7" w:rsidR="00D740B8" w:rsidRPr="009C6447" w:rsidRDefault="00D740B8" w:rsidP="00D740B8">
      <w:pPr>
        <w:numPr>
          <w:ilvl w:val="0"/>
          <w:numId w:val="1"/>
        </w:numPr>
        <w:jc w:val="both"/>
        <w:rPr>
          <w:rFonts w:ascii="Times New Roman" w:hAnsi="Times New Roman" w:cs="Times New Roman"/>
          <w:sz w:val="24"/>
        </w:rPr>
      </w:pPr>
      <w:r w:rsidRPr="009C6447">
        <w:rPr>
          <w:rFonts w:ascii="Times New Roman" w:hAnsi="Times New Roman"/>
          <w:sz w:val="24"/>
        </w:rPr>
        <w:t>Instituten ska för vart och ett av de senaste tio åren offentliggöra uppgifter om antalet förluster till följd av operativa risker och antalet undantagna förluster till följd av operativa risker, det totala beloppet av förluster till följd av operativa risker netto efter avdrag för återvinningar och det totala beloppet av förluster till följd av operativa risker netto efter avdrag för återvinningar och undantagna förluster. Det totala årliga beloppet för förluster till följd av operativa risker kommer att beräknas som summan av alla nettoförluster under ett visst räkenskapsår, beräknade i enlighet med artikel 318.1 i förordning (EU) nr 575/2013 och motsvarande minst de tröskelvärden för förlustdata som anges i artikel 319.1 respektive 319.2 i den förordningen (dvs. 20 000 euro respektive 100 000 euro). Förluster som orsakas av en gemensam operativ riskhändelse eller av flera händelser som är kopplade till samma operativa riskhändelse (”den bakomliggande händelsen”) och som redovisas under olika räkenskapsår ska dock summeras för de senaste tio åren för att fastställa om tröskelvärdet för offentliggörande har överskridits eller inte. Förluster och justeringar ska redovisas i enlighet med bestämmelserna i artikel </w:t>
      </w:r>
      <w:proofErr w:type="gramStart"/>
      <w:r w:rsidRPr="009C6447">
        <w:rPr>
          <w:rFonts w:ascii="Times New Roman" w:hAnsi="Times New Roman"/>
          <w:sz w:val="24"/>
        </w:rPr>
        <w:t>317.3</w:t>
      </w:r>
      <w:proofErr w:type="gramEnd"/>
      <w:r w:rsidRPr="009C6447">
        <w:rPr>
          <w:rFonts w:ascii="Times New Roman" w:hAnsi="Times New Roman"/>
          <w:sz w:val="24"/>
        </w:rPr>
        <w:t> c och artikel 318 i förordning (EU) nr 575/2013. Dessa belopp ska redovisas det år då de registrerades i de finansiella rapporterna.</w:t>
      </w:r>
    </w:p>
    <w:p w14:paraId="2702CB88" w14:textId="77777777" w:rsidR="00D740B8" w:rsidRPr="009C6447" w:rsidRDefault="00D740B8" w:rsidP="00D740B8">
      <w:pPr>
        <w:pStyle w:val="ListParagraph"/>
        <w:rPr>
          <w:rFonts w:ascii="Times New Roman" w:hAnsi="Times New Roman"/>
          <w:bCs/>
          <w:sz w:val="24"/>
        </w:rPr>
      </w:pPr>
    </w:p>
    <w:p w14:paraId="3146DBD3" w14:textId="48F555B9" w:rsidR="00D740B8" w:rsidRPr="009C6447" w:rsidRDefault="00D740B8" w:rsidP="00D740B8">
      <w:pPr>
        <w:numPr>
          <w:ilvl w:val="0"/>
          <w:numId w:val="1"/>
        </w:numPr>
        <w:jc w:val="both"/>
        <w:rPr>
          <w:rFonts w:ascii="Times New Roman" w:hAnsi="Times New Roman" w:cs="Times New Roman"/>
          <w:bCs/>
          <w:sz w:val="24"/>
        </w:rPr>
      </w:pPr>
      <w:r w:rsidRPr="009C6447">
        <w:rPr>
          <w:rFonts w:ascii="Times New Roman" w:hAnsi="Times New Roman"/>
          <w:sz w:val="24"/>
        </w:rPr>
        <w:t xml:space="preserve"> I den medföljande informationen ska instituten offentliggöra en sammanställning av motiveringarna för de exceptionella operativa riskhändelser som har undantagits från beräkningen av de årliga förlusterna till följd av operativa risker, i enlighet med artikel 446.2 b i förordning (EU) nr 575/2013.</w:t>
      </w:r>
    </w:p>
    <w:p w14:paraId="066C0912" w14:textId="77777777" w:rsidR="00D740B8" w:rsidRPr="009C6447" w:rsidRDefault="00D740B8" w:rsidP="00D740B8">
      <w:pPr>
        <w:pStyle w:val="ListParagraph"/>
        <w:rPr>
          <w:rFonts w:ascii="Times New Roman" w:hAnsi="Times New Roman"/>
          <w:bCs/>
          <w:sz w:val="24"/>
        </w:rPr>
      </w:pPr>
    </w:p>
    <w:p w14:paraId="79A49BBA" w14:textId="5D2F1C9E" w:rsidR="00D740B8" w:rsidRPr="009C6447" w:rsidRDefault="00D740B8" w:rsidP="00D740B8">
      <w:pPr>
        <w:numPr>
          <w:ilvl w:val="0"/>
          <w:numId w:val="1"/>
        </w:numPr>
        <w:jc w:val="both"/>
        <w:rPr>
          <w:rFonts w:ascii="Times New Roman" w:hAnsi="Times New Roman" w:cs="Times New Roman"/>
          <w:bCs/>
          <w:sz w:val="24"/>
        </w:rPr>
      </w:pPr>
      <w:r w:rsidRPr="009C6447">
        <w:rPr>
          <w:rFonts w:ascii="Times New Roman" w:hAnsi="Times New Roman"/>
          <w:sz w:val="24"/>
        </w:rPr>
        <w:t xml:space="preserve"> Instituten ska också offentliggöra, i aggregerad form, all väsentlig information som kan hjälpa användare att förstå institutens historiska förluster, återvinningar och reservfonder, med undantag för konfidentiell och skyddad information.</w:t>
      </w:r>
    </w:p>
    <w:p w14:paraId="3AF72482" w14:textId="77777777" w:rsidR="00D740B8" w:rsidRPr="009C6447" w:rsidRDefault="00D740B8" w:rsidP="00D740B8">
      <w:pPr>
        <w:pStyle w:val="ListParagraph"/>
        <w:rPr>
          <w:rFonts w:ascii="Times New Roman" w:hAnsi="Times New Roman"/>
          <w:bCs/>
          <w:sz w:val="24"/>
        </w:rPr>
      </w:pPr>
    </w:p>
    <w:p w14:paraId="36406578" w14:textId="77777777" w:rsidR="00D740B8" w:rsidRPr="009C6447"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9C6447" w14:paraId="7E388732" w14:textId="77777777">
        <w:tc>
          <w:tcPr>
            <w:tcW w:w="1271" w:type="dxa"/>
            <w:shd w:val="clear" w:color="auto" w:fill="BFBFBF" w:themeFill="background1" w:themeFillShade="BF"/>
          </w:tcPr>
          <w:p w14:paraId="5F81890E" w14:textId="77777777" w:rsidR="00D740B8" w:rsidRPr="009C6447" w:rsidRDefault="00D740B8">
            <w:pPr>
              <w:autoSpaceDE w:val="0"/>
              <w:autoSpaceDN w:val="0"/>
              <w:adjustRightInd w:val="0"/>
              <w:rPr>
                <w:rFonts w:ascii="Times New Roman" w:hAnsi="Times New Roman"/>
                <w:bCs/>
                <w:sz w:val="24"/>
              </w:rPr>
            </w:pPr>
            <w:r w:rsidRPr="009C6447">
              <w:rPr>
                <w:rFonts w:ascii="Times New Roman" w:hAnsi="Times New Roman"/>
                <w:b/>
                <w:sz w:val="24"/>
              </w:rPr>
              <w:lastRenderedPageBreak/>
              <w:t>Kolumn</w:t>
            </w:r>
          </w:p>
        </w:tc>
        <w:tc>
          <w:tcPr>
            <w:tcW w:w="7745" w:type="dxa"/>
            <w:shd w:val="clear" w:color="auto" w:fill="BFBFBF" w:themeFill="background1" w:themeFillShade="BF"/>
          </w:tcPr>
          <w:p w14:paraId="0773BD79" w14:textId="77777777" w:rsidR="00D740B8" w:rsidRPr="009C6447" w:rsidRDefault="00D740B8">
            <w:pPr>
              <w:spacing w:before="60" w:after="120"/>
              <w:jc w:val="both"/>
              <w:rPr>
                <w:rFonts w:ascii="Times New Roman" w:eastAsia="Times New Roman" w:hAnsi="Times New Roman" w:cs="Times New Roman"/>
                <w:b/>
                <w:sz w:val="24"/>
              </w:rPr>
            </w:pPr>
            <w:r w:rsidRPr="009C6447">
              <w:rPr>
                <w:rFonts w:ascii="Times New Roman" w:hAnsi="Times New Roman"/>
                <w:b/>
                <w:sz w:val="24"/>
              </w:rPr>
              <w:t>Hänvisningar till lagstiftning och instruktioner</w:t>
            </w:r>
          </w:p>
        </w:tc>
      </w:tr>
      <w:tr w:rsidR="00D740B8" w:rsidRPr="009C6447" w14:paraId="4A7B0862" w14:textId="77777777">
        <w:tc>
          <w:tcPr>
            <w:tcW w:w="1271" w:type="dxa"/>
          </w:tcPr>
          <w:p w14:paraId="59A78ADD" w14:textId="77777777" w:rsidR="00D740B8" w:rsidRPr="009C6447" w:rsidRDefault="00D740B8">
            <w:pPr>
              <w:autoSpaceDE w:val="0"/>
              <w:autoSpaceDN w:val="0"/>
              <w:adjustRightInd w:val="0"/>
              <w:jc w:val="center"/>
              <w:rPr>
                <w:rFonts w:ascii="Times New Roman" w:hAnsi="Times New Roman"/>
                <w:bCs/>
                <w:sz w:val="24"/>
              </w:rPr>
            </w:pPr>
            <w:r w:rsidRPr="009C6447">
              <w:rPr>
                <w:rFonts w:ascii="Times New Roman" w:hAnsi="Times New Roman"/>
                <w:sz w:val="24"/>
              </w:rPr>
              <w:t>a till j</w:t>
            </w:r>
          </w:p>
        </w:tc>
        <w:tc>
          <w:tcPr>
            <w:tcW w:w="7745" w:type="dxa"/>
          </w:tcPr>
          <w:p w14:paraId="0B872A50" w14:textId="77777777" w:rsidR="00D740B8" w:rsidRPr="009C6447" w:rsidRDefault="00D740B8">
            <w:pPr>
              <w:spacing w:before="120" w:after="120"/>
              <w:jc w:val="both"/>
              <w:rPr>
                <w:rFonts w:ascii="Times New Roman" w:eastAsia="Times New Roman" w:hAnsi="Times New Roman" w:cs="Times New Roman"/>
                <w:sz w:val="24"/>
              </w:rPr>
            </w:pPr>
            <w:r w:rsidRPr="009C6447">
              <w:rPr>
                <w:rFonts w:ascii="Times New Roman" w:hAnsi="Times New Roman"/>
                <w:b/>
                <w:sz w:val="24"/>
              </w:rPr>
              <w:t>År (T, T-1, T-2, T-3, T-4, T-5, T-6, T-7, T-8, T-9)</w:t>
            </w:r>
          </w:p>
          <w:p w14:paraId="5B6EF35C" w14:textId="3033D1CC" w:rsidR="00D740B8" w:rsidRPr="009C6447" w:rsidRDefault="00D740B8">
            <w:pPr>
              <w:spacing w:before="120" w:after="120"/>
              <w:rPr>
                <w:rFonts w:ascii="Times New Roman" w:hAnsi="Times New Roman"/>
                <w:sz w:val="24"/>
              </w:rPr>
            </w:pPr>
            <w:r w:rsidRPr="009C6447">
              <w:rPr>
                <w:rFonts w:ascii="Times New Roman" w:hAnsi="Times New Roman"/>
                <w:sz w:val="24"/>
              </w:rPr>
              <w:t xml:space="preserve">Det värde som anges på motsvarande rad för de senaste tio räkenskapsåren. </w:t>
            </w:r>
          </w:p>
        </w:tc>
      </w:tr>
      <w:tr w:rsidR="00D740B8" w:rsidRPr="009C6447" w14:paraId="7D63969A" w14:textId="77777777">
        <w:tc>
          <w:tcPr>
            <w:tcW w:w="1271" w:type="dxa"/>
          </w:tcPr>
          <w:p w14:paraId="6CFD6A05" w14:textId="77777777" w:rsidR="00D740B8" w:rsidRPr="009C6447" w:rsidRDefault="00D740B8">
            <w:pPr>
              <w:autoSpaceDE w:val="0"/>
              <w:autoSpaceDN w:val="0"/>
              <w:adjustRightInd w:val="0"/>
              <w:jc w:val="center"/>
              <w:rPr>
                <w:rFonts w:ascii="Times New Roman" w:hAnsi="Times New Roman"/>
                <w:bCs/>
                <w:sz w:val="24"/>
              </w:rPr>
            </w:pPr>
            <w:r w:rsidRPr="009C6447">
              <w:rPr>
                <w:rFonts w:ascii="Times New Roman" w:hAnsi="Times New Roman"/>
                <w:sz w:val="24"/>
              </w:rPr>
              <w:t>k</w:t>
            </w:r>
          </w:p>
        </w:tc>
        <w:tc>
          <w:tcPr>
            <w:tcW w:w="7745" w:type="dxa"/>
          </w:tcPr>
          <w:p w14:paraId="50D93A86" w14:textId="77777777" w:rsidR="00D740B8" w:rsidRPr="009C6447" w:rsidRDefault="00D740B8">
            <w:pPr>
              <w:spacing w:before="120" w:after="120"/>
              <w:jc w:val="both"/>
              <w:rPr>
                <w:rFonts w:ascii="Times New Roman" w:eastAsia="Times New Roman" w:hAnsi="Times New Roman" w:cs="Times New Roman"/>
                <w:b/>
                <w:sz w:val="24"/>
              </w:rPr>
            </w:pPr>
            <w:r w:rsidRPr="009C6447">
              <w:rPr>
                <w:rFonts w:ascii="Times New Roman" w:hAnsi="Times New Roman"/>
                <w:b/>
                <w:sz w:val="24"/>
              </w:rPr>
              <w:t>Genomsnitt över tio år</w:t>
            </w:r>
          </w:p>
          <w:p w14:paraId="38A7187F" w14:textId="0CB464F2" w:rsidR="00D740B8" w:rsidRPr="009C6447" w:rsidRDefault="00D740B8">
            <w:pPr>
              <w:spacing w:before="120" w:after="120"/>
              <w:rPr>
                <w:rFonts w:ascii="Times New Roman" w:hAnsi="Times New Roman"/>
                <w:bCs/>
                <w:sz w:val="24"/>
              </w:rPr>
            </w:pPr>
            <w:r w:rsidRPr="009C6447">
              <w:rPr>
                <w:rFonts w:ascii="Times New Roman" w:hAnsi="Times New Roman"/>
                <w:sz w:val="24"/>
              </w:rPr>
              <w:t>Genomsnittet av de värden som anges på motsvarande rad för de senaste tio åren.</w:t>
            </w:r>
          </w:p>
        </w:tc>
      </w:tr>
    </w:tbl>
    <w:p w14:paraId="7095834F" w14:textId="77777777" w:rsidR="00D740B8" w:rsidRPr="009C6447" w:rsidRDefault="00D740B8" w:rsidP="00D740B8">
      <w:pPr>
        <w:pStyle w:val="ListParagraph"/>
        <w:rPr>
          <w:rFonts w:ascii="Times New Roman" w:hAnsi="Times New Roman"/>
          <w:bCs/>
          <w:sz w:val="24"/>
        </w:rPr>
      </w:pPr>
    </w:p>
    <w:p w14:paraId="32DB6729" w14:textId="77777777" w:rsidR="00D740B8" w:rsidRPr="009C6447" w:rsidRDefault="00D740B8" w:rsidP="00D740B8">
      <w:pPr>
        <w:pStyle w:val="ListParagraph"/>
        <w:rPr>
          <w:rFonts w:ascii="Times New Roman" w:hAnsi="Times New Roman"/>
          <w:bCs/>
          <w:sz w:val="24"/>
        </w:rPr>
      </w:pPr>
    </w:p>
    <w:p w14:paraId="2611544E" w14:textId="77777777" w:rsidR="00D740B8" w:rsidRPr="009C6447"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9C6447"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9C6447" w:rsidRDefault="00D740B8">
            <w:pPr>
              <w:autoSpaceDE w:val="0"/>
              <w:autoSpaceDN w:val="0"/>
              <w:adjustRightInd w:val="0"/>
              <w:rPr>
                <w:rFonts w:ascii="Times New Roman" w:hAnsi="Times New Roman" w:cs="Times New Roman"/>
                <w:b/>
                <w:sz w:val="24"/>
              </w:rPr>
            </w:pPr>
            <w:r w:rsidRPr="009C6447">
              <w:rPr>
                <w:rFonts w:ascii="Times New Roman" w:hAnsi="Times New Roman"/>
                <w:b/>
                <w:sz w:val="24"/>
              </w:rPr>
              <w:t>Rad</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9C6447" w:rsidRDefault="00D740B8">
            <w:pPr>
              <w:rPr>
                <w:rFonts w:ascii="Times New Roman" w:hAnsi="Times New Roman" w:cs="Times New Roman"/>
                <w:b/>
                <w:sz w:val="24"/>
              </w:rPr>
            </w:pPr>
            <w:r w:rsidRPr="009C6447">
              <w:rPr>
                <w:rFonts w:ascii="Times New Roman" w:hAnsi="Times New Roman"/>
                <w:b/>
                <w:sz w:val="24"/>
              </w:rPr>
              <w:t>Hänvisningar till lagstiftning och instruktioner</w:t>
            </w:r>
          </w:p>
        </w:tc>
      </w:tr>
      <w:tr w:rsidR="00D740B8" w:rsidRPr="009C6447"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9C6447" w:rsidRDefault="00D740B8">
            <w:pPr>
              <w:spacing w:before="120" w:after="120"/>
              <w:jc w:val="both"/>
              <w:rPr>
                <w:rFonts w:ascii="Times New Roman" w:eastAsia="Times New Roman" w:hAnsi="Times New Roman" w:cs="Times New Roman"/>
                <w:b/>
                <w:sz w:val="24"/>
              </w:rPr>
            </w:pPr>
            <w:r w:rsidRPr="009C6447">
              <w:rPr>
                <w:rFonts w:ascii="Times New Roman" w:hAnsi="Times New Roman"/>
                <w:b/>
                <w:sz w:val="24"/>
              </w:rPr>
              <w:t>Totalt belopp för förluster till följd av operativa risker netto efter avdrag för återvinningar (utan undantag)</w:t>
            </w:r>
          </w:p>
          <w:p w14:paraId="73A6B59F" w14:textId="42A729DD" w:rsidR="00D740B8" w:rsidRPr="009C6447" w:rsidRDefault="00D740B8">
            <w:pPr>
              <w:spacing w:before="120" w:after="120"/>
              <w:jc w:val="both"/>
              <w:rPr>
                <w:rFonts w:ascii="Times New Roman" w:eastAsia="Times New Roman" w:hAnsi="Times New Roman" w:cs="Times New Roman"/>
                <w:sz w:val="24"/>
              </w:rPr>
            </w:pPr>
            <w:r w:rsidRPr="009C6447">
              <w:rPr>
                <w:rFonts w:ascii="Times New Roman" w:hAnsi="Times New Roman"/>
                <w:sz w:val="24"/>
              </w:rPr>
              <w:t>Artikel 446.2 a och artikel 316.1 i förordning (EU) nr 575/2013.</w:t>
            </w:r>
          </w:p>
          <w:p w14:paraId="5D929629" w14:textId="254FA976" w:rsidR="00D740B8" w:rsidRPr="009C6447" w:rsidRDefault="002B0785">
            <w:pPr>
              <w:spacing w:before="120" w:after="120"/>
              <w:jc w:val="both"/>
              <w:rPr>
                <w:rFonts w:ascii="Times New Roman" w:eastAsia="Times New Roman" w:hAnsi="Times New Roman" w:cs="Times New Roman"/>
                <w:b/>
                <w:sz w:val="24"/>
              </w:rPr>
            </w:pPr>
            <w:r w:rsidRPr="009C6447">
              <w:rPr>
                <w:rFonts w:ascii="Times New Roman" w:hAnsi="Times New Roman"/>
                <w:sz w:val="24"/>
              </w:rPr>
              <w:t>Raden ska redovisa det totala förlustbeloppet netto efter avdrag för återvinningar till följd av förlusthändelser som överskrider tröskelvärdet på 20 000 euro för förlusthändelser för var och en av de senaste tio rapporteringsperioderna, inklusive förluster från sammanslagningar och förvärv. Förluster som orsakats av en gemensam operativ riskhändelse eller av flera händelser som är kopplade till samma operativa riskhändelse och som redovisas under olika räkenskapsår ska summeras för de senaste tio åren för att fastställa om tröskelvärdet för offentliggörande har överskridits eller inte. Exceptionella operativa riskhändelser under året som inte längre är relevanta för institutets riskprofil och för vilka institutet har fått tillstånd från den behöriga myndigheten att undanta dem från institutets årliga förluster till följd av operativa risker, i enlighet med artikel 320.1 i förordning (EU) 575/2013, ska fortfarande beaktas vid beräkningen av posten på denna rad.</w:t>
            </w:r>
          </w:p>
        </w:tc>
      </w:tr>
      <w:tr w:rsidR="00D740B8" w:rsidRPr="009C6447"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9C6447" w:rsidRDefault="00D740B8">
            <w:pPr>
              <w:spacing w:before="120" w:after="120"/>
              <w:jc w:val="both"/>
              <w:rPr>
                <w:rFonts w:ascii="Times New Roman" w:eastAsia="Times New Roman" w:hAnsi="Times New Roman" w:cs="Times New Roman"/>
                <w:b/>
                <w:sz w:val="24"/>
              </w:rPr>
            </w:pPr>
            <w:r w:rsidRPr="009C6447">
              <w:rPr>
                <w:rFonts w:ascii="Times New Roman" w:hAnsi="Times New Roman"/>
                <w:b/>
                <w:sz w:val="24"/>
              </w:rPr>
              <w:t>Totalt antal förluster till följd av operativa risker</w:t>
            </w:r>
          </w:p>
          <w:p w14:paraId="2EA91375" w14:textId="28AF0058" w:rsidR="00D740B8" w:rsidRPr="009C6447" w:rsidRDefault="00D740B8">
            <w:pPr>
              <w:spacing w:before="120" w:after="120"/>
              <w:jc w:val="both"/>
              <w:rPr>
                <w:rFonts w:ascii="Times New Roman" w:eastAsia="Times New Roman" w:hAnsi="Times New Roman" w:cs="Times New Roman"/>
                <w:sz w:val="24"/>
              </w:rPr>
            </w:pPr>
            <w:r w:rsidRPr="009C6447">
              <w:rPr>
                <w:rFonts w:ascii="Times New Roman" w:hAnsi="Times New Roman"/>
                <w:sz w:val="24"/>
              </w:rPr>
              <w:t>Artikel 446.2 a och artikel 316.1 i förordning (EU) nr 575/2013.</w:t>
            </w:r>
          </w:p>
          <w:p w14:paraId="275C478C" w14:textId="69738AFF" w:rsidR="00D740B8" w:rsidRPr="009C6447" w:rsidRDefault="00471410">
            <w:pPr>
              <w:spacing w:before="120" w:after="120"/>
              <w:rPr>
                <w:rFonts w:ascii="Times New Roman" w:eastAsia="Times New Roman" w:hAnsi="Times New Roman" w:cs="Times New Roman"/>
                <w:sz w:val="24"/>
              </w:rPr>
            </w:pPr>
            <w:r w:rsidRPr="009C6447">
              <w:rPr>
                <w:rFonts w:ascii="Times New Roman" w:hAnsi="Times New Roman"/>
                <w:sz w:val="24"/>
              </w:rPr>
              <w:t>Det totala antalet förluster till följd av operativa risker som överskrider tröskelvärdet på 20 000 euro för förlusthändelser.</w:t>
            </w:r>
          </w:p>
        </w:tc>
      </w:tr>
      <w:tr w:rsidR="00D740B8" w:rsidRPr="009C6447"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9C6447" w:rsidRDefault="00D740B8">
            <w:pPr>
              <w:spacing w:before="120" w:after="120"/>
              <w:jc w:val="both"/>
              <w:rPr>
                <w:rFonts w:ascii="Times New Roman" w:eastAsia="Times New Roman" w:hAnsi="Times New Roman" w:cs="Times New Roman"/>
                <w:b/>
                <w:sz w:val="24"/>
              </w:rPr>
            </w:pPr>
            <w:r w:rsidRPr="009C6447">
              <w:rPr>
                <w:rFonts w:ascii="Times New Roman" w:hAnsi="Times New Roman"/>
                <w:b/>
                <w:sz w:val="24"/>
              </w:rPr>
              <w:t>Totalt belopp för undantagna förluster till följd av operativa risker</w:t>
            </w:r>
          </w:p>
          <w:p w14:paraId="5C1A66AF" w14:textId="5CAD041D" w:rsidR="00D740B8" w:rsidRPr="009C6447" w:rsidRDefault="00D740B8">
            <w:pPr>
              <w:spacing w:before="120" w:after="120"/>
              <w:rPr>
                <w:rFonts w:ascii="Times New Roman" w:eastAsia="Times New Roman" w:hAnsi="Times New Roman" w:cs="Times New Roman"/>
                <w:sz w:val="24"/>
              </w:rPr>
            </w:pPr>
            <w:r w:rsidRPr="009C6447">
              <w:rPr>
                <w:rFonts w:ascii="Times New Roman" w:hAnsi="Times New Roman"/>
                <w:sz w:val="24"/>
              </w:rPr>
              <w:t>Artiklarna 446.2 b och 320.1 i förordning (EU) nr 575/2013.</w:t>
            </w:r>
          </w:p>
          <w:p w14:paraId="7BE235CA" w14:textId="7483A5B2" w:rsidR="00D740B8" w:rsidRPr="009C6447" w:rsidRDefault="002B0785">
            <w:pPr>
              <w:spacing w:before="120" w:after="120"/>
              <w:rPr>
                <w:rFonts w:ascii="Times New Roman" w:eastAsia="Times New Roman" w:hAnsi="Times New Roman" w:cs="Times New Roman"/>
                <w:sz w:val="24"/>
              </w:rPr>
            </w:pPr>
            <w:r w:rsidRPr="009C6447">
              <w:rPr>
                <w:rFonts w:ascii="Times New Roman" w:hAnsi="Times New Roman"/>
                <w:sz w:val="24"/>
              </w:rPr>
              <w:t xml:space="preserve">De totala nettoförlustbelopp som överskrider tröskelvärdet på 20 000 euro för förluster som undantagits i enlighet med artikel </w:t>
            </w:r>
            <w:proofErr w:type="gramStart"/>
            <w:r w:rsidRPr="009C6447">
              <w:rPr>
                <w:rFonts w:ascii="Times New Roman" w:hAnsi="Times New Roman"/>
                <w:sz w:val="24"/>
              </w:rPr>
              <w:t>320.1</w:t>
            </w:r>
            <w:proofErr w:type="gramEnd"/>
            <w:r w:rsidRPr="009C6447">
              <w:rPr>
                <w:rFonts w:ascii="Times New Roman" w:hAnsi="Times New Roman"/>
                <w:sz w:val="24"/>
              </w:rPr>
              <w:t xml:space="preserve"> i förordning (EU) nr 575/2013 för var och en av de tio senaste rapporteringsperioderna.</w:t>
            </w:r>
          </w:p>
        </w:tc>
      </w:tr>
      <w:tr w:rsidR="00D740B8" w:rsidRPr="009C6447"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9C6447" w:rsidRDefault="00D740B8">
            <w:pPr>
              <w:spacing w:before="12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Totalt antal undantagna operativa riskhändelser</w:t>
            </w:r>
          </w:p>
          <w:p w14:paraId="7914E462" w14:textId="7978A3B5" w:rsidR="00D740B8" w:rsidRPr="009C6447" w:rsidRDefault="00D740B8">
            <w:pPr>
              <w:spacing w:before="120" w:after="120"/>
              <w:rPr>
                <w:rFonts w:ascii="Times New Roman" w:eastAsia="Times New Roman" w:hAnsi="Times New Roman" w:cs="Times New Roman"/>
                <w:sz w:val="24"/>
              </w:rPr>
            </w:pPr>
            <w:r w:rsidRPr="009C6447">
              <w:rPr>
                <w:rFonts w:ascii="Times New Roman" w:hAnsi="Times New Roman"/>
                <w:sz w:val="24"/>
              </w:rPr>
              <w:t>Artikel 446.2 b och artikel 320.1 i förordning (EU) nr 575/2013.</w:t>
            </w:r>
          </w:p>
          <w:p w14:paraId="318A732C" w14:textId="242D554F" w:rsidR="00D740B8" w:rsidRPr="009C6447" w:rsidRDefault="009D4A12">
            <w:pPr>
              <w:spacing w:before="120" w:after="120"/>
              <w:jc w:val="both"/>
              <w:rPr>
                <w:rFonts w:ascii="Times New Roman" w:eastAsia="Times New Roman" w:hAnsi="Times New Roman" w:cs="Times New Roman"/>
                <w:sz w:val="24"/>
              </w:rPr>
            </w:pPr>
            <w:r w:rsidRPr="009C6447">
              <w:rPr>
                <w:rFonts w:ascii="Times New Roman" w:hAnsi="Times New Roman"/>
                <w:sz w:val="24"/>
              </w:rPr>
              <w:t xml:space="preserve">Det totala antalet exceptionella operativa riskhändelser som överskrider ett tröskelvärde på 20 000 euro för förlusthändelser som undantagits i enlighet med </w:t>
            </w:r>
            <w:r w:rsidRPr="009C6447">
              <w:rPr>
                <w:rFonts w:ascii="Times New Roman" w:hAnsi="Times New Roman"/>
                <w:sz w:val="24"/>
              </w:rPr>
              <w:lastRenderedPageBreak/>
              <w:t>artikel </w:t>
            </w:r>
            <w:proofErr w:type="gramStart"/>
            <w:r w:rsidRPr="009C6447">
              <w:rPr>
                <w:rFonts w:ascii="Times New Roman" w:hAnsi="Times New Roman"/>
                <w:sz w:val="24"/>
              </w:rPr>
              <w:t>320.1</w:t>
            </w:r>
            <w:proofErr w:type="gramEnd"/>
            <w:r w:rsidRPr="009C6447">
              <w:rPr>
                <w:rFonts w:ascii="Times New Roman" w:hAnsi="Times New Roman"/>
                <w:sz w:val="24"/>
              </w:rPr>
              <w:t xml:space="preserve"> i förordning (EU) nr 575/2013 för var och en av de tio senaste rapporteringsperioderna. </w:t>
            </w:r>
          </w:p>
        </w:tc>
      </w:tr>
      <w:tr w:rsidR="00D740B8" w:rsidRPr="009C6447"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lastRenderedPageBreak/>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9C6447" w:rsidRDefault="00D740B8">
            <w:pPr>
              <w:spacing w:before="12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Totalt belopp för förluster till följd av operativa risker netto efter avdrag för återvinningar och undantagna förluster</w:t>
            </w:r>
          </w:p>
          <w:p w14:paraId="4203582A" w14:textId="7C24EBAE" w:rsidR="00D740B8" w:rsidRPr="009C6447" w:rsidRDefault="002B0785">
            <w:pPr>
              <w:spacing w:before="120" w:after="120"/>
              <w:jc w:val="both"/>
              <w:rPr>
                <w:rFonts w:ascii="Times New Roman" w:eastAsia="Times New Roman" w:hAnsi="Times New Roman" w:cs="Times New Roman"/>
                <w:sz w:val="24"/>
              </w:rPr>
            </w:pPr>
            <w:r w:rsidRPr="009C6447">
              <w:rPr>
                <w:rFonts w:ascii="Times New Roman" w:hAnsi="Times New Roman"/>
                <w:sz w:val="24"/>
              </w:rPr>
              <w:t xml:space="preserve">Det totala beloppet för förluster till följd av operativa risker, </w:t>
            </w:r>
            <w:proofErr w:type="gramStart"/>
            <w:r w:rsidRPr="009C6447">
              <w:rPr>
                <w:rFonts w:ascii="Times New Roman" w:hAnsi="Times New Roman"/>
                <w:sz w:val="24"/>
              </w:rPr>
              <w:t>minus beloppet</w:t>
            </w:r>
            <w:proofErr w:type="gramEnd"/>
            <w:r w:rsidRPr="009C6447">
              <w:rPr>
                <w:rFonts w:ascii="Times New Roman" w:hAnsi="Times New Roman"/>
                <w:sz w:val="24"/>
              </w:rPr>
              <w:t xml:space="preserve"> för återvinningar som redovisats på rad 1 och minus undantagna förluster som redovisats på rad 3.</w:t>
            </w:r>
          </w:p>
        </w:tc>
      </w:tr>
      <w:tr w:rsidR="00D740B8" w:rsidRPr="009C6447"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9C6447" w:rsidRDefault="00D740B8">
            <w:pPr>
              <w:spacing w:before="120" w:after="120"/>
              <w:jc w:val="both"/>
              <w:rPr>
                <w:rFonts w:ascii="Times New Roman" w:eastAsia="Times New Roman" w:hAnsi="Times New Roman" w:cs="Times New Roman"/>
                <w:b/>
                <w:sz w:val="24"/>
              </w:rPr>
            </w:pPr>
            <w:r w:rsidRPr="009C6447">
              <w:rPr>
                <w:rFonts w:ascii="Times New Roman" w:hAnsi="Times New Roman"/>
                <w:b/>
                <w:sz w:val="24"/>
              </w:rPr>
              <w:t>Totalt belopp för förluster till följd av operativa risker netto efter avdrag för återvinningar (utan undantag)</w:t>
            </w:r>
          </w:p>
          <w:p w14:paraId="647BDEC8" w14:textId="66617A83" w:rsidR="00D740B8" w:rsidRPr="009C6447" w:rsidRDefault="00D740B8">
            <w:pPr>
              <w:spacing w:before="120" w:after="120"/>
              <w:jc w:val="both"/>
              <w:rPr>
                <w:rFonts w:ascii="Times New Roman" w:eastAsia="Times New Roman" w:hAnsi="Times New Roman" w:cs="Times New Roman"/>
                <w:sz w:val="24"/>
              </w:rPr>
            </w:pPr>
            <w:r w:rsidRPr="009C6447">
              <w:rPr>
                <w:rFonts w:ascii="Times New Roman" w:hAnsi="Times New Roman"/>
                <w:sz w:val="24"/>
              </w:rPr>
              <w:t>Artikel 446.2 a och artikel 316.1 i förordning (EU) nr 575/2013.</w:t>
            </w:r>
          </w:p>
          <w:p w14:paraId="7F1E94AA" w14:textId="3C3700EE" w:rsidR="00D740B8" w:rsidRPr="009C6447" w:rsidRDefault="003D54AC">
            <w:pPr>
              <w:spacing w:before="120" w:after="120"/>
              <w:jc w:val="both"/>
              <w:rPr>
                <w:rStyle w:val="InstructionsTabelleberschrift"/>
                <w:rFonts w:ascii="Times New Roman" w:eastAsia="Times New Roman" w:hAnsi="Times New Roman"/>
                <w:bCs w:val="0"/>
                <w:sz w:val="24"/>
              </w:rPr>
            </w:pPr>
            <w:r w:rsidRPr="009C6447">
              <w:rPr>
                <w:rFonts w:ascii="Times New Roman" w:hAnsi="Times New Roman"/>
                <w:sz w:val="24"/>
              </w:rPr>
              <w:t>Det totala beloppet för förluster till följd av operativ risk, minus återvunna belopp, till följd av förlusthändelser som överskrider ett tröskelvärde på 100 000 euro för förlusthändelser för var och en av de senaste tio rapporteringsperioderna, inklusive förluster från sammanslagningar och förvärv. Förluster som orsakats av en gemensam operativ riskhändelse eller av flera händelser som är kopplade till samma operativa riskhändelse och som redovisas under olika räkenskapsår ska summeras för de senaste tio åren för att fastställa om tröskelvärdet för offentliggörande har överskridits eller inte. Exceptionella operativa riskhändelser under året som inte längre är relevanta för institutets riskprofil och för vilka institutet har fått tillstånd från den behöriga myndigheten att undanta dem från institutets årliga förluster till följd av operativa risker, i enlighet med artikel 320.1 i förordning (EU) 575/2013, ska fortfarande beaktas vid beräkningen av posten på denna rad.</w:t>
            </w:r>
          </w:p>
        </w:tc>
      </w:tr>
      <w:tr w:rsidR="00D740B8" w:rsidRPr="009C6447"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9C6447" w:rsidRDefault="00D740B8">
            <w:pPr>
              <w:spacing w:before="120" w:after="120"/>
              <w:jc w:val="both"/>
              <w:rPr>
                <w:rFonts w:ascii="Times New Roman" w:eastAsia="Times New Roman" w:hAnsi="Times New Roman" w:cs="Times New Roman"/>
                <w:b/>
                <w:sz w:val="24"/>
              </w:rPr>
            </w:pPr>
            <w:r w:rsidRPr="009C6447">
              <w:rPr>
                <w:rFonts w:ascii="Times New Roman" w:hAnsi="Times New Roman"/>
                <w:b/>
                <w:sz w:val="24"/>
              </w:rPr>
              <w:t>Totalt antal förluster till följd av operativa risker</w:t>
            </w:r>
          </w:p>
          <w:p w14:paraId="7AD8EE0D" w14:textId="092E19E2" w:rsidR="00D740B8" w:rsidRPr="009C6447" w:rsidRDefault="00D740B8">
            <w:pPr>
              <w:spacing w:before="120" w:after="120"/>
              <w:jc w:val="both"/>
              <w:rPr>
                <w:rFonts w:ascii="Times New Roman" w:eastAsia="Times New Roman" w:hAnsi="Times New Roman" w:cs="Times New Roman"/>
                <w:sz w:val="24"/>
              </w:rPr>
            </w:pPr>
            <w:r w:rsidRPr="009C6447">
              <w:rPr>
                <w:rFonts w:ascii="Times New Roman" w:hAnsi="Times New Roman"/>
                <w:sz w:val="24"/>
              </w:rPr>
              <w:t>Artikel 446.2 a och artikel 316.1 i förordning (EU) nr 575/2013.</w:t>
            </w:r>
          </w:p>
          <w:p w14:paraId="6F316B8B" w14:textId="6ABB567B" w:rsidR="00D740B8" w:rsidRPr="009C6447" w:rsidRDefault="00471410">
            <w:pPr>
              <w:spacing w:before="120" w:after="120"/>
              <w:jc w:val="both"/>
              <w:rPr>
                <w:rStyle w:val="InstructionsTabelleberschrift"/>
                <w:rFonts w:ascii="Times New Roman" w:eastAsia="Times New Roman" w:hAnsi="Times New Roman"/>
                <w:bCs w:val="0"/>
                <w:sz w:val="24"/>
              </w:rPr>
            </w:pPr>
            <w:r w:rsidRPr="009C6447">
              <w:rPr>
                <w:rFonts w:ascii="Times New Roman" w:hAnsi="Times New Roman"/>
                <w:sz w:val="24"/>
              </w:rPr>
              <w:t>Det totala antalet förluster till följd av operativa risker som överskrider tröskelvärdet på 100 000 euro för förlusthändelser.</w:t>
            </w:r>
          </w:p>
        </w:tc>
      </w:tr>
      <w:tr w:rsidR="00D740B8" w:rsidRPr="009C6447"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9C6447" w:rsidRDefault="00D740B8">
            <w:pPr>
              <w:spacing w:before="120" w:after="120"/>
              <w:jc w:val="both"/>
              <w:rPr>
                <w:rFonts w:ascii="Times New Roman" w:eastAsia="Times New Roman" w:hAnsi="Times New Roman" w:cs="Times New Roman"/>
                <w:b/>
                <w:sz w:val="24"/>
              </w:rPr>
            </w:pPr>
            <w:r w:rsidRPr="009C6447">
              <w:rPr>
                <w:rFonts w:ascii="Times New Roman" w:hAnsi="Times New Roman"/>
                <w:b/>
                <w:sz w:val="24"/>
              </w:rPr>
              <w:t>Totalt belopp för undantagna förluster till följd av operativa risker</w:t>
            </w:r>
          </w:p>
          <w:p w14:paraId="71DECF65" w14:textId="48A395A5" w:rsidR="00D740B8" w:rsidRPr="009C6447" w:rsidRDefault="00D740B8">
            <w:pPr>
              <w:spacing w:before="120" w:after="120"/>
              <w:rPr>
                <w:rFonts w:ascii="Times New Roman" w:eastAsia="Times New Roman" w:hAnsi="Times New Roman" w:cs="Times New Roman"/>
                <w:sz w:val="24"/>
              </w:rPr>
            </w:pPr>
            <w:r w:rsidRPr="009C6447">
              <w:rPr>
                <w:rFonts w:ascii="Times New Roman" w:hAnsi="Times New Roman"/>
                <w:sz w:val="24"/>
              </w:rPr>
              <w:t>Artiklarna 446.2 b och 320.1 i förordning (EU) nr 575/2013.</w:t>
            </w:r>
          </w:p>
          <w:p w14:paraId="0BC74916" w14:textId="396B699A" w:rsidR="00D740B8" w:rsidRPr="009C6447" w:rsidRDefault="003D54AC">
            <w:pPr>
              <w:spacing w:before="120" w:after="120"/>
              <w:jc w:val="both"/>
              <w:rPr>
                <w:rStyle w:val="InstructionsTabelleberschrift"/>
                <w:rFonts w:ascii="Times New Roman" w:eastAsia="Times New Roman" w:hAnsi="Times New Roman"/>
                <w:bCs w:val="0"/>
                <w:sz w:val="24"/>
              </w:rPr>
            </w:pPr>
            <w:r w:rsidRPr="009C6447">
              <w:rPr>
                <w:rFonts w:ascii="Times New Roman" w:hAnsi="Times New Roman"/>
                <w:sz w:val="24"/>
              </w:rPr>
              <w:t xml:space="preserve">De totala nettoförlustbelopp som överstiger ett tröskelvärde på 100 000 euro för en förlusthändelse, undantagna i enlighet med artikel </w:t>
            </w:r>
            <w:proofErr w:type="gramStart"/>
            <w:r w:rsidRPr="009C6447">
              <w:rPr>
                <w:rFonts w:ascii="Times New Roman" w:hAnsi="Times New Roman"/>
                <w:sz w:val="24"/>
              </w:rPr>
              <w:t>320.1</w:t>
            </w:r>
            <w:proofErr w:type="gramEnd"/>
            <w:r w:rsidRPr="009C6447">
              <w:rPr>
                <w:rFonts w:ascii="Times New Roman" w:hAnsi="Times New Roman"/>
                <w:sz w:val="24"/>
              </w:rPr>
              <w:t xml:space="preserve"> i förordning (EU) nr 575/2013, för var och en av de tio senaste rapporteringsperioderna.</w:t>
            </w:r>
          </w:p>
        </w:tc>
      </w:tr>
      <w:tr w:rsidR="00D740B8" w:rsidRPr="009C6447"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9C6447" w:rsidRDefault="00D740B8">
            <w:pPr>
              <w:spacing w:before="12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Totalt antal undantagna operativa riskhändelser</w:t>
            </w:r>
          </w:p>
          <w:p w14:paraId="2B56754D" w14:textId="46B0AAAA" w:rsidR="00D740B8" w:rsidRPr="009C6447" w:rsidRDefault="00D740B8">
            <w:pPr>
              <w:spacing w:before="120" w:after="120"/>
              <w:rPr>
                <w:rFonts w:ascii="Times New Roman" w:eastAsia="Times New Roman" w:hAnsi="Times New Roman" w:cs="Times New Roman"/>
                <w:sz w:val="24"/>
              </w:rPr>
            </w:pPr>
            <w:r w:rsidRPr="009C6447">
              <w:rPr>
                <w:rFonts w:ascii="Times New Roman" w:hAnsi="Times New Roman"/>
                <w:sz w:val="24"/>
              </w:rPr>
              <w:t>Artikel 446.2 b och artikel 320.1 i förordning (EU) nr 575/2013.</w:t>
            </w:r>
          </w:p>
          <w:p w14:paraId="2EDEC8CA" w14:textId="252B783D" w:rsidR="00D740B8" w:rsidRPr="009C6447" w:rsidRDefault="00471410">
            <w:pPr>
              <w:spacing w:before="120" w:after="120"/>
              <w:jc w:val="both"/>
              <w:rPr>
                <w:rStyle w:val="InstructionsTabelleberschrift"/>
                <w:rFonts w:ascii="Times New Roman" w:eastAsia="Times New Roman" w:hAnsi="Times New Roman"/>
                <w:bCs w:val="0"/>
                <w:sz w:val="24"/>
              </w:rPr>
            </w:pPr>
            <w:r w:rsidRPr="009C6447">
              <w:rPr>
                <w:rFonts w:ascii="Times New Roman" w:hAnsi="Times New Roman"/>
                <w:sz w:val="24"/>
              </w:rPr>
              <w:t>Det totala antalet exceptionella operativa riskhändelser som överskrider ett tröskelvärde på 100 000 euro för förlusthändelser som undantagits i enlighet med artikel </w:t>
            </w:r>
            <w:proofErr w:type="gramStart"/>
            <w:r w:rsidRPr="009C6447">
              <w:rPr>
                <w:rFonts w:ascii="Times New Roman" w:hAnsi="Times New Roman"/>
                <w:sz w:val="24"/>
              </w:rPr>
              <w:t>320.1</w:t>
            </w:r>
            <w:proofErr w:type="gramEnd"/>
            <w:r w:rsidRPr="009C6447">
              <w:rPr>
                <w:rFonts w:ascii="Times New Roman" w:hAnsi="Times New Roman"/>
                <w:sz w:val="24"/>
              </w:rPr>
              <w:t xml:space="preserve"> i förordning (EU) nr 575/2013, för var och en av de senaste tio rapporteringsperioderna.</w:t>
            </w:r>
          </w:p>
        </w:tc>
      </w:tr>
      <w:tr w:rsidR="00D740B8" w:rsidRPr="009C6447"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lastRenderedPageBreak/>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9C6447" w:rsidRDefault="00D740B8" w:rsidP="00DD0B51">
            <w:pPr>
              <w:keepNext/>
              <w:keepLines/>
              <w:spacing w:before="12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Totalt belopp för förluster till följd av operativa risker netto efter avdrag för återvinningar och undantagna förluster</w:t>
            </w:r>
          </w:p>
          <w:p w14:paraId="65622881" w14:textId="32C07686" w:rsidR="00D740B8" w:rsidRPr="009C6447" w:rsidRDefault="006943D3">
            <w:pPr>
              <w:spacing w:before="120" w:after="120"/>
              <w:jc w:val="both"/>
              <w:rPr>
                <w:rStyle w:val="InstructionsTabelleberschrift"/>
                <w:rFonts w:ascii="Times New Roman" w:eastAsia="Times New Roman" w:hAnsi="Times New Roman"/>
                <w:bCs w:val="0"/>
                <w:sz w:val="24"/>
              </w:rPr>
            </w:pPr>
            <w:r w:rsidRPr="009C6447">
              <w:rPr>
                <w:rFonts w:ascii="Times New Roman" w:hAnsi="Times New Roman"/>
                <w:sz w:val="24"/>
              </w:rPr>
              <w:t>På raden ska det totala beloppet för förluster till följd av operativa risker redovisas, minus det belopp för återvinningar som redovisas på rad 6, minus det belopp för undantagna förluster som redovisas på rad 8.</w:t>
            </w:r>
          </w:p>
        </w:tc>
      </w:tr>
      <w:tr w:rsidR="00D740B8" w:rsidRPr="009C6447"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9C6447"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9C6447">
              <w:rPr>
                <w:rFonts w:ascii="Times New Roman" w:hAnsi="Times New Roman"/>
                <w:sz w:val="24"/>
              </w:rPr>
              <w:t>Ej tillämpligt.</w:t>
            </w:r>
          </w:p>
        </w:tc>
      </w:tr>
      <w:tr w:rsidR="00D740B8" w:rsidRPr="009C6447"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9C6447" w:rsidRDefault="00D740B8">
            <w:pPr>
              <w:spacing w:before="120" w:after="120"/>
              <w:jc w:val="both"/>
              <w:rPr>
                <w:rStyle w:val="InstructionsTabelleberschrift"/>
                <w:rFonts w:ascii="Times New Roman" w:eastAsia="Times New Roman" w:hAnsi="Times New Roman"/>
                <w:b w:val="0"/>
                <w:bCs w:val="0"/>
                <w:sz w:val="24"/>
                <w:u w:val="none"/>
              </w:rPr>
            </w:pPr>
            <w:r w:rsidRPr="009C6447">
              <w:rPr>
                <w:rStyle w:val="InstructionsTabelleberschrift"/>
                <w:rFonts w:ascii="Times New Roman" w:hAnsi="Times New Roman"/>
                <w:b w:val="0"/>
                <w:sz w:val="24"/>
                <w:u w:val="none"/>
              </w:rPr>
              <w:t>Ej tillämpligt.</w:t>
            </w:r>
          </w:p>
        </w:tc>
      </w:tr>
      <w:tr w:rsidR="00D740B8" w:rsidRPr="009C6447"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9C6447" w:rsidRDefault="00D740B8">
            <w:pPr>
              <w:spacing w:before="120" w:after="120"/>
              <w:jc w:val="both"/>
              <w:rPr>
                <w:rStyle w:val="InstructionsTabelleberschrift"/>
                <w:rFonts w:ascii="Times New Roman" w:eastAsia="Times New Roman" w:hAnsi="Times New Roman"/>
                <w:b w:val="0"/>
                <w:bCs w:val="0"/>
                <w:sz w:val="24"/>
                <w:u w:val="none"/>
              </w:rPr>
            </w:pPr>
            <w:r w:rsidRPr="009C6447">
              <w:rPr>
                <w:rStyle w:val="InstructionsTabelleberschrift"/>
                <w:rFonts w:ascii="Times New Roman" w:hAnsi="Times New Roman"/>
                <w:b w:val="0"/>
                <w:sz w:val="24"/>
                <w:u w:val="none"/>
              </w:rPr>
              <w:t>Ej tillämpligt.</w:t>
            </w:r>
          </w:p>
        </w:tc>
      </w:tr>
    </w:tbl>
    <w:p w14:paraId="25A698B0" w14:textId="77777777" w:rsidR="00D740B8" w:rsidRPr="009C6447" w:rsidRDefault="00D740B8" w:rsidP="00D740B8">
      <w:pPr>
        <w:pStyle w:val="InstructionsText2"/>
        <w:numPr>
          <w:ilvl w:val="0"/>
          <w:numId w:val="0"/>
        </w:numPr>
        <w:ind w:left="360"/>
        <w:rPr>
          <w:lang w:val="en-US"/>
        </w:rPr>
      </w:pPr>
    </w:p>
    <w:p w14:paraId="033C5861" w14:textId="77777777" w:rsidR="00D740B8" w:rsidRPr="009C6447" w:rsidRDefault="00D740B8" w:rsidP="00D740B8">
      <w:pPr>
        <w:jc w:val="both"/>
        <w:rPr>
          <w:rFonts w:ascii="Times New Roman" w:hAnsi="Times New Roman" w:cs="Times New Roman"/>
          <w:bCs/>
          <w:sz w:val="24"/>
        </w:rPr>
      </w:pPr>
      <w:r w:rsidRPr="009C6447">
        <w:rPr>
          <w:rFonts w:ascii="Times New Roman" w:hAnsi="Times New Roman"/>
          <w:b/>
          <w:sz w:val="24"/>
        </w:rPr>
        <w:t xml:space="preserve">Mallen EU OR2 – Verksamhetsindikator, komponenter och delkomponenter. </w:t>
      </w:r>
      <w:r w:rsidRPr="009C6447">
        <w:rPr>
          <w:rFonts w:ascii="Times New Roman" w:hAnsi="Times New Roman"/>
          <w:sz w:val="24"/>
        </w:rPr>
        <w:t>Fast mall</w:t>
      </w:r>
    </w:p>
    <w:p w14:paraId="3D173CCF" w14:textId="77777777" w:rsidR="00D740B8" w:rsidRPr="009C6447" w:rsidRDefault="00D740B8" w:rsidP="00D740B8">
      <w:pPr>
        <w:ind w:left="360"/>
        <w:jc w:val="both"/>
        <w:rPr>
          <w:rFonts w:ascii="Times New Roman" w:hAnsi="Times New Roman" w:cs="Times New Roman"/>
          <w:bCs/>
          <w:sz w:val="24"/>
        </w:rPr>
      </w:pPr>
    </w:p>
    <w:p w14:paraId="3F849430" w14:textId="414C531B" w:rsidR="00D740B8" w:rsidRPr="009C6447" w:rsidRDefault="00D740B8" w:rsidP="00D740B8">
      <w:pPr>
        <w:numPr>
          <w:ilvl w:val="0"/>
          <w:numId w:val="1"/>
        </w:numPr>
        <w:jc w:val="both"/>
        <w:rPr>
          <w:rFonts w:ascii="Times New Roman" w:hAnsi="Times New Roman" w:cs="Times New Roman"/>
          <w:bCs/>
          <w:sz w:val="24"/>
        </w:rPr>
      </w:pPr>
      <w:r w:rsidRPr="009C6447">
        <w:rPr>
          <w:rFonts w:ascii="Times New Roman" w:hAnsi="Times New Roman"/>
          <w:sz w:val="24"/>
        </w:rPr>
        <w:t>Instituten ska offentliggöra den information som ingår i mall EU OR2 vid tillämpningen av artikel </w:t>
      </w:r>
      <w:proofErr w:type="gramStart"/>
      <w:r w:rsidRPr="009C6447">
        <w:rPr>
          <w:rFonts w:ascii="Times New Roman" w:hAnsi="Times New Roman"/>
          <w:sz w:val="24"/>
        </w:rPr>
        <w:t>446.1</w:t>
      </w:r>
      <w:proofErr w:type="gramEnd"/>
      <w:r w:rsidRPr="009C6447">
        <w:rPr>
          <w:rFonts w:ascii="Times New Roman" w:hAnsi="Times New Roman"/>
          <w:sz w:val="24"/>
        </w:rPr>
        <w:t xml:space="preserve"> c och d i förordning (EU) nr 575/2013. Denna mall innehåller information om beräkningen av verksamhetsindikatorkomponenten (BIC), i enlighet med artikel 313 i förordning (EU) nr 575/2013, och om beräkningen av verksamhetsindikatorn (BI) och dess komponenter och delkomponenter, i enlighet med artikel 314 i förordning (EU) nr 575/2013. Dessutom innehåller denna </w:t>
      </w:r>
      <w:proofErr w:type="gramStart"/>
      <w:r w:rsidRPr="009C6447">
        <w:rPr>
          <w:rFonts w:ascii="Times New Roman" w:hAnsi="Times New Roman"/>
          <w:sz w:val="24"/>
        </w:rPr>
        <w:t>mall information</w:t>
      </w:r>
      <w:proofErr w:type="gramEnd"/>
      <w:r w:rsidRPr="009C6447">
        <w:rPr>
          <w:rFonts w:ascii="Times New Roman" w:hAnsi="Times New Roman"/>
          <w:sz w:val="24"/>
        </w:rPr>
        <w:t xml:space="preserve"> om de belopp som har undantagits från verksamhetsindikatorn avseende avyttrade enheter eller verksamheter, i enlighet med artikel 315.2.</w:t>
      </w:r>
    </w:p>
    <w:p w14:paraId="5C35CEC0" w14:textId="77777777" w:rsidR="00D740B8" w:rsidRPr="009C6447" w:rsidRDefault="00D740B8" w:rsidP="00D740B8">
      <w:pPr>
        <w:ind w:left="360"/>
        <w:jc w:val="both"/>
        <w:rPr>
          <w:rFonts w:ascii="Times New Roman" w:hAnsi="Times New Roman" w:cs="Times New Roman"/>
          <w:bCs/>
          <w:sz w:val="24"/>
        </w:rPr>
      </w:pPr>
    </w:p>
    <w:p w14:paraId="1749895F" w14:textId="07869965" w:rsidR="00D740B8" w:rsidRPr="009C6447" w:rsidRDefault="00D740B8" w:rsidP="00D740B8">
      <w:pPr>
        <w:numPr>
          <w:ilvl w:val="0"/>
          <w:numId w:val="1"/>
        </w:numPr>
        <w:jc w:val="both"/>
        <w:rPr>
          <w:rFonts w:ascii="Times New Roman" w:hAnsi="Times New Roman" w:cs="Times New Roman"/>
          <w:bCs/>
          <w:sz w:val="24"/>
        </w:rPr>
      </w:pPr>
      <w:r w:rsidRPr="009C6447">
        <w:rPr>
          <w:rFonts w:ascii="Times New Roman" w:hAnsi="Times New Roman"/>
          <w:sz w:val="24"/>
        </w:rPr>
        <w:t>Instituten ska offentliggöra information för de tre senaste räkenskapsåren om beloppet för den relevanta förteckningen över poster som krävs för beräkningen av de delkomponenter i verksamhetsindikatorn som bidrar till beräkningen av kapitalbaskraven för operativ risk.</w:t>
      </w:r>
    </w:p>
    <w:p w14:paraId="7B27D162" w14:textId="77777777" w:rsidR="00D740B8" w:rsidRPr="009C6447" w:rsidRDefault="00D740B8" w:rsidP="00D740B8">
      <w:pPr>
        <w:pStyle w:val="ListParagraph"/>
        <w:rPr>
          <w:rFonts w:ascii="Times New Roman" w:hAnsi="Times New Roman"/>
          <w:bCs/>
          <w:sz w:val="24"/>
        </w:rPr>
      </w:pPr>
    </w:p>
    <w:p w14:paraId="41988E91" w14:textId="281D16EA" w:rsidR="00D740B8" w:rsidRPr="009C6447" w:rsidRDefault="00D740B8" w:rsidP="00D740B8">
      <w:pPr>
        <w:numPr>
          <w:ilvl w:val="0"/>
          <w:numId w:val="1"/>
        </w:numPr>
        <w:jc w:val="both"/>
        <w:rPr>
          <w:rFonts w:ascii="Times New Roman" w:hAnsi="Times New Roman" w:cs="Times New Roman"/>
          <w:bCs/>
          <w:sz w:val="24"/>
        </w:rPr>
      </w:pPr>
      <w:r w:rsidRPr="009C6447">
        <w:rPr>
          <w:rFonts w:ascii="Times New Roman" w:hAnsi="Times New Roman"/>
          <w:sz w:val="24"/>
        </w:rPr>
        <w:t>I enlighet med artikel 314.8 i förordning (EU) nr 575/2013 ska instituten rapportera de framåtblickande skattningarna om inga historiska uppgifter finns tillgängliga.</w:t>
      </w:r>
    </w:p>
    <w:p w14:paraId="14A23528" w14:textId="485ED75C" w:rsidR="00D740B8" w:rsidRPr="009C6447" w:rsidRDefault="00D740B8" w:rsidP="00D740B8">
      <w:pPr>
        <w:pStyle w:val="numberedparagraph"/>
        <w:numPr>
          <w:ilvl w:val="0"/>
          <w:numId w:val="1"/>
        </w:numPr>
        <w:rPr>
          <w:rFonts w:ascii="Times New Roman" w:hAnsi="Times New Roman" w:cs="Times New Roman"/>
          <w:sz w:val="24"/>
        </w:rPr>
      </w:pPr>
      <w:r w:rsidRPr="009C6447">
        <w:rPr>
          <w:rFonts w:ascii="Times New Roman" w:hAnsi="Times New Roman"/>
          <w:sz w:val="24"/>
        </w:rPr>
        <w:t>Om institutens uppgifter kopplade till de detaljerade poster som ingår i verksamhetsindikatorns komponenter avser en kortare period än tre år ska de historiska uppgifter som finns tillgängliga rapporteras efter vad som är mest relevant i respektive kolumner i mallen. Om instituten endast har historiska uppgifter som rör verksamhetsindikatorns komponenter tillgängliga för ett år ska dessa uppgifter rapporteras i den kolumn som motsvarar det senaste året (t.ex. ”förra året”). Om det förefaller rimligt ska de framåtblickande skattningarna inkluderas under År -1 respektive År -2 till dess att dessa uppgifter blir tillgängliga.</w:t>
      </w:r>
    </w:p>
    <w:p w14:paraId="2DDE0943" w14:textId="7F04DC41" w:rsidR="00D740B8" w:rsidRPr="009C6447" w:rsidRDefault="00D740B8" w:rsidP="00D740B8">
      <w:pPr>
        <w:pStyle w:val="numberedparagraph"/>
        <w:numPr>
          <w:ilvl w:val="0"/>
          <w:numId w:val="1"/>
        </w:numPr>
        <w:rPr>
          <w:rFonts w:ascii="Times New Roman" w:hAnsi="Times New Roman" w:cs="Times New Roman"/>
          <w:sz w:val="24"/>
        </w:rPr>
      </w:pPr>
      <w:r w:rsidRPr="009C6447">
        <w:rPr>
          <w:rFonts w:ascii="Times New Roman" w:hAnsi="Times New Roman"/>
          <w:sz w:val="24"/>
        </w:rPr>
        <w:t>I de delposter som gäller beräkningen av ränte-, leasing- och utdelningskomponenten (ILDC) ska instituten inte ta med några siffror som gäller specifika dotterinstitut vars ränte-, leasing- och utdelningskomponent ska beräknas separat i enlighet med artikel 314.3 i förordning (EU) nr 575/2013.</w:t>
      </w:r>
    </w:p>
    <w:p w14:paraId="3512454B" w14:textId="27224DC8" w:rsidR="00841A0D" w:rsidRPr="009C6447" w:rsidRDefault="00D740B8" w:rsidP="00D740B8">
      <w:pPr>
        <w:numPr>
          <w:ilvl w:val="0"/>
          <w:numId w:val="1"/>
        </w:numPr>
        <w:jc w:val="both"/>
        <w:rPr>
          <w:rFonts w:ascii="Times New Roman" w:hAnsi="Times New Roman" w:cs="Times New Roman"/>
          <w:bCs/>
          <w:sz w:val="24"/>
        </w:rPr>
      </w:pPr>
      <w:r w:rsidRPr="009C6447">
        <w:rPr>
          <w:rFonts w:ascii="Times New Roman" w:hAnsi="Times New Roman"/>
          <w:sz w:val="24"/>
        </w:rPr>
        <w:t xml:space="preserve">I de delposter som utgör en del av beräkningen av ränte-, leasing- och utdelningskomponenten (ILDC) ska instituten inte ta med några siffror från affärsområdena </w:t>
      </w:r>
      <w:r w:rsidRPr="009C6447">
        <w:rPr>
          <w:rFonts w:ascii="Times New Roman" w:hAnsi="Times New Roman"/>
          <w:sz w:val="24"/>
        </w:rPr>
        <w:lastRenderedPageBreak/>
        <w:t>hushållsbank och/eller storkundsbank i de fall där institutet har fått tillstånd att tillämpa artikel 314.4 i förordning (EU) nr 575/2013.</w:t>
      </w:r>
    </w:p>
    <w:p w14:paraId="22AE3E22" w14:textId="77777777" w:rsidR="00841A0D" w:rsidRPr="009C6447" w:rsidRDefault="00841A0D" w:rsidP="00841A0D">
      <w:pPr>
        <w:ind w:left="360"/>
        <w:jc w:val="both"/>
        <w:rPr>
          <w:rFonts w:ascii="Times New Roman" w:hAnsi="Times New Roman" w:cs="Times New Roman"/>
          <w:bCs/>
          <w:sz w:val="24"/>
        </w:rPr>
      </w:pPr>
    </w:p>
    <w:p w14:paraId="3A161EFD" w14:textId="7882B43A" w:rsidR="00D740B8" w:rsidRPr="009C6447" w:rsidRDefault="003826D3" w:rsidP="00D740B8">
      <w:pPr>
        <w:numPr>
          <w:ilvl w:val="0"/>
          <w:numId w:val="1"/>
        </w:numPr>
        <w:jc w:val="both"/>
        <w:rPr>
          <w:rFonts w:ascii="Times New Roman" w:hAnsi="Times New Roman" w:cs="Times New Roman"/>
          <w:bCs/>
          <w:sz w:val="24"/>
        </w:rPr>
      </w:pPr>
      <w:r w:rsidRPr="009C6447">
        <w:rPr>
          <w:rFonts w:ascii="Times New Roman" w:hAnsi="Times New Roman"/>
          <w:sz w:val="24"/>
        </w:rPr>
        <w:t>Instituten ska dock på rad 1 rapportera det totala ILDC-beloppet inbegripet de belopp som beräknats i enlighet med artikel 314.3 i förordning (EU) nr 575/2013. På rad EU 1 ska också ränte-, leasing- och utdelningskomponenten anges, med undantag för enheter som avses i artikel 314.3.</w:t>
      </w:r>
    </w:p>
    <w:p w14:paraId="7DAFACF8" w14:textId="77777777" w:rsidR="00D740B8" w:rsidRPr="009C6447" w:rsidRDefault="00D740B8" w:rsidP="00D740B8">
      <w:pPr>
        <w:ind w:left="360"/>
        <w:jc w:val="both"/>
        <w:rPr>
          <w:rFonts w:ascii="Times New Roman" w:hAnsi="Times New Roman" w:cs="Times New Roman"/>
          <w:bCs/>
          <w:sz w:val="24"/>
        </w:rPr>
      </w:pPr>
    </w:p>
    <w:p w14:paraId="578B96DC" w14:textId="494916C5" w:rsidR="00D740B8" w:rsidRPr="009C6447" w:rsidRDefault="00D740B8" w:rsidP="00D740B8">
      <w:pPr>
        <w:numPr>
          <w:ilvl w:val="0"/>
          <w:numId w:val="1"/>
        </w:numPr>
        <w:jc w:val="both"/>
        <w:rPr>
          <w:rFonts w:ascii="Times New Roman" w:hAnsi="Times New Roman" w:cs="Times New Roman"/>
          <w:bCs/>
          <w:sz w:val="24"/>
        </w:rPr>
      </w:pPr>
      <w:r w:rsidRPr="009C6447">
        <w:rPr>
          <w:rFonts w:ascii="Times New Roman" w:hAnsi="Times New Roman"/>
          <w:sz w:val="24"/>
        </w:rPr>
        <w:t>I den åtföljande beskrivningen ska instituten, i enlighet med artikel 446.1 i förordning (EU) nr 575/2013, lämna en motivering för varje undantag från verksamhetsindikatorn, förutom för uteslutandet av affärsområdena hushållsbank och storkundsbank som avses i artikel 314.4.</w:t>
      </w:r>
    </w:p>
    <w:p w14:paraId="22C673C4" w14:textId="77777777" w:rsidR="00393FEF" w:rsidRPr="009C6447" w:rsidRDefault="00393FEF" w:rsidP="00532CFA">
      <w:pPr>
        <w:pStyle w:val="ListParagraph"/>
        <w:rPr>
          <w:rFonts w:ascii="Times New Roman" w:hAnsi="Times New Roman"/>
          <w:bCs/>
          <w:sz w:val="24"/>
        </w:rPr>
      </w:pPr>
    </w:p>
    <w:p w14:paraId="7DD11602" w14:textId="2BC0B288" w:rsidR="00393FEF" w:rsidRPr="009C6447" w:rsidRDefault="006020C0" w:rsidP="00D740B8">
      <w:pPr>
        <w:numPr>
          <w:ilvl w:val="0"/>
          <w:numId w:val="1"/>
        </w:numPr>
        <w:jc w:val="both"/>
        <w:rPr>
          <w:rFonts w:ascii="Times New Roman" w:hAnsi="Times New Roman" w:cs="Times New Roman"/>
          <w:bCs/>
          <w:sz w:val="24"/>
        </w:rPr>
      </w:pPr>
      <w:r w:rsidRPr="009C6447">
        <w:rPr>
          <w:rFonts w:ascii="Times New Roman" w:hAnsi="Times New Roman"/>
          <w:sz w:val="24"/>
        </w:rPr>
        <w:t xml:space="preserve">Med tanke på det nära sambandet mellan kraven på offentliggörande av operativ risk och institutets finansiella rapporter har hänvisningar till rapporteringskrav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xml:space="preserve"> (</w:t>
      </w:r>
      <w:proofErr w:type="spellStart"/>
      <w:r w:rsidRPr="009C6447">
        <w:rPr>
          <w:rFonts w:ascii="Times New Roman" w:hAnsi="Times New Roman"/>
          <w:sz w:val="24"/>
        </w:rPr>
        <w:t>Finrep</w:t>
      </w:r>
      <w:proofErr w:type="spellEnd"/>
      <w:r w:rsidRPr="009C6447">
        <w:rPr>
          <w:rFonts w:ascii="Times New Roman" w:hAnsi="Times New Roman"/>
          <w:sz w:val="24"/>
        </w:rPr>
        <w:t>) återspeglats i instruktionerna.</w:t>
      </w:r>
    </w:p>
    <w:p w14:paraId="1D4913E2" w14:textId="77777777" w:rsidR="00DD1D82" w:rsidRPr="009C6447" w:rsidRDefault="00DD1D82" w:rsidP="00DD1D82">
      <w:pPr>
        <w:pStyle w:val="ListParagraph"/>
        <w:rPr>
          <w:rFonts w:ascii="Times New Roman" w:hAnsi="Times New Roman"/>
          <w:bCs/>
          <w:sz w:val="24"/>
        </w:rPr>
      </w:pPr>
    </w:p>
    <w:p w14:paraId="11E51AFD" w14:textId="3D720718" w:rsidR="00DD1D82" w:rsidRPr="009C6447" w:rsidRDefault="00050ABA" w:rsidP="001257B6">
      <w:pPr>
        <w:numPr>
          <w:ilvl w:val="0"/>
          <w:numId w:val="1"/>
        </w:numPr>
        <w:jc w:val="both"/>
        <w:rPr>
          <w:rFonts w:ascii="Times New Roman" w:hAnsi="Times New Roman" w:cs="Times New Roman"/>
          <w:bCs/>
          <w:sz w:val="24"/>
        </w:rPr>
      </w:pPr>
      <w:r w:rsidRPr="009C6447">
        <w:rPr>
          <w:rFonts w:ascii="Times New Roman" w:hAnsi="Times New Roman"/>
          <w:sz w:val="24"/>
        </w:rPr>
        <w:t xml:space="preserve">De teckensystem som ska användas i denna mall ska följa de system som återspeglas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w:t>
      </w:r>
    </w:p>
    <w:p w14:paraId="21275E00" w14:textId="77777777" w:rsidR="00D740B8" w:rsidRPr="009C6447"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9C6447" w14:paraId="069EA903" w14:textId="77777777">
        <w:trPr>
          <w:trHeight w:val="300"/>
        </w:trPr>
        <w:tc>
          <w:tcPr>
            <w:tcW w:w="1260" w:type="dxa"/>
            <w:shd w:val="clear" w:color="auto" w:fill="BFBFBF" w:themeFill="background1" w:themeFillShade="BF"/>
          </w:tcPr>
          <w:p w14:paraId="7E4DE4F0" w14:textId="77777777" w:rsidR="00D740B8" w:rsidRPr="009C6447" w:rsidRDefault="00D740B8">
            <w:pPr>
              <w:autoSpaceDE w:val="0"/>
              <w:autoSpaceDN w:val="0"/>
              <w:adjustRightInd w:val="0"/>
              <w:rPr>
                <w:rFonts w:ascii="Times New Roman" w:hAnsi="Times New Roman" w:cs="Times New Roman"/>
                <w:b/>
                <w:sz w:val="24"/>
              </w:rPr>
            </w:pPr>
            <w:r w:rsidRPr="009C6447">
              <w:rPr>
                <w:rFonts w:ascii="Times New Roman" w:hAnsi="Times New Roman"/>
                <w:b/>
                <w:sz w:val="24"/>
              </w:rPr>
              <w:t>Kolumn</w:t>
            </w:r>
          </w:p>
        </w:tc>
        <w:tc>
          <w:tcPr>
            <w:tcW w:w="7756" w:type="dxa"/>
            <w:shd w:val="clear" w:color="auto" w:fill="BFBFBF" w:themeFill="background1" w:themeFillShade="BF"/>
          </w:tcPr>
          <w:p w14:paraId="0D54BB35" w14:textId="77777777" w:rsidR="00D740B8" w:rsidRPr="009C6447" w:rsidDel="00B46ADB" w:rsidRDefault="00D740B8">
            <w:pPr>
              <w:autoSpaceDE w:val="0"/>
              <w:autoSpaceDN w:val="0"/>
              <w:adjustRightInd w:val="0"/>
              <w:rPr>
                <w:bCs/>
              </w:rPr>
            </w:pPr>
            <w:r w:rsidRPr="009C6447">
              <w:rPr>
                <w:rFonts w:ascii="Times New Roman" w:hAnsi="Times New Roman"/>
                <w:b/>
                <w:sz w:val="24"/>
              </w:rPr>
              <w:t>Hänvisningar till lagstiftning och instruktioner</w:t>
            </w:r>
          </w:p>
        </w:tc>
      </w:tr>
      <w:tr w:rsidR="00D740B8" w:rsidRPr="009C6447" w14:paraId="7AE7216D" w14:textId="77777777">
        <w:trPr>
          <w:trHeight w:val="300"/>
        </w:trPr>
        <w:tc>
          <w:tcPr>
            <w:tcW w:w="1260" w:type="dxa"/>
          </w:tcPr>
          <w:p w14:paraId="0FC699E1" w14:textId="0D76C831" w:rsidR="00D740B8" w:rsidRPr="009C6447" w:rsidRDefault="00D740B8" w:rsidP="00165BEF">
            <w:pPr>
              <w:autoSpaceDE w:val="0"/>
              <w:autoSpaceDN w:val="0"/>
              <w:adjustRightInd w:val="0"/>
              <w:jc w:val="center"/>
              <w:rPr>
                <w:rFonts w:ascii="Times New Roman" w:hAnsi="Times New Roman"/>
                <w:bCs/>
                <w:sz w:val="24"/>
              </w:rPr>
            </w:pPr>
            <w:r w:rsidRPr="009C6447">
              <w:rPr>
                <w:rFonts w:ascii="Times New Roman" w:hAnsi="Times New Roman"/>
                <w:sz w:val="24"/>
              </w:rPr>
              <w:t>a, b, c</w:t>
            </w:r>
          </w:p>
        </w:tc>
        <w:tc>
          <w:tcPr>
            <w:tcW w:w="7756" w:type="dxa"/>
          </w:tcPr>
          <w:p w14:paraId="510A12A5" w14:textId="13FB6D98" w:rsidR="00D740B8" w:rsidRPr="009C6447" w:rsidRDefault="00D740B8">
            <w:pPr>
              <w:autoSpaceDE w:val="0"/>
              <w:autoSpaceDN w:val="0"/>
              <w:adjustRightInd w:val="0"/>
              <w:rPr>
                <w:rStyle w:val="InstructionsTabelleberschrift"/>
                <w:rFonts w:ascii="Times New Roman" w:hAnsi="Times New Roman"/>
                <w:sz w:val="24"/>
                <w:u w:val="none"/>
              </w:rPr>
            </w:pPr>
            <w:r w:rsidRPr="009C6447">
              <w:rPr>
                <w:rStyle w:val="InstructionsTabelleberschrift"/>
                <w:rFonts w:ascii="Times New Roman" w:hAnsi="Times New Roman"/>
                <w:sz w:val="24"/>
                <w:u w:val="none"/>
              </w:rPr>
              <w:t>Värde</w:t>
            </w:r>
          </w:p>
          <w:p w14:paraId="0A7A2FD7" w14:textId="77777777" w:rsidR="00D740B8" w:rsidRPr="009C6447" w:rsidRDefault="00D740B8">
            <w:pPr>
              <w:rPr>
                <w:rFonts w:ascii="Times New Roman" w:hAnsi="Times New Roman"/>
                <w:sz w:val="24"/>
                <w:lang w:eastAsia="de-DE"/>
              </w:rPr>
            </w:pPr>
          </w:p>
          <w:p w14:paraId="0C8A142A" w14:textId="4CAB13C5" w:rsidR="00D740B8" w:rsidRPr="009C6447" w:rsidRDefault="00D740B8">
            <w:pPr>
              <w:autoSpaceDE w:val="0"/>
              <w:autoSpaceDN w:val="0"/>
              <w:adjustRightInd w:val="0"/>
              <w:rPr>
                <w:rFonts w:ascii="Times New Roman" w:hAnsi="Times New Roman" w:cs="Times New Roman"/>
                <w:bCs/>
                <w:sz w:val="24"/>
              </w:rPr>
            </w:pPr>
            <w:r w:rsidRPr="009C6447">
              <w:rPr>
                <w:rFonts w:ascii="Times New Roman" w:hAnsi="Times New Roman"/>
                <w:sz w:val="24"/>
              </w:rPr>
              <w:t>Artikel 446.1 d och artikel 314.1 i förordning (EU) nr 575/2013.</w:t>
            </w:r>
          </w:p>
          <w:p w14:paraId="7883915F" w14:textId="77777777" w:rsidR="00D740B8" w:rsidRPr="009C6447" w:rsidRDefault="00D740B8">
            <w:pPr>
              <w:autoSpaceDE w:val="0"/>
              <w:autoSpaceDN w:val="0"/>
              <w:adjustRightInd w:val="0"/>
              <w:rPr>
                <w:rFonts w:ascii="Times New Roman" w:hAnsi="Times New Roman"/>
                <w:bCs/>
                <w:sz w:val="24"/>
                <w:lang w:eastAsia="nl-BE"/>
              </w:rPr>
            </w:pPr>
          </w:p>
          <w:p w14:paraId="558CD9DA" w14:textId="2FA81485" w:rsidR="00EA10B1" w:rsidRPr="009C6447" w:rsidRDefault="002F3CFA">
            <w:pPr>
              <w:pStyle w:val="paragraph"/>
              <w:spacing w:before="0" w:beforeAutospacing="0" w:after="0" w:afterAutospacing="0"/>
              <w:textAlignment w:val="baseline"/>
            </w:pPr>
            <w:r w:rsidRPr="009C6447">
              <w:t>Värdet för förteckningen över poster som ingår i beräkningen av verksamhetsindikatorn och dess komponenter (beräkningen av ILDC, tjänstekomponenten (SC) och den finansiella komponenten (FC)) i enlighet med de redovisningsstandarder som är tillämpliga för vart och ett av de tre senaste räkenskapsåren.</w:t>
            </w:r>
          </w:p>
          <w:p w14:paraId="3414DDFE" w14:textId="77777777" w:rsidR="007B3E62" w:rsidRPr="009C6447" w:rsidRDefault="007B3E62">
            <w:pPr>
              <w:pStyle w:val="paragraph"/>
              <w:spacing w:before="0" w:beforeAutospacing="0" w:after="0" w:afterAutospacing="0"/>
              <w:textAlignment w:val="baseline"/>
              <w:rPr>
                <w:lang w:eastAsia="de-DE"/>
              </w:rPr>
            </w:pPr>
          </w:p>
          <w:p w14:paraId="374E1BCA" w14:textId="5E2803E9" w:rsidR="007B3E62" w:rsidRPr="009C6447" w:rsidRDefault="00B76B25">
            <w:pPr>
              <w:pStyle w:val="paragraph"/>
              <w:spacing w:before="0" w:beforeAutospacing="0" w:after="0" w:afterAutospacing="0"/>
              <w:textAlignment w:val="baseline"/>
            </w:pPr>
            <w:r w:rsidRPr="009C6447">
              <w:t>Belopp ska rapporteras efter tillämpning av justeringar som är relaterade till sammanslagningar/förvärv och avyttrade verksamheter.</w:t>
            </w:r>
          </w:p>
          <w:p w14:paraId="00BACA37" w14:textId="77777777" w:rsidR="00EA10B1" w:rsidRPr="009C6447" w:rsidRDefault="00EA10B1">
            <w:pPr>
              <w:pStyle w:val="paragraph"/>
              <w:spacing w:before="0" w:beforeAutospacing="0" w:after="0" w:afterAutospacing="0"/>
              <w:textAlignment w:val="baseline"/>
              <w:rPr>
                <w:lang w:eastAsia="de-DE"/>
              </w:rPr>
            </w:pPr>
          </w:p>
          <w:p w14:paraId="21635601" w14:textId="1A8DE566" w:rsidR="00D740B8" w:rsidRPr="009C6447" w:rsidRDefault="00D740B8" w:rsidP="000F6C61">
            <w:pPr>
              <w:pStyle w:val="paragraph"/>
              <w:spacing w:before="0" w:beforeAutospacing="0" w:after="0" w:afterAutospacing="0"/>
              <w:textAlignment w:val="baseline"/>
            </w:pPr>
            <w:r w:rsidRPr="009C6447">
              <w:t xml:space="preserve">När det gäller den finansiella komponenten kommer de värden som ska offentliggöras att återspegla de bokförda värden som fastställts med hjälp av redovisningsmetoden eller tillsynsgränsen för att identifiera posterna i och utanför </w:t>
            </w:r>
            <w:proofErr w:type="spellStart"/>
            <w:r w:rsidRPr="009C6447">
              <w:t>handelslagret</w:t>
            </w:r>
            <w:proofErr w:type="spellEnd"/>
            <w:r w:rsidRPr="009C6447">
              <w:t xml:space="preserve"> för vart och ett av de senaste tre räkenskapsåren i enlighet med artikel 314.6 i förordning (EU) nr 575/2013.</w:t>
            </w:r>
          </w:p>
        </w:tc>
      </w:tr>
      <w:tr w:rsidR="00D740B8" w:rsidRPr="009C6447" w14:paraId="3103AD05" w14:textId="77777777">
        <w:trPr>
          <w:trHeight w:val="300"/>
        </w:trPr>
        <w:tc>
          <w:tcPr>
            <w:tcW w:w="1260" w:type="dxa"/>
          </w:tcPr>
          <w:p w14:paraId="0FFA543A" w14:textId="77777777" w:rsidR="00D740B8" w:rsidRPr="009C6447" w:rsidRDefault="00D740B8" w:rsidP="00165BEF">
            <w:pPr>
              <w:autoSpaceDE w:val="0"/>
              <w:autoSpaceDN w:val="0"/>
              <w:adjustRightInd w:val="0"/>
              <w:jc w:val="center"/>
              <w:rPr>
                <w:rFonts w:ascii="Times New Roman" w:hAnsi="Times New Roman"/>
                <w:bCs/>
                <w:sz w:val="24"/>
              </w:rPr>
            </w:pPr>
            <w:r w:rsidRPr="009C6447">
              <w:rPr>
                <w:rFonts w:ascii="Times New Roman" w:hAnsi="Times New Roman"/>
                <w:sz w:val="24"/>
              </w:rPr>
              <w:t>d</w:t>
            </w:r>
          </w:p>
        </w:tc>
        <w:tc>
          <w:tcPr>
            <w:tcW w:w="7756" w:type="dxa"/>
          </w:tcPr>
          <w:p w14:paraId="117DF1D7" w14:textId="77777777" w:rsidR="00D740B8" w:rsidRPr="009C6447" w:rsidRDefault="00D740B8">
            <w:pPr>
              <w:autoSpaceDE w:val="0"/>
              <w:autoSpaceDN w:val="0"/>
              <w:adjustRightInd w:val="0"/>
              <w:rPr>
                <w:rStyle w:val="InstructionsTabelleberschrift"/>
                <w:rFonts w:ascii="Times New Roman" w:hAnsi="Times New Roman"/>
                <w:sz w:val="24"/>
                <w:u w:val="none"/>
              </w:rPr>
            </w:pPr>
            <w:r w:rsidRPr="009C6447">
              <w:rPr>
                <w:rStyle w:val="InstructionsTabelleberschrift"/>
                <w:rFonts w:ascii="Times New Roman" w:hAnsi="Times New Roman"/>
                <w:sz w:val="24"/>
                <w:u w:val="none"/>
              </w:rPr>
              <w:t>Genomsnittliga värden</w:t>
            </w:r>
          </w:p>
          <w:p w14:paraId="27B3847F" w14:textId="77777777" w:rsidR="00D740B8" w:rsidRPr="009C6447" w:rsidRDefault="00D740B8">
            <w:pPr>
              <w:autoSpaceDE w:val="0"/>
              <w:autoSpaceDN w:val="0"/>
              <w:adjustRightInd w:val="0"/>
              <w:rPr>
                <w:rFonts w:ascii="Times New Roman" w:hAnsi="Times New Roman"/>
                <w:sz w:val="24"/>
                <w:lang w:eastAsia="de-DE"/>
              </w:rPr>
            </w:pPr>
          </w:p>
          <w:p w14:paraId="2CEEC93D" w14:textId="277817D6" w:rsidR="00D740B8" w:rsidRPr="009C6447" w:rsidRDefault="00D740B8">
            <w:pPr>
              <w:autoSpaceDE w:val="0"/>
              <w:autoSpaceDN w:val="0"/>
              <w:adjustRightInd w:val="0"/>
              <w:rPr>
                <w:rFonts w:ascii="Times New Roman" w:hAnsi="Times New Roman" w:cs="Times New Roman"/>
                <w:bCs/>
                <w:sz w:val="24"/>
              </w:rPr>
            </w:pPr>
            <w:r w:rsidRPr="009C6447">
              <w:rPr>
                <w:rFonts w:ascii="Times New Roman" w:hAnsi="Times New Roman"/>
                <w:sz w:val="24"/>
              </w:rPr>
              <w:t>Artikel 314.2, 314.5 och 314.6 i förordning (EU) nr 575/2013.</w:t>
            </w:r>
          </w:p>
          <w:p w14:paraId="5FAAFF7A" w14:textId="77777777" w:rsidR="00D740B8" w:rsidRPr="009C6447" w:rsidRDefault="00D740B8">
            <w:pPr>
              <w:autoSpaceDE w:val="0"/>
              <w:autoSpaceDN w:val="0"/>
              <w:adjustRightInd w:val="0"/>
              <w:rPr>
                <w:rStyle w:val="InstructionsTabelleberschrift"/>
                <w:rFonts w:ascii="Times New Roman" w:hAnsi="Times New Roman"/>
                <w:sz w:val="24"/>
              </w:rPr>
            </w:pPr>
          </w:p>
          <w:p w14:paraId="3E17CEC0" w14:textId="402AFA6E" w:rsidR="00D740B8" w:rsidRPr="009C6447" w:rsidRDefault="00D740B8">
            <w:pPr>
              <w:pStyle w:val="paragraph"/>
              <w:spacing w:before="0" w:beforeAutospacing="0" w:after="0" w:afterAutospacing="0"/>
              <w:textAlignment w:val="baseline"/>
              <w:rPr>
                <w:rStyle w:val="normaltextrun"/>
              </w:rPr>
            </w:pPr>
            <w:r w:rsidRPr="009C6447">
              <w:rPr>
                <w:rStyle w:val="normaltextrun"/>
              </w:rPr>
              <w:t>De beräknade värdena av komponenterna ILDC, SC och FC samt det genomsnittliga värdet av deras delkomponenter som beräknats under de senaste tre räkenskapsåren och som avser år T.</w:t>
            </w:r>
          </w:p>
          <w:p w14:paraId="32637704" w14:textId="35682543" w:rsidR="00D740B8" w:rsidRPr="009C6447" w:rsidRDefault="00D740B8">
            <w:pPr>
              <w:pStyle w:val="paragraph"/>
              <w:spacing w:before="0" w:beforeAutospacing="0" w:after="0" w:afterAutospacing="0"/>
              <w:textAlignment w:val="baseline"/>
              <w:rPr>
                <w:rStyle w:val="normaltextrun"/>
              </w:rPr>
            </w:pPr>
          </w:p>
          <w:p w14:paraId="6C270BFC" w14:textId="453723AA" w:rsidR="00D740B8" w:rsidRPr="009C6447"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9C6447">
              <w:rPr>
                <w:rStyle w:val="normaltextrun"/>
              </w:rPr>
              <w:t xml:space="preserve">Genomsnittet beräknas med beaktande av de bokförda värdena för vart och ett av de senaste tre åren. </w:t>
            </w:r>
          </w:p>
        </w:tc>
      </w:tr>
    </w:tbl>
    <w:p w14:paraId="75117700" w14:textId="77777777" w:rsidR="00D740B8" w:rsidRPr="009C6447"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9C6447"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9C6447" w:rsidRDefault="00D740B8">
            <w:pPr>
              <w:autoSpaceDE w:val="0"/>
              <w:autoSpaceDN w:val="0"/>
              <w:adjustRightInd w:val="0"/>
              <w:rPr>
                <w:rFonts w:ascii="Times New Roman" w:hAnsi="Times New Roman" w:cs="Times New Roman"/>
                <w:b/>
                <w:sz w:val="24"/>
              </w:rPr>
            </w:pPr>
            <w:r w:rsidRPr="009C6447">
              <w:rPr>
                <w:rFonts w:ascii="Times New Roman" w:hAnsi="Times New Roman"/>
                <w:b/>
                <w:sz w:val="24"/>
              </w:rPr>
              <w:t>Rad</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9C6447" w:rsidRDefault="00D740B8">
            <w:pPr>
              <w:rPr>
                <w:rFonts w:ascii="Times New Roman" w:hAnsi="Times New Roman" w:cs="Times New Roman"/>
                <w:b/>
                <w:sz w:val="24"/>
              </w:rPr>
            </w:pPr>
            <w:r w:rsidRPr="009C6447">
              <w:rPr>
                <w:rFonts w:ascii="Times New Roman" w:hAnsi="Times New Roman"/>
                <w:b/>
                <w:sz w:val="24"/>
              </w:rPr>
              <w:t>Hänvisningar till lagstiftning och instruktioner</w:t>
            </w:r>
          </w:p>
        </w:tc>
      </w:tr>
      <w:tr w:rsidR="00D740B8" w:rsidRPr="009C6447"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9C6447" w:rsidRDefault="00D740B8">
            <w:pPr>
              <w:spacing w:before="60" w:after="120"/>
              <w:jc w:val="both"/>
              <w:rPr>
                <w:rFonts w:ascii="Times New Roman" w:eastAsia="Times New Roman" w:hAnsi="Times New Roman" w:cs="Times New Roman"/>
                <w:b/>
                <w:sz w:val="24"/>
              </w:rPr>
            </w:pPr>
            <w:r w:rsidRPr="009C6447">
              <w:rPr>
                <w:rFonts w:ascii="Times New Roman" w:hAnsi="Times New Roman"/>
                <w:b/>
                <w:sz w:val="24"/>
              </w:rPr>
              <w:t>Ränte-, leasing- och utdelningskomponent (ILDC)</w:t>
            </w:r>
          </w:p>
          <w:p w14:paraId="78381763" w14:textId="2625CE0B" w:rsidR="00D740B8" w:rsidRPr="009C6447" w:rsidRDefault="00D740B8">
            <w:pPr>
              <w:spacing w:before="60" w:after="120"/>
              <w:jc w:val="both"/>
              <w:rPr>
                <w:rFonts w:ascii="Times New Roman" w:eastAsia="Times New Roman" w:hAnsi="Times New Roman" w:cs="Times New Roman"/>
                <w:b/>
                <w:sz w:val="24"/>
              </w:rPr>
            </w:pPr>
            <w:r w:rsidRPr="009C6447">
              <w:rPr>
                <w:rFonts w:ascii="Times New Roman" w:hAnsi="Times New Roman"/>
                <w:sz w:val="24"/>
              </w:rPr>
              <w:t>Ränte-, leasing- och utdelningskomponenten beräknas i enlighet med artikel 314.2 i förordning (EU) nr 575/2013, inbegripet, i tillämpliga fall, beloppen beräknade i enlighet med artikel 314.3 i förordning (EU) nr 575/2013. Om ett institut omfattas av det undantag som avses i artikel 314.4 i förordning (EU) nr 575/2013 ska institutet inte inkludera några siffror från affärsområdena hushållsbank och storkundsbank.</w:t>
            </w:r>
          </w:p>
        </w:tc>
      </w:tr>
      <w:tr w:rsidR="00456F97" w:rsidRPr="009C6447"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9C6447" w:rsidRDefault="00E03FA1">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9C6447" w:rsidRDefault="00E2624F">
            <w:pPr>
              <w:spacing w:before="60" w:after="120"/>
              <w:jc w:val="both"/>
              <w:rPr>
                <w:rFonts w:ascii="Times New Roman" w:eastAsia="Times New Roman" w:hAnsi="Times New Roman" w:cs="Times New Roman"/>
                <w:b/>
                <w:sz w:val="24"/>
              </w:rPr>
            </w:pPr>
            <w:r w:rsidRPr="009C6447">
              <w:rPr>
                <w:rFonts w:ascii="Times New Roman" w:hAnsi="Times New Roman"/>
                <w:b/>
                <w:sz w:val="24"/>
              </w:rPr>
              <w:t>ILDC med anknytning till det enskilda institutet/den konsoliderade gruppen (med undantag för enheter som avses i artikel 314.3)</w:t>
            </w:r>
          </w:p>
          <w:p w14:paraId="3B4A0231" w14:textId="6A33703B" w:rsidR="00E2624F" w:rsidRPr="009C6447" w:rsidRDefault="00E2624F" w:rsidP="00413B96">
            <w:pPr>
              <w:rPr>
                <w:rFonts w:ascii="Times New Roman" w:hAnsi="Times New Roman"/>
                <w:color w:val="000000" w:themeColor="text1"/>
                <w:sz w:val="24"/>
              </w:rPr>
            </w:pPr>
            <w:r w:rsidRPr="009C6447">
              <w:rPr>
                <w:rFonts w:ascii="Times New Roman" w:hAnsi="Times New Roman"/>
                <w:sz w:val="24"/>
              </w:rPr>
              <w:t>Ränte-, leasing- och utdelningskomponenten (ILDC) beräknad i enlighet med artikel 314.2 i förordning (EU) nr 575/2013, utan att inkludera några siffror som ingår i beräkningen av ILDC i de fall där institutet tillämpar undantaget i enlighet med artikel 314.3 i förordning (EU) nr 575/2013.</w:t>
            </w:r>
          </w:p>
        </w:tc>
      </w:tr>
      <w:tr w:rsidR="00D740B8" w:rsidRPr="009C6447"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9C6447" w:rsidRDefault="00D740B8">
            <w:pPr>
              <w:spacing w:before="60" w:after="120"/>
              <w:jc w:val="both"/>
              <w:rPr>
                <w:rFonts w:ascii="Times New Roman" w:eastAsia="Times New Roman" w:hAnsi="Times New Roman" w:cs="Times New Roman"/>
                <w:b/>
                <w:sz w:val="24"/>
              </w:rPr>
            </w:pPr>
            <w:r w:rsidRPr="009C6447">
              <w:rPr>
                <w:rFonts w:ascii="Times New Roman" w:hAnsi="Times New Roman"/>
                <w:b/>
                <w:sz w:val="24"/>
              </w:rPr>
              <w:t>Ränte- och leasingintäkter</w:t>
            </w:r>
          </w:p>
          <w:p w14:paraId="33CCD1CB" w14:textId="130AE220" w:rsidR="00BD248A" w:rsidRPr="009C6447" w:rsidRDefault="00D740B8">
            <w:pPr>
              <w:rPr>
                <w:rFonts w:ascii="Times New Roman" w:eastAsia="Times New Roman" w:hAnsi="Times New Roman" w:cs="Times New Roman"/>
                <w:sz w:val="24"/>
              </w:rPr>
            </w:pPr>
            <w:r w:rsidRPr="009C6447">
              <w:rPr>
                <w:rFonts w:ascii="Times New Roman" w:hAnsi="Times New Roman"/>
                <w:sz w:val="24"/>
              </w:rPr>
              <w:t xml:space="preserve">Summan av ränteintäkter från alla finansiella tillgångar, andra intäkter från leasade tillgångar och vinster från leasade tillgångar, i enlighet med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w:t>
            </w:r>
          </w:p>
          <w:p w14:paraId="76D4A1E7" w14:textId="77777777" w:rsidR="00BD248A" w:rsidRPr="009C6447" w:rsidRDefault="00BD248A">
            <w:pPr>
              <w:rPr>
                <w:rFonts w:ascii="Times New Roman" w:eastAsia="Times New Roman" w:hAnsi="Times New Roman" w:cs="Times New Roman"/>
                <w:sz w:val="24"/>
              </w:rPr>
            </w:pPr>
          </w:p>
          <w:p w14:paraId="19841383" w14:textId="08257E38" w:rsidR="00F5221D" w:rsidRPr="009C6447" w:rsidRDefault="004F220F">
            <w:pPr>
              <w:rPr>
                <w:rFonts w:ascii="Times New Roman" w:eastAsia="Times New Roman" w:hAnsi="Times New Roman" w:cs="Times New Roman"/>
                <w:sz w:val="24"/>
              </w:rPr>
            </w:pPr>
            <w:r w:rsidRPr="009C6447">
              <w:rPr>
                <w:rFonts w:ascii="Times New Roman" w:hAnsi="Times New Roman"/>
                <w:sz w:val="24"/>
              </w:rPr>
              <w:t xml:space="preserve">Ränteintäkter från samtliga finansiella tillgångar ska beräknas i enlighet med del 2 punkt 31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xml:space="preserve"> och i enlighet med de ytterligare specifikationerna i del 2 punkterna 187, 189 och 194ii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w:t>
            </w:r>
          </w:p>
          <w:p w14:paraId="55B6FFE6" w14:textId="77777777" w:rsidR="00F5221D" w:rsidRPr="009C6447" w:rsidRDefault="00F5221D">
            <w:pPr>
              <w:rPr>
                <w:rFonts w:ascii="Times New Roman" w:eastAsia="Times New Roman" w:hAnsi="Times New Roman" w:cs="Times New Roman"/>
                <w:sz w:val="24"/>
              </w:rPr>
            </w:pPr>
          </w:p>
          <w:p w14:paraId="00ED9136" w14:textId="12CD18AE" w:rsidR="00E76AA5" w:rsidRPr="009C6447" w:rsidRDefault="00F5221D" w:rsidP="007535CB">
            <w:pPr>
              <w:rPr>
                <w:rFonts w:ascii="Times New Roman" w:eastAsia="Times New Roman" w:hAnsi="Times New Roman" w:cs="Times New Roman"/>
                <w:sz w:val="24"/>
              </w:rPr>
            </w:pPr>
            <w:r w:rsidRPr="009C6447">
              <w:rPr>
                <w:rFonts w:ascii="Times New Roman" w:hAnsi="Times New Roman"/>
                <w:sz w:val="24"/>
              </w:rPr>
              <w:t xml:space="preserve">Övriga intäkter från leasade tillgångar (finansiell och operationell leasing) ska inte omfatta ränteintäkter. Detta belopp ska beräknas i enlighet med del 2 punkterna 314 och 315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vilket omfattar följande: i) Intäkter från förändringar i verkligt värde i förvaltningsfastigheter som genererar hyror och som värderas till verkligt värde och/eller ii) intäkter från operationell leasing, inklusive hyresintäkter från förvaltningsfastigheter.</w:t>
            </w:r>
          </w:p>
          <w:p w14:paraId="6C1BE770" w14:textId="77777777" w:rsidR="007535CB" w:rsidRPr="009C6447" w:rsidRDefault="007535CB" w:rsidP="007535CB">
            <w:pPr>
              <w:rPr>
                <w:rFonts w:ascii="Times New Roman" w:eastAsia="Times New Roman" w:hAnsi="Times New Roman" w:cs="Times New Roman"/>
                <w:sz w:val="24"/>
              </w:rPr>
            </w:pPr>
          </w:p>
          <w:p w14:paraId="742C7468" w14:textId="3A50C109" w:rsidR="00D740B8" w:rsidRPr="009C6447" w:rsidRDefault="00BB0B3D" w:rsidP="004F34D4">
            <w:pPr>
              <w:rPr>
                <w:rFonts w:ascii="Times New Roman" w:eastAsia="Times New Roman" w:hAnsi="Times New Roman" w:cs="Times New Roman"/>
                <w:sz w:val="24"/>
              </w:rPr>
            </w:pPr>
            <w:r w:rsidRPr="009C6447">
              <w:rPr>
                <w:rFonts w:ascii="Times New Roman" w:hAnsi="Times New Roman"/>
                <w:sz w:val="24"/>
              </w:rPr>
              <w:t xml:space="preserve">Vinster från leasade tillgångar (finansiell och operationell leasing) ska omfatta följande: i) vinsterna från ändringar av leasingavtal i enlighet med del 2 punkt 49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xml:space="preserve">, ii) resten av övriga rörelseintäkter (övriga rörelseintäkter) i enlighet med del 2 punkterna 314 och 316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om de är relaterade till leasade tillgångar (finansiell och operationell leasing).</w:t>
            </w:r>
          </w:p>
        </w:tc>
      </w:tr>
      <w:tr w:rsidR="00D740B8" w:rsidRPr="009C6447"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9C6447" w:rsidRDefault="00D740B8">
            <w:pPr>
              <w:spacing w:before="60" w:after="120"/>
              <w:jc w:val="both"/>
              <w:rPr>
                <w:rFonts w:ascii="Times New Roman" w:eastAsia="Times New Roman" w:hAnsi="Times New Roman" w:cs="Times New Roman"/>
                <w:b/>
                <w:sz w:val="24"/>
              </w:rPr>
            </w:pPr>
            <w:r w:rsidRPr="009C6447">
              <w:rPr>
                <w:rFonts w:ascii="Times New Roman" w:hAnsi="Times New Roman"/>
                <w:b/>
                <w:sz w:val="24"/>
              </w:rPr>
              <w:t>Ränte- och leasingkostnader</w:t>
            </w:r>
          </w:p>
          <w:p w14:paraId="65B73157" w14:textId="72BA8427" w:rsidR="00EC1398" w:rsidRPr="009C6447" w:rsidRDefault="00D740B8">
            <w:pPr>
              <w:rPr>
                <w:rFonts w:ascii="Times New Roman" w:eastAsia="Times New Roman" w:hAnsi="Times New Roman" w:cs="Times New Roman"/>
                <w:sz w:val="24"/>
              </w:rPr>
            </w:pPr>
            <w:r w:rsidRPr="009C6447">
              <w:rPr>
                <w:rFonts w:ascii="Times New Roman" w:hAnsi="Times New Roman"/>
                <w:sz w:val="24"/>
              </w:rPr>
              <w:t xml:space="preserve">Summan av räntekostnader från alla finansiella skulder, kostnader från leasade tillgångar och avskrivningar, nedskrivningar och förluster från leasade tillgångar, i enlighet med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w:t>
            </w:r>
          </w:p>
          <w:p w14:paraId="06CEDDA9" w14:textId="77777777" w:rsidR="00BA33C3" w:rsidRPr="009C6447" w:rsidRDefault="00BA33C3">
            <w:pPr>
              <w:rPr>
                <w:rFonts w:ascii="Times New Roman" w:eastAsia="Times New Roman" w:hAnsi="Times New Roman" w:cs="Times New Roman"/>
                <w:sz w:val="24"/>
              </w:rPr>
            </w:pPr>
          </w:p>
          <w:p w14:paraId="3ACFF991" w14:textId="1BCDC8C4" w:rsidR="00BA33C3" w:rsidRPr="009C6447" w:rsidRDefault="00BA33C3">
            <w:pPr>
              <w:rPr>
                <w:rFonts w:ascii="Times New Roman" w:eastAsia="Times New Roman" w:hAnsi="Times New Roman" w:cs="Times New Roman"/>
                <w:sz w:val="24"/>
              </w:rPr>
            </w:pPr>
            <w:r w:rsidRPr="009C6447">
              <w:rPr>
                <w:rFonts w:ascii="Times New Roman" w:hAnsi="Times New Roman"/>
                <w:sz w:val="24"/>
              </w:rPr>
              <w:t xml:space="preserve">Räntekostnader från alla finansiella skulder ska beräknas i enlighet med del 2 punkt 31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IT-lösningar och i enlighet med de ytterligare specifikationerna i del 2 punkterna 188, 190 och 194ii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r w:rsidRPr="009C6447">
              <w:rPr>
                <w:rFonts w:ascii="Times New Roman" w:hAnsi="Times New Roman"/>
                <w:sz w:val="24"/>
              </w:rPr>
              <w:lastRenderedPageBreak/>
              <w:t>IT-lösningar. De räntekostnader som beror på operativa riskhändelser ska inte inkluderas. De ska i stället inkluderas i tjänstekomponenten i enlighet med artikel 314.5 i förordning (EU) nr 575/2013.</w:t>
            </w:r>
          </w:p>
          <w:p w14:paraId="2D079DF5" w14:textId="77777777" w:rsidR="003D0A4B" w:rsidRPr="009C6447" w:rsidRDefault="003D0A4B">
            <w:pPr>
              <w:rPr>
                <w:rFonts w:ascii="Times New Roman" w:eastAsia="Times New Roman" w:hAnsi="Times New Roman" w:cs="Times New Roman"/>
                <w:sz w:val="24"/>
              </w:rPr>
            </w:pPr>
          </w:p>
          <w:p w14:paraId="08A94531" w14:textId="1EA15404" w:rsidR="003D0A4B" w:rsidRPr="009C6447" w:rsidRDefault="003D0A4B" w:rsidP="00D136A0">
            <w:pPr>
              <w:rPr>
                <w:rFonts w:ascii="Times New Roman" w:eastAsia="Times New Roman" w:hAnsi="Times New Roman" w:cs="Times New Roman"/>
                <w:sz w:val="24"/>
              </w:rPr>
            </w:pPr>
            <w:r w:rsidRPr="009C6447">
              <w:rPr>
                <w:rFonts w:ascii="Times New Roman" w:hAnsi="Times New Roman"/>
                <w:sz w:val="24"/>
              </w:rPr>
              <w:t xml:space="preserve">Kostnader från leasade tillgångar (operationell leasing) ska inkludera kostnaderna i enlighet med del 2 punkterna 314 och 315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xml:space="preserve"> i samband med operationella leasingavtal, vilket omfattar följande: i) Kostnader till följd av förändringar i verkligt värde i förvaltningsfastigheter som genererar hyror och som värderas till verkligt värde från leasade tillgångar och ii) kostnader för operationell leasing, inklusive direkta rörelsekostnader från förvaltningsfastigheter som genererar hyra. Dessutom ska instituten här även inkludera övriga administrativa kostnader från leasade tillgångar i enlighet med del 2 punkt 208ix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De kostnader som beror på operativa riskhändelser ska inte inkluderas. De ska i stället inkluderas i tjänstekomponenten i enlighet med artikel 314.5 i förordning (EU) nr 575/2013.</w:t>
            </w:r>
          </w:p>
          <w:p w14:paraId="61020FEC" w14:textId="77777777" w:rsidR="00376B14" w:rsidRPr="009C6447" w:rsidRDefault="00376B14">
            <w:pPr>
              <w:rPr>
                <w:rFonts w:ascii="Times New Roman" w:eastAsia="Times New Roman" w:hAnsi="Times New Roman" w:cs="Times New Roman"/>
                <w:sz w:val="24"/>
              </w:rPr>
            </w:pPr>
          </w:p>
          <w:p w14:paraId="5D976FDD" w14:textId="0FB08478" w:rsidR="00376B14" w:rsidRPr="009C6447" w:rsidRDefault="00376B14">
            <w:pPr>
              <w:rPr>
                <w:rFonts w:ascii="Times New Roman" w:eastAsia="Times New Roman" w:hAnsi="Times New Roman" w:cs="Times New Roman"/>
                <w:sz w:val="24"/>
              </w:rPr>
            </w:pPr>
            <w:r w:rsidRPr="009C6447">
              <w:rPr>
                <w:rFonts w:ascii="Times New Roman" w:hAnsi="Times New Roman"/>
                <w:sz w:val="24"/>
              </w:rPr>
              <w:t xml:space="preserve">Avskrivningar av leasade tillgångar ska motsvara de avskrivningskostnader som redovisas i enlighet med punkterna 102 och 104 i de internationella redovisningsstandarderna (International </w:t>
            </w:r>
            <w:proofErr w:type="spellStart"/>
            <w:r w:rsidRPr="009C6447">
              <w:rPr>
                <w:rFonts w:ascii="Times New Roman" w:hAnsi="Times New Roman"/>
                <w:sz w:val="24"/>
              </w:rPr>
              <w:t>Accounting</w:t>
            </w:r>
            <w:proofErr w:type="spellEnd"/>
            <w:r w:rsidRPr="009C6447">
              <w:rPr>
                <w:rFonts w:ascii="Times New Roman" w:hAnsi="Times New Roman"/>
                <w:sz w:val="24"/>
              </w:rPr>
              <w:t xml:space="preserve"> Standards, IAS) 1, men endast från leasade tillgångar vars intäkter eller kostnader ingår i beräkningen av ränteintäkter/-kostnader.</w:t>
            </w:r>
          </w:p>
          <w:p w14:paraId="5D82FC67" w14:textId="77777777" w:rsidR="00DA24A2" w:rsidRPr="009C6447" w:rsidRDefault="00DA24A2">
            <w:pPr>
              <w:rPr>
                <w:rFonts w:ascii="Times New Roman" w:eastAsia="Times New Roman" w:hAnsi="Times New Roman" w:cs="Times New Roman"/>
                <w:sz w:val="24"/>
              </w:rPr>
            </w:pPr>
          </w:p>
          <w:p w14:paraId="1D89DE9C" w14:textId="6D7B59E2" w:rsidR="00DA24A2" w:rsidRPr="009C6447" w:rsidRDefault="00DA24A2">
            <w:pPr>
              <w:rPr>
                <w:rFonts w:ascii="Times New Roman" w:eastAsia="Times New Roman" w:hAnsi="Times New Roman" w:cs="Times New Roman"/>
                <w:sz w:val="24"/>
              </w:rPr>
            </w:pPr>
            <w:r w:rsidRPr="009C6447">
              <w:rPr>
                <w:rFonts w:ascii="Times New Roman" w:hAnsi="Times New Roman"/>
                <w:sz w:val="24"/>
              </w:rPr>
              <w:t>Nedskrivning av leasade tillgångar ska motsvara de kostnader för leasade tillgångar som utgör nedskrivning eller återföring av nedskrivning i enlighet med punkt 126 a och b IAS 36 från leasade tillgångar.</w:t>
            </w:r>
          </w:p>
          <w:p w14:paraId="11B36ACB" w14:textId="77777777" w:rsidR="00DA24A2" w:rsidRPr="009C6447" w:rsidRDefault="00DA24A2">
            <w:pPr>
              <w:rPr>
                <w:rFonts w:ascii="Times New Roman" w:eastAsia="Times New Roman" w:hAnsi="Times New Roman" w:cs="Times New Roman"/>
                <w:sz w:val="24"/>
              </w:rPr>
            </w:pPr>
          </w:p>
          <w:p w14:paraId="0FA351B6" w14:textId="470A5833" w:rsidR="00D740B8" w:rsidRPr="009C6447" w:rsidRDefault="00DA24A2" w:rsidP="004F34D4">
            <w:pPr>
              <w:rPr>
                <w:rFonts w:ascii="Times New Roman" w:hAnsi="Times New Roman"/>
                <w:sz w:val="24"/>
              </w:rPr>
            </w:pPr>
            <w:r w:rsidRPr="009C6447">
              <w:rPr>
                <w:rFonts w:ascii="Times New Roman" w:hAnsi="Times New Roman"/>
                <w:sz w:val="24"/>
              </w:rPr>
              <w:t xml:space="preserve">Förluster från leasade tillgångar motsvarar resten av övriga rörelsekostnader (Övriga rörelsekostnader) i enlighet med del 2 avsnitt 29.3, punkt 316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om de inte har anknytning till leasade tillgångar. De förluster som beror på operativa riskhändelser ska inte inkluderas. De ska i stället inkluderas i tjänstekomponenten i enlighet med artikel 314.5 i förordning (EU) nr 575/2013.</w:t>
            </w:r>
          </w:p>
        </w:tc>
      </w:tr>
      <w:tr w:rsidR="00D740B8" w:rsidRPr="009C6447"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lastRenderedPageBreak/>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9C6447" w:rsidRDefault="00B76736">
            <w:pPr>
              <w:spacing w:before="60" w:after="120"/>
              <w:jc w:val="both"/>
              <w:rPr>
                <w:rStyle w:val="InstructionsTabelleberschrift"/>
                <w:rFonts w:ascii="Times New Roman" w:eastAsia="Times New Roman" w:hAnsi="Times New Roman"/>
                <w:sz w:val="24"/>
                <w:u w:val="none"/>
              </w:rPr>
            </w:pPr>
            <w:r w:rsidRPr="009C6447">
              <w:rPr>
                <w:rStyle w:val="InstructionsTabelleberschrift"/>
                <w:rFonts w:ascii="Times New Roman" w:hAnsi="Times New Roman"/>
                <w:sz w:val="24"/>
                <w:u w:val="none"/>
              </w:rPr>
              <w:t>Totala tillgångar/tillgångskomponent</w:t>
            </w:r>
          </w:p>
          <w:p w14:paraId="15501679" w14:textId="3EB04379" w:rsidR="00D740B8" w:rsidRPr="009C6447" w:rsidRDefault="00B76736">
            <w:pPr>
              <w:spacing w:before="60" w:after="120"/>
              <w:jc w:val="both"/>
              <w:rPr>
                <w:rFonts w:ascii="Times New Roman" w:eastAsia="Times New Roman" w:hAnsi="Times New Roman" w:cs="Times New Roman"/>
                <w:sz w:val="24"/>
              </w:rPr>
            </w:pPr>
            <w:r w:rsidRPr="009C6447">
              <w:rPr>
                <w:rFonts w:ascii="Times New Roman" w:hAnsi="Times New Roman"/>
                <w:sz w:val="24"/>
              </w:rPr>
              <w:t>I kolumn d: tillgångskomponenten beräknad i enlighet med artikel 314.2 i förordning (EU) nr 575/2013.</w:t>
            </w:r>
          </w:p>
          <w:p w14:paraId="65FF56C9" w14:textId="24401D0D" w:rsidR="004E3E86" w:rsidRPr="009C6447" w:rsidRDefault="003E3201" w:rsidP="00373F9D">
            <w:pPr>
              <w:rPr>
                <w:rFonts w:ascii="Times New Roman" w:hAnsi="Times New Roman"/>
                <w:sz w:val="24"/>
              </w:rPr>
            </w:pPr>
            <w:r w:rsidRPr="009C6447">
              <w:rPr>
                <w:rFonts w:ascii="Times New Roman" w:hAnsi="Times New Roman"/>
                <w:sz w:val="24"/>
              </w:rPr>
              <w:t xml:space="preserve">I de övriga kolumnerna ska de totala tillgångarna motsvara summan av det redovisade bruttovärdet av kassabehållning i centralbanker och annan </w:t>
            </w:r>
            <w:proofErr w:type="spellStart"/>
            <w:r w:rsidRPr="009C6447">
              <w:rPr>
                <w:rFonts w:ascii="Times New Roman" w:hAnsi="Times New Roman"/>
                <w:sz w:val="24"/>
              </w:rPr>
              <w:t>avistainlåning</w:t>
            </w:r>
            <w:proofErr w:type="spellEnd"/>
            <w:r w:rsidRPr="009C6447">
              <w:rPr>
                <w:rFonts w:ascii="Times New Roman" w:hAnsi="Times New Roman"/>
                <w:sz w:val="24"/>
              </w:rPr>
              <w:t xml:space="preserve">, räntebärande värdepapper, lån och förskott samt det redovisade värdet av derivat (förenade med handel och ekonomiska säkringar och säkringsredovisning) och tillgångar som omfattas av leasingavtal (materiella och immateriella tillgångar). Dessa poster ska hänvisa till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w:t>
            </w:r>
          </w:p>
          <w:p w14:paraId="2655EEC4" w14:textId="6116BB66" w:rsidR="00BC1F18" w:rsidRPr="009C6447" w:rsidRDefault="00BC1F18" w:rsidP="00BC1F18">
            <w:pPr>
              <w:rPr>
                <w:rFonts w:ascii="Times New Roman" w:hAnsi="Times New Roman"/>
                <w:sz w:val="24"/>
              </w:rPr>
            </w:pPr>
          </w:p>
        </w:tc>
      </w:tr>
      <w:tr w:rsidR="00D740B8" w:rsidRPr="009C6447"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9C6447" w:rsidRDefault="00B76736">
            <w:pPr>
              <w:spacing w:before="6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Intäkter från utdelning/utdelningskomponent</w:t>
            </w:r>
          </w:p>
          <w:p w14:paraId="1A066B7B" w14:textId="4AA7538A" w:rsidR="00D740B8" w:rsidRPr="009C6447" w:rsidRDefault="00B76736" w:rsidP="004E3E86">
            <w:pPr>
              <w:spacing w:before="60" w:after="120"/>
              <w:jc w:val="both"/>
              <w:rPr>
                <w:rFonts w:ascii="Times New Roman" w:eastAsia="Times New Roman" w:hAnsi="Times New Roman" w:cs="Times New Roman"/>
                <w:sz w:val="24"/>
              </w:rPr>
            </w:pPr>
            <w:r w:rsidRPr="009C6447">
              <w:rPr>
                <w:rFonts w:ascii="Times New Roman" w:hAnsi="Times New Roman"/>
                <w:sz w:val="24"/>
              </w:rPr>
              <w:t>I kolumn d: utdelningskomponenten beräknad i enlighet med artikel 314.2 i förordning (EU) nr 575/2013.</w:t>
            </w:r>
          </w:p>
          <w:p w14:paraId="3F4B342E" w14:textId="23DB8876" w:rsidR="004E3E86" w:rsidRPr="009C6447" w:rsidRDefault="004E3E86" w:rsidP="004E3E86">
            <w:pPr>
              <w:rPr>
                <w:rFonts w:ascii="Times New Roman" w:hAnsi="Times New Roman"/>
                <w:sz w:val="24"/>
              </w:rPr>
            </w:pPr>
            <w:r w:rsidRPr="009C6447">
              <w:rPr>
                <w:rFonts w:ascii="Times New Roman" w:hAnsi="Times New Roman"/>
                <w:sz w:val="24"/>
              </w:rPr>
              <w:lastRenderedPageBreak/>
              <w:t xml:space="preserve">Instituten ska rapportera utdelningsintäkter i enlighet med del 2 punkterna 40–42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w:t>
            </w:r>
          </w:p>
        </w:tc>
      </w:tr>
      <w:tr w:rsidR="003826D3" w:rsidRPr="009C6447"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lastRenderedPageBreak/>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9C6447" w:rsidRDefault="003826D3" w:rsidP="003826D3">
            <w:pPr>
              <w:spacing w:before="60" w:after="120"/>
              <w:jc w:val="both"/>
              <w:rPr>
                <w:rFonts w:ascii="Times New Roman" w:eastAsia="Times New Roman" w:hAnsi="Times New Roman" w:cs="Times New Roman"/>
                <w:b/>
                <w:sz w:val="24"/>
              </w:rPr>
            </w:pPr>
            <w:r w:rsidRPr="009C6447">
              <w:rPr>
                <w:rFonts w:ascii="Times New Roman" w:hAnsi="Times New Roman"/>
                <w:b/>
                <w:sz w:val="24"/>
              </w:rPr>
              <w:t>Tjänstekomponent (SC)</w:t>
            </w:r>
          </w:p>
          <w:p w14:paraId="2D48B659" w14:textId="0264DFE4" w:rsidR="00080F37" w:rsidRPr="009C6447" w:rsidRDefault="005E7C4C" w:rsidP="003826D3">
            <w:pPr>
              <w:spacing w:before="60" w:after="120"/>
              <w:jc w:val="both"/>
              <w:rPr>
                <w:rFonts w:ascii="Times New Roman" w:eastAsia="Times New Roman" w:hAnsi="Times New Roman" w:cs="Times New Roman"/>
                <w:sz w:val="24"/>
              </w:rPr>
            </w:pPr>
            <w:r w:rsidRPr="009C6447">
              <w:rPr>
                <w:rFonts w:ascii="Times New Roman" w:hAnsi="Times New Roman"/>
                <w:sz w:val="24"/>
              </w:rPr>
              <w:t>Tjänstekomponenten (SC) beräknad i enlighet med artikel 314.5 i förordning (EU) nr 575/2013.</w:t>
            </w:r>
          </w:p>
          <w:p w14:paraId="2EFCFDAF" w14:textId="3F07E77F" w:rsidR="003826D3" w:rsidRPr="009C6447" w:rsidRDefault="0094124B" w:rsidP="003826D3">
            <w:pPr>
              <w:spacing w:before="60" w:after="120"/>
              <w:jc w:val="both"/>
              <w:rPr>
                <w:rStyle w:val="InstructionsTabelleberschrift"/>
                <w:rFonts w:ascii="Times New Roman" w:eastAsia="Times New Roman" w:hAnsi="Times New Roman"/>
                <w:bCs w:val="0"/>
                <w:sz w:val="24"/>
              </w:rPr>
            </w:pPr>
            <w:r w:rsidRPr="009C6447">
              <w:rPr>
                <w:rFonts w:ascii="Times New Roman" w:hAnsi="Times New Roman"/>
                <w:sz w:val="24"/>
              </w:rPr>
              <w:t xml:space="preserve">Om ett institut omfattas av det undantag som avses i artikel 314.4 i förordning (EU) nr 575/2013 ska institutet inte inkludera några siffror från affärsområdena hushållsbank och storkundsbank. </w:t>
            </w:r>
          </w:p>
        </w:tc>
      </w:tr>
      <w:tr w:rsidR="003826D3" w:rsidRPr="009C6447"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9C6447" w:rsidRDefault="003826D3" w:rsidP="003826D3">
            <w:pPr>
              <w:spacing w:before="60" w:after="120"/>
              <w:jc w:val="both"/>
              <w:rPr>
                <w:rFonts w:ascii="Times New Roman" w:eastAsia="Times New Roman" w:hAnsi="Times New Roman" w:cs="Times New Roman"/>
                <w:b/>
                <w:sz w:val="24"/>
              </w:rPr>
            </w:pPr>
            <w:r w:rsidRPr="009C6447">
              <w:rPr>
                <w:rFonts w:ascii="Times New Roman" w:hAnsi="Times New Roman"/>
                <w:b/>
                <w:sz w:val="24"/>
              </w:rPr>
              <w:t>Avgifts- och provisionsintäkter</w:t>
            </w:r>
          </w:p>
          <w:p w14:paraId="1394D6AF" w14:textId="06AD3617" w:rsidR="003826D3" w:rsidRPr="009C6447" w:rsidRDefault="009816D6" w:rsidP="003826D3">
            <w:pPr>
              <w:spacing w:before="60" w:after="120"/>
              <w:jc w:val="both"/>
              <w:rPr>
                <w:rFonts w:ascii="Times New Roman" w:eastAsia="Times New Roman" w:hAnsi="Times New Roman" w:cs="Times New Roman"/>
                <w:sz w:val="24"/>
              </w:rPr>
            </w:pPr>
            <w:r w:rsidRPr="009C6447">
              <w:rPr>
                <w:rFonts w:ascii="Times New Roman" w:hAnsi="Times New Roman"/>
                <w:sz w:val="24"/>
              </w:rPr>
              <w:t xml:space="preserve">Avgifts- och provisionsintäkter som avses i punkterna 281–284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xml:space="preserve"> och beräknade i enlighet med artikel 314.5 i förordning (EU) nr 575/2013.</w:t>
            </w:r>
          </w:p>
          <w:p w14:paraId="0EA5E8EE" w14:textId="07382D3A" w:rsidR="008D318E" w:rsidRPr="009C6447" w:rsidRDefault="008D318E" w:rsidP="003826D3">
            <w:pPr>
              <w:spacing w:before="60" w:after="120"/>
              <w:jc w:val="both"/>
              <w:rPr>
                <w:rFonts w:ascii="Times New Roman" w:eastAsia="Times New Roman" w:hAnsi="Times New Roman" w:cs="Times New Roman"/>
                <w:sz w:val="24"/>
              </w:rPr>
            </w:pPr>
            <w:r w:rsidRPr="009C6447">
              <w:rPr>
                <w:rFonts w:ascii="Times New Roman" w:hAnsi="Times New Roman"/>
                <w:sz w:val="24"/>
              </w:rPr>
              <w:t xml:space="preserve">Intäkter från underordnade verksamheter, såsom </w:t>
            </w:r>
            <w:proofErr w:type="spellStart"/>
            <w:r w:rsidRPr="009C6447">
              <w:rPr>
                <w:rFonts w:ascii="Times New Roman" w:hAnsi="Times New Roman"/>
                <w:sz w:val="24"/>
              </w:rPr>
              <w:t>it-verksamhet</w:t>
            </w:r>
            <w:proofErr w:type="spellEnd"/>
            <w:r w:rsidRPr="009C6447">
              <w:rPr>
                <w:rFonts w:ascii="Times New Roman" w:hAnsi="Times New Roman"/>
                <w:sz w:val="24"/>
              </w:rPr>
              <w:t xml:space="preserve"> som är nödvändig för att utföra en finansiell tjänst, bör också ingå i denna post, i enlighet med artikel 7 i de tekniska tillsynsstandarder som ska utarbetas enligt artikel 314.9 i förordning (EU) nr 575/2013.</w:t>
            </w:r>
          </w:p>
          <w:p w14:paraId="388F841F" w14:textId="1B0267DB" w:rsidR="00D91B18" w:rsidRPr="009C6447" w:rsidRDefault="007D3710" w:rsidP="003826D3">
            <w:pPr>
              <w:spacing w:before="60" w:after="120"/>
              <w:jc w:val="both"/>
              <w:rPr>
                <w:rStyle w:val="InstructionsTabelleberschrift"/>
                <w:rFonts w:ascii="Times New Roman" w:eastAsia="Times New Roman" w:hAnsi="Times New Roman"/>
                <w:b w:val="0"/>
                <w:bCs w:val="0"/>
                <w:sz w:val="24"/>
                <w:u w:val="none"/>
              </w:rPr>
            </w:pPr>
            <w:r w:rsidRPr="009C6447">
              <w:rPr>
                <w:rStyle w:val="InstructionsTabelleberschrift"/>
                <w:rFonts w:ascii="Times New Roman" w:hAnsi="Times New Roman"/>
                <w:b w:val="0"/>
                <w:sz w:val="24"/>
                <w:u w:val="none"/>
              </w:rPr>
              <w:t>Den del av avgifts- och provisionsintäkter som erhålls från institut som är medlemmar i samma institutionella skyddssystem, i enlighet med artikel 314.5 i förordning (EU) nr 575/2013, ska inte tas med.</w:t>
            </w:r>
          </w:p>
        </w:tc>
      </w:tr>
      <w:tr w:rsidR="003826D3" w:rsidRPr="009C6447"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9C6447" w:rsidRDefault="003826D3" w:rsidP="003826D3">
            <w:pPr>
              <w:spacing w:before="60" w:after="120"/>
              <w:jc w:val="both"/>
              <w:rPr>
                <w:rFonts w:ascii="Times New Roman" w:eastAsia="Times New Roman" w:hAnsi="Times New Roman" w:cs="Times New Roman"/>
                <w:b/>
                <w:sz w:val="24"/>
              </w:rPr>
            </w:pPr>
            <w:r w:rsidRPr="009C6447">
              <w:rPr>
                <w:rFonts w:ascii="Times New Roman" w:hAnsi="Times New Roman"/>
                <w:b/>
                <w:sz w:val="24"/>
              </w:rPr>
              <w:t>Avgifts- och provisionskostnader</w:t>
            </w:r>
          </w:p>
          <w:p w14:paraId="241530E4" w14:textId="72E685E0" w:rsidR="003826D3" w:rsidRPr="009C6447" w:rsidRDefault="009816D6" w:rsidP="003826D3">
            <w:pPr>
              <w:spacing w:before="60" w:after="120"/>
              <w:jc w:val="both"/>
              <w:rPr>
                <w:rFonts w:ascii="Times New Roman" w:eastAsia="Times New Roman" w:hAnsi="Times New Roman" w:cs="Times New Roman"/>
                <w:sz w:val="24"/>
              </w:rPr>
            </w:pPr>
            <w:r w:rsidRPr="009C6447">
              <w:rPr>
                <w:rFonts w:ascii="Times New Roman" w:hAnsi="Times New Roman"/>
                <w:sz w:val="24"/>
              </w:rPr>
              <w:t xml:space="preserve">Avgifts- och provisionskostnader som avses i del 2 punkterna 281–284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xml:space="preserve"> och beräknade i enlighet med artikel 314.5 i förordning (EU) nr 575/2013.</w:t>
            </w:r>
          </w:p>
          <w:p w14:paraId="03E34B08" w14:textId="2D67624D" w:rsidR="00126683" w:rsidRPr="009C6447" w:rsidRDefault="00126683" w:rsidP="003826D3">
            <w:pPr>
              <w:spacing w:before="60" w:after="120"/>
              <w:jc w:val="both"/>
              <w:rPr>
                <w:rFonts w:ascii="Times New Roman" w:eastAsia="Times New Roman" w:hAnsi="Times New Roman" w:cs="Times New Roman"/>
                <w:sz w:val="24"/>
              </w:rPr>
            </w:pPr>
            <w:proofErr w:type="spellStart"/>
            <w:r w:rsidRPr="009C6447">
              <w:rPr>
                <w:rFonts w:ascii="Times New Roman" w:hAnsi="Times New Roman"/>
                <w:sz w:val="24"/>
              </w:rPr>
              <w:t>Utkontrakteringsavgifter</w:t>
            </w:r>
            <w:proofErr w:type="spellEnd"/>
            <w:r w:rsidRPr="009C6447">
              <w:rPr>
                <w:rFonts w:ascii="Times New Roman" w:hAnsi="Times New Roman"/>
                <w:sz w:val="24"/>
              </w:rPr>
              <w:t xml:space="preserve"> som betalas för tillhandahållande av finansiella tjänster, upptagna i den förteckning över verksamheter som anges i artikel 8 i de tekniska tillsynsstandarder som ska utarbetas enligt artikel 314.9 i förordning (EU) nr 575/2013, om de är upptagna, under administrativa kostnader i den tillämpade redovisningsramen, i enlighet med artikel 16 i nämnda tekniska tillsynsstandarder, ska redovisas på denna rad. Kostnader från underordnade verksamheter, såsom </w:t>
            </w:r>
            <w:proofErr w:type="spellStart"/>
            <w:r w:rsidRPr="009C6447">
              <w:rPr>
                <w:rFonts w:ascii="Times New Roman" w:hAnsi="Times New Roman"/>
                <w:sz w:val="24"/>
              </w:rPr>
              <w:t>it-verksamhet</w:t>
            </w:r>
            <w:proofErr w:type="spellEnd"/>
            <w:r w:rsidRPr="009C6447">
              <w:rPr>
                <w:rFonts w:ascii="Times New Roman" w:hAnsi="Times New Roman"/>
                <w:sz w:val="24"/>
              </w:rPr>
              <w:t xml:space="preserve"> som är nödvändig för att utföra en finansiell tjänst, ska också ingå i denna post.</w:t>
            </w:r>
          </w:p>
          <w:p w14:paraId="37B7C759" w14:textId="401F429B" w:rsidR="00A87543" w:rsidRPr="009C6447" w:rsidRDefault="00A87543" w:rsidP="003826D3">
            <w:pPr>
              <w:spacing w:before="60" w:after="120"/>
              <w:jc w:val="both"/>
              <w:rPr>
                <w:rStyle w:val="InstructionsTabelleberschrift"/>
                <w:rFonts w:ascii="Times New Roman" w:eastAsia="Times New Roman" w:hAnsi="Times New Roman"/>
                <w:b w:val="0"/>
                <w:sz w:val="24"/>
              </w:rPr>
            </w:pPr>
            <w:r w:rsidRPr="009C6447">
              <w:rPr>
                <w:rFonts w:ascii="Times New Roman" w:hAnsi="Times New Roman"/>
                <w:sz w:val="24"/>
              </w:rPr>
              <w:t>Den del av avgifts- och provisionskostnader som betalas till institut som är medlemmar i samma institutionella skyddssystem, i enlighet med artikel 314.5 i förordning (EU) nr 575/2013, ska inte tas med.</w:t>
            </w:r>
          </w:p>
        </w:tc>
      </w:tr>
      <w:tr w:rsidR="003826D3" w:rsidRPr="009C6447"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9C6447" w:rsidRDefault="003826D3" w:rsidP="003826D3">
            <w:pPr>
              <w:spacing w:before="60" w:after="120"/>
              <w:jc w:val="both"/>
              <w:rPr>
                <w:rStyle w:val="InstructionsTabelleberschrift"/>
                <w:rFonts w:ascii="Times New Roman" w:eastAsia="Times New Roman" w:hAnsi="Times New Roman"/>
                <w:sz w:val="24"/>
                <w:u w:val="none"/>
              </w:rPr>
            </w:pPr>
            <w:r w:rsidRPr="009C6447">
              <w:rPr>
                <w:rStyle w:val="InstructionsTabelleberschrift"/>
                <w:rFonts w:ascii="Times New Roman" w:hAnsi="Times New Roman"/>
                <w:sz w:val="24"/>
                <w:u w:val="none"/>
              </w:rPr>
              <w:t>Övriga rörelseintäkter</w:t>
            </w:r>
          </w:p>
          <w:p w14:paraId="035A399D" w14:textId="7232F3EB" w:rsidR="00671F1C" w:rsidRPr="009C6447" w:rsidRDefault="009816D6" w:rsidP="003826D3">
            <w:pPr>
              <w:spacing w:before="60" w:after="120"/>
              <w:jc w:val="both"/>
              <w:rPr>
                <w:rFonts w:ascii="Times New Roman" w:eastAsia="Times New Roman" w:hAnsi="Times New Roman" w:cs="Times New Roman"/>
                <w:sz w:val="24"/>
              </w:rPr>
            </w:pPr>
            <w:r w:rsidRPr="009C6447">
              <w:rPr>
                <w:rFonts w:ascii="Times New Roman" w:hAnsi="Times New Roman"/>
                <w:sz w:val="24"/>
              </w:rPr>
              <w:t xml:space="preserve">Övriga rörelseintäkter, inklusive vinster från anläggningstillgångar och avyttringsgrupper som klassificeras som att de innehas för försäljning och som inte uppfyller kraven för avvecklade verksamheter (vid förluster ska värdena behandlas som noll) i enlighet med del 2 punkt 55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xml:space="preserve">, och övriga rörelseintäkter som avses i del 2 punkterna 314 och 316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men med undantag för intäkterna från operationell leasing och alla poster som fastställs i enlighet med artikel 314.7 i förordning (EU) 2021/451.</w:t>
            </w:r>
          </w:p>
          <w:p w14:paraId="39451B35" w14:textId="17278A47" w:rsidR="00A471E8" w:rsidRPr="009C6447" w:rsidRDefault="007863F3" w:rsidP="003826D3">
            <w:pPr>
              <w:spacing w:before="60" w:after="120"/>
              <w:jc w:val="both"/>
              <w:rPr>
                <w:rFonts w:ascii="Times New Roman" w:eastAsia="Times New Roman" w:hAnsi="Times New Roman" w:cs="Times New Roman"/>
                <w:sz w:val="24"/>
              </w:rPr>
            </w:pPr>
            <w:r w:rsidRPr="009C6447">
              <w:rPr>
                <w:rFonts w:ascii="Times New Roman" w:hAnsi="Times New Roman"/>
                <w:sz w:val="24"/>
              </w:rPr>
              <w:lastRenderedPageBreak/>
              <w:t>Återvinning av administrativa kostnader ska inte anses vara i linje med artikel 5 i de tekniska tillsynsstandarderna avseende de komponenter i verksamhetsindikatorn som ska utvecklas enligt artikel 314.9 i förordning (EU) nr 575/2013.</w:t>
            </w:r>
          </w:p>
          <w:p w14:paraId="0B35E56E" w14:textId="27C4774F" w:rsidR="00695D35" w:rsidRPr="009C6447" w:rsidRDefault="00695D35" w:rsidP="003826D3">
            <w:pPr>
              <w:spacing w:before="60" w:after="120"/>
              <w:jc w:val="both"/>
              <w:rPr>
                <w:rFonts w:ascii="Times New Roman" w:eastAsia="Times New Roman" w:hAnsi="Times New Roman" w:cs="Times New Roman"/>
                <w:sz w:val="24"/>
              </w:rPr>
            </w:pPr>
            <w:r w:rsidRPr="009C6447">
              <w:rPr>
                <w:rFonts w:ascii="Times New Roman" w:hAnsi="Times New Roman"/>
                <w:sz w:val="24"/>
              </w:rPr>
              <w:t>Beloppet av övriga rörelseintäkter som erhållits från institut som är medlemmar i samma institutionella skyddssystem i enlighet med artikel 314.5 i förordning (EU) nr 575/2013, ska inte tas med.</w:t>
            </w:r>
          </w:p>
          <w:p w14:paraId="685D1BC1" w14:textId="04DD0137" w:rsidR="00695D35" w:rsidRPr="009C6447" w:rsidRDefault="00695D35" w:rsidP="003826D3">
            <w:pPr>
              <w:spacing w:before="60" w:after="120"/>
              <w:jc w:val="both"/>
              <w:rPr>
                <w:rStyle w:val="InstructionsTabelleberschrift"/>
                <w:rFonts w:ascii="Times New Roman" w:eastAsia="Times New Roman" w:hAnsi="Times New Roman"/>
                <w:b w:val="0"/>
                <w:bCs w:val="0"/>
                <w:sz w:val="24"/>
                <w:u w:val="none"/>
              </w:rPr>
            </w:pPr>
            <w:r w:rsidRPr="009C6447">
              <w:rPr>
                <w:rFonts w:ascii="Times New Roman" w:hAnsi="Times New Roman"/>
                <w:sz w:val="24"/>
              </w:rPr>
              <w:t>Beloppet på denna rad ska beräknas i enlighet med artikel 314.5 i förordning (EU) nr 575/2013.</w:t>
            </w:r>
          </w:p>
        </w:tc>
      </w:tr>
      <w:tr w:rsidR="003826D3" w:rsidRPr="009C6447"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lastRenderedPageBreak/>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9C6447" w:rsidRDefault="003826D3" w:rsidP="003826D3">
            <w:pPr>
              <w:spacing w:before="60" w:after="120"/>
              <w:jc w:val="both"/>
              <w:rPr>
                <w:rStyle w:val="InstructionsTabelleberschrift"/>
                <w:rFonts w:ascii="Times New Roman" w:eastAsia="Times New Roman" w:hAnsi="Times New Roman"/>
                <w:sz w:val="24"/>
                <w:u w:val="none"/>
              </w:rPr>
            </w:pPr>
            <w:r w:rsidRPr="009C6447">
              <w:rPr>
                <w:rStyle w:val="InstructionsTabelleberschrift"/>
                <w:rFonts w:ascii="Times New Roman" w:hAnsi="Times New Roman"/>
                <w:sz w:val="24"/>
                <w:u w:val="none"/>
              </w:rPr>
              <w:t>Övriga rörelsekostnader</w:t>
            </w:r>
          </w:p>
          <w:p w14:paraId="13FCDFA5" w14:textId="269315A4" w:rsidR="00B722D0" w:rsidRPr="009C6447" w:rsidRDefault="009816D6" w:rsidP="003826D3">
            <w:pPr>
              <w:spacing w:before="60" w:after="120"/>
              <w:jc w:val="both"/>
              <w:rPr>
                <w:rFonts w:ascii="Times New Roman" w:eastAsia="Times New Roman" w:hAnsi="Times New Roman" w:cs="Times New Roman"/>
                <w:sz w:val="24"/>
              </w:rPr>
            </w:pPr>
            <w:r w:rsidRPr="009C6447">
              <w:rPr>
                <w:rFonts w:ascii="Times New Roman" w:hAnsi="Times New Roman"/>
                <w:sz w:val="24"/>
              </w:rPr>
              <w:t>Övriga rörelsekostnader inbegripet:</w:t>
            </w:r>
          </w:p>
          <w:p w14:paraId="0E760CEE" w14:textId="74A56BE8" w:rsidR="00643568" w:rsidRPr="009C6447" w:rsidRDefault="004D0A0E" w:rsidP="002A26E9">
            <w:pPr>
              <w:pStyle w:val="ListParagraph"/>
              <w:numPr>
                <w:ilvl w:val="0"/>
                <w:numId w:val="9"/>
              </w:numPr>
              <w:spacing w:before="60" w:after="120"/>
              <w:jc w:val="both"/>
              <w:rPr>
                <w:rFonts w:ascii="Times New Roman" w:eastAsia="Times New Roman" w:hAnsi="Times New Roman"/>
                <w:sz w:val="24"/>
              </w:rPr>
            </w:pPr>
            <w:r w:rsidRPr="009C6447">
              <w:rPr>
                <w:rFonts w:ascii="Times New Roman" w:hAnsi="Times New Roman"/>
                <w:sz w:val="24"/>
              </w:rPr>
              <w:t xml:space="preserve">Förluster från anläggningstillgångar och avyttringsgrupper som klassificeras som att de innehas för försäljning och som inte uppfyller kraven för avvecklade verksamheter: förluster som inte beror på operativa riskhändelser från anläggningstillgångar och avyttringsgrupper som klassificeras som att de innehas för försäljning och som inte uppfyller kraven för avvecklade verksamheter i enlighet med del 2 punkt 55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Endast förluster ska rapporteras. Vid vinst ska värdet behandlas som noll på denna rad.</w:t>
            </w:r>
          </w:p>
          <w:p w14:paraId="0334035E" w14:textId="19D6E763" w:rsidR="00EE7608" w:rsidRPr="009C6447" w:rsidRDefault="004D0A0E" w:rsidP="00EE7608">
            <w:pPr>
              <w:pStyle w:val="ListParagraph"/>
              <w:numPr>
                <w:ilvl w:val="0"/>
                <w:numId w:val="9"/>
              </w:numPr>
              <w:spacing w:before="60" w:after="120"/>
              <w:jc w:val="both"/>
              <w:rPr>
                <w:rFonts w:ascii="Times New Roman" w:eastAsia="Times New Roman" w:hAnsi="Times New Roman"/>
                <w:sz w:val="24"/>
              </w:rPr>
            </w:pPr>
            <w:r w:rsidRPr="009C6447">
              <w:rPr>
                <w:rFonts w:ascii="Times New Roman" w:hAnsi="Times New Roman"/>
                <w:sz w:val="24"/>
              </w:rPr>
              <w:t xml:space="preserve">Totala förluster, kostnader, avsättningar och andra finansiella konsekvenser till följd av operativa riskhändelser: summan av alla förluster, kostnader, avsättningar och andra finansiella konsekvenser förknippade med operativa riskhändelser som rapporterats på rad 0080 i mall C.16.03 som ingår i bilaga I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w:t>
            </w:r>
          </w:p>
          <w:p w14:paraId="2C93E8CD" w14:textId="64776E12" w:rsidR="004D0A0E" w:rsidRPr="009C6447" w:rsidRDefault="00A37C45" w:rsidP="00EE7608">
            <w:pPr>
              <w:pStyle w:val="ListParagraph"/>
              <w:numPr>
                <w:ilvl w:val="0"/>
                <w:numId w:val="9"/>
              </w:numPr>
              <w:spacing w:before="60" w:after="120"/>
              <w:jc w:val="both"/>
              <w:rPr>
                <w:rFonts w:ascii="Times New Roman" w:eastAsia="Times New Roman" w:hAnsi="Times New Roman"/>
                <w:sz w:val="24"/>
              </w:rPr>
            </w:pPr>
            <w:r w:rsidRPr="009C6447">
              <w:rPr>
                <w:rFonts w:ascii="Times New Roman" w:hAnsi="Times New Roman"/>
                <w:sz w:val="24"/>
              </w:rPr>
              <w:t xml:space="preserve">Övriga rörelsekostnader, som inte beror på operativa riskhändelser, i enlighet med del 2 punkterna 314 och 316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vilket omfattar följande:</w:t>
            </w:r>
          </w:p>
          <w:p w14:paraId="01D56412" w14:textId="77777777" w:rsidR="004A5BBA" w:rsidRPr="009C6447" w:rsidRDefault="004A5BBA" w:rsidP="004A5BBA">
            <w:pPr>
              <w:pStyle w:val="ListParagraph"/>
              <w:numPr>
                <w:ilvl w:val="1"/>
                <w:numId w:val="10"/>
              </w:numPr>
              <w:spacing w:before="60" w:after="120"/>
              <w:jc w:val="both"/>
              <w:rPr>
                <w:rFonts w:ascii="Times New Roman" w:eastAsia="Times New Roman" w:hAnsi="Times New Roman"/>
                <w:sz w:val="24"/>
              </w:rPr>
            </w:pPr>
            <w:r w:rsidRPr="009C6447">
              <w:rPr>
                <w:rFonts w:ascii="Times New Roman" w:hAnsi="Times New Roman"/>
                <w:sz w:val="24"/>
              </w:rPr>
              <w:t>Kostnader till följd av förändringar i verkligt värde i materiella tillgångar som värderas till verkligt värde, med undantag av kostnader från förändringar i verkligt värde avseende förvaltningsfastigheter som genererar hyror och som värderas till verkligt värde från leasade tillgångar.</w:t>
            </w:r>
          </w:p>
          <w:p w14:paraId="726CB5AB" w14:textId="426E3DFA" w:rsidR="004A5BBA" w:rsidRPr="009C6447"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9C6447" w:rsidRDefault="004A5BBA" w:rsidP="004A5BBA">
            <w:pPr>
              <w:pStyle w:val="ListParagraph"/>
              <w:numPr>
                <w:ilvl w:val="1"/>
                <w:numId w:val="10"/>
              </w:numPr>
              <w:spacing w:before="60" w:after="120"/>
              <w:jc w:val="both"/>
              <w:rPr>
                <w:rFonts w:ascii="Times New Roman" w:eastAsia="Times New Roman" w:hAnsi="Times New Roman"/>
                <w:sz w:val="24"/>
              </w:rPr>
            </w:pPr>
            <w:r w:rsidRPr="009C6447">
              <w:rPr>
                <w:rFonts w:ascii="Times New Roman" w:hAnsi="Times New Roman"/>
                <w:sz w:val="24"/>
              </w:rPr>
              <w:t xml:space="preserve">Kvarvarande övriga rörelsekostnader (Övriga rörelsekostnader) i enlighet med del 2 punkterna 314 och 316 i bilaga V till </w:t>
            </w:r>
            <w:proofErr w:type="spellStart"/>
            <w:r w:rsidRPr="009C6447">
              <w:rPr>
                <w:rFonts w:ascii="Times New Roman" w:hAnsi="Times New Roman"/>
                <w:sz w:val="24"/>
              </w:rPr>
              <w:t>EBA:s</w:t>
            </w:r>
            <w:proofErr w:type="spellEnd"/>
            <w:r w:rsidRPr="009C6447">
              <w:rPr>
                <w:rFonts w:ascii="Times New Roman" w:hAnsi="Times New Roman"/>
                <w:sz w:val="24"/>
              </w:rPr>
              <w:t xml:space="preserve"> </w:t>
            </w:r>
            <w:proofErr w:type="spellStart"/>
            <w:r w:rsidRPr="009C6447">
              <w:rPr>
                <w:rFonts w:ascii="Times New Roman" w:hAnsi="Times New Roman"/>
                <w:sz w:val="24"/>
              </w:rPr>
              <w:t>it-lösningar</w:t>
            </w:r>
            <w:proofErr w:type="spellEnd"/>
            <w:r w:rsidRPr="009C6447">
              <w:rPr>
                <w:rFonts w:ascii="Times New Roman" w:hAnsi="Times New Roman"/>
                <w:sz w:val="24"/>
              </w:rPr>
              <w:t>, om de inte har anknytning till leasade tillgångar.</w:t>
            </w:r>
          </w:p>
          <w:p w14:paraId="6CDC5FBE" w14:textId="54C68FB7" w:rsidR="004A3C86" w:rsidRPr="009C6447" w:rsidRDefault="004A3C86" w:rsidP="00EE7608">
            <w:pPr>
              <w:spacing w:before="60" w:after="120"/>
              <w:jc w:val="both"/>
              <w:rPr>
                <w:rStyle w:val="InstructionsTabelleberschrift"/>
                <w:rFonts w:ascii="Times New Roman" w:eastAsia="Times New Roman" w:hAnsi="Times New Roman"/>
                <w:b w:val="0"/>
                <w:bCs w:val="0"/>
                <w:sz w:val="24"/>
                <w:u w:val="none"/>
              </w:rPr>
            </w:pPr>
            <w:r w:rsidRPr="009C6447">
              <w:rPr>
                <w:rStyle w:val="InstructionsTabelleberschrift"/>
                <w:rFonts w:ascii="Times New Roman" w:hAnsi="Times New Roman"/>
                <w:b w:val="0"/>
                <w:sz w:val="24"/>
                <w:u w:val="none"/>
              </w:rPr>
              <w:t>Beloppet av övriga rörelsekostnader som betalats till institut som är medlemmar i samma institutionella skyddssystem i enlighet med artikel 314.5 i förordning (EU) nr 575/2013, ska inte tas med.</w:t>
            </w:r>
          </w:p>
          <w:p w14:paraId="6F1C30F0" w14:textId="3B05E985" w:rsidR="003826D3" w:rsidRPr="009C6447" w:rsidRDefault="00DE3384" w:rsidP="003826D3">
            <w:pPr>
              <w:spacing w:before="60" w:after="120"/>
              <w:jc w:val="both"/>
              <w:rPr>
                <w:rStyle w:val="InstructionsTabelleberschrift"/>
                <w:rFonts w:ascii="Times New Roman" w:eastAsia="Times New Roman" w:hAnsi="Times New Roman"/>
                <w:sz w:val="24"/>
              </w:rPr>
            </w:pPr>
            <w:r w:rsidRPr="009C6447">
              <w:rPr>
                <w:rFonts w:ascii="Times New Roman" w:hAnsi="Times New Roman"/>
                <w:sz w:val="24"/>
              </w:rPr>
              <w:t>Beloppet på denna rad ska beräknas i enlighet med artikel 314.5 i förordning (EU) nr 575/2013.</w:t>
            </w:r>
          </w:p>
        </w:tc>
      </w:tr>
      <w:tr w:rsidR="003826D3" w:rsidRPr="009C6447"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9C6447" w:rsidRDefault="003826D3" w:rsidP="003826D3">
            <w:pPr>
              <w:spacing w:before="6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Finansiell komponent (FC)</w:t>
            </w:r>
          </w:p>
          <w:p w14:paraId="1C2CD9AE" w14:textId="16B8F7FC" w:rsidR="003826D3" w:rsidRPr="009C6447" w:rsidRDefault="00DE3384" w:rsidP="003826D3">
            <w:pPr>
              <w:spacing w:before="60" w:after="120"/>
              <w:jc w:val="both"/>
              <w:rPr>
                <w:rStyle w:val="InstructionsTabelleberschrift"/>
                <w:rFonts w:ascii="Times New Roman" w:eastAsia="Times New Roman" w:hAnsi="Times New Roman"/>
                <w:b w:val="0"/>
                <w:bCs w:val="0"/>
                <w:sz w:val="24"/>
                <w:u w:val="none"/>
              </w:rPr>
            </w:pPr>
            <w:r w:rsidRPr="009C6447">
              <w:rPr>
                <w:rStyle w:val="InstructionsTabelleberschrift"/>
                <w:rFonts w:ascii="Times New Roman" w:hAnsi="Times New Roman"/>
                <w:b w:val="0"/>
                <w:sz w:val="24"/>
                <w:u w:val="none"/>
              </w:rPr>
              <w:t xml:space="preserve">Den finansiella komponenten (FC), beräknad i enlighet med artikel 314.6 i förordning (EU) nr 575/2013. </w:t>
            </w:r>
            <w:r w:rsidRPr="009C6447">
              <w:rPr>
                <w:rFonts w:ascii="Times New Roman" w:hAnsi="Times New Roman"/>
                <w:sz w:val="24"/>
              </w:rPr>
              <w:t>Om ett institut omfattas av det undantag som avses i artikel 314.4 i förordning (EU) nr 575/2013 ska institutet inte inkludera några siffror från affärsområdena hushållsbank och storkundsbank.</w:t>
            </w:r>
          </w:p>
        </w:tc>
      </w:tr>
      <w:tr w:rsidR="003826D3" w:rsidRPr="009C6447"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3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9C6447" w:rsidRDefault="003826D3" w:rsidP="003826D3">
            <w:pPr>
              <w:spacing w:before="6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 xml:space="preserve">Nettovinst eller nettoförlust i </w:t>
            </w:r>
            <w:proofErr w:type="spellStart"/>
            <w:r w:rsidRPr="009C6447">
              <w:rPr>
                <w:rStyle w:val="InstructionsTabelleberschrift"/>
                <w:rFonts w:ascii="Times New Roman" w:hAnsi="Times New Roman"/>
                <w:sz w:val="24"/>
                <w:u w:val="none"/>
              </w:rPr>
              <w:t>handelslagret</w:t>
            </w:r>
            <w:proofErr w:type="spellEnd"/>
          </w:p>
          <w:p w14:paraId="4E177CA3" w14:textId="4C472892" w:rsidR="003826D3" w:rsidRPr="009C6447" w:rsidRDefault="003826D3" w:rsidP="003826D3">
            <w:pPr>
              <w:spacing w:before="60" w:after="120"/>
              <w:jc w:val="both"/>
              <w:rPr>
                <w:rStyle w:val="InstructionsTabelleberschrift"/>
                <w:rFonts w:ascii="Times New Roman" w:hAnsi="Times New Roman"/>
                <w:b w:val="0"/>
                <w:bCs w:val="0"/>
                <w:sz w:val="24"/>
                <w:u w:val="none"/>
              </w:rPr>
            </w:pPr>
            <w:r w:rsidRPr="009C6447">
              <w:rPr>
                <w:rStyle w:val="InstructionsTabelleberschrift"/>
                <w:rFonts w:ascii="Times New Roman" w:hAnsi="Times New Roman"/>
                <w:b w:val="0"/>
                <w:sz w:val="24"/>
                <w:u w:val="none"/>
              </w:rPr>
              <w:t xml:space="preserve">Den tillämpliga nettovinsten eller nettoförlusten i </w:t>
            </w:r>
            <w:proofErr w:type="spellStart"/>
            <w:r w:rsidRPr="009C6447">
              <w:rPr>
                <w:rStyle w:val="InstructionsTabelleberschrift"/>
                <w:rFonts w:ascii="Times New Roman" w:hAnsi="Times New Roman"/>
                <w:b w:val="0"/>
                <w:sz w:val="24"/>
                <w:u w:val="none"/>
              </w:rPr>
              <w:t>handelslagret</w:t>
            </w:r>
            <w:proofErr w:type="spellEnd"/>
            <w:r w:rsidRPr="009C6447">
              <w:rPr>
                <w:rStyle w:val="InstructionsTabelleberschrift"/>
                <w:rFonts w:ascii="Times New Roman" w:hAnsi="Times New Roman"/>
                <w:b w:val="0"/>
                <w:sz w:val="24"/>
                <w:u w:val="none"/>
              </w:rPr>
              <w:t xml:space="preserve"> ska beräknas som summan av:</w:t>
            </w:r>
          </w:p>
          <w:p w14:paraId="6324889B" w14:textId="380EDA28" w:rsidR="008A379C" w:rsidRPr="009C6447" w:rsidRDefault="008A379C" w:rsidP="00232265">
            <w:pPr>
              <w:pStyle w:val="Style1"/>
              <w:rPr>
                <w:rStyle w:val="InstructionsTabelleberschrift"/>
                <w:rFonts w:ascii="Times New Roman" w:hAnsi="Times New Roman"/>
                <w:b w:val="0"/>
                <w:bCs w:val="0"/>
                <w:sz w:val="24"/>
                <w:u w:val="none"/>
              </w:rPr>
            </w:pPr>
            <w:r w:rsidRPr="009C6447">
              <w:rPr>
                <w:u w:val="single"/>
              </w:rPr>
              <w:t>Vinster eller (–) förluster på finansiella tillgångar och skulder som innehas för handel och handel, netto</w:t>
            </w:r>
            <w:r w:rsidRPr="009C6447">
              <w:t xml:space="preserve">: vinster eller (–) förluster på finansiella tillgångar och skulder som innehas för handel i enlighet med del 2 punkterna 43 och 46 i bilaga V till </w:t>
            </w:r>
            <w:proofErr w:type="spellStart"/>
            <w:r w:rsidRPr="009C6447">
              <w:t>EBA:s</w:t>
            </w:r>
            <w:proofErr w:type="spellEnd"/>
            <w:r w:rsidRPr="009C6447">
              <w:t xml:space="preserve"> </w:t>
            </w:r>
            <w:proofErr w:type="spellStart"/>
            <w:r w:rsidRPr="009C6447">
              <w:t>it-lösningar</w:t>
            </w:r>
            <w:proofErr w:type="spellEnd"/>
            <w:r w:rsidRPr="009C6447">
              <w:t xml:space="preserve"> eller på finansiella tillgångar och skulder som är förenade med handel i enlighet med artikel 27 i rådets direktiv 86/635/EEG. Vertikal uppställning (6).</w:t>
            </w:r>
          </w:p>
          <w:p w14:paraId="0B998657" w14:textId="654F8692" w:rsidR="008A379C" w:rsidRPr="009C6447" w:rsidRDefault="008A379C" w:rsidP="00232265">
            <w:pPr>
              <w:pStyle w:val="Style1"/>
              <w:rPr>
                <w:rStyle w:val="InstructionsTabelleberschrift"/>
                <w:rFonts w:ascii="Times New Roman" w:hAnsi="Times New Roman"/>
                <w:b w:val="0"/>
                <w:bCs w:val="0"/>
                <w:sz w:val="24"/>
                <w:u w:val="none"/>
              </w:rPr>
            </w:pPr>
            <w:r w:rsidRPr="009C6447">
              <w:rPr>
                <w:u w:val="single"/>
              </w:rPr>
              <w:t>Vinster eller (-) förluster från säkringsredovisning, netto</w:t>
            </w:r>
            <w:r w:rsidRPr="009C6447">
              <w:t xml:space="preserve">: vinster eller (-) förluster från säkringsredovisning, netto under handelslagerkomponenten endast under de exceptionella omständigheter där säkringsredovisning, beräknad i enlighet med bilaga V, del 2 punkt 47 i </w:t>
            </w:r>
            <w:proofErr w:type="spellStart"/>
            <w:r w:rsidRPr="009C6447">
              <w:t>EBA:s</w:t>
            </w:r>
            <w:proofErr w:type="spellEnd"/>
            <w:r w:rsidRPr="009C6447">
              <w:t xml:space="preserve"> </w:t>
            </w:r>
            <w:proofErr w:type="spellStart"/>
            <w:r w:rsidRPr="009C6447">
              <w:t>it-lösningar</w:t>
            </w:r>
            <w:proofErr w:type="spellEnd"/>
            <w:r w:rsidRPr="009C6447">
              <w:t xml:space="preserve"> eller i enlighet med redovisningsdirektivet artiklarna 8.1 a, 8.6 och 8.8 används för att säkra finansiella tillgångar och skulder som innehas för handel eller finansiella tillgångar och skulder som är föremål för handel.</w:t>
            </w:r>
          </w:p>
          <w:p w14:paraId="1BC37DE4" w14:textId="36EA6A27" w:rsidR="008A379C" w:rsidRPr="009C6447" w:rsidRDefault="008A379C" w:rsidP="00232265">
            <w:pPr>
              <w:pStyle w:val="Style1"/>
              <w:rPr>
                <w:rStyle w:val="InstructionsTabelleberschrift"/>
                <w:rFonts w:ascii="Times New Roman" w:hAnsi="Times New Roman"/>
                <w:b w:val="0"/>
                <w:bCs w:val="0"/>
                <w:sz w:val="24"/>
                <w:u w:val="none"/>
              </w:rPr>
            </w:pPr>
            <w:r w:rsidRPr="009C6447">
              <w:rPr>
                <w:u w:val="single"/>
              </w:rPr>
              <w:t xml:space="preserve">Växelkursdifferenser [vinst eller (−) förlust], netto, hänförliga till </w:t>
            </w:r>
            <w:proofErr w:type="spellStart"/>
            <w:r w:rsidRPr="009C6447">
              <w:rPr>
                <w:u w:val="single"/>
              </w:rPr>
              <w:t>handelslagret</w:t>
            </w:r>
            <w:proofErr w:type="spellEnd"/>
            <w:r w:rsidRPr="009C6447">
              <w:t>: växelkursdifferenser [vinst eller (−) förlust], netto, endast om sådana differenser, beräknade i enlighet med IAS 21.28, 52 a eller i enlighet med artikel 39 i direktiv 86/635/EEG, härrör från finansiella tillgångar och skulder som innehas för handel eller finansiella tillgångar och skulder som är föremål för handel.</w:t>
            </w:r>
          </w:p>
          <w:p w14:paraId="761552C0" w14:textId="5BF82331" w:rsidR="001E5563" w:rsidRPr="009C6447" w:rsidRDefault="001E5563" w:rsidP="00C65626">
            <w:pPr>
              <w:pStyle w:val="paragraph"/>
              <w:textAlignment w:val="baseline"/>
              <w:rPr>
                <w:rStyle w:val="InstructionsTabelleberschrift"/>
                <w:rFonts w:ascii="Segoe UI" w:hAnsi="Segoe UI" w:cs="Segoe UI"/>
              </w:rPr>
            </w:pPr>
            <w:r w:rsidRPr="009C6447">
              <w:t xml:space="preserve">De värden som ska offentliggöras kommer att återspegla de redovisningsvärden som fastställts med hjälp av redovisningsmetoden eller tillsynsgränsen för att identifiera posterna i </w:t>
            </w:r>
            <w:proofErr w:type="spellStart"/>
            <w:r w:rsidRPr="009C6447">
              <w:t>handelslagret</w:t>
            </w:r>
            <w:proofErr w:type="spellEnd"/>
            <w:r w:rsidRPr="009C6447">
              <w:t xml:space="preserve"> och utanför </w:t>
            </w:r>
            <w:proofErr w:type="spellStart"/>
            <w:r w:rsidRPr="009C6447">
              <w:t>handelslagret</w:t>
            </w:r>
            <w:proofErr w:type="spellEnd"/>
            <w:r w:rsidRPr="009C6447">
              <w:t xml:space="preserve"> för vart och ett av de senaste tre räkenskapsåren i enlighet med artikel 314.6 i förordning (EU) nr 575/2013.</w:t>
            </w:r>
          </w:p>
        </w:tc>
      </w:tr>
      <w:tr w:rsidR="003826D3" w:rsidRPr="009C6447"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9C6447" w:rsidRDefault="003826D3" w:rsidP="003826D3">
            <w:pPr>
              <w:spacing w:before="6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 xml:space="preserve">Nettovinst eller nettoförlust i verksamheten utanför </w:t>
            </w:r>
            <w:proofErr w:type="spellStart"/>
            <w:r w:rsidRPr="009C6447">
              <w:rPr>
                <w:rStyle w:val="InstructionsTabelleberschrift"/>
                <w:rFonts w:ascii="Times New Roman" w:hAnsi="Times New Roman"/>
                <w:sz w:val="24"/>
                <w:u w:val="none"/>
              </w:rPr>
              <w:t>handelslagret</w:t>
            </w:r>
            <w:proofErr w:type="spellEnd"/>
          </w:p>
          <w:p w14:paraId="16F13570" w14:textId="0B537F1A" w:rsidR="003826D3" w:rsidRPr="009C6447" w:rsidRDefault="003826D3" w:rsidP="003826D3">
            <w:pPr>
              <w:spacing w:before="60" w:after="120"/>
              <w:jc w:val="both"/>
              <w:rPr>
                <w:rStyle w:val="InstructionsTabelleberschrift"/>
                <w:rFonts w:ascii="Times New Roman" w:eastAsia="Times New Roman" w:hAnsi="Times New Roman"/>
                <w:b w:val="0"/>
                <w:bCs w:val="0"/>
                <w:sz w:val="24"/>
                <w:u w:val="none"/>
              </w:rPr>
            </w:pPr>
            <w:r w:rsidRPr="009C6447">
              <w:rPr>
                <w:rStyle w:val="InstructionsTabelleberschrift"/>
                <w:rFonts w:ascii="Times New Roman" w:hAnsi="Times New Roman"/>
                <w:b w:val="0"/>
                <w:sz w:val="24"/>
                <w:u w:val="none"/>
              </w:rPr>
              <w:t xml:space="preserve">Nettovinsten eller nettoförlusten i verksamheten utanför </w:t>
            </w:r>
            <w:proofErr w:type="spellStart"/>
            <w:r w:rsidRPr="009C6447">
              <w:rPr>
                <w:rStyle w:val="InstructionsTabelleberschrift"/>
                <w:rFonts w:ascii="Times New Roman" w:hAnsi="Times New Roman"/>
                <w:b w:val="0"/>
                <w:sz w:val="24"/>
                <w:u w:val="none"/>
              </w:rPr>
              <w:t>handelslagret</w:t>
            </w:r>
            <w:proofErr w:type="spellEnd"/>
            <w:r w:rsidRPr="009C6447">
              <w:rPr>
                <w:rStyle w:val="InstructionsTabelleberschrift"/>
                <w:rFonts w:ascii="Times New Roman" w:hAnsi="Times New Roman"/>
                <w:b w:val="0"/>
                <w:sz w:val="24"/>
                <w:u w:val="none"/>
              </w:rPr>
              <w:t xml:space="preserve"> ska beräknas som summan av:</w:t>
            </w:r>
          </w:p>
          <w:p w14:paraId="4816B36A" w14:textId="59F72F36" w:rsidR="008F0781" w:rsidRPr="009C6447" w:rsidRDefault="008F0781" w:rsidP="00232265">
            <w:pPr>
              <w:pStyle w:val="Style1"/>
            </w:pPr>
            <w:r w:rsidRPr="009C6447">
              <w:rPr>
                <w:u w:val="single"/>
              </w:rPr>
              <w:t>Vinster eller (-) förluster till följd av borttagande från balansräkningen av finansiella tillgångar och skulder som inte värderas till verkligt värde via resultatet, netto</w:t>
            </w:r>
            <w:r w:rsidRPr="009C6447">
              <w:t xml:space="preserve">: vinster eller (-) förluster till följd av borttagande av finansiella tillgångar och skulder som inte värderas till verkligt värde via resultatet, netto i enlighet med del 2 punkt 45 i bilaga V till </w:t>
            </w:r>
            <w:proofErr w:type="spellStart"/>
            <w:r w:rsidRPr="009C6447">
              <w:t>EBA:s</w:t>
            </w:r>
            <w:proofErr w:type="spellEnd"/>
            <w:r w:rsidRPr="009C6447">
              <w:t xml:space="preserve"> </w:t>
            </w:r>
            <w:proofErr w:type="spellStart"/>
            <w:r w:rsidRPr="009C6447">
              <w:t>it-lösningar</w:t>
            </w:r>
            <w:proofErr w:type="spellEnd"/>
            <w:r w:rsidRPr="009C6447">
              <w:t xml:space="preserve"> eller med direktiv 86/635/EEG artikel 27.Vertikal </w:t>
            </w:r>
            <w:proofErr w:type="gramStart"/>
            <w:r w:rsidRPr="009C6447">
              <w:t>uppställning(</w:t>
            </w:r>
            <w:proofErr w:type="gramEnd"/>
            <w:r w:rsidRPr="009C6447">
              <w:t>6).</w:t>
            </w:r>
          </w:p>
          <w:p w14:paraId="29EDCF43" w14:textId="7ADB0AAC" w:rsidR="008F0781" w:rsidRPr="009C6447" w:rsidRDefault="008F0781" w:rsidP="00232265">
            <w:pPr>
              <w:pStyle w:val="Style1"/>
            </w:pPr>
            <w:r w:rsidRPr="009C6447">
              <w:rPr>
                <w:u w:val="single"/>
              </w:rPr>
              <w:lastRenderedPageBreak/>
              <w:t>Vinster eller (-) förluster på finansiella tillgångar som inte är föremål för handel och som obligatoriskt värderas till verkligt värde via resultatet, netto</w:t>
            </w:r>
            <w:r w:rsidRPr="009C6447">
              <w:t xml:space="preserve">: rapportera vinster eller (-) förluster på finansiella tillgångar som inte är föremål för handel och som obligatoriskt värderas till verkligt värde via resultatet, netto i enlighet med del 2 punkt 46 i bilaga V till </w:t>
            </w:r>
            <w:proofErr w:type="spellStart"/>
            <w:r w:rsidRPr="009C6447">
              <w:t>EBA:s</w:t>
            </w:r>
            <w:proofErr w:type="spellEnd"/>
            <w:r w:rsidRPr="009C6447">
              <w:t xml:space="preserve"> </w:t>
            </w:r>
            <w:proofErr w:type="spellStart"/>
            <w:r w:rsidRPr="009C6447">
              <w:t>it-lösningar</w:t>
            </w:r>
            <w:proofErr w:type="spellEnd"/>
            <w:r w:rsidRPr="009C6447">
              <w:t>.</w:t>
            </w:r>
          </w:p>
          <w:p w14:paraId="23350A71" w14:textId="40356371" w:rsidR="008F0781" w:rsidRPr="009C6447" w:rsidRDefault="008F0781" w:rsidP="00232265">
            <w:pPr>
              <w:pStyle w:val="Style1"/>
            </w:pPr>
            <w:r w:rsidRPr="009C6447">
              <w:rPr>
                <w:u w:val="single"/>
              </w:rPr>
              <w:t>Vinster eller (–) förluster på finansiella tillgångar och skulder som identifieras som värderade till verkligt värde via resultatet, netto</w:t>
            </w:r>
            <w:r w:rsidRPr="009C6447">
              <w:t xml:space="preserve">: vinster eller (–) förluster på finansiella tillgångar och skulder som identifieras som värderade till verkligt värde via resultatet, netto i enlighet med del 2 punkt 44 i bilaga V till </w:t>
            </w:r>
            <w:proofErr w:type="spellStart"/>
            <w:r w:rsidRPr="009C6447">
              <w:t>EBA:s</w:t>
            </w:r>
            <w:proofErr w:type="spellEnd"/>
            <w:r w:rsidRPr="009C6447">
              <w:t xml:space="preserve"> </w:t>
            </w:r>
            <w:proofErr w:type="spellStart"/>
            <w:r w:rsidRPr="009C6447">
              <w:t>it-lösningar</w:t>
            </w:r>
            <w:proofErr w:type="spellEnd"/>
            <w:r w:rsidRPr="009C6447">
              <w:t>.</w:t>
            </w:r>
          </w:p>
          <w:p w14:paraId="44DE675E" w14:textId="5B34C2BC" w:rsidR="008F0781" w:rsidRPr="009C6447" w:rsidRDefault="008F0781" w:rsidP="00232265">
            <w:pPr>
              <w:pStyle w:val="Style1"/>
            </w:pPr>
            <w:r w:rsidRPr="009C6447">
              <w:rPr>
                <w:u w:val="single"/>
              </w:rPr>
              <w:t xml:space="preserve">Vinster eller (-) förluster från säkringsredovisning, netto, hänförliga till verksamhet utanför </w:t>
            </w:r>
            <w:proofErr w:type="spellStart"/>
            <w:r w:rsidRPr="009C6447">
              <w:rPr>
                <w:u w:val="single"/>
              </w:rPr>
              <w:t>handelslagret</w:t>
            </w:r>
            <w:proofErr w:type="spellEnd"/>
            <w:r w:rsidRPr="009C6447">
              <w:t xml:space="preserve">: vinster eller (-) förluster från säkringsredovisning, netto i enlighet med del 2 punkt 47 i bilaga V till </w:t>
            </w:r>
            <w:proofErr w:type="spellStart"/>
            <w:r w:rsidRPr="009C6447">
              <w:t>EBA:s</w:t>
            </w:r>
            <w:proofErr w:type="spellEnd"/>
            <w:r w:rsidRPr="009C6447">
              <w:t xml:space="preserve"> </w:t>
            </w:r>
            <w:proofErr w:type="spellStart"/>
            <w:r w:rsidRPr="009C6447">
              <w:t>it-lösningar</w:t>
            </w:r>
            <w:proofErr w:type="spellEnd"/>
            <w:r w:rsidRPr="009C6447">
              <w:t xml:space="preserve"> eller i enlighet med artikel 8.1 a, 8.6 och 8.8 i redovisningsdirektivet, om dessa vinster eller förluster härrör från finansiella tillgångar och skulder som innehas utanför </w:t>
            </w:r>
            <w:proofErr w:type="spellStart"/>
            <w:r w:rsidRPr="009C6447">
              <w:t>handelslagret</w:t>
            </w:r>
            <w:proofErr w:type="spellEnd"/>
            <w:r w:rsidRPr="009C6447">
              <w:t>.</w:t>
            </w:r>
          </w:p>
          <w:p w14:paraId="23306495" w14:textId="6A259674" w:rsidR="008F0781" w:rsidRPr="009C6447" w:rsidRDefault="008F0781" w:rsidP="00232265">
            <w:pPr>
              <w:pStyle w:val="Style1"/>
            </w:pPr>
            <w:r w:rsidRPr="009C6447">
              <w:rPr>
                <w:u w:val="single"/>
              </w:rPr>
              <w:t xml:space="preserve">Växelkursdifferenser [vinst eller (–) förlust], netto, hänförliga till verksamhet utanför </w:t>
            </w:r>
            <w:proofErr w:type="spellStart"/>
            <w:r w:rsidRPr="009C6447">
              <w:rPr>
                <w:u w:val="single"/>
              </w:rPr>
              <w:t>handelslagret</w:t>
            </w:r>
            <w:proofErr w:type="spellEnd"/>
            <w:r w:rsidRPr="009C6447">
              <w:rPr>
                <w:u w:val="single"/>
              </w:rPr>
              <w:t>:</w:t>
            </w:r>
            <w:r w:rsidRPr="009C6447">
              <w:t xml:space="preserve"> växelkursdifferenser [vinst eller (–) förlust], netto,</w:t>
            </w:r>
            <w:r w:rsidRPr="009C6447">
              <w:rPr>
                <w:u w:val="single"/>
              </w:rPr>
              <w:t xml:space="preserve"> </w:t>
            </w:r>
            <w:r w:rsidRPr="009C6447">
              <w:t xml:space="preserve">i enlighet med IAS 21.28, 52 a eller i enlighet med artikel 39 i direktiv 86/635/EEG, om dessa differenser härrör från finansiella tillgångar och skulder som innehas utanför </w:t>
            </w:r>
            <w:proofErr w:type="spellStart"/>
            <w:r w:rsidRPr="009C6447">
              <w:t>handelslagret</w:t>
            </w:r>
            <w:proofErr w:type="spellEnd"/>
            <w:r w:rsidRPr="009C6447">
              <w:t>.</w:t>
            </w:r>
          </w:p>
          <w:p w14:paraId="3E9BB5BF" w14:textId="1D3FC8A9" w:rsidR="00F26A2D" w:rsidRPr="009C6447" w:rsidRDefault="001E5563" w:rsidP="00F26A2D">
            <w:pPr>
              <w:spacing w:before="60" w:after="120"/>
              <w:jc w:val="both"/>
              <w:rPr>
                <w:rStyle w:val="InstructionsTabelleberschrift"/>
                <w:rFonts w:asciiTheme="majorBidi" w:hAnsiTheme="majorBidi" w:cstheme="majorBidi"/>
                <w:sz w:val="24"/>
                <w:u w:val="none"/>
              </w:rPr>
            </w:pPr>
            <w:r w:rsidRPr="009C6447">
              <w:rPr>
                <w:rFonts w:asciiTheme="majorBidi" w:hAnsiTheme="majorBidi"/>
                <w:sz w:val="24"/>
              </w:rPr>
              <w:t xml:space="preserve">De värden som ska offentliggöras kommer att återspegla de redovisningsvärden som fastställts med hjälp av redovisningsmetoden eller tillsynsgränsen för att identifiera posterna i </w:t>
            </w:r>
            <w:proofErr w:type="spellStart"/>
            <w:r w:rsidRPr="009C6447">
              <w:rPr>
                <w:rFonts w:asciiTheme="majorBidi" w:hAnsiTheme="majorBidi"/>
                <w:sz w:val="24"/>
              </w:rPr>
              <w:t>handelslagret</w:t>
            </w:r>
            <w:proofErr w:type="spellEnd"/>
            <w:r w:rsidRPr="009C6447">
              <w:rPr>
                <w:rFonts w:asciiTheme="majorBidi" w:hAnsiTheme="majorBidi"/>
                <w:sz w:val="24"/>
              </w:rPr>
              <w:t xml:space="preserve"> och utanför </w:t>
            </w:r>
            <w:proofErr w:type="spellStart"/>
            <w:r w:rsidRPr="009C6447">
              <w:rPr>
                <w:rFonts w:asciiTheme="majorBidi" w:hAnsiTheme="majorBidi"/>
                <w:sz w:val="24"/>
              </w:rPr>
              <w:t>handelslagret</w:t>
            </w:r>
            <w:proofErr w:type="spellEnd"/>
            <w:r w:rsidRPr="009C6447">
              <w:rPr>
                <w:rFonts w:asciiTheme="majorBidi" w:hAnsiTheme="majorBidi"/>
                <w:sz w:val="24"/>
              </w:rPr>
              <w:t xml:space="preserve"> för vart och ett av de senaste tre räkenskapsåren i enlighet med artikel 314.6 i förordning (EU) nr 575/2013.</w:t>
            </w:r>
          </w:p>
        </w:tc>
      </w:tr>
      <w:tr w:rsidR="003826D3" w:rsidRPr="009C6447"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lastRenderedPageBreak/>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9C6447" w:rsidRDefault="008C3E6A" w:rsidP="003826D3">
            <w:pPr>
              <w:spacing w:before="6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 xml:space="preserve">Metod som använts för att fastställa gränsen mellan i och utanför </w:t>
            </w:r>
            <w:proofErr w:type="spellStart"/>
            <w:r w:rsidRPr="009C6447">
              <w:rPr>
                <w:rStyle w:val="InstructionsTabelleberschrift"/>
                <w:rFonts w:ascii="Times New Roman" w:hAnsi="Times New Roman"/>
                <w:sz w:val="24"/>
                <w:u w:val="none"/>
              </w:rPr>
              <w:t>handelslagret</w:t>
            </w:r>
            <w:proofErr w:type="spellEnd"/>
            <w:r w:rsidRPr="009C6447">
              <w:rPr>
                <w:rStyle w:val="InstructionsTabelleberschrift"/>
                <w:rFonts w:ascii="Times New Roman" w:hAnsi="Times New Roman"/>
                <w:sz w:val="24"/>
                <w:u w:val="none"/>
              </w:rPr>
              <w:t xml:space="preserve"> (tillsynsgränsen eller redovisningsmetoden)</w:t>
            </w:r>
          </w:p>
          <w:p w14:paraId="00A81A34" w14:textId="0A7D6D1A" w:rsidR="003826D3" w:rsidRPr="009C6447" w:rsidRDefault="003826D3" w:rsidP="003826D3">
            <w:pPr>
              <w:spacing w:before="60" w:after="120"/>
              <w:jc w:val="both"/>
              <w:rPr>
                <w:rStyle w:val="InstructionsTabelleberschrift"/>
                <w:rFonts w:ascii="Times New Roman" w:eastAsia="Times New Roman" w:hAnsi="Times New Roman"/>
                <w:b w:val="0"/>
                <w:bCs w:val="0"/>
                <w:sz w:val="24"/>
                <w:u w:val="none"/>
              </w:rPr>
            </w:pPr>
            <w:r w:rsidRPr="009C6447">
              <w:rPr>
                <w:rStyle w:val="InstructionsTabelleberschrift"/>
                <w:rFonts w:ascii="Times New Roman" w:hAnsi="Times New Roman"/>
                <w:b w:val="0"/>
                <w:sz w:val="24"/>
                <w:u w:val="none"/>
              </w:rPr>
              <w:t>Det tillvägagångssätt som användes vid referensdatumet för att fastställa den finansiella komponenten: redovisningsmetoden eller tillsynsgränsen. Denna metod ska användas konsekvent för de belopp som offentliggörs för vart och ett av de tre senaste räkenskapsåren.</w:t>
            </w:r>
          </w:p>
        </w:tc>
      </w:tr>
      <w:tr w:rsidR="003826D3" w:rsidRPr="009C6447"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9C6447" w:rsidRDefault="003826D3" w:rsidP="003826D3">
            <w:pPr>
              <w:spacing w:before="6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Verksamhetsindikator (BI)</w:t>
            </w:r>
          </w:p>
          <w:p w14:paraId="35C99FE1" w14:textId="0AFECB29" w:rsidR="003826D3" w:rsidRPr="009C6447"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9C6447">
              <w:rPr>
                <w:rFonts w:asciiTheme="majorBidi" w:hAnsiTheme="majorBidi"/>
                <w:sz w:val="24"/>
              </w:rPr>
              <w:t>Verksamhetsindikatorn, beräknad i enlighet med artikel 314.1 i förordning (EU) nr 575/2013, som är summan av de tre komponenterna ILDC, SC och FC.</w:t>
            </w:r>
          </w:p>
        </w:tc>
      </w:tr>
      <w:tr w:rsidR="003826D3" w:rsidRPr="009C6447"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9C6447" w:rsidRDefault="003826D3" w:rsidP="003826D3">
            <w:pPr>
              <w:spacing w:before="60" w:after="120"/>
              <w:jc w:val="both"/>
              <w:rPr>
                <w:rStyle w:val="InstructionsTabelleberschrift"/>
                <w:rFonts w:ascii="Times New Roman" w:eastAsia="Times New Roman" w:hAnsi="Times New Roman"/>
                <w:sz w:val="24"/>
                <w:u w:val="none"/>
              </w:rPr>
            </w:pPr>
            <w:r w:rsidRPr="009C6447">
              <w:rPr>
                <w:rStyle w:val="InstructionsTabelleberschrift"/>
                <w:rFonts w:ascii="Times New Roman" w:hAnsi="Times New Roman"/>
                <w:sz w:val="24"/>
                <w:u w:val="none"/>
              </w:rPr>
              <w:t>Verksamhetsindikatorkomponent (BIC)</w:t>
            </w:r>
          </w:p>
          <w:p w14:paraId="4AC6BDA5" w14:textId="5507A684" w:rsidR="003826D3" w:rsidRPr="009C6447" w:rsidRDefault="003826D3" w:rsidP="003826D3">
            <w:pPr>
              <w:spacing w:before="60" w:after="120"/>
              <w:jc w:val="both"/>
              <w:rPr>
                <w:rStyle w:val="InstructionsTabelleberschrift"/>
                <w:rFonts w:ascii="Times New Roman" w:eastAsia="Times New Roman" w:hAnsi="Times New Roman"/>
                <w:b w:val="0"/>
                <w:bCs w:val="0"/>
                <w:sz w:val="24"/>
                <w:u w:val="none"/>
              </w:rPr>
            </w:pPr>
            <w:r w:rsidRPr="009C6447">
              <w:rPr>
                <w:rFonts w:ascii="Times New Roman" w:hAnsi="Times New Roman"/>
                <w:sz w:val="24"/>
              </w:rPr>
              <w:t xml:space="preserve">Verksamhetsindikatorkomponenten beräknad i enlighet med artikel 313 i förordning (EU) nr 575/2013. </w:t>
            </w:r>
          </w:p>
        </w:tc>
      </w:tr>
      <w:tr w:rsidR="003826D3" w:rsidRPr="009C6447"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9C6447" w:rsidRDefault="003826D3" w:rsidP="003826D3">
            <w:pPr>
              <w:spacing w:before="6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Verksamhetsindikator brutto med undantagna avyttrade verksamheter</w:t>
            </w:r>
          </w:p>
          <w:p w14:paraId="4B01F051" w14:textId="678BE249" w:rsidR="003826D3" w:rsidRPr="009C6447"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9C6447">
              <w:rPr>
                <w:rFonts w:asciiTheme="majorBidi" w:hAnsiTheme="majorBidi"/>
                <w:sz w:val="24"/>
              </w:rPr>
              <w:t>Beloppet av verksamhetsindikatorn inbegripet undantagna avyttrade verksamheter i enlighet med artikel 315.2 i förordning (EU) nr 575/2013.</w:t>
            </w:r>
          </w:p>
        </w:tc>
      </w:tr>
      <w:tr w:rsidR="003826D3" w:rsidRPr="009C6447"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lastRenderedPageBreak/>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9C6447" w:rsidRDefault="003826D3" w:rsidP="003826D3">
            <w:pPr>
              <w:spacing w:before="6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Minskning av verksamhetsindikatorn på grund av undantagna avyttrade verksamheter</w:t>
            </w:r>
          </w:p>
          <w:p w14:paraId="100A0132" w14:textId="636B5EF6" w:rsidR="003826D3" w:rsidRPr="009C6447"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9C6447">
              <w:rPr>
                <w:rFonts w:asciiTheme="majorBidi" w:hAnsiTheme="majorBidi"/>
                <w:sz w:val="24"/>
              </w:rPr>
              <w:t xml:space="preserve">Skillnaden mellan verksamhetsindikatorn brutto med avyttrade verksamheter (rad 6a) och den totala verksamhetsindikatorn (rad 4). </w:t>
            </w:r>
          </w:p>
        </w:tc>
      </w:tr>
      <w:tr w:rsidR="003826D3" w:rsidRPr="009C6447"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9C6447" w:rsidRDefault="003826D3" w:rsidP="003826D3">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9C6447" w:rsidRDefault="003826D3" w:rsidP="003826D3">
            <w:pPr>
              <w:spacing w:before="6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Effekten av sammanslagningar/förvärv på verksamhetsindikatorn</w:t>
            </w:r>
          </w:p>
          <w:p w14:paraId="68B0EB8C" w14:textId="39D74825" w:rsidR="003826D3" w:rsidRPr="009C6447"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9C6447">
              <w:rPr>
                <w:rFonts w:asciiTheme="majorBidi" w:hAnsiTheme="majorBidi"/>
                <w:sz w:val="24"/>
              </w:rPr>
              <w:t>Det belopp som ingår i verksamhetsindikatorn som motsvarar de komponenter av verksamhetsindikatorn som beror på sammanslagna eller förvärvade enheter eller verksamheter beräknade i enlighet med artikel 315.1 i förordning (EU) nr 575/2013.</w:t>
            </w:r>
          </w:p>
        </w:tc>
      </w:tr>
    </w:tbl>
    <w:p w14:paraId="2517003F" w14:textId="77777777" w:rsidR="00D740B8" w:rsidRPr="009C6447"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9C6447" w:rsidRDefault="00D740B8" w:rsidP="00D740B8">
      <w:pPr>
        <w:jc w:val="both"/>
        <w:rPr>
          <w:rFonts w:ascii="Times New Roman" w:hAnsi="Times New Roman" w:cs="Times New Roman"/>
          <w:bCs/>
          <w:sz w:val="24"/>
        </w:rPr>
      </w:pPr>
      <w:r w:rsidRPr="009C6447">
        <w:rPr>
          <w:rFonts w:ascii="Times New Roman" w:hAnsi="Times New Roman"/>
          <w:b/>
          <w:sz w:val="24"/>
        </w:rPr>
        <w:t xml:space="preserve">Mall EU OR3 – Kapitalbaskrav för operativ risk och riskexponeringsbelopp. </w:t>
      </w:r>
      <w:r w:rsidRPr="009C6447">
        <w:rPr>
          <w:rFonts w:ascii="Times New Roman" w:hAnsi="Times New Roman"/>
          <w:sz w:val="24"/>
        </w:rPr>
        <w:t>Fast mall</w:t>
      </w:r>
    </w:p>
    <w:p w14:paraId="5AB15A39" w14:textId="77777777" w:rsidR="00D740B8" w:rsidRPr="009C6447" w:rsidRDefault="00D740B8" w:rsidP="00D740B8">
      <w:pPr>
        <w:ind w:left="360"/>
        <w:jc w:val="both"/>
        <w:rPr>
          <w:rFonts w:ascii="Times New Roman" w:hAnsi="Times New Roman" w:cs="Times New Roman"/>
          <w:bCs/>
          <w:sz w:val="24"/>
        </w:rPr>
      </w:pPr>
    </w:p>
    <w:p w14:paraId="60DF34D1" w14:textId="121F9A97" w:rsidR="00D740B8" w:rsidRPr="009C6447" w:rsidRDefault="00D740B8" w:rsidP="00D740B8">
      <w:pPr>
        <w:numPr>
          <w:ilvl w:val="0"/>
          <w:numId w:val="1"/>
        </w:numPr>
        <w:jc w:val="both"/>
        <w:rPr>
          <w:rFonts w:ascii="Times New Roman" w:hAnsi="Times New Roman" w:cs="Times New Roman"/>
          <w:sz w:val="24"/>
        </w:rPr>
      </w:pPr>
      <w:r w:rsidRPr="009C6447">
        <w:rPr>
          <w:rFonts w:ascii="Times New Roman" w:hAnsi="Times New Roman"/>
          <w:sz w:val="24"/>
        </w:rPr>
        <w:t>Instituten ska offentliggöra den information som ingår i mall EU OR3 vid tillämpningen av artikel 446.1 b i förordning (EU) nr 575/2013. Denna mall innehåller information om beräkningen av kapitalbaskraven för operativ risk i enlighet med artiklarna 312–315 i förordning (EU) nr 575/2013.</w:t>
      </w:r>
    </w:p>
    <w:p w14:paraId="6DFA1648" w14:textId="77777777" w:rsidR="00D740B8" w:rsidRPr="009C6447" w:rsidRDefault="00D740B8" w:rsidP="00D740B8">
      <w:pPr>
        <w:ind w:left="360"/>
        <w:jc w:val="both"/>
        <w:rPr>
          <w:rFonts w:ascii="Times New Roman" w:hAnsi="Times New Roman" w:cs="Times New Roman"/>
          <w:bCs/>
          <w:sz w:val="24"/>
        </w:rPr>
      </w:pPr>
    </w:p>
    <w:p w14:paraId="2E35B8A0" w14:textId="77777777" w:rsidR="00D740B8" w:rsidRPr="009C6447"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9C6447"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9C6447" w:rsidRDefault="00D740B8">
            <w:pPr>
              <w:autoSpaceDE w:val="0"/>
              <w:autoSpaceDN w:val="0"/>
              <w:adjustRightInd w:val="0"/>
              <w:rPr>
                <w:rFonts w:ascii="Times New Roman" w:hAnsi="Times New Roman" w:cs="Times New Roman"/>
                <w:b/>
                <w:sz w:val="24"/>
              </w:rPr>
            </w:pPr>
            <w:r w:rsidRPr="009C6447">
              <w:rPr>
                <w:rFonts w:ascii="Times New Roman" w:hAnsi="Times New Roman"/>
                <w:b/>
                <w:sz w:val="24"/>
              </w:rPr>
              <w:t xml:space="preserve">Rad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9C6447" w:rsidRDefault="00D740B8">
            <w:pPr>
              <w:rPr>
                <w:rFonts w:ascii="Times New Roman" w:hAnsi="Times New Roman" w:cs="Times New Roman"/>
                <w:b/>
                <w:sz w:val="24"/>
              </w:rPr>
            </w:pPr>
            <w:r w:rsidRPr="009C6447">
              <w:rPr>
                <w:rFonts w:ascii="Times New Roman" w:hAnsi="Times New Roman"/>
                <w:b/>
                <w:sz w:val="24"/>
              </w:rPr>
              <w:t>Förklaring</w:t>
            </w:r>
          </w:p>
        </w:tc>
      </w:tr>
      <w:tr w:rsidR="00D740B8" w:rsidRPr="009C6447"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9C6447" w:rsidRDefault="00D740B8">
            <w:pPr>
              <w:spacing w:before="60" w:after="120"/>
              <w:jc w:val="both"/>
              <w:rPr>
                <w:rFonts w:ascii="Times New Roman" w:eastAsia="Times New Roman" w:hAnsi="Times New Roman" w:cs="Times New Roman"/>
                <w:b/>
                <w:sz w:val="24"/>
              </w:rPr>
            </w:pPr>
            <w:r w:rsidRPr="009C6447">
              <w:rPr>
                <w:rFonts w:ascii="Times New Roman" w:hAnsi="Times New Roman"/>
                <w:b/>
                <w:sz w:val="24"/>
              </w:rPr>
              <w:t>Verksamhetsindikatorkomponent (BIC)</w:t>
            </w:r>
          </w:p>
          <w:p w14:paraId="1B10BB72" w14:textId="77777777" w:rsidR="00D740B8" w:rsidRPr="009C6447" w:rsidRDefault="00D740B8">
            <w:pPr>
              <w:spacing w:before="60" w:after="120"/>
              <w:jc w:val="both"/>
              <w:rPr>
                <w:rFonts w:ascii="Times New Roman" w:eastAsia="Times New Roman" w:hAnsi="Times New Roman" w:cs="Times New Roman"/>
                <w:sz w:val="24"/>
              </w:rPr>
            </w:pPr>
            <w:r w:rsidRPr="009C6447">
              <w:rPr>
                <w:rFonts w:ascii="Times New Roman" w:hAnsi="Times New Roman"/>
                <w:sz w:val="24"/>
              </w:rPr>
              <w:t>Denna rad ska visa verksamhetsindikatorkomponenten, som ska beräknas i enlighet med artikel 313 i förordning (EU) nr 575/2013.</w:t>
            </w:r>
          </w:p>
        </w:tc>
      </w:tr>
      <w:tr w:rsidR="00CA794A" w:rsidRPr="009C6447"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9C6447" w:rsidRDefault="004A58B5">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9C6447" w:rsidRDefault="004A58B5">
            <w:pPr>
              <w:spacing w:before="60" w:after="120"/>
              <w:jc w:val="both"/>
              <w:rPr>
                <w:rFonts w:ascii="Times New Roman" w:eastAsia="Times New Roman" w:hAnsi="Times New Roman" w:cs="Times New Roman"/>
                <w:b/>
                <w:sz w:val="24"/>
              </w:rPr>
            </w:pPr>
            <w:r w:rsidRPr="009C6447">
              <w:rPr>
                <w:rFonts w:ascii="Times New Roman" w:hAnsi="Times New Roman"/>
                <w:b/>
                <w:sz w:val="24"/>
              </w:rPr>
              <w:t>Kapitalbaskrav (OROF) enligt den alternativa schablonmetoden enligt artikel 314.4</w:t>
            </w:r>
          </w:p>
          <w:p w14:paraId="7762DF0B" w14:textId="6E2ACCB9" w:rsidR="004A58B5" w:rsidRPr="009C6447" w:rsidRDefault="005B4907">
            <w:pPr>
              <w:spacing w:before="60" w:after="120"/>
              <w:jc w:val="both"/>
              <w:rPr>
                <w:rFonts w:ascii="Times New Roman" w:eastAsia="Times New Roman" w:hAnsi="Times New Roman" w:cs="Times New Roman"/>
                <w:b/>
                <w:sz w:val="24"/>
              </w:rPr>
            </w:pPr>
            <w:r w:rsidRPr="009C6447">
              <w:rPr>
                <w:rFonts w:ascii="Times New Roman" w:hAnsi="Times New Roman"/>
                <w:sz w:val="24"/>
              </w:rPr>
              <w:t>Denna rad ska innehålla kapitalbaskraven för de affärsområden som avses i artikel 314.4, i tillämpliga fall, till och med den 31 december 2027 eller till dess att den samordnande tillsynsmyndigheten beviljar tillstånd i enlighet med artikel 314.3, beroende på vilket som inträffar först.</w:t>
            </w:r>
          </w:p>
        </w:tc>
      </w:tr>
      <w:tr w:rsidR="00D740B8" w:rsidRPr="009C6447"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9C6447" w:rsidRDefault="001918A2">
            <w:pPr>
              <w:spacing w:before="60" w:after="120"/>
              <w:jc w:val="both"/>
              <w:rPr>
                <w:rFonts w:ascii="Times New Roman" w:eastAsia="Times New Roman" w:hAnsi="Times New Roman" w:cs="Times New Roman"/>
                <w:sz w:val="24"/>
              </w:rPr>
            </w:pPr>
            <w:r w:rsidRPr="009C6447">
              <w:rPr>
                <w:rFonts w:ascii="Times New Roman" w:hAnsi="Times New Roman"/>
                <w:sz w:val="24"/>
              </w:rPr>
              <w:t>Ej tillämpligt.</w:t>
            </w:r>
          </w:p>
        </w:tc>
      </w:tr>
      <w:tr w:rsidR="00D740B8" w:rsidRPr="009C6447"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9C6447" w:rsidRDefault="00D740B8">
            <w:pPr>
              <w:spacing w:before="6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Minimikrav på kapitalbas för operativa risker (OROF)</w:t>
            </w:r>
          </w:p>
          <w:p w14:paraId="2A7C24D0" w14:textId="54D9C5FF" w:rsidR="00D740B8" w:rsidRPr="009C6447" w:rsidRDefault="00977842">
            <w:pPr>
              <w:spacing w:before="60" w:after="120"/>
              <w:jc w:val="both"/>
              <w:rPr>
                <w:rFonts w:ascii="Times New Roman" w:eastAsia="Times New Roman" w:hAnsi="Times New Roman" w:cs="Times New Roman"/>
                <w:sz w:val="24"/>
              </w:rPr>
            </w:pPr>
            <w:r w:rsidRPr="009C6447">
              <w:rPr>
                <w:rFonts w:ascii="Times New Roman" w:hAnsi="Times New Roman"/>
                <w:sz w:val="24"/>
              </w:rPr>
              <w:t xml:space="preserve">Kapitalbaskraven ska beräknas i enlighet med artikel 312 i förordning (EU) nr 575/2013. Denna rad ska visa de kapitalbaskrav för operativ risk som sammanfaller med summan av verksamhetsindikatorkomponenten och kapitalbaskraven för de affärsområden som avses i artikel 314.4, i tillämpliga fall. </w:t>
            </w:r>
          </w:p>
        </w:tc>
      </w:tr>
      <w:tr w:rsidR="00D740B8" w:rsidRPr="009C6447"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9C6447" w:rsidRDefault="00D740B8">
            <w:pPr>
              <w:autoSpaceDE w:val="0"/>
              <w:autoSpaceDN w:val="0"/>
              <w:adjustRightInd w:val="0"/>
              <w:spacing w:before="60" w:after="120"/>
              <w:jc w:val="center"/>
              <w:rPr>
                <w:rFonts w:ascii="Times New Roman" w:hAnsi="Times New Roman" w:cs="Times New Roman"/>
                <w:b/>
                <w:sz w:val="24"/>
              </w:rPr>
            </w:pPr>
            <w:r w:rsidRPr="009C6447">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9C6447" w:rsidRDefault="00D740B8">
            <w:pPr>
              <w:spacing w:before="60" w:after="120"/>
              <w:jc w:val="both"/>
              <w:rPr>
                <w:rStyle w:val="InstructionsTabelleberschrift"/>
                <w:rFonts w:ascii="Times New Roman" w:eastAsia="Times New Roman" w:hAnsi="Times New Roman"/>
                <w:bCs w:val="0"/>
                <w:sz w:val="24"/>
                <w:u w:val="none"/>
              </w:rPr>
            </w:pPr>
            <w:r w:rsidRPr="009C6447">
              <w:rPr>
                <w:rStyle w:val="InstructionsTabelleberschrift"/>
                <w:rFonts w:ascii="Times New Roman" w:hAnsi="Times New Roman"/>
                <w:sz w:val="24"/>
                <w:u w:val="none"/>
              </w:rPr>
              <w:t>Exponeringsbelopp för operativ risk (REA)</w:t>
            </w:r>
          </w:p>
          <w:p w14:paraId="317F9BDE" w14:textId="6672A695" w:rsidR="00D740B8" w:rsidRPr="009C6447" w:rsidRDefault="00D740B8">
            <w:pPr>
              <w:spacing w:before="60" w:after="120"/>
              <w:jc w:val="both"/>
              <w:rPr>
                <w:rFonts w:ascii="Times New Roman" w:eastAsia="Times New Roman" w:hAnsi="Times New Roman" w:cs="Times New Roman"/>
                <w:sz w:val="24"/>
              </w:rPr>
            </w:pPr>
            <w:r w:rsidRPr="009C6447">
              <w:rPr>
                <w:rFonts w:ascii="Times New Roman" w:hAnsi="Times New Roman"/>
                <w:sz w:val="24"/>
              </w:rPr>
              <w:t xml:space="preserve">På grundval av artikel 92.3 e och 92.4 i förordning (EU) nr 575/2013 ska denna rad redovisa kapitalbaskraven på rad (3) multiplicerade med 12,5. </w:t>
            </w:r>
          </w:p>
        </w:tc>
      </w:tr>
    </w:tbl>
    <w:p w14:paraId="079B8CA0" w14:textId="77777777" w:rsidR="00D740B8" w:rsidRPr="009C6447" w:rsidRDefault="00D740B8" w:rsidP="00D740B8">
      <w:pPr>
        <w:rPr>
          <w:rFonts w:ascii="Times New Roman" w:hAnsi="Times New Roman" w:cs="Times New Roman"/>
          <w:sz w:val="24"/>
        </w:rPr>
      </w:pPr>
    </w:p>
    <w:p w14:paraId="41C8F396" w14:textId="77777777" w:rsidR="002C1404" w:rsidRPr="009C6447" w:rsidRDefault="002C1404"/>
    <w:sectPr w:rsidR="002C1404" w:rsidRPr="009C644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9C6447" w:rsidRDefault="00924970" w:rsidP="00E114F3">
      <w:r w:rsidRPr="009C6447">
        <w:separator/>
      </w:r>
    </w:p>
  </w:endnote>
  <w:endnote w:type="continuationSeparator" w:id="0">
    <w:p w14:paraId="6750FE16" w14:textId="77777777" w:rsidR="00924970" w:rsidRPr="009C6447" w:rsidRDefault="00924970" w:rsidP="00E114F3">
      <w:r w:rsidRPr="009C6447">
        <w:continuationSeparator/>
      </w:r>
    </w:p>
  </w:endnote>
  <w:endnote w:type="continuationNotice" w:id="1">
    <w:p w14:paraId="44EFD629" w14:textId="77777777" w:rsidR="00924970" w:rsidRPr="009C6447"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8E39" w14:textId="77777777" w:rsidR="009C6447" w:rsidRPr="009C6447" w:rsidRDefault="009C6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9C6447" w:rsidRDefault="00E114F3">
        <w:pPr>
          <w:pStyle w:val="Footer"/>
          <w:jc w:val="right"/>
        </w:pPr>
        <w:r w:rsidRPr="009C6447">
          <w:fldChar w:fldCharType="begin"/>
        </w:r>
        <w:r w:rsidRPr="009C6447">
          <w:instrText xml:space="preserve"> PAGE   \* MERGEFORMAT </w:instrText>
        </w:r>
        <w:r w:rsidRPr="009C6447">
          <w:fldChar w:fldCharType="separate"/>
        </w:r>
        <w:r w:rsidR="00370155" w:rsidRPr="009C6447">
          <w:t>1</w:t>
        </w:r>
        <w:r w:rsidRPr="009C6447">
          <w:fldChar w:fldCharType="end"/>
        </w:r>
      </w:p>
    </w:sdtContent>
  </w:sdt>
  <w:p w14:paraId="049F31CB" w14:textId="77777777" w:rsidR="00E114F3" w:rsidRPr="009C6447" w:rsidRDefault="00E1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A8FD" w14:textId="77777777" w:rsidR="009C6447" w:rsidRPr="009C6447" w:rsidRDefault="009C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9C6447" w:rsidRDefault="00924970" w:rsidP="00E114F3">
      <w:r w:rsidRPr="009C6447">
        <w:separator/>
      </w:r>
    </w:p>
  </w:footnote>
  <w:footnote w:type="continuationSeparator" w:id="0">
    <w:p w14:paraId="3D7D4E32" w14:textId="77777777" w:rsidR="00924970" w:rsidRPr="009C6447" w:rsidRDefault="00924970" w:rsidP="00E114F3">
      <w:r w:rsidRPr="009C6447">
        <w:continuationSeparator/>
      </w:r>
    </w:p>
  </w:footnote>
  <w:footnote w:type="continuationNotice" w:id="1">
    <w:p w14:paraId="6FCD0CD0" w14:textId="77777777" w:rsidR="00924970" w:rsidRPr="009C6447" w:rsidRDefault="00924970"/>
  </w:footnote>
  <w:footnote w:id="2">
    <w:p w14:paraId="3798489D" w14:textId="469FF1F7" w:rsidR="00E114F3" w:rsidRPr="009C6447" w:rsidRDefault="00E114F3" w:rsidP="003D3122">
      <w:pPr>
        <w:pStyle w:val="FootnoteText"/>
      </w:pPr>
      <w:r w:rsidRPr="009C6447">
        <w:rPr>
          <w:rStyle w:val="FootnoteReference"/>
          <w:rFonts w:cstheme="minorHAnsi"/>
        </w:rPr>
        <w:footnoteRef/>
      </w:r>
      <w:r w:rsidRPr="009C6447">
        <w:tab/>
        <w:t>Europaparlamentets och rådets förordning (EU) nr 575/2013 av den 26 juni 2013 om tillsynskrav för kreditinstitut och värdepappersföretag och om ändring av förordning (EU) nr 648/2012 och om ändring av förordning (EU) 2024/1623 (</w:t>
      </w:r>
      <w:hyperlink r:id="rId1" w:history="1">
        <w:r w:rsidRPr="009C6447">
          <w:rPr>
            <w:rStyle w:val="Hyperlink"/>
            <w:color w:val="800080"/>
          </w:rPr>
          <w:t xml:space="preserve">EUT L 176, 27.6.2013, s. 1; </w:t>
        </w:r>
      </w:hyperlink>
      <w:hyperlink r:id="rId2" w:history="1">
        <w:r w:rsidRPr="009C6447">
          <w:rPr>
            <w:rStyle w:val="Hyperlink"/>
          </w:rPr>
          <w:t>förordning – EU – 2024/1623 – SV – EUR-Lex (europa.eu)</w:t>
        </w:r>
      </w:hyperlink>
      <w:r w:rsidRPr="009C6447">
        <w:t>).</w:t>
      </w:r>
    </w:p>
    <w:p w14:paraId="45FB0818" w14:textId="77777777" w:rsidR="00E114F3" w:rsidRPr="009C6447"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9C6447" w:rsidRDefault="00864ECA">
    <w:pPr>
      <w:pStyle w:val="Header"/>
    </w:pPr>
    <w:r w:rsidRPr="009C6447">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9C6447" w:rsidRDefault="00864ECA" w:rsidP="00864ECA">
                          <w:pPr>
                            <w:rPr>
                              <w:rFonts w:ascii="Calibri" w:eastAsia="Calibri" w:hAnsi="Calibri" w:cs="Calibri"/>
                              <w:noProof/>
                              <w:color w:val="000000"/>
                              <w:sz w:val="24"/>
                            </w:rPr>
                          </w:pPr>
                          <w:r w:rsidRPr="009C6447">
                            <w:rPr>
                              <w:rFonts w:ascii="Calibri" w:hAnsi="Calibri"/>
                              <w:color w:val="000000"/>
                              <w:sz w:val="24"/>
                            </w:rPr>
                            <w:t>EBA ordinarie användning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9C6447" w:rsidRDefault="00864ECA" w:rsidP="00864ECA">
                    <w:pPr>
                      <w:rPr>
                        <w:rFonts w:ascii="Calibri" w:eastAsia="Calibri" w:hAnsi="Calibri" w:cs="Calibri"/>
                        <w:noProof/>
                        <w:color w:val="000000"/>
                        <w:sz w:val="24"/>
                      </w:rPr>
                    </w:pPr>
                    <w:r w:rsidRPr="009C6447">
                      <w:rPr>
                        <w:rFonts w:ascii="Calibri" w:hAnsi="Calibri"/>
                        <w:color w:val="000000"/>
                        <w:sz w:val="24"/>
                      </w:rPr>
                      <w:t>EBA ordinarie användning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9C6447" w:rsidRDefault="00864ECA">
    <w:pPr>
      <w:pStyle w:val="Header"/>
    </w:pPr>
    <w:r w:rsidRPr="009C6447">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9C6447" w:rsidRDefault="00864ECA" w:rsidP="00864ECA">
                          <w:pPr>
                            <w:rPr>
                              <w:rFonts w:ascii="Calibri" w:eastAsia="Calibri" w:hAnsi="Calibri" w:cs="Calibri"/>
                              <w:noProof/>
                              <w:color w:val="000000"/>
                              <w:sz w:val="24"/>
                            </w:rPr>
                          </w:pPr>
                          <w:r w:rsidRPr="009C6447">
                            <w:rPr>
                              <w:rFonts w:ascii="Calibri" w:hAnsi="Calibri"/>
                              <w:color w:val="000000"/>
                              <w:sz w:val="24"/>
                            </w:rPr>
                            <w:t>EBA ordinarie användning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9C6447" w:rsidRDefault="00864ECA" w:rsidP="00864ECA">
                    <w:pPr>
                      <w:rPr>
                        <w:rFonts w:ascii="Calibri" w:eastAsia="Calibri" w:hAnsi="Calibri" w:cs="Calibri"/>
                        <w:noProof/>
                        <w:color w:val="000000"/>
                        <w:sz w:val="24"/>
                      </w:rPr>
                    </w:pPr>
                    <w:r w:rsidRPr="009C6447">
                      <w:rPr>
                        <w:rFonts w:ascii="Calibri" w:hAnsi="Calibri"/>
                        <w:color w:val="000000"/>
                        <w:sz w:val="24"/>
                      </w:rPr>
                      <w:t>EBA ordinarie användning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9C6447" w:rsidRDefault="00864ECA">
    <w:pPr>
      <w:pStyle w:val="Header"/>
    </w:pPr>
    <w:r w:rsidRPr="009C6447">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9C6447" w:rsidRDefault="00864ECA" w:rsidP="00864ECA">
                          <w:pPr>
                            <w:rPr>
                              <w:rFonts w:ascii="Calibri" w:eastAsia="Calibri" w:hAnsi="Calibri" w:cs="Calibri"/>
                              <w:noProof/>
                              <w:color w:val="000000"/>
                              <w:sz w:val="24"/>
                            </w:rPr>
                          </w:pPr>
                          <w:r w:rsidRPr="009C6447">
                            <w:rPr>
                              <w:rFonts w:ascii="Calibri" w:hAnsi="Calibri"/>
                              <w:color w:val="000000"/>
                              <w:sz w:val="24"/>
                            </w:rPr>
                            <w:t>EBA ordinarie användning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9C6447" w:rsidRDefault="00864ECA" w:rsidP="00864ECA">
                    <w:pPr>
                      <w:rPr>
                        <w:rFonts w:ascii="Calibri" w:eastAsia="Calibri" w:hAnsi="Calibri" w:cs="Calibri"/>
                        <w:noProof/>
                        <w:color w:val="000000"/>
                        <w:sz w:val="24"/>
                      </w:rPr>
                    </w:pPr>
                    <w:r w:rsidRPr="009C6447">
                      <w:rPr>
                        <w:rFonts w:ascii="Calibri" w:hAnsi="Calibri"/>
                        <w:color w:val="000000"/>
                        <w:sz w:val="24"/>
                      </w:rPr>
                      <w:t>EBA ordinarie användning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6447"/>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0B51"/>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sv-S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sv-SE"/>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sv-SE"/>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4.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4841</Words>
  <Characters>29005</Characters>
  <Application>Microsoft Office Word</Application>
  <DocSecurity>0</DocSecurity>
  <Lines>241</Lines>
  <Paragraphs>67</Paragraphs>
  <ScaleCrop>false</ScaleCrop>
  <Manager/>
  <Company/>
  <LinksUpToDate>false</LinksUpToDate>
  <CharactersWithSpaces>33779</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