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086CC8" w:rsidRDefault="00E114F3" w:rsidP="00086CC8">
      <w:pPr>
        <w:pStyle w:val="Annexetitre"/>
        <w:spacing w:before="0"/>
      </w:pPr>
      <w:r w:rsidRPr="00086CC8">
        <w:t>PRILOGA XXXII – Navodila za predloge za razkritje operativnega tveganja</w:t>
      </w:r>
    </w:p>
    <w:p w14:paraId="672A6659" w14:textId="77777777" w:rsidR="00E114F3" w:rsidRPr="00086CC8" w:rsidRDefault="00E114F3" w:rsidP="00E114F3">
      <w:pPr>
        <w:spacing w:after="120"/>
        <w:jc w:val="both"/>
        <w:rPr>
          <w:rFonts w:ascii="Times New Roman" w:hAnsi="Times New Roman"/>
          <w:b/>
          <w:bCs/>
          <w:sz w:val="24"/>
        </w:rPr>
      </w:pPr>
    </w:p>
    <w:p w14:paraId="384DD143" w14:textId="77777777" w:rsidR="00E114F3" w:rsidRPr="00086CC8" w:rsidRDefault="00E114F3" w:rsidP="00E114F3">
      <w:pPr>
        <w:spacing w:after="120"/>
        <w:rPr>
          <w:rFonts w:ascii="Times New Roman" w:hAnsi="Times New Roman"/>
          <w:bCs/>
          <w:sz w:val="24"/>
        </w:rPr>
      </w:pPr>
      <w:r w:rsidRPr="00086CC8">
        <w:rPr>
          <w:rFonts w:ascii="Times New Roman" w:hAnsi="Times New Roman"/>
          <w:b/>
          <w:sz w:val="24"/>
        </w:rPr>
        <w:t xml:space="preserve">Razpredelnica EU ORA – Kvalitativne informacije o operativnem tveganju. </w:t>
      </w:r>
      <w:r w:rsidRPr="00086CC8">
        <w:rPr>
          <w:rFonts w:ascii="Times New Roman" w:hAnsi="Times New Roman"/>
          <w:sz w:val="24"/>
        </w:rPr>
        <w:t>Prilagodljiva razpredelnica.</w:t>
      </w:r>
    </w:p>
    <w:p w14:paraId="2E1E5572" w14:textId="6D56D6EF" w:rsidR="00E114F3" w:rsidRPr="00086CC8" w:rsidRDefault="2A1FD4BE" w:rsidP="44B77564">
      <w:pPr>
        <w:numPr>
          <w:ilvl w:val="0"/>
          <w:numId w:val="1"/>
        </w:numPr>
        <w:spacing w:after="120"/>
        <w:jc w:val="both"/>
        <w:rPr>
          <w:rFonts w:ascii="Calibri" w:eastAsia="Times New Roman" w:hAnsi="Calibri" w:cs="Times New Roman"/>
          <w:color w:val="000000"/>
        </w:rPr>
      </w:pPr>
      <w:r w:rsidRPr="00086CC8">
        <w:rPr>
          <w:rFonts w:ascii="Times New Roman" w:hAnsi="Times New Roman"/>
          <w:sz w:val="24"/>
        </w:rPr>
        <w:t>Institucije razkrijejo informacije iz te razpredelnice v skladu s členom 435(1) in členom 446(1), točka (a), Uredbe (EU) št. 575/2013</w:t>
      </w:r>
      <w:r w:rsidR="00E114F3" w:rsidRPr="00086CC8">
        <w:rPr>
          <w:rStyle w:val="FootnoteReference"/>
          <w:rFonts w:ascii="Times New Roman" w:hAnsi="Times New Roman"/>
          <w:sz w:val="24"/>
          <w:szCs w:val="24"/>
        </w:rPr>
        <w:footnoteReference w:id="2"/>
      </w:r>
      <w:r w:rsidRPr="00086CC8">
        <w:rPr>
          <w:rFonts w:ascii="Times New Roman" w:hAnsi="Times New Roman"/>
          <w:sz w:val="24"/>
        </w:rPr>
        <w:t>.</w:t>
      </w:r>
    </w:p>
    <w:p w14:paraId="728254AD" w14:textId="52B3E768" w:rsidR="00E114F3" w:rsidRPr="00086CC8" w:rsidRDefault="00E114F3" w:rsidP="00E114F3">
      <w:pPr>
        <w:numPr>
          <w:ilvl w:val="0"/>
          <w:numId w:val="1"/>
        </w:numPr>
        <w:spacing w:after="120"/>
        <w:jc w:val="both"/>
        <w:rPr>
          <w:rFonts w:ascii="Times New Roman" w:hAnsi="Times New Roman"/>
          <w:bCs/>
          <w:sz w:val="24"/>
        </w:rPr>
      </w:pPr>
      <w:r w:rsidRPr="00086CC8">
        <w:rPr>
          <w:rFonts w:ascii="Times New Roman" w:hAnsi="Times New Roman"/>
          <w:sz w:val="24"/>
        </w:rPr>
        <w:t>Institucije upoštevajo navodila iz te priloge za izpolnjevanje razpredelnice z razkritji o operativnem tveganju EU ORA iz Priloge XXXI k rešitvam organa EBA na področju informacijske tehnologije.</w:t>
      </w:r>
    </w:p>
    <w:tbl>
      <w:tblPr>
        <w:tblW w:w="8926" w:type="dxa"/>
        <w:tblLook w:val="04A0" w:firstRow="1" w:lastRow="0" w:firstColumn="1" w:lastColumn="0" w:noHBand="0" w:noVBand="1"/>
      </w:tblPr>
      <w:tblGrid>
        <w:gridCol w:w="1555"/>
        <w:gridCol w:w="7371"/>
      </w:tblGrid>
      <w:tr w:rsidR="00E114F3" w:rsidRPr="00086CC8"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086CC8" w:rsidRDefault="00E114F3">
            <w:pPr>
              <w:spacing w:after="120"/>
              <w:rPr>
                <w:rFonts w:ascii="Times New Roman" w:eastAsia="Times New Roman" w:hAnsi="Times New Roman" w:cs="Times New Roman"/>
                <w:b/>
                <w:bCs/>
                <w:color w:val="000000"/>
                <w:sz w:val="24"/>
              </w:rPr>
            </w:pPr>
            <w:r w:rsidRPr="00086CC8">
              <w:rPr>
                <w:rFonts w:ascii="Times New Roman" w:hAnsi="Times New Roman"/>
                <w:b/>
                <w:color w:val="000000"/>
                <w:sz w:val="24"/>
              </w:rPr>
              <w:t>Pravna podlaga in navodila</w:t>
            </w:r>
          </w:p>
        </w:tc>
      </w:tr>
      <w:tr w:rsidR="00E114F3" w:rsidRPr="00086CC8"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086CC8" w:rsidRDefault="00E114F3">
            <w:pPr>
              <w:spacing w:after="120"/>
              <w:rPr>
                <w:rFonts w:ascii="Times New Roman" w:eastAsia="Times New Roman" w:hAnsi="Times New Roman" w:cs="Times New Roman"/>
                <w:b/>
                <w:bCs/>
                <w:color w:val="000000"/>
                <w:sz w:val="24"/>
              </w:rPr>
            </w:pPr>
            <w:r w:rsidRPr="00086CC8">
              <w:rPr>
                <w:rFonts w:ascii="Times New Roman" w:hAnsi="Times New Roman"/>
                <w:b/>
                <w:color w:val="000000"/>
                <w:sz w:val="24"/>
              </w:rPr>
              <w:t>Številka vrstice</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086CC8" w:rsidRDefault="00E114F3">
            <w:pPr>
              <w:spacing w:after="120"/>
              <w:rPr>
                <w:rFonts w:ascii="Times New Roman" w:eastAsia="Times New Roman" w:hAnsi="Times New Roman" w:cs="Times New Roman"/>
                <w:b/>
                <w:bCs/>
                <w:color w:val="000000"/>
                <w:sz w:val="24"/>
              </w:rPr>
            </w:pPr>
            <w:r w:rsidRPr="00086CC8">
              <w:rPr>
                <w:rFonts w:ascii="Times New Roman" w:hAnsi="Times New Roman"/>
                <w:b/>
                <w:color w:val="000000"/>
                <w:sz w:val="24"/>
              </w:rPr>
              <w:t>Pojasnilo</w:t>
            </w:r>
          </w:p>
        </w:tc>
      </w:tr>
      <w:tr w:rsidR="00E114F3" w:rsidRPr="00086CC8"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086CC8" w:rsidRDefault="00E114F3">
            <w:pPr>
              <w:spacing w:after="120"/>
              <w:jc w:val="center"/>
              <w:rPr>
                <w:rFonts w:ascii="Times New Roman" w:eastAsia="Times New Roman" w:hAnsi="Times New Roman" w:cs="Times New Roman"/>
                <w:color w:val="000000"/>
                <w:sz w:val="24"/>
              </w:rPr>
            </w:pPr>
            <w:r w:rsidRPr="00086CC8">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086CC8" w:rsidRDefault="00E114F3">
            <w:pPr>
              <w:spacing w:after="120"/>
              <w:jc w:val="both"/>
              <w:rPr>
                <w:rFonts w:ascii="Times New Roman" w:eastAsia="Times New Roman" w:hAnsi="Times New Roman" w:cs="Times New Roman"/>
                <w:b/>
                <w:color w:val="000000"/>
                <w:sz w:val="24"/>
              </w:rPr>
            </w:pPr>
            <w:r w:rsidRPr="00086CC8">
              <w:rPr>
                <w:rFonts w:ascii="Times New Roman" w:hAnsi="Times New Roman"/>
                <w:b/>
                <w:color w:val="000000"/>
                <w:sz w:val="24"/>
              </w:rPr>
              <w:t>Razkritje ciljev in politik upravljanja tveganj</w:t>
            </w:r>
          </w:p>
          <w:p w14:paraId="65684A44" w14:textId="36ED8962" w:rsidR="00E114F3" w:rsidRPr="00086CC8" w:rsidRDefault="2A1FD4BE">
            <w:pPr>
              <w:spacing w:after="120"/>
              <w:rPr>
                <w:rFonts w:ascii="Times New Roman" w:eastAsia="Times New Roman" w:hAnsi="Times New Roman" w:cs="Times New Roman"/>
                <w:color w:val="000000"/>
                <w:sz w:val="24"/>
              </w:rPr>
            </w:pPr>
            <w:r w:rsidRPr="00086CC8">
              <w:rPr>
                <w:rFonts w:ascii="Times New Roman" w:hAnsi="Times New Roman"/>
                <w:color w:val="000000" w:themeColor="text1"/>
                <w:sz w:val="24"/>
              </w:rPr>
              <w:t>Institucije v skladu s členom 435(1), točka (a), Uredbe (EU) št. 575/2013 razkrijejo cilje, politike, okvire in smernice za upravljanje operativnega tveganja, kar vključuje strategije in procese upravljanja tega tveganja.</w:t>
            </w:r>
          </w:p>
        </w:tc>
      </w:tr>
      <w:tr w:rsidR="00E114F3" w:rsidRPr="00086CC8"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086CC8" w:rsidRDefault="00E114F3">
            <w:pPr>
              <w:spacing w:after="120"/>
              <w:jc w:val="center"/>
              <w:rPr>
                <w:rFonts w:ascii="Times New Roman" w:eastAsia="Times New Roman" w:hAnsi="Times New Roman" w:cs="Times New Roman"/>
                <w:color w:val="000000"/>
                <w:sz w:val="24"/>
              </w:rPr>
            </w:pPr>
            <w:r w:rsidRPr="00086CC8">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086CC8" w:rsidRDefault="00885AC5" w:rsidP="00885AC5">
            <w:pPr>
              <w:spacing w:before="120" w:after="120"/>
              <w:jc w:val="both"/>
              <w:rPr>
                <w:rFonts w:ascii="Times New Roman" w:eastAsia="Times New Roman" w:hAnsi="Times New Roman" w:cs="Times New Roman"/>
                <w:b/>
                <w:color w:val="000000"/>
                <w:sz w:val="24"/>
              </w:rPr>
            </w:pPr>
            <w:r w:rsidRPr="00086CC8">
              <w:rPr>
                <w:rFonts w:ascii="Times New Roman" w:hAnsi="Times New Roman"/>
                <w:b/>
                <w:color w:val="000000"/>
                <w:sz w:val="24"/>
              </w:rPr>
              <w:t>Razkritje strukture in organizacije funkcije upravljanja operativnega tveganja</w:t>
            </w:r>
          </w:p>
          <w:p w14:paraId="739779F0" w14:textId="092C61F0" w:rsidR="00E114F3" w:rsidRPr="00086CC8" w:rsidRDefault="00885AC5">
            <w:pPr>
              <w:spacing w:after="120"/>
              <w:jc w:val="both"/>
              <w:rPr>
                <w:rFonts w:ascii="Times New Roman" w:eastAsia="Times New Roman" w:hAnsi="Times New Roman" w:cs="Times New Roman"/>
                <w:color w:val="000000"/>
                <w:sz w:val="24"/>
              </w:rPr>
            </w:pPr>
            <w:r w:rsidRPr="00086CC8">
              <w:rPr>
                <w:rFonts w:ascii="Times New Roman" w:hAnsi="Times New Roman"/>
                <w:color w:val="000000" w:themeColor="text1"/>
                <w:sz w:val="24"/>
              </w:rPr>
              <w:t>Institucije v skladu s členom 435(1), točka (b), Uredbe (EU) št. 575/2013 razkrijejo strukturo in organizacijo funkcije upravljanja operativnega tveganja, vključno z informacijami o podlagi za njena pooblastila, pristojnosti in odgovornost v skladu z ustanovnimi akti in listinami o upravljanju institucije ter funkciji nadzora.</w:t>
            </w:r>
          </w:p>
        </w:tc>
      </w:tr>
      <w:tr w:rsidR="00E114F3" w:rsidRPr="00086CC8"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086CC8" w:rsidRDefault="00E114F3">
            <w:pPr>
              <w:spacing w:after="120"/>
              <w:jc w:val="center"/>
              <w:rPr>
                <w:rFonts w:ascii="Times New Roman" w:eastAsia="Times New Roman" w:hAnsi="Times New Roman" w:cs="Times New Roman"/>
                <w:color w:val="000000"/>
                <w:sz w:val="24"/>
              </w:rPr>
            </w:pPr>
            <w:r w:rsidRPr="00086CC8">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086CC8" w:rsidRDefault="005129A3" w:rsidP="005129A3">
            <w:pPr>
              <w:spacing w:before="120" w:after="120"/>
              <w:jc w:val="both"/>
              <w:rPr>
                <w:rFonts w:ascii="Times New Roman" w:eastAsia="Times New Roman" w:hAnsi="Times New Roman" w:cs="Times New Roman"/>
                <w:b/>
                <w:color w:val="000000"/>
                <w:sz w:val="24"/>
              </w:rPr>
            </w:pPr>
            <w:r w:rsidRPr="00086CC8">
              <w:rPr>
                <w:rFonts w:ascii="Times New Roman" w:hAnsi="Times New Roman"/>
                <w:b/>
                <w:color w:val="000000"/>
                <w:sz w:val="24"/>
              </w:rPr>
              <w:t>Opis obsega in narave sistema merjenja</w:t>
            </w:r>
          </w:p>
          <w:p w14:paraId="2426746E" w14:textId="624D178E" w:rsidR="00E114F3" w:rsidRPr="00086CC8" w:rsidRDefault="005129A3">
            <w:pPr>
              <w:spacing w:after="120"/>
              <w:jc w:val="both"/>
              <w:rPr>
                <w:rFonts w:ascii="Times New Roman" w:eastAsia="Times New Roman" w:hAnsi="Times New Roman" w:cs="Times New Roman"/>
                <w:color w:val="000000"/>
                <w:sz w:val="24"/>
              </w:rPr>
            </w:pPr>
            <w:r w:rsidRPr="00086CC8">
              <w:rPr>
                <w:rFonts w:ascii="Times New Roman" w:hAnsi="Times New Roman"/>
                <w:color w:val="000000" w:themeColor="text1"/>
                <w:sz w:val="24"/>
              </w:rPr>
              <w:t>Institucije v skladu s členom 435(1), točka (c), Uredbe (EU) št. 575/2013 razkrijejo obseg in naravo sistema merjenja operativnega tveganja (tj. sistemov in podatkov, ki se uporabljajo za merjenje operativnega tveganja za oceno kapitalske zahteve za operativno tveganje).</w:t>
            </w:r>
          </w:p>
        </w:tc>
      </w:tr>
      <w:tr w:rsidR="00E114F3" w:rsidRPr="00086CC8"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086CC8" w:rsidRDefault="00E114F3">
            <w:pPr>
              <w:spacing w:after="120"/>
              <w:jc w:val="center"/>
              <w:rPr>
                <w:rFonts w:ascii="Times New Roman" w:eastAsia="Times New Roman" w:hAnsi="Times New Roman" w:cs="Times New Roman"/>
                <w:color w:val="000000"/>
                <w:sz w:val="24"/>
              </w:rPr>
            </w:pPr>
            <w:r w:rsidRPr="00086CC8">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086CC8" w:rsidRDefault="005D02AE" w:rsidP="005D02AE">
            <w:pPr>
              <w:spacing w:before="120" w:after="120"/>
              <w:jc w:val="both"/>
              <w:rPr>
                <w:rFonts w:ascii="Times New Roman" w:eastAsia="Times New Roman" w:hAnsi="Times New Roman" w:cs="Times New Roman"/>
                <w:b/>
                <w:color w:val="000000"/>
                <w:sz w:val="24"/>
              </w:rPr>
            </w:pPr>
            <w:r w:rsidRPr="00086CC8">
              <w:rPr>
                <w:rFonts w:ascii="Times New Roman" w:hAnsi="Times New Roman"/>
                <w:b/>
                <w:color w:val="000000" w:themeColor="text1"/>
                <w:sz w:val="24"/>
              </w:rPr>
              <w:t>Opis obsega in narave okvira poročanja o operativnem tveganju</w:t>
            </w:r>
          </w:p>
          <w:p w14:paraId="1EE9A69D" w14:textId="428D8604" w:rsidR="00E114F3" w:rsidRPr="00086CC8" w:rsidRDefault="005D02AE">
            <w:pPr>
              <w:spacing w:after="120"/>
              <w:jc w:val="both"/>
              <w:rPr>
                <w:rFonts w:ascii="Times New Roman" w:eastAsia="Times New Roman" w:hAnsi="Times New Roman" w:cs="Times New Roman"/>
                <w:color w:val="000000"/>
                <w:sz w:val="24"/>
              </w:rPr>
            </w:pPr>
            <w:r w:rsidRPr="00086CC8">
              <w:rPr>
                <w:rFonts w:ascii="Times New Roman" w:hAnsi="Times New Roman"/>
                <w:color w:val="000000" w:themeColor="text1"/>
                <w:sz w:val="24"/>
              </w:rPr>
              <w:t>Institucije v skladu s členom 435(1), točka (d), Uredbe (EU) št. 575/2013 razkrijejo obseg in naravo okvira poročanja o operativnem tveganju izvršnemu vodstvu in upravnemu odboru.</w:t>
            </w:r>
          </w:p>
        </w:tc>
      </w:tr>
      <w:tr w:rsidR="00E5460F" w:rsidRPr="00086CC8"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086CC8" w:rsidRDefault="00E5460F">
            <w:pPr>
              <w:spacing w:after="120"/>
              <w:jc w:val="center"/>
              <w:rPr>
                <w:rFonts w:ascii="Times New Roman" w:eastAsia="Times New Roman" w:hAnsi="Times New Roman" w:cs="Times New Roman"/>
                <w:color w:val="000000"/>
                <w:sz w:val="24"/>
              </w:rPr>
            </w:pPr>
            <w:r w:rsidRPr="00086CC8">
              <w:rPr>
                <w:rFonts w:ascii="Times New Roman" w:hAnsi="Times New Roman"/>
                <w:color w:val="000000"/>
                <w:sz w:val="24"/>
              </w:rPr>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086CC8" w:rsidRDefault="00E25C0C" w:rsidP="00E25C0C">
            <w:pPr>
              <w:spacing w:before="120" w:after="120"/>
              <w:jc w:val="both"/>
              <w:rPr>
                <w:rFonts w:ascii="Times New Roman" w:eastAsia="Times New Roman" w:hAnsi="Times New Roman" w:cs="Times New Roman"/>
                <w:color w:val="000000"/>
                <w:sz w:val="24"/>
              </w:rPr>
            </w:pPr>
            <w:r w:rsidRPr="00086CC8">
              <w:rPr>
                <w:rFonts w:ascii="Times New Roman" w:hAnsi="Times New Roman"/>
                <w:b/>
                <w:color w:val="000000" w:themeColor="text1"/>
                <w:sz w:val="24"/>
              </w:rPr>
              <w:t>Opis politik in strategij zmanjševanja tveganja in varovanja pred tveganjem</w:t>
            </w:r>
          </w:p>
          <w:p w14:paraId="443DC7A5" w14:textId="7D68A10D" w:rsidR="00E5460F" w:rsidRPr="00086CC8" w:rsidDel="009A4E43" w:rsidRDefault="00E25C0C" w:rsidP="00E25C0C">
            <w:pPr>
              <w:spacing w:after="120"/>
              <w:jc w:val="both"/>
              <w:rPr>
                <w:rFonts w:ascii="Times New Roman" w:eastAsia="Times New Roman" w:hAnsi="Times New Roman" w:cs="Times New Roman"/>
                <w:b/>
                <w:color w:val="000000"/>
                <w:sz w:val="24"/>
              </w:rPr>
            </w:pPr>
            <w:r w:rsidRPr="00086CC8">
              <w:rPr>
                <w:rFonts w:ascii="Times New Roman" w:hAnsi="Times New Roman"/>
                <w:color w:val="000000" w:themeColor="text1"/>
                <w:sz w:val="24"/>
              </w:rPr>
              <w:t xml:space="preserve">Institucije v skladu s členom 435(1), točka (e), Uredbe (EU) št. 575/2013 razkrijejo svoje politike in strategije zmanjševanja tveganja in varovanja </w:t>
            </w:r>
            <w:r w:rsidRPr="00086CC8">
              <w:rPr>
                <w:rFonts w:ascii="Times New Roman" w:hAnsi="Times New Roman"/>
                <w:color w:val="000000" w:themeColor="text1"/>
                <w:sz w:val="24"/>
              </w:rPr>
              <w:lastRenderedPageBreak/>
              <w:t>pred tveganjem, ki se uporabljajo pri upravljanju operativnega tveganja, tudi kadar se zmanjšanje operativnega tveganja doseže s politiko (v tem primeru razkrijejo politike o kulturi tveganja, nagnjenosti k prevzemanju tveganja in zunanjem izvajanju), odsvojitvijo podjetij z visokim tveganjem ali vzpostavitvijo nadzora. Institucije morajo razkriti tudi preostale izpostavljenosti, ki jih prevzamejo same, ali, kadar je to primerno, preostale izpostavljenosti, ki se prenesejo na različne načine, vključno z zavarovanjem.</w:t>
            </w:r>
          </w:p>
        </w:tc>
      </w:tr>
    </w:tbl>
    <w:p w14:paraId="0A37501D" w14:textId="77777777" w:rsidR="00E114F3" w:rsidRPr="00086CC8" w:rsidRDefault="00E114F3" w:rsidP="00E114F3">
      <w:pPr>
        <w:spacing w:after="120"/>
        <w:jc w:val="both"/>
        <w:rPr>
          <w:rFonts w:ascii="Times New Roman" w:hAnsi="Times New Roman" w:cs="Times New Roman"/>
          <w:b/>
          <w:bCs/>
          <w:sz w:val="24"/>
        </w:rPr>
      </w:pPr>
    </w:p>
    <w:p w14:paraId="73228265" w14:textId="2825D40F" w:rsidR="00E114F3" w:rsidRPr="00086CC8" w:rsidRDefault="00E114F3" w:rsidP="00E114F3">
      <w:pPr>
        <w:spacing w:after="120"/>
        <w:jc w:val="both"/>
        <w:rPr>
          <w:rFonts w:ascii="Times New Roman" w:hAnsi="Times New Roman" w:cs="Times New Roman"/>
          <w:bCs/>
          <w:sz w:val="24"/>
        </w:rPr>
      </w:pPr>
      <w:r w:rsidRPr="00086CC8">
        <w:rPr>
          <w:rFonts w:ascii="Times New Roman" w:hAnsi="Times New Roman"/>
          <w:b/>
          <w:sz w:val="24"/>
        </w:rPr>
        <w:t xml:space="preserve">Predloga EU OR1 – Izgube iz operativnega tveganja. </w:t>
      </w:r>
      <w:r w:rsidRPr="00086CC8">
        <w:rPr>
          <w:rFonts w:ascii="Times New Roman" w:hAnsi="Times New Roman"/>
          <w:sz w:val="24"/>
        </w:rPr>
        <w:t>Fiksna predloga.</w:t>
      </w:r>
    </w:p>
    <w:p w14:paraId="70B287DB" w14:textId="7164F419" w:rsidR="00D740B8"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Institucije razkrijejo informacije, vključene v predlogo EU OR1, v skladu s členom 446(2), točki (a) in (b), Uredbe (EU) št. 575/2013. Ta predloga vsebuje informacije o letnih izgubah iz operativnega tveganja, nastalih v zadnjih desetih letih, na podlagi obračunskega datuma nastalih izgub. Letne izgube iz operativnega tveganja se izračunajo v skladu s členom 316(1) Uredbe (EU) št. 575/2013 ter v skladu s členom 317(2) Uredbe (EU) št. 575/2013 vključujejo vse izgube, ki izhajajo iz vseh subjektov, vključenih v obseg konsolidacije, vključno z izgubami, ki izhajajo iz združenih ali prevzetih podjetij (v skladu s členom 321(1) Uredbe (EU) št. 575/2013). Te informacije se zagotovijo v obsegu, v katerem so na voljo, ter po najboljših prizadevanjih, dokler se ne začnejo uporabljati členi 316(3), 317(9), 320(3) in 321(2) Uredbe (EU) št. 575/2013.</w:t>
      </w:r>
    </w:p>
    <w:p w14:paraId="0C12CA7B" w14:textId="77777777" w:rsidR="00D740B8" w:rsidRPr="00086CC8" w:rsidRDefault="00D740B8" w:rsidP="00D740B8">
      <w:pPr>
        <w:ind w:left="360"/>
        <w:jc w:val="both"/>
        <w:rPr>
          <w:rFonts w:ascii="Times New Roman" w:hAnsi="Times New Roman" w:cs="Times New Roman"/>
          <w:bCs/>
          <w:sz w:val="24"/>
        </w:rPr>
      </w:pPr>
    </w:p>
    <w:p w14:paraId="47EE9624" w14:textId="4A5B22B7" w:rsidR="00D740B8" w:rsidRPr="00086CC8" w:rsidRDefault="00D740B8" w:rsidP="00D740B8">
      <w:pPr>
        <w:numPr>
          <w:ilvl w:val="0"/>
          <w:numId w:val="1"/>
        </w:numPr>
        <w:jc w:val="both"/>
        <w:rPr>
          <w:rFonts w:ascii="Times New Roman" w:hAnsi="Times New Roman" w:cs="Times New Roman"/>
          <w:sz w:val="24"/>
        </w:rPr>
      </w:pPr>
      <w:r w:rsidRPr="00086CC8">
        <w:rPr>
          <w:rFonts w:ascii="Times New Roman" w:hAnsi="Times New Roman"/>
          <w:sz w:val="24"/>
        </w:rPr>
        <w:t>Institucije za vsako od zadnjih desetih let razkrijejo podatke o številu izgub iz operativnega tveganja in številu izključenih izgub iz operativnega tveganja, skupnem znesku izgub iz operativnega tveganja brez povračil ter skupnem znesku izgub iz operativnega tveganja brez povračil in brez izključenih izgub. Skupni letni znesek izgub iz operativnega tveganja bo izračunan kot vsota vseh neto izgub v danem poslovnem letu, izračunanih v skladu s členom 318(1) Uredbe (EU) št. 575/2013, ki so enake ali presegajo prag za podatke o izgubah iz člena 319(1) oziroma (2) navedene uredbe (tj. 20 000 EUR oziroma 100 000 EUR). Vendar se izgube, ki jih povzroči en dogodek operativnega tveganja ali več dogodkov, povezanih z istim dogodkom operativnega tveganja („izvorni dogodek“), in ki so pripoznane v različnih računovodskih letih, seštejejo za zadnjih deset let, da se ugotovi, ali je prag za razkritje presežen ali ne. Izgube in prilagoditve je treba razkriti v skladu z določbami člena 317(3), točka (c), in člena 318 Uredbe (EU) št. 575/2013. Ti zneski se razkrijejo v letu, v katerem so bili evidentirani v računovodskih izkazih.</w:t>
      </w:r>
    </w:p>
    <w:p w14:paraId="2702CB88" w14:textId="77777777" w:rsidR="00D740B8" w:rsidRPr="00086CC8" w:rsidRDefault="00D740B8" w:rsidP="00D740B8">
      <w:pPr>
        <w:pStyle w:val="ListParagraph"/>
        <w:rPr>
          <w:rFonts w:ascii="Times New Roman" w:hAnsi="Times New Roman"/>
          <w:bCs/>
          <w:sz w:val="24"/>
        </w:rPr>
      </w:pPr>
    </w:p>
    <w:p w14:paraId="3146DBD3" w14:textId="48F555B9" w:rsidR="00D740B8"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 xml:space="preserve"> Institucije v priloženem besedilu razkrijejo skupne utemeljitve izjemnih dogodkov operativnega tveganja, ki so bili izključeni iz izračuna letnih izgub iz operativnega tveganja, v skladu s členom 446(2)(b) Uredbe (EU) št. 575/2013.</w:t>
      </w:r>
    </w:p>
    <w:p w14:paraId="066C0912" w14:textId="77777777" w:rsidR="00D740B8" w:rsidRPr="00086CC8" w:rsidRDefault="00D740B8" w:rsidP="00D740B8">
      <w:pPr>
        <w:pStyle w:val="ListParagraph"/>
        <w:rPr>
          <w:rFonts w:ascii="Times New Roman" w:hAnsi="Times New Roman"/>
          <w:bCs/>
          <w:sz w:val="24"/>
        </w:rPr>
      </w:pPr>
    </w:p>
    <w:p w14:paraId="79A49BBA" w14:textId="5D2F1C9E" w:rsidR="00D740B8"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 xml:space="preserve"> Institucije na skupni osnovi razkrijejo tudi vse pomembne informacije, ki bi uporabnikom lahko pomagale pri razumevanju preteklih izgub, povračil in zakonskih rezerv institucije, razen zaupnih informacij in informacij, ki so poslovna skrivnost.</w:t>
      </w:r>
    </w:p>
    <w:p w14:paraId="3AF72482" w14:textId="77777777" w:rsidR="00D740B8" w:rsidRPr="00086CC8" w:rsidRDefault="00D740B8" w:rsidP="00D740B8">
      <w:pPr>
        <w:pStyle w:val="ListParagraph"/>
        <w:rPr>
          <w:rFonts w:ascii="Times New Roman" w:hAnsi="Times New Roman"/>
          <w:bCs/>
          <w:sz w:val="24"/>
        </w:rPr>
      </w:pPr>
    </w:p>
    <w:p w14:paraId="36406578" w14:textId="77777777" w:rsidR="00D740B8" w:rsidRPr="00086CC8"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086CC8" w14:paraId="7E388732" w14:textId="77777777">
        <w:tc>
          <w:tcPr>
            <w:tcW w:w="1271" w:type="dxa"/>
            <w:shd w:val="clear" w:color="auto" w:fill="BFBFBF" w:themeFill="background1" w:themeFillShade="BF"/>
          </w:tcPr>
          <w:p w14:paraId="5F81890E" w14:textId="77777777" w:rsidR="00D740B8" w:rsidRPr="00086CC8" w:rsidRDefault="00D740B8" w:rsidP="00086CC8">
            <w:pPr>
              <w:pageBreakBefore/>
              <w:autoSpaceDE w:val="0"/>
              <w:autoSpaceDN w:val="0"/>
              <w:adjustRightInd w:val="0"/>
              <w:rPr>
                <w:rFonts w:ascii="Times New Roman" w:hAnsi="Times New Roman"/>
                <w:bCs/>
                <w:sz w:val="24"/>
              </w:rPr>
            </w:pPr>
            <w:r w:rsidRPr="00086CC8">
              <w:rPr>
                <w:rFonts w:ascii="Times New Roman" w:hAnsi="Times New Roman"/>
                <w:b/>
                <w:sz w:val="24"/>
              </w:rPr>
              <w:t>Stolpec</w:t>
            </w:r>
          </w:p>
        </w:tc>
        <w:tc>
          <w:tcPr>
            <w:tcW w:w="7745" w:type="dxa"/>
            <w:shd w:val="clear" w:color="auto" w:fill="BFBFBF" w:themeFill="background1" w:themeFillShade="BF"/>
          </w:tcPr>
          <w:p w14:paraId="0773BD79" w14:textId="77777777" w:rsidR="00D740B8" w:rsidRPr="00086CC8" w:rsidRDefault="00D740B8">
            <w:pPr>
              <w:spacing w:before="60" w:after="120"/>
              <w:jc w:val="both"/>
              <w:rPr>
                <w:rFonts w:ascii="Times New Roman" w:eastAsia="Times New Roman" w:hAnsi="Times New Roman" w:cs="Times New Roman"/>
                <w:b/>
                <w:sz w:val="24"/>
              </w:rPr>
            </w:pPr>
            <w:r w:rsidRPr="00086CC8">
              <w:rPr>
                <w:rFonts w:ascii="Times New Roman" w:hAnsi="Times New Roman"/>
                <w:b/>
                <w:sz w:val="24"/>
              </w:rPr>
              <w:t>Pravna podlaga in navodila</w:t>
            </w:r>
          </w:p>
        </w:tc>
      </w:tr>
      <w:tr w:rsidR="00D740B8" w:rsidRPr="00086CC8" w14:paraId="4A7B0862" w14:textId="77777777">
        <w:tc>
          <w:tcPr>
            <w:tcW w:w="1271" w:type="dxa"/>
          </w:tcPr>
          <w:p w14:paraId="59A78ADD" w14:textId="77777777" w:rsidR="00D740B8" w:rsidRPr="00086CC8" w:rsidRDefault="00D740B8">
            <w:pPr>
              <w:autoSpaceDE w:val="0"/>
              <w:autoSpaceDN w:val="0"/>
              <w:adjustRightInd w:val="0"/>
              <w:jc w:val="center"/>
              <w:rPr>
                <w:rFonts w:ascii="Times New Roman" w:hAnsi="Times New Roman"/>
                <w:bCs/>
                <w:sz w:val="24"/>
              </w:rPr>
            </w:pPr>
            <w:r w:rsidRPr="00086CC8">
              <w:rPr>
                <w:rFonts w:ascii="Times New Roman" w:hAnsi="Times New Roman"/>
                <w:sz w:val="24"/>
              </w:rPr>
              <w:t>od a do j</w:t>
            </w:r>
          </w:p>
        </w:tc>
        <w:tc>
          <w:tcPr>
            <w:tcW w:w="7745" w:type="dxa"/>
          </w:tcPr>
          <w:p w14:paraId="0B872A50" w14:textId="77777777" w:rsidR="00D740B8" w:rsidRPr="00086CC8" w:rsidRDefault="00D740B8">
            <w:pPr>
              <w:spacing w:before="120" w:after="120"/>
              <w:jc w:val="both"/>
              <w:rPr>
                <w:rFonts w:ascii="Times New Roman" w:eastAsia="Times New Roman" w:hAnsi="Times New Roman" w:cs="Times New Roman"/>
                <w:sz w:val="24"/>
              </w:rPr>
            </w:pPr>
            <w:r w:rsidRPr="00086CC8">
              <w:rPr>
                <w:rFonts w:ascii="Times New Roman" w:hAnsi="Times New Roman"/>
                <w:b/>
                <w:sz w:val="24"/>
              </w:rPr>
              <w:t>Leto (T, T-1, T-2, T-3, T-4, T-5, T-6, T-7, T-8, T-9)</w:t>
            </w:r>
          </w:p>
          <w:p w14:paraId="5B6EF35C" w14:textId="3033D1CC" w:rsidR="00D740B8" w:rsidRPr="00086CC8" w:rsidRDefault="00D740B8">
            <w:pPr>
              <w:spacing w:before="120" w:after="120"/>
              <w:rPr>
                <w:rFonts w:ascii="Times New Roman" w:hAnsi="Times New Roman"/>
                <w:sz w:val="24"/>
              </w:rPr>
            </w:pPr>
            <w:r w:rsidRPr="00086CC8">
              <w:rPr>
                <w:rFonts w:ascii="Times New Roman" w:hAnsi="Times New Roman"/>
                <w:sz w:val="24"/>
              </w:rPr>
              <w:t xml:space="preserve">Vrednost, navedena v ustrezni vrstici, za zadnjih deset poslovnih let. </w:t>
            </w:r>
          </w:p>
        </w:tc>
      </w:tr>
      <w:tr w:rsidR="00D740B8" w:rsidRPr="00086CC8" w14:paraId="7D63969A" w14:textId="77777777">
        <w:tc>
          <w:tcPr>
            <w:tcW w:w="1271" w:type="dxa"/>
          </w:tcPr>
          <w:p w14:paraId="6CFD6A05" w14:textId="77777777" w:rsidR="00D740B8" w:rsidRPr="00086CC8" w:rsidRDefault="00D740B8">
            <w:pPr>
              <w:autoSpaceDE w:val="0"/>
              <w:autoSpaceDN w:val="0"/>
              <w:adjustRightInd w:val="0"/>
              <w:jc w:val="center"/>
              <w:rPr>
                <w:rFonts w:ascii="Times New Roman" w:hAnsi="Times New Roman"/>
                <w:bCs/>
                <w:sz w:val="24"/>
              </w:rPr>
            </w:pPr>
            <w:r w:rsidRPr="00086CC8">
              <w:rPr>
                <w:rFonts w:ascii="Times New Roman" w:hAnsi="Times New Roman"/>
                <w:sz w:val="24"/>
              </w:rPr>
              <w:lastRenderedPageBreak/>
              <w:t>k</w:t>
            </w:r>
          </w:p>
        </w:tc>
        <w:tc>
          <w:tcPr>
            <w:tcW w:w="7745" w:type="dxa"/>
          </w:tcPr>
          <w:p w14:paraId="50D93A86" w14:textId="77777777" w:rsidR="00D740B8" w:rsidRPr="00086CC8" w:rsidRDefault="00D740B8">
            <w:pPr>
              <w:spacing w:before="120" w:after="120"/>
              <w:jc w:val="both"/>
              <w:rPr>
                <w:rFonts w:ascii="Times New Roman" w:eastAsia="Times New Roman" w:hAnsi="Times New Roman" w:cs="Times New Roman"/>
                <w:b/>
                <w:sz w:val="24"/>
              </w:rPr>
            </w:pPr>
            <w:r w:rsidRPr="00086CC8">
              <w:rPr>
                <w:rFonts w:ascii="Times New Roman" w:hAnsi="Times New Roman"/>
                <w:b/>
                <w:sz w:val="24"/>
              </w:rPr>
              <w:t>10-letno povprečje</w:t>
            </w:r>
          </w:p>
          <w:p w14:paraId="38A7187F" w14:textId="0CB464F2" w:rsidR="00D740B8" w:rsidRPr="00086CC8" w:rsidRDefault="00D740B8">
            <w:pPr>
              <w:spacing w:before="120" w:after="120"/>
              <w:rPr>
                <w:rFonts w:ascii="Times New Roman" w:hAnsi="Times New Roman"/>
                <w:bCs/>
                <w:sz w:val="24"/>
              </w:rPr>
            </w:pPr>
            <w:r w:rsidRPr="00086CC8">
              <w:rPr>
                <w:rFonts w:ascii="Times New Roman" w:hAnsi="Times New Roman"/>
                <w:sz w:val="24"/>
              </w:rPr>
              <w:t>Povprečje vrednosti, navedenih v ustrezni vrstici za zadnjih deset let.</w:t>
            </w:r>
          </w:p>
        </w:tc>
      </w:tr>
    </w:tbl>
    <w:p w14:paraId="7095834F" w14:textId="77777777" w:rsidR="00D740B8" w:rsidRPr="00086CC8" w:rsidRDefault="00D740B8" w:rsidP="00D740B8">
      <w:pPr>
        <w:pStyle w:val="ListParagraph"/>
        <w:rPr>
          <w:rFonts w:ascii="Times New Roman" w:hAnsi="Times New Roman"/>
          <w:bCs/>
          <w:sz w:val="24"/>
        </w:rPr>
      </w:pPr>
    </w:p>
    <w:p w14:paraId="32DB6729" w14:textId="77777777" w:rsidR="00D740B8" w:rsidRPr="00086CC8" w:rsidRDefault="00D740B8" w:rsidP="00D740B8">
      <w:pPr>
        <w:pStyle w:val="ListParagraph"/>
        <w:rPr>
          <w:rFonts w:ascii="Times New Roman" w:hAnsi="Times New Roman"/>
          <w:bCs/>
          <w:sz w:val="24"/>
        </w:rPr>
      </w:pPr>
    </w:p>
    <w:p w14:paraId="2611544E" w14:textId="77777777" w:rsidR="00D740B8" w:rsidRPr="00086CC8"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86CC8"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086CC8" w:rsidRDefault="00D740B8">
            <w:pPr>
              <w:autoSpaceDE w:val="0"/>
              <w:autoSpaceDN w:val="0"/>
              <w:adjustRightInd w:val="0"/>
              <w:rPr>
                <w:rFonts w:ascii="Times New Roman" w:hAnsi="Times New Roman" w:cs="Times New Roman"/>
                <w:b/>
                <w:sz w:val="24"/>
              </w:rPr>
            </w:pPr>
            <w:r w:rsidRPr="00086CC8">
              <w:rPr>
                <w:rFonts w:ascii="Times New Roman" w:hAnsi="Times New Roman"/>
                <w:b/>
                <w:sz w:val="24"/>
              </w:rPr>
              <w:t>Vrstica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086CC8" w:rsidRDefault="00D740B8">
            <w:pPr>
              <w:rPr>
                <w:rFonts w:ascii="Times New Roman" w:hAnsi="Times New Roman" w:cs="Times New Roman"/>
                <w:b/>
                <w:sz w:val="24"/>
              </w:rPr>
            </w:pPr>
            <w:r w:rsidRPr="00086CC8">
              <w:rPr>
                <w:rFonts w:ascii="Times New Roman" w:hAnsi="Times New Roman"/>
                <w:b/>
                <w:sz w:val="24"/>
              </w:rPr>
              <w:t>Pravna podlaga in navodila</w:t>
            </w:r>
          </w:p>
        </w:tc>
      </w:tr>
      <w:tr w:rsidR="00D740B8" w:rsidRPr="00086CC8"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086CC8" w:rsidRDefault="00D740B8">
            <w:pPr>
              <w:spacing w:before="120" w:after="120"/>
              <w:jc w:val="both"/>
              <w:rPr>
                <w:rFonts w:ascii="Times New Roman" w:eastAsia="Times New Roman" w:hAnsi="Times New Roman" w:cs="Times New Roman"/>
                <w:b/>
                <w:sz w:val="24"/>
              </w:rPr>
            </w:pPr>
            <w:r w:rsidRPr="00086CC8">
              <w:rPr>
                <w:rFonts w:ascii="Times New Roman" w:hAnsi="Times New Roman"/>
                <w:b/>
                <w:sz w:val="24"/>
              </w:rPr>
              <w:t>Skupni znesek izgub iz operativnega tveganja brez povračil (brez izključitev)</w:t>
            </w:r>
          </w:p>
          <w:p w14:paraId="73A6B59F" w14:textId="42A729DD" w:rsidR="00D740B8" w:rsidRPr="00086CC8" w:rsidRDefault="00D740B8">
            <w:pPr>
              <w:spacing w:before="120" w:after="120"/>
              <w:jc w:val="both"/>
              <w:rPr>
                <w:rFonts w:ascii="Times New Roman" w:eastAsia="Times New Roman" w:hAnsi="Times New Roman" w:cs="Times New Roman"/>
                <w:sz w:val="24"/>
              </w:rPr>
            </w:pPr>
            <w:r w:rsidRPr="00086CC8">
              <w:rPr>
                <w:rFonts w:ascii="Times New Roman" w:hAnsi="Times New Roman"/>
                <w:sz w:val="24"/>
              </w:rPr>
              <w:t>Člen 446(2), točka (a), in člen 316(1) Uredbe (EU) št. 575/2013.</w:t>
            </w:r>
          </w:p>
          <w:p w14:paraId="5D929629" w14:textId="254FA976" w:rsidR="00D740B8" w:rsidRPr="00086CC8" w:rsidRDefault="002B0785">
            <w:pPr>
              <w:spacing w:before="120" w:after="120"/>
              <w:jc w:val="both"/>
              <w:rPr>
                <w:rFonts w:ascii="Times New Roman" w:eastAsia="Times New Roman" w:hAnsi="Times New Roman" w:cs="Times New Roman"/>
                <w:b/>
                <w:sz w:val="24"/>
              </w:rPr>
            </w:pPr>
            <w:r w:rsidRPr="00086CC8">
              <w:rPr>
                <w:rFonts w:ascii="Times New Roman" w:hAnsi="Times New Roman"/>
                <w:sz w:val="24"/>
              </w:rPr>
              <w:t>V tej vrstici se razkrije skupni znesek izgub brez povračil, ki izhajajo iz dogodkov izgube in presegajo prag za dogodek izgube v višini 20 000 EUR, za vsako od zadnjih desetih obdobij poročanja, vključno z izgubami iz združitev in prevzemov. Izgube, ki jih povzroči en dogodek operativnega tveganja ali več dogodkov, povezanih z istim dogodkom operativnega tveganja, in ki so pripoznane v različnih računovodskih letih, se seštejejo za zadnjih deset let, da se ugotovi, ali je prag za razkritje presežen ali ne. Pri izračunu postavke v tej vrstici se še vedno upoštevajo izjemni dogodki operativnega tveganja v letu, ki niso več relevantni za profil tveganja institucije in za katere je institucija v skladu s členom 320(1) Uredbe (EU) št. 575/2013 od pristojnega organa dobila dovoljenje, da jih izključi iz svojih letnih izgub iz operativnega tveganja.</w:t>
            </w:r>
          </w:p>
        </w:tc>
      </w:tr>
      <w:tr w:rsidR="00D740B8" w:rsidRPr="00086CC8"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086CC8" w:rsidRDefault="00D740B8">
            <w:pPr>
              <w:spacing w:before="120" w:after="120"/>
              <w:jc w:val="both"/>
              <w:rPr>
                <w:rFonts w:ascii="Times New Roman" w:eastAsia="Times New Roman" w:hAnsi="Times New Roman" w:cs="Times New Roman"/>
                <w:b/>
                <w:sz w:val="24"/>
              </w:rPr>
            </w:pPr>
            <w:r w:rsidRPr="00086CC8">
              <w:rPr>
                <w:rFonts w:ascii="Times New Roman" w:hAnsi="Times New Roman"/>
                <w:b/>
                <w:sz w:val="24"/>
              </w:rPr>
              <w:t>Skupno število izgub iz operativnega tveganja</w:t>
            </w:r>
          </w:p>
          <w:p w14:paraId="2EA91375" w14:textId="28AF0058" w:rsidR="00D740B8" w:rsidRPr="00086CC8" w:rsidRDefault="00D740B8">
            <w:pPr>
              <w:spacing w:before="120" w:after="120"/>
              <w:jc w:val="both"/>
              <w:rPr>
                <w:rFonts w:ascii="Times New Roman" w:eastAsia="Times New Roman" w:hAnsi="Times New Roman" w:cs="Times New Roman"/>
                <w:sz w:val="24"/>
              </w:rPr>
            </w:pPr>
            <w:r w:rsidRPr="00086CC8">
              <w:rPr>
                <w:rFonts w:ascii="Times New Roman" w:hAnsi="Times New Roman"/>
                <w:sz w:val="24"/>
              </w:rPr>
              <w:t>Člen 446(2), točka (a), in člen 316(1) Uredbe (EU) št. 575/2013.</w:t>
            </w:r>
          </w:p>
          <w:p w14:paraId="275C478C" w14:textId="69738AFF" w:rsidR="00D740B8" w:rsidRPr="00086CC8" w:rsidRDefault="00471410">
            <w:pPr>
              <w:spacing w:before="120" w:after="120"/>
              <w:rPr>
                <w:rFonts w:ascii="Times New Roman" w:eastAsia="Times New Roman" w:hAnsi="Times New Roman" w:cs="Times New Roman"/>
                <w:sz w:val="24"/>
              </w:rPr>
            </w:pPr>
            <w:r w:rsidRPr="00086CC8">
              <w:rPr>
                <w:rFonts w:ascii="Times New Roman" w:hAnsi="Times New Roman"/>
                <w:sz w:val="24"/>
              </w:rPr>
              <w:t>Skupno število izgub iz operativnega tveganja, ki presegajo prag za dogodek izgube v višini 20 000 EUR.</w:t>
            </w:r>
          </w:p>
        </w:tc>
      </w:tr>
      <w:tr w:rsidR="00D740B8" w:rsidRPr="00086CC8"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086CC8" w:rsidRDefault="00D740B8">
            <w:pPr>
              <w:spacing w:before="120" w:after="120"/>
              <w:jc w:val="both"/>
              <w:rPr>
                <w:rFonts w:ascii="Times New Roman" w:eastAsia="Times New Roman" w:hAnsi="Times New Roman" w:cs="Times New Roman"/>
                <w:b/>
                <w:sz w:val="24"/>
              </w:rPr>
            </w:pPr>
            <w:r w:rsidRPr="00086CC8">
              <w:rPr>
                <w:rFonts w:ascii="Times New Roman" w:hAnsi="Times New Roman"/>
                <w:b/>
                <w:sz w:val="24"/>
              </w:rPr>
              <w:t>Skupni znesek izključenih izgub iz operativnega tveganja</w:t>
            </w:r>
          </w:p>
          <w:p w14:paraId="5C1A66AF" w14:textId="5CAD041D" w:rsidR="00D740B8" w:rsidRPr="00086CC8" w:rsidRDefault="00D740B8">
            <w:pPr>
              <w:spacing w:before="120" w:after="120"/>
              <w:rPr>
                <w:rFonts w:ascii="Times New Roman" w:eastAsia="Times New Roman" w:hAnsi="Times New Roman" w:cs="Times New Roman"/>
                <w:sz w:val="24"/>
              </w:rPr>
            </w:pPr>
            <w:r w:rsidRPr="00086CC8">
              <w:rPr>
                <w:rFonts w:ascii="Times New Roman" w:hAnsi="Times New Roman"/>
                <w:sz w:val="24"/>
              </w:rPr>
              <w:t>Člen 446(2), točka (b), in člen 320(1) Uredbe (EU) št. 575/2013.</w:t>
            </w:r>
          </w:p>
          <w:p w14:paraId="7BE235CA" w14:textId="7483A5B2" w:rsidR="00D740B8" w:rsidRPr="00086CC8" w:rsidRDefault="002B0785">
            <w:pPr>
              <w:spacing w:before="120" w:after="120"/>
              <w:rPr>
                <w:rFonts w:ascii="Times New Roman" w:eastAsia="Times New Roman" w:hAnsi="Times New Roman" w:cs="Times New Roman"/>
                <w:sz w:val="24"/>
              </w:rPr>
            </w:pPr>
            <w:r w:rsidRPr="00086CC8">
              <w:rPr>
                <w:rFonts w:ascii="Times New Roman" w:hAnsi="Times New Roman"/>
                <w:sz w:val="24"/>
              </w:rPr>
              <w:t>Skupni znesek neto izgub, ki presegajo prag izgube v višini 20 000 EUR in so bile izključene v skladu s členom 320(1) Uredbe (EU) št. 575/2013, za vsako od zadnjih desetih obdobij poročanja.</w:t>
            </w:r>
          </w:p>
        </w:tc>
      </w:tr>
      <w:tr w:rsidR="00D740B8" w:rsidRPr="00086CC8"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086CC8" w:rsidRDefault="00D740B8">
            <w:pPr>
              <w:spacing w:before="12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Skupno število izključenih dogodkov operativnega tveganja</w:t>
            </w:r>
          </w:p>
          <w:p w14:paraId="7914E462" w14:textId="7978A3B5" w:rsidR="00D740B8" w:rsidRPr="00086CC8" w:rsidRDefault="00D740B8">
            <w:pPr>
              <w:spacing w:before="120" w:after="120"/>
              <w:rPr>
                <w:rFonts w:ascii="Times New Roman" w:eastAsia="Times New Roman" w:hAnsi="Times New Roman" w:cs="Times New Roman"/>
                <w:sz w:val="24"/>
              </w:rPr>
            </w:pPr>
            <w:r w:rsidRPr="00086CC8">
              <w:rPr>
                <w:rFonts w:ascii="Times New Roman" w:hAnsi="Times New Roman"/>
                <w:sz w:val="24"/>
              </w:rPr>
              <w:t>Člen 446(2), točka (b), in člen 320(1) Uredbe (EU) št. 575/2013.</w:t>
            </w:r>
          </w:p>
          <w:p w14:paraId="318A732C" w14:textId="242D554F" w:rsidR="00D740B8" w:rsidRPr="00086CC8" w:rsidRDefault="009D4A12">
            <w:pPr>
              <w:spacing w:before="120" w:after="120"/>
              <w:jc w:val="both"/>
              <w:rPr>
                <w:rFonts w:ascii="Times New Roman" w:eastAsia="Times New Roman" w:hAnsi="Times New Roman" w:cs="Times New Roman"/>
                <w:sz w:val="24"/>
              </w:rPr>
            </w:pPr>
            <w:r w:rsidRPr="00086CC8">
              <w:rPr>
                <w:rFonts w:ascii="Times New Roman" w:hAnsi="Times New Roman"/>
                <w:sz w:val="24"/>
              </w:rPr>
              <w:t xml:space="preserve">Skupno število izjemnih dogodkov operativnega tveganja, ki presegajo prag za dogodek izgube v višini 20 000 EUR, ki so bili izključeni v skladu s členom 320(1) Uredbe (EU) št. 575/2013, za vsako od zadnjih desetih obdobij poročanja. </w:t>
            </w:r>
          </w:p>
        </w:tc>
      </w:tr>
      <w:tr w:rsidR="00D740B8" w:rsidRPr="00086CC8"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086CC8" w:rsidRDefault="00D740B8">
            <w:pPr>
              <w:spacing w:before="12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Skupni znesek izgub iz operativnega tveganja brez povračil in brez izključenih izgub</w:t>
            </w:r>
          </w:p>
          <w:p w14:paraId="4203582A" w14:textId="7C24EBAE" w:rsidR="00D740B8" w:rsidRPr="00086CC8" w:rsidRDefault="002B0785">
            <w:pPr>
              <w:spacing w:before="120" w:after="120"/>
              <w:jc w:val="both"/>
              <w:rPr>
                <w:rFonts w:ascii="Times New Roman" w:eastAsia="Times New Roman" w:hAnsi="Times New Roman" w:cs="Times New Roman"/>
                <w:sz w:val="24"/>
              </w:rPr>
            </w:pPr>
            <w:r w:rsidRPr="00086CC8">
              <w:rPr>
                <w:rFonts w:ascii="Times New Roman" w:hAnsi="Times New Roman"/>
                <w:sz w:val="24"/>
              </w:rPr>
              <w:t>Skupni znesek izgub iz operativnega tveganja, zmanjšan za znesek povračil, razkritih v vrstici 1, in zmanjšan za izključene izgube, razkrite v vrstici 3.</w:t>
            </w:r>
          </w:p>
        </w:tc>
      </w:tr>
      <w:tr w:rsidR="00D740B8" w:rsidRPr="00086CC8"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lastRenderedPageBreak/>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086CC8" w:rsidRDefault="00D740B8">
            <w:pPr>
              <w:spacing w:before="120" w:after="120"/>
              <w:jc w:val="both"/>
              <w:rPr>
                <w:rFonts w:ascii="Times New Roman" w:eastAsia="Times New Roman" w:hAnsi="Times New Roman" w:cs="Times New Roman"/>
                <w:b/>
                <w:sz w:val="24"/>
              </w:rPr>
            </w:pPr>
            <w:r w:rsidRPr="00086CC8">
              <w:rPr>
                <w:rFonts w:ascii="Times New Roman" w:hAnsi="Times New Roman"/>
                <w:b/>
                <w:sz w:val="24"/>
              </w:rPr>
              <w:t>Skupni znesek izgub iz operativnega tveganja brez povračil (brez izključitev)</w:t>
            </w:r>
          </w:p>
          <w:p w14:paraId="647BDEC8" w14:textId="66617A83" w:rsidR="00D740B8" w:rsidRPr="00086CC8" w:rsidRDefault="00D740B8">
            <w:pPr>
              <w:spacing w:before="120" w:after="120"/>
              <w:jc w:val="both"/>
              <w:rPr>
                <w:rFonts w:ascii="Times New Roman" w:eastAsia="Times New Roman" w:hAnsi="Times New Roman" w:cs="Times New Roman"/>
                <w:sz w:val="24"/>
              </w:rPr>
            </w:pPr>
            <w:r w:rsidRPr="00086CC8">
              <w:rPr>
                <w:rFonts w:ascii="Times New Roman" w:hAnsi="Times New Roman"/>
                <w:sz w:val="24"/>
              </w:rPr>
              <w:t>Člen 446(2), točka (a), in člen 316(1) Uredbe (EU) št. 575/2013.</w:t>
            </w:r>
          </w:p>
          <w:p w14:paraId="7F1E94AA" w14:textId="3C3700EE" w:rsidR="00D740B8" w:rsidRPr="00086CC8" w:rsidRDefault="003D54AC">
            <w:pPr>
              <w:spacing w:before="120" w:after="120"/>
              <w:jc w:val="both"/>
              <w:rPr>
                <w:rStyle w:val="InstructionsTabelleberschrift"/>
                <w:rFonts w:ascii="Times New Roman" w:eastAsia="Times New Roman" w:hAnsi="Times New Roman"/>
                <w:bCs w:val="0"/>
                <w:sz w:val="24"/>
              </w:rPr>
            </w:pPr>
            <w:r w:rsidRPr="00086CC8">
              <w:rPr>
                <w:rFonts w:ascii="Times New Roman" w:hAnsi="Times New Roman"/>
                <w:sz w:val="24"/>
              </w:rPr>
              <w:t>Skupni znesek izgub iz operativnega tveganja, zmanjšan za znesek povračil, ki izhajajo iz dogodkov izgub, ki presegajo prag za dogodek izgube v višini 100 000 EUR, za vsako od zadnjih desetih obdobij poročanja, vključno z izgubami zaradi združitev in prevzemov. Izgube, ki jih povzroči en dogodek operativnega tveganja ali več dogodkov, povezanih z istim dogodkom operativnega tveganja, in ki so pripoznane v različnih računovodskih letih, se seštejejo za zadnjih deset let, da se ugotovi, ali je prag za razkritje presežen ali ne. Pri izračunu postavke v tej vrstici se še vedno upoštevajo izjemni dogodki operativnega tveganja v letu, ki niso več relevantni za profil tveganja institucije in za katere je institucija v skladu s členom 320(1) Uredbe (EU) št. 575/2013 od pristojnega organa dobila dovoljenje, da jih izključi iz svojih letnih izgub iz operativnega tveganja.</w:t>
            </w:r>
          </w:p>
        </w:tc>
      </w:tr>
      <w:tr w:rsidR="00D740B8" w:rsidRPr="00086CC8"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086CC8" w:rsidRDefault="00D740B8">
            <w:pPr>
              <w:spacing w:before="120" w:after="120"/>
              <w:jc w:val="both"/>
              <w:rPr>
                <w:rFonts w:ascii="Times New Roman" w:eastAsia="Times New Roman" w:hAnsi="Times New Roman" w:cs="Times New Roman"/>
                <w:b/>
                <w:sz w:val="24"/>
              </w:rPr>
            </w:pPr>
            <w:r w:rsidRPr="00086CC8">
              <w:rPr>
                <w:rFonts w:ascii="Times New Roman" w:hAnsi="Times New Roman"/>
                <w:b/>
                <w:sz w:val="24"/>
              </w:rPr>
              <w:t>Skupno število izgub iz operativnega tveganja</w:t>
            </w:r>
          </w:p>
          <w:p w14:paraId="7AD8EE0D" w14:textId="092E19E2" w:rsidR="00D740B8" w:rsidRPr="00086CC8" w:rsidRDefault="00D740B8">
            <w:pPr>
              <w:spacing w:before="120" w:after="120"/>
              <w:jc w:val="both"/>
              <w:rPr>
                <w:rFonts w:ascii="Times New Roman" w:eastAsia="Times New Roman" w:hAnsi="Times New Roman" w:cs="Times New Roman"/>
                <w:sz w:val="24"/>
              </w:rPr>
            </w:pPr>
            <w:r w:rsidRPr="00086CC8">
              <w:rPr>
                <w:rFonts w:ascii="Times New Roman" w:hAnsi="Times New Roman"/>
                <w:sz w:val="24"/>
              </w:rPr>
              <w:t>Člen 446(2), točka (a), in člen 316(1) Uredbe (EU) št. 575/2013.</w:t>
            </w:r>
          </w:p>
          <w:p w14:paraId="6F316B8B" w14:textId="6ABB567B" w:rsidR="00D740B8" w:rsidRPr="00086CC8" w:rsidRDefault="00471410">
            <w:pPr>
              <w:spacing w:before="120" w:after="120"/>
              <w:jc w:val="both"/>
              <w:rPr>
                <w:rStyle w:val="InstructionsTabelleberschrift"/>
                <w:rFonts w:ascii="Times New Roman" w:eastAsia="Times New Roman" w:hAnsi="Times New Roman"/>
                <w:bCs w:val="0"/>
                <w:sz w:val="24"/>
              </w:rPr>
            </w:pPr>
            <w:r w:rsidRPr="00086CC8">
              <w:rPr>
                <w:rFonts w:ascii="Times New Roman" w:hAnsi="Times New Roman"/>
                <w:sz w:val="24"/>
              </w:rPr>
              <w:t>Skupno število izgub iz operativnega tveganja, ki presegajo prag izgube v višini 100 000 EUR.</w:t>
            </w:r>
          </w:p>
        </w:tc>
      </w:tr>
      <w:tr w:rsidR="00D740B8" w:rsidRPr="00086CC8"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086CC8" w:rsidRDefault="00D740B8">
            <w:pPr>
              <w:spacing w:before="120" w:after="120"/>
              <w:jc w:val="both"/>
              <w:rPr>
                <w:rFonts w:ascii="Times New Roman" w:eastAsia="Times New Roman" w:hAnsi="Times New Roman" w:cs="Times New Roman"/>
                <w:b/>
                <w:sz w:val="24"/>
              </w:rPr>
            </w:pPr>
            <w:r w:rsidRPr="00086CC8">
              <w:rPr>
                <w:rFonts w:ascii="Times New Roman" w:hAnsi="Times New Roman"/>
                <w:b/>
                <w:sz w:val="24"/>
              </w:rPr>
              <w:t>Skupni znesek izključenih izgub iz operativnega tveganja</w:t>
            </w:r>
          </w:p>
          <w:p w14:paraId="71DECF65" w14:textId="48A395A5" w:rsidR="00D740B8" w:rsidRPr="00086CC8" w:rsidRDefault="00D740B8">
            <w:pPr>
              <w:spacing w:before="120" w:after="120"/>
              <w:rPr>
                <w:rFonts w:ascii="Times New Roman" w:eastAsia="Times New Roman" w:hAnsi="Times New Roman" w:cs="Times New Roman"/>
                <w:sz w:val="24"/>
              </w:rPr>
            </w:pPr>
            <w:r w:rsidRPr="00086CC8">
              <w:rPr>
                <w:rFonts w:ascii="Times New Roman" w:hAnsi="Times New Roman"/>
                <w:sz w:val="24"/>
              </w:rPr>
              <w:t>Člen 446(2), točka (b), in člen 320(1) Uredbe (EU) št. 575/2013.</w:t>
            </w:r>
          </w:p>
          <w:p w14:paraId="0BC74916" w14:textId="396B699A" w:rsidR="00D740B8" w:rsidRPr="00086CC8" w:rsidRDefault="003D54AC">
            <w:pPr>
              <w:spacing w:before="120" w:after="120"/>
              <w:jc w:val="both"/>
              <w:rPr>
                <w:rStyle w:val="InstructionsTabelleberschrift"/>
                <w:rFonts w:ascii="Times New Roman" w:eastAsia="Times New Roman" w:hAnsi="Times New Roman"/>
                <w:bCs w:val="0"/>
                <w:sz w:val="24"/>
              </w:rPr>
            </w:pPr>
            <w:r w:rsidRPr="00086CC8">
              <w:rPr>
                <w:rFonts w:ascii="Times New Roman" w:hAnsi="Times New Roman"/>
                <w:sz w:val="24"/>
              </w:rPr>
              <w:t>Skupni znesek neto izgub, ki presegajo prag za dogodek izgube v višini 100 000 EUR in so bile izključene v skladu s členom 320(1) Uredbe (EU) št. 575/2013, za vsako od zadnjih desetih obdobij poročanja.</w:t>
            </w:r>
          </w:p>
        </w:tc>
      </w:tr>
      <w:tr w:rsidR="00D740B8" w:rsidRPr="00086CC8"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086CC8" w:rsidRDefault="00D740B8">
            <w:pPr>
              <w:spacing w:before="12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Skupno število izključenih dogodkov operativnega tveganja</w:t>
            </w:r>
          </w:p>
          <w:p w14:paraId="2B56754D" w14:textId="46B0AAAA" w:rsidR="00D740B8" w:rsidRPr="00086CC8" w:rsidRDefault="00D740B8">
            <w:pPr>
              <w:spacing w:before="120" w:after="120"/>
              <w:rPr>
                <w:rFonts w:ascii="Times New Roman" w:eastAsia="Times New Roman" w:hAnsi="Times New Roman" w:cs="Times New Roman"/>
                <w:sz w:val="24"/>
              </w:rPr>
            </w:pPr>
            <w:r w:rsidRPr="00086CC8">
              <w:rPr>
                <w:rFonts w:ascii="Times New Roman" w:hAnsi="Times New Roman"/>
                <w:sz w:val="24"/>
              </w:rPr>
              <w:t>Člen 446(2), točka (b), in člen 320(1) Uredbe (EU) št. 575/2013.</w:t>
            </w:r>
          </w:p>
          <w:p w14:paraId="2EDEC8CA" w14:textId="252B783D" w:rsidR="00D740B8" w:rsidRPr="00086CC8" w:rsidRDefault="00471410">
            <w:pPr>
              <w:spacing w:before="120" w:after="120"/>
              <w:jc w:val="both"/>
              <w:rPr>
                <w:rStyle w:val="InstructionsTabelleberschrift"/>
                <w:rFonts w:ascii="Times New Roman" w:eastAsia="Times New Roman" w:hAnsi="Times New Roman"/>
                <w:bCs w:val="0"/>
                <w:sz w:val="24"/>
              </w:rPr>
            </w:pPr>
            <w:r w:rsidRPr="00086CC8">
              <w:rPr>
                <w:rFonts w:ascii="Times New Roman" w:hAnsi="Times New Roman"/>
                <w:sz w:val="24"/>
              </w:rPr>
              <w:t>Skupno število izjemnih dogodkov operativnega tveganja, ki presegajo prag za dogodek izgube v višini 100 000 EUR in so bili izključeni v skladu s členom 320(1) Uredbe (EU) št. 575/2013, za vsako od zadnjih desetih obdobij poročanja.</w:t>
            </w:r>
          </w:p>
        </w:tc>
      </w:tr>
      <w:tr w:rsidR="00D740B8" w:rsidRPr="00086CC8"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086CC8" w:rsidRDefault="00D740B8">
            <w:pPr>
              <w:spacing w:before="12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Skupni znesek izgub iz operativnega tveganja brez povračil in brez izključenih izgub</w:t>
            </w:r>
          </w:p>
          <w:p w14:paraId="65622881" w14:textId="32C07686" w:rsidR="00D740B8" w:rsidRPr="00086CC8" w:rsidRDefault="006943D3">
            <w:pPr>
              <w:spacing w:before="120" w:after="120"/>
              <w:jc w:val="both"/>
              <w:rPr>
                <w:rStyle w:val="InstructionsTabelleberschrift"/>
                <w:rFonts w:ascii="Times New Roman" w:eastAsia="Times New Roman" w:hAnsi="Times New Roman"/>
                <w:bCs w:val="0"/>
                <w:sz w:val="24"/>
              </w:rPr>
            </w:pPr>
            <w:r w:rsidRPr="00086CC8">
              <w:rPr>
                <w:rFonts w:ascii="Times New Roman" w:hAnsi="Times New Roman"/>
                <w:sz w:val="24"/>
              </w:rPr>
              <w:t>V vrstici se razkrije skupni znesek izgub iz operativnega tveganja, zmanjšan za znesek povračil, razkritih v vrstici 6, in zmanjšan za znesek izključenih izgub, razkritih v vrstici 8.</w:t>
            </w:r>
          </w:p>
        </w:tc>
      </w:tr>
      <w:tr w:rsidR="00D740B8" w:rsidRPr="00086CC8"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086CC8"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086CC8">
              <w:rPr>
                <w:rFonts w:ascii="Times New Roman" w:hAnsi="Times New Roman"/>
                <w:sz w:val="24"/>
              </w:rPr>
              <w:t>Ni relevantno.</w:t>
            </w:r>
          </w:p>
        </w:tc>
      </w:tr>
      <w:tr w:rsidR="00D740B8" w:rsidRPr="00086CC8"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086CC8" w:rsidRDefault="00D740B8">
            <w:pPr>
              <w:spacing w:before="120" w:after="120"/>
              <w:jc w:val="both"/>
              <w:rPr>
                <w:rStyle w:val="InstructionsTabelleberschrift"/>
                <w:rFonts w:ascii="Times New Roman" w:eastAsia="Times New Roman" w:hAnsi="Times New Roman"/>
                <w:b w:val="0"/>
                <w:bCs w:val="0"/>
                <w:sz w:val="24"/>
                <w:u w:val="none"/>
              </w:rPr>
            </w:pPr>
            <w:r w:rsidRPr="00086CC8">
              <w:rPr>
                <w:rStyle w:val="InstructionsTabelleberschrift"/>
                <w:rFonts w:ascii="Times New Roman" w:hAnsi="Times New Roman"/>
                <w:b w:val="0"/>
                <w:sz w:val="24"/>
                <w:u w:val="none"/>
              </w:rPr>
              <w:t>Ni relevantno.</w:t>
            </w:r>
          </w:p>
        </w:tc>
      </w:tr>
      <w:tr w:rsidR="00D740B8" w:rsidRPr="00086CC8"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086CC8" w:rsidRDefault="00D740B8">
            <w:pPr>
              <w:spacing w:before="120" w:after="120"/>
              <w:jc w:val="both"/>
              <w:rPr>
                <w:rStyle w:val="InstructionsTabelleberschrift"/>
                <w:rFonts w:ascii="Times New Roman" w:eastAsia="Times New Roman" w:hAnsi="Times New Roman"/>
                <w:b w:val="0"/>
                <w:bCs w:val="0"/>
                <w:sz w:val="24"/>
                <w:u w:val="none"/>
              </w:rPr>
            </w:pPr>
            <w:r w:rsidRPr="00086CC8">
              <w:rPr>
                <w:rStyle w:val="InstructionsTabelleberschrift"/>
                <w:rFonts w:ascii="Times New Roman" w:hAnsi="Times New Roman"/>
                <w:b w:val="0"/>
                <w:sz w:val="24"/>
                <w:u w:val="none"/>
              </w:rPr>
              <w:t>Ni relevantno.</w:t>
            </w:r>
          </w:p>
        </w:tc>
      </w:tr>
    </w:tbl>
    <w:p w14:paraId="25A698B0" w14:textId="77777777" w:rsidR="00D740B8" w:rsidRPr="00086CC8" w:rsidRDefault="00D740B8" w:rsidP="00D740B8">
      <w:pPr>
        <w:pStyle w:val="InstructionsText2"/>
        <w:numPr>
          <w:ilvl w:val="0"/>
          <w:numId w:val="0"/>
        </w:numPr>
        <w:ind w:left="360"/>
        <w:rPr>
          <w:lang w:val="en-US"/>
        </w:rPr>
      </w:pPr>
    </w:p>
    <w:p w14:paraId="033C5861" w14:textId="77777777" w:rsidR="00D740B8" w:rsidRPr="00086CC8" w:rsidRDefault="00D740B8" w:rsidP="00D740B8">
      <w:pPr>
        <w:jc w:val="both"/>
        <w:rPr>
          <w:rFonts w:ascii="Times New Roman" w:hAnsi="Times New Roman" w:cs="Times New Roman"/>
          <w:bCs/>
          <w:sz w:val="24"/>
        </w:rPr>
      </w:pPr>
      <w:r w:rsidRPr="00086CC8">
        <w:rPr>
          <w:rFonts w:ascii="Times New Roman" w:hAnsi="Times New Roman"/>
          <w:b/>
          <w:sz w:val="24"/>
        </w:rPr>
        <w:lastRenderedPageBreak/>
        <w:t xml:space="preserve">Predloga EU OR2 – Kazalnik poslovanja, sestavine in </w:t>
      </w:r>
      <w:proofErr w:type="spellStart"/>
      <w:r w:rsidRPr="00086CC8">
        <w:rPr>
          <w:rFonts w:ascii="Times New Roman" w:hAnsi="Times New Roman"/>
          <w:b/>
          <w:sz w:val="24"/>
        </w:rPr>
        <w:t>podsestavine</w:t>
      </w:r>
      <w:proofErr w:type="spellEnd"/>
      <w:r w:rsidRPr="00086CC8">
        <w:rPr>
          <w:rFonts w:ascii="Times New Roman" w:hAnsi="Times New Roman"/>
          <w:b/>
          <w:sz w:val="24"/>
        </w:rPr>
        <w:t xml:space="preserve">. </w:t>
      </w:r>
      <w:r w:rsidRPr="00086CC8">
        <w:rPr>
          <w:rFonts w:ascii="Times New Roman" w:hAnsi="Times New Roman"/>
          <w:sz w:val="24"/>
        </w:rPr>
        <w:t>Fiksna predloga.</w:t>
      </w:r>
    </w:p>
    <w:p w14:paraId="3D173CCF" w14:textId="77777777" w:rsidR="00D740B8" w:rsidRPr="00086CC8" w:rsidRDefault="00D740B8" w:rsidP="00D740B8">
      <w:pPr>
        <w:ind w:left="360"/>
        <w:jc w:val="both"/>
        <w:rPr>
          <w:rFonts w:ascii="Times New Roman" w:hAnsi="Times New Roman" w:cs="Times New Roman"/>
          <w:bCs/>
          <w:sz w:val="24"/>
        </w:rPr>
      </w:pPr>
    </w:p>
    <w:p w14:paraId="3F849430" w14:textId="414C531B" w:rsidR="00D740B8"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 xml:space="preserve">Institucije razkrijejo informacije, vključene v predlogo EU OR2, v skladu s členom 446(1), točki (c) in (d), Uredbe (EU) št. 575/2013. Ta predloga vsebuje informacije o izračunu sestavine kazalnika poslovanja v skladu s členom 313 Uredbe (EU) št. 575/2013 in o izračunu kazalnika poslovanja, sestavin in </w:t>
      </w:r>
      <w:proofErr w:type="spellStart"/>
      <w:r w:rsidRPr="00086CC8">
        <w:rPr>
          <w:rFonts w:ascii="Times New Roman" w:hAnsi="Times New Roman"/>
          <w:sz w:val="24"/>
        </w:rPr>
        <w:t>podsestavin</w:t>
      </w:r>
      <w:proofErr w:type="spellEnd"/>
      <w:r w:rsidRPr="00086CC8">
        <w:rPr>
          <w:rFonts w:ascii="Times New Roman" w:hAnsi="Times New Roman"/>
          <w:sz w:val="24"/>
        </w:rPr>
        <w:t xml:space="preserve"> v skladu s členom 314 Uredbe (EU) št. 575/2013. Poleg tega zagotavlja tudi informacije o zneskih, izključenih iz kazalnika poslovanja, povezanih z odsvojenimi subjekti ali dejavnostmi, v skladu s členom 315(2).</w:t>
      </w:r>
    </w:p>
    <w:p w14:paraId="5C35CEC0" w14:textId="77777777" w:rsidR="00D740B8" w:rsidRPr="00086CC8" w:rsidRDefault="00D740B8" w:rsidP="00D740B8">
      <w:pPr>
        <w:ind w:left="360"/>
        <w:jc w:val="both"/>
        <w:rPr>
          <w:rFonts w:ascii="Times New Roman" w:hAnsi="Times New Roman" w:cs="Times New Roman"/>
          <w:bCs/>
          <w:sz w:val="24"/>
        </w:rPr>
      </w:pPr>
    </w:p>
    <w:p w14:paraId="1749895F" w14:textId="07869965" w:rsidR="00D740B8"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 xml:space="preserve">Institucije za vsako od zadnjih treh poslovnih let razkrijejo informacije o znesku ustreznega seznama postavk, ki morajo biti vključene v izračun </w:t>
      </w:r>
      <w:proofErr w:type="spellStart"/>
      <w:r w:rsidRPr="00086CC8">
        <w:rPr>
          <w:rFonts w:ascii="Times New Roman" w:hAnsi="Times New Roman"/>
          <w:sz w:val="24"/>
        </w:rPr>
        <w:t>podsestavin</w:t>
      </w:r>
      <w:proofErr w:type="spellEnd"/>
      <w:r w:rsidRPr="00086CC8">
        <w:rPr>
          <w:rFonts w:ascii="Times New Roman" w:hAnsi="Times New Roman"/>
          <w:sz w:val="24"/>
        </w:rPr>
        <w:t xml:space="preserve"> kazalnika poslovanja, ki prispevajo k izračunu kapitalske zahteve za operativno tveganje.</w:t>
      </w:r>
    </w:p>
    <w:p w14:paraId="7B27D162" w14:textId="77777777" w:rsidR="00D740B8" w:rsidRPr="00086CC8" w:rsidRDefault="00D740B8" w:rsidP="00D740B8">
      <w:pPr>
        <w:pStyle w:val="ListParagraph"/>
        <w:rPr>
          <w:rFonts w:ascii="Times New Roman" w:hAnsi="Times New Roman"/>
          <w:bCs/>
          <w:sz w:val="24"/>
        </w:rPr>
      </w:pPr>
    </w:p>
    <w:p w14:paraId="41988E91" w14:textId="281D16EA" w:rsidR="00D740B8"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Če pretekli podatki niso na voljo, institucije v skladu s členom 314(8) Uredbe (EU) št. 575/2013 sporočijo ocene prihodnjega poslovanja.</w:t>
      </w:r>
    </w:p>
    <w:p w14:paraId="14A23528" w14:textId="485ED75C" w:rsidR="00D740B8" w:rsidRPr="00086CC8" w:rsidRDefault="00D740B8" w:rsidP="00D740B8">
      <w:pPr>
        <w:pStyle w:val="numberedparagraph"/>
        <w:numPr>
          <w:ilvl w:val="0"/>
          <w:numId w:val="1"/>
        </w:numPr>
        <w:rPr>
          <w:rFonts w:ascii="Times New Roman" w:hAnsi="Times New Roman" w:cs="Times New Roman"/>
          <w:sz w:val="24"/>
        </w:rPr>
      </w:pPr>
      <w:r w:rsidRPr="00086CC8">
        <w:rPr>
          <w:rFonts w:ascii="Times New Roman" w:hAnsi="Times New Roman"/>
          <w:sz w:val="24"/>
        </w:rPr>
        <w:t>Če imajo institucije na voljo podatke v zvezi s podrobnimi postavkami, ki spadajo v sestavine kazalnika poslovanja, za manj kot tri leta, se razpoložljivi pretekli podatki prednostno dodelijo ustreznim stolpcem v predlogi. Če imajo institucije na voljo pretekle podatke v zvezi s sestavinami kazalnika poslovanja samo za eno leto, se ti podatki sporočijo v stolpcu za zadnje leto (npr. „zadnje leto“). Če se zdi razumno, se ocene prihodnjega poslovanja vključijo v leto –1 oziroma leto –2, dokler ti podatki niso na voljo.</w:t>
      </w:r>
    </w:p>
    <w:p w14:paraId="2DDE0943" w14:textId="7F04DC41" w:rsidR="00D740B8" w:rsidRPr="00086CC8" w:rsidRDefault="00D740B8" w:rsidP="00D740B8">
      <w:pPr>
        <w:pStyle w:val="numberedparagraph"/>
        <w:numPr>
          <w:ilvl w:val="0"/>
          <w:numId w:val="1"/>
        </w:numPr>
        <w:rPr>
          <w:rFonts w:ascii="Times New Roman" w:hAnsi="Times New Roman" w:cs="Times New Roman"/>
          <w:sz w:val="24"/>
        </w:rPr>
      </w:pPr>
      <w:r w:rsidRPr="00086CC8">
        <w:rPr>
          <w:rFonts w:ascii="Times New Roman" w:hAnsi="Times New Roman"/>
          <w:sz w:val="24"/>
        </w:rPr>
        <w:t>Institucije v podpostavke, ki so del izračuna sestavine obresti, zakupov in dividend (ILDC), ne vključijo vrednosti, ki se nanašajo na posamezne podrejene institucije, katerih ILDC se izračuna ločeno v skladu s členom 314(3) Uredbe (EU) št. 575/2013.</w:t>
      </w:r>
    </w:p>
    <w:p w14:paraId="3512454B" w14:textId="27224DC8" w:rsidR="00841A0D"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Institucije v podpostavke, ki so del izračuna sestavine obresti, zakupov in dividend (ILDC), ne vključijo podatkov s poslovnih področij bančništva na drobno in/ali komercialnega bančništva, če je institucija prejela dovoljenje za uporabo člena 314(4) Uredbe (EU) št. 575/2013.</w:t>
      </w:r>
    </w:p>
    <w:p w14:paraId="22AE3E22" w14:textId="77777777" w:rsidR="00841A0D" w:rsidRPr="00086CC8" w:rsidRDefault="00841A0D" w:rsidP="00841A0D">
      <w:pPr>
        <w:ind w:left="360"/>
        <w:jc w:val="both"/>
        <w:rPr>
          <w:rFonts w:ascii="Times New Roman" w:hAnsi="Times New Roman" w:cs="Times New Roman"/>
          <w:bCs/>
          <w:sz w:val="24"/>
        </w:rPr>
      </w:pPr>
    </w:p>
    <w:p w14:paraId="3A161EFD" w14:textId="7882B43A" w:rsidR="00D740B8" w:rsidRPr="00086CC8" w:rsidRDefault="003826D3" w:rsidP="00D740B8">
      <w:pPr>
        <w:numPr>
          <w:ilvl w:val="0"/>
          <w:numId w:val="1"/>
        </w:numPr>
        <w:jc w:val="both"/>
        <w:rPr>
          <w:rFonts w:ascii="Times New Roman" w:hAnsi="Times New Roman" w:cs="Times New Roman"/>
          <w:bCs/>
          <w:sz w:val="24"/>
        </w:rPr>
      </w:pPr>
      <w:r w:rsidRPr="00086CC8">
        <w:rPr>
          <w:rFonts w:ascii="Times New Roman" w:hAnsi="Times New Roman"/>
          <w:sz w:val="24"/>
        </w:rPr>
        <w:t>Vendar institucije v vrstici 1 sporočijo skupni znesek ILDC, vključno z zneski, izračunanimi v skladu s členom 314(3) Uredbe (EU) št. 575/2013. V vrstici EU 1 se sporoči tudi ILDC brez subjektov iz člena 314(3).</w:t>
      </w:r>
    </w:p>
    <w:p w14:paraId="7DAFACF8" w14:textId="77777777" w:rsidR="00D740B8" w:rsidRPr="00086CC8" w:rsidRDefault="00D740B8" w:rsidP="00D740B8">
      <w:pPr>
        <w:ind w:left="360"/>
        <w:jc w:val="both"/>
        <w:rPr>
          <w:rFonts w:ascii="Times New Roman" w:hAnsi="Times New Roman" w:cs="Times New Roman"/>
          <w:bCs/>
          <w:sz w:val="24"/>
        </w:rPr>
      </w:pPr>
    </w:p>
    <w:p w14:paraId="578B96DC" w14:textId="494916C5" w:rsidR="00D740B8" w:rsidRPr="00086CC8" w:rsidRDefault="00D740B8" w:rsidP="00D740B8">
      <w:pPr>
        <w:numPr>
          <w:ilvl w:val="0"/>
          <w:numId w:val="1"/>
        </w:numPr>
        <w:jc w:val="both"/>
        <w:rPr>
          <w:rFonts w:ascii="Times New Roman" w:hAnsi="Times New Roman" w:cs="Times New Roman"/>
          <w:bCs/>
          <w:sz w:val="24"/>
        </w:rPr>
      </w:pPr>
      <w:r w:rsidRPr="00086CC8">
        <w:rPr>
          <w:rFonts w:ascii="Times New Roman" w:hAnsi="Times New Roman"/>
          <w:sz w:val="24"/>
        </w:rPr>
        <w:t>Institucije v priloženem besedilu v skladu s členom 446(1) Uredbe (EU) št. 575/2013 razkrijejo utemeljitve za vsako izključitev iz kazalnika poslovanja, razen izključitve poslovnih področij bančništva na drobno in komercialnega bančništva iz člena 314(4).</w:t>
      </w:r>
    </w:p>
    <w:p w14:paraId="22C673C4" w14:textId="77777777" w:rsidR="00393FEF" w:rsidRPr="00086CC8" w:rsidRDefault="00393FEF" w:rsidP="00532CFA">
      <w:pPr>
        <w:pStyle w:val="ListParagraph"/>
        <w:rPr>
          <w:rFonts w:ascii="Times New Roman" w:hAnsi="Times New Roman"/>
          <w:bCs/>
          <w:sz w:val="24"/>
        </w:rPr>
      </w:pPr>
    </w:p>
    <w:p w14:paraId="7DD11602" w14:textId="2BC0B288" w:rsidR="00393FEF" w:rsidRPr="00086CC8" w:rsidRDefault="006020C0" w:rsidP="00086CC8">
      <w:pPr>
        <w:keepLines/>
        <w:numPr>
          <w:ilvl w:val="0"/>
          <w:numId w:val="1"/>
        </w:numPr>
        <w:jc w:val="both"/>
        <w:rPr>
          <w:rFonts w:ascii="Times New Roman" w:hAnsi="Times New Roman" w:cs="Times New Roman"/>
          <w:bCs/>
          <w:sz w:val="24"/>
        </w:rPr>
      </w:pPr>
      <w:r w:rsidRPr="00086CC8">
        <w:rPr>
          <w:rFonts w:ascii="Times New Roman" w:hAnsi="Times New Roman"/>
          <w:sz w:val="24"/>
        </w:rPr>
        <w:t>Zaradi tesne povezave med zahtevami za razkritje operativnega tveganja in računovodskimi izkazi institucije so sklici na zahteve za poročanje, navedene v Prilogi V k rešitvam organa EBA na področju informacijske tehnologije (FINREP), navedeni v navodilih.</w:t>
      </w:r>
    </w:p>
    <w:p w14:paraId="1D4913E2" w14:textId="77777777" w:rsidR="00DD1D82" w:rsidRPr="00086CC8" w:rsidRDefault="00DD1D82" w:rsidP="00DD1D82">
      <w:pPr>
        <w:pStyle w:val="ListParagraph"/>
        <w:rPr>
          <w:rFonts w:ascii="Times New Roman" w:hAnsi="Times New Roman"/>
          <w:bCs/>
          <w:sz w:val="24"/>
        </w:rPr>
      </w:pPr>
    </w:p>
    <w:p w14:paraId="11E51AFD" w14:textId="3D720718" w:rsidR="00DD1D82" w:rsidRPr="00086CC8" w:rsidRDefault="00050ABA" w:rsidP="001257B6">
      <w:pPr>
        <w:numPr>
          <w:ilvl w:val="0"/>
          <w:numId w:val="1"/>
        </w:numPr>
        <w:jc w:val="both"/>
        <w:rPr>
          <w:rFonts w:ascii="Times New Roman" w:hAnsi="Times New Roman" w:cs="Times New Roman"/>
          <w:bCs/>
          <w:sz w:val="24"/>
        </w:rPr>
      </w:pPr>
      <w:r w:rsidRPr="00086CC8">
        <w:rPr>
          <w:rFonts w:ascii="Times New Roman" w:hAnsi="Times New Roman"/>
          <w:sz w:val="24"/>
        </w:rPr>
        <w:t>Dogovorjeni znaki za izpolnjevanje te predloge so v skladu z dogovori, navedenimi v Prilogi V k rešitvam organa EBA na področju informacijske tehnologije.</w:t>
      </w:r>
    </w:p>
    <w:p w14:paraId="21275E00" w14:textId="77777777" w:rsidR="00D740B8" w:rsidRPr="00086CC8"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086CC8" w14:paraId="069EA903" w14:textId="77777777">
        <w:trPr>
          <w:trHeight w:val="300"/>
        </w:trPr>
        <w:tc>
          <w:tcPr>
            <w:tcW w:w="1260" w:type="dxa"/>
            <w:shd w:val="clear" w:color="auto" w:fill="BFBFBF" w:themeFill="background1" w:themeFillShade="BF"/>
          </w:tcPr>
          <w:p w14:paraId="7E4DE4F0" w14:textId="77777777" w:rsidR="00D740B8" w:rsidRPr="00086CC8" w:rsidRDefault="00D740B8">
            <w:pPr>
              <w:autoSpaceDE w:val="0"/>
              <w:autoSpaceDN w:val="0"/>
              <w:adjustRightInd w:val="0"/>
              <w:rPr>
                <w:rFonts w:ascii="Times New Roman" w:hAnsi="Times New Roman" w:cs="Times New Roman"/>
                <w:b/>
                <w:sz w:val="24"/>
              </w:rPr>
            </w:pPr>
            <w:r w:rsidRPr="00086CC8">
              <w:rPr>
                <w:rFonts w:ascii="Times New Roman" w:hAnsi="Times New Roman"/>
                <w:b/>
                <w:sz w:val="24"/>
              </w:rPr>
              <w:t>Stolpec</w:t>
            </w:r>
          </w:p>
        </w:tc>
        <w:tc>
          <w:tcPr>
            <w:tcW w:w="7756" w:type="dxa"/>
            <w:shd w:val="clear" w:color="auto" w:fill="BFBFBF" w:themeFill="background1" w:themeFillShade="BF"/>
          </w:tcPr>
          <w:p w14:paraId="0D54BB35" w14:textId="77777777" w:rsidR="00D740B8" w:rsidRPr="00086CC8" w:rsidDel="00B46ADB" w:rsidRDefault="00D740B8">
            <w:pPr>
              <w:autoSpaceDE w:val="0"/>
              <w:autoSpaceDN w:val="0"/>
              <w:adjustRightInd w:val="0"/>
              <w:rPr>
                <w:bCs/>
              </w:rPr>
            </w:pPr>
            <w:r w:rsidRPr="00086CC8">
              <w:rPr>
                <w:rFonts w:ascii="Times New Roman" w:hAnsi="Times New Roman"/>
                <w:b/>
                <w:sz w:val="24"/>
              </w:rPr>
              <w:t>Pravna podlaga in navodila</w:t>
            </w:r>
          </w:p>
        </w:tc>
      </w:tr>
      <w:tr w:rsidR="00D740B8" w:rsidRPr="00086CC8" w14:paraId="7AE7216D" w14:textId="77777777">
        <w:trPr>
          <w:trHeight w:val="300"/>
        </w:trPr>
        <w:tc>
          <w:tcPr>
            <w:tcW w:w="1260" w:type="dxa"/>
          </w:tcPr>
          <w:p w14:paraId="0FC699E1" w14:textId="0D76C831" w:rsidR="00D740B8" w:rsidRPr="00086CC8" w:rsidRDefault="00D740B8" w:rsidP="00165BEF">
            <w:pPr>
              <w:autoSpaceDE w:val="0"/>
              <w:autoSpaceDN w:val="0"/>
              <w:adjustRightInd w:val="0"/>
              <w:jc w:val="center"/>
              <w:rPr>
                <w:rFonts w:ascii="Times New Roman" w:hAnsi="Times New Roman"/>
                <w:bCs/>
                <w:sz w:val="24"/>
              </w:rPr>
            </w:pPr>
            <w:r w:rsidRPr="00086CC8">
              <w:rPr>
                <w:rFonts w:ascii="Times New Roman" w:hAnsi="Times New Roman"/>
                <w:sz w:val="24"/>
              </w:rPr>
              <w:lastRenderedPageBreak/>
              <w:t>a, b, c</w:t>
            </w:r>
          </w:p>
        </w:tc>
        <w:tc>
          <w:tcPr>
            <w:tcW w:w="7756" w:type="dxa"/>
          </w:tcPr>
          <w:p w14:paraId="510A12A5" w14:textId="13FB6D98" w:rsidR="00D740B8" w:rsidRPr="00086CC8" w:rsidRDefault="00D740B8">
            <w:pPr>
              <w:autoSpaceDE w:val="0"/>
              <w:autoSpaceDN w:val="0"/>
              <w:adjustRightInd w:val="0"/>
              <w:rPr>
                <w:rStyle w:val="InstructionsTabelleberschrift"/>
                <w:rFonts w:ascii="Times New Roman" w:hAnsi="Times New Roman"/>
                <w:sz w:val="24"/>
                <w:u w:val="none"/>
              </w:rPr>
            </w:pPr>
            <w:r w:rsidRPr="00086CC8">
              <w:rPr>
                <w:rStyle w:val="InstructionsTabelleberschrift"/>
                <w:rFonts w:ascii="Times New Roman" w:hAnsi="Times New Roman"/>
                <w:sz w:val="24"/>
                <w:u w:val="none"/>
              </w:rPr>
              <w:t>Vrednost</w:t>
            </w:r>
          </w:p>
          <w:p w14:paraId="0A7A2FD7" w14:textId="77777777" w:rsidR="00D740B8" w:rsidRPr="00086CC8" w:rsidRDefault="00D740B8">
            <w:pPr>
              <w:rPr>
                <w:rFonts w:ascii="Times New Roman" w:hAnsi="Times New Roman"/>
                <w:sz w:val="24"/>
                <w:lang w:eastAsia="de-DE"/>
              </w:rPr>
            </w:pPr>
          </w:p>
          <w:p w14:paraId="0C8A142A" w14:textId="4CAB13C5" w:rsidR="00D740B8" w:rsidRPr="00086CC8" w:rsidRDefault="00D740B8">
            <w:pPr>
              <w:autoSpaceDE w:val="0"/>
              <w:autoSpaceDN w:val="0"/>
              <w:adjustRightInd w:val="0"/>
              <w:rPr>
                <w:rFonts w:ascii="Times New Roman" w:hAnsi="Times New Roman" w:cs="Times New Roman"/>
                <w:bCs/>
                <w:sz w:val="24"/>
              </w:rPr>
            </w:pPr>
            <w:r w:rsidRPr="00086CC8">
              <w:rPr>
                <w:rFonts w:ascii="Times New Roman" w:hAnsi="Times New Roman"/>
                <w:sz w:val="24"/>
              </w:rPr>
              <w:t>Člen 446(1), točka (d) in člen 314(1) Uredbe (EU) št. 575/2013.</w:t>
            </w:r>
          </w:p>
          <w:p w14:paraId="7883915F" w14:textId="77777777" w:rsidR="00D740B8" w:rsidRPr="00086CC8" w:rsidRDefault="00D740B8">
            <w:pPr>
              <w:autoSpaceDE w:val="0"/>
              <w:autoSpaceDN w:val="0"/>
              <w:adjustRightInd w:val="0"/>
              <w:rPr>
                <w:rFonts w:ascii="Times New Roman" w:hAnsi="Times New Roman"/>
                <w:bCs/>
                <w:sz w:val="24"/>
                <w:lang w:eastAsia="nl-BE"/>
              </w:rPr>
            </w:pPr>
          </w:p>
          <w:p w14:paraId="558CD9DA" w14:textId="2FA81485" w:rsidR="00EA10B1" w:rsidRPr="00086CC8" w:rsidRDefault="002F3CFA">
            <w:pPr>
              <w:pStyle w:val="paragraph"/>
              <w:spacing w:before="0" w:beforeAutospacing="0" w:after="0" w:afterAutospacing="0"/>
              <w:textAlignment w:val="baseline"/>
            </w:pPr>
            <w:r w:rsidRPr="00086CC8">
              <w:t>Vrednost za seznam postavk, ki so del izračuna kazalnika poslovanja in njegovih sestavin (izračun ILDC, sestavine storitev (SC) in finančne sestavine (FC)) v skladu z računovodskimi standardi, ki se uporabljajo za vsako od zadnjih treh poslovnih let.</w:t>
            </w:r>
          </w:p>
          <w:p w14:paraId="3414DDFE" w14:textId="77777777" w:rsidR="007B3E62" w:rsidRPr="00086CC8" w:rsidRDefault="007B3E62">
            <w:pPr>
              <w:pStyle w:val="paragraph"/>
              <w:spacing w:before="0" w:beforeAutospacing="0" w:after="0" w:afterAutospacing="0"/>
              <w:textAlignment w:val="baseline"/>
              <w:rPr>
                <w:lang w:eastAsia="de-DE"/>
              </w:rPr>
            </w:pPr>
          </w:p>
          <w:p w14:paraId="374E1BCA" w14:textId="5E2803E9" w:rsidR="007B3E62" w:rsidRPr="00086CC8" w:rsidRDefault="00B76B25">
            <w:pPr>
              <w:pStyle w:val="paragraph"/>
              <w:spacing w:before="0" w:beforeAutospacing="0" w:after="0" w:afterAutospacing="0"/>
              <w:textAlignment w:val="baseline"/>
            </w:pPr>
            <w:r w:rsidRPr="00086CC8">
              <w:t>Zneski se sporočijo po uporabi prilagoditev, povezanih z združitvami/prevzemi in odsvojenimi dejavnostmi.</w:t>
            </w:r>
          </w:p>
          <w:p w14:paraId="00BACA37" w14:textId="77777777" w:rsidR="00EA10B1" w:rsidRPr="00086CC8" w:rsidRDefault="00EA10B1">
            <w:pPr>
              <w:pStyle w:val="paragraph"/>
              <w:spacing w:before="0" w:beforeAutospacing="0" w:after="0" w:afterAutospacing="0"/>
              <w:textAlignment w:val="baseline"/>
              <w:rPr>
                <w:lang w:eastAsia="de-DE"/>
              </w:rPr>
            </w:pPr>
          </w:p>
          <w:p w14:paraId="21635601" w14:textId="1A8DE566" w:rsidR="00D740B8" w:rsidRPr="00086CC8" w:rsidRDefault="00D740B8" w:rsidP="000F6C61">
            <w:pPr>
              <w:pStyle w:val="paragraph"/>
              <w:spacing w:before="0" w:beforeAutospacing="0" w:after="0" w:afterAutospacing="0"/>
              <w:textAlignment w:val="baseline"/>
            </w:pPr>
            <w:r w:rsidRPr="00086CC8">
              <w:t>Vrednosti za finančne sestavine, ki jih je treba razkriti, odražajo računovodske vrednosti, določene z uporabo računovodske meje ali bonitetne meje, da se opredelijo postavke trgovalne in bančne knjige za vsako od zadnjih treh poslovnih let v skladu s členom 314(6) Uredbe (EU) št. 575/2013.</w:t>
            </w:r>
          </w:p>
        </w:tc>
      </w:tr>
      <w:tr w:rsidR="00D740B8" w:rsidRPr="00086CC8" w14:paraId="3103AD05" w14:textId="77777777">
        <w:trPr>
          <w:trHeight w:val="300"/>
        </w:trPr>
        <w:tc>
          <w:tcPr>
            <w:tcW w:w="1260" w:type="dxa"/>
          </w:tcPr>
          <w:p w14:paraId="0FFA543A" w14:textId="77777777" w:rsidR="00D740B8" w:rsidRPr="00086CC8" w:rsidRDefault="00D740B8" w:rsidP="00165BEF">
            <w:pPr>
              <w:autoSpaceDE w:val="0"/>
              <w:autoSpaceDN w:val="0"/>
              <w:adjustRightInd w:val="0"/>
              <w:jc w:val="center"/>
              <w:rPr>
                <w:rFonts w:ascii="Times New Roman" w:hAnsi="Times New Roman"/>
                <w:bCs/>
                <w:sz w:val="24"/>
              </w:rPr>
            </w:pPr>
            <w:r w:rsidRPr="00086CC8">
              <w:rPr>
                <w:rFonts w:ascii="Times New Roman" w:hAnsi="Times New Roman"/>
                <w:sz w:val="24"/>
              </w:rPr>
              <w:t>d</w:t>
            </w:r>
          </w:p>
        </w:tc>
        <w:tc>
          <w:tcPr>
            <w:tcW w:w="7756" w:type="dxa"/>
          </w:tcPr>
          <w:p w14:paraId="117DF1D7" w14:textId="77777777" w:rsidR="00D740B8" w:rsidRPr="00086CC8" w:rsidRDefault="00D740B8">
            <w:pPr>
              <w:autoSpaceDE w:val="0"/>
              <w:autoSpaceDN w:val="0"/>
              <w:adjustRightInd w:val="0"/>
              <w:rPr>
                <w:rStyle w:val="InstructionsTabelleberschrift"/>
                <w:rFonts w:ascii="Times New Roman" w:hAnsi="Times New Roman"/>
                <w:sz w:val="24"/>
                <w:u w:val="none"/>
              </w:rPr>
            </w:pPr>
            <w:r w:rsidRPr="00086CC8">
              <w:rPr>
                <w:rStyle w:val="InstructionsTabelleberschrift"/>
                <w:rFonts w:ascii="Times New Roman" w:hAnsi="Times New Roman"/>
                <w:sz w:val="24"/>
                <w:u w:val="none"/>
              </w:rPr>
              <w:t>Povprečne vrednosti</w:t>
            </w:r>
          </w:p>
          <w:p w14:paraId="27B3847F" w14:textId="77777777" w:rsidR="00D740B8" w:rsidRPr="00086CC8" w:rsidRDefault="00D740B8">
            <w:pPr>
              <w:autoSpaceDE w:val="0"/>
              <w:autoSpaceDN w:val="0"/>
              <w:adjustRightInd w:val="0"/>
              <w:rPr>
                <w:rFonts w:ascii="Times New Roman" w:hAnsi="Times New Roman"/>
                <w:sz w:val="24"/>
                <w:lang w:eastAsia="de-DE"/>
              </w:rPr>
            </w:pPr>
          </w:p>
          <w:p w14:paraId="2CEEC93D" w14:textId="277817D6" w:rsidR="00D740B8" w:rsidRPr="00086CC8" w:rsidRDefault="00D740B8">
            <w:pPr>
              <w:autoSpaceDE w:val="0"/>
              <w:autoSpaceDN w:val="0"/>
              <w:adjustRightInd w:val="0"/>
              <w:rPr>
                <w:rFonts w:ascii="Times New Roman" w:hAnsi="Times New Roman" w:cs="Times New Roman"/>
                <w:bCs/>
                <w:sz w:val="24"/>
              </w:rPr>
            </w:pPr>
            <w:r w:rsidRPr="00086CC8">
              <w:rPr>
                <w:rFonts w:ascii="Times New Roman" w:hAnsi="Times New Roman"/>
                <w:sz w:val="24"/>
              </w:rPr>
              <w:t>Člen 314(2), (5) in (6) Uredbe (EU) št. 575/2013.</w:t>
            </w:r>
          </w:p>
          <w:p w14:paraId="5FAAFF7A" w14:textId="77777777" w:rsidR="00D740B8" w:rsidRPr="00086CC8" w:rsidRDefault="00D740B8">
            <w:pPr>
              <w:autoSpaceDE w:val="0"/>
              <w:autoSpaceDN w:val="0"/>
              <w:adjustRightInd w:val="0"/>
              <w:rPr>
                <w:rStyle w:val="InstructionsTabelleberschrift"/>
                <w:rFonts w:ascii="Times New Roman" w:hAnsi="Times New Roman"/>
                <w:sz w:val="24"/>
              </w:rPr>
            </w:pPr>
          </w:p>
          <w:p w14:paraId="3E17CEC0" w14:textId="402AFA6E" w:rsidR="00D740B8" w:rsidRPr="00086CC8" w:rsidRDefault="00D740B8">
            <w:pPr>
              <w:pStyle w:val="paragraph"/>
              <w:spacing w:before="0" w:beforeAutospacing="0" w:after="0" w:afterAutospacing="0"/>
              <w:textAlignment w:val="baseline"/>
              <w:rPr>
                <w:rStyle w:val="normaltextrun"/>
              </w:rPr>
            </w:pPr>
            <w:r w:rsidRPr="00086CC8">
              <w:rPr>
                <w:rStyle w:val="normaltextrun"/>
              </w:rPr>
              <w:t xml:space="preserve">Izračunane vrednosti sestavin ILDC, SC in FC ter povprečne vrednosti njihovih povezanih </w:t>
            </w:r>
            <w:proofErr w:type="spellStart"/>
            <w:r w:rsidRPr="00086CC8">
              <w:rPr>
                <w:rStyle w:val="normaltextrun"/>
              </w:rPr>
              <w:t>podsestavin</w:t>
            </w:r>
            <w:proofErr w:type="spellEnd"/>
            <w:r w:rsidRPr="00086CC8">
              <w:rPr>
                <w:rStyle w:val="normaltextrun"/>
              </w:rPr>
              <w:t>, ki so izračunane za zadnja tri poslovna leta in se nanašajo na leto T.</w:t>
            </w:r>
          </w:p>
          <w:p w14:paraId="32637704" w14:textId="35682543" w:rsidR="00D740B8" w:rsidRPr="00086CC8" w:rsidRDefault="00D740B8">
            <w:pPr>
              <w:pStyle w:val="paragraph"/>
              <w:spacing w:before="0" w:beforeAutospacing="0" w:after="0" w:afterAutospacing="0"/>
              <w:textAlignment w:val="baseline"/>
              <w:rPr>
                <w:rStyle w:val="normaltextrun"/>
              </w:rPr>
            </w:pPr>
          </w:p>
          <w:p w14:paraId="6C270BFC" w14:textId="453723AA" w:rsidR="00D740B8" w:rsidRPr="00086CC8"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086CC8">
              <w:rPr>
                <w:rStyle w:val="normaltextrun"/>
              </w:rPr>
              <w:t xml:space="preserve">Povprečje se izračuna ob upoštevanju računovodskih vrednosti za vsako od zadnjih treh let. </w:t>
            </w:r>
          </w:p>
        </w:tc>
      </w:tr>
    </w:tbl>
    <w:p w14:paraId="75117700" w14:textId="77777777" w:rsidR="00D740B8" w:rsidRPr="00086CC8"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86CC8"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086CC8" w:rsidRDefault="00D740B8">
            <w:pPr>
              <w:autoSpaceDE w:val="0"/>
              <w:autoSpaceDN w:val="0"/>
              <w:adjustRightInd w:val="0"/>
              <w:rPr>
                <w:rFonts w:ascii="Times New Roman" w:hAnsi="Times New Roman" w:cs="Times New Roman"/>
                <w:b/>
                <w:sz w:val="24"/>
              </w:rPr>
            </w:pPr>
            <w:r w:rsidRPr="00086CC8">
              <w:rPr>
                <w:rFonts w:ascii="Times New Roman" w:hAnsi="Times New Roman"/>
                <w:b/>
                <w:sz w:val="24"/>
              </w:rPr>
              <w:t>Vrstica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086CC8" w:rsidRDefault="00D740B8">
            <w:pPr>
              <w:rPr>
                <w:rFonts w:ascii="Times New Roman" w:hAnsi="Times New Roman" w:cs="Times New Roman"/>
                <w:b/>
                <w:sz w:val="24"/>
              </w:rPr>
            </w:pPr>
            <w:r w:rsidRPr="00086CC8">
              <w:rPr>
                <w:rFonts w:ascii="Times New Roman" w:hAnsi="Times New Roman"/>
                <w:b/>
                <w:sz w:val="24"/>
              </w:rPr>
              <w:t>Pravna podlaga in navodila</w:t>
            </w:r>
          </w:p>
        </w:tc>
      </w:tr>
      <w:tr w:rsidR="00D740B8" w:rsidRPr="00086CC8"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086CC8" w:rsidRDefault="00D740B8">
            <w:pPr>
              <w:spacing w:before="60" w:after="120"/>
              <w:jc w:val="both"/>
              <w:rPr>
                <w:rFonts w:ascii="Times New Roman" w:eastAsia="Times New Roman" w:hAnsi="Times New Roman" w:cs="Times New Roman"/>
                <w:b/>
                <w:sz w:val="24"/>
              </w:rPr>
            </w:pPr>
            <w:r w:rsidRPr="00086CC8">
              <w:rPr>
                <w:rFonts w:ascii="Times New Roman" w:hAnsi="Times New Roman"/>
                <w:b/>
                <w:sz w:val="24"/>
              </w:rPr>
              <w:t>Sestavina obresti, zakupov in dividend (ILDC)</w:t>
            </w:r>
          </w:p>
          <w:p w14:paraId="78381763" w14:textId="2625CE0B" w:rsidR="00D740B8" w:rsidRPr="00086CC8" w:rsidRDefault="00D740B8">
            <w:pPr>
              <w:spacing w:before="60" w:after="120"/>
              <w:jc w:val="both"/>
              <w:rPr>
                <w:rFonts w:ascii="Times New Roman" w:eastAsia="Times New Roman" w:hAnsi="Times New Roman" w:cs="Times New Roman"/>
                <w:b/>
                <w:sz w:val="24"/>
              </w:rPr>
            </w:pPr>
            <w:r w:rsidRPr="00086CC8">
              <w:rPr>
                <w:rFonts w:ascii="Times New Roman" w:hAnsi="Times New Roman"/>
                <w:sz w:val="24"/>
              </w:rPr>
              <w:t>Sestavina obresti, zakupov in dividend (ILDC) se izračuna v skladu s členom 314(2) Uredbe (EU) št. 575/2013, vključno z zneski, izračunanimi v skladu s členom 314(3) Uredbe (EU) št. 575/2013, kadar je to primerno. Če za institucijo velja odstopanje iz člena 314(4) Uredbe (EU) št. 575/2013, institucija ne vključi podatkov s poslovnih področij bančništva na drobno in/ali komercialnega bančništva.</w:t>
            </w:r>
          </w:p>
        </w:tc>
      </w:tr>
      <w:tr w:rsidR="00456F97" w:rsidRPr="00086CC8"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086CC8" w:rsidRDefault="00E03FA1" w:rsidP="00086CC8">
            <w:pPr>
              <w:pageBreakBefore/>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086CC8" w:rsidRDefault="00E2624F">
            <w:pPr>
              <w:spacing w:before="60" w:after="120"/>
              <w:jc w:val="both"/>
              <w:rPr>
                <w:rFonts w:ascii="Times New Roman" w:eastAsia="Times New Roman" w:hAnsi="Times New Roman" w:cs="Times New Roman"/>
                <w:b/>
                <w:sz w:val="24"/>
              </w:rPr>
            </w:pPr>
            <w:r w:rsidRPr="00086CC8">
              <w:rPr>
                <w:rFonts w:ascii="Times New Roman" w:hAnsi="Times New Roman"/>
                <w:b/>
                <w:sz w:val="24"/>
              </w:rPr>
              <w:t>ILDC v zvezi s posamezno institucijo/konsolidirano skupino (razen subjektov iz člena 314(3))</w:t>
            </w:r>
          </w:p>
          <w:p w14:paraId="3B4A0231" w14:textId="6A33703B" w:rsidR="00E2624F" w:rsidRPr="00086CC8" w:rsidRDefault="00E2624F" w:rsidP="00413B96">
            <w:pPr>
              <w:rPr>
                <w:rFonts w:ascii="Times New Roman" w:hAnsi="Times New Roman"/>
                <w:color w:val="000000" w:themeColor="text1"/>
                <w:sz w:val="24"/>
              </w:rPr>
            </w:pPr>
            <w:r w:rsidRPr="00086CC8">
              <w:rPr>
                <w:rFonts w:ascii="Times New Roman" w:hAnsi="Times New Roman"/>
                <w:sz w:val="24"/>
              </w:rPr>
              <w:t>Sestavina obresti, zakupov in dividend (ILDC), izračunana v skladu s členom 314(2) Uredbe (EU) št. 575/2013, brez zneskov, ki so del izračuna ILDC v primerih, ko institucija uporablja odstopanje v skladu s členom 314(3) Uredbe (EU) št. 575/2013.</w:t>
            </w:r>
          </w:p>
        </w:tc>
      </w:tr>
      <w:tr w:rsidR="00D740B8" w:rsidRPr="00086CC8"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086CC8" w:rsidRDefault="00D740B8">
            <w:pPr>
              <w:spacing w:before="60" w:after="120"/>
              <w:jc w:val="both"/>
              <w:rPr>
                <w:rFonts w:ascii="Times New Roman" w:eastAsia="Times New Roman" w:hAnsi="Times New Roman" w:cs="Times New Roman"/>
                <w:b/>
                <w:sz w:val="24"/>
              </w:rPr>
            </w:pPr>
            <w:r w:rsidRPr="00086CC8">
              <w:rPr>
                <w:rFonts w:ascii="Times New Roman" w:hAnsi="Times New Roman"/>
                <w:b/>
                <w:sz w:val="24"/>
              </w:rPr>
              <w:t>Prihodki od obresti in najemov</w:t>
            </w:r>
          </w:p>
          <w:p w14:paraId="33CCD1CB" w14:textId="130AE220" w:rsidR="00BD248A" w:rsidRPr="00086CC8" w:rsidRDefault="00D740B8">
            <w:pPr>
              <w:rPr>
                <w:rFonts w:ascii="Times New Roman" w:eastAsia="Times New Roman" w:hAnsi="Times New Roman" w:cs="Times New Roman"/>
                <w:sz w:val="24"/>
              </w:rPr>
            </w:pPr>
            <w:r w:rsidRPr="00086CC8">
              <w:rPr>
                <w:rFonts w:ascii="Times New Roman" w:hAnsi="Times New Roman"/>
                <w:sz w:val="24"/>
              </w:rPr>
              <w:t>Vsota prihodkov od obresti od vseh finančnih sredstev, drugih prihodkov od sredstev, ki so predmet najema, in dobičkov iz sredstev, ki so predmet najema, v skladu s Prilogo V k rešitvam organa EBA na področju informacijske tehnologije.</w:t>
            </w:r>
          </w:p>
          <w:p w14:paraId="76D4A1E7" w14:textId="77777777" w:rsidR="00BD248A" w:rsidRPr="00086CC8" w:rsidRDefault="00BD248A">
            <w:pPr>
              <w:rPr>
                <w:rFonts w:ascii="Times New Roman" w:eastAsia="Times New Roman" w:hAnsi="Times New Roman" w:cs="Times New Roman"/>
                <w:sz w:val="24"/>
              </w:rPr>
            </w:pPr>
          </w:p>
          <w:p w14:paraId="19841383" w14:textId="08257E38" w:rsidR="00F5221D" w:rsidRPr="00086CC8" w:rsidRDefault="004F220F">
            <w:pPr>
              <w:rPr>
                <w:rFonts w:ascii="Times New Roman" w:eastAsia="Times New Roman" w:hAnsi="Times New Roman" w:cs="Times New Roman"/>
                <w:sz w:val="24"/>
              </w:rPr>
            </w:pPr>
            <w:r w:rsidRPr="00086CC8">
              <w:rPr>
                <w:rFonts w:ascii="Times New Roman" w:hAnsi="Times New Roman"/>
                <w:sz w:val="24"/>
              </w:rPr>
              <w:t>Prihodkih od obresti od vseh finančnih sredstev se izračunajo v skladu s Prilogo V, del 2, odstavek 31, k rešitvam organa EBA na področju informacijske tehnologije in ob upoštevanju dodatnih specifikacij iz Priloge V, del 2, odstavki 187, 189 in 194ii, k rešitvam organa EBA na področju informacijske tehnologije.</w:t>
            </w:r>
          </w:p>
          <w:p w14:paraId="55B6FFE6" w14:textId="77777777" w:rsidR="00F5221D" w:rsidRPr="00086CC8" w:rsidRDefault="00F5221D">
            <w:pPr>
              <w:rPr>
                <w:rFonts w:ascii="Times New Roman" w:eastAsia="Times New Roman" w:hAnsi="Times New Roman" w:cs="Times New Roman"/>
                <w:sz w:val="24"/>
              </w:rPr>
            </w:pPr>
          </w:p>
          <w:p w14:paraId="00ED9136" w14:textId="12CD18AE" w:rsidR="00E76AA5" w:rsidRPr="00086CC8" w:rsidRDefault="00F5221D" w:rsidP="007535CB">
            <w:pPr>
              <w:rPr>
                <w:rFonts w:ascii="Times New Roman" w:eastAsia="Times New Roman" w:hAnsi="Times New Roman" w:cs="Times New Roman"/>
                <w:sz w:val="24"/>
              </w:rPr>
            </w:pPr>
            <w:r w:rsidRPr="00086CC8">
              <w:rPr>
                <w:rFonts w:ascii="Times New Roman" w:hAnsi="Times New Roman"/>
                <w:sz w:val="24"/>
              </w:rPr>
              <w:t>Drugi prihodki od sredstev, ki so predmet najema (finančnega in poslovnega) ne vključujejo prihodkov od obresti. Ta znesek se izračuna v skladu s Prilogo V, del 2, odstavka 314 in 315, k rešitvam organa EBA na področju informacijske tehnologije, in predstavlja: (i) prihodke od sprememb poštene vrednosti naložbenih nepremičnin, ki prinašajo najemnine in se merijo po modelu poštene vrednosti; in/ali (ii) prihodke iz poslovnih najemov, vključno s prihodki od najemnin iz naložbenih nepremičnin.</w:t>
            </w:r>
          </w:p>
          <w:p w14:paraId="6C1BE770" w14:textId="77777777" w:rsidR="007535CB" w:rsidRPr="00086CC8" w:rsidRDefault="007535CB" w:rsidP="007535CB">
            <w:pPr>
              <w:rPr>
                <w:rFonts w:ascii="Times New Roman" w:eastAsia="Times New Roman" w:hAnsi="Times New Roman" w:cs="Times New Roman"/>
                <w:sz w:val="24"/>
              </w:rPr>
            </w:pPr>
          </w:p>
          <w:p w14:paraId="742C7468" w14:textId="3A50C109" w:rsidR="00D740B8" w:rsidRPr="00086CC8" w:rsidRDefault="00BB0B3D" w:rsidP="004F34D4">
            <w:pPr>
              <w:rPr>
                <w:rFonts w:ascii="Times New Roman" w:eastAsia="Times New Roman" w:hAnsi="Times New Roman" w:cs="Times New Roman"/>
                <w:sz w:val="24"/>
              </w:rPr>
            </w:pPr>
            <w:r w:rsidRPr="00086CC8">
              <w:rPr>
                <w:rFonts w:ascii="Times New Roman" w:hAnsi="Times New Roman"/>
                <w:sz w:val="24"/>
              </w:rPr>
              <w:t>Dobički iz sredstev, ki so predmet najema (finančnega in poslovnega) vključujejo: (i) prihodke zaradi sprememb najema v skladu s Prilogo V, del 2, odstavek 49, k rešitvam organa EBA na področju informacijske tehnologije; (ii) preostale druge poslovne prihodke (Drugi poslovni prihodki) v skladu s Prilogo V, del 2, odstavka 314 in 316, k rešitvam organa EBA na področju informacijske tehnologije, če so povezani s sredstvi, ki so predmet najema (finančnega in poslovnega).</w:t>
            </w:r>
          </w:p>
        </w:tc>
      </w:tr>
      <w:tr w:rsidR="00D740B8" w:rsidRPr="00086CC8"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086CC8" w:rsidRDefault="00D740B8">
            <w:pPr>
              <w:spacing w:before="60" w:after="120"/>
              <w:jc w:val="both"/>
              <w:rPr>
                <w:rFonts w:ascii="Times New Roman" w:eastAsia="Times New Roman" w:hAnsi="Times New Roman" w:cs="Times New Roman"/>
                <w:b/>
                <w:sz w:val="24"/>
              </w:rPr>
            </w:pPr>
            <w:r w:rsidRPr="00086CC8">
              <w:rPr>
                <w:rFonts w:ascii="Times New Roman" w:hAnsi="Times New Roman"/>
                <w:b/>
                <w:sz w:val="24"/>
              </w:rPr>
              <w:t>Odhodki za obresti in stroški najema</w:t>
            </w:r>
          </w:p>
          <w:p w14:paraId="65B73157" w14:textId="72BA8427" w:rsidR="00EC1398" w:rsidRPr="00086CC8" w:rsidRDefault="00D740B8">
            <w:pPr>
              <w:rPr>
                <w:rFonts w:ascii="Times New Roman" w:eastAsia="Times New Roman" w:hAnsi="Times New Roman" w:cs="Times New Roman"/>
                <w:sz w:val="24"/>
              </w:rPr>
            </w:pPr>
            <w:r w:rsidRPr="00086CC8">
              <w:rPr>
                <w:rFonts w:ascii="Times New Roman" w:hAnsi="Times New Roman"/>
                <w:sz w:val="24"/>
              </w:rPr>
              <w:t>Vsota odhodkov za obresti od vseh finančnih obveznosti, odhodkov iz sredstev, ki so predmet najema, ter amortizacije, oslabitve in izgub iz sredstev, ki so predmet poslovnega najema, kot je navedeno v Prilogi V k rešitvam organa EBA na področju informacijske tehnologije.</w:t>
            </w:r>
          </w:p>
          <w:p w14:paraId="06CEDDA9" w14:textId="77777777" w:rsidR="00BA33C3" w:rsidRPr="00086CC8" w:rsidRDefault="00BA33C3">
            <w:pPr>
              <w:rPr>
                <w:rFonts w:ascii="Times New Roman" w:eastAsia="Times New Roman" w:hAnsi="Times New Roman" w:cs="Times New Roman"/>
                <w:sz w:val="24"/>
              </w:rPr>
            </w:pPr>
          </w:p>
          <w:p w14:paraId="3ACFF991" w14:textId="1BCDC8C4" w:rsidR="00BA33C3" w:rsidRPr="00086CC8" w:rsidRDefault="00BA33C3">
            <w:pPr>
              <w:rPr>
                <w:rFonts w:ascii="Times New Roman" w:eastAsia="Times New Roman" w:hAnsi="Times New Roman" w:cs="Times New Roman"/>
                <w:sz w:val="24"/>
              </w:rPr>
            </w:pPr>
            <w:r w:rsidRPr="00086CC8">
              <w:rPr>
                <w:rFonts w:ascii="Times New Roman" w:hAnsi="Times New Roman"/>
                <w:sz w:val="24"/>
              </w:rPr>
              <w:t>Odhodki za obresti od vseh finančnih obveznosti se izračunajo v skladu s Prilogo V, del 2, odstavek 31, k rešitvam organa EBA na področju informacijske tehnologije in ob upoštevanju dodatnih specifikacij iz Priloge V, del 2, odstavki 188, 190 in 194ii, k rešitvam organa EBA na področju informacijske tehnologije. Odhodki za obresti, ki so posledica dogodkov operativnega tveganja, se ne vključijo. Namesto tega se vključijo v sestavino storitev v skladu s členom 314(5) Uredbe (EU) št. 575/2013.</w:t>
            </w:r>
          </w:p>
          <w:p w14:paraId="2D079DF5" w14:textId="77777777" w:rsidR="003D0A4B" w:rsidRPr="00086CC8" w:rsidRDefault="003D0A4B">
            <w:pPr>
              <w:rPr>
                <w:rFonts w:ascii="Times New Roman" w:eastAsia="Times New Roman" w:hAnsi="Times New Roman" w:cs="Times New Roman"/>
                <w:sz w:val="24"/>
              </w:rPr>
            </w:pPr>
          </w:p>
          <w:p w14:paraId="08A94531" w14:textId="1EA15404" w:rsidR="003D0A4B" w:rsidRPr="00086CC8" w:rsidRDefault="003D0A4B" w:rsidP="00D136A0">
            <w:pPr>
              <w:rPr>
                <w:rFonts w:ascii="Times New Roman" w:eastAsia="Times New Roman" w:hAnsi="Times New Roman" w:cs="Times New Roman"/>
                <w:sz w:val="24"/>
              </w:rPr>
            </w:pPr>
            <w:r w:rsidRPr="00086CC8">
              <w:rPr>
                <w:rFonts w:ascii="Times New Roman" w:hAnsi="Times New Roman"/>
                <w:sz w:val="24"/>
              </w:rPr>
              <w:t>Odhodki iz sredstev, ki so predmet najema (poslovnega), vključujejo odhodke v skladu s Prilogo V, del 2, odstavka 314 in 315, k rešitvam organa EBA na področju informacijske tehnologije v zvezi s poslovnimi najemi, ki predstavljajo: (i) odhodke zaradi sprememb poštene vrednosti naložbenih nepremičnin, ki prinašajo najemnine in se merijo z uporabo modela poštene vrednosti iz sredstev, ki so predmet poslovnega najema; in (ii) stroške poslovnega najema, vključno z neposrednimi odhodki iz poslovanja za naložbene nepremičnine, ki prinašajo najemnine. Poleg tega bi morale institucije v to vrstico vključiti tudi druge upravne stroške za sredstva, ki so predmet poslovnega najema, v skladu s Prilogo V, del 2, odstavek 208ix, k rešitvam organa EBA na področju informacijske tehnologije. Odhodki, ki so posledica dogodkov operativnega tveganja, se ne vključijo. Namesto tega se vključijo v sestavino storitev v skladu s členom 314(5) Uredbe (EU) št. 575/2013.</w:t>
            </w:r>
          </w:p>
          <w:p w14:paraId="61020FEC" w14:textId="77777777" w:rsidR="00376B14" w:rsidRPr="00086CC8" w:rsidRDefault="00376B14">
            <w:pPr>
              <w:rPr>
                <w:rFonts w:ascii="Times New Roman" w:eastAsia="Times New Roman" w:hAnsi="Times New Roman" w:cs="Times New Roman"/>
                <w:sz w:val="24"/>
              </w:rPr>
            </w:pPr>
          </w:p>
          <w:p w14:paraId="5D976FDD" w14:textId="0FB08478" w:rsidR="00376B14" w:rsidRPr="00086CC8" w:rsidRDefault="00376B14">
            <w:pPr>
              <w:rPr>
                <w:rFonts w:ascii="Times New Roman" w:eastAsia="Times New Roman" w:hAnsi="Times New Roman" w:cs="Times New Roman"/>
                <w:sz w:val="24"/>
              </w:rPr>
            </w:pPr>
            <w:r w:rsidRPr="00086CC8">
              <w:rPr>
                <w:rFonts w:ascii="Times New Roman" w:hAnsi="Times New Roman"/>
                <w:sz w:val="24"/>
              </w:rPr>
              <w:t>Amortizacija sredstev, ki so predmet poslovnega najema, ustreza stroškom amortizacije, kot se o njih poroča v skladu z odstavkoma 102 in 104 Mednarodnega računovodskega standarda (MRS) 1, vendar samo iz sredstev, ki so predmet poslovnega najema, katerih prihodki ali odhodki so vključeni v izračun prihodkov od obresti ali odhodkov za obresti.</w:t>
            </w:r>
          </w:p>
          <w:p w14:paraId="5D82FC67" w14:textId="77777777" w:rsidR="00DA24A2" w:rsidRPr="00086CC8" w:rsidRDefault="00DA24A2">
            <w:pPr>
              <w:rPr>
                <w:rFonts w:ascii="Times New Roman" w:eastAsia="Times New Roman" w:hAnsi="Times New Roman" w:cs="Times New Roman"/>
                <w:sz w:val="24"/>
              </w:rPr>
            </w:pPr>
          </w:p>
          <w:p w14:paraId="1D89DE9C" w14:textId="6D7B59E2" w:rsidR="00DA24A2" w:rsidRPr="00086CC8" w:rsidRDefault="00DA24A2">
            <w:pPr>
              <w:rPr>
                <w:rFonts w:ascii="Times New Roman" w:eastAsia="Times New Roman" w:hAnsi="Times New Roman" w:cs="Times New Roman"/>
                <w:sz w:val="24"/>
              </w:rPr>
            </w:pPr>
            <w:r w:rsidRPr="00086CC8">
              <w:rPr>
                <w:rFonts w:ascii="Times New Roman" w:hAnsi="Times New Roman"/>
                <w:sz w:val="24"/>
              </w:rPr>
              <w:t>Oslabitev sredstev, ki so predmet poslovnega najema, ustreza odhodkom iz sredstev, ki so predmet poslovnega najema, ki predstavljajo oslabitev ali odpravo oslabitve v skladu z MRS 36, odstavek 126(a)(b), iz sredstev, ki so predmet poslovnega najema.</w:t>
            </w:r>
          </w:p>
          <w:p w14:paraId="11B36ACB" w14:textId="77777777" w:rsidR="00DA24A2" w:rsidRPr="00086CC8" w:rsidRDefault="00DA24A2">
            <w:pPr>
              <w:rPr>
                <w:rFonts w:ascii="Times New Roman" w:eastAsia="Times New Roman" w:hAnsi="Times New Roman" w:cs="Times New Roman"/>
                <w:sz w:val="24"/>
              </w:rPr>
            </w:pPr>
          </w:p>
          <w:p w14:paraId="0FA351B6" w14:textId="470A5833" w:rsidR="00D740B8" w:rsidRPr="00086CC8" w:rsidRDefault="00DA24A2" w:rsidP="004F34D4">
            <w:pPr>
              <w:rPr>
                <w:rFonts w:ascii="Times New Roman" w:hAnsi="Times New Roman"/>
                <w:sz w:val="24"/>
              </w:rPr>
            </w:pPr>
            <w:r w:rsidRPr="00086CC8">
              <w:rPr>
                <w:rFonts w:ascii="Times New Roman" w:hAnsi="Times New Roman"/>
                <w:sz w:val="24"/>
              </w:rPr>
              <w:t>Izgube iz sredstev, ki so predmet poslovnega najema, ustrezajo drugim odhodkom iz poslovanja (Drugi odhodki iz poslovanja) v skladu s Prilogo V, del 2, oddelek 29.3, odstavek 316, k rešitvam organa EBA na področju informacijske tehnologije, če so povezane s sredstvi, ki so predmet poslovnega najema. Izgube, ki so posledica dogodkov operativnega tveganja, se ne vključijo. Namesto tega se vključijo v sestavino storitev v skladu s členom 314(5) Uredbe (EU) št. 575/2013.</w:t>
            </w:r>
          </w:p>
        </w:tc>
      </w:tr>
      <w:tr w:rsidR="00D740B8" w:rsidRPr="00086CC8"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086CC8" w:rsidRDefault="00B76736">
            <w:pPr>
              <w:spacing w:before="60" w:after="120"/>
              <w:jc w:val="both"/>
              <w:rPr>
                <w:rStyle w:val="InstructionsTabelleberschrift"/>
                <w:rFonts w:ascii="Times New Roman" w:eastAsia="Times New Roman" w:hAnsi="Times New Roman"/>
                <w:sz w:val="24"/>
                <w:u w:val="none"/>
              </w:rPr>
            </w:pPr>
            <w:r w:rsidRPr="00086CC8">
              <w:rPr>
                <w:rStyle w:val="InstructionsTabelleberschrift"/>
                <w:rFonts w:ascii="Times New Roman" w:hAnsi="Times New Roman"/>
                <w:sz w:val="24"/>
                <w:u w:val="none"/>
              </w:rPr>
              <w:t>Skupna sredstva/sestavina sredstev</w:t>
            </w:r>
          </w:p>
          <w:p w14:paraId="15501679" w14:textId="3EB04379" w:rsidR="00D740B8" w:rsidRPr="00086CC8" w:rsidRDefault="00B76736">
            <w:pPr>
              <w:spacing w:before="60" w:after="120"/>
              <w:jc w:val="both"/>
              <w:rPr>
                <w:rFonts w:ascii="Times New Roman" w:eastAsia="Times New Roman" w:hAnsi="Times New Roman" w:cs="Times New Roman"/>
                <w:sz w:val="24"/>
              </w:rPr>
            </w:pPr>
            <w:r w:rsidRPr="00086CC8">
              <w:rPr>
                <w:rFonts w:ascii="Times New Roman" w:hAnsi="Times New Roman"/>
                <w:sz w:val="24"/>
              </w:rPr>
              <w:t>Sestavina sredstev v stolpcu d) se izračuna v skladu s členom 314(2) Uredbe (EU) št. 575/2013.</w:t>
            </w:r>
          </w:p>
          <w:p w14:paraId="65FF56C9" w14:textId="24401D0D" w:rsidR="004E3E86" w:rsidRPr="00086CC8" w:rsidRDefault="003E3201" w:rsidP="00373F9D">
            <w:pPr>
              <w:rPr>
                <w:rFonts w:ascii="Times New Roman" w:hAnsi="Times New Roman"/>
                <w:sz w:val="24"/>
              </w:rPr>
            </w:pPr>
            <w:r w:rsidRPr="00086CC8">
              <w:rPr>
                <w:rFonts w:ascii="Times New Roman" w:hAnsi="Times New Roman"/>
                <w:sz w:val="24"/>
              </w:rPr>
              <w:t>V drugih stolpcih skupna vrednost sredstev ustreza vsoti bruto knjigovodske vrednosti denarnih sredstev pri centralnih bankah in drugih vlog na vpogled, dolžniških vrednostnih papirjev, kreditov in drugih finančnih sredstev ter knjigovodske vrednosti izvedenih finančnih instrumentov (za trgovanje in za ekonomska varovanja ter obračunavanje varovanja pred tveganjem) in sredstev, ki so predmet najema (opredmetenih in neopredmetenih sredstev). Te postavke se nanašajo na Prilogo V k rešitvam organa EBA na področju informacijske tehnologije.</w:t>
            </w:r>
          </w:p>
          <w:p w14:paraId="2655EEC4" w14:textId="6116BB66" w:rsidR="00BC1F18" w:rsidRPr="00086CC8" w:rsidRDefault="00BC1F18" w:rsidP="00BC1F18">
            <w:pPr>
              <w:rPr>
                <w:rFonts w:ascii="Times New Roman" w:hAnsi="Times New Roman"/>
                <w:sz w:val="24"/>
              </w:rPr>
            </w:pPr>
          </w:p>
        </w:tc>
      </w:tr>
      <w:tr w:rsidR="00D740B8" w:rsidRPr="00086CC8"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086CC8" w:rsidRDefault="00D740B8" w:rsidP="00086CC8">
            <w:pPr>
              <w:pageBreakBefore/>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086CC8" w:rsidRDefault="00B76736">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Prihodki od dividend/sestavina dividend</w:t>
            </w:r>
          </w:p>
          <w:p w14:paraId="1A066B7B" w14:textId="4AA7538A" w:rsidR="00D740B8" w:rsidRPr="00086CC8" w:rsidRDefault="00B76736" w:rsidP="004E3E86">
            <w:pPr>
              <w:spacing w:before="60" w:after="120"/>
              <w:jc w:val="both"/>
              <w:rPr>
                <w:rFonts w:ascii="Times New Roman" w:eastAsia="Times New Roman" w:hAnsi="Times New Roman" w:cs="Times New Roman"/>
                <w:sz w:val="24"/>
              </w:rPr>
            </w:pPr>
            <w:r w:rsidRPr="00086CC8">
              <w:rPr>
                <w:rFonts w:ascii="Times New Roman" w:hAnsi="Times New Roman"/>
                <w:sz w:val="24"/>
              </w:rPr>
              <w:t>Sestavina dividend v stolpcu d) se izračuna v skladu s členom 314(2) Uredbe (EU) št. 575/2013.</w:t>
            </w:r>
          </w:p>
          <w:p w14:paraId="3F4B342E" w14:textId="23DB8876" w:rsidR="004E3E86" w:rsidRPr="00086CC8" w:rsidRDefault="004E3E86" w:rsidP="004E3E86">
            <w:pPr>
              <w:rPr>
                <w:rFonts w:ascii="Times New Roman" w:hAnsi="Times New Roman"/>
                <w:sz w:val="24"/>
              </w:rPr>
            </w:pPr>
            <w:r w:rsidRPr="00086CC8">
              <w:rPr>
                <w:rFonts w:ascii="Times New Roman" w:hAnsi="Times New Roman"/>
                <w:sz w:val="24"/>
              </w:rPr>
              <w:t>Institucije o prihodkih od dividend poročajo v skladu s Prilogo V, del 2, odstavki 40 do 42, k rešitvam organa EBA na področju informacijske tehnologije.</w:t>
            </w:r>
          </w:p>
        </w:tc>
      </w:tr>
      <w:tr w:rsidR="003826D3" w:rsidRPr="00086CC8"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086CC8" w:rsidRDefault="003826D3" w:rsidP="003826D3">
            <w:pPr>
              <w:spacing w:before="60" w:after="120"/>
              <w:jc w:val="both"/>
              <w:rPr>
                <w:rFonts w:ascii="Times New Roman" w:eastAsia="Times New Roman" w:hAnsi="Times New Roman" w:cs="Times New Roman"/>
                <w:b/>
                <w:sz w:val="24"/>
              </w:rPr>
            </w:pPr>
            <w:r w:rsidRPr="00086CC8">
              <w:rPr>
                <w:rFonts w:ascii="Times New Roman" w:hAnsi="Times New Roman"/>
                <w:b/>
                <w:sz w:val="24"/>
              </w:rPr>
              <w:t>Sestavina storitev (SC)</w:t>
            </w:r>
          </w:p>
          <w:p w14:paraId="2D48B659" w14:textId="0264DFE4" w:rsidR="00080F37" w:rsidRPr="00086CC8" w:rsidRDefault="005E7C4C"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Sestavina storitev se izračuna v skladu s členom 314(5) Uredbe (EU) št. 575/2013.</w:t>
            </w:r>
          </w:p>
          <w:p w14:paraId="2EFCFDAF" w14:textId="3F07E77F" w:rsidR="003826D3" w:rsidRPr="00086CC8" w:rsidRDefault="0094124B" w:rsidP="003826D3">
            <w:pPr>
              <w:spacing w:before="60" w:after="120"/>
              <w:jc w:val="both"/>
              <w:rPr>
                <w:rStyle w:val="InstructionsTabelleberschrift"/>
                <w:rFonts w:ascii="Times New Roman" w:eastAsia="Times New Roman" w:hAnsi="Times New Roman"/>
                <w:bCs w:val="0"/>
                <w:sz w:val="24"/>
              </w:rPr>
            </w:pPr>
            <w:r w:rsidRPr="00086CC8">
              <w:rPr>
                <w:rFonts w:ascii="Times New Roman" w:hAnsi="Times New Roman"/>
                <w:sz w:val="24"/>
              </w:rPr>
              <w:t xml:space="preserve">Če za institucijo velja odstopanje iz člena 314(4) Uredbe (EU) št. 575/2013, institucija ne vključi podatkov s poslovnih področij bančništva na drobno in/ali komercialnega bančništva. </w:t>
            </w:r>
          </w:p>
        </w:tc>
      </w:tr>
      <w:tr w:rsidR="003826D3" w:rsidRPr="00086CC8"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086CC8" w:rsidRDefault="003826D3" w:rsidP="003826D3">
            <w:pPr>
              <w:spacing w:before="60" w:after="120"/>
              <w:jc w:val="both"/>
              <w:rPr>
                <w:rFonts w:ascii="Times New Roman" w:eastAsia="Times New Roman" w:hAnsi="Times New Roman" w:cs="Times New Roman"/>
                <w:b/>
                <w:sz w:val="24"/>
              </w:rPr>
            </w:pPr>
            <w:r w:rsidRPr="00086CC8">
              <w:rPr>
                <w:rFonts w:ascii="Times New Roman" w:hAnsi="Times New Roman"/>
                <w:b/>
                <w:sz w:val="24"/>
              </w:rPr>
              <w:t>Prihodki iz provizij in opravnin</w:t>
            </w:r>
          </w:p>
          <w:p w14:paraId="1394D6AF" w14:textId="06AD3617" w:rsidR="003826D3" w:rsidRPr="00086CC8" w:rsidRDefault="009816D6"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Prihodki iz provizij in opravnin iz Priloge V, del 2, odstavki 281 do 284, k rešitvam organa EBA na področju informacijske tehnologije, izračunani v skladu s členom 314(5) Uredbe (EU) št. 575/2013.</w:t>
            </w:r>
          </w:p>
          <w:p w14:paraId="0EA5E8EE" w14:textId="07382D3A" w:rsidR="008D318E" w:rsidRPr="00086CC8" w:rsidRDefault="008D318E"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V to postavko bi bilo treba v skladu s členom 7 regulativnih tehničnih standardov, ki se oblikujejo v skladu s členom 314(9) Uredbe (EU) št. 575/2013, vključiti tudi prihodke iz pomožnih dejavnosti, kot so dejavnosti informacijske tehnologije, potrebne za izvedbo finančne storitve.</w:t>
            </w:r>
          </w:p>
          <w:p w14:paraId="388F841F" w14:textId="1B0267DB" w:rsidR="00D91B18" w:rsidRPr="00086CC8" w:rsidRDefault="007D3710" w:rsidP="003826D3">
            <w:pPr>
              <w:spacing w:before="60" w:after="120"/>
              <w:jc w:val="both"/>
              <w:rPr>
                <w:rStyle w:val="InstructionsTabelleberschrift"/>
                <w:rFonts w:ascii="Times New Roman" w:eastAsia="Times New Roman" w:hAnsi="Times New Roman"/>
                <w:b w:val="0"/>
                <w:bCs w:val="0"/>
                <w:sz w:val="24"/>
                <w:u w:val="none"/>
              </w:rPr>
            </w:pPr>
            <w:r w:rsidRPr="00086CC8">
              <w:rPr>
                <w:rStyle w:val="InstructionsTabelleberschrift"/>
                <w:rFonts w:ascii="Times New Roman" w:hAnsi="Times New Roman"/>
                <w:b w:val="0"/>
                <w:sz w:val="24"/>
                <w:u w:val="none"/>
              </w:rPr>
              <w:t>Del prihodkov iz provizij in opravnin, prejetih od institucij, ki so članice iste institucionalne sheme za zaščito vlog se v skladu s členom 314(5) Uredbe (EU) št. 575/2013 izključi.</w:t>
            </w:r>
          </w:p>
        </w:tc>
      </w:tr>
      <w:tr w:rsidR="003826D3" w:rsidRPr="00086CC8"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086CC8" w:rsidRDefault="003826D3" w:rsidP="003826D3">
            <w:pPr>
              <w:spacing w:before="60" w:after="120"/>
              <w:jc w:val="both"/>
              <w:rPr>
                <w:rFonts w:ascii="Times New Roman" w:eastAsia="Times New Roman" w:hAnsi="Times New Roman" w:cs="Times New Roman"/>
                <w:b/>
                <w:sz w:val="24"/>
              </w:rPr>
            </w:pPr>
            <w:r w:rsidRPr="00086CC8">
              <w:rPr>
                <w:rFonts w:ascii="Times New Roman" w:hAnsi="Times New Roman"/>
                <w:b/>
                <w:sz w:val="24"/>
              </w:rPr>
              <w:t>Odhodki iz provizij in opravnin</w:t>
            </w:r>
          </w:p>
          <w:p w14:paraId="241530E4" w14:textId="72E685E0" w:rsidR="003826D3" w:rsidRPr="00086CC8" w:rsidRDefault="009816D6"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Odhodki iz provizij in opravnin iz Priloge V, del 2, odstavki 281 do 284, k rešitvam organa EBA na področju informacijske tehnologije, izračunani v skladu s členom 314(5) Uredbe (EU) št. 575/2013.</w:t>
            </w:r>
          </w:p>
          <w:p w14:paraId="03E34B08" w14:textId="2D67624D" w:rsidR="00126683" w:rsidRPr="00086CC8" w:rsidRDefault="00126683"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V tej vrstici bi bilo treba razkriti provizije za zunanje izvajanje, plačane za zagotavljanje finančnih storitev, navedene na seznamu dejavnosti iz člena 8 regulativnih tehničnih standardov, ki se oblikujejo v skladu s členom 314(9) Uredbe (EU) št. 575/2013, če so v skladu s členom 16 navedenih regulativnih tehničnih standardov v skladu z uporabljenim računovodskim okvirom vključene v upravne stroške. V to postavko bi bilo treba vključiti tudi odhodke za pomožne dejavnosti, kot so dejavnosti informacijske tehnologije, potrebne za izvedbo finančne storitve.</w:t>
            </w:r>
          </w:p>
          <w:p w14:paraId="37B7C759" w14:textId="401F429B" w:rsidR="00A87543" w:rsidRPr="00086CC8" w:rsidRDefault="00A87543" w:rsidP="003826D3">
            <w:pPr>
              <w:spacing w:before="60" w:after="120"/>
              <w:jc w:val="both"/>
              <w:rPr>
                <w:rStyle w:val="InstructionsTabelleberschrift"/>
                <w:rFonts w:ascii="Times New Roman" w:eastAsia="Times New Roman" w:hAnsi="Times New Roman"/>
                <w:b w:val="0"/>
                <w:sz w:val="24"/>
              </w:rPr>
            </w:pPr>
            <w:r w:rsidRPr="00086CC8">
              <w:rPr>
                <w:rFonts w:ascii="Times New Roman" w:hAnsi="Times New Roman"/>
                <w:sz w:val="24"/>
              </w:rPr>
              <w:t>Del odhodkov iz provizij in opravnin, plačanih institucijam, ki so članice iste institucionalne sheme za zaščito vlog, se v skladu s členom 314(5) Uredbe (EU) št. 575/2013 izključi.</w:t>
            </w:r>
          </w:p>
        </w:tc>
      </w:tr>
      <w:tr w:rsidR="003826D3" w:rsidRPr="00086CC8"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086CC8" w:rsidRDefault="003826D3" w:rsidP="003826D3">
            <w:pPr>
              <w:spacing w:before="60" w:after="120"/>
              <w:jc w:val="both"/>
              <w:rPr>
                <w:rStyle w:val="InstructionsTabelleberschrift"/>
                <w:rFonts w:ascii="Times New Roman" w:eastAsia="Times New Roman" w:hAnsi="Times New Roman"/>
                <w:sz w:val="24"/>
                <w:u w:val="none"/>
              </w:rPr>
            </w:pPr>
            <w:r w:rsidRPr="00086CC8">
              <w:rPr>
                <w:rStyle w:val="InstructionsTabelleberschrift"/>
                <w:rFonts w:ascii="Times New Roman" w:hAnsi="Times New Roman"/>
                <w:sz w:val="24"/>
                <w:u w:val="none"/>
              </w:rPr>
              <w:t>Drugi poslovni prihodki</w:t>
            </w:r>
          </w:p>
          <w:p w14:paraId="035A399D" w14:textId="7232F3EB" w:rsidR="00671F1C" w:rsidRPr="00086CC8" w:rsidRDefault="009816D6"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 xml:space="preserve">Drugi poslovni prihodki, vključno z: dobički iz </w:t>
            </w:r>
            <w:proofErr w:type="spellStart"/>
            <w:r w:rsidRPr="00086CC8">
              <w:rPr>
                <w:rFonts w:ascii="Times New Roman" w:hAnsi="Times New Roman"/>
                <w:sz w:val="24"/>
              </w:rPr>
              <w:t>nekratkoročnih</w:t>
            </w:r>
            <w:proofErr w:type="spellEnd"/>
            <w:r w:rsidRPr="00086CC8">
              <w:rPr>
                <w:rFonts w:ascii="Times New Roman" w:hAnsi="Times New Roman"/>
                <w:sz w:val="24"/>
              </w:rPr>
              <w:t xml:space="preserve"> sredstev in skupin za odtujitev, razvrščenih med sredstva v posesti za prodajo, ki jih ni mogoče razvrstiti kot ustavljeno poslovanje (v primeru izgub se vrednosti obravnavajo kot nič), v skladu s Prilogo V, del 2, odstavek 55, k rešitvam organa EBA na področju informacijske tehnologije ter drugimi poslovnimi prihodki iz Priloge V, del 2, odstavka 314 in 316, k rešitvam organa EBA na področju informacijske tehnologije, vendar brez prihodkov iz poslovnega najema in katere koli postavke, določene v členu 314(7) Uredbe (EU) 2021/451.</w:t>
            </w:r>
          </w:p>
          <w:p w14:paraId="39451B35" w14:textId="17278A47" w:rsidR="00A471E8" w:rsidRPr="00086CC8" w:rsidRDefault="007863F3"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Izterjava upravnih stroškov se ne bi smela upoštevati v skladu s členom 5 regulativnih tehničnih standardov o sestavinah kazalnika poslovanja, ki se oblikuje v skladu s členom 314(9) Uredbe (EU) št. 575/2013.</w:t>
            </w:r>
          </w:p>
          <w:p w14:paraId="0B35E56E" w14:textId="27C4774F" w:rsidR="00695D35" w:rsidRPr="00086CC8" w:rsidRDefault="00695D35"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Znesek drugih prihodkov iz poslovanja, prejetih od institucij, ki so članice iste institucionalne sheme za zaščito vlog, se v skladu s členom 314(5) Uredbe (EU) št. 575/2013 izključi.</w:t>
            </w:r>
          </w:p>
          <w:p w14:paraId="685D1BC1" w14:textId="04DD0137" w:rsidR="00695D35" w:rsidRPr="00086CC8" w:rsidRDefault="00695D35" w:rsidP="003826D3">
            <w:pPr>
              <w:spacing w:before="60" w:after="120"/>
              <w:jc w:val="both"/>
              <w:rPr>
                <w:rStyle w:val="InstructionsTabelleberschrift"/>
                <w:rFonts w:ascii="Times New Roman" w:eastAsia="Times New Roman" w:hAnsi="Times New Roman"/>
                <w:b w:val="0"/>
                <w:bCs w:val="0"/>
                <w:sz w:val="24"/>
                <w:u w:val="none"/>
              </w:rPr>
            </w:pPr>
            <w:r w:rsidRPr="00086CC8">
              <w:rPr>
                <w:rFonts w:ascii="Times New Roman" w:hAnsi="Times New Roman"/>
                <w:sz w:val="24"/>
              </w:rPr>
              <w:t>Znesek v tej vrstici se izračuna v skladu s členom 314(5) Uredbe (EU) št. 575/2013.</w:t>
            </w:r>
          </w:p>
        </w:tc>
      </w:tr>
      <w:tr w:rsidR="003826D3" w:rsidRPr="00086CC8"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086CC8" w:rsidRDefault="003826D3" w:rsidP="003826D3">
            <w:pPr>
              <w:spacing w:before="60" w:after="120"/>
              <w:jc w:val="both"/>
              <w:rPr>
                <w:rStyle w:val="InstructionsTabelleberschrift"/>
                <w:rFonts w:ascii="Times New Roman" w:eastAsia="Times New Roman" w:hAnsi="Times New Roman"/>
                <w:sz w:val="24"/>
                <w:u w:val="none"/>
              </w:rPr>
            </w:pPr>
            <w:r w:rsidRPr="00086CC8">
              <w:rPr>
                <w:rStyle w:val="InstructionsTabelleberschrift"/>
                <w:rFonts w:ascii="Times New Roman" w:hAnsi="Times New Roman"/>
                <w:sz w:val="24"/>
                <w:u w:val="none"/>
              </w:rPr>
              <w:t>Drugi poslovni odhodki</w:t>
            </w:r>
          </w:p>
          <w:p w14:paraId="13FCDFA5" w14:textId="269315A4" w:rsidR="00B722D0" w:rsidRPr="00086CC8" w:rsidRDefault="009816D6" w:rsidP="003826D3">
            <w:pPr>
              <w:spacing w:before="60" w:after="120"/>
              <w:jc w:val="both"/>
              <w:rPr>
                <w:rFonts w:ascii="Times New Roman" w:eastAsia="Times New Roman" w:hAnsi="Times New Roman" w:cs="Times New Roman"/>
                <w:sz w:val="24"/>
              </w:rPr>
            </w:pPr>
            <w:r w:rsidRPr="00086CC8">
              <w:rPr>
                <w:rFonts w:ascii="Times New Roman" w:hAnsi="Times New Roman"/>
                <w:sz w:val="24"/>
              </w:rPr>
              <w:t>Drugi poslovni odhodki, vključno z:</w:t>
            </w:r>
          </w:p>
          <w:p w14:paraId="0E760CEE" w14:textId="74A56BE8" w:rsidR="00643568" w:rsidRPr="00086CC8" w:rsidRDefault="004D0A0E" w:rsidP="002A26E9">
            <w:pPr>
              <w:pStyle w:val="ListParagraph"/>
              <w:numPr>
                <w:ilvl w:val="0"/>
                <w:numId w:val="9"/>
              </w:numPr>
              <w:spacing w:before="60" w:after="120"/>
              <w:jc w:val="both"/>
              <w:rPr>
                <w:rFonts w:ascii="Times New Roman" w:eastAsia="Times New Roman" w:hAnsi="Times New Roman"/>
                <w:sz w:val="24"/>
              </w:rPr>
            </w:pPr>
            <w:r w:rsidRPr="00086CC8">
              <w:rPr>
                <w:rFonts w:ascii="Times New Roman" w:hAnsi="Times New Roman"/>
                <w:sz w:val="24"/>
              </w:rPr>
              <w:t xml:space="preserve">izgubami iz </w:t>
            </w:r>
            <w:proofErr w:type="spellStart"/>
            <w:r w:rsidRPr="00086CC8">
              <w:rPr>
                <w:rFonts w:ascii="Times New Roman" w:hAnsi="Times New Roman"/>
                <w:sz w:val="24"/>
              </w:rPr>
              <w:t>nekratkoročnih</w:t>
            </w:r>
            <w:proofErr w:type="spellEnd"/>
            <w:r w:rsidRPr="00086CC8">
              <w:rPr>
                <w:rFonts w:ascii="Times New Roman" w:hAnsi="Times New Roman"/>
                <w:sz w:val="24"/>
              </w:rPr>
              <w:t xml:space="preserve"> sredstev in skupin za odtujitev, razvrščenih med sredstva v posesti za prodajo, ki jih ni mogoče razvrstiti kot ustavljeno poslovanje, izgubami, ki niso posledica dogodkov operativnega tveganja, iz </w:t>
            </w:r>
            <w:proofErr w:type="spellStart"/>
            <w:r w:rsidRPr="00086CC8">
              <w:rPr>
                <w:rFonts w:ascii="Times New Roman" w:hAnsi="Times New Roman"/>
                <w:sz w:val="24"/>
              </w:rPr>
              <w:t>nekratkoročnih</w:t>
            </w:r>
            <w:proofErr w:type="spellEnd"/>
            <w:r w:rsidRPr="00086CC8">
              <w:rPr>
                <w:rFonts w:ascii="Times New Roman" w:hAnsi="Times New Roman"/>
                <w:sz w:val="24"/>
              </w:rPr>
              <w:t xml:space="preserve"> sredstev in skupin za odtujitev, razvrščenih med sredstva v posesti za prodajo, ki jih ni mogoče razvrstiti kot ustavljeno poslovanje, v skladu s Prilogo V, del 2, odstavek 55, k rešitvam organa EBA na področju informacijske tehnologije. Poročati je treba samo o izgubah; v primeru dobička se šteje, da vrednost za to vrstico znaša nič;</w:t>
            </w:r>
          </w:p>
          <w:p w14:paraId="0334035E" w14:textId="19D6E763" w:rsidR="00EE7608" w:rsidRPr="00086CC8" w:rsidRDefault="004D0A0E" w:rsidP="00EE7608">
            <w:pPr>
              <w:pStyle w:val="ListParagraph"/>
              <w:numPr>
                <w:ilvl w:val="0"/>
                <w:numId w:val="9"/>
              </w:numPr>
              <w:spacing w:before="60" w:after="120"/>
              <w:jc w:val="both"/>
              <w:rPr>
                <w:rFonts w:ascii="Times New Roman" w:eastAsia="Times New Roman" w:hAnsi="Times New Roman"/>
                <w:sz w:val="24"/>
              </w:rPr>
            </w:pPr>
            <w:r w:rsidRPr="00086CC8">
              <w:rPr>
                <w:rFonts w:ascii="Times New Roman" w:hAnsi="Times New Roman"/>
                <w:sz w:val="24"/>
              </w:rPr>
              <w:t>skupnimi izgubami, odhodki, rezervacijami in drugimi finančnimi učinki zaradi dogodkov operativnega tveganja: vsota vseh izgub, odhodkov, rezervacij in drugih finančnih učinkov, povezanih z dogodki operativnega tveganja, o katerih se poroča v vrstici 0080 predloge C.16.03, vključene v Prilogo I k rešitvam organa EBA na področju informacijske tehnologije;</w:t>
            </w:r>
          </w:p>
          <w:p w14:paraId="2C93E8CD" w14:textId="64776E12" w:rsidR="004D0A0E" w:rsidRPr="00086CC8" w:rsidRDefault="00A37C45" w:rsidP="00EE7608">
            <w:pPr>
              <w:pStyle w:val="ListParagraph"/>
              <w:numPr>
                <w:ilvl w:val="0"/>
                <w:numId w:val="9"/>
              </w:numPr>
              <w:spacing w:before="60" w:after="120"/>
              <w:jc w:val="both"/>
              <w:rPr>
                <w:rFonts w:ascii="Times New Roman" w:eastAsia="Times New Roman" w:hAnsi="Times New Roman"/>
                <w:sz w:val="24"/>
              </w:rPr>
            </w:pPr>
            <w:r w:rsidRPr="00086CC8">
              <w:rPr>
                <w:rFonts w:ascii="Times New Roman" w:hAnsi="Times New Roman"/>
                <w:sz w:val="24"/>
              </w:rPr>
              <w:t>drugimi odhodki iz poslovanja, ki niso povezani z dogodki operativnega tveganja, v skladu s Prilogo V, del 2, odstavka 314 in 316, k rešitvam organa EBA na področju informacijske tehnologije, ki predstavljajo:</w:t>
            </w:r>
          </w:p>
          <w:p w14:paraId="01D56412" w14:textId="77777777" w:rsidR="004A5BBA" w:rsidRPr="00086CC8" w:rsidRDefault="004A5BBA" w:rsidP="004A5BBA">
            <w:pPr>
              <w:pStyle w:val="ListParagraph"/>
              <w:numPr>
                <w:ilvl w:val="1"/>
                <w:numId w:val="10"/>
              </w:numPr>
              <w:spacing w:before="60" w:after="120"/>
              <w:jc w:val="both"/>
              <w:rPr>
                <w:rFonts w:ascii="Times New Roman" w:eastAsia="Times New Roman" w:hAnsi="Times New Roman"/>
                <w:sz w:val="24"/>
              </w:rPr>
            </w:pPr>
            <w:r w:rsidRPr="00086CC8">
              <w:rPr>
                <w:rFonts w:ascii="Times New Roman" w:hAnsi="Times New Roman"/>
                <w:sz w:val="24"/>
              </w:rPr>
              <w:t>odhodke zaradi sprememb poštene vrednosti opredmetenih sredstev, ki se merijo po modelu poštene vrednosti, razen odhodkov zaradi sprememb poštene vrednosti naložbenih nepremičnin, ki prinašajo najemnine in se merijo po modelu poštene vrednosti iz sredstev, ki so predmet poslovnega najema;</w:t>
            </w:r>
          </w:p>
          <w:p w14:paraId="726CB5AB" w14:textId="426E3DFA" w:rsidR="004A5BBA" w:rsidRPr="00086CC8"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086CC8" w:rsidRDefault="004A5BBA" w:rsidP="004A5BBA">
            <w:pPr>
              <w:pStyle w:val="ListParagraph"/>
              <w:numPr>
                <w:ilvl w:val="1"/>
                <w:numId w:val="10"/>
              </w:numPr>
              <w:spacing w:before="60" w:after="120"/>
              <w:jc w:val="both"/>
              <w:rPr>
                <w:rFonts w:ascii="Times New Roman" w:eastAsia="Times New Roman" w:hAnsi="Times New Roman"/>
                <w:sz w:val="24"/>
              </w:rPr>
            </w:pPr>
            <w:r w:rsidRPr="00086CC8">
              <w:rPr>
                <w:rFonts w:ascii="Times New Roman" w:hAnsi="Times New Roman"/>
                <w:sz w:val="24"/>
              </w:rPr>
              <w:t>preostale druge odhodke iz poslovanja (Drugi odhodki iz poslovanja) v skladu s Prilogo V, del 2, odstavka 314 in 316, k rešitvam organa EBA na področju informacijske tehnologije, če niso povezani s sredstvi, ki so predmet najema.</w:t>
            </w:r>
          </w:p>
          <w:p w14:paraId="6CDC5FBE" w14:textId="54C68FB7" w:rsidR="004A3C86" w:rsidRPr="00086CC8" w:rsidRDefault="004A3C86" w:rsidP="00EE7608">
            <w:pPr>
              <w:spacing w:before="60" w:after="120"/>
              <w:jc w:val="both"/>
              <w:rPr>
                <w:rStyle w:val="InstructionsTabelleberschrift"/>
                <w:rFonts w:ascii="Times New Roman" w:eastAsia="Times New Roman" w:hAnsi="Times New Roman"/>
                <w:b w:val="0"/>
                <w:bCs w:val="0"/>
                <w:sz w:val="24"/>
                <w:u w:val="none"/>
              </w:rPr>
            </w:pPr>
            <w:r w:rsidRPr="00086CC8">
              <w:rPr>
                <w:rStyle w:val="InstructionsTabelleberschrift"/>
                <w:rFonts w:ascii="Times New Roman" w:hAnsi="Times New Roman"/>
                <w:b w:val="0"/>
                <w:sz w:val="24"/>
                <w:u w:val="none"/>
              </w:rPr>
              <w:t>Znesek drugih odhodkov iz poslovanja, plačanih institucijam, ki so članice iste institucionalne sheme za zaščito vlog, se v skladu s členom 314(5) Uredbe (EU) št. 575/2013 izključi.</w:t>
            </w:r>
          </w:p>
          <w:p w14:paraId="6F1C30F0" w14:textId="3B05E985" w:rsidR="003826D3" w:rsidRPr="00086CC8" w:rsidRDefault="00DE3384" w:rsidP="003826D3">
            <w:pPr>
              <w:spacing w:before="60" w:after="120"/>
              <w:jc w:val="both"/>
              <w:rPr>
                <w:rStyle w:val="InstructionsTabelleberschrift"/>
                <w:rFonts w:ascii="Times New Roman" w:eastAsia="Times New Roman" w:hAnsi="Times New Roman"/>
                <w:sz w:val="24"/>
              </w:rPr>
            </w:pPr>
            <w:r w:rsidRPr="00086CC8">
              <w:rPr>
                <w:rFonts w:ascii="Times New Roman" w:hAnsi="Times New Roman"/>
                <w:sz w:val="24"/>
              </w:rPr>
              <w:t>Znesek v tej vrstici se izračuna v skladu s členom 314(5) Uredbe (EU) št. 575/2013.</w:t>
            </w:r>
          </w:p>
        </w:tc>
      </w:tr>
      <w:tr w:rsidR="003826D3" w:rsidRPr="00086CC8"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086CC8" w:rsidRDefault="003826D3"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Finančna sestavina (FC)</w:t>
            </w:r>
          </w:p>
          <w:p w14:paraId="1C2CD9AE" w14:textId="16B8F7FC" w:rsidR="003826D3" w:rsidRPr="00086CC8" w:rsidRDefault="00DE3384" w:rsidP="003826D3">
            <w:pPr>
              <w:spacing w:before="60" w:after="120"/>
              <w:jc w:val="both"/>
              <w:rPr>
                <w:rStyle w:val="InstructionsTabelleberschrift"/>
                <w:rFonts w:ascii="Times New Roman" w:eastAsia="Times New Roman" w:hAnsi="Times New Roman"/>
                <w:b w:val="0"/>
                <w:bCs w:val="0"/>
                <w:sz w:val="24"/>
                <w:u w:val="none"/>
              </w:rPr>
            </w:pPr>
            <w:r w:rsidRPr="00086CC8">
              <w:rPr>
                <w:rStyle w:val="InstructionsTabelleberschrift"/>
                <w:rFonts w:ascii="Times New Roman" w:hAnsi="Times New Roman"/>
                <w:b w:val="0"/>
                <w:sz w:val="24"/>
                <w:u w:val="none"/>
              </w:rPr>
              <w:t xml:space="preserve">Finančna sestavina se izračuna v skladu s členom 314(6) Uredbe (EU) št. 575/2013. </w:t>
            </w:r>
            <w:r w:rsidRPr="00086CC8">
              <w:rPr>
                <w:rFonts w:ascii="Times New Roman" w:hAnsi="Times New Roman"/>
                <w:sz w:val="24"/>
              </w:rPr>
              <w:t>Če za institucijo velja odstopanje iz člena 314(4) Uredbe (EU) št. 575/2013, institucija ne vključi podatkov s poslovnih področij bančništva na drobno in/ali komercialnega bančništva.</w:t>
            </w:r>
          </w:p>
        </w:tc>
      </w:tr>
      <w:tr w:rsidR="003826D3" w:rsidRPr="00086CC8"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086CC8" w:rsidRDefault="003826D3"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Čisti dobiček ali izguba, ki se nanaša na trgovalno knjigo</w:t>
            </w:r>
          </w:p>
          <w:p w14:paraId="4E177CA3" w14:textId="4C472892" w:rsidR="003826D3" w:rsidRPr="00086CC8" w:rsidRDefault="003826D3" w:rsidP="003826D3">
            <w:pPr>
              <w:spacing w:before="60" w:after="120"/>
              <w:jc w:val="both"/>
              <w:rPr>
                <w:rStyle w:val="InstructionsTabelleberschrift"/>
                <w:rFonts w:ascii="Times New Roman" w:hAnsi="Times New Roman"/>
                <w:b w:val="0"/>
                <w:bCs w:val="0"/>
                <w:sz w:val="24"/>
                <w:u w:val="none"/>
              </w:rPr>
            </w:pPr>
            <w:r w:rsidRPr="00086CC8">
              <w:rPr>
                <w:rStyle w:val="InstructionsTabelleberschrift"/>
                <w:rFonts w:ascii="Times New Roman" w:hAnsi="Times New Roman"/>
                <w:b w:val="0"/>
                <w:sz w:val="24"/>
                <w:u w:val="none"/>
              </w:rPr>
              <w:t>Čisti dobiček ali izguba, ki se nanaša na trgovalno knjigo, se izračuna kot vsota:</w:t>
            </w:r>
          </w:p>
          <w:p w14:paraId="6324889B" w14:textId="380EDA28" w:rsidR="008A379C" w:rsidRPr="00086CC8" w:rsidRDefault="008A379C" w:rsidP="00232265">
            <w:pPr>
              <w:pStyle w:val="Style1"/>
              <w:rPr>
                <w:rStyle w:val="InstructionsTabelleberschrift"/>
                <w:rFonts w:ascii="Times New Roman" w:hAnsi="Times New Roman"/>
                <w:b w:val="0"/>
                <w:bCs w:val="0"/>
                <w:sz w:val="24"/>
                <w:u w:val="none"/>
              </w:rPr>
            </w:pPr>
            <w:r w:rsidRPr="00086CC8">
              <w:rPr>
                <w:u w:val="single"/>
              </w:rPr>
              <w:t>dobičkov ali (–) izgub iz finančnih sredstev in obveznosti v posesti za trgovanje ter iz trgovalnih finančnih sredstev in obveznosti, neto</w:t>
            </w:r>
            <w:r w:rsidRPr="00086CC8">
              <w:t>: dobičkov ali (–) izgub iz finančnih sredstev in obveznosti v posesti za trgovanje v skladu s Prilogo V, del 2, odstavka 43 in 46, k rešitvam organa EBA na področju informacijske tehnologije ali iz trgovalnih finančnih sredstev in obveznosti ali v skladu s členom 27 Direktive Sveta 86/635/EGS („direktiva o računovodskih izkazih bank“) – Navpična členitev, točka (6);</w:t>
            </w:r>
          </w:p>
          <w:p w14:paraId="0B998657" w14:textId="654F8692" w:rsidR="008A379C" w:rsidRPr="00086CC8" w:rsidRDefault="008A379C" w:rsidP="00232265">
            <w:pPr>
              <w:pStyle w:val="Style1"/>
              <w:rPr>
                <w:rStyle w:val="InstructionsTabelleberschrift"/>
                <w:rFonts w:ascii="Times New Roman" w:hAnsi="Times New Roman"/>
                <w:b w:val="0"/>
                <w:bCs w:val="0"/>
                <w:sz w:val="24"/>
                <w:u w:val="none"/>
              </w:rPr>
            </w:pPr>
            <w:r w:rsidRPr="00086CC8">
              <w:rPr>
                <w:u w:val="single"/>
              </w:rPr>
              <w:t>dobičkov ali (–) izgub iz obračunavanja varovanja pred tveganjem, neto</w:t>
            </w:r>
            <w:r w:rsidRPr="00086CC8">
              <w:t>: dobičkov ali (–) izgub iz obračunavanja varovanja pred tveganjem, neto, v okviru sestavine trgovalne knjige, samo v izjemnih okoliščinah, kadar se obračunavanje varovanja pred tveganjem, izračunano v skladu s Prilogo V, del 2, odstavek 47, k rešitvam organa EBA na področju informacijske tehnologije ali v skladu s členom 8(1)(a), (6) in (8) računovodske direktive, uporablja za varovanje finančnih sredstev in obveznosti v posesti za trgovanje ali trgovalnih finančnih sredstev in obveznosti; ter</w:t>
            </w:r>
          </w:p>
          <w:p w14:paraId="1BC37DE4" w14:textId="36EA6A27" w:rsidR="008A379C" w:rsidRPr="00086CC8" w:rsidRDefault="008A379C" w:rsidP="00232265">
            <w:pPr>
              <w:pStyle w:val="Style1"/>
              <w:rPr>
                <w:rStyle w:val="InstructionsTabelleberschrift"/>
                <w:rFonts w:ascii="Times New Roman" w:hAnsi="Times New Roman"/>
                <w:b w:val="0"/>
                <w:bCs w:val="0"/>
                <w:sz w:val="24"/>
                <w:u w:val="none"/>
              </w:rPr>
            </w:pPr>
            <w:r w:rsidRPr="00086CC8">
              <w:rPr>
                <w:u w:val="single"/>
              </w:rPr>
              <w:t>tečajnih razlik [dobiček ali (–) izguba], neto, povezanih s trgovalno knjigo</w:t>
            </w:r>
            <w:r w:rsidRPr="00086CC8">
              <w:t>: tečajnih razlik [dobiček ali (–) izguba], neto, samo kadar take razlike, izračunane v skladu z MRS 21.28, 52(a) ali v skladu s členom 39 direktive o računovodskih izkazih bank, izhajajo iz finančnih sredstev in obveznosti v posesti za trgovanje ali trgovalnih finančnih sredstev in obveznosti.</w:t>
            </w:r>
          </w:p>
          <w:p w14:paraId="761552C0" w14:textId="5BF82331" w:rsidR="001E5563" w:rsidRPr="00086CC8" w:rsidRDefault="001E5563" w:rsidP="00C65626">
            <w:pPr>
              <w:pStyle w:val="paragraph"/>
              <w:textAlignment w:val="baseline"/>
              <w:rPr>
                <w:rStyle w:val="InstructionsTabelleberschrift"/>
                <w:rFonts w:ascii="Segoe UI" w:hAnsi="Segoe UI" w:cs="Segoe UI"/>
              </w:rPr>
            </w:pPr>
            <w:r w:rsidRPr="00086CC8">
              <w:t>Vrednosti, ki jih je treba razkriti, odražajo računovodske vrednosti, določene z uporabo računovodske meje ali bonitetne meje, da se opredelijo postavke trgovalne in bančne knjige za vsako od zadnjih treh poslovnih let v skladu s členom 314(6) Uredbe (EU) št. 575/2013.</w:t>
            </w:r>
          </w:p>
        </w:tc>
      </w:tr>
      <w:tr w:rsidR="003826D3" w:rsidRPr="00086CC8"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086CC8" w:rsidRDefault="003826D3" w:rsidP="00086CC8">
            <w:pPr>
              <w:pageBreakBefore/>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086CC8" w:rsidRDefault="003826D3"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Neto dobiček ali (–) izguba, ki se nanaša na bančno knjigo</w:t>
            </w:r>
          </w:p>
          <w:p w14:paraId="16F13570" w14:textId="0B537F1A" w:rsidR="003826D3" w:rsidRPr="00086CC8" w:rsidRDefault="003826D3" w:rsidP="003826D3">
            <w:pPr>
              <w:spacing w:before="60" w:after="120"/>
              <w:jc w:val="both"/>
              <w:rPr>
                <w:rStyle w:val="InstructionsTabelleberschrift"/>
                <w:rFonts w:ascii="Times New Roman" w:eastAsia="Times New Roman" w:hAnsi="Times New Roman"/>
                <w:b w:val="0"/>
                <w:bCs w:val="0"/>
                <w:sz w:val="24"/>
                <w:u w:val="none"/>
              </w:rPr>
            </w:pPr>
            <w:r w:rsidRPr="00086CC8">
              <w:rPr>
                <w:rStyle w:val="InstructionsTabelleberschrift"/>
                <w:rFonts w:ascii="Times New Roman" w:hAnsi="Times New Roman"/>
                <w:b w:val="0"/>
                <w:sz w:val="24"/>
                <w:u w:val="none"/>
              </w:rPr>
              <w:t>Neto dobiček ali izguba, ki se nanaša na bančno knjigo, se izračuna kot vsota:</w:t>
            </w:r>
          </w:p>
          <w:p w14:paraId="4816B36A" w14:textId="59F72F36" w:rsidR="008F0781" w:rsidRPr="00086CC8" w:rsidRDefault="008F0781" w:rsidP="00232265">
            <w:pPr>
              <w:pStyle w:val="Style1"/>
            </w:pPr>
            <w:r w:rsidRPr="00086CC8">
              <w:rPr>
                <w:u w:val="single"/>
              </w:rPr>
              <w:t>dobičkov ali (–) izgub pri odpravi pripoznanja finančnih sredstev in obveznosti, ki niso merjeni po pošteni vrednosti prek poslovnega izida, neto</w:t>
            </w:r>
            <w:r w:rsidRPr="00086CC8">
              <w:t>: dobičkov ali (–) izgub pri odpravi pripoznanja finančnih sredstev in obveznosti, ki niso merjeni po pošteni vrednosti prek poslovnega izida, neto, v skladu s Prilogo V, del 2, odstavek 45, k rešitvam organa EBA na področju informacijske tehnologije ali v skladu s členom 27 direktive o računovodskih izkazih bank – Navpična členitev, točka (6);</w:t>
            </w:r>
          </w:p>
          <w:p w14:paraId="29EDCF43" w14:textId="7ADB0AAC" w:rsidR="008F0781" w:rsidRPr="00086CC8" w:rsidRDefault="008F0781" w:rsidP="00232265">
            <w:pPr>
              <w:pStyle w:val="Style1"/>
            </w:pPr>
            <w:r w:rsidRPr="00086CC8">
              <w:rPr>
                <w:u w:val="single"/>
              </w:rPr>
              <w:t xml:space="preserve">dobičkov ali (–) izgub iz </w:t>
            </w:r>
            <w:proofErr w:type="spellStart"/>
            <w:r w:rsidRPr="00086CC8">
              <w:rPr>
                <w:u w:val="single"/>
              </w:rPr>
              <w:t>netrgovalnih</w:t>
            </w:r>
            <w:proofErr w:type="spellEnd"/>
            <w:r w:rsidRPr="00086CC8">
              <w:rPr>
                <w:u w:val="single"/>
              </w:rPr>
              <w:t xml:space="preserve"> finančnih sredstev, obvezno merjenih po pošteni vrednosti prek poslovnega izida, neto</w:t>
            </w:r>
            <w:r w:rsidRPr="00086CC8">
              <w:t xml:space="preserve">: dobičkov ali (–) izgub iz </w:t>
            </w:r>
            <w:proofErr w:type="spellStart"/>
            <w:r w:rsidRPr="00086CC8">
              <w:t>netrgovalnih</w:t>
            </w:r>
            <w:proofErr w:type="spellEnd"/>
            <w:r w:rsidRPr="00086CC8">
              <w:t xml:space="preserve"> finančnih sredstev, obvezno merjenih po pošteni vrednosti prek poslovnega izida, neto, v skladu s Prilogo V, del 2, odstavek 46, k rešitvam organa EBA na področju informacijske tehnologije;</w:t>
            </w:r>
          </w:p>
          <w:p w14:paraId="23350A71" w14:textId="40356371" w:rsidR="008F0781" w:rsidRPr="00086CC8" w:rsidRDefault="008F0781" w:rsidP="00232265">
            <w:pPr>
              <w:pStyle w:val="Style1"/>
            </w:pPr>
            <w:r w:rsidRPr="00086CC8">
              <w:rPr>
                <w:u w:val="single"/>
              </w:rPr>
              <w:t>dobičkov ali (–) izgub iz finančnih sredstev in obveznosti, določenih za merjenje po pošteni vrednosti prek poslovnega izida, neto</w:t>
            </w:r>
            <w:r w:rsidRPr="00086CC8">
              <w:t>: dobičkov ali (–) izgub iz finančnih sredstev in obveznosti, določenih za merjenje po pošteni vrednosti prek poslovnega izida, neto, v skladu s Prilogo V, del 2, odstavek 44, k rešitvam organa EBA na področju informacijske tehnologije;</w:t>
            </w:r>
          </w:p>
          <w:p w14:paraId="44DE675E" w14:textId="5B34C2BC" w:rsidR="008F0781" w:rsidRPr="00086CC8" w:rsidRDefault="008F0781" w:rsidP="00232265">
            <w:pPr>
              <w:pStyle w:val="Style1"/>
            </w:pPr>
            <w:r w:rsidRPr="00086CC8">
              <w:rPr>
                <w:u w:val="single"/>
              </w:rPr>
              <w:t>dobičkov ali (–) izgub iz obračunavanja varovanja pred tveganjem v zvezi z bančno knjigo</w:t>
            </w:r>
            <w:r w:rsidRPr="00086CC8">
              <w:t>: dobičkov ali (–) izgub iz obračunavanja varovanja pred tveganjem, neto, v skladu s Prilogo V, del 2, odstavek 47, k rešitvam organa EBA na področju informacijske tehnologije ali v skladu s členom 8(1)(a), (6) in (8) računovodske direktive, kadar ti dobički ali izgube izhajajo iz finančnih sredstev in obveznosti v bančni knjigi; in</w:t>
            </w:r>
          </w:p>
          <w:p w14:paraId="23306495" w14:textId="6A259674" w:rsidR="008F0781" w:rsidRPr="00086CC8" w:rsidRDefault="008F0781" w:rsidP="00232265">
            <w:pPr>
              <w:pStyle w:val="Style1"/>
            </w:pPr>
            <w:r w:rsidRPr="00086CC8">
              <w:rPr>
                <w:u w:val="single"/>
              </w:rPr>
              <w:t>tečajnih razlik [dobiček ali (–) izguba], neto, v zvezi z bančno knjigo</w:t>
            </w:r>
            <w:r w:rsidRPr="00086CC8">
              <w:t>: tečajnih razlik [dobiček ali (–) izguba], neto, v skladu z MRS 21.28, 52(a), ali v skladu s členom 39 direktive o računovodskih izkazih bank, kadar take razlike izhajajo iz finančnih sredstev in obveznosti v bančni knjigi.</w:t>
            </w:r>
          </w:p>
          <w:p w14:paraId="3E9BB5BF" w14:textId="1D3FC8A9" w:rsidR="00F26A2D" w:rsidRPr="00086CC8" w:rsidRDefault="001E5563" w:rsidP="00F26A2D">
            <w:pPr>
              <w:spacing w:before="60" w:after="120"/>
              <w:jc w:val="both"/>
              <w:rPr>
                <w:rStyle w:val="InstructionsTabelleberschrift"/>
                <w:rFonts w:asciiTheme="majorBidi" w:hAnsiTheme="majorBidi" w:cstheme="majorBidi"/>
                <w:sz w:val="24"/>
                <w:u w:val="none"/>
              </w:rPr>
            </w:pPr>
            <w:r w:rsidRPr="00086CC8">
              <w:rPr>
                <w:rFonts w:asciiTheme="majorBidi" w:hAnsiTheme="majorBidi"/>
                <w:sz w:val="24"/>
              </w:rPr>
              <w:t>Vrednosti, ki jih je treba razkriti, odražajo računovodske vrednosti, določene z uporabo računovodske meje ali bonitetne meje, da se opredelijo postavke trgovalne in bančne knjige za vsako od zadnjih treh poslovnih let v skladu s členom 314(6) Uredbe (EU) št. 575/2013.</w:t>
            </w:r>
          </w:p>
        </w:tc>
      </w:tr>
      <w:tr w:rsidR="003826D3" w:rsidRPr="00086CC8"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086CC8" w:rsidRDefault="008C3E6A"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Pristop, ki se uporablja za določitev meje trgovalne knjige/bančne knjige (pristop bonitetne meje ali računovodski pristop)</w:t>
            </w:r>
          </w:p>
          <w:p w14:paraId="00A81A34" w14:textId="0A7D6D1A" w:rsidR="003826D3" w:rsidRPr="00086CC8" w:rsidRDefault="003826D3" w:rsidP="003826D3">
            <w:pPr>
              <w:spacing w:before="60" w:after="120"/>
              <w:jc w:val="both"/>
              <w:rPr>
                <w:rStyle w:val="InstructionsTabelleberschrift"/>
                <w:rFonts w:ascii="Times New Roman" w:eastAsia="Times New Roman" w:hAnsi="Times New Roman"/>
                <w:b w:val="0"/>
                <w:bCs w:val="0"/>
                <w:sz w:val="24"/>
                <w:u w:val="none"/>
              </w:rPr>
            </w:pPr>
            <w:r w:rsidRPr="00086CC8">
              <w:rPr>
                <w:rStyle w:val="InstructionsTabelleberschrift"/>
                <w:rFonts w:ascii="Times New Roman" w:hAnsi="Times New Roman"/>
                <w:b w:val="0"/>
                <w:sz w:val="24"/>
                <w:u w:val="none"/>
              </w:rPr>
              <w:t>Pristop, uporabljen na referenčni datum za določitev finančne sestavine: računovodska ali bonitetna razvrstitev (pristop bonitetne meje). Ta pristop se dosledno uporablja za zneske, razkrite za vsako od zadnjih treh poslovnih let.</w:t>
            </w:r>
          </w:p>
        </w:tc>
      </w:tr>
      <w:tr w:rsidR="003826D3" w:rsidRPr="00086CC8"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086CC8" w:rsidRDefault="003826D3" w:rsidP="00086CC8">
            <w:pPr>
              <w:pageBreakBefore/>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086CC8" w:rsidRDefault="003826D3"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Kazalnik poslovanja</w:t>
            </w:r>
          </w:p>
          <w:p w14:paraId="35C99FE1" w14:textId="0AFECB29" w:rsidR="003826D3" w:rsidRPr="00086CC8"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6CC8">
              <w:rPr>
                <w:rFonts w:asciiTheme="majorBidi" w:hAnsiTheme="majorBidi"/>
                <w:sz w:val="24"/>
              </w:rPr>
              <w:t>Kazalnik poslovanja, izračunan v skladu s členom 314(1) Uredbe (EU) št. 575/2013, ki je vsota treh sestavin: ILDC, SC in FC.</w:t>
            </w:r>
          </w:p>
        </w:tc>
      </w:tr>
      <w:tr w:rsidR="003826D3" w:rsidRPr="00086CC8"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086CC8" w:rsidRDefault="003826D3" w:rsidP="003826D3">
            <w:pPr>
              <w:spacing w:before="60" w:after="120"/>
              <w:jc w:val="both"/>
              <w:rPr>
                <w:rStyle w:val="InstructionsTabelleberschrift"/>
                <w:rFonts w:ascii="Times New Roman" w:eastAsia="Times New Roman" w:hAnsi="Times New Roman"/>
                <w:sz w:val="24"/>
                <w:u w:val="none"/>
              </w:rPr>
            </w:pPr>
            <w:r w:rsidRPr="00086CC8">
              <w:rPr>
                <w:rStyle w:val="InstructionsTabelleberschrift"/>
                <w:rFonts w:ascii="Times New Roman" w:hAnsi="Times New Roman"/>
                <w:sz w:val="24"/>
                <w:u w:val="none"/>
              </w:rPr>
              <w:t>Sestavina kazalnika poslovanja</w:t>
            </w:r>
          </w:p>
          <w:p w14:paraId="4AC6BDA5" w14:textId="5507A684" w:rsidR="003826D3" w:rsidRPr="00086CC8" w:rsidRDefault="003826D3" w:rsidP="003826D3">
            <w:pPr>
              <w:spacing w:before="60" w:after="120"/>
              <w:jc w:val="both"/>
              <w:rPr>
                <w:rStyle w:val="InstructionsTabelleberschrift"/>
                <w:rFonts w:ascii="Times New Roman" w:eastAsia="Times New Roman" w:hAnsi="Times New Roman"/>
                <w:b w:val="0"/>
                <w:bCs w:val="0"/>
                <w:sz w:val="24"/>
                <w:u w:val="none"/>
              </w:rPr>
            </w:pPr>
            <w:r w:rsidRPr="00086CC8">
              <w:rPr>
                <w:rFonts w:ascii="Times New Roman" w:hAnsi="Times New Roman"/>
                <w:sz w:val="24"/>
              </w:rPr>
              <w:t xml:space="preserve">Sestavina kazalnika poslovanja se izračuna v skladu s členom 313 Uredbe (EU) št. 575/2013. </w:t>
            </w:r>
          </w:p>
        </w:tc>
      </w:tr>
      <w:tr w:rsidR="003826D3" w:rsidRPr="00086CC8"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086CC8" w:rsidRDefault="003826D3"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Kazalnik poslovanja skupaj z izključenimi odsvojenimi dejavnostmi</w:t>
            </w:r>
          </w:p>
          <w:p w14:paraId="4B01F051" w14:textId="678BE249" w:rsidR="003826D3" w:rsidRPr="00086CC8"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6CC8">
              <w:rPr>
                <w:rFonts w:asciiTheme="majorBidi" w:hAnsiTheme="majorBidi"/>
                <w:sz w:val="24"/>
              </w:rPr>
              <w:t>Znesek kazalnika poslovanja, vključno z izključenimi odsvojenimi dejavnostmi, v skladu s členom 315(2) Uredbe (EU) št. 575/2013.</w:t>
            </w:r>
          </w:p>
        </w:tc>
      </w:tr>
      <w:tr w:rsidR="003826D3" w:rsidRPr="00086CC8"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086CC8" w:rsidRDefault="003826D3"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Zmanjšanje kazalnika poslovanja zaradi izključenih odsvojenih dejavnosti</w:t>
            </w:r>
          </w:p>
          <w:p w14:paraId="100A0132" w14:textId="636B5EF6" w:rsidR="003826D3" w:rsidRPr="00086CC8"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6CC8">
              <w:rPr>
                <w:rFonts w:asciiTheme="majorBidi" w:hAnsiTheme="majorBidi"/>
                <w:sz w:val="24"/>
              </w:rPr>
              <w:t xml:space="preserve">Razlika med kazalnikom poslovanja skupaj z odsvojenimi dejavnostmi (vrstica 6a) in skupnim kazalnikom poslovanja (vrstica 4). </w:t>
            </w:r>
          </w:p>
        </w:tc>
      </w:tr>
      <w:tr w:rsidR="003826D3" w:rsidRPr="00086CC8"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086CC8" w:rsidRDefault="003826D3" w:rsidP="003826D3">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086CC8" w:rsidRDefault="003826D3" w:rsidP="003826D3">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Vpliv združitev/prevzemov na kazalnik poslovanja</w:t>
            </w:r>
          </w:p>
          <w:p w14:paraId="68B0EB8C" w14:textId="39D74825" w:rsidR="003826D3" w:rsidRPr="00086CC8"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6CC8">
              <w:rPr>
                <w:rFonts w:asciiTheme="majorBidi" w:hAnsiTheme="majorBidi"/>
                <w:sz w:val="24"/>
              </w:rPr>
              <w:t>Znesek, vključen v kazalnik poslovanja, ki ustreza sestavinam kazalnika poslovanja, kot izhaja iz združenih ali prevzetih subjektov ali dejavnosti, izračunan v skladu s členom 315(1) Uredbe (EU) št. 575/2013.</w:t>
            </w:r>
          </w:p>
        </w:tc>
      </w:tr>
    </w:tbl>
    <w:p w14:paraId="2517003F" w14:textId="77777777" w:rsidR="00D740B8" w:rsidRPr="00086CC8"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086CC8" w:rsidRDefault="00D740B8" w:rsidP="00D740B8">
      <w:pPr>
        <w:jc w:val="both"/>
        <w:rPr>
          <w:rFonts w:ascii="Times New Roman" w:hAnsi="Times New Roman" w:cs="Times New Roman"/>
          <w:bCs/>
          <w:sz w:val="24"/>
        </w:rPr>
      </w:pPr>
      <w:r w:rsidRPr="00086CC8">
        <w:rPr>
          <w:rFonts w:ascii="Times New Roman" w:hAnsi="Times New Roman"/>
          <w:b/>
          <w:sz w:val="24"/>
        </w:rPr>
        <w:t xml:space="preserve">Predloga EU OR3 – Kapitalske zahteve za operativno tveganje in zneski izpostavljenosti tveganju. </w:t>
      </w:r>
      <w:r w:rsidRPr="00086CC8">
        <w:rPr>
          <w:rFonts w:ascii="Times New Roman" w:hAnsi="Times New Roman"/>
          <w:sz w:val="24"/>
        </w:rPr>
        <w:t>Fiksna predloga.</w:t>
      </w:r>
    </w:p>
    <w:p w14:paraId="5AB15A39" w14:textId="77777777" w:rsidR="00D740B8" w:rsidRPr="00086CC8" w:rsidRDefault="00D740B8" w:rsidP="00D740B8">
      <w:pPr>
        <w:ind w:left="360"/>
        <w:jc w:val="both"/>
        <w:rPr>
          <w:rFonts w:ascii="Times New Roman" w:hAnsi="Times New Roman" w:cs="Times New Roman"/>
          <w:bCs/>
          <w:sz w:val="24"/>
        </w:rPr>
      </w:pPr>
    </w:p>
    <w:p w14:paraId="60DF34D1" w14:textId="121F9A97" w:rsidR="00D740B8" w:rsidRPr="00086CC8" w:rsidRDefault="00D740B8" w:rsidP="00D740B8">
      <w:pPr>
        <w:numPr>
          <w:ilvl w:val="0"/>
          <w:numId w:val="1"/>
        </w:numPr>
        <w:jc w:val="both"/>
        <w:rPr>
          <w:rFonts w:ascii="Times New Roman" w:hAnsi="Times New Roman" w:cs="Times New Roman"/>
          <w:sz w:val="24"/>
        </w:rPr>
      </w:pPr>
      <w:r w:rsidRPr="00086CC8">
        <w:rPr>
          <w:rFonts w:ascii="Times New Roman" w:hAnsi="Times New Roman"/>
          <w:sz w:val="24"/>
        </w:rPr>
        <w:t>Institucije razkrijejo informacije, vključene v predlogo EU OR3, v skladu s členom 446(1), točka (b), Uredbe (EU) št. 575/2013. Ta predloga zagotavlja informacije o izračunu kapitalskih zahtev za operativno tveganje v skladu s členi 312 do 315 Uredbe (EU) št. 575/2013.</w:t>
      </w:r>
    </w:p>
    <w:p w14:paraId="6DFA1648" w14:textId="77777777" w:rsidR="00D740B8" w:rsidRPr="00086CC8" w:rsidRDefault="00D740B8" w:rsidP="00D740B8">
      <w:pPr>
        <w:ind w:left="360"/>
        <w:jc w:val="both"/>
        <w:rPr>
          <w:rFonts w:ascii="Times New Roman" w:hAnsi="Times New Roman" w:cs="Times New Roman"/>
          <w:bCs/>
          <w:sz w:val="24"/>
        </w:rPr>
      </w:pPr>
    </w:p>
    <w:p w14:paraId="2E35B8A0" w14:textId="77777777" w:rsidR="00D740B8" w:rsidRPr="00086CC8"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86CC8"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086CC8" w:rsidRDefault="00D740B8">
            <w:pPr>
              <w:autoSpaceDE w:val="0"/>
              <w:autoSpaceDN w:val="0"/>
              <w:adjustRightInd w:val="0"/>
              <w:rPr>
                <w:rFonts w:ascii="Times New Roman" w:hAnsi="Times New Roman" w:cs="Times New Roman"/>
                <w:b/>
                <w:sz w:val="24"/>
              </w:rPr>
            </w:pPr>
            <w:r w:rsidRPr="00086CC8">
              <w:rPr>
                <w:rFonts w:ascii="Times New Roman" w:hAnsi="Times New Roman"/>
                <w:b/>
                <w:sz w:val="24"/>
              </w:rPr>
              <w:t xml:space="preserve">Vrstica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086CC8" w:rsidRDefault="00D740B8">
            <w:pPr>
              <w:rPr>
                <w:rFonts w:ascii="Times New Roman" w:hAnsi="Times New Roman" w:cs="Times New Roman"/>
                <w:b/>
                <w:sz w:val="24"/>
              </w:rPr>
            </w:pPr>
            <w:r w:rsidRPr="00086CC8">
              <w:rPr>
                <w:rFonts w:ascii="Times New Roman" w:hAnsi="Times New Roman"/>
                <w:b/>
                <w:sz w:val="24"/>
              </w:rPr>
              <w:t>Pojasnilo</w:t>
            </w:r>
          </w:p>
        </w:tc>
      </w:tr>
      <w:tr w:rsidR="00D740B8" w:rsidRPr="00086CC8"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086CC8" w:rsidRDefault="00D740B8">
            <w:pPr>
              <w:spacing w:before="60" w:after="120"/>
              <w:jc w:val="both"/>
              <w:rPr>
                <w:rFonts w:ascii="Times New Roman" w:eastAsia="Times New Roman" w:hAnsi="Times New Roman" w:cs="Times New Roman"/>
                <w:b/>
                <w:sz w:val="24"/>
              </w:rPr>
            </w:pPr>
            <w:r w:rsidRPr="00086CC8">
              <w:rPr>
                <w:rFonts w:ascii="Times New Roman" w:hAnsi="Times New Roman"/>
                <w:b/>
                <w:sz w:val="24"/>
              </w:rPr>
              <w:t>Sestavina kazalnika poslovanja</w:t>
            </w:r>
          </w:p>
          <w:p w14:paraId="1B10BB72" w14:textId="77777777" w:rsidR="00D740B8" w:rsidRPr="00086CC8" w:rsidRDefault="00D740B8">
            <w:pPr>
              <w:spacing w:before="60" w:after="120"/>
              <w:jc w:val="both"/>
              <w:rPr>
                <w:rFonts w:ascii="Times New Roman" w:eastAsia="Times New Roman" w:hAnsi="Times New Roman" w:cs="Times New Roman"/>
                <w:sz w:val="24"/>
              </w:rPr>
            </w:pPr>
            <w:r w:rsidRPr="00086CC8">
              <w:rPr>
                <w:rFonts w:ascii="Times New Roman" w:hAnsi="Times New Roman"/>
                <w:sz w:val="24"/>
              </w:rPr>
              <w:t>V tej vrstici se navede sestavina kazalnika poslovanja, ki se izračuna v skladu s členom 313 Uredbe (EU) št. 575/2013.</w:t>
            </w:r>
          </w:p>
        </w:tc>
      </w:tr>
      <w:tr w:rsidR="00CA794A" w:rsidRPr="00086CC8"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086CC8" w:rsidRDefault="004A58B5">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086CC8" w:rsidRDefault="004A58B5">
            <w:pPr>
              <w:spacing w:before="60" w:after="120"/>
              <w:jc w:val="both"/>
              <w:rPr>
                <w:rFonts w:ascii="Times New Roman" w:eastAsia="Times New Roman" w:hAnsi="Times New Roman" w:cs="Times New Roman"/>
                <w:b/>
                <w:sz w:val="24"/>
              </w:rPr>
            </w:pPr>
            <w:r w:rsidRPr="00086CC8">
              <w:rPr>
                <w:rFonts w:ascii="Times New Roman" w:hAnsi="Times New Roman"/>
                <w:b/>
                <w:sz w:val="24"/>
              </w:rPr>
              <w:t>Kapitalske zahteve za operativno tveganje na podlagi alternativnega standardiziranega pristopa (ASA) v skladu s členom 314(4)</w:t>
            </w:r>
          </w:p>
          <w:p w14:paraId="7762DF0B" w14:textId="6E2ACCB9" w:rsidR="004A58B5" w:rsidRPr="00086CC8" w:rsidRDefault="005B4907">
            <w:pPr>
              <w:spacing w:before="60" w:after="120"/>
              <w:jc w:val="both"/>
              <w:rPr>
                <w:rFonts w:ascii="Times New Roman" w:eastAsia="Times New Roman" w:hAnsi="Times New Roman" w:cs="Times New Roman"/>
                <w:b/>
                <w:sz w:val="24"/>
              </w:rPr>
            </w:pPr>
            <w:r w:rsidRPr="00086CC8">
              <w:rPr>
                <w:rFonts w:ascii="Times New Roman" w:hAnsi="Times New Roman"/>
                <w:sz w:val="24"/>
              </w:rPr>
              <w:t xml:space="preserve">Ta vrstica vključuje kapitalske zahteve za poslovni področji iz člena 314(4), kjer je to primerno, do 31. decembra 2027 ali dokler </w:t>
            </w:r>
            <w:proofErr w:type="spellStart"/>
            <w:r w:rsidRPr="00086CC8">
              <w:rPr>
                <w:rFonts w:ascii="Times New Roman" w:hAnsi="Times New Roman"/>
                <w:sz w:val="24"/>
              </w:rPr>
              <w:t>konsolidacijski</w:t>
            </w:r>
            <w:proofErr w:type="spellEnd"/>
            <w:r w:rsidRPr="00086CC8">
              <w:rPr>
                <w:rFonts w:ascii="Times New Roman" w:hAnsi="Times New Roman"/>
                <w:sz w:val="24"/>
              </w:rPr>
              <w:t xml:space="preserve"> nadzornik ne izda dovoljenja v skladu s členom 314(3), kar nastopi prej.</w:t>
            </w:r>
          </w:p>
        </w:tc>
      </w:tr>
      <w:tr w:rsidR="00D740B8" w:rsidRPr="00086CC8"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086CC8" w:rsidRDefault="001918A2">
            <w:pPr>
              <w:spacing w:before="60" w:after="120"/>
              <w:jc w:val="both"/>
              <w:rPr>
                <w:rFonts w:ascii="Times New Roman" w:eastAsia="Times New Roman" w:hAnsi="Times New Roman" w:cs="Times New Roman"/>
                <w:sz w:val="24"/>
              </w:rPr>
            </w:pPr>
            <w:r w:rsidRPr="00086CC8">
              <w:rPr>
                <w:rFonts w:ascii="Times New Roman" w:hAnsi="Times New Roman"/>
                <w:sz w:val="24"/>
              </w:rPr>
              <w:t>Ni relevantno.</w:t>
            </w:r>
          </w:p>
        </w:tc>
      </w:tr>
      <w:tr w:rsidR="00D740B8" w:rsidRPr="00086CC8"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086CC8" w:rsidRDefault="00D740B8" w:rsidP="00086CC8">
            <w:pPr>
              <w:pageBreakBefore/>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086CC8" w:rsidRDefault="00D740B8">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Minimalne kapitalske zahteve za operativno tveganje</w:t>
            </w:r>
          </w:p>
          <w:p w14:paraId="2A7C24D0" w14:textId="54D9C5FF" w:rsidR="00D740B8" w:rsidRPr="00086CC8" w:rsidRDefault="00977842">
            <w:pPr>
              <w:spacing w:before="60" w:after="120"/>
              <w:jc w:val="both"/>
              <w:rPr>
                <w:rFonts w:ascii="Times New Roman" w:eastAsia="Times New Roman" w:hAnsi="Times New Roman" w:cs="Times New Roman"/>
                <w:sz w:val="24"/>
              </w:rPr>
            </w:pPr>
            <w:r w:rsidRPr="00086CC8">
              <w:rPr>
                <w:rFonts w:ascii="Times New Roman" w:hAnsi="Times New Roman"/>
                <w:sz w:val="24"/>
              </w:rPr>
              <w:t xml:space="preserve">Kapitalske zahteve se izračunajo v skladu s členom 312 Uredbe (EU) št. 575/2013. V tej vrstici se navedejo kapitalske zahteve za operativno tveganje, ki se ujemajo z vsoto sestavine kazalnika poslovanja in kapitalskih zahtev za poslovni področji iz člena 314(4), kjer je to primerno. </w:t>
            </w:r>
          </w:p>
        </w:tc>
      </w:tr>
      <w:tr w:rsidR="00D740B8" w:rsidRPr="00086CC8"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086CC8" w:rsidRDefault="00D740B8">
            <w:pPr>
              <w:autoSpaceDE w:val="0"/>
              <w:autoSpaceDN w:val="0"/>
              <w:adjustRightInd w:val="0"/>
              <w:spacing w:before="60" w:after="120"/>
              <w:jc w:val="center"/>
              <w:rPr>
                <w:rFonts w:ascii="Times New Roman" w:hAnsi="Times New Roman" w:cs="Times New Roman"/>
                <w:b/>
                <w:sz w:val="24"/>
              </w:rPr>
            </w:pPr>
            <w:r w:rsidRPr="00086CC8">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086CC8" w:rsidRDefault="00D740B8">
            <w:pPr>
              <w:spacing w:before="60" w:after="120"/>
              <w:jc w:val="both"/>
              <w:rPr>
                <w:rStyle w:val="InstructionsTabelleberschrift"/>
                <w:rFonts w:ascii="Times New Roman" w:eastAsia="Times New Roman" w:hAnsi="Times New Roman"/>
                <w:bCs w:val="0"/>
                <w:sz w:val="24"/>
                <w:u w:val="none"/>
              </w:rPr>
            </w:pPr>
            <w:r w:rsidRPr="00086CC8">
              <w:rPr>
                <w:rStyle w:val="InstructionsTabelleberschrift"/>
                <w:rFonts w:ascii="Times New Roman" w:hAnsi="Times New Roman"/>
                <w:sz w:val="24"/>
                <w:u w:val="none"/>
              </w:rPr>
              <w:t>Zneski izpostavljenosti operativnemu tveganju</w:t>
            </w:r>
          </w:p>
          <w:p w14:paraId="317F9BDE" w14:textId="6672A695" w:rsidR="00D740B8" w:rsidRPr="00086CC8" w:rsidRDefault="00D740B8">
            <w:pPr>
              <w:spacing w:before="60" w:after="120"/>
              <w:jc w:val="both"/>
              <w:rPr>
                <w:rFonts w:ascii="Times New Roman" w:eastAsia="Times New Roman" w:hAnsi="Times New Roman" w:cs="Times New Roman"/>
                <w:sz w:val="24"/>
              </w:rPr>
            </w:pPr>
            <w:r w:rsidRPr="00086CC8">
              <w:rPr>
                <w:rFonts w:ascii="Times New Roman" w:hAnsi="Times New Roman"/>
                <w:sz w:val="24"/>
              </w:rPr>
              <w:t xml:space="preserve">V tej vrstici se na podlagi člena 92(3), točka (e), in člena 92(4) Uredbe (EU) št. 575/2013 razkrijejo kapitalske zahteve iz vrstice (3), pomnožene z 12,5. </w:t>
            </w:r>
          </w:p>
        </w:tc>
      </w:tr>
    </w:tbl>
    <w:p w14:paraId="079B8CA0" w14:textId="77777777" w:rsidR="00D740B8" w:rsidRPr="00086CC8" w:rsidRDefault="00D740B8" w:rsidP="00D740B8">
      <w:pPr>
        <w:rPr>
          <w:rFonts w:ascii="Times New Roman" w:hAnsi="Times New Roman" w:cs="Times New Roman"/>
          <w:sz w:val="24"/>
        </w:rPr>
      </w:pPr>
    </w:p>
    <w:p w14:paraId="41C8F396" w14:textId="77777777" w:rsidR="002C1404" w:rsidRPr="00086CC8" w:rsidRDefault="002C1404"/>
    <w:sectPr w:rsidR="002C1404" w:rsidRPr="00086CC8">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086CC8" w:rsidRDefault="00924970" w:rsidP="00E114F3">
      <w:r w:rsidRPr="00086CC8">
        <w:separator/>
      </w:r>
    </w:p>
  </w:endnote>
  <w:endnote w:type="continuationSeparator" w:id="0">
    <w:p w14:paraId="6750FE16" w14:textId="77777777" w:rsidR="00924970" w:rsidRPr="00086CC8" w:rsidRDefault="00924970" w:rsidP="00E114F3">
      <w:r w:rsidRPr="00086CC8">
        <w:continuationSeparator/>
      </w:r>
    </w:p>
  </w:endnote>
  <w:endnote w:type="continuationNotice" w:id="1">
    <w:p w14:paraId="44EFD629" w14:textId="77777777" w:rsidR="00924970" w:rsidRPr="00086CC8"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086CC8" w:rsidRDefault="00E114F3">
        <w:pPr>
          <w:pStyle w:val="Footer"/>
          <w:jc w:val="right"/>
        </w:pPr>
        <w:r w:rsidRPr="00086CC8">
          <w:fldChar w:fldCharType="begin"/>
        </w:r>
        <w:r w:rsidRPr="00086CC8">
          <w:instrText xml:space="preserve"> PAGE   \* MERGEFORMAT </w:instrText>
        </w:r>
        <w:r w:rsidRPr="00086CC8">
          <w:fldChar w:fldCharType="separate"/>
        </w:r>
        <w:r w:rsidR="00370155" w:rsidRPr="00086CC8">
          <w:t>1</w:t>
        </w:r>
        <w:r w:rsidRPr="00086CC8">
          <w:fldChar w:fldCharType="end"/>
        </w:r>
      </w:p>
    </w:sdtContent>
  </w:sdt>
  <w:p w14:paraId="049F31CB" w14:textId="77777777" w:rsidR="00E114F3" w:rsidRPr="00086CC8"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086CC8" w:rsidRDefault="00924970" w:rsidP="00E114F3">
      <w:r w:rsidRPr="00086CC8">
        <w:separator/>
      </w:r>
    </w:p>
  </w:footnote>
  <w:footnote w:type="continuationSeparator" w:id="0">
    <w:p w14:paraId="3D7D4E32" w14:textId="77777777" w:rsidR="00924970" w:rsidRPr="00086CC8" w:rsidRDefault="00924970" w:rsidP="00E114F3">
      <w:r w:rsidRPr="00086CC8">
        <w:continuationSeparator/>
      </w:r>
    </w:p>
  </w:footnote>
  <w:footnote w:type="continuationNotice" w:id="1">
    <w:p w14:paraId="6FCD0CD0" w14:textId="77777777" w:rsidR="00924970" w:rsidRPr="00086CC8" w:rsidRDefault="00924970"/>
  </w:footnote>
  <w:footnote w:id="2">
    <w:p w14:paraId="3798489D" w14:textId="469FF1F7" w:rsidR="00E114F3" w:rsidRPr="00086CC8" w:rsidRDefault="00E114F3" w:rsidP="003D3122">
      <w:pPr>
        <w:pStyle w:val="FootnoteText"/>
      </w:pPr>
      <w:r w:rsidRPr="00086CC8">
        <w:rPr>
          <w:rStyle w:val="FootnoteReference"/>
          <w:rFonts w:cstheme="minorHAnsi"/>
        </w:rPr>
        <w:footnoteRef/>
      </w:r>
      <w:r w:rsidRPr="00086CC8">
        <w:tab/>
        <w:t>Uredba (EU) št. 575/2013 Evropskega parlamenta in Sveta z dne 26. junija 2013 o bonitetnih zahtevah za kreditne institucije in investicijska podjetja ter o spremembi Uredbe (EU) št. 648/2012 in spremembi Uredbe (EU) št. 2024/1623 (</w:t>
      </w:r>
      <w:hyperlink r:id="rId1" w:history="1">
        <w:r w:rsidRPr="00086CC8">
          <w:rPr>
            <w:rStyle w:val="Hyperlink"/>
            <w:color w:val="800080"/>
          </w:rPr>
          <w:t xml:space="preserve">UL L 176, 27.6.2013, str. 1; </w:t>
        </w:r>
      </w:hyperlink>
      <w:hyperlink r:id="rId2" w:history="1">
        <w:r w:rsidRPr="00086CC8">
          <w:rPr>
            <w:rStyle w:val="Hyperlink"/>
          </w:rPr>
          <w:t>Uredba - EU - 2024/1623 - SL - EUR-</w:t>
        </w:r>
        <w:proofErr w:type="spellStart"/>
        <w:r w:rsidRPr="00086CC8">
          <w:rPr>
            <w:rStyle w:val="Hyperlink"/>
          </w:rPr>
          <w:t>Lex</w:t>
        </w:r>
        <w:proofErr w:type="spellEnd"/>
        <w:r w:rsidRPr="00086CC8">
          <w:rPr>
            <w:rStyle w:val="Hyperlink"/>
          </w:rPr>
          <w:t xml:space="preserve"> (europa.eu)</w:t>
        </w:r>
      </w:hyperlink>
      <w:r w:rsidRPr="00086CC8">
        <w:t>).</w:t>
      </w:r>
    </w:p>
    <w:p w14:paraId="45FB0818" w14:textId="77777777" w:rsidR="00E114F3" w:rsidRPr="00086CC8"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086CC8" w:rsidRDefault="00864ECA">
    <w:pPr>
      <w:pStyle w:val="Header"/>
    </w:pPr>
    <w:r w:rsidRPr="00086CC8">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086CC8" w:rsidRDefault="00864ECA" w:rsidP="00864ECA">
                          <w:pPr>
                            <w:rPr>
                              <w:rFonts w:ascii="Calibri" w:eastAsia="Calibri" w:hAnsi="Calibri" w:cs="Calibri"/>
                              <w:noProof/>
                              <w:color w:val="000000"/>
                              <w:sz w:val="24"/>
                            </w:rPr>
                          </w:pPr>
                          <w:r w:rsidRPr="00086CC8">
                            <w:rPr>
                              <w:rFonts w:ascii="Calibri" w:hAnsi="Calibri"/>
                              <w:color w:val="000000"/>
                              <w:sz w:val="24"/>
                            </w:rPr>
                            <w:t>Za redno uporabo organa 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086CC8" w:rsidRDefault="00864ECA" w:rsidP="00864ECA">
                    <w:pPr>
                      <w:rPr>
                        <w:rFonts w:ascii="Calibri" w:eastAsia="Calibri" w:hAnsi="Calibri" w:cs="Calibri"/>
                        <w:noProof/>
                        <w:color w:val="000000"/>
                        <w:sz w:val="24"/>
                      </w:rPr>
                    </w:pPr>
                    <w:r w:rsidRPr="00086CC8">
                      <w:rPr>
                        <w:rFonts w:ascii="Calibri" w:hAnsi="Calibri"/>
                        <w:color w:val="000000"/>
                        <w:sz w:val="24"/>
                      </w:rPr>
                      <w:t>Za redno uporabo organa EBA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086CC8" w:rsidRDefault="00864ECA">
    <w:pPr>
      <w:pStyle w:val="Header"/>
    </w:pPr>
    <w:r w:rsidRPr="00086CC8">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086CC8" w:rsidRDefault="00864ECA" w:rsidP="00864ECA">
                          <w:pPr>
                            <w:rPr>
                              <w:rFonts w:ascii="Calibri" w:eastAsia="Calibri" w:hAnsi="Calibri" w:cs="Calibri"/>
                              <w:noProof/>
                              <w:color w:val="000000"/>
                              <w:sz w:val="24"/>
                            </w:rPr>
                          </w:pPr>
                          <w:r w:rsidRPr="00086CC8">
                            <w:rPr>
                              <w:rFonts w:ascii="Calibri" w:hAnsi="Calibri"/>
                              <w:color w:val="000000"/>
                              <w:sz w:val="24"/>
                            </w:rPr>
                            <w:t>Za redno uporabo organa 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086CC8" w:rsidRDefault="00864ECA" w:rsidP="00864ECA">
                    <w:pPr>
                      <w:rPr>
                        <w:rFonts w:ascii="Calibri" w:eastAsia="Calibri" w:hAnsi="Calibri" w:cs="Calibri"/>
                        <w:noProof/>
                        <w:color w:val="000000"/>
                        <w:sz w:val="24"/>
                      </w:rPr>
                    </w:pPr>
                    <w:r w:rsidRPr="00086CC8">
                      <w:rPr>
                        <w:rFonts w:ascii="Calibri" w:hAnsi="Calibri"/>
                        <w:color w:val="000000"/>
                        <w:sz w:val="24"/>
                      </w:rPr>
                      <w:t>Za redno uporabo organa EBA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086CC8" w:rsidRDefault="00864ECA">
    <w:pPr>
      <w:pStyle w:val="Header"/>
    </w:pPr>
    <w:r w:rsidRPr="00086CC8">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086CC8" w:rsidRDefault="00864ECA" w:rsidP="00864ECA">
                          <w:pPr>
                            <w:rPr>
                              <w:rFonts w:ascii="Calibri" w:eastAsia="Calibri" w:hAnsi="Calibri" w:cs="Calibri"/>
                              <w:noProof/>
                              <w:color w:val="000000"/>
                              <w:sz w:val="24"/>
                            </w:rPr>
                          </w:pPr>
                          <w:r w:rsidRPr="00086CC8">
                            <w:rPr>
                              <w:rFonts w:ascii="Calibri" w:hAnsi="Calibri"/>
                              <w:color w:val="000000"/>
                              <w:sz w:val="24"/>
                            </w:rPr>
                            <w:t>Za redno uporabo organa 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086CC8" w:rsidRDefault="00864ECA" w:rsidP="00864ECA">
                    <w:pPr>
                      <w:rPr>
                        <w:rFonts w:ascii="Calibri" w:eastAsia="Calibri" w:hAnsi="Calibri" w:cs="Calibri"/>
                        <w:noProof/>
                        <w:color w:val="000000"/>
                        <w:sz w:val="24"/>
                      </w:rPr>
                    </w:pPr>
                    <w:r w:rsidRPr="00086CC8">
                      <w:rPr>
                        <w:rFonts w:ascii="Calibri" w:hAnsi="Calibri"/>
                        <w:color w:val="000000"/>
                        <w:sz w:val="24"/>
                      </w:rPr>
                      <w:t>Za redno uporabo organa EBA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6CC8"/>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sl-SI"/>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sl-SI"/>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sl-SI"/>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2.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3.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4855</Words>
  <Characters>27538</Characters>
  <Application>Microsoft Office Word</Application>
  <DocSecurity>0</DocSecurity>
  <Lines>229</Lines>
  <Paragraphs>64</Paragraphs>
  <ScaleCrop>false</ScaleCrop>
  <Manager/>
  <Company/>
  <LinksUpToDate>false</LinksUpToDate>
  <CharactersWithSpaces>32329</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