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F4D" w14:textId="2FBDAFE8" w:rsidR="00E114F3" w:rsidRPr="00397655" w:rsidRDefault="00E114F3" w:rsidP="00397655">
      <w:pPr>
        <w:pStyle w:val="Annexetitre"/>
        <w:spacing w:before="0"/>
      </w:pPr>
      <w:r w:rsidRPr="00397655">
        <w:t>PRÍLOHA XXXII – Pokyny pre vzory na zverejňovanie informácií o operačnom riziku</w:t>
      </w:r>
    </w:p>
    <w:p w14:paraId="672A6659" w14:textId="77777777" w:rsidR="00E114F3" w:rsidRPr="00397655" w:rsidRDefault="00E114F3" w:rsidP="00E114F3">
      <w:pPr>
        <w:spacing w:after="120"/>
        <w:jc w:val="both"/>
        <w:rPr>
          <w:rFonts w:ascii="Times New Roman" w:hAnsi="Times New Roman"/>
          <w:b/>
          <w:bCs/>
          <w:sz w:val="24"/>
        </w:rPr>
      </w:pPr>
    </w:p>
    <w:p w14:paraId="384DD143" w14:textId="77777777" w:rsidR="00E114F3" w:rsidRPr="00397655" w:rsidRDefault="00E114F3" w:rsidP="00E114F3">
      <w:pPr>
        <w:spacing w:after="120"/>
        <w:rPr>
          <w:rFonts w:ascii="Times New Roman" w:hAnsi="Times New Roman"/>
          <w:bCs/>
          <w:sz w:val="24"/>
        </w:rPr>
      </w:pPr>
      <w:r w:rsidRPr="00397655">
        <w:rPr>
          <w:rFonts w:ascii="Times New Roman" w:hAnsi="Times New Roman"/>
          <w:b/>
          <w:sz w:val="24"/>
        </w:rPr>
        <w:t xml:space="preserve">Tabuľka EÚ ORA – Kvalitatívne informácie o operačnom riziku. </w:t>
      </w:r>
      <w:r w:rsidRPr="00397655">
        <w:rPr>
          <w:rFonts w:ascii="Times New Roman" w:hAnsi="Times New Roman"/>
          <w:sz w:val="24"/>
        </w:rPr>
        <w:t>Flexibilná tabuľka</w:t>
      </w:r>
    </w:p>
    <w:p w14:paraId="2E1E5572" w14:textId="6D56D6EF" w:rsidR="00E114F3" w:rsidRPr="00397655" w:rsidRDefault="2A1FD4BE" w:rsidP="44B77564">
      <w:pPr>
        <w:numPr>
          <w:ilvl w:val="0"/>
          <w:numId w:val="1"/>
        </w:numPr>
        <w:spacing w:after="120"/>
        <w:jc w:val="both"/>
        <w:rPr>
          <w:rFonts w:ascii="Calibri" w:eastAsia="Times New Roman" w:hAnsi="Calibri" w:cs="Times New Roman"/>
          <w:color w:val="000000"/>
        </w:rPr>
      </w:pPr>
      <w:r w:rsidRPr="00397655">
        <w:rPr>
          <w:rFonts w:ascii="Times New Roman" w:hAnsi="Times New Roman"/>
          <w:sz w:val="24"/>
        </w:rPr>
        <w:t>Inštitúcie zverejňujú informácie zahrnuté v tejto tabuľke pri uplatňovaní článku 435 ods. 1, článku 446 ods. 1 písm. a) nariadenia (EÚ) č. 575/2013</w:t>
      </w:r>
      <w:r w:rsidR="00E114F3" w:rsidRPr="00397655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397655">
        <w:rPr>
          <w:rFonts w:ascii="Times New Roman" w:hAnsi="Times New Roman"/>
          <w:sz w:val="24"/>
        </w:rPr>
        <w:t>.</w:t>
      </w:r>
    </w:p>
    <w:p w14:paraId="728254AD" w14:textId="52B3E768" w:rsidR="00E114F3" w:rsidRPr="00397655" w:rsidRDefault="00E114F3" w:rsidP="00E114F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Inštitúcie uplatňujú pokyny uvedené ďalej v tejto prílohe na vyplnenie tabuľky pre zverejňovanie operačného rizika EÚ ORA, ako je uvedené v prílohe XXXI k IT riešeniam EBA.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114F3" w:rsidRPr="00397655" w14:paraId="4FA5DD43" w14:textId="77777777" w:rsidTr="00581319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79875" w14:textId="77777777" w:rsidR="00E114F3" w:rsidRPr="00397655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Odkazy na právne predpisy a pokyny</w:t>
            </w:r>
          </w:p>
        </w:tc>
      </w:tr>
      <w:tr w:rsidR="00E114F3" w:rsidRPr="00397655" w14:paraId="0BB6A5B1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22B50" w14:textId="77777777" w:rsidR="00E114F3" w:rsidRPr="00397655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Číslo riadka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04D8" w14:textId="77777777" w:rsidR="00E114F3" w:rsidRPr="00397655" w:rsidRDefault="00E114F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Vysvetlenie</w:t>
            </w:r>
          </w:p>
        </w:tc>
      </w:tr>
      <w:tr w:rsidR="00E114F3" w:rsidRPr="00397655" w14:paraId="70735BA0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523" w14:textId="1B122A28" w:rsidR="00E114F3" w:rsidRPr="00397655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/>
                <w:sz w:val="24"/>
              </w:rPr>
              <w:t>a)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5B9" w14:textId="77777777" w:rsidR="00E114F3" w:rsidRPr="00397655" w:rsidRDefault="00E114F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Zverejnenie cieľov a politík riadenia rizika</w:t>
            </w:r>
          </w:p>
          <w:p w14:paraId="65684A44" w14:textId="36ED8962" w:rsidR="00E114F3" w:rsidRPr="00397655" w:rsidRDefault="2A1FD4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>V súlade s článkom 435 ods. 1 písm. a) nariadenia (EÚ) č. 575/2013 inštitúcie zverejňujú svoje ciele, politiky, rámce a usmernenia pre riadenie operačného rizika vrátane stratégií a procesov riadenia tohto rizika.</w:t>
            </w:r>
          </w:p>
        </w:tc>
      </w:tr>
      <w:tr w:rsidR="00E114F3" w:rsidRPr="00397655" w14:paraId="37A6A0B3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78CA" w14:textId="22E7EFF7" w:rsidR="00E114F3" w:rsidRPr="00397655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/>
                <w:sz w:val="24"/>
              </w:rPr>
              <w:t>b)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32F9" w14:textId="77777777" w:rsidR="00885AC5" w:rsidRPr="00397655" w:rsidRDefault="00885AC5" w:rsidP="00885AC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Zverejnenie štruktúry a organizácie funkcie riadenia operačného rizika</w:t>
            </w:r>
          </w:p>
          <w:p w14:paraId="739779F0" w14:textId="092C61F0" w:rsidR="00E114F3" w:rsidRPr="00397655" w:rsidRDefault="00885AC5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>V súlade s článkom 435 ods. 1 písm. b) nariadenia (EÚ) č. 575/2013 inštitúcie zverejňujú štruktúru a organizáciu funkcie riadenia operačného rizika vrátane informácií o základe orgánu vykonávajúceho funkciu riadenia operačného rizika, jeho právomocí a zodpovednosti v súlade so zakladajúcimi a riadiacimi dokumentmi inštitúcie a kontrolnou funkciou.</w:t>
            </w:r>
          </w:p>
        </w:tc>
      </w:tr>
      <w:tr w:rsidR="00E114F3" w:rsidRPr="00397655" w14:paraId="30DA08C8" w14:textId="77777777" w:rsidTr="00581319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F50" w14:textId="6B123167" w:rsidR="00E114F3" w:rsidRPr="00397655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/>
                <w:sz w:val="24"/>
              </w:rPr>
              <w:t>c)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D347" w14:textId="77777777" w:rsidR="005129A3" w:rsidRPr="00397655" w:rsidRDefault="005129A3" w:rsidP="005129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/>
                <w:sz w:val="24"/>
              </w:rPr>
              <w:t>Opis rozsahu a povahy systému merania</w:t>
            </w:r>
          </w:p>
          <w:p w14:paraId="2426746E" w14:textId="624D178E" w:rsidR="00E114F3" w:rsidRPr="00397655" w:rsidRDefault="005129A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>V súlade s článkom 435 ods. 1 písm. c) nariadenia (EÚ) č. 575/2013 inštitúcie zverejňujú rozsah a povahu systému merania operačného rizika (t. j. systémov a údajov používaných na meranie operačného rizika s cieľom odhadnúť kapitálovú požiadavku, ktorá sa vzťahuje na operačné riziko).</w:t>
            </w:r>
          </w:p>
        </w:tc>
      </w:tr>
      <w:tr w:rsidR="00E114F3" w:rsidRPr="00397655" w14:paraId="530FAA18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C3DB" w14:textId="0C63D270" w:rsidR="00E114F3" w:rsidRPr="00397655" w:rsidRDefault="00E114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/>
                <w:sz w:val="24"/>
              </w:rPr>
              <w:t>d)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CC0D" w14:textId="77777777" w:rsidR="005D02AE" w:rsidRPr="00397655" w:rsidRDefault="005D02AE" w:rsidP="005D02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 w:themeColor="text1"/>
                <w:sz w:val="24"/>
              </w:rPr>
              <w:t>Opis rozsahu a povahy rámca vykazovania operačného rizika</w:t>
            </w:r>
          </w:p>
          <w:p w14:paraId="1EE9A69D" w14:textId="428D8604" w:rsidR="00E114F3" w:rsidRPr="00397655" w:rsidRDefault="005D02A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>V súlade s článkom 435 ods. 1 písm. c) nariadenia (EÚ) č. 575/2013 inštitúcie zverejňujú rozsah a povahu rámca vykazovania operačného rizika výkonnému vedeniu a predstavenstvu.</w:t>
            </w:r>
          </w:p>
        </w:tc>
      </w:tr>
      <w:tr w:rsidR="00E5460F" w:rsidRPr="00397655" w14:paraId="1120D006" w14:textId="77777777" w:rsidTr="00581319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9FF" w14:textId="263ED99A" w:rsidR="00E5460F" w:rsidRPr="00397655" w:rsidRDefault="00E5460F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/>
                <w:sz w:val="24"/>
              </w:rPr>
              <w:t>e)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49C5" w14:textId="77777777" w:rsidR="00E25C0C" w:rsidRPr="00397655" w:rsidRDefault="00E25C0C" w:rsidP="00E25C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Opis politík a stratégií zmierňovania a </w:t>
            </w:r>
            <w:proofErr w:type="spellStart"/>
            <w:r w:rsidRPr="00397655">
              <w:rPr>
                <w:rFonts w:ascii="Times New Roman" w:hAnsi="Times New Roman"/>
                <w:b/>
                <w:color w:val="000000" w:themeColor="text1"/>
                <w:sz w:val="24"/>
              </w:rPr>
              <w:t>hedžingu</w:t>
            </w:r>
            <w:proofErr w:type="spellEnd"/>
            <w:r w:rsidRPr="0039765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rizika</w:t>
            </w:r>
          </w:p>
          <w:p w14:paraId="443DC7A5" w14:textId="7D68A10D" w:rsidR="00E5460F" w:rsidRPr="00397655" w:rsidDel="009A4E43" w:rsidRDefault="00E25C0C" w:rsidP="00E25C0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 xml:space="preserve">V súlade s článkom 435 ods. 1 písm. d) nariadenia (EÚ) č. 575/2013 inštitúcie zverejňujú svoje politiky a stratégie zmierňovania a </w:t>
            </w:r>
            <w:proofErr w:type="spellStart"/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>hedžingu</w:t>
            </w:r>
            <w:proofErr w:type="spellEnd"/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t xml:space="preserve"> rizika používané pri riadení operačného rizika vrátane prípadov, keď sa </w:t>
            </w:r>
            <w:r w:rsidRPr="00397655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zmierňovanie operačného rizika dosahuje prostredníctvom politiky (v takom prípade zverejňujú politiky týkajúce sa kultúry rizika, tolerancie voči riziku a externého zabezpečovania činností) alebo keď sa dosahuje prostredníctvom odpredaja z vysokorizikových podnikov alebo prostredníctvom zavedenia kontrol. Inštitúcie zverejňujú aj zostávajúce expozície, ktoré sú absorbované samotnými inštitúciami, prípadne zostávajúce expozície, ktoré sú prevedené rôznymi spôsobmi vrátane poistenia.</w:t>
            </w:r>
          </w:p>
        </w:tc>
      </w:tr>
    </w:tbl>
    <w:p w14:paraId="0A37501D" w14:textId="77777777" w:rsidR="00E114F3" w:rsidRPr="00397655" w:rsidRDefault="00E114F3" w:rsidP="00E114F3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73228265" w14:textId="2825D40F" w:rsidR="00E114F3" w:rsidRPr="00397655" w:rsidRDefault="00E114F3" w:rsidP="00E114F3">
      <w:pPr>
        <w:spacing w:after="120"/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b/>
          <w:sz w:val="24"/>
        </w:rPr>
        <w:t xml:space="preserve">Vzor EÚ OR1 – Straty z operačného rizika. </w:t>
      </w:r>
      <w:r w:rsidRPr="00397655">
        <w:rPr>
          <w:rFonts w:ascii="Times New Roman" w:hAnsi="Times New Roman"/>
          <w:sz w:val="24"/>
        </w:rPr>
        <w:t>Fixný vzor</w:t>
      </w:r>
    </w:p>
    <w:p w14:paraId="70B287DB" w14:textId="7164F419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Inštitúcie zverejňujú informácie uvedené vo vzore EÚ OR1 pri uplatňovaní článku 446 ods. 2 písm. a) a b) nariadenia (EÚ) č. 575/2013. Tento vzor poskytuje informácie o ročných stratách z operačného rizika, ktoré vznikli za posledných desať rokov, na základe účtovného dňa vzniknutých strát. Tieto ročné straty z operačného rizika sa vypočítajú v súlade s článkom 316 ods. 1 nariadenia (EÚ) č. 575/2013 a, v súlade s článkom 317 ods. 2 nariadenia (EÚ) č. 575/2013, budú zahŕňať všetky straty vyplývajúce zo všetkých subjektov, ktoré sú súčasťou rozsahu konsolidácie, vrátane strát zo splynutých/zlúčených podnikov [podľa článku 321 ods. 1 nariadenia (EÚ) č. 575/2013]. Tieto informácie sa poskytujú v rozsahu, v akom sú k dispozícii, a na základe maximálneho úsilia až do začatia uplatňovania článku 316 ods. 3, článku 317 ods. 9, článku 320 ods. 3 a článku 321 ods. 2 nariadenia (EÚ) č. 575/2013.</w:t>
      </w:r>
    </w:p>
    <w:p w14:paraId="0C12CA7B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47EE9624" w14:textId="4A5B22B7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97655">
        <w:rPr>
          <w:rFonts w:ascii="Times New Roman" w:hAnsi="Times New Roman"/>
          <w:sz w:val="24"/>
        </w:rPr>
        <w:t>Inštitúcie zverejňujú za každý z posledných desiatich rokov údaje o počte strát z operačného rizika a počte vylúčených strát z operačného rizika, celkovej sume strát z operačného rizika po odpočítaní náhrad a celkovej sume strát z operačného rizika po odpočítaní náhrad a vylúčených strát. Celková ročná suma strát z operačného rizika sa vypočítava ako súčet všetkých strát za daný finančný rok v čistom vyjadrení vypočítaných v súlade s článkom 318 ods. 1 nariadenia (EÚ) č. 575/2013, ktoré sa rovnajú alebo prekračujú prahové hodnoty údajov o stratách stanovené v článku 319 ods. 1, resp. 2 uvedeného nariadenia (t. j. 20 000 EUR a 100 000 EUR). Straty spôsobené bežnou udalosťou operačného rizika alebo viacerými udalosťami súvisiacimi s tou istou udalosťou operačného rizika („počiatočná udalosť“), ktoré sú vykázané v rôznych účtovných rokoch, sa však za posledných desať rokov sčítajú na účely určenia, či je prekročená prahová hodnota na zverejnenie. Straty a úpravy by sa mali zverejňovať podľa ustanovení článku 317 ods. 3 písm. c) a článku 318 nariadenia (EÚ) č. 575/2013. Tieto sumy sa zverejňujú v roku, v ktorom boli zaznamenané vo finančných výkazoch.</w:t>
      </w:r>
    </w:p>
    <w:p w14:paraId="2702CB88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146DBD3" w14:textId="48F555B9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 V sprievodnom opise udalosti inštitúcie zverejňujú súhrnné odôvodnenia výnimočných udalostí operačného rizika, ktoré boli v súlade s článkom 446 ods. 2 písm. b) nariadenia (EÚ) č. 575/2013 vylúčené z výpočtu ročných strát z operačného rizika.</w:t>
      </w:r>
    </w:p>
    <w:p w14:paraId="066C0912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79A49BBA" w14:textId="5D2F1C9E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 Inštitúcie takisto súhrnne zverejňujú všetky podstatné informácie, ktoré by používateľom mohli pomôcť porozumieť histórii strát, náhradám a zákonným rezervám inštitúcií, s výnimkou dôverných a vlastníckych informácií.</w:t>
      </w:r>
    </w:p>
    <w:p w14:paraId="3AF72482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6406578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745"/>
      </w:tblGrid>
      <w:tr w:rsidR="00D740B8" w:rsidRPr="00397655" w14:paraId="7E388732" w14:textId="77777777">
        <w:tc>
          <w:tcPr>
            <w:tcW w:w="1271" w:type="dxa"/>
            <w:shd w:val="clear" w:color="auto" w:fill="BFBFBF" w:themeFill="background1" w:themeFillShade="BF"/>
          </w:tcPr>
          <w:p w14:paraId="5F81890E" w14:textId="77777777" w:rsidR="00D740B8" w:rsidRPr="00397655" w:rsidRDefault="00D740B8" w:rsidP="00397655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Stĺpec</w:t>
            </w:r>
          </w:p>
        </w:tc>
        <w:tc>
          <w:tcPr>
            <w:tcW w:w="7745" w:type="dxa"/>
            <w:shd w:val="clear" w:color="auto" w:fill="BFBFBF" w:themeFill="background1" w:themeFillShade="BF"/>
          </w:tcPr>
          <w:p w14:paraId="0773BD79" w14:textId="77777777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Odkazy na právne predpisy a pokyny</w:t>
            </w:r>
          </w:p>
        </w:tc>
      </w:tr>
      <w:tr w:rsidR="00D740B8" w:rsidRPr="00397655" w14:paraId="4A7B0862" w14:textId="77777777">
        <w:tc>
          <w:tcPr>
            <w:tcW w:w="1271" w:type="dxa"/>
          </w:tcPr>
          <w:p w14:paraId="59A78ADD" w14:textId="77777777" w:rsidR="00D740B8" w:rsidRPr="00397655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lastRenderedPageBreak/>
              <w:t>a až j</w:t>
            </w:r>
          </w:p>
        </w:tc>
        <w:tc>
          <w:tcPr>
            <w:tcW w:w="7745" w:type="dxa"/>
          </w:tcPr>
          <w:p w14:paraId="0B872A50" w14:textId="7777777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Rok (T, T – 1, T – 2, T – 3, T – 4, T – 5, T – 6, T – 7, T – 8, T – 9)</w:t>
            </w:r>
          </w:p>
          <w:p w14:paraId="5B6EF35C" w14:textId="3033D1CC" w:rsidR="00D740B8" w:rsidRPr="00397655" w:rsidRDefault="00D740B8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Hodnota uvedená v príslušnom riadku za posledných desať finančných rokov. </w:t>
            </w:r>
          </w:p>
        </w:tc>
      </w:tr>
      <w:tr w:rsidR="00D740B8" w:rsidRPr="00397655" w14:paraId="7D63969A" w14:textId="77777777">
        <w:tc>
          <w:tcPr>
            <w:tcW w:w="1271" w:type="dxa"/>
          </w:tcPr>
          <w:p w14:paraId="6CFD6A05" w14:textId="77777777" w:rsidR="00D740B8" w:rsidRPr="00397655" w:rsidRDefault="00D74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7745" w:type="dxa"/>
          </w:tcPr>
          <w:p w14:paraId="50D93A86" w14:textId="7777777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Desaťročný priemer</w:t>
            </w:r>
          </w:p>
          <w:p w14:paraId="38A7187F" w14:textId="0CB464F2" w:rsidR="00D740B8" w:rsidRPr="00397655" w:rsidRDefault="00D740B8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Priemer hodnôt uvedených v príslušnom riadku za posledných desať rokov.</w:t>
            </w:r>
          </w:p>
        </w:tc>
      </w:tr>
    </w:tbl>
    <w:p w14:paraId="7095834F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32DB6729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2611544E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397655" w14:paraId="75D1924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07F6" w14:textId="1ED352CF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Riadok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10C0" w14:textId="77777777" w:rsidR="00D740B8" w:rsidRPr="00397655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Odkazy na právne predpisy a pokyny</w:t>
            </w:r>
          </w:p>
        </w:tc>
      </w:tr>
      <w:tr w:rsidR="00D740B8" w:rsidRPr="00397655" w14:paraId="5B979768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5C0BB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F810E" w14:textId="221857B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Celková suma strát z operačného rizika po odpočítaní náhrad (bez vylúčení)</w:t>
            </w:r>
          </w:p>
          <w:p w14:paraId="73A6B59F" w14:textId="42A729DD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a) a článok 316 ods. 1 nariadenia (EÚ) č. 575/2013.</w:t>
            </w:r>
          </w:p>
          <w:p w14:paraId="5D929629" w14:textId="254FA976" w:rsidR="00D740B8" w:rsidRPr="00397655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riadku sa zverejní celková suma straty po odpočítaní náhrad vyplývajúcich zo stratových udalostí presahujúcich prahovú hodnotu stratovej udalosti 20 000 EUR za každé z posledných desiatich vykazovaných období vrátane strát zo splynutí a zlúčení. Straty spôsobené bežnou udalosťou operačného rizika alebo viacerými udalosťami súvisiacimi s tou istou udalosťou operačného rizika, ktoré sú vykázané v rôznych účtovných rokoch, sa za posledných desať rokov sčítajú na účely určenia, či je prekročená prahová hodnota na zverejnenie. Mimoriadne udalosti operačného rizika v danom roku, ktoré už nie sú relevantné pre rizikový profil inštitúcie a v prípade ktorých inštitúcia dostala v súlade s článkom 320 ods. 1 nariadenia (EÚ) č. 575/2013 povolenie od príslušného orgánu vylúčiť ich z ročných strát z operačného rizika inštitúcie, sa stále zohľadňujú pri výpočte položky tohto riadka.</w:t>
            </w:r>
          </w:p>
        </w:tc>
      </w:tr>
      <w:tr w:rsidR="00D740B8" w:rsidRPr="00397655" w14:paraId="1A3189B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5BED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B8990" w14:textId="7777777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Celkový počet strát z operačného rizika</w:t>
            </w:r>
          </w:p>
          <w:p w14:paraId="2EA91375" w14:textId="28AF0058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a) a článok 316 ods. 1 nariadenia (EÚ) č. 575/2013.</w:t>
            </w:r>
          </w:p>
          <w:p w14:paraId="275C478C" w14:textId="69738AFF" w:rsidR="00D740B8" w:rsidRPr="00397655" w:rsidRDefault="0047141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Celkový počet strát z operačného rizika presahujúcich prahovú hodnotu stratovej udalosti 20 000 EUR.</w:t>
            </w:r>
          </w:p>
        </w:tc>
      </w:tr>
      <w:tr w:rsidR="00D740B8" w:rsidRPr="00397655" w14:paraId="30368E0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E2D97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E573" w14:textId="06E670C1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Celková suma vylúčených strát z operačného rizika</w:t>
            </w:r>
          </w:p>
          <w:p w14:paraId="5C1A66AF" w14:textId="5CAD041D" w:rsidR="00D740B8" w:rsidRPr="00397655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b) a článok 320 ods. 1 nariadenia (EÚ) č. 575/2013.</w:t>
            </w:r>
          </w:p>
          <w:p w14:paraId="7BE235CA" w14:textId="7483A5B2" w:rsidR="00D740B8" w:rsidRPr="00397655" w:rsidRDefault="002B078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Celkové sumy čistých strát presahujúcich prahovú hodnotu straty 20 000 EUR, ktoré boli vylúčené v súlade s článkom 320 ods. 1 nariadenia (EÚ) č. 575/2013, za každé z posledných desiatich vykazovaných období.</w:t>
            </w:r>
          </w:p>
        </w:tc>
      </w:tr>
      <w:tr w:rsidR="00D740B8" w:rsidRPr="00397655" w14:paraId="2771244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8D8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A990" w14:textId="77777777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Celkový počet vylúčených udalostí operačného rizika</w:t>
            </w:r>
          </w:p>
          <w:p w14:paraId="7914E462" w14:textId="7978A3B5" w:rsidR="00D740B8" w:rsidRPr="00397655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b) a článok 320 ods. 1 nariadenia (EÚ) č. 575/2013.</w:t>
            </w:r>
          </w:p>
          <w:p w14:paraId="318A732C" w14:textId="242D554F" w:rsidR="00D740B8" w:rsidRPr="00397655" w:rsidRDefault="009D4A1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Celkový počet mimoriadnych udalostí operačného rizika presahujúcich prahovú hodnotu stratovej udalosti 20 000 EUR, ktoré boli vylúčené v súlade s článkom 320 ods. 1 nariadenia (EÚ) č. 575/2013 za každé z posledných desiatich vykazovaných období. </w:t>
            </w:r>
          </w:p>
        </w:tc>
      </w:tr>
      <w:tr w:rsidR="00D740B8" w:rsidRPr="00397655" w14:paraId="155A14DC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A2BC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9B80" w14:textId="218BBE7C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Celková suma strát z operačného rizika po odpočítaní náhrad a vylúčených strát</w:t>
            </w:r>
          </w:p>
          <w:p w14:paraId="4203582A" w14:textId="7C24EBAE" w:rsidR="00D740B8" w:rsidRPr="00397655" w:rsidRDefault="002B078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Celková suma strát z operačného rizika po odpočítaní sumy náhrad zverejnených v riadku 1 a po odpočítaní vylúčených strát zverejnených v riadku 3.</w:t>
            </w:r>
          </w:p>
        </w:tc>
      </w:tr>
      <w:tr w:rsidR="00D740B8" w:rsidRPr="00397655" w14:paraId="533A412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E7FB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5A87" w14:textId="409B91B6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Celková suma strát z operačného rizika po odpočítaní náhrad (bez vylúčení)</w:t>
            </w:r>
          </w:p>
          <w:p w14:paraId="647BDEC8" w14:textId="66617A83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a) a článok 316 ods. 1 nariadenia (EÚ) č. 575/2013.</w:t>
            </w:r>
          </w:p>
          <w:p w14:paraId="7F1E94AA" w14:textId="3C3700EE" w:rsidR="00D740B8" w:rsidRPr="00397655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Celková suma strát z operačného rizika po odpočítaní sumy náhrad, ktoré vyplývajú zo stratových udalostí presahujúcich prahovú hodnotu 100 000 EUR za každé z posledných desiatich vykazovaných období vrátane strát zo splynutí a zlúčení. Straty spôsobené bežnou udalosťou operačného rizika alebo viacerými udalosťami súvisiacimi s tou istou udalosťou operačného rizika, ktoré sú vykázané v rôznych účtovných rokoch, sa za posledných desať rokov sčítajú na účely určenia, či je prekročená prahová hodnota na zverejnenie. Mimoriadne udalosti operačného rizika v danom roku, ktoré už nie sú relevantné pre rizikový profil inštitúcie a v prípade ktorých inštitúcia dostala v súlade s článkom 320 ods. 1 nariadenia (EÚ) č. 575/2013 povolenie od príslušného orgánu vylúčiť ich z ročných strát z operačného rizika inštitúcie, sa stále zohľadňujú pri výpočte položky tohto riadka.</w:t>
            </w:r>
          </w:p>
        </w:tc>
      </w:tr>
      <w:tr w:rsidR="00D740B8" w:rsidRPr="00397655" w14:paraId="55F7B96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72A0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5A10" w14:textId="7777777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Celkový počet strát z operačného rizika</w:t>
            </w:r>
          </w:p>
          <w:p w14:paraId="7AD8EE0D" w14:textId="092E19E2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a) a článok 316 ods. 1 nariadenia (EÚ) č. 575/2013.</w:t>
            </w:r>
          </w:p>
          <w:p w14:paraId="6F316B8B" w14:textId="6ABB567B" w:rsidR="00D740B8" w:rsidRPr="00397655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Celkový počet strát z operačného rizika presahujúcich prahovú hodnotu pre stratové udalosti 100 000 EUR.</w:t>
            </w:r>
          </w:p>
        </w:tc>
      </w:tr>
      <w:tr w:rsidR="00D740B8" w:rsidRPr="00397655" w14:paraId="774B79F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21F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1AFB" w14:textId="77777777" w:rsidR="00D740B8" w:rsidRPr="00397655" w:rsidRDefault="00D740B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Celková suma vylúčených strát z operačného rizika</w:t>
            </w:r>
          </w:p>
          <w:p w14:paraId="71DECF65" w14:textId="48A395A5" w:rsidR="00D740B8" w:rsidRPr="00397655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b) a článok 320 ods. 1 nariadenia (EÚ) č. 575/2013.</w:t>
            </w:r>
          </w:p>
          <w:p w14:paraId="0BC74916" w14:textId="396B699A" w:rsidR="00D740B8" w:rsidRPr="00397655" w:rsidRDefault="003D54AC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Celkové sumy čistých strát presahujúcich prahovú hodnotu stratovej udalosti 100 000 EUR, vylúčené v súlade s článkom 320 ods. 1 nariadenia (EÚ) č. 575/2013, za každé z posledných desiatich vykazovaných období.</w:t>
            </w:r>
          </w:p>
        </w:tc>
      </w:tr>
      <w:tr w:rsidR="00D740B8" w:rsidRPr="00397655" w14:paraId="33C9C19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35360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3E8D" w14:textId="77777777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Celkový počet vylúčených udalostí operačného rizika</w:t>
            </w:r>
          </w:p>
          <w:p w14:paraId="2B56754D" w14:textId="46B0AAAA" w:rsidR="00D740B8" w:rsidRPr="00397655" w:rsidRDefault="00D740B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2 písm. b) a článok 320 ods. 1 nariadenia (EÚ) č. 575/2013.</w:t>
            </w:r>
          </w:p>
          <w:p w14:paraId="2EDEC8CA" w14:textId="252B783D" w:rsidR="00D740B8" w:rsidRPr="00397655" w:rsidRDefault="00471410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Celkový počet mimoriadnych udalostí operačného rizika presahujúcich prahovú hodnotu stratovej udalosti 100 000 EUR, ktoré boli vylúčené v súlade s článkom 320 ods. 1 nariadenia (EÚ) č. 575/2013, za každé z posledných desiatich vykazovaných období.</w:t>
            </w:r>
          </w:p>
        </w:tc>
      </w:tr>
      <w:tr w:rsidR="00D740B8" w:rsidRPr="00397655" w14:paraId="01B8CA90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1114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07D3" w14:textId="0C81ABEB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Celková suma strát z operačného rizika po odpočítaní náhrad a vylúčených strát</w:t>
            </w:r>
          </w:p>
          <w:p w14:paraId="65622881" w14:textId="32C07686" w:rsidR="00D740B8" w:rsidRPr="00397655" w:rsidRDefault="006943D3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tomto riadku sa zverejní celková suma strát z operačného rizika po odpočítaní súm náhrad zverejnených v riadku 6 a po odpočítaní súm vylúčených strát zverejnených v riadku 8.</w:t>
            </w:r>
          </w:p>
        </w:tc>
      </w:tr>
      <w:tr w:rsidR="00D740B8" w:rsidRPr="00397655" w14:paraId="1DE089DB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A6CB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813C" w14:textId="77777777" w:rsidR="00D740B8" w:rsidRPr="00397655" w:rsidRDefault="00D740B8">
            <w:pPr>
              <w:autoSpaceDE w:val="0"/>
              <w:autoSpaceDN w:val="0"/>
              <w:adjustRightInd w:val="0"/>
              <w:spacing w:before="120" w:after="120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Neuplatňuje sa.</w:t>
            </w:r>
          </w:p>
        </w:tc>
      </w:tr>
      <w:tr w:rsidR="00D740B8" w:rsidRPr="00397655" w14:paraId="23D23702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54CBB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D8849" w14:textId="77777777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Neuplatňuje sa.</w:t>
            </w:r>
          </w:p>
        </w:tc>
      </w:tr>
      <w:tr w:rsidR="00D740B8" w:rsidRPr="00397655" w14:paraId="5EEF83F8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4FD1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A855" w14:textId="77777777" w:rsidR="00D740B8" w:rsidRPr="00397655" w:rsidRDefault="00D740B8">
            <w:pPr>
              <w:spacing w:before="12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Neuplatňuje sa.</w:t>
            </w:r>
          </w:p>
        </w:tc>
      </w:tr>
    </w:tbl>
    <w:p w14:paraId="25A698B0" w14:textId="77777777" w:rsidR="00D740B8" w:rsidRPr="00397655" w:rsidRDefault="00D740B8" w:rsidP="00D740B8">
      <w:pPr>
        <w:pStyle w:val="InstructionsText2"/>
        <w:numPr>
          <w:ilvl w:val="0"/>
          <w:numId w:val="0"/>
        </w:numPr>
        <w:ind w:left="360"/>
        <w:rPr>
          <w:lang w:val="en-US"/>
        </w:rPr>
      </w:pPr>
    </w:p>
    <w:p w14:paraId="033C5861" w14:textId="77777777" w:rsidR="00D740B8" w:rsidRPr="00397655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b/>
          <w:sz w:val="24"/>
        </w:rPr>
        <w:t xml:space="preserve">Vzor EÚ OR2 – Ukazovateľ obchodovania, zložky a </w:t>
      </w:r>
      <w:proofErr w:type="spellStart"/>
      <w:r w:rsidRPr="00397655">
        <w:rPr>
          <w:rFonts w:ascii="Times New Roman" w:hAnsi="Times New Roman"/>
          <w:b/>
          <w:sz w:val="24"/>
        </w:rPr>
        <w:t>podzložky</w:t>
      </w:r>
      <w:proofErr w:type="spellEnd"/>
      <w:r w:rsidRPr="00397655">
        <w:rPr>
          <w:rFonts w:ascii="Times New Roman" w:hAnsi="Times New Roman"/>
          <w:b/>
          <w:sz w:val="24"/>
        </w:rPr>
        <w:t xml:space="preserve">. </w:t>
      </w:r>
      <w:r w:rsidRPr="00397655">
        <w:rPr>
          <w:rFonts w:ascii="Times New Roman" w:hAnsi="Times New Roman"/>
          <w:sz w:val="24"/>
        </w:rPr>
        <w:t>Fixný vzor</w:t>
      </w:r>
    </w:p>
    <w:p w14:paraId="3D173CCF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F849430" w14:textId="414C531B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Inštitúcie zverejňujú informácie zahrnuté vo vzore EÚ OR2 pri uplatňovaní článku 446 ods. 1 písm. c) a d) nariadenia (EÚ) č. 575/2013. Tento vzor poskytuje informácie o výpočte zložky ukazovateľa obchodovania v súlade s článkom 313 nariadenia (EÚ) č. 575/2013 a o výpočte ukazovateľa obchodovania, zložiek a </w:t>
      </w:r>
      <w:proofErr w:type="spellStart"/>
      <w:r w:rsidRPr="00397655">
        <w:rPr>
          <w:rFonts w:ascii="Times New Roman" w:hAnsi="Times New Roman"/>
          <w:sz w:val="24"/>
        </w:rPr>
        <w:t>podzložiek</w:t>
      </w:r>
      <w:proofErr w:type="spellEnd"/>
      <w:r w:rsidRPr="00397655">
        <w:rPr>
          <w:rFonts w:ascii="Times New Roman" w:hAnsi="Times New Roman"/>
          <w:sz w:val="24"/>
        </w:rPr>
        <w:t xml:space="preserve"> v súlade s článkom 314 nariadenia (EÚ) č. 575/2013. Okrem toho sa v tejto šablóne poskytujú aj informácie o sumách vylúčených z ukazovateľa obchodovania v súvislosti s odpredanými subjektmi alebo činnosťami v súlade s článkom 315 ods. 2.</w:t>
      </w:r>
    </w:p>
    <w:p w14:paraId="5C35CEC0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1749895F" w14:textId="07869965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Inštitúcie zverejňujú informácie za posledné tri finančné roky. Tieto informácie týkajúce sa sumy príslušného zoznamu položiek sú potrebné na výpočet </w:t>
      </w:r>
      <w:proofErr w:type="spellStart"/>
      <w:r w:rsidRPr="00397655">
        <w:rPr>
          <w:rFonts w:ascii="Times New Roman" w:hAnsi="Times New Roman"/>
          <w:sz w:val="24"/>
        </w:rPr>
        <w:t>podzložiek</w:t>
      </w:r>
      <w:proofErr w:type="spellEnd"/>
      <w:r w:rsidRPr="00397655">
        <w:rPr>
          <w:rFonts w:ascii="Times New Roman" w:hAnsi="Times New Roman"/>
          <w:sz w:val="24"/>
        </w:rPr>
        <w:t xml:space="preserve"> ukazovateľa obchodovania, ktoré prispievajú k výpočtu požiadaviek na vlastné zdroje na krytie operačného rizika.</w:t>
      </w:r>
    </w:p>
    <w:p w14:paraId="7B27D162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p w14:paraId="41988E91" w14:textId="281D16EA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V súlade s článkom 314 ods. 8 nariadenia (EÚ) č. 575/2013, ak nie sú k dispozícii žiadne historické údaje, inštitúcie vykazujú odhady obchodnej činnosti zamerané do budúcnosti.</w:t>
      </w:r>
    </w:p>
    <w:p w14:paraId="14A23528" w14:textId="485ED75C" w:rsidR="00D740B8" w:rsidRPr="00397655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97655">
        <w:rPr>
          <w:rFonts w:ascii="Times New Roman" w:hAnsi="Times New Roman"/>
          <w:sz w:val="24"/>
        </w:rPr>
        <w:t>Ak majú inštitúcie k dispozícii údaje týkajúce sa podrobných položiek, ktoré sú súčasťou zložiek ukazovateľa obchodovania za menej ako tri roky, dostupné historické údaje sa prednostne priradia k príslušným stĺpcom vo vzore. Ak majú inštitúcie k dispozícii historické údaje týkajúce sa zložiek ukazovateľa obchodovania len za jeden rok, tieto údaje sa vykážu v stĺpci zodpovedajúcom poslednému roku (napr. „minulý rok“). Ak je to primerané, do roku –1, resp. do roku –2 sa zahrnú výhľadové odhady, kým nebudú tieto údaje k dispozícii.</w:t>
      </w:r>
    </w:p>
    <w:p w14:paraId="2DDE0943" w14:textId="7F04DC41" w:rsidR="00D740B8" w:rsidRPr="00397655" w:rsidRDefault="00D740B8" w:rsidP="00D740B8">
      <w:pPr>
        <w:pStyle w:val="numbered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97655">
        <w:rPr>
          <w:rFonts w:ascii="Times New Roman" w:hAnsi="Times New Roman"/>
          <w:sz w:val="24"/>
        </w:rPr>
        <w:t>Inštitúcie nesmú do podpoložiek, ktoré sú súčasťou výpočtu zložky úrokov, lízingu a dividend (ILDC), zahrnúť žiadne údaje týkajúce sa konkrétnych dcérskych inštitúcií, ktorých ILDC sa vypočítava osobitne v súlade s článkom 314 ods. 3 nariadenia (EÚ) č. 575/2013.</w:t>
      </w:r>
    </w:p>
    <w:p w14:paraId="3512454B" w14:textId="27224DC8" w:rsidR="00841A0D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Inštitúcie nesmú do podpoložiek, ktoré sú súčasťou výpočtu zložky úrokov, lízingu a dividend (ILDC), zahrnúť žiadne údaje z obchodných línií </w:t>
      </w:r>
      <w:proofErr w:type="spellStart"/>
      <w:r w:rsidRPr="00397655">
        <w:rPr>
          <w:rFonts w:ascii="Times New Roman" w:hAnsi="Times New Roman"/>
          <w:sz w:val="24"/>
        </w:rPr>
        <w:t>retailového</w:t>
      </w:r>
      <w:proofErr w:type="spellEnd"/>
      <w:r w:rsidRPr="00397655">
        <w:rPr>
          <w:rFonts w:ascii="Times New Roman" w:hAnsi="Times New Roman"/>
          <w:sz w:val="24"/>
        </w:rPr>
        <w:t xml:space="preserve"> a/alebo komerčného bankovníctva v tých prípadoch, keď inštitúcia získala povolenie uplatňovať článok 314 ods. 4 nariadenia (EÚ) č. 575/2013.</w:t>
      </w:r>
    </w:p>
    <w:p w14:paraId="22AE3E22" w14:textId="77777777" w:rsidR="00841A0D" w:rsidRPr="00397655" w:rsidRDefault="00841A0D" w:rsidP="00841A0D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A161EFD" w14:textId="7882B43A" w:rsidR="00D740B8" w:rsidRPr="00397655" w:rsidRDefault="003826D3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Inštitúcie však v riadku 1 vykazujú celkovú sumu ILDC vrátane súm vypočítaných v súlade s článkom 314 ods. 3 nariadenia (EÚ) č. 575/2013. V riadku EÚ 1 sa vykazuje aj ILDC po vylúčení subjektov zohľadnených v súlade článkom 314 ods. 3.</w:t>
      </w:r>
    </w:p>
    <w:p w14:paraId="7DAFACF8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78B96DC" w14:textId="494916C5" w:rsidR="00D740B8" w:rsidRPr="00397655" w:rsidRDefault="00D740B8" w:rsidP="00397655">
      <w:pPr>
        <w:keepLines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 xml:space="preserve">V sprievodnom opise udalostí v súlade s článkom 446 ods. 1 nariadenia (EÚ) č. 575/2013 inštitúcie zverejnia odôvodnenie každého vylúčenia z ukazovateľa obchodovania s </w:t>
      </w:r>
      <w:r w:rsidRPr="00397655">
        <w:rPr>
          <w:rFonts w:ascii="Times New Roman" w:hAnsi="Times New Roman"/>
          <w:sz w:val="24"/>
        </w:rPr>
        <w:lastRenderedPageBreak/>
        <w:t xml:space="preserve">výnimkou vylúčenia </w:t>
      </w:r>
      <w:proofErr w:type="spellStart"/>
      <w:r w:rsidRPr="00397655">
        <w:rPr>
          <w:rFonts w:ascii="Times New Roman" w:hAnsi="Times New Roman"/>
          <w:sz w:val="24"/>
        </w:rPr>
        <w:t>retailových</w:t>
      </w:r>
      <w:proofErr w:type="spellEnd"/>
      <w:r w:rsidRPr="00397655">
        <w:rPr>
          <w:rFonts w:ascii="Times New Roman" w:hAnsi="Times New Roman"/>
          <w:sz w:val="24"/>
        </w:rPr>
        <w:t xml:space="preserve"> a komerčných obchodných línií zohľadnených v súlade článkom 314 ods. 4.</w:t>
      </w:r>
    </w:p>
    <w:p w14:paraId="22C673C4" w14:textId="77777777" w:rsidR="00393FEF" w:rsidRPr="00397655" w:rsidRDefault="00393FEF" w:rsidP="00532CFA">
      <w:pPr>
        <w:pStyle w:val="ListParagraph"/>
        <w:rPr>
          <w:rFonts w:ascii="Times New Roman" w:hAnsi="Times New Roman"/>
          <w:bCs/>
          <w:sz w:val="24"/>
        </w:rPr>
      </w:pPr>
    </w:p>
    <w:p w14:paraId="7DD11602" w14:textId="2BC0B288" w:rsidR="00393FEF" w:rsidRPr="00397655" w:rsidRDefault="006020C0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Vzhľadom na úzke prepojenie medzi požiadavkami na zverejňovanie informácií o operačnom riziku a finančnými výkazmi inštitúcie boli v pokynoch zohľadnené odkazy na požiadavky na vykazovanie uvedené v prílohe V k IT riešeniam EBA (FINREP).</w:t>
      </w:r>
    </w:p>
    <w:p w14:paraId="1D4913E2" w14:textId="77777777" w:rsidR="00DD1D82" w:rsidRPr="00397655" w:rsidRDefault="00DD1D82" w:rsidP="00DD1D82">
      <w:pPr>
        <w:pStyle w:val="ListParagraph"/>
        <w:rPr>
          <w:rFonts w:ascii="Times New Roman" w:hAnsi="Times New Roman"/>
          <w:bCs/>
          <w:sz w:val="24"/>
        </w:rPr>
      </w:pPr>
    </w:p>
    <w:p w14:paraId="11E51AFD" w14:textId="3D720718" w:rsidR="00DD1D82" w:rsidRPr="00397655" w:rsidRDefault="00050ABA" w:rsidP="001257B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sz w:val="24"/>
        </w:rPr>
        <w:t>Konvencie znamienok, ktoré je potrebné vyplniť v tomto vzore, sa riadia konvenciami uvedenými v prílohe V k IT riešeniam EBA.</w:t>
      </w:r>
    </w:p>
    <w:p w14:paraId="21275E00" w14:textId="77777777" w:rsidR="00D740B8" w:rsidRPr="00397655" w:rsidRDefault="00D740B8" w:rsidP="00D740B8">
      <w:pPr>
        <w:pStyle w:val="ListParagraph"/>
        <w:rPr>
          <w:rFonts w:ascii="Times New Roman" w:hAnsi="Times New Roman"/>
          <w:bCs/>
          <w:sz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56"/>
      </w:tblGrid>
      <w:tr w:rsidR="00D740B8" w:rsidRPr="00397655" w14:paraId="069EA903" w14:textId="77777777">
        <w:trPr>
          <w:trHeight w:val="300"/>
        </w:trPr>
        <w:tc>
          <w:tcPr>
            <w:tcW w:w="1260" w:type="dxa"/>
            <w:shd w:val="clear" w:color="auto" w:fill="BFBFBF" w:themeFill="background1" w:themeFillShade="BF"/>
          </w:tcPr>
          <w:p w14:paraId="7E4DE4F0" w14:textId="77777777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Stĺpec</w:t>
            </w:r>
          </w:p>
        </w:tc>
        <w:tc>
          <w:tcPr>
            <w:tcW w:w="7756" w:type="dxa"/>
            <w:shd w:val="clear" w:color="auto" w:fill="BFBFBF" w:themeFill="background1" w:themeFillShade="BF"/>
          </w:tcPr>
          <w:p w14:paraId="0D54BB35" w14:textId="77777777" w:rsidR="00D740B8" w:rsidRPr="00397655" w:rsidDel="00B46ADB" w:rsidRDefault="00D740B8">
            <w:pPr>
              <w:autoSpaceDE w:val="0"/>
              <w:autoSpaceDN w:val="0"/>
              <w:adjustRightInd w:val="0"/>
              <w:rPr>
                <w:bCs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Odkazy na právne predpisy a pokyny</w:t>
            </w:r>
          </w:p>
        </w:tc>
      </w:tr>
      <w:tr w:rsidR="00D740B8" w:rsidRPr="00397655" w14:paraId="7AE7216D" w14:textId="77777777">
        <w:trPr>
          <w:trHeight w:val="300"/>
        </w:trPr>
        <w:tc>
          <w:tcPr>
            <w:tcW w:w="1260" w:type="dxa"/>
          </w:tcPr>
          <w:p w14:paraId="0FC699E1" w14:textId="0D76C831" w:rsidR="00D740B8" w:rsidRPr="00397655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a, b, c</w:t>
            </w:r>
          </w:p>
        </w:tc>
        <w:tc>
          <w:tcPr>
            <w:tcW w:w="7756" w:type="dxa"/>
          </w:tcPr>
          <w:p w14:paraId="510A12A5" w14:textId="13FB6D98" w:rsidR="00D740B8" w:rsidRPr="00397655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Hodnota</w:t>
            </w:r>
          </w:p>
          <w:p w14:paraId="0A7A2FD7" w14:textId="77777777" w:rsidR="00D740B8" w:rsidRPr="00397655" w:rsidRDefault="00D740B8">
            <w:pPr>
              <w:rPr>
                <w:rFonts w:ascii="Times New Roman" w:hAnsi="Times New Roman"/>
                <w:sz w:val="24"/>
                <w:lang w:eastAsia="de-DE"/>
              </w:rPr>
            </w:pPr>
          </w:p>
          <w:p w14:paraId="0C8A142A" w14:textId="4CAB13C5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446 ods. 1 písm. d) a článok 314 ods. 1 nariadenia (EÚ) č. 575/2013.</w:t>
            </w:r>
          </w:p>
          <w:p w14:paraId="7883915F" w14:textId="77777777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  <w:p w14:paraId="558CD9DA" w14:textId="2FA81485" w:rsidR="00EA10B1" w:rsidRPr="00397655" w:rsidRDefault="002F3CFA">
            <w:pPr>
              <w:pStyle w:val="paragraph"/>
              <w:spacing w:before="0" w:beforeAutospacing="0" w:after="0" w:afterAutospacing="0"/>
              <w:textAlignment w:val="baseline"/>
            </w:pPr>
            <w:r w:rsidRPr="00397655">
              <w:t>Hodnota zoznamu položiek, ktoré sú súčasťou výpočtu BI a jeho zložiek [výpočet ILDC, zložky služieb (SC) a finančnej zložky (FC)] v súlade s účtovnými štandardmi platnými pre každý z posledných troch finančných rokov.</w:t>
            </w:r>
          </w:p>
          <w:p w14:paraId="3414DDFE" w14:textId="77777777" w:rsidR="007B3E62" w:rsidRPr="00397655" w:rsidRDefault="007B3E62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374E1BCA" w14:textId="5E2803E9" w:rsidR="007B3E62" w:rsidRPr="00397655" w:rsidRDefault="00B76B25">
            <w:pPr>
              <w:pStyle w:val="paragraph"/>
              <w:spacing w:before="0" w:beforeAutospacing="0" w:after="0" w:afterAutospacing="0"/>
              <w:textAlignment w:val="baseline"/>
            </w:pPr>
            <w:r w:rsidRPr="00397655">
              <w:t>Sumy sa vykazujú po uplatnení úprav týkajúcich sa splynutí/zlúčení a odpredaných činností.</w:t>
            </w:r>
          </w:p>
          <w:p w14:paraId="00BACA37" w14:textId="77777777" w:rsidR="00EA10B1" w:rsidRPr="00397655" w:rsidRDefault="00EA10B1">
            <w:pPr>
              <w:pStyle w:val="paragraph"/>
              <w:spacing w:before="0" w:beforeAutospacing="0" w:after="0" w:afterAutospacing="0"/>
              <w:textAlignment w:val="baseline"/>
              <w:rPr>
                <w:lang w:eastAsia="de-DE"/>
              </w:rPr>
            </w:pPr>
          </w:p>
          <w:p w14:paraId="21635601" w14:textId="1A8DE566" w:rsidR="00D740B8" w:rsidRPr="00397655" w:rsidRDefault="00D740B8" w:rsidP="000F6C61">
            <w:pPr>
              <w:pStyle w:val="paragraph"/>
              <w:spacing w:before="0" w:beforeAutospacing="0" w:after="0" w:afterAutospacing="0"/>
              <w:textAlignment w:val="baseline"/>
            </w:pPr>
            <w:r w:rsidRPr="00397655">
              <w:t xml:space="preserve">V prípade finančnej zložky budú hodnoty, ktoré sa majú zverejniť v súlade s článkom 314 ods. 6 nariadenia (EÚ) č. 575/2013, odrážať účtovné hodnoty určené pomocou účtovnej hranice alebo </w:t>
            </w:r>
            <w:proofErr w:type="spellStart"/>
            <w:r w:rsidRPr="00397655">
              <w:t>prudenciálnej</w:t>
            </w:r>
            <w:proofErr w:type="spellEnd"/>
            <w:r w:rsidRPr="00397655">
              <w:t xml:space="preserve"> hranice s cieľom identifikovať položky obchodnej knihy a bankovej knihy za každý z posledných troch finančných rokov.</w:t>
            </w:r>
          </w:p>
        </w:tc>
      </w:tr>
      <w:tr w:rsidR="00D740B8" w:rsidRPr="00397655" w14:paraId="3103AD05" w14:textId="77777777">
        <w:trPr>
          <w:trHeight w:val="300"/>
        </w:trPr>
        <w:tc>
          <w:tcPr>
            <w:tcW w:w="1260" w:type="dxa"/>
          </w:tcPr>
          <w:p w14:paraId="0FFA543A" w14:textId="77777777" w:rsidR="00D740B8" w:rsidRPr="00397655" w:rsidRDefault="00D740B8" w:rsidP="0016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7756" w:type="dxa"/>
          </w:tcPr>
          <w:p w14:paraId="117DF1D7" w14:textId="77777777" w:rsidR="00D740B8" w:rsidRPr="00397655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Priemerné hodnoty</w:t>
            </w:r>
          </w:p>
          <w:p w14:paraId="27B3847F" w14:textId="77777777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eastAsia="de-DE"/>
              </w:rPr>
            </w:pPr>
          </w:p>
          <w:p w14:paraId="2CEEC93D" w14:textId="277817D6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Článok 314 ods. 2, 5 a 6 nariadenia (EÚ) č. 575/2013.</w:t>
            </w:r>
          </w:p>
          <w:p w14:paraId="5FAAFF7A" w14:textId="77777777" w:rsidR="00D740B8" w:rsidRPr="00397655" w:rsidRDefault="00D740B8">
            <w:pPr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</w:rPr>
            </w:pPr>
          </w:p>
          <w:p w14:paraId="3E17CEC0" w14:textId="402AFA6E" w:rsidR="00D740B8" w:rsidRPr="00397655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397655">
              <w:rPr>
                <w:rStyle w:val="normaltextrun"/>
              </w:rPr>
              <w:t>Vypočítané hodnoty zložiek ILDC, SC a FC a priemerná hodnota ich súvisiacich čiastkových zložiek vypočítaná za posledné tri finančné roky a vzťahujúca sa na rok T.</w:t>
            </w:r>
          </w:p>
          <w:p w14:paraId="32637704" w14:textId="35682543" w:rsidR="00D740B8" w:rsidRPr="00397655" w:rsidRDefault="00D740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C270BFC" w14:textId="453723AA" w:rsidR="00D740B8" w:rsidRPr="00397655" w:rsidRDefault="00D740B8" w:rsidP="008006BD">
            <w:pPr>
              <w:pStyle w:val="paragraph"/>
              <w:spacing w:before="0" w:beforeAutospacing="0" w:after="0" w:afterAutospacing="0"/>
              <w:textAlignment w:val="baseline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397655">
              <w:rPr>
                <w:rStyle w:val="normaltextrun"/>
              </w:rPr>
              <w:t xml:space="preserve">Priemer sa vypočítava na základe účtovných hodnôt za každý z posledných troch rokov. </w:t>
            </w:r>
          </w:p>
        </w:tc>
      </w:tr>
    </w:tbl>
    <w:p w14:paraId="75117700" w14:textId="77777777" w:rsidR="00D740B8" w:rsidRPr="00397655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Style w:val="InstructionsTabelleberschrif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397655" w14:paraId="60D9E4A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2134" w14:textId="77777777" w:rsidR="00D740B8" w:rsidRPr="00397655" w:rsidRDefault="00D740B8" w:rsidP="00397655">
            <w:pPr>
              <w:pageBreakBefore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Riadok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99870" w14:textId="77777777" w:rsidR="00D740B8" w:rsidRPr="00397655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Odkazy na právne predpisy a pokyny</w:t>
            </w:r>
          </w:p>
        </w:tc>
      </w:tr>
      <w:tr w:rsidR="00D740B8" w:rsidRPr="00397655" w14:paraId="1AE63B2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4D68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762DB" w14:textId="4BD6204F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Zložka úrokov, lízingov a dividend (ILDC)</w:t>
            </w:r>
          </w:p>
          <w:p w14:paraId="78381763" w14:textId="2625CE0B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Zložka úrokov, lízingov a dividend (ILDC) sa vypočítava v súlade s článkom 314 ods. 2 nariadenia (EÚ) č. 575/2013, prípadne sa do nej zahrnú sumy vypočítané v súlade s článkom 314 ods. 3 nariadenia (EÚ) č. 575/2013. Ak sa na inštitúciu vzťahuje výnimka uvedená v článku 314 ods. 4 nariadenia (EÚ) č. 575/2013, inštitúcia nezahŕňa žiadne údaje z obchodných línií </w:t>
            </w:r>
            <w:proofErr w:type="spellStart"/>
            <w:r w:rsidRPr="00397655">
              <w:rPr>
                <w:rFonts w:ascii="Times New Roman" w:hAnsi="Times New Roman"/>
                <w:sz w:val="24"/>
              </w:rPr>
              <w:t>retailového</w:t>
            </w:r>
            <w:proofErr w:type="spellEnd"/>
            <w:r w:rsidRPr="00397655">
              <w:rPr>
                <w:rFonts w:ascii="Times New Roman" w:hAnsi="Times New Roman"/>
                <w:sz w:val="24"/>
              </w:rPr>
              <w:t xml:space="preserve"> a/alebo komerčného bankovníctva.</w:t>
            </w:r>
          </w:p>
        </w:tc>
      </w:tr>
      <w:tr w:rsidR="00456F97" w:rsidRPr="00397655" w14:paraId="2142E78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0228B" w14:textId="2F42AD3B" w:rsidR="00456F97" w:rsidRPr="00397655" w:rsidRDefault="00E03FA1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EÚ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9357" w14:textId="2BE8631A" w:rsidR="00456F97" w:rsidRPr="00397655" w:rsidRDefault="00E2624F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ILDC súvisiaca s jednotlivou inštitúciou/konsolidovanou skupinou (okrem subjektov, ktoré sa posudzujú podľa článku 314 ods. 3)</w:t>
            </w:r>
          </w:p>
          <w:p w14:paraId="3B4A0231" w14:textId="6A33703B" w:rsidR="00E2624F" w:rsidRPr="00397655" w:rsidRDefault="00E2624F" w:rsidP="00413B9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Zložka úrokov, lízingov a dividend (ILDC) vypočítaná v súlade s článkom 314 ods. 2 nariadenia (EÚ) č. 575/2013 bez zahrnutia akýchkoľvek údajov, ktoré sú súčasťou výpočtu ILDC v prípadoch, keď inštitúcia uplatňuje výnimku v súlade s článkom 314 ods. 3 nariadenia (EÚ) č. 575/2013.</w:t>
            </w:r>
          </w:p>
        </w:tc>
      </w:tr>
      <w:tr w:rsidR="00D740B8" w:rsidRPr="00397655" w14:paraId="687AA3E1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5F19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7EA18" w14:textId="77777777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Úrokové výnosy a výnosy z lízingov</w:t>
            </w:r>
          </w:p>
          <w:p w14:paraId="33CCD1CB" w14:textId="130AE220" w:rsidR="00BD248A" w:rsidRPr="00397655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Súčet úrokových výnosov zo všetkých finančných aktív, ostatných výnosov z majetku, ktorý je predmetom lízingu, a ziskov z majetku, ktorý je predmetom lízingu, v súlade s prílohou V k IT riešeniam EBA.</w:t>
            </w:r>
          </w:p>
          <w:p w14:paraId="76D4A1E7" w14:textId="77777777" w:rsidR="00BD248A" w:rsidRPr="00397655" w:rsidRDefault="00BD248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41383" w14:textId="08257E38" w:rsidR="00F5221D" w:rsidRPr="00397655" w:rsidRDefault="004F2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Úrokové výnosy inštitúcií sa vypočítavajú v súlade s časťou 2 ods. 31 prílohy V k IT riešeniam EBA a podľa ďalších špecifikácií z časti 2 ods. 187, 189 a 194ii prílohy V k IT riešeniam EBA.</w:t>
            </w:r>
          </w:p>
          <w:p w14:paraId="55B6FFE6" w14:textId="77777777" w:rsidR="00F5221D" w:rsidRPr="00397655" w:rsidRDefault="00F52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D9136" w14:textId="12CD18AE" w:rsidR="00E76AA5" w:rsidRPr="00397655" w:rsidRDefault="00F5221D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Ostatné výnosy z majetku, ktorý je predmetom (finančného a operatívneho) lízingu, nezahŕňajú úrokové výnosy. Suma sa vypočítava v súlade s časťou 2 ods. 314 a 315 prílohy V k IT riešeniam EBA, ktoré predstavujú: i) výnosy zo zmien reálnej hodnoty investičného nehnuteľného majetku, ktoré generujú nájomné a merajú sa pomocou modelu reálnej hodnoty, a/alebo ii) výnosy z operatívneho lízingu vrátane výnosov z prenájmu investičného nehnuteľného majetku.</w:t>
            </w:r>
          </w:p>
          <w:p w14:paraId="6C1BE770" w14:textId="77777777" w:rsidR="007535CB" w:rsidRPr="00397655" w:rsidRDefault="007535CB" w:rsidP="007535C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2C7468" w14:textId="3A50C109" w:rsidR="00D740B8" w:rsidRPr="00397655" w:rsidRDefault="00BB0B3D" w:rsidP="004F34D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Zisky z majetku, ktorý je predmetom (finančného a operatívneho) lízingu, zahŕňajú: i) zisky z úprav lízingu v súlade s časťou 2 ods. 49 prílohy V k IT riešeniam EBA; ii) zvyšok ostatných prevádzkových výnosov (ostatné prevádzkové výnosy) v súlade s časťou 2 ods. 314 a 316 prílohy V k IT riešeniam EBA, ak súvisia s majetkom, ktorý je predmetom (finančného a operatívneho) lízingu.</w:t>
            </w:r>
          </w:p>
        </w:tc>
      </w:tr>
      <w:tr w:rsidR="00D740B8" w:rsidRPr="00397655" w14:paraId="07825B95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DD05F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99FE" w14:textId="5114D538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Úrokové náklady a náklady na lízing</w:t>
            </w:r>
          </w:p>
          <w:p w14:paraId="65B73157" w14:textId="72BA8427" w:rsidR="00EC1398" w:rsidRPr="00397655" w:rsidRDefault="00D740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Súčet úrokových nákladov zo všetkých finančných záväzkov, nákladov z majetku, ktorý je predmetom lízingu, a odpisov, zníženia hodnoty a strát z majetku, ktorý je predmetom lízingu, ako sa uvádza v prílohe V k IT riešeniam EBA.</w:t>
            </w:r>
          </w:p>
          <w:p w14:paraId="06CEDDA9" w14:textId="77777777" w:rsidR="00BA33C3" w:rsidRPr="00397655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FF991" w14:textId="1BCDC8C4" w:rsidR="00BA33C3" w:rsidRPr="00397655" w:rsidRDefault="00BA33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Úrokové náklady, ktoré pochádzajú z finančných záväzkov, sa vypočítavajú v súlade s časťou 2 ods. 31 prílohy V k IT riešeniam EBA a podľa ďalších špecifikácií z časti 2 ods. 188, 190 a 194ii prílohy V k IT riešeniam EBA. Úrokové náklady, ktoré sú spôsobené udalosťami operačného rizika, sa nezahŕňajú. Namiesto toho sa zahrnú do zložky služieb v súlade s článkom 314 ods. 5 nariadenia (EÚ) č. 575/2013.</w:t>
            </w:r>
          </w:p>
          <w:p w14:paraId="2D079DF5" w14:textId="77777777" w:rsidR="003D0A4B" w:rsidRPr="00397655" w:rsidRDefault="003D0A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A94531" w14:textId="1EA15404" w:rsidR="003D0A4B" w:rsidRPr="00397655" w:rsidRDefault="003D0A4B" w:rsidP="00D136A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Náklady z majetku, ktorý je predmetom (operatívneho) lízingu, zahŕňajú náklady v súlade s časťou 2 ods. 314 a 315 prílohy V k IT riešeniam EBA týkajúce sa operatívneho lízingu, ktoré predstavujú: i) náklady zo zmien reálnej hodnoty investičného nehnuteľného majetku, ktoré generujú nájomné a merajú sa pomocou modelu reálnej hodnoty z operatívneho lízingu, a ii) náklady na operatívny lízing vrátane priamych prevádzkových nákladov z investícií do nehnuteľností, ktoré generujú nájomné. Okrem toho by tu inštitúcie mali zahrnúť ostatné administratívne náklady z majetku, ktorý je predmetom operatívneho lízingu, v súlade s časťou 2 ods. 208ix prílohy V k IT riešeniam EBA. Náklady, ktoré sú spôsobené udalosťami operačného rizika, sa nezahŕňajú. Namiesto toho sa zahrnú do zložky služieb v súlade s článkom 314 ods. 5 nariadenia (EÚ) č. 575/2013.</w:t>
            </w:r>
          </w:p>
          <w:p w14:paraId="61020FEC" w14:textId="77777777" w:rsidR="00376B14" w:rsidRPr="00397655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76FDD" w14:textId="0FB08478" w:rsidR="00376B14" w:rsidRPr="00397655" w:rsidRDefault="00376B1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Odpisy majetku, ktorý je predmetom lízingu, predstavujú náklady na odpisy, ako sa vykazujú v súlade s medzinárodnými účtovnými štandardmi (IAS) 1 ods. 102 a 104, ale len majetku, ktorý je predmetom operatívneho lízingu, z ktorého výnosy alebo náklady sú zahrnuté do výpočtu úrokových výnosov/nákladov.</w:t>
            </w:r>
          </w:p>
          <w:p w14:paraId="5D82FC67" w14:textId="77777777" w:rsidR="00DA24A2" w:rsidRPr="00397655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9DE9C" w14:textId="6D7B59E2" w:rsidR="00DA24A2" w:rsidRPr="00397655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Zníženie hodnoty majetku, ktorý je predmetom lízingu, zodpovedá nákladom z majetku, ktorý je predmetom operatívneho lízingu, ktoré predstavujú zníženie hodnoty alebo zrušenie zníženia hodnoty v súlade s IAS 36 ods. 126 písm. a), b) z majetku, ktorý je predmetom operatívneho lízingu.</w:t>
            </w:r>
          </w:p>
          <w:p w14:paraId="11B36ACB" w14:textId="77777777" w:rsidR="00DA24A2" w:rsidRPr="00397655" w:rsidRDefault="00DA24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A351B6" w14:textId="470A5833" w:rsidR="00D740B8" w:rsidRPr="00397655" w:rsidRDefault="00DA24A2" w:rsidP="004F34D4">
            <w:pPr>
              <w:rPr>
                <w:rFonts w:ascii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Straty hodnoty majetku, ktorý je predmetom lízingu, zodpovedajú zvyškom ostatných prevádzkových nákladov (ostatné prevádzkové náklady) v súlade s časťou 2 oddielom 29.3 ods. 316 prílohy V k IT riešeniam EBA, ak súvisia s majetkom, ktorý je predmetom lízingu. Straty, ktoré sú spôsobené udalosťami operačného rizika, sa nezahŕňajú. Namiesto toho sa zahrnú do zložky služieb v súlade s článkom 314 ods. 5 nariadenia (EÚ) č. 575/2013.</w:t>
            </w:r>
          </w:p>
        </w:tc>
      </w:tr>
      <w:tr w:rsidR="00D740B8" w:rsidRPr="00397655" w14:paraId="49B58D8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19E7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844B" w14:textId="18CAFF49" w:rsidR="00D740B8" w:rsidRPr="00397655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Celkové aktíva/zložka aktív</w:t>
            </w:r>
          </w:p>
          <w:p w14:paraId="15501679" w14:textId="3EB04379" w:rsidR="00D740B8" w:rsidRPr="00397655" w:rsidRDefault="00B7673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stĺpci d) je zložka aktív vypočítaná v súlade s článkom 314 ods. 2 nariadenia (EÚ) č. 575/2013.</w:t>
            </w:r>
          </w:p>
          <w:p w14:paraId="65FF56C9" w14:textId="24401D0D" w:rsidR="004E3E86" w:rsidRPr="00397655" w:rsidRDefault="003E3201" w:rsidP="00373F9D">
            <w:pPr>
              <w:rPr>
                <w:rFonts w:ascii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V ostatných stĺpcoch celkové aktíva zodpovedajú súčtu hrubej účtovnej hodnoty peňažných zostatkov v centrálnych bankách a ostatných vkladov na požiadanie, dlhových cenných papierov, úverov a pôžičiek, ako aj účtovnej hodnoty derivátov (obchodné a ekonomické </w:t>
            </w:r>
            <w:proofErr w:type="spellStart"/>
            <w:r w:rsidRPr="00397655">
              <w:rPr>
                <w:rFonts w:ascii="Times New Roman" w:hAnsi="Times New Roman"/>
                <w:sz w:val="24"/>
              </w:rPr>
              <w:t>hedže</w:t>
            </w:r>
            <w:proofErr w:type="spellEnd"/>
            <w:r w:rsidRPr="00397655">
              <w:rPr>
                <w:rFonts w:ascii="Times New Roman" w:hAnsi="Times New Roman"/>
                <w:sz w:val="24"/>
              </w:rPr>
              <w:t xml:space="preserve"> a účtovanie </w:t>
            </w:r>
            <w:proofErr w:type="spellStart"/>
            <w:r w:rsidRPr="00397655">
              <w:rPr>
                <w:rFonts w:ascii="Times New Roman" w:hAnsi="Times New Roman"/>
                <w:sz w:val="24"/>
              </w:rPr>
              <w:t>hedžingu</w:t>
            </w:r>
            <w:proofErr w:type="spellEnd"/>
            <w:r w:rsidRPr="00397655">
              <w:rPr>
                <w:rFonts w:ascii="Times New Roman" w:hAnsi="Times New Roman"/>
                <w:sz w:val="24"/>
              </w:rPr>
              <w:t>) a majetku, ktorý je predmetom lízingu (hmotný a nehmotný majetok). Tieto položky odkazujú na prílohu V k IT riešeniam EBA.</w:t>
            </w:r>
          </w:p>
          <w:p w14:paraId="2655EEC4" w14:textId="6116BB66" w:rsidR="00BC1F18" w:rsidRPr="00397655" w:rsidRDefault="00BC1F18" w:rsidP="00BC1F18">
            <w:pPr>
              <w:rPr>
                <w:rFonts w:ascii="Times New Roman" w:hAnsi="Times New Roman"/>
                <w:sz w:val="24"/>
              </w:rPr>
            </w:pPr>
          </w:p>
        </w:tc>
      </w:tr>
      <w:tr w:rsidR="00D740B8" w:rsidRPr="00397655" w14:paraId="431D95BD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247A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3663" w14:textId="03959A67" w:rsidR="00D740B8" w:rsidRPr="00397655" w:rsidRDefault="00B76736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Dividendové výnosy/zložka dividend</w:t>
            </w:r>
          </w:p>
          <w:p w14:paraId="1A066B7B" w14:textId="4AA7538A" w:rsidR="00D740B8" w:rsidRPr="00397655" w:rsidRDefault="00B76736" w:rsidP="004E3E86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stĺpci d) je zložka dividend vypočítaná v súlade s článkom 314 ods. 2 nariadenia (EÚ) č. 575/2013.</w:t>
            </w:r>
          </w:p>
          <w:p w14:paraId="3F4B342E" w14:textId="23DB8876" w:rsidR="004E3E86" w:rsidRPr="00397655" w:rsidRDefault="004E3E86" w:rsidP="004E3E86">
            <w:pPr>
              <w:rPr>
                <w:rFonts w:ascii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Inštitúcie vykazujú dividendové výnosy v súlade s časťou 2 ods. 40 až 42 prílohy V k IT riešeniam EBA.</w:t>
            </w:r>
          </w:p>
        </w:tc>
      </w:tr>
      <w:tr w:rsidR="003826D3" w:rsidRPr="00397655" w14:paraId="3A9CE2B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4302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8B47" w14:textId="103CAA7B" w:rsidR="003826D3" w:rsidRPr="00397655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Zložka služieb</w:t>
            </w:r>
          </w:p>
          <w:p w14:paraId="2D48B659" w14:textId="0264DFE4" w:rsidR="00080F37" w:rsidRPr="00397655" w:rsidRDefault="005E7C4C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Zložka služieb vypočítaná v súlade s článkom 314 ods. 5 nariadenia (EÚ) č. 575/2013.</w:t>
            </w:r>
          </w:p>
          <w:p w14:paraId="2EFCFDAF" w14:textId="3F07E77F" w:rsidR="003826D3" w:rsidRPr="00397655" w:rsidRDefault="0094124B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Ak sa na inštitúciu vzťahuje výnimka uvedená v článku 314 ods. 4 nariadenia (EÚ) č. 575/2013, inštitúcia nezahŕňa žiadne údaje z obchodných línií </w:t>
            </w:r>
            <w:proofErr w:type="spellStart"/>
            <w:r w:rsidRPr="00397655">
              <w:rPr>
                <w:rFonts w:ascii="Times New Roman" w:hAnsi="Times New Roman"/>
                <w:sz w:val="24"/>
              </w:rPr>
              <w:t>retailového</w:t>
            </w:r>
            <w:proofErr w:type="spellEnd"/>
            <w:r w:rsidRPr="00397655">
              <w:rPr>
                <w:rFonts w:ascii="Times New Roman" w:hAnsi="Times New Roman"/>
                <w:sz w:val="24"/>
              </w:rPr>
              <w:t xml:space="preserve"> a/alebo komerčného bankovníctva. </w:t>
            </w:r>
          </w:p>
        </w:tc>
      </w:tr>
      <w:tr w:rsidR="003826D3" w:rsidRPr="00397655" w14:paraId="74CC77A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4C8A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 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1D9A" w14:textId="77777777" w:rsidR="003826D3" w:rsidRPr="00397655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Príjem z poplatkov a provízií</w:t>
            </w:r>
          </w:p>
          <w:p w14:paraId="1394D6AF" w14:textId="06AD3617" w:rsidR="003826D3" w:rsidRPr="00397655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Príjmy z poplatkov a provízií uvedené v časti 2 ods. 281 až 284 prílohy V k IT riešeniam EBA a vypočítané v súlade s článkom 314 ods. 5 nariadenia (EÚ) č. 575/2013.</w:t>
            </w:r>
          </w:p>
          <w:p w14:paraId="0EA5E8EE" w14:textId="07382D3A" w:rsidR="008D318E" w:rsidRPr="00397655" w:rsidRDefault="008D318E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Do tejto položky by sa mali zahrnúť aj príjmy z vedľajších činností, ako sú IT činnosti potrebné na vykonávanie finančnej služby, v súlade s článkom 7 regulačných technických predpisov, ktoré sa majú vypracovať podľa článku 314 ods. 9 nariadenia (EÚ) č. 575/2013.</w:t>
            </w:r>
          </w:p>
          <w:p w14:paraId="388F841F" w14:textId="1B0267DB" w:rsidR="00D91B18" w:rsidRPr="00397655" w:rsidRDefault="007D3710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Časť príjmov z poplatkov a provízií získaných od inštitúcií, ktoré sú členmi tej istej schémy inštitucionálneho zabezpečenia v súlade s článkom 314 ods. 5 nariadenia (EÚ) č. 575/2013, sa vylúči.</w:t>
            </w:r>
          </w:p>
        </w:tc>
      </w:tr>
      <w:tr w:rsidR="003826D3" w:rsidRPr="00397655" w14:paraId="2067785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D63A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59B2" w14:textId="5A4319DA" w:rsidR="003826D3" w:rsidRPr="00397655" w:rsidRDefault="003826D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Náklady na poplatky a provízie</w:t>
            </w:r>
          </w:p>
          <w:p w14:paraId="241530E4" w14:textId="72E685E0" w:rsidR="003826D3" w:rsidRPr="00397655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Náklady na poplatky a provízie v súlade s časťou 2 ods. 281 až 284 prílohy V k IT riešeniam EBA a vypočítané v súlade s článkom 314 ods. 5 nariadenia (EÚ) č. 575/2013.</w:t>
            </w:r>
          </w:p>
          <w:p w14:paraId="03E34B08" w14:textId="2D67624D" w:rsidR="00126683" w:rsidRPr="00397655" w:rsidRDefault="0012668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tomto riadku by sa mali zverejniť poplatky za externé zabezpečovanie činností, ktoré sú uvedené v zozname činností uvedenom v článku 8 regulačných technických predpisov, ktoré sa majú vypracovať podľa článku 314 ods. 9 nariadenia (EÚ) č. 575/2013, v prípade, že sú zahrnuté v rámci uplatňovaného účtovného rámca do administratívnych nákladov v súlade s článkom 16 uvedených regulačných technických predpisov. Do tejto položky by sa mali zahrnúť aj výdavky na vedľajšie činnosti, ako sú činnosti v oblasti IT potrebné na vykonávanie finančnej služby.</w:t>
            </w:r>
          </w:p>
          <w:p w14:paraId="37B7C759" w14:textId="401F429B" w:rsidR="00A87543" w:rsidRPr="00397655" w:rsidRDefault="00A8754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Časť nákladov na poplatky a provízie zaplatené inštitúciám, ktoré sú členmi tej istej schémy inštitucionálneho zabezpečenia v súlade s článkom 314 ods. 5 nariadenia (EÚ) č. 575/2013, sa vylúčia.</w:t>
            </w:r>
          </w:p>
        </w:tc>
      </w:tr>
      <w:tr w:rsidR="003826D3" w:rsidRPr="00397655" w14:paraId="56FE999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DD92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40694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Ostatné prevádzkové výnosy</w:t>
            </w:r>
          </w:p>
          <w:p w14:paraId="035A399D" w14:textId="7232F3EB" w:rsidR="00671F1C" w:rsidRPr="00397655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Ostatné prevádzkové výnosy vrátane: ziskov z neobežného majetku a skupín určených na odpredaj klasifikovaných ako držané na predaj, ktoré sa nekvalifikujú ako ukončené činnosti (v prípade strát sa hodnoty považujú za nulové) v súlade s časťou 2 ods. 55 prílohy V k IT riešeniam EBA a ostatné prevádzkové výnosy uvedené v časti 2 ods. 314 a 316 prílohy V k IT riešeniam EBA, ale s výnimkou výnosov z operatívneho lízingu a akejkoľvek položky určenej podľa článku 314 ods. 7 nariadenia (EÚ) 2021/451.</w:t>
            </w:r>
          </w:p>
          <w:p w14:paraId="39451B35" w14:textId="17278A47" w:rsidR="00A471E8" w:rsidRPr="00397655" w:rsidRDefault="007863F3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Vymáhanie administratívnych nákladov by sa nemalo posudzovať v súlade s článkom 5 regulačných technických predpisov o zložkách ukazovateľa obchodovania, ktoré sa majú vypracovať podľa článku 314 ods. 9 nariadenia (EÚ) č. 575/2013.</w:t>
            </w:r>
          </w:p>
          <w:p w14:paraId="0B35E56E" w14:textId="27C4774F" w:rsidR="00695D35" w:rsidRPr="00397655" w:rsidRDefault="00695D35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Suma ostatných prevádzkových výnosov prijatých od inštitúcií, ktoré sú členmi tej istej schémy inštitucionálneho zabezpečenia v súlade s článkom 314 ods. 5 nariadenia (EÚ) č. 575/2013, sa vylúči.</w:t>
            </w:r>
          </w:p>
          <w:p w14:paraId="685D1BC1" w14:textId="04DD0137" w:rsidR="00695D35" w:rsidRPr="00397655" w:rsidRDefault="00695D35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="Times New Roman" w:hAnsi="Times New Roman"/>
                <w:sz w:val="24"/>
              </w:rPr>
              <w:t>Výška sumy tohto riadka sa vypočítava v súlade s článkom 314 ods. 5 nariadenia (EÚ) č. 575/2013.</w:t>
            </w:r>
          </w:p>
        </w:tc>
      </w:tr>
      <w:tr w:rsidR="003826D3" w:rsidRPr="00397655" w14:paraId="278E4D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E4C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2d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949AD" w14:textId="3ED4D7E2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Ostatné prevádzkové náklady</w:t>
            </w:r>
          </w:p>
          <w:p w14:paraId="13FCDFA5" w14:textId="269315A4" w:rsidR="00B722D0" w:rsidRPr="00397655" w:rsidRDefault="009816D6" w:rsidP="003826D3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Ostatné prevádzkové náklady vrátane:</w:t>
            </w:r>
          </w:p>
          <w:p w14:paraId="0E760CEE" w14:textId="74A56BE8" w:rsidR="00643568" w:rsidRPr="00397655" w:rsidRDefault="004D0A0E" w:rsidP="002A26E9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strát z neobežného majetku a skupín určených na odpredaj klasifikovaných ako držané na predaj, ktoré sa nekvalifikujú ako ukončené činnosti: straty, ktoré sú iné než straty z dôvodu udalostí operačného rizika, z neobežného majetku a skupín určených na odpredaj klasifikovaných ako držané na predaj, ktoré sa nekvalifikujú ako ukončené činnosti, v súlade s časťou 2 ods. 55 prílohy V k IT riešeniam EBA. Vykazujú sa len straty; v prípade zisku sa hodnota na účely tohto riadka považuje za nulovú;</w:t>
            </w:r>
          </w:p>
          <w:p w14:paraId="0334035E" w14:textId="3191E5CE" w:rsidR="00EE7608" w:rsidRPr="00397655" w:rsidRDefault="004D0A0E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celkových strát, výdavkov, provízií a iných finančných vplyvov v dôsledku udalostí operačného rizika: súčet všetkých strát, výdavkov, provízií a iných finančných vplyvov súvisiacich s udalosťami operačného rizika, ako sa vykazuje v riadku 0080 vzoru C.16.03, ktorý je súčasťou prílohy I k IT riešeniam EBA;</w:t>
            </w:r>
          </w:p>
          <w:p w14:paraId="2C93E8CD" w14:textId="64776E12" w:rsidR="004D0A0E" w:rsidRPr="00397655" w:rsidRDefault="00A37C45" w:rsidP="00EE7608">
            <w:pPr>
              <w:pStyle w:val="ListParagraph"/>
              <w:numPr>
                <w:ilvl w:val="0"/>
                <w:numId w:val="9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ostatných prevádzkových nákladov, ktoré nie sú spôsobené udalosťami operačného rizika, v súlade s časťou 2 ods. 314 a 316 prílohy V k IT riešeniam EBA, ktoré predstavujú:</w:t>
            </w:r>
          </w:p>
          <w:p w14:paraId="01D56412" w14:textId="77777777" w:rsidR="004A5BBA" w:rsidRPr="00397655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náklady zo zmien reálnej hodnoty hmotného majetku oceňovaného pomocou modelu reálnej hodnoty, s výnimkou nákladov zo zmien reálnej hodnoty investičného nehnuteľného majetku, ktoré generujú nájomné a sú oceňované pomocou modelu reálnej hodnoty z majetku, ktorý je predmetom operatívneho lízingu,</w:t>
            </w:r>
          </w:p>
          <w:p w14:paraId="726CB5AB" w14:textId="426E3DFA" w:rsidR="004A5BBA" w:rsidRPr="00397655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F8244A1" w14:textId="2CF47DAA" w:rsidR="004A5BBA" w:rsidRPr="00397655" w:rsidRDefault="004A5BBA" w:rsidP="004A5BBA">
            <w:pPr>
              <w:pStyle w:val="ListParagraph"/>
              <w:numPr>
                <w:ilvl w:val="1"/>
                <w:numId w:val="10"/>
              </w:numPr>
              <w:spacing w:before="60" w:after="1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zvyšok ostatných prevádzkových nákladov (ostatné prevádzkové náklady) v súlade s časťou 2 ods. 314 a 316 prílohy V k IT riešeniam EBA, ak nesúvisia s majetkom, ktorý je predmetom lízingu.</w:t>
            </w:r>
          </w:p>
          <w:p w14:paraId="6CDC5FBE" w14:textId="54C68FB7" w:rsidR="004A3C86" w:rsidRPr="00397655" w:rsidRDefault="004A3C86" w:rsidP="00EE760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Suma ostatných prevádzkových nákladov vyplatených inštitúciám, ktoré sú členmi tej istej schémy inštitucionálneho zabezpečenia v súlade s článkom 314 ods. 5 nariadenia (EÚ) č. 575/2013, sa vylúči.</w:t>
            </w:r>
          </w:p>
          <w:p w14:paraId="6F1C30F0" w14:textId="3B05E985" w:rsidR="003826D3" w:rsidRPr="00397655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Výška sumy tohto riadka sa vypočítava v súlade s článkom 314 ods. 5 nariadenia (EÚ) č. 575/2013.</w:t>
            </w:r>
          </w:p>
        </w:tc>
      </w:tr>
      <w:tr w:rsidR="003826D3" w:rsidRPr="00397655" w14:paraId="7FA7A9F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AB3" w14:textId="77777777" w:rsidR="003826D3" w:rsidRPr="00397655" w:rsidRDefault="003826D3" w:rsidP="00397655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EDDC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Finančná zložka</w:t>
            </w:r>
          </w:p>
          <w:p w14:paraId="1C2CD9AE" w14:textId="16B8F7FC" w:rsidR="003826D3" w:rsidRPr="00397655" w:rsidRDefault="00DE3384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Finančná zložka sa vypočítava v súlade s článkom 314 ods. 6 nariadenia (EÚ) č. 575/2013. </w:t>
            </w:r>
            <w:r w:rsidRPr="00397655">
              <w:rPr>
                <w:rFonts w:ascii="Times New Roman" w:hAnsi="Times New Roman"/>
                <w:sz w:val="24"/>
              </w:rPr>
              <w:t xml:space="preserve">Ak sa na inštitúciu vzťahuje výnimka uvedená v článku 314 ods. 4 nariadenia (EÚ) č. 575/2013, inštitúcia nezahŕňa žiadne údaje z obchodných línií </w:t>
            </w:r>
            <w:proofErr w:type="spellStart"/>
            <w:r w:rsidRPr="00397655">
              <w:rPr>
                <w:rFonts w:ascii="Times New Roman" w:hAnsi="Times New Roman"/>
                <w:sz w:val="24"/>
              </w:rPr>
              <w:t>retailového</w:t>
            </w:r>
            <w:proofErr w:type="spellEnd"/>
            <w:r w:rsidRPr="00397655">
              <w:rPr>
                <w:rFonts w:ascii="Times New Roman" w:hAnsi="Times New Roman"/>
                <w:sz w:val="24"/>
              </w:rPr>
              <w:t xml:space="preserve"> a/alebo komerčného bankovníctva.</w:t>
            </w:r>
          </w:p>
        </w:tc>
      </w:tr>
      <w:tr w:rsidR="003826D3" w:rsidRPr="00397655" w14:paraId="2B149247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87E8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3 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BB41" w14:textId="6F0E6551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Čistý zisk alebo strata vzťahujúce sa na obchodnú knihu</w:t>
            </w:r>
          </w:p>
          <w:p w14:paraId="4E177CA3" w14:textId="4C472892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Čistý zisk alebo strata vzťahujúce sa na obchodnú knihu sa vypočítajú ako súčet:</w:t>
            </w:r>
          </w:p>
          <w:p w14:paraId="6324889B" w14:textId="380EDA28" w:rsidR="008A379C" w:rsidRPr="00397655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u w:val="single"/>
              </w:rPr>
              <w:t>ziskov alebo (–) strát z finančných aktív a záväzkov určených na obchodovanie v čistom vyjadrení</w:t>
            </w:r>
            <w:r w:rsidRPr="00397655">
              <w:t>: zisky alebo (–) straty z finančných aktív a záväzkov určených na obchodovanie v súlade s časťou 2 ods. 43 a 46 prílohy V k IT riešeniam EBA alebo z finančných aktív a záväzkov určených na obchodovanie v súlade s článkom 27 smernice Rady 86/635/EHS (ďalej len „smernica o ročnej účtovnej závierke“) – Vertikálne usporiadanie (6),</w:t>
            </w:r>
          </w:p>
          <w:p w14:paraId="0B998657" w14:textId="654F8692" w:rsidR="008A379C" w:rsidRPr="00397655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u w:val="single"/>
              </w:rPr>
              <w:t xml:space="preserve">ziskov alebo (–) strát z účtovania </w:t>
            </w:r>
            <w:proofErr w:type="spellStart"/>
            <w:r w:rsidRPr="00397655">
              <w:rPr>
                <w:u w:val="single"/>
              </w:rPr>
              <w:t>hedžingu</w:t>
            </w:r>
            <w:proofErr w:type="spellEnd"/>
            <w:r w:rsidRPr="00397655">
              <w:rPr>
                <w:u w:val="single"/>
              </w:rPr>
              <w:t xml:space="preserve"> v čistom vyjadrení</w:t>
            </w:r>
            <w:r w:rsidRPr="00397655">
              <w:t xml:space="preserve">: zisky alebo (–) straty z účtovania </w:t>
            </w:r>
            <w:proofErr w:type="spellStart"/>
            <w:r w:rsidRPr="00397655">
              <w:t>hedžingu</w:t>
            </w:r>
            <w:proofErr w:type="spellEnd"/>
            <w:r w:rsidRPr="00397655">
              <w:t xml:space="preserve"> v čistom vyjadrení v rámci zložky obchodnej knihy len za takých výnimočných okolností, keď sa účtovanie </w:t>
            </w:r>
            <w:proofErr w:type="spellStart"/>
            <w:r w:rsidRPr="00397655">
              <w:t>hedžingu</w:t>
            </w:r>
            <w:proofErr w:type="spellEnd"/>
            <w:r w:rsidRPr="00397655">
              <w:t xml:space="preserve"> vypočítané v súlade s časťou 2 ods. 47 prílohy V k IT riešeniam EBA alebo v súlade s článkom 8 ods. 1 písm. a) a článkom 8 ods. 6 a 8 smernice o ročnej účtovnej závierke používa na zabezpečenie finančných aktív a záväzkov držaných na obchodovanie alebo finančných aktív a záväzkov na obchodovanie,</w:t>
            </w:r>
          </w:p>
          <w:p w14:paraId="1BC37DE4" w14:textId="36EA6A27" w:rsidR="008A379C" w:rsidRPr="00397655" w:rsidRDefault="008A379C" w:rsidP="00232265">
            <w:pPr>
              <w:pStyle w:val="Style1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u w:val="single"/>
              </w:rPr>
              <w:t>kurzových rozdielov [zisk alebo (–) strata] v čistom vyjadrení súvisiacich s obchodnou knihou</w:t>
            </w:r>
            <w:r w:rsidRPr="00397655">
              <w:t>: kurzové rozdiely [zisk alebo (–) strata] v čistom vyjadrení len vtedy, ak takéto rozdiely vypočítané v súlade s IAS 21.28 ods. 52 písm. a) alebo v súlade s článkom 39 smernice o ročnej účtovnej závierke pochádzajú z finančných aktív a záväzkov držaných na obchodovanie alebo z finančných aktív a záväzkov na obchodovanie.</w:t>
            </w:r>
          </w:p>
          <w:p w14:paraId="761552C0" w14:textId="5BF82331" w:rsidR="001E5563" w:rsidRPr="00397655" w:rsidRDefault="001E5563" w:rsidP="00C65626">
            <w:pPr>
              <w:pStyle w:val="paragraph"/>
              <w:textAlignment w:val="baseline"/>
              <w:rPr>
                <w:rStyle w:val="InstructionsTabelleberschrift"/>
                <w:rFonts w:ascii="Segoe UI" w:hAnsi="Segoe UI" w:cs="Segoe UI"/>
              </w:rPr>
            </w:pPr>
            <w:r w:rsidRPr="00397655">
              <w:t xml:space="preserve">Hodnoty, ktoré sa majú zverejniť v súlade s článkom 314 ods. 6 nariadenia (EÚ) č. 575/2013, odrážajú účtovné hodnoty určené na základe účtovnej hranice alebo </w:t>
            </w:r>
            <w:proofErr w:type="spellStart"/>
            <w:r w:rsidRPr="00397655">
              <w:t>prudenciálnej</w:t>
            </w:r>
            <w:proofErr w:type="spellEnd"/>
            <w:r w:rsidRPr="00397655">
              <w:t xml:space="preserve"> hranice na identifikáciu položiek obchodnej knihy a bankovej knihy za každý z posledných troch finančných rokov.</w:t>
            </w:r>
          </w:p>
        </w:tc>
      </w:tr>
      <w:tr w:rsidR="003826D3" w:rsidRPr="00397655" w14:paraId="769832B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7174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3b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949CD" w14:textId="505506A8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Čistý zisk alebo strata vzťahujúce sa na bankovú knihu</w:t>
            </w:r>
          </w:p>
          <w:p w14:paraId="16F13570" w14:textId="0B537F1A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Čistý zisk alebo strata vzťahujúce sa na bankovú knihu sa vypočítajú ako súčet:</w:t>
            </w:r>
          </w:p>
          <w:p w14:paraId="4816B36A" w14:textId="59F72F36" w:rsidR="008F0781" w:rsidRPr="00397655" w:rsidRDefault="008F0781" w:rsidP="00232265">
            <w:pPr>
              <w:pStyle w:val="Style1"/>
            </w:pPr>
            <w:r w:rsidRPr="00397655">
              <w:rPr>
                <w:u w:val="single"/>
              </w:rPr>
              <w:t>ziskov alebo (–) strát z ukončenia vykazovania finančných aktív, ktoré nie sú ocenené v reálnej hodnote cez výkaz ziskov a strát v čistom vyjadrení</w:t>
            </w:r>
            <w:r w:rsidRPr="00397655">
              <w:t>: zisky alebo (–) straty z ukončenia vykazovania finančných aktív, ktoré nie sú ocenené v reálnej hodnote cez výkaz ziskov a strát, v čistom vyjadrení v súlade s časťou 2 ods. 45 prílohy V k IT riešeniam EBA alebo článkom 27 smernice o ročnej účtovnej závierke – Vertikálne usporiadanie (6),</w:t>
            </w:r>
          </w:p>
          <w:p w14:paraId="29EDCF43" w14:textId="7ADB0AAC" w:rsidR="008F0781" w:rsidRPr="00397655" w:rsidRDefault="008F0781" w:rsidP="00232265">
            <w:pPr>
              <w:pStyle w:val="Style1"/>
            </w:pPr>
            <w:r w:rsidRPr="00397655">
              <w:rPr>
                <w:u w:val="single"/>
              </w:rPr>
              <w:t>ziskov alebo (–) strát z neobchodných finančných aktív povinne oceňovaných v reálnej hodnote cez výkaz ziskov a strát v čistom vyjadrení</w:t>
            </w:r>
            <w:r w:rsidRPr="00397655">
              <w:t>: vykazujte zisky alebo (–) straty z neobchodných finančných aktív povinne oceňovaných v reálnej hodnote cez výkaz ziskov a strát v čistom vyjadrení v súlade s časťou 2 ods. 46 prílohy V k IT riešeniam EBA,</w:t>
            </w:r>
          </w:p>
          <w:p w14:paraId="23350A71" w14:textId="40356371" w:rsidR="008F0781" w:rsidRPr="00397655" w:rsidRDefault="008F0781" w:rsidP="00232265">
            <w:pPr>
              <w:pStyle w:val="Style1"/>
            </w:pPr>
            <w:r w:rsidRPr="00397655">
              <w:rPr>
                <w:u w:val="single"/>
              </w:rPr>
              <w:t>ziskov alebo (–) strát z finančných aktív a záväzkov oceňovaných v reálnej hodnote cez výkaz ziskov a strát v čistom vyjadrení</w:t>
            </w:r>
            <w:r w:rsidRPr="00397655">
              <w:t>: zisky alebo (–) straty z finančných aktív a záväzkov oceňovaných v reálnej hodnote cez výkaz ziskov a strát v čistom vyjadrení v súlade s časťou 2 ods. 44 prílohy V k IT riešeniam EBA,</w:t>
            </w:r>
          </w:p>
          <w:p w14:paraId="44DE675E" w14:textId="5B34C2BC" w:rsidR="008F0781" w:rsidRPr="00397655" w:rsidRDefault="008F0781" w:rsidP="00232265">
            <w:pPr>
              <w:pStyle w:val="Style1"/>
            </w:pPr>
            <w:r w:rsidRPr="00397655">
              <w:rPr>
                <w:u w:val="single"/>
              </w:rPr>
              <w:t xml:space="preserve">ziskov alebo (–) strát z účtovania </w:t>
            </w:r>
            <w:proofErr w:type="spellStart"/>
            <w:r w:rsidRPr="00397655">
              <w:rPr>
                <w:u w:val="single"/>
              </w:rPr>
              <w:t>hedžingu</w:t>
            </w:r>
            <w:proofErr w:type="spellEnd"/>
            <w:r w:rsidRPr="00397655">
              <w:rPr>
                <w:u w:val="single"/>
              </w:rPr>
              <w:t xml:space="preserve"> v čistom vyjadrení súvisiacich s bankovou knihou</w:t>
            </w:r>
            <w:r w:rsidRPr="00397655">
              <w:t xml:space="preserve">: zisky alebo (–) straty z účtovania </w:t>
            </w:r>
            <w:proofErr w:type="spellStart"/>
            <w:r w:rsidRPr="00397655">
              <w:t>hedžingu</w:t>
            </w:r>
            <w:proofErr w:type="spellEnd"/>
            <w:r w:rsidRPr="00397655">
              <w:t xml:space="preserve"> v čistom vyjadrení v súlade s časťou 2 ods. 47 prílohy V k IT riešeniam EBA alebo v súlade s článkom 8 ods. 1 písm. a) a článkom 8 ods. 6 a 8 smernice o ročnej účtovnej uzávierke, ak tieto zisky alebo straty pochádzajú z finančných aktív a záväzkov držaných v bankovej knihe,</w:t>
            </w:r>
          </w:p>
          <w:p w14:paraId="23306495" w14:textId="6A259674" w:rsidR="008F0781" w:rsidRPr="00397655" w:rsidRDefault="008F0781" w:rsidP="00232265">
            <w:pPr>
              <w:pStyle w:val="Style1"/>
            </w:pPr>
            <w:r w:rsidRPr="00397655">
              <w:rPr>
                <w:u w:val="single"/>
              </w:rPr>
              <w:t>kurzových rozdielov [zisk alebo (–) strata] v čistom vyjadrení súvisiacich s bankovou knihou</w:t>
            </w:r>
            <w:r w:rsidRPr="00397655">
              <w:t>: kurzové rozdiely [zisk alebo (–) strata] v čistom vyjadrení v súlade s IAS 21.28 ods. 52 písm. a) alebo v súlade s článkom 39 smernice o ročnej účtovnej závierke, ak tieto rozdiely pochádzajú z finančných aktív a záväzkov držaných v bankovej knihe.</w:t>
            </w:r>
          </w:p>
          <w:p w14:paraId="3E9BB5BF" w14:textId="1D3FC8A9" w:rsidR="00F26A2D" w:rsidRPr="00397655" w:rsidRDefault="001E5563" w:rsidP="00F26A2D">
            <w:pPr>
              <w:spacing w:before="60" w:after="120"/>
              <w:jc w:val="both"/>
              <w:rPr>
                <w:rStyle w:val="InstructionsTabelleberschrift"/>
                <w:rFonts w:asciiTheme="majorBidi" w:hAnsiTheme="majorBidi" w:cstheme="majorBidi"/>
                <w:sz w:val="24"/>
                <w:u w:val="none"/>
              </w:rPr>
            </w:pPr>
            <w:r w:rsidRPr="00397655">
              <w:rPr>
                <w:rFonts w:asciiTheme="majorBidi" w:hAnsiTheme="majorBidi"/>
                <w:sz w:val="24"/>
              </w:rPr>
              <w:t xml:space="preserve">Hodnoty, ktoré sa majú zverejniť v súlade s článkom 314 ods. 6 nariadenia (EÚ) č. 575/2013, odrážajú účtovné hodnoty určené na základe účtovnej hranice alebo </w:t>
            </w:r>
            <w:proofErr w:type="spellStart"/>
            <w:r w:rsidRPr="00397655">
              <w:rPr>
                <w:rFonts w:asciiTheme="majorBidi" w:hAnsiTheme="majorBidi"/>
                <w:sz w:val="24"/>
              </w:rPr>
              <w:t>prudenciálnej</w:t>
            </w:r>
            <w:proofErr w:type="spellEnd"/>
            <w:r w:rsidRPr="00397655">
              <w:rPr>
                <w:rFonts w:asciiTheme="majorBidi" w:hAnsiTheme="majorBidi"/>
                <w:sz w:val="24"/>
              </w:rPr>
              <w:t xml:space="preserve"> hranice na identifikáciu položiek obchodnej knihy a bankovej knihy za každý z posledných troch finančných rokov.</w:t>
            </w:r>
          </w:p>
        </w:tc>
      </w:tr>
      <w:tr w:rsidR="003826D3" w:rsidRPr="00397655" w14:paraId="4C01E0EE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21AD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EÚ 3c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B97F" w14:textId="3301C86C" w:rsidR="003826D3" w:rsidRPr="00397655" w:rsidRDefault="008C3E6A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Prístup použitý na určenie hranice obchodnej knihy/bankovej knihy (</w:t>
            </w:r>
            <w:proofErr w:type="spellStart"/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prudenciálna</w:t>
            </w:r>
            <w:proofErr w:type="spellEnd"/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hranica alebo účtovný prístup)</w:t>
            </w:r>
          </w:p>
          <w:p w14:paraId="00A81A34" w14:textId="0A7D6D1A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Prístup, ktorý sa uplatňuje k referenčnému dátumu na určenie finančnej zložky: účtovná alebo </w:t>
            </w:r>
            <w:proofErr w:type="spellStart"/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prudenciálna</w:t>
            </w:r>
            <w:proofErr w:type="spellEnd"/>
            <w:r w:rsidRPr="00397655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klasifikácia. Tento prístup sa používa konzistentne pre sumy zverejnené za každý z posledných troch finančných rokov.</w:t>
            </w:r>
          </w:p>
        </w:tc>
      </w:tr>
      <w:tr w:rsidR="003826D3" w:rsidRPr="00397655" w14:paraId="130758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EF276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82AA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Ukazovateľ obchodovania</w:t>
            </w:r>
          </w:p>
          <w:p w14:paraId="35C99FE1" w14:textId="0AFECB29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Theme="majorBidi" w:hAnsiTheme="majorBidi"/>
                <w:sz w:val="24"/>
              </w:rPr>
              <w:t>Ukazovateľ obchodovania vypočítaný v súlade s článkom 314 ods. 1 nariadenia (EÚ) č. 575/2013, ktorý je súčtom troch zložiek: ILDC, SC a FC.</w:t>
            </w:r>
          </w:p>
        </w:tc>
      </w:tr>
      <w:tr w:rsidR="003826D3" w:rsidRPr="00397655" w14:paraId="45662CD2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C54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F910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Zložka ukazovateľa obchodovania</w:t>
            </w:r>
          </w:p>
          <w:p w14:paraId="4AC6BDA5" w14:textId="5507A684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Zložka ukazovateľa obchodovania sa vypočítava v súlade s článkom 313 nariadenia (EÚ) č. 575/2013. </w:t>
            </w:r>
          </w:p>
        </w:tc>
      </w:tr>
      <w:tr w:rsidR="003826D3" w:rsidRPr="00397655" w14:paraId="246D3463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251DF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6 a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D331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Hrubý ukazovateľ obchodovania z vylúčených odpredaných činností</w:t>
            </w:r>
          </w:p>
          <w:p w14:paraId="4B01F051" w14:textId="678BE249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Theme="majorBidi" w:hAnsiTheme="majorBidi"/>
                <w:sz w:val="24"/>
              </w:rPr>
              <w:t>Suma ukazovateľa obchodovania vrátane vylúčených odpredaných činností v súlade s článkom 315 ods. 2 nariadenia (EÚ) č. 575/2013.</w:t>
            </w:r>
          </w:p>
        </w:tc>
      </w:tr>
      <w:tr w:rsidR="003826D3" w:rsidRPr="00397655" w14:paraId="6ADC8B4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6F18" w14:textId="77777777" w:rsidR="003826D3" w:rsidRPr="00397655" w:rsidRDefault="003826D3" w:rsidP="00397655">
            <w:pPr>
              <w:pageBreakBefore/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6b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96E1" w14:textId="5FAE8014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Zníženie ukazovateľa obchodovania v dôsledku vylúčených odpredaných činností</w:t>
            </w:r>
          </w:p>
          <w:p w14:paraId="100A0132" w14:textId="636B5EF6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Theme="majorBidi" w:hAnsiTheme="majorBidi"/>
                <w:sz w:val="24"/>
              </w:rPr>
              <w:t xml:space="preserve">Rozdiel medzi hrubým ukazovateľom obchodovania z odpredaných činností (riadok 6a) a celkovým ukazovateľom obchodovania (riadok 4). </w:t>
            </w:r>
          </w:p>
        </w:tc>
      </w:tr>
      <w:tr w:rsidR="003826D3" w:rsidRPr="00397655" w14:paraId="66494CD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A112" w14:textId="77777777" w:rsidR="003826D3" w:rsidRPr="00397655" w:rsidRDefault="003826D3" w:rsidP="003826D3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EÚ 6c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02A2" w14:textId="77777777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Vplyv splynutí/zlúčení na ukazovateľ obchodovania</w:t>
            </w:r>
          </w:p>
          <w:p w14:paraId="68B0EB8C" w14:textId="39D74825" w:rsidR="003826D3" w:rsidRPr="00397655" w:rsidRDefault="003826D3" w:rsidP="003826D3">
            <w:pPr>
              <w:spacing w:before="60" w:after="120"/>
              <w:jc w:val="both"/>
              <w:rPr>
                <w:rStyle w:val="InstructionsTabelleberschrift"/>
                <w:rFonts w:asciiTheme="majorBidi" w:eastAsia="Times New Roman" w:hAnsiTheme="majorBidi" w:cstheme="majorBidi"/>
                <w:b w:val="0"/>
                <w:bCs w:val="0"/>
                <w:sz w:val="24"/>
                <w:u w:val="none"/>
              </w:rPr>
            </w:pPr>
            <w:r w:rsidRPr="00397655">
              <w:rPr>
                <w:rFonts w:asciiTheme="majorBidi" w:hAnsiTheme="majorBidi"/>
                <w:sz w:val="24"/>
              </w:rPr>
              <w:t>Hodnota zahrnutá v ukazovateli obchodovania, ktorá zodpovedá zložkám ukazovateľa obchodovania, ktorá pripadá na zlúčené alebo nadobudnuté subjekty alebo činnosti vypočítané tak, ako sa uvádza v článku 315 ods. 1 nariadenia (EÚ) č. 575/2013.</w:t>
            </w:r>
          </w:p>
        </w:tc>
      </w:tr>
    </w:tbl>
    <w:p w14:paraId="2517003F" w14:textId="77777777" w:rsidR="00D740B8" w:rsidRPr="00397655" w:rsidRDefault="00D740B8" w:rsidP="00D740B8">
      <w:pPr>
        <w:pStyle w:val="numberedparagraph"/>
        <w:numPr>
          <w:ilvl w:val="0"/>
          <w:numId w:val="0"/>
        </w:numPr>
        <w:ind w:left="284" w:hanging="284"/>
        <w:rPr>
          <w:rFonts w:ascii="Times New Roman" w:eastAsia="Arial" w:hAnsi="Times New Roman" w:cs="Times New Roman"/>
          <w:sz w:val="24"/>
        </w:rPr>
      </w:pPr>
    </w:p>
    <w:p w14:paraId="7E7146AD" w14:textId="1649FBD5" w:rsidR="00D740B8" w:rsidRPr="00397655" w:rsidRDefault="00D740B8" w:rsidP="00D740B8">
      <w:pPr>
        <w:jc w:val="both"/>
        <w:rPr>
          <w:rFonts w:ascii="Times New Roman" w:hAnsi="Times New Roman" w:cs="Times New Roman"/>
          <w:bCs/>
          <w:sz w:val="24"/>
        </w:rPr>
      </w:pPr>
      <w:r w:rsidRPr="00397655">
        <w:rPr>
          <w:rFonts w:ascii="Times New Roman" w:hAnsi="Times New Roman"/>
          <w:b/>
          <w:sz w:val="24"/>
        </w:rPr>
        <w:t xml:space="preserve">Vzor EÚ OR3 – Požiadavky na vlastné zdroje na krytie operačného rizika a suma rizikovej expozície. </w:t>
      </w:r>
      <w:r w:rsidRPr="00397655">
        <w:rPr>
          <w:rFonts w:ascii="Times New Roman" w:hAnsi="Times New Roman"/>
          <w:sz w:val="24"/>
        </w:rPr>
        <w:t>Fixný vzor</w:t>
      </w:r>
    </w:p>
    <w:p w14:paraId="5AB15A39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0DF34D1" w14:textId="121F9A97" w:rsidR="00D740B8" w:rsidRPr="00397655" w:rsidRDefault="00D740B8" w:rsidP="00D740B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97655">
        <w:rPr>
          <w:rFonts w:ascii="Times New Roman" w:hAnsi="Times New Roman"/>
          <w:sz w:val="24"/>
        </w:rPr>
        <w:t>Inštitúcie zverejňujú informácie zahrnuté vo vzore EÚ OR3 pri uplatňovaní článku 446 ods. 1 písm. b) nariadenia (EÚ) č. 575/2013. Tento vzor poskytuje informácie o výpočte požiadaviek na vlastné zdroje na krytie operačného rizika v súlade s článkami 312 až 315 nariadenia (EÚ) č. 575/2013.</w:t>
      </w:r>
    </w:p>
    <w:p w14:paraId="6DFA1648" w14:textId="77777777" w:rsidR="00D740B8" w:rsidRPr="00397655" w:rsidRDefault="00D740B8" w:rsidP="00D740B8">
      <w:pPr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2E35B8A0" w14:textId="77777777" w:rsidR="00D740B8" w:rsidRPr="00397655" w:rsidRDefault="00D740B8" w:rsidP="00D740B8">
      <w:pPr>
        <w:rPr>
          <w:rFonts w:ascii="Times New Roman" w:hAnsi="Times New Roman" w:cs="Times New Roman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68"/>
      </w:tblGrid>
      <w:tr w:rsidR="00D740B8" w:rsidRPr="00397655" w14:paraId="6F42A4B4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89E53" w14:textId="77777777" w:rsidR="00D740B8" w:rsidRPr="00397655" w:rsidRDefault="00D74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 xml:space="preserve">Riadok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ECBF1" w14:textId="77777777" w:rsidR="00D740B8" w:rsidRPr="00397655" w:rsidRDefault="00D740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Vysvetlenie</w:t>
            </w:r>
          </w:p>
        </w:tc>
      </w:tr>
      <w:tr w:rsidR="00D740B8" w:rsidRPr="00397655" w14:paraId="6BF3BB09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8A85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F758" w14:textId="77777777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Zložka ukazovateľa obchodovania</w:t>
            </w:r>
          </w:p>
          <w:p w14:paraId="1B10BB72" w14:textId="77777777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V tomto riadku sa uvádza zložka ukazovateľa obchodovania, ktorá sa vypočíta v súlade s článkom 313 nariadenia (EÚ) č. 575/2013.</w:t>
            </w:r>
          </w:p>
        </w:tc>
      </w:tr>
      <w:tr w:rsidR="00CA794A" w:rsidRPr="00397655" w14:paraId="2713AC1F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606E2" w14:textId="48C6967A" w:rsidR="00CA794A" w:rsidRPr="00397655" w:rsidRDefault="004A58B5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EÚ 1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7C95" w14:textId="1613DFBF" w:rsidR="00CA794A" w:rsidRPr="00397655" w:rsidRDefault="004A58B5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Alternatívny štandardizovaný prístup Požiadavky na vlastné zdroje podľa článku 314 ods. 4</w:t>
            </w:r>
          </w:p>
          <w:p w14:paraId="7762DF0B" w14:textId="6E2ACCB9" w:rsidR="004A58B5" w:rsidRPr="00397655" w:rsidRDefault="005B4907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Tento riadok zahŕňa požiadavky na vlastné zdroje pre obchodné línie zohľadnené v súlade článkom 314 ods. 4, prípadne do 31. decembra 2027 alebo do udelenia povolenia orgánom konsolidovaného dohľadu v súlade s článkom 314 ods. 3, podľa toho, čo nastane skôr.</w:t>
            </w:r>
          </w:p>
        </w:tc>
      </w:tr>
      <w:tr w:rsidR="00D740B8" w:rsidRPr="00397655" w14:paraId="362D8FB9" w14:textId="77777777" w:rsidTr="00F828EB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B321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1B93" w14:textId="0E85F01A" w:rsidR="00D740B8" w:rsidRPr="00397655" w:rsidRDefault="001918A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>Neuplatňuje sa.</w:t>
            </w:r>
          </w:p>
        </w:tc>
      </w:tr>
      <w:tr w:rsidR="00D740B8" w:rsidRPr="00397655" w14:paraId="779D052B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F8453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F01" w14:textId="77777777" w:rsidR="00D740B8" w:rsidRPr="00397655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Minimálne požiadavky na vlastné zdroje na krytie operačného rizika</w:t>
            </w:r>
          </w:p>
          <w:p w14:paraId="2A7C24D0" w14:textId="54D9C5FF" w:rsidR="00D740B8" w:rsidRPr="00397655" w:rsidRDefault="00977842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Požiadavky na vlastné zdroje sa vypočítavajú v súlade s článkom 312 nariadenia (EÚ) č. 575/2013. V tomto riadku sa uvádzajú požiadavky na vlastné zdroje na krytie operačného rizika, ktoré sa zhodujú so súčtom zložky ukazovateľa obchodovania a požiadaviek na vlastné zdroje pre obchodné línie, ktoré sa prípadne posudzujú podľa článku 314 ods. 4. </w:t>
            </w:r>
          </w:p>
        </w:tc>
      </w:tr>
      <w:tr w:rsidR="00D740B8" w:rsidRPr="00397655" w14:paraId="078B572A" w14:textId="77777777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3902" w14:textId="77777777" w:rsidR="00D740B8" w:rsidRPr="00397655" w:rsidRDefault="00D740B8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65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DB44" w14:textId="00766941" w:rsidR="00D740B8" w:rsidRPr="00397655" w:rsidRDefault="00D740B8">
            <w:pPr>
              <w:spacing w:before="60" w:after="120"/>
              <w:jc w:val="both"/>
              <w:rPr>
                <w:rStyle w:val="InstructionsTabelleberschrift"/>
                <w:rFonts w:ascii="Times New Roman" w:eastAsia="Times New Roman" w:hAnsi="Times New Roman"/>
                <w:bCs w:val="0"/>
                <w:sz w:val="24"/>
                <w:u w:val="none"/>
              </w:rPr>
            </w:pPr>
            <w:r w:rsidRPr="00397655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Suma expozície voči operačnému riziku</w:t>
            </w:r>
          </w:p>
          <w:p w14:paraId="317F9BDE" w14:textId="6672A695" w:rsidR="00D740B8" w:rsidRPr="00397655" w:rsidRDefault="00D740B8">
            <w:pPr>
              <w:spacing w:before="60"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655">
              <w:rPr>
                <w:rFonts w:ascii="Times New Roman" w:hAnsi="Times New Roman"/>
                <w:sz w:val="24"/>
              </w:rPr>
              <w:t xml:space="preserve">Na základe článku 92 ods. 3 písm. e) a článku 92 ods. 4 nariadenia (EÚ) č. 575/2013 sa v tomto riadku zverejňujú požiadavky na vlastné zdroje v riadku (3) vynásobené koeficientom 12.5. </w:t>
            </w:r>
          </w:p>
        </w:tc>
      </w:tr>
    </w:tbl>
    <w:p w14:paraId="41C8F396" w14:textId="77777777" w:rsidR="002C1404" w:rsidRPr="00397655" w:rsidRDefault="002C1404"/>
    <w:sectPr w:rsidR="002C1404" w:rsidRPr="0039765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D970" w14:textId="77777777" w:rsidR="00924970" w:rsidRPr="00397655" w:rsidRDefault="00924970" w:rsidP="00E114F3">
      <w:r w:rsidRPr="00397655">
        <w:separator/>
      </w:r>
    </w:p>
  </w:endnote>
  <w:endnote w:type="continuationSeparator" w:id="0">
    <w:p w14:paraId="6750FE16" w14:textId="77777777" w:rsidR="00924970" w:rsidRPr="00397655" w:rsidRDefault="00924970" w:rsidP="00E114F3">
      <w:r w:rsidRPr="00397655">
        <w:continuationSeparator/>
      </w:r>
    </w:p>
  </w:endnote>
  <w:endnote w:type="continuationNotice" w:id="1">
    <w:p w14:paraId="44EFD629" w14:textId="77777777" w:rsidR="00924970" w:rsidRPr="00397655" w:rsidRDefault="00924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783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E114F3" w:rsidRPr="00397655" w:rsidRDefault="00E114F3">
        <w:pPr>
          <w:pStyle w:val="Footer"/>
          <w:jc w:val="right"/>
        </w:pPr>
        <w:r w:rsidRPr="00397655">
          <w:fldChar w:fldCharType="begin"/>
        </w:r>
        <w:r w:rsidRPr="00397655">
          <w:instrText xml:space="preserve"> PAGE   \* MERGEFORMAT </w:instrText>
        </w:r>
        <w:r w:rsidRPr="00397655">
          <w:fldChar w:fldCharType="separate"/>
        </w:r>
        <w:r w:rsidR="00370155" w:rsidRPr="00397655">
          <w:t>1</w:t>
        </w:r>
        <w:r w:rsidRPr="00397655">
          <w:fldChar w:fldCharType="end"/>
        </w:r>
      </w:p>
    </w:sdtContent>
  </w:sdt>
  <w:p w14:paraId="049F31CB" w14:textId="77777777" w:rsidR="00E114F3" w:rsidRPr="00397655" w:rsidRDefault="00E1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A6D" w14:textId="77777777" w:rsidR="00924970" w:rsidRPr="00397655" w:rsidRDefault="00924970" w:rsidP="00E114F3">
      <w:r w:rsidRPr="00397655">
        <w:separator/>
      </w:r>
    </w:p>
  </w:footnote>
  <w:footnote w:type="continuationSeparator" w:id="0">
    <w:p w14:paraId="3D7D4E32" w14:textId="77777777" w:rsidR="00924970" w:rsidRPr="00397655" w:rsidRDefault="00924970" w:rsidP="00E114F3">
      <w:r w:rsidRPr="00397655">
        <w:continuationSeparator/>
      </w:r>
    </w:p>
  </w:footnote>
  <w:footnote w:type="continuationNotice" w:id="1">
    <w:p w14:paraId="6FCD0CD0" w14:textId="77777777" w:rsidR="00924970" w:rsidRPr="00397655" w:rsidRDefault="00924970"/>
  </w:footnote>
  <w:footnote w:id="2">
    <w:p w14:paraId="3798489D" w14:textId="469FF1F7" w:rsidR="00E114F3" w:rsidRPr="00397655" w:rsidRDefault="00E114F3" w:rsidP="003D3122">
      <w:pPr>
        <w:pStyle w:val="FootnoteText"/>
      </w:pPr>
      <w:r w:rsidRPr="00397655">
        <w:rPr>
          <w:rStyle w:val="FootnoteReference"/>
          <w:rFonts w:cstheme="minorHAnsi"/>
        </w:rPr>
        <w:footnoteRef/>
      </w:r>
      <w:r w:rsidRPr="00397655">
        <w:tab/>
        <w:t>Nariadenie Európskeho parlamentu a Rady (EÚ) č. 575/2013 z 26. júna 2013 o </w:t>
      </w:r>
      <w:proofErr w:type="spellStart"/>
      <w:r w:rsidRPr="00397655">
        <w:t>prudenciálnych</w:t>
      </w:r>
      <w:proofErr w:type="spellEnd"/>
      <w:r w:rsidRPr="00397655">
        <w:t xml:space="preserve"> požiadavkách na úverové inštitúcie a investičné spoločnosti a o zmene nariadenia (EÚ) č. 648/2012 a nariadenia (EÚ) 2024/1623 (</w:t>
      </w:r>
      <w:hyperlink r:id="rId1" w:history="1">
        <w:r w:rsidRPr="00397655">
          <w:rPr>
            <w:rStyle w:val="Hyperlink"/>
            <w:color w:val="800080"/>
          </w:rPr>
          <w:t xml:space="preserve">Ú. v. EÚ L 176, 27.6.2013, s. 1; </w:t>
        </w:r>
      </w:hyperlink>
      <w:hyperlink r:id="rId2" w:history="1">
        <w:r w:rsidRPr="00397655">
          <w:rPr>
            <w:rStyle w:val="Hyperlink"/>
          </w:rPr>
          <w:t>Nariadenie – EÚ – 2024/1623 – SK – EUR-Lex (europa.eu)</w:t>
        </w:r>
      </w:hyperlink>
      <w:r w:rsidRPr="00397655">
        <w:t>).</w:t>
      </w:r>
    </w:p>
    <w:p w14:paraId="45FB0818" w14:textId="77777777" w:rsidR="00E114F3" w:rsidRPr="00397655" w:rsidRDefault="00E114F3" w:rsidP="003D31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1615A102" w:rsidR="00E114F3" w:rsidRPr="00397655" w:rsidRDefault="00864ECA">
    <w:pPr>
      <w:pStyle w:val="Header"/>
    </w:pPr>
    <w:r w:rsidRPr="0039765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E9015" wp14:editId="3A1C73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5" name="Text Box 5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07B26" w14:textId="3B0140B7" w:rsidR="00864ECA" w:rsidRPr="00397655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97655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 Bežné použitie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9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EBA Regular Use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" filled="f" stroked="f">
              <v:textbox style="mso-fit-shape-to-text:t" inset="20pt,15pt,0,0">
                <w:txbxContent>
                  <w:p w14:paraId="6B807B26" w14:textId="3B0140B7" w:rsidR="00864ECA" w:rsidRPr="00397655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97655">
                      <w:rPr>
                        <w:rFonts w:ascii="Calibri" w:hAnsi="Calibri"/>
                        <w:color w:val="000000"/>
                        <w:sz w:val="24"/>
                      </w:rPr>
                      <w:t>EBA Bežné použitie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1028A940" w:rsidR="00E114F3" w:rsidRPr="00397655" w:rsidRDefault="00864ECA">
    <w:pPr>
      <w:pStyle w:val="Header"/>
    </w:pPr>
    <w:r w:rsidRPr="00397655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F1B75F" wp14:editId="3120E3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6" name="Text Box 6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808C3" w14:textId="14E505EC" w:rsidR="00864ECA" w:rsidRPr="00397655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97655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Bežné použitie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1B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EBA Regular Use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MsGYd0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422808C3" w14:textId="14E505EC" w:rsidR="00864ECA" w:rsidRPr="00397655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97655">
                      <w:rPr>
                        <w:rFonts w:ascii="Calibri" w:hAnsi="Calibri"/>
                        <w:color w:val="000000"/>
                        <w:sz w:val="24"/>
                      </w:rPr>
                      <w:t>EBA Bežné použitie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505DD969" w:rsidR="00E114F3" w:rsidRPr="00397655" w:rsidRDefault="00864ECA">
    <w:pPr>
      <w:pStyle w:val="Header"/>
    </w:pPr>
    <w:r w:rsidRPr="0039765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A7D7E" wp14:editId="55F0D6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9525"/>
              <wp:wrapNone/>
              <wp:docPr id="4" name="Text Box 4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C3BA" w14:textId="4F2B949B" w:rsidR="00864ECA" w:rsidRPr="00397655" w:rsidRDefault="00864ECA" w:rsidP="00864E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97655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Bežné použitie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7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EBA Regular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" filled="f" stroked="f">
              <v:textbox style="mso-fit-shape-to-text:t" inset="20pt,15pt,0,0">
                <w:txbxContent>
                  <w:p w14:paraId="3152C3BA" w14:textId="4F2B949B" w:rsidR="00864ECA" w:rsidRPr="00397655" w:rsidRDefault="00864ECA" w:rsidP="00864E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97655">
                      <w:rPr>
                        <w:rFonts w:ascii="Calibri" w:hAnsi="Calibri"/>
                        <w:color w:val="000000"/>
                        <w:sz w:val="24"/>
                      </w:rPr>
                      <w:t>EBA Bežné použitie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0DA"/>
    <w:multiLevelType w:val="hybridMultilevel"/>
    <w:tmpl w:val="C5500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C79"/>
    <w:multiLevelType w:val="hybridMultilevel"/>
    <w:tmpl w:val="7554B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EC3"/>
    <w:multiLevelType w:val="hybridMultilevel"/>
    <w:tmpl w:val="81D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9C"/>
    <w:multiLevelType w:val="hybridMultilevel"/>
    <w:tmpl w:val="AB243A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1C3"/>
    <w:multiLevelType w:val="hybridMultilevel"/>
    <w:tmpl w:val="3942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DB4"/>
    <w:multiLevelType w:val="hybridMultilevel"/>
    <w:tmpl w:val="D4F8EA4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49A0"/>
    <w:multiLevelType w:val="hybridMultilevel"/>
    <w:tmpl w:val="FFFFFFFF"/>
    <w:lvl w:ilvl="0" w:tplc="0CD0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D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5B13DC"/>
    <w:multiLevelType w:val="hybridMultilevel"/>
    <w:tmpl w:val="503222B2"/>
    <w:lvl w:ilvl="0" w:tplc="7D98D390">
      <w:start w:val="1"/>
      <w:numFmt w:val="bullet"/>
      <w:pStyle w:val="Style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7369"/>
    <w:multiLevelType w:val="hybridMultilevel"/>
    <w:tmpl w:val="D17E5BA0"/>
    <w:lvl w:ilvl="0" w:tplc="FFFFFFFF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199"/>
    <w:multiLevelType w:val="hybridMultilevel"/>
    <w:tmpl w:val="1F2ACEF8"/>
    <w:lvl w:ilvl="0" w:tplc="67E8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D049F"/>
    <w:rsid w:val="000057DA"/>
    <w:rsid w:val="000118A0"/>
    <w:rsid w:val="00011939"/>
    <w:rsid w:val="00012A75"/>
    <w:rsid w:val="0001405C"/>
    <w:rsid w:val="0001650F"/>
    <w:rsid w:val="00024346"/>
    <w:rsid w:val="00025F22"/>
    <w:rsid w:val="000272B2"/>
    <w:rsid w:val="000307E6"/>
    <w:rsid w:val="00030D74"/>
    <w:rsid w:val="00043B86"/>
    <w:rsid w:val="0004584F"/>
    <w:rsid w:val="00045858"/>
    <w:rsid w:val="00046439"/>
    <w:rsid w:val="000465B3"/>
    <w:rsid w:val="00050ABA"/>
    <w:rsid w:val="000576E8"/>
    <w:rsid w:val="0006502A"/>
    <w:rsid w:val="000664FC"/>
    <w:rsid w:val="000665BE"/>
    <w:rsid w:val="00066F9F"/>
    <w:rsid w:val="0006789F"/>
    <w:rsid w:val="00073105"/>
    <w:rsid w:val="000746E8"/>
    <w:rsid w:val="00074F00"/>
    <w:rsid w:val="00075D8B"/>
    <w:rsid w:val="00076263"/>
    <w:rsid w:val="00076410"/>
    <w:rsid w:val="00080F37"/>
    <w:rsid w:val="00083594"/>
    <w:rsid w:val="00087F79"/>
    <w:rsid w:val="00090561"/>
    <w:rsid w:val="00095D07"/>
    <w:rsid w:val="00096102"/>
    <w:rsid w:val="000A0D62"/>
    <w:rsid w:val="000A12B5"/>
    <w:rsid w:val="000A7B76"/>
    <w:rsid w:val="000B16B1"/>
    <w:rsid w:val="000B2704"/>
    <w:rsid w:val="000B2D8F"/>
    <w:rsid w:val="000B3E22"/>
    <w:rsid w:val="000B4462"/>
    <w:rsid w:val="000C1526"/>
    <w:rsid w:val="000C3EAE"/>
    <w:rsid w:val="000C4618"/>
    <w:rsid w:val="000C77E0"/>
    <w:rsid w:val="000D0723"/>
    <w:rsid w:val="000D0DBB"/>
    <w:rsid w:val="000D3111"/>
    <w:rsid w:val="000D3C6F"/>
    <w:rsid w:val="000D4A72"/>
    <w:rsid w:val="000D6DA0"/>
    <w:rsid w:val="000E3AB0"/>
    <w:rsid w:val="000E696C"/>
    <w:rsid w:val="000F08DF"/>
    <w:rsid w:val="000F1044"/>
    <w:rsid w:val="000F2921"/>
    <w:rsid w:val="000F375E"/>
    <w:rsid w:val="000F5C83"/>
    <w:rsid w:val="000F5FED"/>
    <w:rsid w:val="000F6C61"/>
    <w:rsid w:val="00103ABA"/>
    <w:rsid w:val="00103E71"/>
    <w:rsid w:val="00105E35"/>
    <w:rsid w:val="0011472E"/>
    <w:rsid w:val="001220D8"/>
    <w:rsid w:val="00122ABE"/>
    <w:rsid w:val="001257B6"/>
    <w:rsid w:val="00126683"/>
    <w:rsid w:val="00127890"/>
    <w:rsid w:val="00127955"/>
    <w:rsid w:val="00131C22"/>
    <w:rsid w:val="00134D05"/>
    <w:rsid w:val="00135C50"/>
    <w:rsid w:val="00136AE4"/>
    <w:rsid w:val="00141217"/>
    <w:rsid w:val="001420EB"/>
    <w:rsid w:val="00142276"/>
    <w:rsid w:val="00142D89"/>
    <w:rsid w:val="001449CE"/>
    <w:rsid w:val="001452C3"/>
    <w:rsid w:val="00145CEF"/>
    <w:rsid w:val="0015285C"/>
    <w:rsid w:val="00157939"/>
    <w:rsid w:val="00160A53"/>
    <w:rsid w:val="00161A8E"/>
    <w:rsid w:val="00162183"/>
    <w:rsid w:val="00165BEF"/>
    <w:rsid w:val="001756BE"/>
    <w:rsid w:val="0017572D"/>
    <w:rsid w:val="00177229"/>
    <w:rsid w:val="001830A3"/>
    <w:rsid w:val="00185088"/>
    <w:rsid w:val="001871DA"/>
    <w:rsid w:val="001918A2"/>
    <w:rsid w:val="00196907"/>
    <w:rsid w:val="001A2C2E"/>
    <w:rsid w:val="001B03D9"/>
    <w:rsid w:val="001B03DD"/>
    <w:rsid w:val="001B0A1D"/>
    <w:rsid w:val="001B2292"/>
    <w:rsid w:val="001B291D"/>
    <w:rsid w:val="001B3BC1"/>
    <w:rsid w:val="001B500A"/>
    <w:rsid w:val="001B58F8"/>
    <w:rsid w:val="001B6C85"/>
    <w:rsid w:val="001C2B75"/>
    <w:rsid w:val="001C4677"/>
    <w:rsid w:val="001C6CDD"/>
    <w:rsid w:val="001C6FE9"/>
    <w:rsid w:val="001D0334"/>
    <w:rsid w:val="001D080D"/>
    <w:rsid w:val="001D11E0"/>
    <w:rsid w:val="001D592E"/>
    <w:rsid w:val="001D782E"/>
    <w:rsid w:val="001E1503"/>
    <w:rsid w:val="001E5563"/>
    <w:rsid w:val="001F1176"/>
    <w:rsid w:val="001F7ED3"/>
    <w:rsid w:val="00201011"/>
    <w:rsid w:val="002026B4"/>
    <w:rsid w:val="002026D9"/>
    <w:rsid w:val="002054FC"/>
    <w:rsid w:val="002075AA"/>
    <w:rsid w:val="00207EDD"/>
    <w:rsid w:val="002118F9"/>
    <w:rsid w:val="00211970"/>
    <w:rsid w:val="00214165"/>
    <w:rsid w:val="00216C79"/>
    <w:rsid w:val="002208D1"/>
    <w:rsid w:val="00223530"/>
    <w:rsid w:val="00226DD0"/>
    <w:rsid w:val="00230607"/>
    <w:rsid w:val="00230F64"/>
    <w:rsid w:val="00232265"/>
    <w:rsid w:val="002322F4"/>
    <w:rsid w:val="002354DB"/>
    <w:rsid w:val="002355B0"/>
    <w:rsid w:val="00235C89"/>
    <w:rsid w:val="00236174"/>
    <w:rsid w:val="0024083E"/>
    <w:rsid w:val="00241FEC"/>
    <w:rsid w:val="00242E08"/>
    <w:rsid w:val="002455B5"/>
    <w:rsid w:val="002457F5"/>
    <w:rsid w:val="00246D4F"/>
    <w:rsid w:val="00250A53"/>
    <w:rsid w:val="00253C3A"/>
    <w:rsid w:val="00253CF4"/>
    <w:rsid w:val="00254FDF"/>
    <w:rsid w:val="002558AA"/>
    <w:rsid w:val="00257387"/>
    <w:rsid w:val="0026154A"/>
    <w:rsid w:val="00267B03"/>
    <w:rsid w:val="00267CA1"/>
    <w:rsid w:val="00270E06"/>
    <w:rsid w:val="00272014"/>
    <w:rsid w:val="0027387E"/>
    <w:rsid w:val="00273B65"/>
    <w:rsid w:val="00275651"/>
    <w:rsid w:val="00277197"/>
    <w:rsid w:val="002772B5"/>
    <w:rsid w:val="002774FB"/>
    <w:rsid w:val="00277E2E"/>
    <w:rsid w:val="002854BD"/>
    <w:rsid w:val="0028730E"/>
    <w:rsid w:val="00287A78"/>
    <w:rsid w:val="002912CA"/>
    <w:rsid w:val="00291643"/>
    <w:rsid w:val="002919DB"/>
    <w:rsid w:val="00293086"/>
    <w:rsid w:val="002A02D1"/>
    <w:rsid w:val="002A213A"/>
    <w:rsid w:val="002A2633"/>
    <w:rsid w:val="002A26E9"/>
    <w:rsid w:val="002A4A49"/>
    <w:rsid w:val="002A55B5"/>
    <w:rsid w:val="002A7A1C"/>
    <w:rsid w:val="002B0785"/>
    <w:rsid w:val="002B20D8"/>
    <w:rsid w:val="002B2993"/>
    <w:rsid w:val="002B2F6C"/>
    <w:rsid w:val="002B708C"/>
    <w:rsid w:val="002B7BCC"/>
    <w:rsid w:val="002C1404"/>
    <w:rsid w:val="002C6300"/>
    <w:rsid w:val="002D0EA4"/>
    <w:rsid w:val="002D5C08"/>
    <w:rsid w:val="002E1556"/>
    <w:rsid w:val="002E1AD8"/>
    <w:rsid w:val="002E28B0"/>
    <w:rsid w:val="002E4ED1"/>
    <w:rsid w:val="002F3CFA"/>
    <w:rsid w:val="002F70A5"/>
    <w:rsid w:val="002F733A"/>
    <w:rsid w:val="002F7AF6"/>
    <w:rsid w:val="00306E05"/>
    <w:rsid w:val="003123CA"/>
    <w:rsid w:val="003134EA"/>
    <w:rsid w:val="00313B19"/>
    <w:rsid w:val="00313BE5"/>
    <w:rsid w:val="003140BC"/>
    <w:rsid w:val="003173AB"/>
    <w:rsid w:val="0032128C"/>
    <w:rsid w:val="00322C5B"/>
    <w:rsid w:val="0032312B"/>
    <w:rsid w:val="0032508D"/>
    <w:rsid w:val="00325595"/>
    <w:rsid w:val="003260B9"/>
    <w:rsid w:val="003310FD"/>
    <w:rsid w:val="00331494"/>
    <w:rsid w:val="00332B2B"/>
    <w:rsid w:val="00340DA2"/>
    <w:rsid w:val="00340F5A"/>
    <w:rsid w:val="0034291F"/>
    <w:rsid w:val="0034713B"/>
    <w:rsid w:val="00350F3E"/>
    <w:rsid w:val="00352E37"/>
    <w:rsid w:val="00352E7B"/>
    <w:rsid w:val="00353854"/>
    <w:rsid w:val="00356B96"/>
    <w:rsid w:val="00356C56"/>
    <w:rsid w:val="0036264E"/>
    <w:rsid w:val="00366387"/>
    <w:rsid w:val="00370155"/>
    <w:rsid w:val="00371504"/>
    <w:rsid w:val="00373F9D"/>
    <w:rsid w:val="0037691C"/>
    <w:rsid w:val="00376B14"/>
    <w:rsid w:val="003826D3"/>
    <w:rsid w:val="003858A3"/>
    <w:rsid w:val="00390609"/>
    <w:rsid w:val="00390ACF"/>
    <w:rsid w:val="003930C3"/>
    <w:rsid w:val="00393427"/>
    <w:rsid w:val="00393FEF"/>
    <w:rsid w:val="00394139"/>
    <w:rsid w:val="00394AE0"/>
    <w:rsid w:val="00395B20"/>
    <w:rsid w:val="00397655"/>
    <w:rsid w:val="003A11C2"/>
    <w:rsid w:val="003A134B"/>
    <w:rsid w:val="003A1367"/>
    <w:rsid w:val="003A20B0"/>
    <w:rsid w:val="003A3338"/>
    <w:rsid w:val="003A752D"/>
    <w:rsid w:val="003B0795"/>
    <w:rsid w:val="003B12FB"/>
    <w:rsid w:val="003B40C6"/>
    <w:rsid w:val="003C0178"/>
    <w:rsid w:val="003C1B42"/>
    <w:rsid w:val="003C3FE1"/>
    <w:rsid w:val="003C62CB"/>
    <w:rsid w:val="003C7646"/>
    <w:rsid w:val="003D0A4B"/>
    <w:rsid w:val="003D0FCA"/>
    <w:rsid w:val="003D3122"/>
    <w:rsid w:val="003D36FD"/>
    <w:rsid w:val="003D49FC"/>
    <w:rsid w:val="003D54AC"/>
    <w:rsid w:val="003D5875"/>
    <w:rsid w:val="003D5C33"/>
    <w:rsid w:val="003E1A11"/>
    <w:rsid w:val="003E207A"/>
    <w:rsid w:val="003E3201"/>
    <w:rsid w:val="003E7CB0"/>
    <w:rsid w:val="003F52CD"/>
    <w:rsid w:val="003F5CE4"/>
    <w:rsid w:val="0040312B"/>
    <w:rsid w:val="00403F5F"/>
    <w:rsid w:val="00404BBB"/>
    <w:rsid w:val="00404E97"/>
    <w:rsid w:val="00405D1E"/>
    <w:rsid w:val="0041073A"/>
    <w:rsid w:val="004129ED"/>
    <w:rsid w:val="00413B96"/>
    <w:rsid w:val="004153D1"/>
    <w:rsid w:val="0042443A"/>
    <w:rsid w:val="00425384"/>
    <w:rsid w:val="00430F3A"/>
    <w:rsid w:val="00441196"/>
    <w:rsid w:val="00443CBC"/>
    <w:rsid w:val="00445677"/>
    <w:rsid w:val="004509B7"/>
    <w:rsid w:val="004544AD"/>
    <w:rsid w:val="00456F97"/>
    <w:rsid w:val="00457089"/>
    <w:rsid w:val="00460310"/>
    <w:rsid w:val="004618A3"/>
    <w:rsid w:val="0046389C"/>
    <w:rsid w:val="004651FB"/>
    <w:rsid w:val="00471410"/>
    <w:rsid w:val="004714CE"/>
    <w:rsid w:val="00472573"/>
    <w:rsid w:val="004744D1"/>
    <w:rsid w:val="00474A18"/>
    <w:rsid w:val="004849ED"/>
    <w:rsid w:val="004863DC"/>
    <w:rsid w:val="00486834"/>
    <w:rsid w:val="00486925"/>
    <w:rsid w:val="00487314"/>
    <w:rsid w:val="0049000A"/>
    <w:rsid w:val="00492339"/>
    <w:rsid w:val="00496389"/>
    <w:rsid w:val="00496A9E"/>
    <w:rsid w:val="004A0829"/>
    <w:rsid w:val="004A0952"/>
    <w:rsid w:val="004A18F4"/>
    <w:rsid w:val="004A3168"/>
    <w:rsid w:val="004A3C86"/>
    <w:rsid w:val="004A4A2C"/>
    <w:rsid w:val="004A58B5"/>
    <w:rsid w:val="004A5BBA"/>
    <w:rsid w:val="004A62B8"/>
    <w:rsid w:val="004A742E"/>
    <w:rsid w:val="004A7915"/>
    <w:rsid w:val="004B0B6E"/>
    <w:rsid w:val="004B0FB3"/>
    <w:rsid w:val="004B0FCE"/>
    <w:rsid w:val="004B1D55"/>
    <w:rsid w:val="004B57A6"/>
    <w:rsid w:val="004B6D23"/>
    <w:rsid w:val="004C06C0"/>
    <w:rsid w:val="004C08C6"/>
    <w:rsid w:val="004C2C33"/>
    <w:rsid w:val="004C3206"/>
    <w:rsid w:val="004D0A0E"/>
    <w:rsid w:val="004D0C4D"/>
    <w:rsid w:val="004D442B"/>
    <w:rsid w:val="004D7AAC"/>
    <w:rsid w:val="004E0A33"/>
    <w:rsid w:val="004E2BF2"/>
    <w:rsid w:val="004E3E86"/>
    <w:rsid w:val="004E41F1"/>
    <w:rsid w:val="004E5F6E"/>
    <w:rsid w:val="004E67D0"/>
    <w:rsid w:val="004E7E6A"/>
    <w:rsid w:val="004F220F"/>
    <w:rsid w:val="004F22BD"/>
    <w:rsid w:val="004F34D4"/>
    <w:rsid w:val="004F55D2"/>
    <w:rsid w:val="004F6309"/>
    <w:rsid w:val="004F7296"/>
    <w:rsid w:val="00500525"/>
    <w:rsid w:val="00501D3A"/>
    <w:rsid w:val="00502CBE"/>
    <w:rsid w:val="0051094B"/>
    <w:rsid w:val="00511F83"/>
    <w:rsid w:val="005129A3"/>
    <w:rsid w:val="00513E9E"/>
    <w:rsid w:val="005201AB"/>
    <w:rsid w:val="00520A67"/>
    <w:rsid w:val="00521787"/>
    <w:rsid w:val="005227BF"/>
    <w:rsid w:val="00523851"/>
    <w:rsid w:val="005244B2"/>
    <w:rsid w:val="00525D0C"/>
    <w:rsid w:val="00531A16"/>
    <w:rsid w:val="0053230B"/>
    <w:rsid w:val="005323E0"/>
    <w:rsid w:val="00532CFA"/>
    <w:rsid w:val="00533587"/>
    <w:rsid w:val="005346B6"/>
    <w:rsid w:val="00536DD1"/>
    <w:rsid w:val="00542C4F"/>
    <w:rsid w:val="00543CE4"/>
    <w:rsid w:val="00545C2E"/>
    <w:rsid w:val="005511B4"/>
    <w:rsid w:val="005525B5"/>
    <w:rsid w:val="00552616"/>
    <w:rsid w:val="00555026"/>
    <w:rsid w:val="0055699F"/>
    <w:rsid w:val="00557E87"/>
    <w:rsid w:val="005644FD"/>
    <w:rsid w:val="00573755"/>
    <w:rsid w:val="0058077D"/>
    <w:rsid w:val="00581319"/>
    <w:rsid w:val="00581EE7"/>
    <w:rsid w:val="00585FE7"/>
    <w:rsid w:val="00592CFD"/>
    <w:rsid w:val="00594CF8"/>
    <w:rsid w:val="00594DEA"/>
    <w:rsid w:val="00597741"/>
    <w:rsid w:val="005A0E65"/>
    <w:rsid w:val="005A1D73"/>
    <w:rsid w:val="005A28B3"/>
    <w:rsid w:val="005A56B5"/>
    <w:rsid w:val="005A6F28"/>
    <w:rsid w:val="005B1A6A"/>
    <w:rsid w:val="005B266A"/>
    <w:rsid w:val="005B2681"/>
    <w:rsid w:val="005B35FE"/>
    <w:rsid w:val="005B36AF"/>
    <w:rsid w:val="005B4907"/>
    <w:rsid w:val="005B5827"/>
    <w:rsid w:val="005B6691"/>
    <w:rsid w:val="005B76B3"/>
    <w:rsid w:val="005C0169"/>
    <w:rsid w:val="005C361B"/>
    <w:rsid w:val="005C43BC"/>
    <w:rsid w:val="005C4785"/>
    <w:rsid w:val="005C5685"/>
    <w:rsid w:val="005C7DD8"/>
    <w:rsid w:val="005D02AE"/>
    <w:rsid w:val="005D3B7F"/>
    <w:rsid w:val="005D484F"/>
    <w:rsid w:val="005D78BA"/>
    <w:rsid w:val="005E0DB5"/>
    <w:rsid w:val="005E1172"/>
    <w:rsid w:val="005E426C"/>
    <w:rsid w:val="005E4525"/>
    <w:rsid w:val="005E5C07"/>
    <w:rsid w:val="005E651B"/>
    <w:rsid w:val="005E6595"/>
    <w:rsid w:val="005E7C4C"/>
    <w:rsid w:val="005F2270"/>
    <w:rsid w:val="005F6363"/>
    <w:rsid w:val="005F6A97"/>
    <w:rsid w:val="006010B7"/>
    <w:rsid w:val="006020C0"/>
    <w:rsid w:val="00603CA2"/>
    <w:rsid w:val="00605946"/>
    <w:rsid w:val="006106BB"/>
    <w:rsid w:val="00611A03"/>
    <w:rsid w:val="00615045"/>
    <w:rsid w:val="006175E8"/>
    <w:rsid w:val="00617849"/>
    <w:rsid w:val="00620C52"/>
    <w:rsid w:val="006276CF"/>
    <w:rsid w:val="00631769"/>
    <w:rsid w:val="00632F0C"/>
    <w:rsid w:val="00634105"/>
    <w:rsid w:val="006423F0"/>
    <w:rsid w:val="00643568"/>
    <w:rsid w:val="006467E0"/>
    <w:rsid w:val="006515E3"/>
    <w:rsid w:val="00651CFD"/>
    <w:rsid w:val="00654641"/>
    <w:rsid w:val="00662E68"/>
    <w:rsid w:val="00663EA2"/>
    <w:rsid w:val="00665EDF"/>
    <w:rsid w:val="00666BFE"/>
    <w:rsid w:val="006671B4"/>
    <w:rsid w:val="00670D9B"/>
    <w:rsid w:val="006710C9"/>
    <w:rsid w:val="00671F1C"/>
    <w:rsid w:val="006721A7"/>
    <w:rsid w:val="00672648"/>
    <w:rsid w:val="00672FCF"/>
    <w:rsid w:val="006734FF"/>
    <w:rsid w:val="0067596F"/>
    <w:rsid w:val="00675FB5"/>
    <w:rsid w:val="00680908"/>
    <w:rsid w:val="006825A4"/>
    <w:rsid w:val="006832AC"/>
    <w:rsid w:val="0068676B"/>
    <w:rsid w:val="006943D3"/>
    <w:rsid w:val="006956F2"/>
    <w:rsid w:val="00695D35"/>
    <w:rsid w:val="00695DBE"/>
    <w:rsid w:val="006A3134"/>
    <w:rsid w:val="006A3C03"/>
    <w:rsid w:val="006A6B36"/>
    <w:rsid w:val="006A7708"/>
    <w:rsid w:val="006B1B9D"/>
    <w:rsid w:val="006B1C53"/>
    <w:rsid w:val="006B4D78"/>
    <w:rsid w:val="006B7E63"/>
    <w:rsid w:val="006C306E"/>
    <w:rsid w:val="006C331E"/>
    <w:rsid w:val="006C62E5"/>
    <w:rsid w:val="006C66D0"/>
    <w:rsid w:val="006D3272"/>
    <w:rsid w:val="006D3A51"/>
    <w:rsid w:val="006D58A9"/>
    <w:rsid w:val="006D76F7"/>
    <w:rsid w:val="006E0F5F"/>
    <w:rsid w:val="006E1A81"/>
    <w:rsid w:val="006E1C89"/>
    <w:rsid w:val="006E2DDE"/>
    <w:rsid w:val="006E3051"/>
    <w:rsid w:val="006F4C95"/>
    <w:rsid w:val="006F5677"/>
    <w:rsid w:val="00701AB8"/>
    <w:rsid w:val="0070328C"/>
    <w:rsid w:val="0070389C"/>
    <w:rsid w:val="00705C67"/>
    <w:rsid w:val="00713824"/>
    <w:rsid w:val="007146FC"/>
    <w:rsid w:val="0071476F"/>
    <w:rsid w:val="00716B43"/>
    <w:rsid w:val="007212B1"/>
    <w:rsid w:val="00721E9C"/>
    <w:rsid w:val="007227C1"/>
    <w:rsid w:val="00725562"/>
    <w:rsid w:val="00727D92"/>
    <w:rsid w:val="0073744A"/>
    <w:rsid w:val="00742D4E"/>
    <w:rsid w:val="0074599C"/>
    <w:rsid w:val="00752BA7"/>
    <w:rsid w:val="007535CB"/>
    <w:rsid w:val="00753C8F"/>
    <w:rsid w:val="007561ED"/>
    <w:rsid w:val="00756B6D"/>
    <w:rsid w:val="007572BA"/>
    <w:rsid w:val="00757EE7"/>
    <w:rsid w:val="00760B2D"/>
    <w:rsid w:val="00761A99"/>
    <w:rsid w:val="00764F56"/>
    <w:rsid w:val="00765CB0"/>
    <w:rsid w:val="00775BD9"/>
    <w:rsid w:val="00780966"/>
    <w:rsid w:val="00785777"/>
    <w:rsid w:val="007863F3"/>
    <w:rsid w:val="00787341"/>
    <w:rsid w:val="007912F6"/>
    <w:rsid w:val="00793C82"/>
    <w:rsid w:val="0079404E"/>
    <w:rsid w:val="007942F6"/>
    <w:rsid w:val="00794EEA"/>
    <w:rsid w:val="00795D11"/>
    <w:rsid w:val="007A244C"/>
    <w:rsid w:val="007A25E1"/>
    <w:rsid w:val="007A4B1F"/>
    <w:rsid w:val="007A7D9C"/>
    <w:rsid w:val="007B0E7E"/>
    <w:rsid w:val="007B37CA"/>
    <w:rsid w:val="007B3E62"/>
    <w:rsid w:val="007B4F63"/>
    <w:rsid w:val="007B716B"/>
    <w:rsid w:val="007B759C"/>
    <w:rsid w:val="007C45A4"/>
    <w:rsid w:val="007C4795"/>
    <w:rsid w:val="007C5D41"/>
    <w:rsid w:val="007C6DDA"/>
    <w:rsid w:val="007D1B69"/>
    <w:rsid w:val="007D3710"/>
    <w:rsid w:val="007D47E8"/>
    <w:rsid w:val="007D5B31"/>
    <w:rsid w:val="007E4A47"/>
    <w:rsid w:val="007E7DB4"/>
    <w:rsid w:val="007F107B"/>
    <w:rsid w:val="007F3294"/>
    <w:rsid w:val="007F35C2"/>
    <w:rsid w:val="007F3DCB"/>
    <w:rsid w:val="007F481E"/>
    <w:rsid w:val="007F5FB7"/>
    <w:rsid w:val="007F79D0"/>
    <w:rsid w:val="008006BD"/>
    <w:rsid w:val="00800DA8"/>
    <w:rsid w:val="00804617"/>
    <w:rsid w:val="0080619E"/>
    <w:rsid w:val="008064B3"/>
    <w:rsid w:val="00806C37"/>
    <w:rsid w:val="00806D63"/>
    <w:rsid w:val="008073CE"/>
    <w:rsid w:val="008106BB"/>
    <w:rsid w:val="008126E2"/>
    <w:rsid w:val="00815D64"/>
    <w:rsid w:val="00820A89"/>
    <w:rsid w:val="008224E4"/>
    <w:rsid w:val="00823C1A"/>
    <w:rsid w:val="00825B74"/>
    <w:rsid w:val="00825C0C"/>
    <w:rsid w:val="00827D03"/>
    <w:rsid w:val="008340AA"/>
    <w:rsid w:val="008408B7"/>
    <w:rsid w:val="00841A0D"/>
    <w:rsid w:val="008447E9"/>
    <w:rsid w:val="00845753"/>
    <w:rsid w:val="0084754D"/>
    <w:rsid w:val="00853F81"/>
    <w:rsid w:val="00856A58"/>
    <w:rsid w:val="00856FD6"/>
    <w:rsid w:val="00857C47"/>
    <w:rsid w:val="008606AB"/>
    <w:rsid w:val="00860C4A"/>
    <w:rsid w:val="008613CD"/>
    <w:rsid w:val="008639CA"/>
    <w:rsid w:val="008642ED"/>
    <w:rsid w:val="00864ECA"/>
    <w:rsid w:val="00864F98"/>
    <w:rsid w:val="008703CB"/>
    <w:rsid w:val="00871AC0"/>
    <w:rsid w:val="008726D2"/>
    <w:rsid w:val="00873664"/>
    <w:rsid w:val="008743B0"/>
    <w:rsid w:val="00876AB5"/>
    <w:rsid w:val="00876FEE"/>
    <w:rsid w:val="00877D06"/>
    <w:rsid w:val="00881740"/>
    <w:rsid w:val="00882C01"/>
    <w:rsid w:val="0088515A"/>
    <w:rsid w:val="00885AC5"/>
    <w:rsid w:val="00887164"/>
    <w:rsid w:val="00891AE6"/>
    <w:rsid w:val="00892D51"/>
    <w:rsid w:val="00892FC4"/>
    <w:rsid w:val="008A113C"/>
    <w:rsid w:val="008A1C9E"/>
    <w:rsid w:val="008A1F8B"/>
    <w:rsid w:val="008A379C"/>
    <w:rsid w:val="008A4CE3"/>
    <w:rsid w:val="008A6B9E"/>
    <w:rsid w:val="008A789A"/>
    <w:rsid w:val="008A7B63"/>
    <w:rsid w:val="008B015F"/>
    <w:rsid w:val="008B419B"/>
    <w:rsid w:val="008B66B5"/>
    <w:rsid w:val="008B71AE"/>
    <w:rsid w:val="008C3E6A"/>
    <w:rsid w:val="008C599A"/>
    <w:rsid w:val="008D0BBC"/>
    <w:rsid w:val="008D0DA3"/>
    <w:rsid w:val="008D220D"/>
    <w:rsid w:val="008D318E"/>
    <w:rsid w:val="008D6AE8"/>
    <w:rsid w:val="008D71E9"/>
    <w:rsid w:val="008D73D0"/>
    <w:rsid w:val="008E0228"/>
    <w:rsid w:val="008E4C2C"/>
    <w:rsid w:val="008E7892"/>
    <w:rsid w:val="008F0781"/>
    <w:rsid w:val="008F2676"/>
    <w:rsid w:val="008F4F1F"/>
    <w:rsid w:val="008F5F56"/>
    <w:rsid w:val="008F6903"/>
    <w:rsid w:val="00902794"/>
    <w:rsid w:val="009027E3"/>
    <w:rsid w:val="00902E47"/>
    <w:rsid w:val="009046C7"/>
    <w:rsid w:val="00907148"/>
    <w:rsid w:val="00911DED"/>
    <w:rsid w:val="00912473"/>
    <w:rsid w:val="009126FD"/>
    <w:rsid w:val="00915138"/>
    <w:rsid w:val="00922520"/>
    <w:rsid w:val="0092318D"/>
    <w:rsid w:val="00924970"/>
    <w:rsid w:val="00926593"/>
    <w:rsid w:val="0093286E"/>
    <w:rsid w:val="00933E3B"/>
    <w:rsid w:val="009361B2"/>
    <w:rsid w:val="009365C9"/>
    <w:rsid w:val="0094124B"/>
    <w:rsid w:val="009419C5"/>
    <w:rsid w:val="00944345"/>
    <w:rsid w:val="00954121"/>
    <w:rsid w:val="00954FB2"/>
    <w:rsid w:val="00956CFD"/>
    <w:rsid w:val="009614D5"/>
    <w:rsid w:val="00962EA7"/>
    <w:rsid w:val="00965CF0"/>
    <w:rsid w:val="009757A9"/>
    <w:rsid w:val="0097685A"/>
    <w:rsid w:val="00977842"/>
    <w:rsid w:val="009816D6"/>
    <w:rsid w:val="00982018"/>
    <w:rsid w:val="00983339"/>
    <w:rsid w:val="00984383"/>
    <w:rsid w:val="00984AB4"/>
    <w:rsid w:val="0098747C"/>
    <w:rsid w:val="00993058"/>
    <w:rsid w:val="00993F77"/>
    <w:rsid w:val="0099479E"/>
    <w:rsid w:val="009A1346"/>
    <w:rsid w:val="009A1465"/>
    <w:rsid w:val="009A4AFC"/>
    <w:rsid w:val="009A4E43"/>
    <w:rsid w:val="009B143E"/>
    <w:rsid w:val="009B1F6C"/>
    <w:rsid w:val="009B7607"/>
    <w:rsid w:val="009C0143"/>
    <w:rsid w:val="009C034B"/>
    <w:rsid w:val="009C194B"/>
    <w:rsid w:val="009C1A54"/>
    <w:rsid w:val="009C1BC1"/>
    <w:rsid w:val="009C7B8C"/>
    <w:rsid w:val="009D0A6F"/>
    <w:rsid w:val="009D1C49"/>
    <w:rsid w:val="009D2AA7"/>
    <w:rsid w:val="009D43F3"/>
    <w:rsid w:val="009D4A12"/>
    <w:rsid w:val="009D56BD"/>
    <w:rsid w:val="009D76DE"/>
    <w:rsid w:val="009E1FA8"/>
    <w:rsid w:val="009E306F"/>
    <w:rsid w:val="009E3E80"/>
    <w:rsid w:val="009E4370"/>
    <w:rsid w:val="009E565F"/>
    <w:rsid w:val="009E5FB3"/>
    <w:rsid w:val="009F39F6"/>
    <w:rsid w:val="009F423C"/>
    <w:rsid w:val="009F4407"/>
    <w:rsid w:val="009F7C59"/>
    <w:rsid w:val="00A02195"/>
    <w:rsid w:val="00A0227E"/>
    <w:rsid w:val="00A0556C"/>
    <w:rsid w:val="00A05AB5"/>
    <w:rsid w:val="00A12978"/>
    <w:rsid w:val="00A16CBB"/>
    <w:rsid w:val="00A17193"/>
    <w:rsid w:val="00A174CD"/>
    <w:rsid w:val="00A17EAD"/>
    <w:rsid w:val="00A215ED"/>
    <w:rsid w:val="00A24AB4"/>
    <w:rsid w:val="00A255AF"/>
    <w:rsid w:val="00A26F9F"/>
    <w:rsid w:val="00A31C3A"/>
    <w:rsid w:val="00A32013"/>
    <w:rsid w:val="00A32EDF"/>
    <w:rsid w:val="00A3462E"/>
    <w:rsid w:val="00A35BD7"/>
    <w:rsid w:val="00A37C45"/>
    <w:rsid w:val="00A42FD7"/>
    <w:rsid w:val="00A45948"/>
    <w:rsid w:val="00A4606C"/>
    <w:rsid w:val="00A471E8"/>
    <w:rsid w:val="00A47B28"/>
    <w:rsid w:val="00A509DA"/>
    <w:rsid w:val="00A536F4"/>
    <w:rsid w:val="00A5559A"/>
    <w:rsid w:val="00A621C9"/>
    <w:rsid w:val="00A622C1"/>
    <w:rsid w:val="00A631CD"/>
    <w:rsid w:val="00A633F6"/>
    <w:rsid w:val="00A653D8"/>
    <w:rsid w:val="00A71D9B"/>
    <w:rsid w:val="00A71F37"/>
    <w:rsid w:val="00A72505"/>
    <w:rsid w:val="00A755DF"/>
    <w:rsid w:val="00A7672B"/>
    <w:rsid w:val="00A76A8F"/>
    <w:rsid w:val="00A804B8"/>
    <w:rsid w:val="00A80AD8"/>
    <w:rsid w:val="00A82F75"/>
    <w:rsid w:val="00A843E1"/>
    <w:rsid w:val="00A87543"/>
    <w:rsid w:val="00A87C4E"/>
    <w:rsid w:val="00A90BF1"/>
    <w:rsid w:val="00A92258"/>
    <w:rsid w:val="00A9249A"/>
    <w:rsid w:val="00A92AB0"/>
    <w:rsid w:val="00A93038"/>
    <w:rsid w:val="00A930F4"/>
    <w:rsid w:val="00A945D1"/>
    <w:rsid w:val="00A94BCA"/>
    <w:rsid w:val="00A95CB6"/>
    <w:rsid w:val="00AA36DC"/>
    <w:rsid w:val="00AA5B9A"/>
    <w:rsid w:val="00AB1539"/>
    <w:rsid w:val="00AB31A2"/>
    <w:rsid w:val="00AC150B"/>
    <w:rsid w:val="00AC2834"/>
    <w:rsid w:val="00AC2CFC"/>
    <w:rsid w:val="00AC41A4"/>
    <w:rsid w:val="00AD193C"/>
    <w:rsid w:val="00AD3DCE"/>
    <w:rsid w:val="00AD49B8"/>
    <w:rsid w:val="00AE514C"/>
    <w:rsid w:val="00AE6902"/>
    <w:rsid w:val="00AF03AE"/>
    <w:rsid w:val="00AF352D"/>
    <w:rsid w:val="00AF467F"/>
    <w:rsid w:val="00B02F7E"/>
    <w:rsid w:val="00B03935"/>
    <w:rsid w:val="00B047CC"/>
    <w:rsid w:val="00B0524B"/>
    <w:rsid w:val="00B068B0"/>
    <w:rsid w:val="00B0694A"/>
    <w:rsid w:val="00B103CE"/>
    <w:rsid w:val="00B14691"/>
    <w:rsid w:val="00B14961"/>
    <w:rsid w:val="00B16370"/>
    <w:rsid w:val="00B165EB"/>
    <w:rsid w:val="00B2221A"/>
    <w:rsid w:val="00B23CA0"/>
    <w:rsid w:val="00B23CE1"/>
    <w:rsid w:val="00B24621"/>
    <w:rsid w:val="00B31A1C"/>
    <w:rsid w:val="00B33E68"/>
    <w:rsid w:val="00B34102"/>
    <w:rsid w:val="00B408D0"/>
    <w:rsid w:val="00B43AD7"/>
    <w:rsid w:val="00B512EE"/>
    <w:rsid w:val="00B522B0"/>
    <w:rsid w:val="00B52679"/>
    <w:rsid w:val="00B53886"/>
    <w:rsid w:val="00B552DF"/>
    <w:rsid w:val="00B55481"/>
    <w:rsid w:val="00B55900"/>
    <w:rsid w:val="00B567BA"/>
    <w:rsid w:val="00B568CE"/>
    <w:rsid w:val="00B61464"/>
    <w:rsid w:val="00B629DF"/>
    <w:rsid w:val="00B676B3"/>
    <w:rsid w:val="00B706B1"/>
    <w:rsid w:val="00B707B2"/>
    <w:rsid w:val="00B713A8"/>
    <w:rsid w:val="00B71605"/>
    <w:rsid w:val="00B722D0"/>
    <w:rsid w:val="00B74EFE"/>
    <w:rsid w:val="00B76288"/>
    <w:rsid w:val="00B76736"/>
    <w:rsid w:val="00B769F2"/>
    <w:rsid w:val="00B76B25"/>
    <w:rsid w:val="00B77A65"/>
    <w:rsid w:val="00B77DC7"/>
    <w:rsid w:val="00B805CD"/>
    <w:rsid w:val="00B84747"/>
    <w:rsid w:val="00B85488"/>
    <w:rsid w:val="00B87F06"/>
    <w:rsid w:val="00B94263"/>
    <w:rsid w:val="00B95A0E"/>
    <w:rsid w:val="00B96223"/>
    <w:rsid w:val="00B973FA"/>
    <w:rsid w:val="00B97738"/>
    <w:rsid w:val="00BA33C3"/>
    <w:rsid w:val="00BA3968"/>
    <w:rsid w:val="00BA4C67"/>
    <w:rsid w:val="00BA5732"/>
    <w:rsid w:val="00BA59D8"/>
    <w:rsid w:val="00BA6256"/>
    <w:rsid w:val="00BB0B3D"/>
    <w:rsid w:val="00BB37C8"/>
    <w:rsid w:val="00BB44B3"/>
    <w:rsid w:val="00BB704D"/>
    <w:rsid w:val="00BC186D"/>
    <w:rsid w:val="00BC1F18"/>
    <w:rsid w:val="00BC2C89"/>
    <w:rsid w:val="00BC3FB7"/>
    <w:rsid w:val="00BC4C4D"/>
    <w:rsid w:val="00BD248A"/>
    <w:rsid w:val="00BD294B"/>
    <w:rsid w:val="00BD3A95"/>
    <w:rsid w:val="00BD5A42"/>
    <w:rsid w:val="00BD7206"/>
    <w:rsid w:val="00BD7550"/>
    <w:rsid w:val="00BE15A1"/>
    <w:rsid w:val="00BE42E0"/>
    <w:rsid w:val="00BF3C9E"/>
    <w:rsid w:val="00BF4A7F"/>
    <w:rsid w:val="00BF4BAF"/>
    <w:rsid w:val="00BF4E0B"/>
    <w:rsid w:val="00BF51AD"/>
    <w:rsid w:val="00BF6AF4"/>
    <w:rsid w:val="00C02E9F"/>
    <w:rsid w:val="00C0682E"/>
    <w:rsid w:val="00C0725A"/>
    <w:rsid w:val="00C14DC2"/>
    <w:rsid w:val="00C15008"/>
    <w:rsid w:val="00C1741B"/>
    <w:rsid w:val="00C21475"/>
    <w:rsid w:val="00C21A7E"/>
    <w:rsid w:val="00C23912"/>
    <w:rsid w:val="00C248D1"/>
    <w:rsid w:val="00C24966"/>
    <w:rsid w:val="00C277ED"/>
    <w:rsid w:val="00C305C3"/>
    <w:rsid w:val="00C3314A"/>
    <w:rsid w:val="00C3526F"/>
    <w:rsid w:val="00C35993"/>
    <w:rsid w:val="00C36191"/>
    <w:rsid w:val="00C3709E"/>
    <w:rsid w:val="00C40750"/>
    <w:rsid w:val="00C40F35"/>
    <w:rsid w:val="00C411C4"/>
    <w:rsid w:val="00C41FA3"/>
    <w:rsid w:val="00C43700"/>
    <w:rsid w:val="00C4421F"/>
    <w:rsid w:val="00C51633"/>
    <w:rsid w:val="00C524CB"/>
    <w:rsid w:val="00C532CF"/>
    <w:rsid w:val="00C53869"/>
    <w:rsid w:val="00C54B92"/>
    <w:rsid w:val="00C568CA"/>
    <w:rsid w:val="00C56923"/>
    <w:rsid w:val="00C638C7"/>
    <w:rsid w:val="00C65626"/>
    <w:rsid w:val="00C700F4"/>
    <w:rsid w:val="00C703A9"/>
    <w:rsid w:val="00C737CB"/>
    <w:rsid w:val="00C748ED"/>
    <w:rsid w:val="00C764F0"/>
    <w:rsid w:val="00C86A07"/>
    <w:rsid w:val="00C90166"/>
    <w:rsid w:val="00C90191"/>
    <w:rsid w:val="00C916C9"/>
    <w:rsid w:val="00C928D9"/>
    <w:rsid w:val="00C92D40"/>
    <w:rsid w:val="00C94470"/>
    <w:rsid w:val="00C969DD"/>
    <w:rsid w:val="00CA074B"/>
    <w:rsid w:val="00CA3BBF"/>
    <w:rsid w:val="00CA794A"/>
    <w:rsid w:val="00CB0899"/>
    <w:rsid w:val="00CB3224"/>
    <w:rsid w:val="00CB3237"/>
    <w:rsid w:val="00CB44DC"/>
    <w:rsid w:val="00CB60D9"/>
    <w:rsid w:val="00CC1463"/>
    <w:rsid w:val="00CC212C"/>
    <w:rsid w:val="00CC27AA"/>
    <w:rsid w:val="00CD444E"/>
    <w:rsid w:val="00CD4798"/>
    <w:rsid w:val="00CD68A2"/>
    <w:rsid w:val="00CE002E"/>
    <w:rsid w:val="00CE243D"/>
    <w:rsid w:val="00CE373B"/>
    <w:rsid w:val="00CE4B78"/>
    <w:rsid w:val="00CE5334"/>
    <w:rsid w:val="00CF0557"/>
    <w:rsid w:val="00CF16D4"/>
    <w:rsid w:val="00CF4B75"/>
    <w:rsid w:val="00CF5BBA"/>
    <w:rsid w:val="00CF6DD4"/>
    <w:rsid w:val="00CF7F64"/>
    <w:rsid w:val="00D00F1D"/>
    <w:rsid w:val="00D02186"/>
    <w:rsid w:val="00D05431"/>
    <w:rsid w:val="00D06E45"/>
    <w:rsid w:val="00D07442"/>
    <w:rsid w:val="00D0762F"/>
    <w:rsid w:val="00D07858"/>
    <w:rsid w:val="00D136A0"/>
    <w:rsid w:val="00D159DE"/>
    <w:rsid w:val="00D20F89"/>
    <w:rsid w:val="00D245C0"/>
    <w:rsid w:val="00D248FD"/>
    <w:rsid w:val="00D26C81"/>
    <w:rsid w:val="00D34497"/>
    <w:rsid w:val="00D36D1A"/>
    <w:rsid w:val="00D406FD"/>
    <w:rsid w:val="00D42000"/>
    <w:rsid w:val="00D43444"/>
    <w:rsid w:val="00D446B3"/>
    <w:rsid w:val="00D449C1"/>
    <w:rsid w:val="00D4597F"/>
    <w:rsid w:val="00D4645E"/>
    <w:rsid w:val="00D46663"/>
    <w:rsid w:val="00D46E79"/>
    <w:rsid w:val="00D50422"/>
    <w:rsid w:val="00D508C3"/>
    <w:rsid w:val="00D5746A"/>
    <w:rsid w:val="00D57EAD"/>
    <w:rsid w:val="00D60958"/>
    <w:rsid w:val="00D6205F"/>
    <w:rsid w:val="00D62B9C"/>
    <w:rsid w:val="00D64D68"/>
    <w:rsid w:val="00D656A5"/>
    <w:rsid w:val="00D70DE3"/>
    <w:rsid w:val="00D72CD9"/>
    <w:rsid w:val="00D734E2"/>
    <w:rsid w:val="00D740B8"/>
    <w:rsid w:val="00D75EF0"/>
    <w:rsid w:val="00D76809"/>
    <w:rsid w:val="00D76A23"/>
    <w:rsid w:val="00D81FA1"/>
    <w:rsid w:val="00D825DD"/>
    <w:rsid w:val="00D82B99"/>
    <w:rsid w:val="00D85DC0"/>
    <w:rsid w:val="00D873C1"/>
    <w:rsid w:val="00D87B9A"/>
    <w:rsid w:val="00D91B18"/>
    <w:rsid w:val="00D9508C"/>
    <w:rsid w:val="00DA0E14"/>
    <w:rsid w:val="00DA1090"/>
    <w:rsid w:val="00DA24A2"/>
    <w:rsid w:val="00DA2994"/>
    <w:rsid w:val="00DA47E2"/>
    <w:rsid w:val="00DA682F"/>
    <w:rsid w:val="00DB1204"/>
    <w:rsid w:val="00DB2BE1"/>
    <w:rsid w:val="00DB2F85"/>
    <w:rsid w:val="00DB3127"/>
    <w:rsid w:val="00DB51FA"/>
    <w:rsid w:val="00DB5E7D"/>
    <w:rsid w:val="00DC05DC"/>
    <w:rsid w:val="00DC2A2F"/>
    <w:rsid w:val="00DC4922"/>
    <w:rsid w:val="00DC553D"/>
    <w:rsid w:val="00DC6142"/>
    <w:rsid w:val="00DC65A9"/>
    <w:rsid w:val="00DD0AAA"/>
    <w:rsid w:val="00DD1D82"/>
    <w:rsid w:val="00DD4484"/>
    <w:rsid w:val="00DD6EDE"/>
    <w:rsid w:val="00DE041D"/>
    <w:rsid w:val="00DE0873"/>
    <w:rsid w:val="00DE0901"/>
    <w:rsid w:val="00DE306F"/>
    <w:rsid w:val="00DE3384"/>
    <w:rsid w:val="00DE3C24"/>
    <w:rsid w:val="00DE4617"/>
    <w:rsid w:val="00DE46B0"/>
    <w:rsid w:val="00DE7959"/>
    <w:rsid w:val="00DF2FC9"/>
    <w:rsid w:val="00E03FA1"/>
    <w:rsid w:val="00E040E7"/>
    <w:rsid w:val="00E0700E"/>
    <w:rsid w:val="00E114F3"/>
    <w:rsid w:val="00E12E35"/>
    <w:rsid w:val="00E13370"/>
    <w:rsid w:val="00E14EBE"/>
    <w:rsid w:val="00E21BC2"/>
    <w:rsid w:val="00E232A6"/>
    <w:rsid w:val="00E25C0C"/>
    <w:rsid w:val="00E2624F"/>
    <w:rsid w:val="00E262F3"/>
    <w:rsid w:val="00E2736B"/>
    <w:rsid w:val="00E33540"/>
    <w:rsid w:val="00E339D0"/>
    <w:rsid w:val="00E34291"/>
    <w:rsid w:val="00E34E64"/>
    <w:rsid w:val="00E35426"/>
    <w:rsid w:val="00E373CF"/>
    <w:rsid w:val="00E418BA"/>
    <w:rsid w:val="00E420AD"/>
    <w:rsid w:val="00E44051"/>
    <w:rsid w:val="00E46BA5"/>
    <w:rsid w:val="00E472D4"/>
    <w:rsid w:val="00E47A0A"/>
    <w:rsid w:val="00E5460F"/>
    <w:rsid w:val="00E55040"/>
    <w:rsid w:val="00E57987"/>
    <w:rsid w:val="00E619E8"/>
    <w:rsid w:val="00E72306"/>
    <w:rsid w:val="00E7399B"/>
    <w:rsid w:val="00E739E8"/>
    <w:rsid w:val="00E74500"/>
    <w:rsid w:val="00E76AA5"/>
    <w:rsid w:val="00E810A4"/>
    <w:rsid w:val="00E8156F"/>
    <w:rsid w:val="00E83C2F"/>
    <w:rsid w:val="00E84823"/>
    <w:rsid w:val="00E86D65"/>
    <w:rsid w:val="00E930D2"/>
    <w:rsid w:val="00E93EC2"/>
    <w:rsid w:val="00E971EC"/>
    <w:rsid w:val="00EA0BF8"/>
    <w:rsid w:val="00EA10B1"/>
    <w:rsid w:val="00EA4672"/>
    <w:rsid w:val="00EB181C"/>
    <w:rsid w:val="00EB334E"/>
    <w:rsid w:val="00EB4637"/>
    <w:rsid w:val="00EB5A36"/>
    <w:rsid w:val="00EB5B9E"/>
    <w:rsid w:val="00EC0B2D"/>
    <w:rsid w:val="00EC1398"/>
    <w:rsid w:val="00EC31D7"/>
    <w:rsid w:val="00EC38AF"/>
    <w:rsid w:val="00EC4ABE"/>
    <w:rsid w:val="00EC5126"/>
    <w:rsid w:val="00EC5CB0"/>
    <w:rsid w:val="00EC6260"/>
    <w:rsid w:val="00EC671B"/>
    <w:rsid w:val="00ED1CAA"/>
    <w:rsid w:val="00ED316E"/>
    <w:rsid w:val="00ED4E93"/>
    <w:rsid w:val="00EE0982"/>
    <w:rsid w:val="00EE2C55"/>
    <w:rsid w:val="00EE41EC"/>
    <w:rsid w:val="00EE72D7"/>
    <w:rsid w:val="00EE7608"/>
    <w:rsid w:val="00EF02B2"/>
    <w:rsid w:val="00EF0863"/>
    <w:rsid w:val="00EF0D3A"/>
    <w:rsid w:val="00EF3173"/>
    <w:rsid w:val="00EF3514"/>
    <w:rsid w:val="00EF5E19"/>
    <w:rsid w:val="00F0085B"/>
    <w:rsid w:val="00F03DD7"/>
    <w:rsid w:val="00F0497A"/>
    <w:rsid w:val="00F04F6C"/>
    <w:rsid w:val="00F050C0"/>
    <w:rsid w:val="00F05C8E"/>
    <w:rsid w:val="00F07D3B"/>
    <w:rsid w:val="00F109EB"/>
    <w:rsid w:val="00F1153B"/>
    <w:rsid w:val="00F12D64"/>
    <w:rsid w:val="00F13925"/>
    <w:rsid w:val="00F15314"/>
    <w:rsid w:val="00F1667E"/>
    <w:rsid w:val="00F17ACE"/>
    <w:rsid w:val="00F17DB8"/>
    <w:rsid w:val="00F2302E"/>
    <w:rsid w:val="00F26A2D"/>
    <w:rsid w:val="00F27A79"/>
    <w:rsid w:val="00F30D08"/>
    <w:rsid w:val="00F32954"/>
    <w:rsid w:val="00F350A5"/>
    <w:rsid w:val="00F360F5"/>
    <w:rsid w:val="00F40946"/>
    <w:rsid w:val="00F41086"/>
    <w:rsid w:val="00F42D1D"/>
    <w:rsid w:val="00F44691"/>
    <w:rsid w:val="00F45561"/>
    <w:rsid w:val="00F45FA0"/>
    <w:rsid w:val="00F46777"/>
    <w:rsid w:val="00F47073"/>
    <w:rsid w:val="00F471EF"/>
    <w:rsid w:val="00F50AB4"/>
    <w:rsid w:val="00F50C98"/>
    <w:rsid w:val="00F5221D"/>
    <w:rsid w:val="00F5545D"/>
    <w:rsid w:val="00F60E58"/>
    <w:rsid w:val="00F62A66"/>
    <w:rsid w:val="00F63909"/>
    <w:rsid w:val="00F6491B"/>
    <w:rsid w:val="00F65F2F"/>
    <w:rsid w:val="00F66BE7"/>
    <w:rsid w:val="00F71C94"/>
    <w:rsid w:val="00F72D18"/>
    <w:rsid w:val="00F733E0"/>
    <w:rsid w:val="00F73806"/>
    <w:rsid w:val="00F73C0B"/>
    <w:rsid w:val="00F75FDA"/>
    <w:rsid w:val="00F77220"/>
    <w:rsid w:val="00F778C9"/>
    <w:rsid w:val="00F828EB"/>
    <w:rsid w:val="00F83B83"/>
    <w:rsid w:val="00F856E9"/>
    <w:rsid w:val="00F91EBC"/>
    <w:rsid w:val="00F92C8D"/>
    <w:rsid w:val="00F9691B"/>
    <w:rsid w:val="00F96CC1"/>
    <w:rsid w:val="00FA3008"/>
    <w:rsid w:val="00FA5FE3"/>
    <w:rsid w:val="00FA6077"/>
    <w:rsid w:val="00FA77E7"/>
    <w:rsid w:val="00FB2C55"/>
    <w:rsid w:val="00FB3621"/>
    <w:rsid w:val="00FB3A31"/>
    <w:rsid w:val="00FB52A2"/>
    <w:rsid w:val="00FB63B4"/>
    <w:rsid w:val="00FC09A0"/>
    <w:rsid w:val="00FC325D"/>
    <w:rsid w:val="00FC339E"/>
    <w:rsid w:val="00FC35EA"/>
    <w:rsid w:val="00FC4327"/>
    <w:rsid w:val="00FC49FB"/>
    <w:rsid w:val="00FD049F"/>
    <w:rsid w:val="00FE1673"/>
    <w:rsid w:val="00FE27A4"/>
    <w:rsid w:val="00FE2ACA"/>
    <w:rsid w:val="00FE2C3C"/>
    <w:rsid w:val="00FE315B"/>
    <w:rsid w:val="00FE7EA3"/>
    <w:rsid w:val="00FF0746"/>
    <w:rsid w:val="00FF2660"/>
    <w:rsid w:val="00FF383E"/>
    <w:rsid w:val="00FF43F5"/>
    <w:rsid w:val="00FF6026"/>
    <w:rsid w:val="040168D1"/>
    <w:rsid w:val="09B4687D"/>
    <w:rsid w:val="0FB33569"/>
    <w:rsid w:val="1099E001"/>
    <w:rsid w:val="11B3E1E0"/>
    <w:rsid w:val="170A9DD2"/>
    <w:rsid w:val="18D05918"/>
    <w:rsid w:val="1905675E"/>
    <w:rsid w:val="190B926E"/>
    <w:rsid w:val="19434C61"/>
    <w:rsid w:val="1958ACBD"/>
    <w:rsid w:val="1B530A6C"/>
    <w:rsid w:val="1FBEEBC9"/>
    <w:rsid w:val="20353CAB"/>
    <w:rsid w:val="225DAA7E"/>
    <w:rsid w:val="23494677"/>
    <w:rsid w:val="250ACB92"/>
    <w:rsid w:val="288727C2"/>
    <w:rsid w:val="288A6108"/>
    <w:rsid w:val="28D78DA6"/>
    <w:rsid w:val="2A1FD4BE"/>
    <w:rsid w:val="2F7BCE35"/>
    <w:rsid w:val="3420AE3F"/>
    <w:rsid w:val="36E7BB56"/>
    <w:rsid w:val="3C0DD26A"/>
    <w:rsid w:val="3F0EE72D"/>
    <w:rsid w:val="4216D795"/>
    <w:rsid w:val="4495982A"/>
    <w:rsid w:val="44B77564"/>
    <w:rsid w:val="45ADF715"/>
    <w:rsid w:val="45C20331"/>
    <w:rsid w:val="4C1BA502"/>
    <w:rsid w:val="4FC59EDC"/>
    <w:rsid w:val="503DE061"/>
    <w:rsid w:val="512B8816"/>
    <w:rsid w:val="527FA7DA"/>
    <w:rsid w:val="528FE949"/>
    <w:rsid w:val="530BB453"/>
    <w:rsid w:val="54A2C95F"/>
    <w:rsid w:val="57106895"/>
    <w:rsid w:val="5937C0E4"/>
    <w:rsid w:val="594088A9"/>
    <w:rsid w:val="5C451C5F"/>
    <w:rsid w:val="5E245202"/>
    <w:rsid w:val="5FA26A9F"/>
    <w:rsid w:val="60BDE520"/>
    <w:rsid w:val="633686B6"/>
    <w:rsid w:val="695413D3"/>
    <w:rsid w:val="712C0A6D"/>
    <w:rsid w:val="71E6E887"/>
    <w:rsid w:val="73C7185F"/>
    <w:rsid w:val="75FC7447"/>
    <w:rsid w:val="770D5D1D"/>
    <w:rsid w:val="7948EFE4"/>
    <w:rsid w:val="795C0AA5"/>
    <w:rsid w:val="7B5AC040"/>
    <w:rsid w:val="7D25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7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F3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evel2">
    <w:name w:val="Title level 2"/>
    <w:qFormat/>
    <w:rsid w:val="00E114F3"/>
    <w:pPr>
      <w:spacing w:before="240" w:after="240" w:line="240" w:lineRule="auto"/>
    </w:pPr>
    <w:rPr>
      <w:rFonts w:asciiTheme="majorHAnsi" w:eastAsiaTheme="majorEastAsia" w:hAnsiTheme="majorHAnsi" w:cstheme="majorBidi"/>
      <w:bCs/>
      <w:color w:val="44546A" w:themeColor="text2"/>
      <w:sz w:val="32"/>
      <w:szCs w:val="24"/>
    </w:rPr>
  </w:style>
  <w:style w:type="paragraph" w:styleId="FootnoteText">
    <w:name w:val="footnote text"/>
    <w:basedOn w:val="Normal"/>
    <w:link w:val="FootnoteTextChar"/>
    <w:autoRedefine/>
    <w:qFormat/>
    <w:rsid w:val="003D3122"/>
    <w:pPr>
      <w:spacing w:before="80" w:line="200" w:lineRule="exact"/>
      <w:ind w:left="567" w:hanging="567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D3122"/>
    <w:rPr>
      <w:rFonts w:eastAsiaTheme="minorEastAsia"/>
      <w:sz w:val="18"/>
      <w:szCs w:val="18"/>
      <w:lang w:val="sk-SK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E114F3"/>
    <w:rPr>
      <w:rFonts w:asciiTheme="minorHAnsi" w:hAnsiTheme="minorHAnsi"/>
      <w:sz w:val="22"/>
      <w:szCs w:val="18"/>
      <w:vertAlign w:val="superscript"/>
    </w:rPr>
  </w:style>
  <w:style w:type="character" w:styleId="Hyperlink">
    <w:name w:val="Hyperlink"/>
    <w:basedOn w:val="DefaultParagraphFont"/>
    <w:uiPriority w:val="99"/>
    <w:rsid w:val="00E114F3"/>
    <w:rPr>
      <w:color w:val="0563C1" w:themeColor="hyperlink"/>
      <w:u w:val="single"/>
    </w:rPr>
  </w:style>
  <w:style w:type="paragraph" w:customStyle="1" w:styleId="Annexetitre">
    <w:name w:val="Annexe titre"/>
    <w:basedOn w:val="Normal"/>
    <w:next w:val="Normal"/>
    <w:rsid w:val="00E114F3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Normal"/>
    <w:rsid w:val="00E114F3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114F3"/>
    <w:pPr>
      <w:ind w:left="720"/>
    </w:pPr>
    <w:rPr>
      <w:rFonts w:ascii="Calibri" w:eastAsia="Calibri" w:hAnsi="Calibri" w:cs="Times New Roman"/>
      <w:szCs w:val="22"/>
    </w:rPr>
  </w:style>
  <w:style w:type="paragraph" w:customStyle="1" w:styleId="TableMainHeading">
    <w:name w:val="TableMainHeading"/>
    <w:basedOn w:val="Normal"/>
    <w:next w:val="Normal"/>
    <w:uiPriority w:val="99"/>
    <w:rsid w:val="00E114F3"/>
    <w:pPr>
      <w:spacing w:before="120" w:after="120"/>
    </w:pPr>
    <w:rPr>
      <w:rFonts w:ascii="Segoe UI" w:eastAsia="Times New Roman" w:hAnsi="Segoe UI" w:cs="Times New Roman"/>
      <w:szCs w:val="20"/>
    </w:rPr>
  </w:style>
  <w:style w:type="paragraph" w:customStyle="1" w:styleId="TableTitle">
    <w:name w:val="TableTitle"/>
    <w:basedOn w:val="Normal"/>
    <w:next w:val="Normal"/>
    <w:link w:val="TableTitleChar"/>
    <w:rsid w:val="00E114F3"/>
    <w:pPr>
      <w:keepNext/>
      <w:spacing w:before="120" w:after="240"/>
      <w:jc w:val="center"/>
    </w:pPr>
    <w:rPr>
      <w:rFonts w:ascii="Arial" w:eastAsia="MS Mincho" w:hAnsi="Arial" w:cs="Times New Roman"/>
      <w:b/>
      <w:noProof/>
      <w:szCs w:val="20"/>
    </w:rPr>
  </w:style>
  <w:style w:type="character" w:customStyle="1" w:styleId="TableTitleChar">
    <w:name w:val="TableTitle Char"/>
    <w:basedOn w:val="DefaultParagraphFont"/>
    <w:link w:val="TableTitle"/>
    <w:locked/>
    <w:rsid w:val="00E114F3"/>
    <w:rPr>
      <w:rFonts w:ascii="Arial" w:eastAsia="MS Mincho" w:hAnsi="Arial" w:cs="Times New Roman"/>
      <w:b/>
      <w:noProof/>
      <w:szCs w:val="20"/>
    </w:rPr>
  </w:style>
  <w:style w:type="character" w:customStyle="1" w:styleId="InstructionsTabelleberschrift">
    <w:name w:val="Instructions Tabelle Überschrift"/>
    <w:qFormat/>
    <w:rsid w:val="00E114F3"/>
    <w:rPr>
      <w:rFonts w:ascii="Verdana" w:hAnsi="Verdana" w:cs="Times New Roman"/>
      <w:b/>
      <w:bCs/>
      <w:sz w:val="20"/>
      <w:u w:val="single"/>
    </w:rPr>
  </w:style>
  <w:style w:type="paragraph" w:customStyle="1" w:styleId="InstructionsText2">
    <w:name w:val="Instructions Text 2"/>
    <w:basedOn w:val="Normal"/>
    <w:qFormat/>
    <w:rsid w:val="00E114F3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4F3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4F3"/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241FEC"/>
    <w:pPr>
      <w:spacing w:after="0" w:line="240" w:lineRule="auto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95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D07"/>
    <w:rPr>
      <w:rFonts w:eastAsiaTheme="minorEastAsia"/>
      <w:sz w:val="20"/>
      <w:szCs w:val="20"/>
      <w:lang w:val="sk-SK"/>
    </w:rPr>
  </w:style>
  <w:style w:type="paragraph" w:customStyle="1" w:styleId="numberedparagraph">
    <w:name w:val="numbered paragraph"/>
    <w:basedOn w:val="Normal"/>
    <w:qFormat/>
    <w:rsid w:val="00095D07"/>
    <w:pPr>
      <w:numPr>
        <w:numId w:val="7"/>
      </w:numPr>
      <w:spacing w:before="240" w:after="120" w:line="276" w:lineRule="auto"/>
      <w:jc w:val="both"/>
    </w:pPr>
  </w:style>
  <w:style w:type="paragraph" w:customStyle="1" w:styleId="paragraph">
    <w:name w:val="paragraph"/>
    <w:basedOn w:val="Normal"/>
    <w:rsid w:val="00095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95D07"/>
  </w:style>
  <w:style w:type="character" w:customStyle="1" w:styleId="eop">
    <w:name w:val="eop"/>
    <w:basedOn w:val="DefaultParagraphFont"/>
    <w:rsid w:val="00095D07"/>
  </w:style>
  <w:style w:type="character" w:styleId="Mention">
    <w:name w:val="Mention"/>
    <w:basedOn w:val="DefaultParagraphFont"/>
    <w:uiPriority w:val="99"/>
    <w:unhideWhenUsed/>
    <w:rsid w:val="00095D07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00"/>
    <w:rPr>
      <w:rFonts w:eastAsiaTheme="minorEastAsia"/>
      <w:b/>
      <w:bCs/>
      <w:sz w:val="20"/>
      <w:szCs w:val="20"/>
      <w:lang w:val="sk-SK"/>
    </w:rPr>
  </w:style>
  <w:style w:type="paragraph" w:customStyle="1" w:styleId="Style1">
    <w:name w:val="Style1"/>
    <w:basedOn w:val="ListParagraph"/>
    <w:qFormat/>
    <w:rsid w:val="00232265"/>
    <w:pPr>
      <w:numPr>
        <w:numId w:val="11"/>
      </w:numPr>
      <w:spacing w:before="60" w:after="120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OJ:L_202401623" TargetMode="External"/><Relationship Id="rId1" Type="http://schemas.openxmlformats.org/officeDocument/2006/relationships/hyperlink" Target="https://eur-lex.europa.eu/legal-content/EN/AUTO/?uri=OJ:L:2013:176: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786269AE2424A8D342950147AB377" ma:contentTypeVersion="3" ma:contentTypeDescription="Create a new document." ma:contentTypeScope="" ma:versionID="1c6d71e8fe77cb1d31a72a025cb5529a">
  <xsd:schema xmlns:xsd="http://www.w3.org/2001/XMLSchema" xmlns:xs="http://www.w3.org/2001/XMLSchema" xmlns:p="http://schemas.microsoft.com/office/2006/metadata/properties" xmlns:ns2="d520683a-cb21-4d3a-9123-58e4528859ba" targetNamespace="http://schemas.microsoft.com/office/2006/metadata/properties" ma:root="true" ma:fieldsID="cdbf0337ca5db9b749df9a74d0371656" ns2:_="">
    <xsd:import namespace="d520683a-cb21-4d3a-9123-58e452885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683a-cb21-4d3a-9123-58e452885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8D16-5A62-4E4D-96C3-F6E767B7E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FD491-C717-43CD-8132-4648BC01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683a-cb21-4d3a-9123-58e45288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A13D-5788-405C-9534-7091A4501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897FCB-9E4A-4741-9004-D2C005DA78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4902</Words>
  <Characters>26814</Characters>
  <Application>Microsoft Office Word</Application>
  <DocSecurity>0</DocSecurity>
  <Lines>223</Lines>
  <Paragraphs>63</Paragraphs>
  <ScaleCrop>false</ScaleCrop>
  <Manager/>
  <Company/>
  <LinksUpToDate>false</LinksUpToDate>
  <CharactersWithSpaces>31653</CharactersWithSpaces>
  <SharedDoc>false</SharedDoc>
  <HLinks>
    <vt:vector size="36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https://eur-lex.europa.eu/legal-content/EN/TXT/?uri=OJ:L_202401623</vt:lpwstr>
      </vt:variant>
      <vt:variant>
        <vt:lpwstr/>
      </vt:variant>
      <vt:variant>
        <vt:i4>7602297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https://eur-lex.europa.eu/legal-content/EN/AUTO/?uri=OJ:L:2013:176:TOC</vt:lpwstr>
      </vt:variant>
      <vt:variant>
        <vt:lpwstr/>
      </vt:variant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mailto:anca.dinita@eba.europa.eu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2025-12-08T10:33:00Z</dcterms:created>
  <dcterms:modified xsi:type="dcterms:W3CDTF">2025-12-22T16:22:00Z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0x01010061D786269AE2424A8D342950147AB377</vt:lpwstr>
  </property>
</Properties>
</file>