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9EF4D" w14:textId="2FBDAFE8" w:rsidR="00E114F3" w:rsidRPr="0099038F" w:rsidRDefault="00E114F3" w:rsidP="0099038F">
      <w:pPr>
        <w:pStyle w:val="Annexetitre"/>
        <w:spacing w:before="0"/>
      </w:pPr>
      <w:r w:rsidRPr="0099038F">
        <w:t>ANEXA XXXII – Instrucțiuni pentru modelele de publicare a informațiilor privind riscul operațional</w:t>
      </w:r>
    </w:p>
    <w:p w14:paraId="672A6659" w14:textId="77777777" w:rsidR="00E114F3" w:rsidRPr="0099038F" w:rsidRDefault="00E114F3" w:rsidP="00E114F3">
      <w:pPr>
        <w:spacing w:after="120"/>
        <w:jc w:val="both"/>
        <w:rPr>
          <w:rFonts w:ascii="Times New Roman" w:hAnsi="Times New Roman"/>
          <w:b/>
          <w:bCs/>
          <w:sz w:val="24"/>
        </w:rPr>
      </w:pPr>
    </w:p>
    <w:p w14:paraId="384DD143" w14:textId="77777777" w:rsidR="00E114F3" w:rsidRPr="0099038F" w:rsidRDefault="00E114F3" w:rsidP="00E114F3">
      <w:pPr>
        <w:spacing w:after="120"/>
        <w:rPr>
          <w:rFonts w:ascii="Times New Roman" w:hAnsi="Times New Roman"/>
          <w:bCs/>
          <w:sz w:val="24"/>
        </w:rPr>
      </w:pPr>
      <w:r w:rsidRPr="0099038F">
        <w:rPr>
          <w:rFonts w:ascii="Times New Roman" w:hAnsi="Times New Roman"/>
          <w:b/>
          <w:sz w:val="24"/>
        </w:rPr>
        <w:t xml:space="preserve">Tabelul EU ORA – Informații calitative privind riscul operațional. </w:t>
      </w:r>
      <w:r w:rsidRPr="0099038F">
        <w:rPr>
          <w:rFonts w:ascii="Times New Roman" w:hAnsi="Times New Roman"/>
          <w:sz w:val="24"/>
        </w:rPr>
        <w:t>Tabel flexibil</w:t>
      </w:r>
    </w:p>
    <w:p w14:paraId="2E1E5572" w14:textId="6D56D6EF" w:rsidR="00E114F3" w:rsidRPr="0099038F" w:rsidRDefault="2A1FD4BE" w:rsidP="44B77564">
      <w:pPr>
        <w:numPr>
          <w:ilvl w:val="0"/>
          <w:numId w:val="1"/>
        </w:numPr>
        <w:spacing w:after="120"/>
        <w:jc w:val="both"/>
        <w:rPr>
          <w:rFonts w:ascii="Calibri" w:eastAsia="Times New Roman" w:hAnsi="Calibri" w:cs="Times New Roman"/>
          <w:color w:val="000000"/>
        </w:rPr>
      </w:pPr>
      <w:r w:rsidRPr="0099038F">
        <w:rPr>
          <w:rFonts w:ascii="Times New Roman" w:hAnsi="Times New Roman"/>
          <w:sz w:val="24"/>
        </w:rPr>
        <w:t>Instituțiile publică informațiile incluse în acest tabel în temeiul articolului 435 alineatul (1) și al articolului 446 alineatul (1) litera (a) din Regulamentul (UE) nr. 575/2013</w:t>
      </w:r>
      <w:r w:rsidR="00E114F3" w:rsidRPr="0099038F">
        <w:rPr>
          <w:rStyle w:val="FootnoteReference"/>
          <w:rFonts w:ascii="Times New Roman" w:hAnsi="Times New Roman"/>
          <w:sz w:val="24"/>
          <w:szCs w:val="24"/>
        </w:rPr>
        <w:footnoteReference w:id="2"/>
      </w:r>
      <w:r w:rsidRPr="0099038F">
        <w:rPr>
          <w:rFonts w:ascii="Times New Roman" w:hAnsi="Times New Roman"/>
          <w:sz w:val="24"/>
        </w:rPr>
        <w:t>.</w:t>
      </w:r>
    </w:p>
    <w:p w14:paraId="728254AD" w14:textId="52B3E768" w:rsidR="00E114F3" w:rsidRPr="0099038F" w:rsidRDefault="00E114F3" w:rsidP="00E114F3">
      <w:pPr>
        <w:numPr>
          <w:ilvl w:val="0"/>
          <w:numId w:val="1"/>
        </w:numPr>
        <w:spacing w:after="120"/>
        <w:jc w:val="both"/>
        <w:rPr>
          <w:rFonts w:ascii="Times New Roman" w:hAnsi="Times New Roman"/>
          <w:bCs/>
          <w:sz w:val="24"/>
        </w:rPr>
      </w:pPr>
      <w:r w:rsidRPr="0099038F">
        <w:rPr>
          <w:rFonts w:ascii="Times New Roman" w:hAnsi="Times New Roman"/>
          <w:sz w:val="24"/>
        </w:rPr>
        <w:t>Instituțiile aplică instrucțiunile furnizate mai jos în prezenta anexă pentru a completa tabelul de publicare a informațiilor privind riscul operațional EU ORA, astfel cum este prezentat în anexa XXXI la soluțiile informatice ale ABE.</w:t>
      </w:r>
    </w:p>
    <w:tbl>
      <w:tblPr>
        <w:tblW w:w="8926" w:type="dxa"/>
        <w:tblLook w:val="04A0" w:firstRow="1" w:lastRow="0" w:firstColumn="1" w:lastColumn="0" w:noHBand="0" w:noVBand="1"/>
      </w:tblPr>
      <w:tblGrid>
        <w:gridCol w:w="1555"/>
        <w:gridCol w:w="7371"/>
      </w:tblGrid>
      <w:tr w:rsidR="00E114F3" w:rsidRPr="0099038F" w14:paraId="4FA5DD43" w14:textId="77777777" w:rsidTr="00581319">
        <w:trPr>
          <w:trHeight w:val="20"/>
        </w:trPr>
        <w:tc>
          <w:tcPr>
            <w:tcW w:w="892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879875" w14:textId="77777777" w:rsidR="00E114F3" w:rsidRPr="0099038F" w:rsidRDefault="00E114F3">
            <w:pPr>
              <w:spacing w:after="120"/>
              <w:rPr>
                <w:rFonts w:ascii="Times New Roman" w:eastAsia="Times New Roman" w:hAnsi="Times New Roman" w:cs="Times New Roman"/>
                <w:b/>
                <w:bCs/>
                <w:color w:val="000000"/>
                <w:sz w:val="24"/>
              </w:rPr>
            </w:pPr>
            <w:r w:rsidRPr="0099038F">
              <w:rPr>
                <w:rFonts w:ascii="Times New Roman" w:hAnsi="Times New Roman"/>
                <w:b/>
                <w:color w:val="000000"/>
                <w:sz w:val="24"/>
              </w:rPr>
              <w:t>Referințe juridice și instrucțiuni</w:t>
            </w:r>
          </w:p>
        </w:tc>
      </w:tr>
      <w:tr w:rsidR="00E114F3" w:rsidRPr="0099038F" w14:paraId="0BB6A5B1" w14:textId="77777777" w:rsidTr="00581319">
        <w:trPr>
          <w:trHeight w:val="20"/>
        </w:trPr>
        <w:tc>
          <w:tcPr>
            <w:tcW w:w="1555"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A522B50" w14:textId="77777777" w:rsidR="00E114F3" w:rsidRPr="0099038F" w:rsidRDefault="00E114F3">
            <w:pPr>
              <w:spacing w:after="120"/>
              <w:rPr>
                <w:rFonts w:ascii="Times New Roman" w:eastAsia="Times New Roman" w:hAnsi="Times New Roman" w:cs="Times New Roman"/>
                <w:b/>
                <w:bCs/>
                <w:color w:val="000000"/>
                <w:sz w:val="24"/>
              </w:rPr>
            </w:pPr>
            <w:r w:rsidRPr="0099038F">
              <w:rPr>
                <w:rFonts w:ascii="Times New Roman" w:hAnsi="Times New Roman"/>
                <w:b/>
                <w:color w:val="000000"/>
                <w:sz w:val="24"/>
              </w:rPr>
              <w:t>Număr rând</w:t>
            </w:r>
          </w:p>
        </w:tc>
        <w:tc>
          <w:tcPr>
            <w:tcW w:w="737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BF504D8" w14:textId="77777777" w:rsidR="00E114F3" w:rsidRPr="0099038F" w:rsidRDefault="00E114F3">
            <w:pPr>
              <w:spacing w:after="120"/>
              <w:rPr>
                <w:rFonts w:ascii="Times New Roman" w:eastAsia="Times New Roman" w:hAnsi="Times New Roman" w:cs="Times New Roman"/>
                <w:b/>
                <w:bCs/>
                <w:color w:val="000000"/>
                <w:sz w:val="24"/>
              </w:rPr>
            </w:pPr>
            <w:r w:rsidRPr="0099038F">
              <w:rPr>
                <w:rFonts w:ascii="Times New Roman" w:hAnsi="Times New Roman"/>
                <w:b/>
                <w:color w:val="000000"/>
                <w:sz w:val="24"/>
              </w:rPr>
              <w:t>Explicație</w:t>
            </w:r>
          </w:p>
        </w:tc>
      </w:tr>
      <w:tr w:rsidR="00E114F3" w:rsidRPr="0099038F" w14:paraId="70735BA0" w14:textId="77777777" w:rsidTr="00581319">
        <w:trPr>
          <w:trHeight w:val="20"/>
        </w:trPr>
        <w:tc>
          <w:tcPr>
            <w:tcW w:w="1555" w:type="dxa"/>
            <w:tcBorders>
              <w:top w:val="single" w:sz="4" w:space="0" w:color="auto"/>
              <w:left w:val="single" w:sz="4" w:space="0" w:color="auto"/>
              <w:bottom w:val="single" w:sz="4" w:space="0" w:color="auto"/>
              <w:right w:val="single" w:sz="4" w:space="0" w:color="auto"/>
            </w:tcBorders>
            <w:vAlign w:val="center"/>
            <w:hideMark/>
          </w:tcPr>
          <w:p w14:paraId="16325523" w14:textId="1B122A28" w:rsidR="00E114F3" w:rsidRPr="0099038F" w:rsidRDefault="00E114F3">
            <w:pPr>
              <w:spacing w:after="120"/>
              <w:jc w:val="center"/>
              <w:rPr>
                <w:rFonts w:ascii="Times New Roman" w:eastAsia="Times New Roman" w:hAnsi="Times New Roman" w:cs="Times New Roman"/>
                <w:color w:val="000000"/>
                <w:sz w:val="24"/>
              </w:rPr>
            </w:pPr>
            <w:r w:rsidRPr="0099038F">
              <w:rPr>
                <w:rFonts w:ascii="Times New Roman" w:hAnsi="Times New Roman"/>
                <w:color w:val="000000"/>
                <w:sz w:val="24"/>
              </w:rPr>
              <w:t>(a)</w:t>
            </w:r>
          </w:p>
        </w:tc>
        <w:tc>
          <w:tcPr>
            <w:tcW w:w="7371" w:type="dxa"/>
            <w:tcBorders>
              <w:top w:val="single" w:sz="4" w:space="0" w:color="auto"/>
              <w:left w:val="nil"/>
              <w:bottom w:val="single" w:sz="4" w:space="0" w:color="auto"/>
              <w:right w:val="single" w:sz="4" w:space="0" w:color="auto"/>
            </w:tcBorders>
            <w:vAlign w:val="center"/>
            <w:hideMark/>
          </w:tcPr>
          <w:p w14:paraId="5D80E5B9" w14:textId="77777777" w:rsidR="00E114F3" w:rsidRPr="0099038F" w:rsidRDefault="00E114F3">
            <w:pPr>
              <w:spacing w:after="120"/>
              <w:jc w:val="both"/>
              <w:rPr>
                <w:rFonts w:ascii="Times New Roman" w:eastAsia="Times New Roman" w:hAnsi="Times New Roman" w:cs="Times New Roman"/>
                <w:b/>
                <w:color w:val="000000"/>
                <w:sz w:val="24"/>
              </w:rPr>
            </w:pPr>
            <w:r w:rsidRPr="0099038F">
              <w:rPr>
                <w:rFonts w:ascii="Times New Roman" w:hAnsi="Times New Roman"/>
                <w:b/>
                <w:color w:val="000000"/>
                <w:sz w:val="24"/>
              </w:rPr>
              <w:t>Publicarea obiectivelor și politicilor privind administrarea riscurilor</w:t>
            </w:r>
          </w:p>
          <w:p w14:paraId="65684A44" w14:textId="36ED8962" w:rsidR="00E114F3" w:rsidRPr="0099038F" w:rsidRDefault="2A1FD4BE">
            <w:pPr>
              <w:spacing w:after="120"/>
              <w:rPr>
                <w:rFonts w:ascii="Times New Roman" w:eastAsia="Times New Roman" w:hAnsi="Times New Roman" w:cs="Times New Roman"/>
                <w:color w:val="000000"/>
                <w:sz w:val="24"/>
              </w:rPr>
            </w:pPr>
            <w:r w:rsidRPr="0099038F">
              <w:rPr>
                <w:rFonts w:ascii="Times New Roman" w:hAnsi="Times New Roman"/>
                <w:color w:val="000000" w:themeColor="text1"/>
                <w:sz w:val="24"/>
              </w:rPr>
              <w:t>În conformitate cu articolul 435 alineatul (1) litera (a) din Regulamentul (UE) nr. 575/2013, instituțiile publică obiectivele, politicile, cadrele și orientările lor pentru administrarea riscului operațional, inclusiv strategiile și procesele de administrare a acestui risc.</w:t>
            </w:r>
          </w:p>
        </w:tc>
      </w:tr>
      <w:tr w:rsidR="00E114F3" w:rsidRPr="0099038F" w14:paraId="37A6A0B3" w14:textId="77777777" w:rsidTr="00581319">
        <w:trPr>
          <w:trHeight w:val="20"/>
        </w:trPr>
        <w:tc>
          <w:tcPr>
            <w:tcW w:w="1555" w:type="dxa"/>
            <w:tcBorders>
              <w:top w:val="nil"/>
              <w:left w:val="single" w:sz="4" w:space="0" w:color="auto"/>
              <w:bottom w:val="single" w:sz="4" w:space="0" w:color="auto"/>
              <w:right w:val="single" w:sz="4" w:space="0" w:color="auto"/>
            </w:tcBorders>
            <w:vAlign w:val="center"/>
          </w:tcPr>
          <w:p w14:paraId="0EC478CA" w14:textId="22E7EFF7" w:rsidR="00E114F3" w:rsidRPr="0099038F" w:rsidRDefault="00E114F3">
            <w:pPr>
              <w:spacing w:after="120"/>
              <w:jc w:val="center"/>
              <w:rPr>
                <w:rFonts w:ascii="Times New Roman" w:eastAsia="Times New Roman" w:hAnsi="Times New Roman" w:cs="Times New Roman"/>
                <w:color w:val="000000"/>
                <w:sz w:val="24"/>
              </w:rPr>
            </w:pPr>
            <w:r w:rsidRPr="0099038F">
              <w:rPr>
                <w:rFonts w:ascii="Times New Roman" w:hAnsi="Times New Roman"/>
                <w:color w:val="000000"/>
                <w:sz w:val="24"/>
              </w:rPr>
              <w:t>(b)</w:t>
            </w:r>
          </w:p>
        </w:tc>
        <w:tc>
          <w:tcPr>
            <w:tcW w:w="7371" w:type="dxa"/>
            <w:tcBorders>
              <w:top w:val="single" w:sz="4" w:space="0" w:color="auto"/>
              <w:left w:val="nil"/>
              <w:bottom w:val="single" w:sz="4" w:space="0" w:color="auto"/>
              <w:right w:val="single" w:sz="4" w:space="0" w:color="auto"/>
            </w:tcBorders>
            <w:vAlign w:val="center"/>
          </w:tcPr>
          <w:p w14:paraId="4EEC32F9" w14:textId="77777777" w:rsidR="00885AC5" w:rsidRPr="0099038F" w:rsidRDefault="00885AC5" w:rsidP="00885AC5">
            <w:pPr>
              <w:spacing w:before="120" w:after="120"/>
              <w:jc w:val="both"/>
              <w:rPr>
                <w:rFonts w:ascii="Times New Roman" w:eastAsia="Times New Roman" w:hAnsi="Times New Roman" w:cs="Times New Roman"/>
                <w:b/>
                <w:color w:val="000000"/>
                <w:sz w:val="24"/>
              </w:rPr>
            </w:pPr>
            <w:r w:rsidRPr="0099038F">
              <w:rPr>
                <w:rFonts w:ascii="Times New Roman" w:hAnsi="Times New Roman"/>
                <w:b/>
                <w:color w:val="000000"/>
                <w:sz w:val="24"/>
              </w:rPr>
              <w:t>Publicarea de informații referitoare la structura și organizarea funcției de administrare a riscului operațional</w:t>
            </w:r>
          </w:p>
          <w:p w14:paraId="739779F0" w14:textId="092C61F0" w:rsidR="00E114F3" w:rsidRPr="0099038F" w:rsidRDefault="00885AC5">
            <w:pPr>
              <w:spacing w:after="120"/>
              <w:jc w:val="both"/>
              <w:rPr>
                <w:rFonts w:ascii="Times New Roman" w:eastAsia="Times New Roman" w:hAnsi="Times New Roman" w:cs="Times New Roman"/>
                <w:color w:val="000000"/>
                <w:sz w:val="24"/>
              </w:rPr>
            </w:pPr>
            <w:r w:rsidRPr="0099038F">
              <w:rPr>
                <w:rFonts w:ascii="Times New Roman" w:hAnsi="Times New Roman"/>
                <w:color w:val="000000" w:themeColor="text1"/>
                <w:sz w:val="24"/>
              </w:rPr>
              <w:t>În conformitate cu articolul 435 alineatul (1) litera (b) din Regulamentul (UE) nr. 575/2013, instituțiile publică informații privind structura și organizarea funcției de administrare a riscului operațional, inclusiv informații privind baza autorității funcției de administrare a riscului operațional, a competențelor și a responsabilității sale în conformitate cu documentele constitutive și statutare ale instituției, precum și privind funcția de control.</w:t>
            </w:r>
          </w:p>
        </w:tc>
      </w:tr>
      <w:tr w:rsidR="00E114F3" w:rsidRPr="0099038F" w14:paraId="30DA08C8" w14:textId="77777777" w:rsidTr="00581319">
        <w:trPr>
          <w:trHeight w:val="20"/>
        </w:trPr>
        <w:tc>
          <w:tcPr>
            <w:tcW w:w="1555" w:type="dxa"/>
            <w:tcBorders>
              <w:top w:val="nil"/>
              <w:left w:val="single" w:sz="4" w:space="0" w:color="auto"/>
              <w:bottom w:val="single" w:sz="4" w:space="0" w:color="auto"/>
              <w:right w:val="single" w:sz="4" w:space="0" w:color="auto"/>
            </w:tcBorders>
            <w:vAlign w:val="center"/>
          </w:tcPr>
          <w:p w14:paraId="0F95AF50" w14:textId="6B123167" w:rsidR="00E114F3" w:rsidRPr="0099038F" w:rsidRDefault="00E114F3">
            <w:pPr>
              <w:spacing w:after="120"/>
              <w:jc w:val="center"/>
              <w:rPr>
                <w:rFonts w:ascii="Times New Roman" w:eastAsia="Times New Roman" w:hAnsi="Times New Roman" w:cs="Times New Roman"/>
                <w:color w:val="000000"/>
                <w:sz w:val="24"/>
              </w:rPr>
            </w:pPr>
            <w:r w:rsidRPr="0099038F">
              <w:rPr>
                <w:rFonts w:ascii="Times New Roman" w:hAnsi="Times New Roman"/>
                <w:color w:val="000000"/>
                <w:sz w:val="24"/>
              </w:rPr>
              <w:t>(c)</w:t>
            </w:r>
          </w:p>
        </w:tc>
        <w:tc>
          <w:tcPr>
            <w:tcW w:w="7371" w:type="dxa"/>
            <w:tcBorders>
              <w:top w:val="single" w:sz="4" w:space="0" w:color="auto"/>
              <w:left w:val="nil"/>
              <w:bottom w:val="single" w:sz="4" w:space="0" w:color="auto"/>
              <w:right w:val="single" w:sz="4" w:space="0" w:color="auto"/>
            </w:tcBorders>
            <w:vAlign w:val="center"/>
          </w:tcPr>
          <w:p w14:paraId="1146D347" w14:textId="77777777" w:rsidR="005129A3" w:rsidRPr="0099038F" w:rsidRDefault="005129A3" w:rsidP="005129A3">
            <w:pPr>
              <w:spacing w:before="120" w:after="120"/>
              <w:jc w:val="both"/>
              <w:rPr>
                <w:rFonts w:ascii="Times New Roman" w:eastAsia="Times New Roman" w:hAnsi="Times New Roman" w:cs="Times New Roman"/>
                <w:b/>
                <w:color w:val="000000"/>
                <w:sz w:val="24"/>
              </w:rPr>
            </w:pPr>
            <w:r w:rsidRPr="0099038F">
              <w:rPr>
                <w:rFonts w:ascii="Times New Roman" w:hAnsi="Times New Roman"/>
                <w:b/>
                <w:color w:val="000000"/>
                <w:sz w:val="24"/>
              </w:rPr>
              <w:t>Descrierea sferei de cuprindere și a tipului sistemului de măsurare</w:t>
            </w:r>
          </w:p>
          <w:p w14:paraId="2426746E" w14:textId="624D178E" w:rsidR="00E114F3" w:rsidRPr="0099038F" w:rsidRDefault="005129A3">
            <w:pPr>
              <w:spacing w:after="120"/>
              <w:jc w:val="both"/>
              <w:rPr>
                <w:rFonts w:ascii="Times New Roman" w:eastAsia="Times New Roman" w:hAnsi="Times New Roman" w:cs="Times New Roman"/>
                <w:color w:val="000000"/>
                <w:sz w:val="24"/>
              </w:rPr>
            </w:pPr>
            <w:r w:rsidRPr="0099038F">
              <w:rPr>
                <w:rFonts w:ascii="Times New Roman" w:hAnsi="Times New Roman"/>
                <w:color w:val="000000" w:themeColor="text1"/>
                <w:sz w:val="24"/>
              </w:rPr>
              <w:t>În conformitate cu articolul 435 alineatul (1) litera (c) din Regulamentul (UE) nr. 575/2013, instituțiile publică informații despre sfera de cuprindere și tipul sistemului de măsurare a riscului operațional (și anume sistemele și datele utilizate pentru măsurarea riscului operațional în vederea estimării cerinței de capital pentru riscul operațional).</w:t>
            </w:r>
          </w:p>
        </w:tc>
      </w:tr>
      <w:tr w:rsidR="00E114F3" w:rsidRPr="0099038F" w14:paraId="530FAA18" w14:textId="77777777" w:rsidTr="00581319">
        <w:trPr>
          <w:trHeight w:val="20"/>
        </w:trPr>
        <w:tc>
          <w:tcPr>
            <w:tcW w:w="1555" w:type="dxa"/>
            <w:tcBorders>
              <w:top w:val="single" w:sz="4" w:space="0" w:color="auto"/>
              <w:left w:val="single" w:sz="4" w:space="0" w:color="auto"/>
              <w:bottom w:val="single" w:sz="4" w:space="0" w:color="auto"/>
              <w:right w:val="single" w:sz="4" w:space="0" w:color="auto"/>
            </w:tcBorders>
            <w:vAlign w:val="center"/>
          </w:tcPr>
          <w:p w14:paraId="6543C3DB" w14:textId="0C63D270" w:rsidR="00E114F3" w:rsidRPr="0099038F" w:rsidRDefault="00E114F3">
            <w:pPr>
              <w:spacing w:after="120"/>
              <w:jc w:val="center"/>
              <w:rPr>
                <w:rFonts w:ascii="Times New Roman" w:eastAsia="Times New Roman" w:hAnsi="Times New Roman" w:cs="Times New Roman"/>
                <w:color w:val="000000"/>
                <w:sz w:val="24"/>
              </w:rPr>
            </w:pPr>
            <w:r w:rsidRPr="0099038F">
              <w:rPr>
                <w:rFonts w:ascii="Times New Roman" w:hAnsi="Times New Roman"/>
                <w:color w:val="000000"/>
                <w:sz w:val="24"/>
              </w:rPr>
              <w:t>(d)</w:t>
            </w:r>
          </w:p>
        </w:tc>
        <w:tc>
          <w:tcPr>
            <w:tcW w:w="7371" w:type="dxa"/>
            <w:tcBorders>
              <w:top w:val="single" w:sz="4" w:space="0" w:color="auto"/>
              <w:left w:val="nil"/>
              <w:bottom w:val="single" w:sz="4" w:space="0" w:color="auto"/>
              <w:right w:val="single" w:sz="4" w:space="0" w:color="auto"/>
            </w:tcBorders>
            <w:vAlign w:val="center"/>
          </w:tcPr>
          <w:p w14:paraId="7A52CC0D" w14:textId="77777777" w:rsidR="005D02AE" w:rsidRPr="0099038F" w:rsidRDefault="005D02AE" w:rsidP="005D02AE">
            <w:pPr>
              <w:spacing w:before="120" w:after="120"/>
              <w:jc w:val="both"/>
              <w:rPr>
                <w:rFonts w:ascii="Times New Roman" w:eastAsia="Times New Roman" w:hAnsi="Times New Roman" w:cs="Times New Roman"/>
                <w:b/>
                <w:color w:val="000000"/>
                <w:sz w:val="24"/>
              </w:rPr>
            </w:pPr>
            <w:r w:rsidRPr="0099038F">
              <w:rPr>
                <w:rFonts w:ascii="Times New Roman" w:hAnsi="Times New Roman"/>
                <w:b/>
                <w:color w:val="000000" w:themeColor="text1"/>
                <w:sz w:val="24"/>
              </w:rPr>
              <w:t>Descrierea sferei de cuprindere și a tipului cadrului de raportare a riscului operațional</w:t>
            </w:r>
          </w:p>
          <w:p w14:paraId="1EE9A69D" w14:textId="428D8604" w:rsidR="00E114F3" w:rsidRPr="0099038F" w:rsidRDefault="005D02AE">
            <w:pPr>
              <w:spacing w:after="120"/>
              <w:jc w:val="both"/>
              <w:rPr>
                <w:rFonts w:ascii="Times New Roman" w:eastAsia="Times New Roman" w:hAnsi="Times New Roman" w:cs="Times New Roman"/>
                <w:color w:val="000000"/>
                <w:sz w:val="24"/>
              </w:rPr>
            </w:pPr>
            <w:r w:rsidRPr="0099038F">
              <w:rPr>
                <w:rFonts w:ascii="Times New Roman" w:hAnsi="Times New Roman"/>
                <w:color w:val="000000" w:themeColor="text1"/>
                <w:sz w:val="24"/>
              </w:rPr>
              <w:t xml:space="preserve">În conformitate cu articolul 435 alineatul (1) litera (c) din Regulamentul (UE) nr. 575/2013, instituțiile publică informații despre </w:t>
            </w:r>
            <w:r w:rsidRPr="0099038F">
              <w:rPr>
                <w:rFonts w:ascii="Times New Roman" w:hAnsi="Times New Roman"/>
                <w:color w:val="000000" w:themeColor="text1"/>
                <w:sz w:val="24"/>
              </w:rPr>
              <w:lastRenderedPageBreak/>
              <w:t>sfera de cuprindere și tipul cadrului de reportare a riscului operațional adresate conducerii executive și consiliului de administrație.</w:t>
            </w:r>
          </w:p>
        </w:tc>
      </w:tr>
      <w:tr w:rsidR="00E5460F" w:rsidRPr="0099038F" w14:paraId="1120D006" w14:textId="77777777" w:rsidTr="00581319">
        <w:trPr>
          <w:trHeight w:val="20"/>
        </w:trPr>
        <w:tc>
          <w:tcPr>
            <w:tcW w:w="1555" w:type="dxa"/>
            <w:tcBorders>
              <w:top w:val="single" w:sz="4" w:space="0" w:color="auto"/>
              <w:left w:val="single" w:sz="4" w:space="0" w:color="auto"/>
              <w:bottom w:val="single" w:sz="4" w:space="0" w:color="auto"/>
              <w:right w:val="single" w:sz="4" w:space="0" w:color="auto"/>
            </w:tcBorders>
            <w:vAlign w:val="center"/>
          </w:tcPr>
          <w:p w14:paraId="5EC199FF" w14:textId="263ED99A" w:rsidR="00E5460F" w:rsidRPr="0099038F" w:rsidRDefault="00E5460F">
            <w:pPr>
              <w:spacing w:after="120"/>
              <w:jc w:val="center"/>
              <w:rPr>
                <w:rFonts w:ascii="Times New Roman" w:eastAsia="Times New Roman" w:hAnsi="Times New Roman" w:cs="Times New Roman"/>
                <w:color w:val="000000"/>
                <w:sz w:val="24"/>
              </w:rPr>
            </w:pPr>
            <w:r w:rsidRPr="0099038F">
              <w:rPr>
                <w:rFonts w:ascii="Times New Roman" w:hAnsi="Times New Roman"/>
                <w:color w:val="000000"/>
                <w:sz w:val="24"/>
              </w:rPr>
              <w:lastRenderedPageBreak/>
              <w:t>(e)</w:t>
            </w:r>
          </w:p>
        </w:tc>
        <w:tc>
          <w:tcPr>
            <w:tcW w:w="7371" w:type="dxa"/>
            <w:tcBorders>
              <w:top w:val="single" w:sz="4" w:space="0" w:color="auto"/>
              <w:left w:val="nil"/>
              <w:bottom w:val="single" w:sz="4" w:space="0" w:color="auto"/>
              <w:right w:val="single" w:sz="4" w:space="0" w:color="auto"/>
            </w:tcBorders>
            <w:vAlign w:val="center"/>
          </w:tcPr>
          <w:p w14:paraId="7AF249C5" w14:textId="77777777" w:rsidR="00E25C0C" w:rsidRPr="0099038F" w:rsidRDefault="00E25C0C" w:rsidP="00E25C0C">
            <w:pPr>
              <w:spacing w:before="120" w:after="120"/>
              <w:jc w:val="both"/>
              <w:rPr>
                <w:rFonts w:ascii="Times New Roman" w:eastAsia="Times New Roman" w:hAnsi="Times New Roman" w:cs="Times New Roman"/>
                <w:color w:val="000000"/>
                <w:sz w:val="24"/>
              </w:rPr>
            </w:pPr>
            <w:r w:rsidRPr="0099038F">
              <w:rPr>
                <w:rFonts w:ascii="Times New Roman" w:hAnsi="Times New Roman"/>
                <w:b/>
                <w:color w:val="000000" w:themeColor="text1"/>
                <w:sz w:val="24"/>
              </w:rPr>
              <w:t>Descrierea politicilor și a strategiilor de diminuare a riscurilor și de acoperire a riscurilor</w:t>
            </w:r>
          </w:p>
          <w:p w14:paraId="443DC7A5" w14:textId="7D68A10D" w:rsidR="00E5460F" w:rsidRPr="0099038F" w:rsidDel="009A4E43" w:rsidRDefault="00E25C0C" w:rsidP="00E25C0C">
            <w:pPr>
              <w:spacing w:after="120"/>
              <w:jc w:val="both"/>
              <w:rPr>
                <w:rFonts w:ascii="Times New Roman" w:eastAsia="Times New Roman" w:hAnsi="Times New Roman" w:cs="Times New Roman"/>
                <w:b/>
                <w:color w:val="000000"/>
                <w:sz w:val="24"/>
              </w:rPr>
            </w:pPr>
            <w:r w:rsidRPr="0099038F">
              <w:rPr>
                <w:rFonts w:ascii="Times New Roman" w:hAnsi="Times New Roman"/>
                <w:color w:val="000000" w:themeColor="text1"/>
                <w:sz w:val="24"/>
              </w:rPr>
              <w:t>În conformitate cu articolul 435 alineatul (1) litera (d) din Regulamentul (UE) nr. 575/2013, instituțiile publică informații despre politicile și strategiile lor de diminuare a riscurilor și de acoperire a riscurilor utilizate pentru administrarea riscului operațional, inclusiv dacă diminuarea riscului operațional se realizează prin intermediul politicilor (caz în care instituțiile publică informații despre politicile referitoare la cultura riscului, apetitul pentru risc și externalizare), prin cesionarea activităților cu risc mare sau prin instituirea de controale. Instituțiile publică, de asemenea, informații despre expunerile rămase care sunt absorbite chiar de instituții sau, după caz, despre expunerile rămase care sunt transferate în diferite moduri, inclusiv prin asigurări.</w:t>
            </w:r>
          </w:p>
        </w:tc>
      </w:tr>
    </w:tbl>
    <w:p w14:paraId="0A37501D" w14:textId="77777777" w:rsidR="00E114F3" w:rsidRPr="0099038F" w:rsidRDefault="00E114F3" w:rsidP="00E114F3">
      <w:pPr>
        <w:spacing w:after="120"/>
        <w:jc w:val="both"/>
        <w:rPr>
          <w:rFonts w:ascii="Times New Roman" w:hAnsi="Times New Roman" w:cs="Times New Roman"/>
          <w:b/>
          <w:bCs/>
          <w:sz w:val="24"/>
        </w:rPr>
      </w:pPr>
    </w:p>
    <w:p w14:paraId="73228265" w14:textId="2825D40F" w:rsidR="00E114F3" w:rsidRPr="0099038F" w:rsidRDefault="00E114F3" w:rsidP="00E114F3">
      <w:pPr>
        <w:spacing w:after="120"/>
        <w:jc w:val="both"/>
        <w:rPr>
          <w:rFonts w:ascii="Times New Roman" w:hAnsi="Times New Roman" w:cs="Times New Roman"/>
          <w:bCs/>
          <w:sz w:val="24"/>
        </w:rPr>
      </w:pPr>
      <w:r w:rsidRPr="0099038F">
        <w:rPr>
          <w:rFonts w:ascii="Times New Roman" w:hAnsi="Times New Roman"/>
          <w:b/>
          <w:sz w:val="24"/>
        </w:rPr>
        <w:t xml:space="preserve">Modelul EU OR1 – Pierderi din riscul operațional. </w:t>
      </w:r>
      <w:r w:rsidRPr="0099038F">
        <w:rPr>
          <w:rFonts w:ascii="Times New Roman" w:hAnsi="Times New Roman"/>
          <w:sz w:val="24"/>
        </w:rPr>
        <w:t>Model fix</w:t>
      </w:r>
    </w:p>
    <w:p w14:paraId="70B287DB" w14:textId="7164F419" w:rsidR="00D740B8" w:rsidRPr="0099038F" w:rsidRDefault="00D740B8" w:rsidP="00D740B8">
      <w:pPr>
        <w:numPr>
          <w:ilvl w:val="0"/>
          <w:numId w:val="1"/>
        </w:numPr>
        <w:jc w:val="both"/>
        <w:rPr>
          <w:rFonts w:ascii="Times New Roman" w:hAnsi="Times New Roman" w:cs="Times New Roman"/>
          <w:bCs/>
          <w:sz w:val="24"/>
        </w:rPr>
      </w:pPr>
      <w:r w:rsidRPr="0099038F">
        <w:rPr>
          <w:rFonts w:ascii="Times New Roman" w:hAnsi="Times New Roman"/>
          <w:sz w:val="24"/>
        </w:rPr>
        <w:t>Instituțiile publică informațiile incluse în modelul EU OR1 în temeiul articolului 446 alineatul (2) literele (a) și (b) din Regulamentul (UE) nr. 575/2013. Prezentul model furnizează informații despre pierderile anuale din riscul operațional suportate în ultimii 10 ani, pe baza datei contabile a pierderilor suportate. Aceste pierderi anuale din riscul operațional vor fi calculate în conformitate cu articolul 316 alineatul (1) din Regulamentul (UE) nr. 575/2013 și cuprind, în conformitate cu articolul 317 alineatul (2) din Regulamentul (UE) nr. 575/2013, toate pierderile care decurg de la toate entitățile care fac parte din perimetrul de consolidare, inclusiv pierderile generate de întreprinderile fuzionate/achiziționate [în conformitate cu articolul 321 alineatul (1) din Regulamentul (UE) nr. 575/2013]. Aceste informații sunt furnizate în măsura în care sunt disponibile și cu maxima diligență posibilă, până în momentul în care încep să se aplice articolul 316 alineatul (3), articolul 317 alineatul (9), articolul 320 alineatul (3) și articolul 321 alineatul (2) din Regulamentul (UE) nr. 575/2013.</w:t>
      </w:r>
    </w:p>
    <w:p w14:paraId="0C12CA7B" w14:textId="77777777" w:rsidR="00D740B8" w:rsidRPr="0099038F" w:rsidRDefault="00D740B8" w:rsidP="00D740B8">
      <w:pPr>
        <w:ind w:left="360"/>
        <w:jc w:val="both"/>
        <w:rPr>
          <w:rFonts w:ascii="Times New Roman" w:hAnsi="Times New Roman" w:cs="Times New Roman"/>
          <w:bCs/>
          <w:sz w:val="24"/>
        </w:rPr>
      </w:pPr>
    </w:p>
    <w:p w14:paraId="47EE9624" w14:textId="4A5B22B7" w:rsidR="00D740B8" w:rsidRPr="0099038F" w:rsidRDefault="00D740B8" w:rsidP="00D740B8">
      <w:pPr>
        <w:numPr>
          <w:ilvl w:val="0"/>
          <w:numId w:val="1"/>
        </w:numPr>
        <w:jc w:val="both"/>
        <w:rPr>
          <w:rFonts w:ascii="Times New Roman" w:hAnsi="Times New Roman" w:cs="Times New Roman"/>
          <w:sz w:val="24"/>
        </w:rPr>
      </w:pPr>
      <w:r w:rsidRPr="0099038F">
        <w:rPr>
          <w:rFonts w:ascii="Times New Roman" w:hAnsi="Times New Roman"/>
          <w:sz w:val="24"/>
        </w:rPr>
        <w:t>Instituțiile publică, pentru fiecare din ultimii 10 ani, date privind numărul de pierderi din riscul operațional și numărul de pierderi din riscul operațional excluse, cuantumul total al pierderilor din riscul operațional, excluzând recuperările, și cuantumul total al pierderilor din riscul operațional, excluzând recuperările și pierderile excluse. Cuantumul anual total al pierderilor din riscul operațional va fi calculat ca suma tuturor pierderilor nete dintr-un anumit exercițiu financiar, calculate în conformitate cu articolul 318 alineatul (1) din Regulamentul (UE) nr. 575/2013, care sunt egale sau depășesc pragurile datelor privind pierderile stabilite la articolul 319 alineatul (1) sau, respectiv, alineatul (2) din regulamentul menționat (și anume 20 000 EUR și, respectiv, 100 000 EUR). Cu toate acestea, pierderile cauzate de un eveniment comun de risc operațional sau de evenimente multiple legate de același eveniment de risc operațional („evenimentul sursă”), care sunt recunoscute în exerciții contabile diferite, se însumează pentru ultimii 10 ani pentru a se stabili dacă pragul pentru publicare este depășit sau nu. Informațiile despre pierderi și ajustări trebuie publicate în conformitate cu dispozițiile articolului 317 alineatul (3) litera (c) și ale articolului 318 din Regulamentul (UE) nr. 575/2013. Aceste cuantumuri trebuie publicate în exercițiul în care au fost înregistrate în situațiile financiare.</w:t>
      </w:r>
    </w:p>
    <w:p w14:paraId="2702CB88" w14:textId="77777777" w:rsidR="00D740B8" w:rsidRPr="0099038F" w:rsidRDefault="00D740B8" w:rsidP="00D740B8">
      <w:pPr>
        <w:pStyle w:val="ListParagraph"/>
        <w:rPr>
          <w:rFonts w:ascii="Times New Roman" w:hAnsi="Times New Roman"/>
          <w:bCs/>
          <w:sz w:val="24"/>
        </w:rPr>
      </w:pPr>
    </w:p>
    <w:p w14:paraId="3146DBD3" w14:textId="48F555B9" w:rsidR="00D740B8" w:rsidRPr="0099038F" w:rsidRDefault="00D740B8" w:rsidP="0099038F">
      <w:pPr>
        <w:keepLines/>
        <w:numPr>
          <w:ilvl w:val="0"/>
          <w:numId w:val="1"/>
        </w:numPr>
        <w:jc w:val="both"/>
        <w:rPr>
          <w:rFonts w:ascii="Times New Roman" w:hAnsi="Times New Roman" w:cs="Times New Roman"/>
          <w:bCs/>
          <w:sz w:val="24"/>
        </w:rPr>
      </w:pPr>
      <w:r w:rsidRPr="0099038F">
        <w:rPr>
          <w:rFonts w:ascii="Times New Roman" w:hAnsi="Times New Roman"/>
          <w:sz w:val="24"/>
        </w:rPr>
        <w:t xml:space="preserve"> În informațiile explicative care însoțesc modelul, instituțiile fac publice toate justificările pentru evenimentele excepționale de risc operațional care au fost excluse din calculul pierderilor anuale din riscul operațional, în conformitate cu articolul 446 alineatul (2) litera (b) din Regulamentul (UE) nr. 575/2013.</w:t>
      </w:r>
    </w:p>
    <w:p w14:paraId="066C0912" w14:textId="77777777" w:rsidR="00D740B8" w:rsidRPr="0099038F" w:rsidRDefault="00D740B8" w:rsidP="00D740B8">
      <w:pPr>
        <w:pStyle w:val="ListParagraph"/>
        <w:rPr>
          <w:rFonts w:ascii="Times New Roman" w:hAnsi="Times New Roman"/>
          <w:bCs/>
          <w:sz w:val="24"/>
        </w:rPr>
      </w:pPr>
    </w:p>
    <w:p w14:paraId="79A49BBA" w14:textId="5D2F1C9E" w:rsidR="00D740B8" w:rsidRPr="0099038F" w:rsidRDefault="00D740B8" w:rsidP="00D740B8">
      <w:pPr>
        <w:numPr>
          <w:ilvl w:val="0"/>
          <w:numId w:val="1"/>
        </w:numPr>
        <w:jc w:val="both"/>
        <w:rPr>
          <w:rFonts w:ascii="Times New Roman" w:hAnsi="Times New Roman" w:cs="Times New Roman"/>
          <w:bCs/>
          <w:sz w:val="24"/>
        </w:rPr>
      </w:pPr>
      <w:r w:rsidRPr="0099038F">
        <w:rPr>
          <w:rFonts w:ascii="Times New Roman" w:hAnsi="Times New Roman"/>
          <w:sz w:val="24"/>
        </w:rPr>
        <w:t xml:space="preserve"> Instituțiile publică, de asemenea, în mod agregat, orice informații semnificative care ar putea ajuta utilizatorii să înțeleagă pierderile istorice, recuperările și rezervele legale ale instituțiilor, cu excepția informațiilor confidențiale și a celor care fac obiectul dreptului de proprietate.</w:t>
      </w:r>
    </w:p>
    <w:p w14:paraId="3AF72482" w14:textId="77777777" w:rsidR="00D740B8" w:rsidRPr="0099038F" w:rsidRDefault="00D740B8" w:rsidP="00D740B8">
      <w:pPr>
        <w:pStyle w:val="ListParagraph"/>
        <w:rPr>
          <w:rFonts w:ascii="Times New Roman" w:hAnsi="Times New Roman"/>
          <w:bCs/>
          <w:sz w:val="24"/>
        </w:rPr>
      </w:pPr>
    </w:p>
    <w:p w14:paraId="36406578" w14:textId="77777777" w:rsidR="00D740B8" w:rsidRPr="0099038F" w:rsidRDefault="00D740B8" w:rsidP="00D740B8">
      <w:pPr>
        <w:pStyle w:val="ListParagraph"/>
        <w:rPr>
          <w:rFonts w:ascii="Times New Roman" w:hAnsi="Times New Roman"/>
          <w:b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7745"/>
      </w:tblGrid>
      <w:tr w:rsidR="00D740B8" w:rsidRPr="0099038F" w14:paraId="7E388732" w14:textId="77777777">
        <w:tc>
          <w:tcPr>
            <w:tcW w:w="1271" w:type="dxa"/>
            <w:shd w:val="clear" w:color="auto" w:fill="BFBFBF" w:themeFill="background1" w:themeFillShade="BF"/>
          </w:tcPr>
          <w:p w14:paraId="5F81890E" w14:textId="77777777" w:rsidR="00D740B8" w:rsidRPr="0099038F" w:rsidRDefault="00D740B8">
            <w:pPr>
              <w:autoSpaceDE w:val="0"/>
              <w:autoSpaceDN w:val="0"/>
              <w:adjustRightInd w:val="0"/>
              <w:rPr>
                <w:rFonts w:ascii="Times New Roman" w:hAnsi="Times New Roman"/>
                <w:bCs/>
                <w:sz w:val="24"/>
              </w:rPr>
            </w:pPr>
            <w:r w:rsidRPr="0099038F">
              <w:rPr>
                <w:rFonts w:ascii="Times New Roman" w:hAnsi="Times New Roman"/>
                <w:b/>
                <w:sz w:val="24"/>
              </w:rPr>
              <w:t>Coloană</w:t>
            </w:r>
          </w:p>
        </w:tc>
        <w:tc>
          <w:tcPr>
            <w:tcW w:w="7745" w:type="dxa"/>
            <w:shd w:val="clear" w:color="auto" w:fill="BFBFBF" w:themeFill="background1" w:themeFillShade="BF"/>
          </w:tcPr>
          <w:p w14:paraId="0773BD79" w14:textId="77777777" w:rsidR="00D740B8" w:rsidRPr="0099038F" w:rsidRDefault="00D740B8">
            <w:pPr>
              <w:spacing w:before="60" w:after="120"/>
              <w:jc w:val="both"/>
              <w:rPr>
                <w:rFonts w:ascii="Times New Roman" w:eastAsia="Times New Roman" w:hAnsi="Times New Roman" w:cs="Times New Roman"/>
                <w:b/>
                <w:sz w:val="24"/>
              </w:rPr>
            </w:pPr>
            <w:r w:rsidRPr="0099038F">
              <w:rPr>
                <w:rFonts w:ascii="Times New Roman" w:hAnsi="Times New Roman"/>
                <w:b/>
                <w:sz w:val="24"/>
              </w:rPr>
              <w:t>Referințe juridice și instrucțiuni</w:t>
            </w:r>
          </w:p>
        </w:tc>
      </w:tr>
      <w:tr w:rsidR="00D740B8" w:rsidRPr="0099038F" w14:paraId="4A7B0862" w14:textId="77777777">
        <w:tc>
          <w:tcPr>
            <w:tcW w:w="1271" w:type="dxa"/>
          </w:tcPr>
          <w:p w14:paraId="59A78ADD" w14:textId="77777777" w:rsidR="00D740B8" w:rsidRPr="0099038F" w:rsidRDefault="00D740B8">
            <w:pPr>
              <w:autoSpaceDE w:val="0"/>
              <w:autoSpaceDN w:val="0"/>
              <w:adjustRightInd w:val="0"/>
              <w:jc w:val="center"/>
              <w:rPr>
                <w:rFonts w:ascii="Times New Roman" w:hAnsi="Times New Roman"/>
                <w:bCs/>
                <w:sz w:val="24"/>
              </w:rPr>
            </w:pPr>
            <w:r w:rsidRPr="0099038F">
              <w:rPr>
                <w:rFonts w:ascii="Times New Roman" w:hAnsi="Times New Roman"/>
                <w:sz w:val="24"/>
              </w:rPr>
              <w:t>a-j</w:t>
            </w:r>
          </w:p>
        </w:tc>
        <w:tc>
          <w:tcPr>
            <w:tcW w:w="7745" w:type="dxa"/>
          </w:tcPr>
          <w:p w14:paraId="0B872A50" w14:textId="77777777" w:rsidR="00D740B8" w:rsidRPr="0099038F" w:rsidRDefault="00D740B8">
            <w:pPr>
              <w:spacing w:before="120" w:after="120"/>
              <w:jc w:val="both"/>
              <w:rPr>
                <w:rFonts w:ascii="Times New Roman" w:eastAsia="Times New Roman" w:hAnsi="Times New Roman" w:cs="Times New Roman"/>
                <w:sz w:val="24"/>
              </w:rPr>
            </w:pPr>
            <w:r w:rsidRPr="0099038F">
              <w:rPr>
                <w:rFonts w:ascii="Times New Roman" w:hAnsi="Times New Roman"/>
                <w:b/>
                <w:sz w:val="24"/>
              </w:rPr>
              <w:t>Anul (T, T-1, T-2, T-3, T-4, T-5, T-6, T-7, T-8, T-9)</w:t>
            </w:r>
          </w:p>
          <w:p w14:paraId="5B6EF35C" w14:textId="3033D1CC" w:rsidR="00D740B8" w:rsidRPr="0099038F" w:rsidRDefault="00D740B8">
            <w:pPr>
              <w:spacing w:before="120" w:after="120"/>
              <w:rPr>
                <w:rFonts w:ascii="Times New Roman" w:hAnsi="Times New Roman"/>
                <w:sz w:val="24"/>
              </w:rPr>
            </w:pPr>
            <w:r w:rsidRPr="0099038F">
              <w:rPr>
                <w:rFonts w:ascii="Times New Roman" w:hAnsi="Times New Roman"/>
                <w:sz w:val="24"/>
              </w:rPr>
              <w:t xml:space="preserve">Valoarea indicată pe rândul corespunzător pentru ultimele 10 exerciții financiare. </w:t>
            </w:r>
          </w:p>
        </w:tc>
      </w:tr>
      <w:tr w:rsidR="00D740B8" w:rsidRPr="0099038F" w14:paraId="7D63969A" w14:textId="77777777">
        <w:tc>
          <w:tcPr>
            <w:tcW w:w="1271" w:type="dxa"/>
          </w:tcPr>
          <w:p w14:paraId="6CFD6A05" w14:textId="77777777" w:rsidR="00D740B8" w:rsidRPr="0099038F" w:rsidRDefault="00D740B8">
            <w:pPr>
              <w:autoSpaceDE w:val="0"/>
              <w:autoSpaceDN w:val="0"/>
              <w:adjustRightInd w:val="0"/>
              <w:jc w:val="center"/>
              <w:rPr>
                <w:rFonts w:ascii="Times New Roman" w:hAnsi="Times New Roman"/>
                <w:bCs/>
                <w:sz w:val="24"/>
              </w:rPr>
            </w:pPr>
            <w:r w:rsidRPr="0099038F">
              <w:rPr>
                <w:rFonts w:ascii="Times New Roman" w:hAnsi="Times New Roman"/>
                <w:sz w:val="24"/>
              </w:rPr>
              <w:t>k</w:t>
            </w:r>
          </w:p>
        </w:tc>
        <w:tc>
          <w:tcPr>
            <w:tcW w:w="7745" w:type="dxa"/>
          </w:tcPr>
          <w:p w14:paraId="50D93A86" w14:textId="77777777" w:rsidR="00D740B8" w:rsidRPr="0099038F" w:rsidRDefault="00D740B8">
            <w:pPr>
              <w:spacing w:before="120" w:after="120"/>
              <w:jc w:val="both"/>
              <w:rPr>
                <w:rFonts w:ascii="Times New Roman" w:eastAsia="Times New Roman" w:hAnsi="Times New Roman" w:cs="Times New Roman"/>
                <w:b/>
                <w:sz w:val="24"/>
              </w:rPr>
            </w:pPr>
            <w:r w:rsidRPr="0099038F">
              <w:rPr>
                <w:rFonts w:ascii="Times New Roman" w:hAnsi="Times New Roman"/>
                <w:b/>
                <w:sz w:val="24"/>
              </w:rPr>
              <w:t>Media pe zece ani</w:t>
            </w:r>
          </w:p>
          <w:p w14:paraId="38A7187F" w14:textId="0CB464F2" w:rsidR="00D740B8" w:rsidRPr="0099038F" w:rsidRDefault="00D740B8">
            <w:pPr>
              <w:spacing w:before="120" w:after="120"/>
              <w:rPr>
                <w:rFonts w:ascii="Times New Roman" w:hAnsi="Times New Roman"/>
                <w:bCs/>
                <w:sz w:val="24"/>
              </w:rPr>
            </w:pPr>
            <w:r w:rsidRPr="0099038F">
              <w:rPr>
                <w:rFonts w:ascii="Times New Roman" w:hAnsi="Times New Roman"/>
                <w:sz w:val="24"/>
              </w:rPr>
              <w:t>Media valorilor indicate pe rândul corespunzător pentru ultimele 10 exerciții financiare.</w:t>
            </w:r>
          </w:p>
        </w:tc>
      </w:tr>
    </w:tbl>
    <w:p w14:paraId="7095834F" w14:textId="77777777" w:rsidR="00D740B8" w:rsidRPr="0099038F" w:rsidRDefault="00D740B8" w:rsidP="00D740B8">
      <w:pPr>
        <w:pStyle w:val="ListParagraph"/>
        <w:rPr>
          <w:rFonts w:ascii="Times New Roman" w:hAnsi="Times New Roman"/>
          <w:bCs/>
          <w:sz w:val="24"/>
        </w:rPr>
      </w:pPr>
    </w:p>
    <w:p w14:paraId="32DB6729" w14:textId="77777777" w:rsidR="00D740B8" w:rsidRPr="0099038F" w:rsidRDefault="00D740B8" w:rsidP="00D740B8">
      <w:pPr>
        <w:pStyle w:val="ListParagraph"/>
        <w:rPr>
          <w:rFonts w:ascii="Times New Roman" w:hAnsi="Times New Roman"/>
          <w:bCs/>
          <w:sz w:val="24"/>
        </w:rPr>
      </w:pPr>
    </w:p>
    <w:p w14:paraId="2611544E" w14:textId="77777777" w:rsidR="00D740B8" w:rsidRPr="0099038F" w:rsidRDefault="00D740B8" w:rsidP="00D740B8">
      <w:pPr>
        <w:pStyle w:val="ListParagraph"/>
        <w:rPr>
          <w:rFonts w:ascii="Times New Roman" w:hAnsi="Times New Roman"/>
          <w:bCs/>
          <w:sz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7768"/>
      </w:tblGrid>
      <w:tr w:rsidR="00D740B8" w:rsidRPr="0099038F" w14:paraId="75D19248"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DC07F6" w14:textId="1ED352CF" w:rsidR="00D740B8" w:rsidRPr="0099038F" w:rsidRDefault="00D740B8">
            <w:pPr>
              <w:autoSpaceDE w:val="0"/>
              <w:autoSpaceDN w:val="0"/>
              <w:adjustRightInd w:val="0"/>
              <w:rPr>
                <w:rFonts w:ascii="Times New Roman" w:hAnsi="Times New Roman" w:cs="Times New Roman"/>
                <w:b/>
                <w:sz w:val="24"/>
              </w:rPr>
            </w:pPr>
            <w:r w:rsidRPr="0099038F">
              <w:rPr>
                <w:rFonts w:ascii="Times New Roman" w:hAnsi="Times New Roman"/>
                <w:b/>
                <w:sz w:val="24"/>
              </w:rPr>
              <w:t>Rând</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2A10C0" w14:textId="77777777" w:rsidR="00D740B8" w:rsidRPr="0099038F" w:rsidRDefault="00D740B8">
            <w:pPr>
              <w:rPr>
                <w:rFonts w:ascii="Times New Roman" w:hAnsi="Times New Roman" w:cs="Times New Roman"/>
                <w:b/>
                <w:sz w:val="24"/>
              </w:rPr>
            </w:pPr>
            <w:r w:rsidRPr="0099038F">
              <w:rPr>
                <w:rFonts w:ascii="Times New Roman" w:hAnsi="Times New Roman"/>
                <w:b/>
                <w:sz w:val="24"/>
              </w:rPr>
              <w:t>Referințe juridice și instrucțiuni</w:t>
            </w:r>
          </w:p>
        </w:tc>
      </w:tr>
      <w:tr w:rsidR="00D740B8" w:rsidRPr="0099038F" w14:paraId="5B979768"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03E5C0BB" w14:textId="77777777" w:rsidR="00D740B8" w:rsidRPr="0099038F" w:rsidRDefault="00D740B8">
            <w:pPr>
              <w:autoSpaceDE w:val="0"/>
              <w:autoSpaceDN w:val="0"/>
              <w:adjustRightInd w:val="0"/>
              <w:spacing w:before="60" w:after="120"/>
              <w:jc w:val="center"/>
              <w:rPr>
                <w:rFonts w:ascii="Times New Roman" w:hAnsi="Times New Roman" w:cs="Times New Roman"/>
                <w:b/>
                <w:sz w:val="24"/>
              </w:rPr>
            </w:pPr>
            <w:r w:rsidRPr="0099038F">
              <w:rPr>
                <w:rFonts w:ascii="Times New Roman" w:hAnsi="Times New Roman"/>
                <w:b/>
                <w:sz w:val="24"/>
              </w:rPr>
              <w:t>1</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201F810E" w14:textId="221857B7" w:rsidR="00D740B8" w:rsidRPr="0099038F" w:rsidRDefault="00D740B8">
            <w:pPr>
              <w:spacing w:before="120" w:after="120"/>
              <w:jc w:val="both"/>
              <w:rPr>
                <w:rFonts w:ascii="Times New Roman" w:eastAsia="Times New Roman" w:hAnsi="Times New Roman" w:cs="Times New Roman"/>
                <w:b/>
                <w:sz w:val="24"/>
              </w:rPr>
            </w:pPr>
            <w:r w:rsidRPr="0099038F">
              <w:rPr>
                <w:rFonts w:ascii="Times New Roman" w:hAnsi="Times New Roman"/>
                <w:b/>
                <w:sz w:val="24"/>
              </w:rPr>
              <w:t>Cuantumul total al pierderilor din riscul operațional, excluzând recuperările (fără excluderi)</w:t>
            </w:r>
          </w:p>
          <w:p w14:paraId="73A6B59F" w14:textId="42A729DD" w:rsidR="00D740B8" w:rsidRPr="0099038F" w:rsidRDefault="00D740B8">
            <w:pPr>
              <w:spacing w:before="120" w:after="120"/>
              <w:jc w:val="both"/>
              <w:rPr>
                <w:rFonts w:ascii="Times New Roman" w:eastAsia="Times New Roman" w:hAnsi="Times New Roman" w:cs="Times New Roman"/>
                <w:sz w:val="24"/>
              </w:rPr>
            </w:pPr>
            <w:r w:rsidRPr="0099038F">
              <w:rPr>
                <w:rFonts w:ascii="Times New Roman" w:hAnsi="Times New Roman"/>
                <w:sz w:val="24"/>
              </w:rPr>
              <w:t>Articolul 446 alineatul (2) litera (a) și articolul 316 alineatul (1) din Regulamentul (UE) nr. 575/2013.</w:t>
            </w:r>
          </w:p>
          <w:p w14:paraId="5D929629" w14:textId="254FA976" w:rsidR="00D740B8" w:rsidRPr="0099038F" w:rsidRDefault="002B0785">
            <w:pPr>
              <w:spacing w:before="120" w:after="120"/>
              <w:jc w:val="both"/>
              <w:rPr>
                <w:rFonts w:ascii="Times New Roman" w:eastAsia="Times New Roman" w:hAnsi="Times New Roman" w:cs="Times New Roman"/>
                <w:b/>
                <w:sz w:val="24"/>
              </w:rPr>
            </w:pPr>
            <w:r w:rsidRPr="0099038F">
              <w:rPr>
                <w:rFonts w:ascii="Times New Roman" w:hAnsi="Times New Roman"/>
                <w:sz w:val="24"/>
              </w:rPr>
              <w:t>Pe acest rând este publicat cuantumul total al pierderilor excluzând recuperările rezultate din evenimente de pierdere care depășesc pragul evenimentului de pierdere de 20 000 EUR pentru fiecare din ultimele 10 perioade de raportare, inclusiv pierderile rezultate din fuziuni și achiziții. Pierderile cauzate de un eveniment comun de risc operațional sau de evenimente multiple legate de același eveniment de risc operațional, care sunt recunoscute în exerciții contabile diferite, se însumează pentru ultimii 10 ani pentru a se stabili dacă pragul pentru publicare este depășit sau nu. Evenimentele excepționale de risc operațional din anul respectiv care nu mai sunt relevante pentru profilul de risc al instituției pentru care instituția a primit aprobarea autorității competente de a le exclude din pierderile anuale din riscul operațional ale instituției, în conformitate cu articolul 320 alineatul (1) din Regulamentul (UE) nr. 575/2013, trebuie luate în considerare în continuare la calcularea elementului pentru acest rând.</w:t>
            </w:r>
          </w:p>
        </w:tc>
      </w:tr>
      <w:tr w:rsidR="00D740B8" w:rsidRPr="0099038F" w14:paraId="1A3189BF"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61985BED" w14:textId="77777777" w:rsidR="00D740B8" w:rsidRPr="0099038F" w:rsidRDefault="00D740B8" w:rsidP="0099038F">
            <w:pPr>
              <w:pageBreakBefore/>
              <w:autoSpaceDE w:val="0"/>
              <w:autoSpaceDN w:val="0"/>
              <w:adjustRightInd w:val="0"/>
              <w:spacing w:before="60" w:after="120"/>
              <w:jc w:val="center"/>
              <w:rPr>
                <w:rFonts w:ascii="Times New Roman" w:hAnsi="Times New Roman" w:cs="Times New Roman"/>
                <w:b/>
                <w:sz w:val="24"/>
              </w:rPr>
            </w:pPr>
            <w:r w:rsidRPr="0099038F">
              <w:rPr>
                <w:rFonts w:ascii="Times New Roman" w:hAnsi="Times New Roman"/>
                <w:b/>
                <w:sz w:val="24"/>
              </w:rPr>
              <w:t>2</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2D0B8990" w14:textId="77777777" w:rsidR="00D740B8" w:rsidRPr="0099038F" w:rsidRDefault="00D740B8">
            <w:pPr>
              <w:spacing w:before="120" w:after="120"/>
              <w:jc w:val="both"/>
              <w:rPr>
                <w:rFonts w:ascii="Times New Roman" w:eastAsia="Times New Roman" w:hAnsi="Times New Roman" w:cs="Times New Roman"/>
                <w:b/>
                <w:sz w:val="24"/>
              </w:rPr>
            </w:pPr>
            <w:r w:rsidRPr="0099038F">
              <w:rPr>
                <w:rFonts w:ascii="Times New Roman" w:hAnsi="Times New Roman"/>
                <w:b/>
                <w:sz w:val="24"/>
              </w:rPr>
              <w:t>Numărul total de pierderi din riscul operațional</w:t>
            </w:r>
          </w:p>
          <w:p w14:paraId="2EA91375" w14:textId="28AF0058" w:rsidR="00D740B8" w:rsidRPr="0099038F" w:rsidRDefault="00D740B8">
            <w:pPr>
              <w:spacing w:before="120" w:after="120"/>
              <w:jc w:val="both"/>
              <w:rPr>
                <w:rFonts w:ascii="Times New Roman" w:eastAsia="Times New Roman" w:hAnsi="Times New Roman" w:cs="Times New Roman"/>
                <w:sz w:val="24"/>
              </w:rPr>
            </w:pPr>
            <w:r w:rsidRPr="0099038F">
              <w:rPr>
                <w:rFonts w:ascii="Times New Roman" w:hAnsi="Times New Roman"/>
                <w:sz w:val="24"/>
              </w:rPr>
              <w:lastRenderedPageBreak/>
              <w:t>Articolul 446 alineatul (2) litera (a) și articolul 316 alineatul (1) din Regulamentul (UE) nr. 575/2013.</w:t>
            </w:r>
          </w:p>
          <w:p w14:paraId="275C478C" w14:textId="69738AFF" w:rsidR="00D740B8" w:rsidRPr="0099038F" w:rsidRDefault="00471410">
            <w:pPr>
              <w:spacing w:before="120" w:after="120"/>
              <w:rPr>
                <w:rFonts w:ascii="Times New Roman" w:eastAsia="Times New Roman" w:hAnsi="Times New Roman" w:cs="Times New Roman"/>
                <w:sz w:val="24"/>
              </w:rPr>
            </w:pPr>
            <w:r w:rsidRPr="0099038F">
              <w:rPr>
                <w:rFonts w:ascii="Times New Roman" w:hAnsi="Times New Roman"/>
                <w:sz w:val="24"/>
              </w:rPr>
              <w:t>Numărul total de pierderi din riscul operațional care depășesc pragul evenimentului de pierdere de 20 000 EUR.</w:t>
            </w:r>
          </w:p>
        </w:tc>
      </w:tr>
      <w:tr w:rsidR="00D740B8" w:rsidRPr="0099038F" w14:paraId="30368E01"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797E2D97" w14:textId="77777777" w:rsidR="00D740B8" w:rsidRPr="0099038F" w:rsidRDefault="00D740B8">
            <w:pPr>
              <w:autoSpaceDE w:val="0"/>
              <w:autoSpaceDN w:val="0"/>
              <w:adjustRightInd w:val="0"/>
              <w:spacing w:before="60" w:after="120"/>
              <w:jc w:val="center"/>
              <w:rPr>
                <w:rFonts w:ascii="Times New Roman" w:hAnsi="Times New Roman" w:cs="Times New Roman"/>
                <w:b/>
                <w:sz w:val="24"/>
              </w:rPr>
            </w:pPr>
            <w:r w:rsidRPr="0099038F">
              <w:rPr>
                <w:rFonts w:ascii="Times New Roman" w:hAnsi="Times New Roman"/>
                <w:b/>
                <w:sz w:val="24"/>
              </w:rPr>
              <w:lastRenderedPageBreak/>
              <w:t>3</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78A7E573" w14:textId="06E670C1" w:rsidR="00D740B8" w:rsidRPr="0099038F" w:rsidRDefault="00D740B8">
            <w:pPr>
              <w:spacing w:before="120" w:after="120"/>
              <w:jc w:val="both"/>
              <w:rPr>
                <w:rFonts w:ascii="Times New Roman" w:eastAsia="Times New Roman" w:hAnsi="Times New Roman" w:cs="Times New Roman"/>
                <w:b/>
                <w:sz w:val="24"/>
              </w:rPr>
            </w:pPr>
            <w:r w:rsidRPr="0099038F">
              <w:rPr>
                <w:rFonts w:ascii="Times New Roman" w:hAnsi="Times New Roman"/>
                <w:b/>
                <w:sz w:val="24"/>
              </w:rPr>
              <w:t>Cuantumul total al pierderilor din riscul operațional care au fost excluse</w:t>
            </w:r>
          </w:p>
          <w:p w14:paraId="5C1A66AF" w14:textId="5CAD041D" w:rsidR="00D740B8" w:rsidRPr="0099038F" w:rsidRDefault="00D740B8">
            <w:pPr>
              <w:spacing w:before="120" w:after="120"/>
              <w:rPr>
                <w:rFonts w:ascii="Times New Roman" w:eastAsia="Times New Roman" w:hAnsi="Times New Roman" w:cs="Times New Roman"/>
                <w:sz w:val="24"/>
              </w:rPr>
            </w:pPr>
            <w:r w:rsidRPr="0099038F">
              <w:rPr>
                <w:rFonts w:ascii="Times New Roman" w:hAnsi="Times New Roman"/>
                <w:sz w:val="24"/>
              </w:rPr>
              <w:t>Articolul 446 alineatul (2) litera (b) și articolul 320 alineatul (1) din Regulamentul (UE) nr. 575/2013.</w:t>
            </w:r>
          </w:p>
          <w:p w14:paraId="7BE235CA" w14:textId="7483A5B2" w:rsidR="00D740B8" w:rsidRPr="0099038F" w:rsidRDefault="002B0785">
            <w:pPr>
              <w:spacing w:before="120" w:after="120"/>
              <w:rPr>
                <w:rFonts w:ascii="Times New Roman" w:eastAsia="Times New Roman" w:hAnsi="Times New Roman" w:cs="Times New Roman"/>
                <w:sz w:val="24"/>
              </w:rPr>
            </w:pPr>
            <w:r w:rsidRPr="0099038F">
              <w:rPr>
                <w:rFonts w:ascii="Times New Roman" w:hAnsi="Times New Roman"/>
                <w:sz w:val="24"/>
              </w:rPr>
              <w:t>Cuantumurile totale nete ale pierderilor peste pragul de 20 000 EUR care au fost excluse în conformitate cu articolul 320 alineatul (1) din Regulamentul (UE) nr. 575/2013, pentru fiecare din ultimele 10 perioade de raportare.</w:t>
            </w:r>
          </w:p>
        </w:tc>
      </w:tr>
      <w:tr w:rsidR="00D740B8" w:rsidRPr="0099038F" w14:paraId="2771244B"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37F28D83" w14:textId="77777777" w:rsidR="00D740B8" w:rsidRPr="0099038F" w:rsidRDefault="00D740B8">
            <w:pPr>
              <w:autoSpaceDE w:val="0"/>
              <w:autoSpaceDN w:val="0"/>
              <w:adjustRightInd w:val="0"/>
              <w:spacing w:before="60" w:after="120"/>
              <w:jc w:val="center"/>
              <w:rPr>
                <w:rFonts w:ascii="Times New Roman" w:hAnsi="Times New Roman" w:cs="Times New Roman"/>
                <w:b/>
                <w:sz w:val="24"/>
              </w:rPr>
            </w:pPr>
            <w:r w:rsidRPr="0099038F">
              <w:rPr>
                <w:rFonts w:ascii="Times New Roman" w:hAnsi="Times New Roman"/>
                <w:b/>
                <w:sz w:val="24"/>
              </w:rPr>
              <w:t>4</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6F2BA990" w14:textId="77777777" w:rsidR="00D740B8" w:rsidRPr="0099038F" w:rsidRDefault="00D740B8">
            <w:pPr>
              <w:spacing w:before="120" w:after="120"/>
              <w:jc w:val="both"/>
              <w:rPr>
                <w:rStyle w:val="InstructionsTabelleberschrift"/>
                <w:rFonts w:ascii="Times New Roman" w:eastAsia="Times New Roman" w:hAnsi="Times New Roman"/>
                <w:bCs w:val="0"/>
                <w:sz w:val="24"/>
                <w:u w:val="none"/>
              </w:rPr>
            </w:pPr>
            <w:r w:rsidRPr="0099038F">
              <w:rPr>
                <w:rStyle w:val="InstructionsTabelleberschrift"/>
                <w:rFonts w:ascii="Times New Roman" w:hAnsi="Times New Roman"/>
                <w:sz w:val="24"/>
                <w:u w:val="none"/>
              </w:rPr>
              <w:t>Numărul total de evenimente de risc operațional excluse</w:t>
            </w:r>
          </w:p>
          <w:p w14:paraId="7914E462" w14:textId="7978A3B5" w:rsidR="00D740B8" w:rsidRPr="0099038F" w:rsidRDefault="00D740B8">
            <w:pPr>
              <w:spacing w:before="120" w:after="120"/>
              <w:rPr>
                <w:rFonts w:ascii="Times New Roman" w:eastAsia="Times New Roman" w:hAnsi="Times New Roman" w:cs="Times New Roman"/>
                <w:sz w:val="24"/>
              </w:rPr>
            </w:pPr>
            <w:r w:rsidRPr="0099038F">
              <w:rPr>
                <w:rFonts w:ascii="Times New Roman" w:hAnsi="Times New Roman"/>
                <w:sz w:val="24"/>
              </w:rPr>
              <w:t>Articolul 446 alineatul (2) litera (b) și articolul 320 alineatul (1) din Regulamentul (UE) nr. 575/2013.</w:t>
            </w:r>
          </w:p>
          <w:p w14:paraId="318A732C" w14:textId="242D554F" w:rsidR="00D740B8" w:rsidRPr="0099038F" w:rsidRDefault="009D4A12">
            <w:pPr>
              <w:spacing w:before="120" w:after="120"/>
              <w:jc w:val="both"/>
              <w:rPr>
                <w:rFonts w:ascii="Times New Roman" w:eastAsia="Times New Roman" w:hAnsi="Times New Roman" w:cs="Times New Roman"/>
                <w:sz w:val="24"/>
              </w:rPr>
            </w:pPr>
            <w:r w:rsidRPr="0099038F">
              <w:rPr>
                <w:rFonts w:ascii="Times New Roman" w:hAnsi="Times New Roman"/>
                <w:sz w:val="24"/>
              </w:rPr>
              <w:t xml:space="preserve">Numărul total de evenimente excepționale de risc operațional care depășesc pragul evenimentului de pierdere de 20 000 EUR și care au fost excluse în conformitate cu articolul 320 alineatul (1) din Regulamentul (UE) nr. 575/2013, pentru fiecare din ultimele 10 perioade de raportare. </w:t>
            </w:r>
          </w:p>
        </w:tc>
      </w:tr>
      <w:tr w:rsidR="00D740B8" w:rsidRPr="0099038F" w14:paraId="155A14DC"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3A8A2BC3" w14:textId="77777777" w:rsidR="00D740B8" w:rsidRPr="0099038F" w:rsidRDefault="00D740B8">
            <w:pPr>
              <w:autoSpaceDE w:val="0"/>
              <w:autoSpaceDN w:val="0"/>
              <w:adjustRightInd w:val="0"/>
              <w:spacing w:before="60" w:after="120"/>
              <w:jc w:val="center"/>
              <w:rPr>
                <w:rFonts w:ascii="Times New Roman" w:hAnsi="Times New Roman" w:cs="Times New Roman"/>
                <w:b/>
                <w:sz w:val="24"/>
              </w:rPr>
            </w:pPr>
            <w:r w:rsidRPr="0099038F">
              <w:rPr>
                <w:rFonts w:ascii="Times New Roman" w:hAnsi="Times New Roman"/>
                <w:b/>
                <w:sz w:val="24"/>
              </w:rPr>
              <w:t>5</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61BD9B80" w14:textId="218BBE7C" w:rsidR="00D740B8" w:rsidRPr="0099038F" w:rsidRDefault="00D740B8">
            <w:pPr>
              <w:spacing w:before="120" w:after="120"/>
              <w:jc w:val="both"/>
              <w:rPr>
                <w:rStyle w:val="InstructionsTabelleberschrift"/>
                <w:rFonts w:ascii="Times New Roman" w:eastAsia="Times New Roman" w:hAnsi="Times New Roman"/>
                <w:bCs w:val="0"/>
                <w:sz w:val="24"/>
                <w:u w:val="none"/>
              </w:rPr>
            </w:pPr>
            <w:r w:rsidRPr="0099038F">
              <w:rPr>
                <w:rStyle w:val="InstructionsTabelleberschrift"/>
                <w:rFonts w:ascii="Times New Roman" w:hAnsi="Times New Roman"/>
                <w:sz w:val="24"/>
                <w:u w:val="none"/>
              </w:rPr>
              <w:t>Cuantumul total al pierderilor din riscul operațional, excluzând recuperările și pierderile excluse</w:t>
            </w:r>
          </w:p>
          <w:p w14:paraId="4203582A" w14:textId="7C24EBAE" w:rsidR="00D740B8" w:rsidRPr="0099038F" w:rsidRDefault="002B0785">
            <w:pPr>
              <w:spacing w:before="120" w:after="120"/>
              <w:jc w:val="both"/>
              <w:rPr>
                <w:rFonts w:ascii="Times New Roman" w:eastAsia="Times New Roman" w:hAnsi="Times New Roman" w:cs="Times New Roman"/>
                <w:sz w:val="24"/>
              </w:rPr>
            </w:pPr>
            <w:r w:rsidRPr="0099038F">
              <w:rPr>
                <w:rFonts w:ascii="Times New Roman" w:hAnsi="Times New Roman"/>
                <w:sz w:val="24"/>
              </w:rPr>
              <w:t>Cuantumul total al pierderilor din riscul operațional, fără cuantumul recuperărilor publicate pe rândul 1 și fără pierderile excluse publicate pe rândul 3.</w:t>
            </w:r>
          </w:p>
        </w:tc>
      </w:tr>
      <w:tr w:rsidR="00D740B8" w:rsidRPr="0099038F" w14:paraId="533A412E"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3BDEE7FB" w14:textId="77777777" w:rsidR="00D740B8" w:rsidRPr="0099038F" w:rsidRDefault="00D740B8">
            <w:pPr>
              <w:autoSpaceDE w:val="0"/>
              <w:autoSpaceDN w:val="0"/>
              <w:adjustRightInd w:val="0"/>
              <w:spacing w:before="60" w:after="120"/>
              <w:jc w:val="center"/>
              <w:rPr>
                <w:rFonts w:ascii="Times New Roman" w:hAnsi="Times New Roman" w:cs="Times New Roman"/>
                <w:b/>
                <w:sz w:val="24"/>
              </w:rPr>
            </w:pPr>
            <w:r w:rsidRPr="0099038F">
              <w:rPr>
                <w:rFonts w:ascii="Times New Roman" w:hAnsi="Times New Roman"/>
                <w:b/>
                <w:sz w:val="24"/>
              </w:rPr>
              <w:t>6</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71765A87" w14:textId="409B91B6" w:rsidR="00D740B8" w:rsidRPr="0099038F" w:rsidRDefault="00D740B8">
            <w:pPr>
              <w:spacing w:before="120" w:after="120"/>
              <w:jc w:val="both"/>
              <w:rPr>
                <w:rFonts w:ascii="Times New Roman" w:eastAsia="Times New Roman" w:hAnsi="Times New Roman" w:cs="Times New Roman"/>
                <w:b/>
                <w:sz w:val="24"/>
              </w:rPr>
            </w:pPr>
            <w:r w:rsidRPr="0099038F">
              <w:rPr>
                <w:rFonts w:ascii="Times New Roman" w:hAnsi="Times New Roman"/>
                <w:b/>
                <w:sz w:val="24"/>
              </w:rPr>
              <w:t>Cuantumul total al pierderilor din riscul operațional, excluzând recuperările (fără excluderi)</w:t>
            </w:r>
          </w:p>
          <w:p w14:paraId="647BDEC8" w14:textId="66617A83" w:rsidR="00D740B8" w:rsidRPr="0099038F" w:rsidRDefault="00D740B8">
            <w:pPr>
              <w:spacing w:before="120" w:after="120"/>
              <w:jc w:val="both"/>
              <w:rPr>
                <w:rFonts w:ascii="Times New Roman" w:eastAsia="Times New Roman" w:hAnsi="Times New Roman" w:cs="Times New Roman"/>
                <w:sz w:val="24"/>
              </w:rPr>
            </w:pPr>
            <w:r w:rsidRPr="0099038F">
              <w:rPr>
                <w:rFonts w:ascii="Times New Roman" w:hAnsi="Times New Roman"/>
                <w:sz w:val="24"/>
              </w:rPr>
              <w:t>Articolul 446 alineatul (2) litera (a) și articolul 316 alineatul (1) din Regulamentul (UE) nr. 575/2013.</w:t>
            </w:r>
          </w:p>
          <w:p w14:paraId="7F1E94AA" w14:textId="3C3700EE" w:rsidR="00D740B8" w:rsidRPr="0099038F" w:rsidRDefault="003D54AC">
            <w:pPr>
              <w:spacing w:before="120" w:after="120"/>
              <w:jc w:val="both"/>
              <w:rPr>
                <w:rStyle w:val="InstructionsTabelleberschrift"/>
                <w:rFonts w:ascii="Times New Roman" w:eastAsia="Times New Roman" w:hAnsi="Times New Roman"/>
                <w:bCs w:val="0"/>
                <w:sz w:val="24"/>
              </w:rPr>
            </w:pPr>
            <w:r w:rsidRPr="0099038F">
              <w:rPr>
                <w:rFonts w:ascii="Times New Roman" w:hAnsi="Times New Roman"/>
                <w:sz w:val="24"/>
              </w:rPr>
              <w:t>Cuantumul total al pierderilor din riscul operațional, fără cuantumul recuperărilor rezultate din evenimente de pierdere care depășesc pragul evenimentului de pierdere de 100 000 EUR pentru fiecare din ultimele 10 perioade de raportare, inclusiv pierderile rezultate din fuziuni și achiziții. Pierderile cauzate de un eveniment comun de risc operațional sau de evenimente multiple legate de același eveniment de risc operațional, care sunt recunoscute în exerciții contabile diferite, se însumează pentru ultimii 10 ani pentru a se stabili dacă pragul pentru publicare este depășit sau nu. Evenimentele excepționale de risc operațional din anul respectiv care nu mai sunt relevante pentru profilul de risc al instituției pentru care instituția a primit aprobarea autorității competente de a le exclude din pierderile anuale din riscul operațional ale instituției, în conformitate cu articolul 320 alineatul (1) din Regulamentul (UE) nr. 575/2013, trebuie luate în considerare în continuare la calcularea elementului pentru acest rând.</w:t>
            </w:r>
          </w:p>
        </w:tc>
      </w:tr>
      <w:tr w:rsidR="00D740B8" w:rsidRPr="0099038F" w14:paraId="55F7B964"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7CE372A0" w14:textId="77777777" w:rsidR="00D740B8" w:rsidRPr="0099038F" w:rsidRDefault="00D740B8">
            <w:pPr>
              <w:autoSpaceDE w:val="0"/>
              <w:autoSpaceDN w:val="0"/>
              <w:adjustRightInd w:val="0"/>
              <w:spacing w:before="60" w:after="120"/>
              <w:jc w:val="center"/>
              <w:rPr>
                <w:rFonts w:ascii="Times New Roman" w:hAnsi="Times New Roman" w:cs="Times New Roman"/>
                <w:b/>
                <w:sz w:val="24"/>
              </w:rPr>
            </w:pPr>
            <w:r w:rsidRPr="0099038F">
              <w:rPr>
                <w:rFonts w:ascii="Times New Roman" w:hAnsi="Times New Roman"/>
                <w:b/>
                <w:sz w:val="24"/>
              </w:rPr>
              <w:t>7</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3CB15A10" w14:textId="77777777" w:rsidR="00D740B8" w:rsidRPr="0099038F" w:rsidRDefault="00D740B8">
            <w:pPr>
              <w:spacing w:before="120" w:after="120"/>
              <w:jc w:val="both"/>
              <w:rPr>
                <w:rFonts w:ascii="Times New Roman" w:eastAsia="Times New Roman" w:hAnsi="Times New Roman" w:cs="Times New Roman"/>
                <w:b/>
                <w:sz w:val="24"/>
              </w:rPr>
            </w:pPr>
            <w:r w:rsidRPr="0099038F">
              <w:rPr>
                <w:rFonts w:ascii="Times New Roman" w:hAnsi="Times New Roman"/>
                <w:b/>
                <w:sz w:val="24"/>
              </w:rPr>
              <w:t>Numărul total de pierderi din riscul operațional</w:t>
            </w:r>
          </w:p>
          <w:p w14:paraId="7AD8EE0D" w14:textId="092E19E2" w:rsidR="00D740B8" w:rsidRPr="0099038F" w:rsidRDefault="00D740B8">
            <w:pPr>
              <w:spacing w:before="120" w:after="120"/>
              <w:jc w:val="both"/>
              <w:rPr>
                <w:rFonts w:ascii="Times New Roman" w:eastAsia="Times New Roman" w:hAnsi="Times New Roman" w:cs="Times New Roman"/>
                <w:sz w:val="24"/>
              </w:rPr>
            </w:pPr>
            <w:r w:rsidRPr="0099038F">
              <w:rPr>
                <w:rFonts w:ascii="Times New Roman" w:hAnsi="Times New Roman"/>
                <w:sz w:val="24"/>
              </w:rPr>
              <w:lastRenderedPageBreak/>
              <w:t>Articolul 446 alineatul (2) litera (a) și articolul 316 alineatul (1) din Regulamentul (UE) nr. 575/2013.</w:t>
            </w:r>
          </w:p>
          <w:p w14:paraId="6F316B8B" w14:textId="6ABB567B" w:rsidR="00D740B8" w:rsidRPr="0099038F" w:rsidRDefault="00471410">
            <w:pPr>
              <w:spacing w:before="120" w:after="120"/>
              <w:jc w:val="both"/>
              <w:rPr>
                <w:rStyle w:val="InstructionsTabelleberschrift"/>
                <w:rFonts w:ascii="Times New Roman" w:eastAsia="Times New Roman" w:hAnsi="Times New Roman"/>
                <w:bCs w:val="0"/>
                <w:sz w:val="24"/>
              </w:rPr>
            </w:pPr>
            <w:r w:rsidRPr="0099038F">
              <w:rPr>
                <w:rFonts w:ascii="Times New Roman" w:hAnsi="Times New Roman"/>
                <w:sz w:val="24"/>
              </w:rPr>
              <w:t>Numărul total de pierderi din riscul operațional care depășesc pragul evenimentului de pierdere de 100 000 EUR.</w:t>
            </w:r>
          </w:p>
        </w:tc>
      </w:tr>
      <w:tr w:rsidR="00D740B8" w:rsidRPr="0099038F" w14:paraId="774B79FA"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1B9021F3" w14:textId="77777777" w:rsidR="00D740B8" w:rsidRPr="0099038F" w:rsidRDefault="00D740B8">
            <w:pPr>
              <w:autoSpaceDE w:val="0"/>
              <w:autoSpaceDN w:val="0"/>
              <w:adjustRightInd w:val="0"/>
              <w:spacing w:before="60" w:after="120"/>
              <w:jc w:val="center"/>
              <w:rPr>
                <w:rFonts w:ascii="Times New Roman" w:hAnsi="Times New Roman" w:cs="Times New Roman"/>
                <w:b/>
                <w:sz w:val="24"/>
              </w:rPr>
            </w:pPr>
            <w:r w:rsidRPr="0099038F">
              <w:rPr>
                <w:rFonts w:ascii="Times New Roman" w:hAnsi="Times New Roman"/>
                <w:b/>
                <w:sz w:val="24"/>
              </w:rPr>
              <w:lastRenderedPageBreak/>
              <w:t>8</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03731AFB" w14:textId="77777777" w:rsidR="00D740B8" w:rsidRPr="0099038F" w:rsidRDefault="00D740B8">
            <w:pPr>
              <w:spacing w:before="120" w:after="120"/>
              <w:jc w:val="both"/>
              <w:rPr>
                <w:rFonts w:ascii="Times New Roman" w:eastAsia="Times New Roman" w:hAnsi="Times New Roman" w:cs="Times New Roman"/>
                <w:b/>
                <w:sz w:val="24"/>
              </w:rPr>
            </w:pPr>
            <w:r w:rsidRPr="0099038F">
              <w:rPr>
                <w:rFonts w:ascii="Times New Roman" w:hAnsi="Times New Roman"/>
                <w:b/>
                <w:sz w:val="24"/>
              </w:rPr>
              <w:t>Cuantumul total al pierderilor din riscul operațional care au fost excluse</w:t>
            </w:r>
          </w:p>
          <w:p w14:paraId="71DECF65" w14:textId="48A395A5" w:rsidR="00D740B8" w:rsidRPr="0099038F" w:rsidRDefault="00D740B8">
            <w:pPr>
              <w:spacing w:before="120" w:after="120"/>
              <w:rPr>
                <w:rFonts w:ascii="Times New Roman" w:eastAsia="Times New Roman" w:hAnsi="Times New Roman" w:cs="Times New Roman"/>
                <w:sz w:val="24"/>
              </w:rPr>
            </w:pPr>
            <w:r w:rsidRPr="0099038F">
              <w:rPr>
                <w:rFonts w:ascii="Times New Roman" w:hAnsi="Times New Roman"/>
                <w:sz w:val="24"/>
              </w:rPr>
              <w:t>Articolul 446 alineatul (2) litera (b) și articolul 320 alineatul (1) din Regulamentul (UE) nr. 575/2013.</w:t>
            </w:r>
          </w:p>
          <w:p w14:paraId="0BC74916" w14:textId="396B699A" w:rsidR="00D740B8" w:rsidRPr="0099038F" w:rsidRDefault="003D54AC">
            <w:pPr>
              <w:spacing w:before="120" w:after="120"/>
              <w:jc w:val="both"/>
              <w:rPr>
                <w:rStyle w:val="InstructionsTabelleberschrift"/>
                <w:rFonts w:ascii="Times New Roman" w:eastAsia="Times New Roman" w:hAnsi="Times New Roman"/>
                <w:bCs w:val="0"/>
                <w:sz w:val="24"/>
              </w:rPr>
            </w:pPr>
            <w:r w:rsidRPr="0099038F">
              <w:rPr>
                <w:rFonts w:ascii="Times New Roman" w:hAnsi="Times New Roman"/>
                <w:sz w:val="24"/>
              </w:rPr>
              <w:t>Cuantumurile totale nete ale pierderilor care depășesc pragul evenimentului de pierdere de 100 000 EUR și care au fost excluse în conformitate cu articolul 320 alineatul (1) din Regulamentul (UE) nr. 575/2013, pentru fiecare din ultimele 10 perioade de raportare.</w:t>
            </w:r>
          </w:p>
        </w:tc>
      </w:tr>
      <w:tr w:rsidR="00D740B8" w:rsidRPr="0099038F" w14:paraId="33C9C19A"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25935360" w14:textId="77777777" w:rsidR="00D740B8" w:rsidRPr="0099038F" w:rsidRDefault="00D740B8">
            <w:pPr>
              <w:autoSpaceDE w:val="0"/>
              <w:autoSpaceDN w:val="0"/>
              <w:adjustRightInd w:val="0"/>
              <w:spacing w:before="60" w:after="120"/>
              <w:jc w:val="center"/>
              <w:rPr>
                <w:rFonts w:ascii="Times New Roman" w:hAnsi="Times New Roman" w:cs="Times New Roman"/>
                <w:b/>
                <w:sz w:val="24"/>
              </w:rPr>
            </w:pPr>
            <w:r w:rsidRPr="0099038F">
              <w:rPr>
                <w:rFonts w:ascii="Times New Roman" w:hAnsi="Times New Roman"/>
                <w:b/>
                <w:sz w:val="24"/>
              </w:rPr>
              <w:t>9</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1FF23E8D" w14:textId="77777777" w:rsidR="00D740B8" w:rsidRPr="0099038F" w:rsidRDefault="00D740B8">
            <w:pPr>
              <w:spacing w:before="120" w:after="120"/>
              <w:jc w:val="both"/>
              <w:rPr>
                <w:rStyle w:val="InstructionsTabelleberschrift"/>
                <w:rFonts w:ascii="Times New Roman" w:eastAsia="Times New Roman" w:hAnsi="Times New Roman"/>
                <w:bCs w:val="0"/>
                <w:sz w:val="24"/>
                <w:u w:val="none"/>
              </w:rPr>
            </w:pPr>
            <w:r w:rsidRPr="0099038F">
              <w:rPr>
                <w:rStyle w:val="InstructionsTabelleberschrift"/>
                <w:rFonts w:ascii="Times New Roman" w:hAnsi="Times New Roman"/>
                <w:sz w:val="24"/>
                <w:u w:val="none"/>
              </w:rPr>
              <w:t>Numărul total de evenimente de risc operațional excluse</w:t>
            </w:r>
          </w:p>
          <w:p w14:paraId="2B56754D" w14:textId="46B0AAAA" w:rsidR="00D740B8" w:rsidRPr="0099038F" w:rsidRDefault="00D740B8">
            <w:pPr>
              <w:spacing w:before="120" w:after="120"/>
              <w:rPr>
                <w:rFonts w:ascii="Times New Roman" w:eastAsia="Times New Roman" w:hAnsi="Times New Roman" w:cs="Times New Roman"/>
                <w:sz w:val="24"/>
              </w:rPr>
            </w:pPr>
            <w:r w:rsidRPr="0099038F">
              <w:rPr>
                <w:rFonts w:ascii="Times New Roman" w:hAnsi="Times New Roman"/>
                <w:sz w:val="24"/>
              </w:rPr>
              <w:t>Articolul 446 alineatul (2) litera (b) și articolul 320 alineatul (1) din Regulamentul (UE) nr. 575/2013.</w:t>
            </w:r>
          </w:p>
          <w:p w14:paraId="2EDEC8CA" w14:textId="252B783D" w:rsidR="00D740B8" w:rsidRPr="0099038F" w:rsidRDefault="00471410">
            <w:pPr>
              <w:spacing w:before="120" w:after="120"/>
              <w:jc w:val="both"/>
              <w:rPr>
                <w:rStyle w:val="InstructionsTabelleberschrift"/>
                <w:rFonts w:ascii="Times New Roman" w:eastAsia="Times New Roman" w:hAnsi="Times New Roman"/>
                <w:bCs w:val="0"/>
                <w:sz w:val="24"/>
              </w:rPr>
            </w:pPr>
            <w:r w:rsidRPr="0099038F">
              <w:rPr>
                <w:rFonts w:ascii="Times New Roman" w:hAnsi="Times New Roman"/>
                <w:sz w:val="24"/>
              </w:rPr>
              <w:t>Numărul total de evenimente excepționale de risc operațional care depășesc pragul evenimentului de pierdere de 100 000 EUR și care au fost excluse în conformitate cu articolul 320 alineatul (1) din Regulamentul (UE) nr. 575/2013, pentru fiecare din ultimele 10 perioade de raportare.</w:t>
            </w:r>
          </w:p>
        </w:tc>
      </w:tr>
      <w:tr w:rsidR="00D740B8" w:rsidRPr="0099038F" w14:paraId="01B8CA90"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5E151114" w14:textId="77777777" w:rsidR="00D740B8" w:rsidRPr="0099038F" w:rsidRDefault="00D740B8">
            <w:pPr>
              <w:autoSpaceDE w:val="0"/>
              <w:autoSpaceDN w:val="0"/>
              <w:adjustRightInd w:val="0"/>
              <w:spacing w:before="60" w:after="120"/>
              <w:jc w:val="center"/>
              <w:rPr>
                <w:rFonts w:ascii="Times New Roman" w:hAnsi="Times New Roman" w:cs="Times New Roman"/>
                <w:b/>
                <w:sz w:val="24"/>
              </w:rPr>
            </w:pPr>
            <w:r w:rsidRPr="0099038F">
              <w:rPr>
                <w:rFonts w:ascii="Times New Roman" w:hAnsi="Times New Roman"/>
                <w:b/>
                <w:sz w:val="24"/>
              </w:rPr>
              <w:t>10</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693D07D3" w14:textId="0C81ABEB" w:rsidR="00D740B8" w:rsidRPr="0099038F" w:rsidRDefault="00D740B8">
            <w:pPr>
              <w:spacing w:before="120" w:after="120"/>
              <w:jc w:val="both"/>
              <w:rPr>
                <w:rStyle w:val="InstructionsTabelleberschrift"/>
                <w:rFonts w:ascii="Times New Roman" w:eastAsia="Times New Roman" w:hAnsi="Times New Roman"/>
                <w:bCs w:val="0"/>
                <w:sz w:val="24"/>
                <w:u w:val="none"/>
              </w:rPr>
            </w:pPr>
            <w:r w:rsidRPr="0099038F">
              <w:rPr>
                <w:rStyle w:val="InstructionsTabelleberschrift"/>
                <w:rFonts w:ascii="Times New Roman" w:hAnsi="Times New Roman"/>
                <w:sz w:val="24"/>
                <w:u w:val="none"/>
              </w:rPr>
              <w:t>Cuantumul total al pierderilor din riscul operațional, excluzând recuperările și pierderile excluse</w:t>
            </w:r>
          </w:p>
          <w:p w14:paraId="65622881" w14:textId="32C07686" w:rsidR="00D740B8" w:rsidRPr="0099038F" w:rsidRDefault="006943D3">
            <w:pPr>
              <w:spacing w:before="120" w:after="120"/>
              <w:jc w:val="both"/>
              <w:rPr>
                <w:rStyle w:val="InstructionsTabelleberschrift"/>
                <w:rFonts w:ascii="Times New Roman" w:eastAsia="Times New Roman" w:hAnsi="Times New Roman"/>
                <w:bCs w:val="0"/>
                <w:sz w:val="24"/>
              </w:rPr>
            </w:pPr>
            <w:r w:rsidRPr="0099038F">
              <w:rPr>
                <w:rFonts w:ascii="Times New Roman" w:hAnsi="Times New Roman"/>
                <w:sz w:val="24"/>
              </w:rPr>
              <w:t>Pe acest rând este publicat cuantumul total al pierderilor din riscul operațional, fără cuantumul recuperărilor publicate pe rândul 6 și fără cuantumul pierderilor excluse publicate pe rândul 8.</w:t>
            </w:r>
          </w:p>
        </w:tc>
      </w:tr>
      <w:tr w:rsidR="00D740B8" w:rsidRPr="0099038F" w14:paraId="1DE089DB" w14:textId="77777777" w:rsidTr="00F828EB">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3FA6CB" w14:textId="77777777" w:rsidR="00D740B8" w:rsidRPr="0099038F" w:rsidRDefault="00D740B8">
            <w:pPr>
              <w:autoSpaceDE w:val="0"/>
              <w:autoSpaceDN w:val="0"/>
              <w:adjustRightInd w:val="0"/>
              <w:spacing w:before="60" w:after="120"/>
              <w:jc w:val="center"/>
              <w:rPr>
                <w:rFonts w:ascii="Times New Roman" w:hAnsi="Times New Roman" w:cs="Times New Roman"/>
                <w:b/>
                <w:sz w:val="24"/>
              </w:rPr>
            </w:pPr>
            <w:r w:rsidRPr="0099038F">
              <w:rPr>
                <w:rFonts w:ascii="Times New Roman" w:hAnsi="Times New Roman"/>
                <w:b/>
                <w:sz w:val="24"/>
              </w:rPr>
              <w:t>11</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EE813C" w14:textId="77777777" w:rsidR="00D740B8" w:rsidRPr="0099038F" w:rsidRDefault="00D740B8">
            <w:pPr>
              <w:autoSpaceDE w:val="0"/>
              <w:autoSpaceDN w:val="0"/>
              <w:adjustRightInd w:val="0"/>
              <w:spacing w:before="120" w:after="120"/>
              <w:rPr>
                <w:rStyle w:val="InstructionsTabelleberschrift"/>
                <w:rFonts w:ascii="Times New Roman" w:eastAsia="Times New Roman" w:hAnsi="Times New Roman"/>
                <w:bCs w:val="0"/>
                <w:sz w:val="24"/>
              </w:rPr>
            </w:pPr>
            <w:r w:rsidRPr="0099038F">
              <w:rPr>
                <w:rFonts w:ascii="Times New Roman" w:hAnsi="Times New Roman"/>
                <w:sz w:val="24"/>
              </w:rPr>
              <w:t>Nu se aplică.</w:t>
            </w:r>
          </w:p>
        </w:tc>
      </w:tr>
      <w:tr w:rsidR="00D740B8" w:rsidRPr="0099038F" w14:paraId="23D23702" w14:textId="77777777" w:rsidTr="00F828EB">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154CBB" w14:textId="77777777" w:rsidR="00D740B8" w:rsidRPr="0099038F" w:rsidRDefault="00D740B8">
            <w:pPr>
              <w:autoSpaceDE w:val="0"/>
              <w:autoSpaceDN w:val="0"/>
              <w:adjustRightInd w:val="0"/>
              <w:spacing w:before="60" w:after="120"/>
              <w:jc w:val="center"/>
              <w:rPr>
                <w:rFonts w:ascii="Times New Roman" w:hAnsi="Times New Roman" w:cs="Times New Roman"/>
                <w:b/>
                <w:sz w:val="24"/>
              </w:rPr>
            </w:pPr>
            <w:r w:rsidRPr="0099038F">
              <w:rPr>
                <w:rFonts w:ascii="Times New Roman" w:hAnsi="Times New Roman"/>
                <w:b/>
                <w:sz w:val="24"/>
              </w:rPr>
              <w:t>12</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2D8849" w14:textId="77777777" w:rsidR="00D740B8" w:rsidRPr="0099038F" w:rsidRDefault="00D740B8">
            <w:pPr>
              <w:spacing w:before="120" w:after="120"/>
              <w:jc w:val="both"/>
              <w:rPr>
                <w:rStyle w:val="InstructionsTabelleberschrift"/>
                <w:rFonts w:ascii="Times New Roman" w:eastAsia="Times New Roman" w:hAnsi="Times New Roman"/>
                <w:b w:val="0"/>
                <w:bCs w:val="0"/>
                <w:sz w:val="24"/>
                <w:u w:val="none"/>
              </w:rPr>
            </w:pPr>
            <w:r w:rsidRPr="0099038F">
              <w:rPr>
                <w:rStyle w:val="InstructionsTabelleberschrift"/>
                <w:rFonts w:ascii="Times New Roman" w:hAnsi="Times New Roman"/>
                <w:b w:val="0"/>
                <w:sz w:val="24"/>
                <w:u w:val="none"/>
              </w:rPr>
              <w:t>Nu se aplică.</w:t>
            </w:r>
          </w:p>
        </w:tc>
      </w:tr>
      <w:tr w:rsidR="00D740B8" w:rsidRPr="0099038F" w14:paraId="5EEF83F8" w14:textId="77777777" w:rsidTr="00F828EB">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94FD13" w14:textId="77777777" w:rsidR="00D740B8" w:rsidRPr="0099038F" w:rsidRDefault="00D740B8">
            <w:pPr>
              <w:autoSpaceDE w:val="0"/>
              <w:autoSpaceDN w:val="0"/>
              <w:adjustRightInd w:val="0"/>
              <w:spacing w:before="60" w:after="120"/>
              <w:jc w:val="center"/>
              <w:rPr>
                <w:rFonts w:ascii="Times New Roman" w:hAnsi="Times New Roman" w:cs="Times New Roman"/>
                <w:b/>
                <w:sz w:val="24"/>
              </w:rPr>
            </w:pPr>
            <w:r w:rsidRPr="0099038F">
              <w:rPr>
                <w:rFonts w:ascii="Times New Roman" w:hAnsi="Times New Roman"/>
                <w:b/>
                <w:sz w:val="24"/>
              </w:rPr>
              <w:t>13</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BDA855" w14:textId="77777777" w:rsidR="00D740B8" w:rsidRPr="0099038F" w:rsidRDefault="00D740B8">
            <w:pPr>
              <w:spacing w:before="120" w:after="120"/>
              <w:jc w:val="both"/>
              <w:rPr>
                <w:rStyle w:val="InstructionsTabelleberschrift"/>
                <w:rFonts w:ascii="Times New Roman" w:eastAsia="Times New Roman" w:hAnsi="Times New Roman"/>
                <w:b w:val="0"/>
                <w:bCs w:val="0"/>
                <w:sz w:val="24"/>
                <w:u w:val="none"/>
              </w:rPr>
            </w:pPr>
            <w:r w:rsidRPr="0099038F">
              <w:rPr>
                <w:rStyle w:val="InstructionsTabelleberschrift"/>
                <w:rFonts w:ascii="Times New Roman" w:hAnsi="Times New Roman"/>
                <w:b w:val="0"/>
                <w:sz w:val="24"/>
                <w:u w:val="none"/>
              </w:rPr>
              <w:t>Nu se aplică.</w:t>
            </w:r>
          </w:p>
        </w:tc>
      </w:tr>
    </w:tbl>
    <w:p w14:paraId="25A698B0" w14:textId="77777777" w:rsidR="00D740B8" w:rsidRPr="0099038F" w:rsidRDefault="00D740B8" w:rsidP="00D740B8">
      <w:pPr>
        <w:pStyle w:val="InstructionsText2"/>
        <w:numPr>
          <w:ilvl w:val="0"/>
          <w:numId w:val="0"/>
        </w:numPr>
        <w:ind w:left="360"/>
        <w:rPr>
          <w:lang w:val="en-US"/>
        </w:rPr>
      </w:pPr>
    </w:p>
    <w:p w14:paraId="033C5861" w14:textId="77777777" w:rsidR="00D740B8" w:rsidRPr="0099038F" w:rsidRDefault="00D740B8" w:rsidP="00D740B8">
      <w:pPr>
        <w:jc w:val="both"/>
        <w:rPr>
          <w:rFonts w:ascii="Times New Roman" w:hAnsi="Times New Roman" w:cs="Times New Roman"/>
          <w:bCs/>
          <w:sz w:val="24"/>
        </w:rPr>
      </w:pPr>
      <w:r w:rsidRPr="0099038F">
        <w:rPr>
          <w:rFonts w:ascii="Times New Roman" w:hAnsi="Times New Roman"/>
          <w:b/>
          <w:sz w:val="24"/>
        </w:rPr>
        <w:t xml:space="preserve">Modelul EU OR2 – Indicatorul de activitate, componente și subcomponente. </w:t>
      </w:r>
      <w:r w:rsidRPr="0099038F">
        <w:rPr>
          <w:rFonts w:ascii="Times New Roman" w:hAnsi="Times New Roman"/>
          <w:sz w:val="24"/>
        </w:rPr>
        <w:t>Model fix</w:t>
      </w:r>
    </w:p>
    <w:p w14:paraId="3D173CCF" w14:textId="77777777" w:rsidR="00D740B8" w:rsidRPr="0099038F" w:rsidRDefault="00D740B8" w:rsidP="00D740B8">
      <w:pPr>
        <w:ind w:left="360"/>
        <w:jc w:val="both"/>
        <w:rPr>
          <w:rFonts w:ascii="Times New Roman" w:hAnsi="Times New Roman" w:cs="Times New Roman"/>
          <w:bCs/>
          <w:sz w:val="24"/>
        </w:rPr>
      </w:pPr>
    </w:p>
    <w:p w14:paraId="3F849430" w14:textId="414C531B" w:rsidR="00D740B8" w:rsidRPr="0099038F" w:rsidRDefault="00D740B8" w:rsidP="00D740B8">
      <w:pPr>
        <w:numPr>
          <w:ilvl w:val="0"/>
          <w:numId w:val="1"/>
        </w:numPr>
        <w:jc w:val="both"/>
        <w:rPr>
          <w:rFonts w:ascii="Times New Roman" w:hAnsi="Times New Roman" w:cs="Times New Roman"/>
          <w:bCs/>
          <w:sz w:val="24"/>
        </w:rPr>
      </w:pPr>
      <w:r w:rsidRPr="0099038F">
        <w:rPr>
          <w:rFonts w:ascii="Times New Roman" w:hAnsi="Times New Roman"/>
          <w:sz w:val="24"/>
        </w:rPr>
        <w:t>Instituțiile publică informațiile incluse în modelul EU OR2 în temeiul articolului 446 alineatul (1) literele (c) și (d) din Regulamentul (UE) nr. 575/2013. Prezentul model furnizează informații despre calcularea componentei indicatorului de activitate (BIC), în conformitate cu articolul 313 din Regulamentul (UE) nr. 575/2013, și despre calcularea indicatorului de activitate (BI), a componentelor și a subcomponentelor sale, în conformitate cu articolul 314 din Regulamentul (UE) nr. 575/2013. În plus, modelul oferă, de asemenea, informații despre cuantumurile excluse din indicatorul de activitate legate de entitățile sau activitățile cedate, în conformitate cu articolul 315 alineatul (2).</w:t>
      </w:r>
    </w:p>
    <w:p w14:paraId="5C35CEC0" w14:textId="77777777" w:rsidR="00D740B8" w:rsidRPr="0099038F" w:rsidRDefault="00D740B8" w:rsidP="00D740B8">
      <w:pPr>
        <w:ind w:left="360"/>
        <w:jc w:val="both"/>
        <w:rPr>
          <w:rFonts w:ascii="Times New Roman" w:hAnsi="Times New Roman" w:cs="Times New Roman"/>
          <w:bCs/>
          <w:sz w:val="24"/>
        </w:rPr>
      </w:pPr>
    </w:p>
    <w:p w14:paraId="1749895F" w14:textId="07869965" w:rsidR="00D740B8" w:rsidRPr="0099038F" w:rsidRDefault="00D740B8" w:rsidP="00D740B8">
      <w:pPr>
        <w:numPr>
          <w:ilvl w:val="0"/>
          <w:numId w:val="1"/>
        </w:numPr>
        <w:jc w:val="both"/>
        <w:rPr>
          <w:rFonts w:ascii="Times New Roman" w:hAnsi="Times New Roman" w:cs="Times New Roman"/>
          <w:bCs/>
          <w:sz w:val="24"/>
        </w:rPr>
      </w:pPr>
      <w:r w:rsidRPr="0099038F">
        <w:rPr>
          <w:rFonts w:ascii="Times New Roman" w:hAnsi="Times New Roman"/>
          <w:sz w:val="24"/>
        </w:rPr>
        <w:t>Instituțiile publică, pentru ultimele trei exerciții financiare, informații cu privire la valoarea listei relevante de elemente care sunt necesare pentru calculul subcomponentelor BI care contribuie la calculul cerințelor de fonduri proprii pentru riscul operațional.</w:t>
      </w:r>
    </w:p>
    <w:p w14:paraId="7B27D162" w14:textId="77777777" w:rsidR="00D740B8" w:rsidRPr="0099038F" w:rsidRDefault="00D740B8" w:rsidP="00D740B8">
      <w:pPr>
        <w:pStyle w:val="ListParagraph"/>
        <w:rPr>
          <w:rFonts w:ascii="Times New Roman" w:hAnsi="Times New Roman"/>
          <w:bCs/>
          <w:sz w:val="24"/>
        </w:rPr>
      </w:pPr>
    </w:p>
    <w:p w14:paraId="41988E91" w14:textId="281D16EA" w:rsidR="00D740B8" w:rsidRPr="0099038F" w:rsidRDefault="00D740B8" w:rsidP="00D740B8">
      <w:pPr>
        <w:numPr>
          <w:ilvl w:val="0"/>
          <w:numId w:val="1"/>
        </w:numPr>
        <w:jc w:val="both"/>
        <w:rPr>
          <w:rFonts w:ascii="Times New Roman" w:hAnsi="Times New Roman" w:cs="Times New Roman"/>
          <w:bCs/>
          <w:sz w:val="24"/>
        </w:rPr>
      </w:pPr>
      <w:r w:rsidRPr="0099038F">
        <w:rPr>
          <w:rFonts w:ascii="Times New Roman" w:hAnsi="Times New Roman"/>
          <w:sz w:val="24"/>
        </w:rPr>
        <w:t>În conformitate cu articolul 314 alineatul (8) din Regulamentul (UE) nr. 575/2013, dacă nu sunt disponibile date istorice, instituțiile raportează estimările evoluției activității.</w:t>
      </w:r>
    </w:p>
    <w:p w14:paraId="14A23528" w14:textId="485ED75C" w:rsidR="00D740B8" w:rsidRPr="0099038F" w:rsidRDefault="00D740B8" w:rsidP="00D740B8">
      <w:pPr>
        <w:pStyle w:val="numberedparagraph"/>
        <w:numPr>
          <w:ilvl w:val="0"/>
          <w:numId w:val="1"/>
        </w:numPr>
        <w:rPr>
          <w:rFonts w:ascii="Times New Roman" w:hAnsi="Times New Roman" w:cs="Times New Roman"/>
          <w:sz w:val="24"/>
        </w:rPr>
      </w:pPr>
      <w:r w:rsidRPr="0099038F">
        <w:rPr>
          <w:rFonts w:ascii="Times New Roman" w:hAnsi="Times New Roman"/>
          <w:sz w:val="24"/>
        </w:rPr>
        <w:t>Dacă instituțiile au la dispoziție date disponibile care acoperă mai puțin de 3 ani referitoare la elementele detaliate care intră în componentele BI, datele istorice disponibile se alocă în funcție de prioritate coloanelor corespunzătoare din model. Dacă instituțiile au date istorice disponibile referitoare la componentele BI care corespund unei perioade de un an, aceste date se raportează în coloana corespunzătoare anului celui mai recent (de exemplu, „ultimul an”). Dacă acest lucru pare rezonabil, estimările evoluției activității se includ în anul -1 și, respectiv, în anul -2, până când datele respective devin disponibile.</w:t>
      </w:r>
    </w:p>
    <w:p w14:paraId="2DDE0943" w14:textId="7F04DC41" w:rsidR="00D740B8" w:rsidRPr="0099038F" w:rsidRDefault="00D740B8" w:rsidP="00D740B8">
      <w:pPr>
        <w:pStyle w:val="numberedparagraph"/>
        <w:numPr>
          <w:ilvl w:val="0"/>
          <w:numId w:val="1"/>
        </w:numPr>
        <w:rPr>
          <w:rFonts w:ascii="Times New Roman" w:hAnsi="Times New Roman" w:cs="Times New Roman"/>
          <w:sz w:val="24"/>
        </w:rPr>
      </w:pPr>
      <w:r w:rsidRPr="0099038F">
        <w:rPr>
          <w:rFonts w:ascii="Times New Roman" w:hAnsi="Times New Roman"/>
          <w:sz w:val="24"/>
        </w:rPr>
        <w:t xml:space="preserve">Instituțiile nu includ printre </w:t>
      </w:r>
      <w:proofErr w:type="spellStart"/>
      <w:r w:rsidRPr="0099038F">
        <w:rPr>
          <w:rFonts w:ascii="Times New Roman" w:hAnsi="Times New Roman"/>
          <w:sz w:val="24"/>
        </w:rPr>
        <w:t>subelementele</w:t>
      </w:r>
      <w:proofErr w:type="spellEnd"/>
      <w:r w:rsidRPr="0099038F">
        <w:rPr>
          <w:rFonts w:ascii="Times New Roman" w:hAnsi="Times New Roman"/>
          <w:sz w:val="24"/>
        </w:rPr>
        <w:t xml:space="preserve"> care fac parte din calculul componentei dobânzilor, contractelor de leasing și dividendelor (ILDC) nicio cifră legată de instituțiile filiale specifice ale căror ILDC se calculează separat în conformitate cu articolul 314 alineatul (3) din Regulamentul (UE) nr. 575/2013.</w:t>
      </w:r>
    </w:p>
    <w:p w14:paraId="3512454B" w14:textId="27224DC8" w:rsidR="00841A0D" w:rsidRPr="0099038F" w:rsidRDefault="00D740B8" w:rsidP="00D740B8">
      <w:pPr>
        <w:numPr>
          <w:ilvl w:val="0"/>
          <w:numId w:val="1"/>
        </w:numPr>
        <w:jc w:val="both"/>
        <w:rPr>
          <w:rFonts w:ascii="Times New Roman" w:hAnsi="Times New Roman" w:cs="Times New Roman"/>
          <w:bCs/>
          <w:sz w:val="24"/>
        </w:rPr>
      </w:pPr>
      <w:r w:rsidRPr="0099038F">
        <w:rPr>
          <w:rFonts w:ascii="Times New Roman" w:hAnsi="Times New Roman"/>
          <w:sz w:val="24"/>
        </w:rPr>
        <w:t xml:space="preserve">Instituțiile nu includ printre </w:t>
      </w:r>
      <w:proofErr w:type="spellStart"/>
      <w:r w:rsidRPr="0099038F">
        <w:rPr>
          <w:rFonts w:ascii="Times New Roman" w:hAnsi="Times New Roman"/>
          <w:sz w:val="24"/>
        </w:rPr>
        <w:t>subelementele</w:t>
      </w:r>
      <w:proofErr w:type="spellEnd"/>
      <w:r w:rsidRPr="0099038F">
        <w:rPr>
          <w:rFonts w:ascii="Times New Roman" w:hAnsi="Times New Roman"/>
          <w:sz w:val="24"/>
        </w:rPr>
        <w:t xml:space="preserve"> care fac parte din calculul componentei dobânzilor, contractelor de leasing și dividendelor (ILDC) nicio cifră provenind de la liniile de activitate bancară de retail și/sau comercială în cazurile în care instituția a primit aprobarea de a aplica articolul 314 alineatul (4) din Regulamentul (UE) nr. 575/2013.</w:t>
      </w:r>
    </w:p>
    <w:p w14:paraId="22AE3E22" w14:textId="77777777" w:rsidR="00841A0D" w:rsidRPr="0099038F" w:rsidRDefault="00841A0D" w:rsidP="00841A0D">
      <w:pPr>
        <w:ind w:left="360"/>
        <w:jc w:val="both"/>
        <w:rPr>
          <w:rFonts w:ascii="Times New Roman" w:hAnsi="Times New Roman" w:cs="Times New Roman"/>
          <w:bCs/>
          <w:sz w:val="24"/>
        </w:rPr>
      </w:pPr>
    </w:p>
    <w:p w14:paraId="3A161EFD" w14:textId="7882B43A" w:rsidR="00D740B8" w:rsidRPr="0099038F" w:rsidRDefault="003826D3" w:rsidP="00D740B8">
      <w:pPr>
        <w:numPr>
          <w:ilvl w:val="0"/>
          <w:numId w:val="1"/>
        </w:numPr>
        <w:jc w:val="both"/>
        <w:rPr>
          <w:rFonts w:ascii="Times New Roman" w:hAnsi="Times New Roman" w:cs="Times New Roman"/>
          <w:bCs/>
          <w:sz w:val="24"/>
        </w:rPr>
      </w:pPr>
      <w:r w:rsidRPr="0099038F">
        <w:rPr>
          <w:rFonts w:ascii="Times New Roman" w:hAnsi="Times New Roman"/>
          <w:sz w:val="24"/>
        </w:rPr>
        <w:t>Cu toate acestea, instituțiile raportează pe rândul 1 valoarea totală a ILDC, inclusiv valorile calculate în conformitate cu articolul 314 alineatul (3) din Regulamentul (UE) nr. 575/2013. Pe rândul EU 1, se raportează, de asemenea, ILDC, excluzând entitățile avute în vedere la articolul 314 alineatul (3).</w:t>
      </w:r>
    </w:p>
    <w:p w14:paraId="7DAFACF8" w14:textId="77777777" w:rsidR="00D740B8" w:rsidRPr="0099038F" w:rsidRDefault="00D740B8" w:rsidP="00D740B8">
      <w:pPr>
        <w:ind w:left="360"/>
        <w:jc w:val="both"/>
        <w:rPr>
          <w:rFonts w:ascii="Times New Roman" w:hAnsi="Times New Roman" w:cs="Times New Roman"/>
          <w:bCs/>
          <w:sz w:val="24"/>
        </w:rPr>
      </w:pPr>
    </w:p>
    <w:p w14:paraId="578B96DC" w14:textId="494916C5" w:rsidR="00D740B8" w:rsidRPr="0099038F" w:rsidRDefault="00D740B8" w:rsidP="00D740B8">
      <w:pPr>
        <w:numPr>
          <w:ilvl w:val="0"/>
          <w:numId w:val="1"/>
        </w:numPr>
        <w:jc w:val="both"/>
        <w:rPr>
          <w:rFonts w:ascii="Times New Roman" w:hAnsi="Times New Roman" w:cs="Times New Roman"/>
          <w:bCs/>
          <w:sz w:val="24"/>
        </w:rPr>
      </w:pPr>
      <w:r w:rsidRPr="0099038F">
        <w:rPr>
          <w:rFonts w:ascii="Times New Roman" w:hAnsi="Times New Roman"/>
          <w:sz w:val="24"/>
        </w:rPr>
        <w:t>În informațiile explicative care însoțesc modelul, în conformitate cu articolul 446 alineatul (1) din Regulamentul (UE) nr. 575/2013, instituțiile publică justificările pentru fiecare excludere din indicatorul de activitate, cu excepția excluderii liniilor de activitate comercială și de retail avute în vedere la articolul 314 alineatul (4).</w:t>
      </w:r>
    </w:p>
    <w:p w14:paraId="22C673C4" w14:textId="77777777" w:rsidR="00393FEF" w:rsidRPr="0099038F" w:rsidRDefault="00393FEF" w:rsidP="00532CFA">
      <w:pPr>
        <w:pStyle w:val="ListParagraph"/>
        <w:rPr>
          <w:rFonts w:ascii="Times New Roman" w:hAnsi="Times New Roman"/>
          <w:bCs/>
          <w:sz w:val="24"/>
        </w:rPr>
      </w:pPr>
    </w:p>
    <w:p w14:paraId="7DD11602" w14:textId="2BC0B288" w:rsidR="00393FEF" w:rsidRPr="0099038F" w:rsidRDefault="006020C0" w:rsidP="00D740B8">
      <w:pPr>
        <w:numPr>
          <w:ilvl w:val="0"/>
          <w:numId w:val="1"/>
        </w:numPr>
        <w:jc w:val="both"/>
        <w:rPr>
          <w:rFonts w:ascii="Times New Roman" w:hAnsi="Times New Roman" w:cs="Times New Roman"/>
          <w:bCs/>
          <w:sz w:val="24"/>
        </w:rPr>
      </w:pPr>
      <w:r w:rsidRPr="0099038F">
        <w:rPr>
          <w:rFonts w:ascii="Times New Roman" w:hAnsi="Times New Roman"/>
          <w:sz w:val="24"/>
        </w:rPr>
        <w:t>Având în vedere legătura strânsă dintre cerințele de publicare a informațiilor privind riscul operațional și situațiile financiare ale instituției, trimiterile la cerințele de raportare prezentate în anexa V la soluțiile informatice ale ABE (FINREP) au fost reflectate în instrucțiuni în ansamblul lor.</w:t>
      </w:r>
    </w:p>
    <w:p w14:paraId="1D4913E2" w14:textId="77777777" w:rsidR="00DD1D82" w:rsidRPr="0099038F" w:rsidRDefault="00DD1D82" w:rsidP="00DD1D82">
      <w:pPr>
        <w:pStyle w:val="ListParagraph"/>
        <w:rPr>
          <w:rFonts w:ascii="Times New Roman" w:hAnsi="Times New Roman"/>
          <w:bCs/>
          <w:sz w:val="24"/>
        </w:rPr>
      </w:pPr>
    </w:p>
    <w:p w14:paraId="11E51AFD" w14:textId="3D720718" w:rsidR="00DD1D82" w:rsidRPr="0099038F" w:rsidRDefault="00050ABA" w:rsidP="001257B6">
      <w:pPr>
        <w:numPr>
          <w:ilvl w:val="0"/>
          <w:numId w:val="1"/>
        </w:numPr>
        <w:jc w:val="both"/>
        <w:rPr>
          <w:rFonts w:ascii="Times New Roman" w:hAnsi="Times New Roman" w:cs="Times New Roman"/>
          <w:bCs/>
          <w:sz w:val="24"/>
        </w:rPr>
      </w:pPr>
      <w:r w:rsidRPr="0099038F">
        <w:rPr>
          <w:rFonts w:ascii="Times New Roman" w:hAnsi="Times New Roman"/>
          <w:sz w:val="24"/>
        </w:rPr>
        <w:t>Convențiile privind semnele pentru completarea acestui model respectă convențiile reflectate în anexa V la soluțiile informatice ale ABE.</w:t>
      </w:r>
    </w:p>
    <w:p w14:paraId="21275E00" w14:textId="77777777" w:rsidR="00D740B8" w:rsidRPr="0099038F" w:rsidRDefault="00D740B8" w:rsidP="00D740B8">
      <w:pPr>
        <w:pStyle w:val="ListParagraph"/>
        <w:rPr>
          <w:rFonts w:ascii="Times New Roman" w:hAnsi="Times New Roman"/>
          <w:bCs/>
          <w:sz w:val="24"/>
        </w:rPr>
      </w:pP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7756"/>
      </w:tblGrid>
      <w:tr w:rsidR="00D740B8" w:rsidRPr="0099038F" w14:paraId="069EA903" w14:textId="77777777">
        <w:trPr>
          <w:trHeight w:val="300"/>
        </w:trPr>
        <w:tc>
          <w:tcPr>
            <w:tcW w:w="1260" w:type="dxa"/>
            <w:shd w:val="clear" w:color="auto" w:fill="BFBFBF" w:themeFill="background1" w:themeFillShade="BF"/>
          </w:tcPr>
          <w:p w14:paraId="7E4DE4F0" w14:textId="77777777" w:rsidR="00D740B8" w:rsidRPr="0099038F" w:rsidRDefault="00D740B8" w:rsidP="0099038F">
            <w:pPr>
              <w:pageBreakBefore/>
              <w:autoSpaceDE w:val="0"/>
              <w:autoSpaceDN w:val="0"/>
              <w:adjustRightInd w:val="0"/>
              <w:rPr>
                <w:rFonts w:ascii="Times New Roman" w:hAnsi="Times New Roman" w:cs="Times New Roman"/>
                <w:b/>
                <w:sz w:val="24"/>
              </w:rPr>
            </w:pPr>
            <w:r w:rsidRPr="0099038F">
              <w:rPr>
                <w:rFonts w:ascii="Times New Roman" w:hAnsi="Times New Roman"/>
                <w:b/>
                <w:sz w:val="24"/>
              </w:rPr>
              <w:t>Coloană</w:t>
            </w:r>
          </w:p>
        </w:tc>
        <w:tc>
          <w:tcPr>
            <w:tcW w:w="7756" w:type="dxa"/>
            <w:shd w:val="clear" w:color="auto" w:fill="BFBFBF" w:themeFill="background1" w:themeFillShade="BF"/>
          </w:tcPr>
          <w:p w14:paraId="0D54BB35" w14:textId="77777777" w:rsidR="00D740B8" w:rsidRPr="0099038F" w:rsidDel="00B46ADB" w:rsidRDefault="00D740B8">
            <w:pPr>
              <w:autoSpaceDE w:val="0"/>
              <w:autoSpaceDN w:val="0"/>
              <w:adjustRightInd w:val="0"/>
              <w:rPr>
                <w:bCs/>
              </w:rPr>
            </w:pPr>
            <w:r w:rsidRPr="0099038F">
              <w:rPr>
                <w:rFonts w:ascii="Times New Roman" w:hAnsi="Times New Roman"/>
                <w:b/>
                <w:sz w:val="24"/>
              </w:rPr>
              <w:t>Referințe juridice și instrucțiuni</w:t>
            </w:r>
          </w:p>
        </w:tc>
      </w:tr>
      <w:tr w:rsidR="00D740B8" w:rsidRPr="0099038F" w14:paraId="7AE7216D" w14:textId="77777777">
        <w:trPr>
          <w:trHeight w:val="300"/>
        </w:trPr>
        <w:tc>
          <w:tcPr>
            <w:tcW w:w="1260" w:type="dxa"/>
          </w:tcPr>
          <w:p w14:paraId="0FC699E1" w14:textId="0D76C831" w:rsidR="00D740B8" w:rsidRPr="0099038F" w:rsidRDefault="00D740B8" w:rsidP="00165BEF">
            <w:pPr>
              <w:autoSpaceDE w:val="0"/>
              <w:autoSpaceDN w:val="0"/>
              <w:adjustRightInd w:val="0"/>
              <w:jc w:val="center"/>
              <w:rPr>
                <w:rFonts w:ascii="Times New Roman" w:hAnsi="Times New Roman"/>
                <w:bCs/>
                <w:sz w:val="24"/>
              </w:rPr>
            </w:pPr>
            <w:r w:rsidRPr="0099038F">
              <w:rPr>
                <w:rFonts w:ascii="Times New Roman" w:hAnsi="Times New Roman"/>
                <w:sz w:val="24"/>
              </w:rPr>
              <w:t>a, b, c</w:t>
            </w:r>
          </w:p>
        </w:tc>
        <w:tc>
          <w:tcPr>
            <w:tcW w:w="7756" w:type="dxa"/>
          </w:tcPr>
          <w:p w14:paraId="510A12A5" w14:textId="13FB6D98" w:rsidR="00D740B8" w:rsidRPr="0099038F" w:rsidRDefault="00D740B8">
            <w:pPr>
              <w:autoSpaceDE w:val="0"/>
              <w:autoSpaceDN w:val="0"/>
              <w:adjustRightInd w:val="0"/>
              <w:rPr>
                <w:rStyle w:val="InstructionsTabelleberschrift"/>
                <w:rFonts w:ascii="Times New Roman" w:hAnsi="Times New Roman"/>
                <w:sz w:val="24"/>
                <w:u w:val="none"/>
              </w:rPr>
            </w:pPr>
            <w:r w:rsidRPr="0099038F">
              <w:rPr>
                <w:rStyle w:val="InstructionsTabelleberschrift"/>
                <w:rFonts w:ascii="Times New Roman" w:hAnsi="Times New Roman"/>
                <w:sz w:val="24"/>
                <w:u w:val="none"/>
              </w:rPr>
              <w:t>Valoare</w:t>
            </w:r>
          </w:p>
          <w:p w14:paraId="0A7A2FD7" w14:textId="77777777" w:rsidR="00D740B8" w:rsidRPr="0099038F" w:rsidRDefault="00D740B8">
            <w:pPr>
              <w:rPr>
                <w:rFonts w:ascii="Times New Roman" w:hAnsi="Times New Roman"/>
                <w:sz w:val="24"/>
                <w:lang w:eastAsia="de-DE"/>
              </w:rPr>
            </w:pPr>
          </w:p>
          <w:p w14:paraId="0C8A142A" w14:textId="4CAB13C5" w:rsidR="00D740B8" w:rsidRPr="0099038F" w:rsidRDefault="00D740B8">
            <w:pPr>
              <w:autoSpaceDE w:val="0"/>
              <w:autoSpaceDN w:val="0"/>
              <w:adjustRightInd w:val="0"/>
              <w:rPr>
                <w:rFonts w:ascii="Times New Roman" w:hAnsi="Times New Roman" w:cs="Times New Roman"/>
                <w:bCs/>
                <w:sz w:val="24"/>
              </w:rPr>
            </w:pPr>
            <w:r w:rsidRPr="0099038F">
              <w:rPr>
                <w:rFonts w:ascii="Times New Roman" w:hAnsi="Times New Roman"/>
                <w:sz w:val="24"/>
              </w:rPr>
              <w:t>Articolul 446 alineatul (1) litera (d) și articolul 314 alineatul (1) din Regulamentul (UE) nr. 575/2013.</w:t>
            </w:r>
          </w:p>
          <w:p w14:paraId="7883915F" w14:textId="77777777" w:rsidR="00D740B8" w:rsidRPr="0099038F" w:rsidRDefault="00D740B8">
            <w:pPr>
              <w:autoSpaceDE w:val="0"/>
              <w:autoSpaceDN w:val="0"/>
              <w:adjustRightInd w:val="0"/>
              <w:rPr>
                <w:rFonts w:ascii="Times New Roman" w:hAnsi="Times New Roman"/>
                <w:bCs/>
                <w:sz w:val="24"/>
                <w:lang w:eastAsia="nl-BE"/>
              </w:rPr>
            </w:pPr>
          </w:p>
          <w:p w14:paraId="558CD9DA" w14:textId="2FA81485" w:rsidR="00EA10B1" w:rsidRPr="0099038F" w:rsidRDefault="002F3CFA">
            <w:pPr>
              <w:pStyle w:val="paragraph"/>
              <w:spacing w:before="0" w:beforeAutospacing="0" w:after="0" w:afterAutospacing="0"/>
              <w:textAlignment w:val="baseline"/>
            </w:pPr>
            <w:r w:rsidRPr="0099038F">
              <w:t>Valoarea pentru lista elementelor care fac parte din calculul BI și al componentelor sale [calculul ILDC, al componentei de servicii (SC) și al componentei financiare (FC)] în conformitate cu standardele contabile aplicabile pentru fiecare din ultimele trei exerciții financiare.</w:t>
            </w:r>
          </w:p>
          <w:p w14:paraId="3414DDFE" w14:textId="77777777" w:rsidR="007B3E62" w:rsidRPr="0099038F" w:rsidRDefault="007B3E62">
            <w:pPr>
              <w:pStyle w:val="paragraph"/>
              <w:spacing w:before="0" w:beforeAutospacing="0" w:after="0" w:afterAutospacing="0"/>
              <w:textAlignment w:val="baseline"/>
              <w:rPr>
                <w:lang w:eastAsia="de-DE"/>
              </w:rPr>
            </w:pPr>
          </w:p>
          <w:p w14:paraId="374E1BCA" w14:textId="5E2803E9" w:rsidR="007B3E62" w:rsidRPr="0099038F" w:rsidRDefault="00B76B25">
            <w:pPr>
              <w:pStyle w:val="paragraph"/>
              <w:spacing w:before="0" w:beforeAutospacing="0" w:after="0" w:afterAutospacing="0"/>
              <w:textAlignment w:val="baseline"/>
            </w:pPr>
            <w:r w:rsidRPr="0099038F">
              <w:t>Cuantumurile se raportează după aplicarea ajustărilor legate de fuziuni/achiziții și activitățile cesionate.</w:t>
            </w:r>
          </w:p>
          <w:p w14:paraId="00BACA37" w14:textId="77777777" w:rsidR="00EA10B1" w:rsidRPr="0099038F" w:rsidRDefault="00EA10B1">
            <w:pPr>
              <w:pStyle w:val="paragraph"/>
              <w:spacing w:before="0" w:beforeAutospacing="0" w:after="0" w:afterAutospacing="0"/>
              <w:textAlignment w:val="baseline"/>
              <w:rPr>
                <w:lang w:eastAsia="de-DE"/>
              </w:rPr>
            </w:pPr>
          </w:p>
          <w:p w14:paraId="21635601" w14:textId="1A8DE566" w:rsidR="00D740B8" w:rsidRPr="0099038F" w:rsidRDefault="00D740B8" w:rsidP="000F6C61">
            <w:pPr>
              <w:pStyle w:val="paragraph"/>
              <w:spacing w:before="0" w:beforeAutospacing="0" w:after="0" w:afterAutospacing="0"/>
              <w:textAlignment w:val="baseline"/>
            </w:pPr>
            <w:r w:rsidRPr="0099038F">
              <w:t>Pentru FC, valorile care trebuie publicate vor reflecta valorile contabile determinate utilizând limita contabilă sau limita prudențială (PBA) pentru a identifica elementele din portofoliul de tranzacționare și din portofoliul bancar pentru fiecare din ultimele 3 exerciții financiare, în conformitate cu articolul 314 alineatul (6) din Regulamentul (UE) nr. 575/2013.</w:t>
            </w:r>
          </w:p>
        </w:tc>
      </w:tr>
      <w:tr w:rsidR="00D740B8" w:rsidRPr="0099038F" w14:paraId="3103AD05" w14:textId="77777777">
        <w:trPr>
          <w:trHeight w:val="300"/>
        </w:trPr>
        <w:tc>
          <w:tcPr>
            <w:tcW w:w="1260" w:type="dxa"/>
          </w:tcPr>
          <w:p w14:paraId="0FFA543A" w14:textId="77777777" w:rsidR="00D740B8" w:rsidRPr="0099038F" w:rsidRDefault="00D740B8" w:rsidP="00165BEF">
            <w:pPr>
              <w:autoSpaceDE w:val="0"/>
              <w:autoSpaceDN w:val="0"/>
              <w:adjustRightInd w:val="0"/>
              <w:jc w:val="center"/>
              <w:rPr>
                <w:rFonts w:ascii="Times New Roman" w:hAnsi="Times New Roman"/>
                <w:bCs/>
                <w:sz w:val="24"/>
              </w:rPr>
            </w:pPr>
            <w:r w:rsidRPr="0099038F">
              <w:rPr>
                <w:rFonts w:ascii="Times New Roman" w:hAnsi="Times New Roman"/>
                <w:sz w:val="24"/>
              </w:rPr>
              <w:t>d</w:t>
            </w:r>
          </w:p>
        </w:tc>
        <w:tc>
          <w:tcPr>
            <w:tcW w:w="7756" w:type="dxa"/>
          </w:tcPr>
          <w:p w14:paraId="117DF1D7" w14:textId="77777777" w:rsidR="00D740B8" w:rsidRPr="0099038F" w:rsidRDefault="00D740B8">
            <w:pPr>
              <w:autoSpaceDE w:val="0"/>
              <w:autoSpaceDN w:val="0"/>
              <w:adjustRightInd w:val="0"/>
              <w:rPr>
                <w:rStyle w:val="InstructionsTabelleberschrift"/>
                <w:rFonts w:ascii="Times New Roman" w:hAnsi="Times New Roman"/>
                <w:sz w:val="24"/>
                <w:u w:val="none"/>
              </w:rPr>
            </w:pPr>
            <w:r w:rsidRPr="0099038F">
              <w:rPr>
                <w:rStyle w:val="InstructionsTabelleberschrift"/>
                <w:rFonts w:ascii="Times New Roman" w:hAnsi="Times New Roman"/>
                <w:sz w:val="24"/>
                <w:u w:val="none"/>
              </w:rPr>
              <w:t>Valori medii</w:t>
            </w:r>
          </w:p>
          <w:p w14:paraId="27B3847F" w14:textId="77777777" w:rsidR="00D740B8" w:rsidRPr="0099038F" w:rsidRDefault="00D740B8">
            <w:pPr>
              <w:autoSpaceDE w:val="0"/>
              <w:autoSpaceDN w:val="0"/>
              <w:adjustRightInd w:val="0"/>
              <w:rPr>
                <w:rFonts w:ascii="Times New Roman" w:hAnsi="Times New Roman"/>
                <w:sz w:val="24"/>
                <w:lang w:eastAsia="de-DE"/>
              </w:rPr>
            </w:pPr>
          </w:p>
          <w:p w14:paraId="2CEEC93D" w14:textId="277817D6" w:rsidR="00D740B8" w:rsidRPr="0099038F" w:rsidRDefault="00D740B8">
            <w:pPr>
              <w:autoSpaceDE w:val="0"/>
              <w:autoSpaceDN w:val="0"/>
              <w:adjustRightInd w:val="0"/>
              <w:rPr>
                <w:rFonts w:ascii="Times New Roman" w:hAnsi="Times New Roman" w:cs="Times New Roman"/>
                <w:bCs/>
                <w:sz w:val="24"/>
              </w:rPr>
            </w:pPr>
            <w:r w:rsidRPr="0099038F">
              <w:rPr>
                <w:rFonts w:ascii="Times New Roman" w:hAnsi="Times New Roman"/>
                <w:sz w:val="24"/>
              </w:rPr>
              <w:t>Articolul 314 alineatele (2), (5) și (6) din Regulamentul (UE) nr. 575/2013.</w:t>
            </w:r>
          </w:p>
          <w:p w14:paraId="5FAAFF7A" w14:textId="77777777" w:rsidR="00D740B8" w:rsidRPr="0099038F" w:rsidRDefault="00D740B8">
            <w:pPr>
              <w:autoSpaceDE w:val="0"/>
              <w:autoSpaceDN w:val="0"/>
              <w:adjustRightInd w:val="0"/>
              <w:rPr>
                <w:rStyle w:val="InstructionsTabelleberschrift"/>
                <w:rFonts w:ascii="Times New Roman" w:hAnsi="Times New Roman"/>
                <w:sz w:val="24"/>
              </w:rPr>
            </w:pPr>
          </w:p>
          <w:p w14:paraId="3E17CEC0" w14:textId="402AFA6E" w:rsidR="00D740B8" w:rsidRPr="0099038F" w:rsidRDefault="00D740B8">
            <w:pPr>
              <w:pStyle w:val="paragraph"/>
              <w:spacing w:before="0" w:beforeAutospacing="0" w:after="0" w:afterAutospacing="0"/>
              <w:textAlignment w:val="baseline"/>
              <w:rPr>
                <w:rStyle w:val="normaltextrun"/>
              </w:rPr>
            </w:pPr>
            <w:r w:rsidRPr="0099038F">
              <w:rPr>
                <w:rStyle w:val="normaltextrun"/>
              </w:rPr>
              <w:t>Valorile calculate ale componentelor ILDC, SC și FC și valoarea medie a subcomponentelor aferente, calculate în cursul ultimelor trei exerciții financiare și care fac trimitere la anul T.</w:t>
            </w:r>
          </w:p>
          <w:p w14:paraId="32637704" w14:textId="35682543" w:rsidR="00D740B8" w:rsidRPr="0099038F" w:rsidRDefault="00D740B8">
            <w:pPr>
              <w:pStyle w:val="paragraph"/>
              <w:spacing w:before="0" w:beforeAutospacing="0" w:after="0" w:afterAutospacing="0"/>
              <w:textAlignment w:val="baseline"/>
              <w:rPr>
                <w:rStyle w:val="normaltextrun"/>
              </w:rPr>
            </w:pPr>
          </w:p>
          <w:p w14:paraId="6C270BFC" w14:textId="453723AA" w:rsidR="00D740B8" w:rsidRPr="0099038F" w:rsidRDefault="00D740B8" w:rsidP="008006BD">
            <w:pPr>
              <w:pStyle w:val="paragraph"/>
              <w:spacing w:before="0" w:beforeAutospacing="0" w:after="0" w:afterAutospacing="0"/>
              <w:textAlignment w:val="baseline"/>
              <w:rPr>
                <w:rStyle w:val="InstructionsTabelleberschrift"/>
                <w:rFonts w:ascii="Times New Roman" w:hAnsi="Times New Roman"/>
                <w:sz w:val="24"/>
              </w:rPr>
            </w:pPr>
            <w:r w:rsidRPr="0099038F">
              <w:rPr>
                <w:rStyle w:val="normaltextrun"/>
              </w:rPr>
              <w:t xml:space="preserve">Media se calculează luând în considerare valorile contabile pentru fiecare din ultimele 3 exerciții. </w:t>
            </w:r>
          </w:p>
        </w:tc>
      </w:tr>
    </w:tbl>
    <w:p w14:paraId="75117700" w14:textId="77777777" w:rsidR="00D740B8" w:rsidRPr="0099038F" w:rsidRDefault="00D740B8" w:rsidP="00D740B8">
      <w:pPr>
        <w:pStyle w:val="numberedparagraph"/>
        <w:numPr>
          <w:ilvl w:val="0"/>
          <w:numId w:val="0"/>
        </w:numPr>
        <w:ind w:left="284" w:hanging="284"/>
        <w:rPr>
          <w:rStyle w:val="InstructionsTabelleberschrift"/>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7768"/>
      </w:tblGrid>
      <w:tr w:rsidR="00D740B8" w:rsidRPr="0099038F" w14:paraId="60D9E4A4"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0F2134" w14:textId="77777777" w:rsidR="00D740B8" w:rsidRPr="0099038F" w:rsidRDefault="00D740B8">
            <w:pPr>
              <w:autoSpaceDE w:val="0"/>
              <w:autoSpaceDN w:val="0"/>
              <w:adjustRightInd w:val="0"/>
              <w:rPr>
                <w:rFonts w:ascii="Times New Roman" w:hAnsi="Times New Roman" w:cs="Times New Roman"/>
                <w:b/>
                <w:sz w:val="24"/>
              </w:rPr>
            </w:pPr>
            <w:r w:rsidRPr="0099038F">
              <w:rPr>
                <w:rFonts w:ascii="Times New Roman" w:hAnsi="Times New Roman"/>
                <w:b/>
                <w:sz w:val="24"/>
              </w:rPr>
              <w:t>Rând</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799870" w14:textId="77777777" w:rsidR="00D740B8" w:rsidRPr="0099038F" w:rsidRDefault="00D740B8">
            <w:pPr>
              <w:rPr>
                <w:rFonts w:ascii="Times New Roman" w:hAnsi="Times New Roman" w:cs="Times New Roman"/>
                <w:b/>
                <w:sz w:val="24"/>
              </w:rPr>
            </w:pPr>
            <w:r w:rsidRPr="0099038F">
              <w:rPr>
                <w:rFonts w:ascii="Times New Roman" w:hAnsi="Times New Roman"/>
                <w:b/>
                <w:sz w:val="24"/>
              </w:rPr>
              <w:t>Referințe juridice și instrucțiuni</w:t>
            </w:r>
          </w:p>
        </w:tc>
      </w:tr>
      <w:tr w:rsidR="00D740B8" w:rsidRPr="0099038F" w14:paraId="1AE63B23"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22254D68" w14:textId="77777777" w:rsidR="00D740B8" w:rsidRPr="0099038F" w:rsidRDefault="00D740B8">
            <w:pPr>
              <w:autoSpaceDE w:val="0"/>
              <w:autoSpaceDN w:val="0"/>
              <w:adjustRightInd w:val="0"/>
              <w:spacing w:before="60" w:after="120"/>
              <w:jc w:val="center"/>
              <w:rPr>
                <w:rFonts w:ascii="Times New Roman" w:hAnsi="Times New Roman" w:cs="Times New Roman"/>
                <w:b/>
                <w:sz w:val="24"/>
              </w:rPr>
            </w:pPr>
            <w:r w:rsidRPr="0099038F">
              <w:rPr>
                <w:rFonts w:ascii="Times New Roman" w:hAnsi="Times New Roman"/>
                <w:b/>
                <w:sz w:val="24"/>
              </w:rPr>
              <w:t>1</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0C1762DB" w14:textId="4BD6204F" w:rsidR="00D740B8" w:rsidRPr="0099038F" w:rsidRDefault="00D740B8">
            <w:pPr>
              <w:spacing w:before="60" w:after="120"/>
              <w:jc w:val="both"/>
              <w:rPr>
                <w:rFonts w:ascii="Times New Roman" w:eastAsia="Times New Roman" w:hAnsi="Times New Roman" w:cs="Times New Roman"/>
                <w:b/>
                <w:sz w:val="24"/>
              </w:rPr>
            </w:pPr>
            <w:r w:rsidRPr="0099038F">
              <w:rPr>
                <w:rFonts w:ascii="Times New Roman" w:hAnsi="Times New Roman"/>
                <w:b/>
                <w:sz w:val="24"/>
              </w:rPr>
              <w:t>Componenta dobânzilor, contractelor de leasing și dividendelor (ILDC)</w:t>
            </w:r>
          </w:p>
          <w:p w14:paraId="78381763" w14:textId="2625CE0B" w:rsidR="00D740B8" w:rsidRPr="0099038F" w:rsidRDefault="00D740B8">
            <w:pPr>
              <w:spacing w:before="60" w:after="120"/>
              <w:jc w:val="both"/>
              <w:rPr>
                <w:rFonts w:ascii="Times New Roman" w:eastAsia="Times New Roman" w:hAnsi="Times New Roman" w:cs="Times New Roman"/>
                <w:b/>
                <w:sz w:val="24"/>
              </w:rPr>
            </w:pPr>
            <w:r w:rsidRPr="0099038F">
              <w:rPr>
                <w:rFonts w:ascii="Times New Roman" w:hAnsi="Times New Roman"/>
                <w:sz w:val="24"/>
              </w:rPr>
              <w:t>Componenta dobânzilor, contractelor de leasing și dividendelor (ILDC) se calculează în conformitate cu articolul 314 alineatul (2) din Regulamentul (UE) nr. 575/2013, incluzând, după caz, cuantumurile calculate în conformitate cu articolul 314 alineatul (3) din Regulamentul (UE) nr. 575/2013. Dacă o instituție face obiectul derogării menționate la articolul 314 alineatul (4) din Regulamentul (UE) nr. 575/2013, instituția nu include cifre din liniile de activitate bancară de retail și comercială.</w:t>
            </w:r>
          </w:p>
        </w:tc>
      </w:tr>
      <w:tr w:rsidR="00456F97" w:rsidRPr="0099038F" w14:paraId="2142E785"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3650228B" w14:textId="2F42AD3B" w:rsidR="00456F97" w:rsidRPr="0099038F" w:rsidRDefault="00E03FA1">
            <w:pPr>
              <w:autoSpaceDE w:val="0"/>
              <w:autoSpaceDN w:val="0"/>
              <w:adjustRightInd w:val="0"/>
              <w:spacing w:before="60" w:after="120"/>
              <w:jc w:val="center"/>
              <w:rPr>
                <w:rFonts w:ascii="Times New Roman" w:hAnsi="Times New Roman" w:cs="Times New Roman"/>
                <w:b/>
                <w:sz w:val="24"/>
              </w:rPr>
            </w:pPr>
            <w:r w:rsidRPr="0099038F">
              <w:rPr>
                <w:rFonts w:ascii="Times New Roman" w:hAnsi="Times New Roman"/>
                <w:b/>
                <w:sz w:val="24"/>
              </w:rPr>
              <w:t>EU 1</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3AED9357" w14:textId="2BE8631A" w:rsidR="00456F97" w:rsidRPr="0099038F" w:rsidRDefault="00E2624F">
            <w:pPr>
              <w:spacing w:before="60" w:after="120"/>
              <w:jc w:val="both"/>
              <w:rPr>
                <w:rFonts w:ascii="Times New Roman" w:eastAsia="Times New Roman" w:hAnsi="Times New Roman" w:cs="Times New Roman"/>
                <w:b/>
                <w:sz w:val="24"/>
              </w:rPr>
            </w:pPr>
            <w:r w:rsidRPr="0099038F">
              <w:rPr>
                <w:rFonts w:ascii="Times New Roman" w:hAnsi="Times New Roman"/>
                <w:b/>
                <w:sz w:val="24"/>
              </w:rPr>
              <w:t>ILDC referitoare la instituția individuală/grupul consolidat [cu excepția entităților avute în vedere la articolul 314 alineatul (3)]</w:t>
            </w:r>
          </w:p>
          <w:p w14:paraId="3B4A0231" w14:textId="6A33703B" w:rsidR="00E2624F" w:rsidRPr="0099038F" w:rsidRDefault="00E2624F" w:rsidP="00413B96">
            <w:pPr>
              <w:rPr>
                <w:rFonts w:ascii="Times New Roman" w:hAnsi="Times New Roman"/>
                <w:color w:val="000000" w:themeColor="text1"/>
                <w:sz w:val="24"/>
              </w:rPr>
            </w:pPr>
            <w:r w:rsidRPr="0099038F">
              <w:rPr>
                <w:rFonts w:ascii="Times New Roman" w:hAnsi="Times New Roman"/>
                <w:sz w:val="24"/>
              </w:rPr>
              <w:t>Componenta dobânzilor, contractelor de leasing și dividendelor (ILDC) calculată în conformitate cu articolul 314 alineatul (2) din Regulamentul (UE) nr. 575/2013, fără a include nicio cifră care face parte din calculul ILDC în cazurile în care instituția aplică derogarea în conformitate cu articolul 314 alineatul (3) din Regulamentul (UE) nr. 575/2013.</w:t>
            </w:r>
          </w:p>
        </w:tc>
      </w:tr>
      <w:tr w:rsidR="00D740B8" w:rsidRPr="0099038F" w14:paraId="687AA3E1"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0D775F19" w14:textId="77777777" w:rsidR="00D740B8" w:rsidRPr="0099038F" w:rsidRDefault="00D740B8">
            <w:pPr>
              <w:autoSpaceDE w:val="0"/>
              <w:autoSpaceDN w:val="0"/>
              <w:adjustRightInd w:val="0"/>
              <w:spacing w:before="60" w:after="120"/>
              <w:jc w:val="center"/>
              <w:rPr>
                <w:rFonts w:ascii="Times New Roman" w:hAnsi="Times New Roman" w:cs="Times New Roman"/>
                <w:b/>
                <w:sz w:val="24"/>
              </w:rPr>
            </w:pPr>
            <w:r w:rsidRPr="0099038F">
              <w:rPr>
                <w:rFonts w:ascii="Times New Roman" w:hAnsi="Times New Roman"/>
                <w:b/>
                <w:sz w:val="24"/>
              </w:rPr>
              <w:t>1a</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3787EA18" w14:textId="77777777" w:rsidR="00D740B8" w:rsidRPr="0099038F" w:rsidRDefault="00D740B8">
            <w:pPr>
              <w:spacing w:before="60" w:after="120"/>
              <w:jc w:val="both"/>
              <w:rPr>
                <w:rFonts w:ascii="Times New Roman" w:eastAsia="Times New Roman" w:hAnsi="Times New Roman" w:cs="Times New Roman"/>
                <w:b/>
                <w:sz w:val="24"/>
              </w:rPr>
            </w:pPr>
            <w:r w:rsidRPr="0099038F">
              <w:rPr>
                <w:rFonts w:ascii="Times New Roman" w:hAnsi="Times New Roman"/>
                <w:b/>
                <w:sz w:val="24"/>
              </w:rPr>
              <w:t>Venituri din dobânzi și contracte de leasing</w:t>
            </w:r>
          </w:p>
          <w:p w14:paraId="33CCD1CB" w14:textId="130AE220" w:rsidR="00BD248A" w:rsidRPr="0099038F" w:rsidRDefault="00D740B8">
            <w:pPr>
              <w:rPr>
                <w:rFonts w:ascii="Times New Roman" w:eastAsia="Times New Roman" w:hAnsi="Times New Roman" w:cs="Times New Roman"/>
                <w:sz w:val="24"/>
              </w:rPr>
            </w:pPr>
            <w:r w:rsidRPr="0099038F">
              <w:rPr>
                <w:rFonts w:ascii="Times New Roman" w:hAnsi="Times New Roman"/>
                <w:sz w:val="24"/>
              </w:rPr>
              <w:t>Suma veniturilor din dobânzi din toate activele financiare, a altor venituri din active care fac obiectul unui contract de leasing și a profiturilor din active care fac obiectul unui contract de leasing, în conformitate cu anexa V la soluțiile informatice ale ABE.</w:t>
            </w:r>
          </w:p>
          <w:p w14:paraId="76D4A1E7" w14:textId="77777777" w:rsidR="00BD248A" w:rsidRPr="0099038F" w:rsidRDefault="00BD248A">
            <w:pPr>
              <w:rPr>
                <w:rFonts w:ascii="Times New Roman" w:eastAsia="Times New Roman" w:hAnsi="Times New Roman" w:cs="Times New Roman"/>
                <w:sz w:val="24"/>
              </w:rPr>
            </w:pPr>
          </w:p>
          <w:p w14:paraId="19841383" w14:textId="08257E38" w:rsidR="00F5221D" w:rsidRPr="0099038F" w:rsidRDefault="004F220F">
            <w:pPr>
              <w:rPr>
                <w:rFonts w:ascii="Times New Roman" w:eastAsia="Times New Roman" w:hAnsi="Times New Roman" w:cs="Times New Roman"/>
                <w:sz w:val="24"/>
              </w:rPr>
            </w:pPr>
            <w:r w:rsidRPr="0099038F">
              <w:rPr>
                <w:rFonts w:ascii="Times New Roman" w:hAnsi="Times New Roman"/>
                <w:sz w:val="24"/>
              </w:rPr>
              <w:t>Veniturile din dobânzi din toate activele financiare se calculează în conformitate cu partea 2 punctul 31 din anexa V la soluțiile informatice ale ABE și respectând specificațiile suplimentare din partea 2 punctele 187, 189 și 194ii din anexa V la soluțiile informatice ale ABE.</w:t>
            </w:r>
          </w:p>
          <w:p w14:paraId="55B6FFE6" w14:textId="77777777" w:rsidR="00F5221D" w:rsidRPr="0099038F" w:rsidRDefault="00F5221D">
            <w:pPr>
              <w:rPr>
                <w:rFonts w:ascii="Times New Roman" w:eastAsia="Times New Roman" w:hAnsi="Times New Roman" w:cs="Times New Roman"/>
                <w:sz w:val="24"/>
              </w:rPr>
            </w:pPr>
          </w:p>
          <w:p w14:paraId="00ED9136" w14:textId="12CD18AE" w:rsidR="00E76AA5" w:rsidRPr="0099038F" w:rsidRDefault="00F5221D" w:rsidP="007535CB">
            <w:pPr>
              <w:rPr>
                <w:rFonts w:ascii="Times New Roman" w:eastAsia="Times New Roman" w:hAnsi="Times New Roman" w:cs="Times New Roman"/>
                <w:sz w:val="24"/>
              </w:rPr>
            </w:pPr>
            <w:r w:rsidRPr="0099038F">
              <w:rPr>
                <w:rFonts w:ascii="Times New Roman" w:hAnsi="Times New Roman"/>
                <w:sz w:val="24"/>
              </w:rPr>
              <w:t>Alte venituri din active care fac obiectul unui contract de leasing (financiar și operațional) exclud veniturile din dobânzi. Acest cuantum se calculează în conformitate cu partea 2 punctele 314 și 315 din anexa V la soluțiile informatice ale ABE, reprezentând: (i) veniturile din modificările valorii juste în investiții imobiliare care generează chirii și sunt evaluate utilizând modelul valorii juste; și/sau (ii) veniturile din contracte de leasing operațional, inclusiv veniturile din chirii provenite din investiții imobiliare.</w:t>
            </w:r>
          </w:p>
          <w:p w14:paraId="6C1BE770" w14:textId="77777777" w:rsidR="007535CB" w:rsidRPr="0099038F" w:rsidRDefault="007535CB" w:rsidP="007535CB">
            <w:pPr>
              <w:rPr>
                <w:rFonts w:ascii="Times New Roman" w:eastAsia="Times New Roman" w:hAnsi="Times New Roman" w:cs="Times New Roman"/>
                <w:sz w:val="24"/>
              </w:rPr>
            </w:pPr>
          </w:p>
          <w:p w14:paraId="742C7468" w14:textId="3A50C109" w:rsidR="00D740B8" w:rsidRPr="0099038F" w:rsidRDefault="00BB0B3D" w:rsidP="004F34D4">
            <w:pPr>
              <w:rPr>
                <w:rFonts w:ascii="Times New Roman" w:eastAsia="Times New Roman" w:hAnsi="Times New Roman" w:cs="Times New Roman"/>
                <w:sz w:val="24"/>
              </w:rPr>
            </w:pPr>
            <w:r w:rsidRPr="0099038F">
              <w:rPr>
                <w:rFonts w:ascii="Times New Roman" w:hAnsi="Times New Roman"/>
                <w:sz w:val="24"/>
              </w:rPr>
              <w:t>Profiturile din active care fac obiectul unui contract de leasing (financiar și operațional) includ: (i) câștigurile din modificările aduse contractului de leasing în conformitate cu partea 2 punctul 49 din anexa V la soluțiile informatice ale ABE; (ii) restul veniturilor din exploatare (alte venituri din exploatare) în conformitate cu partea 2 punctele 314 și 316 din anexa V la soluțiile informatice ale ABE, dacă sunt legate de active care fac obiectul unui contract de leasing (financiar și operațional).</w:t>
            </w:r>
          </w:p>
        </w:tc>
      </w:tr>
      <w:tr w:rsidR="00D740B8" w:rsidRPr="0099038F" w14:paraId="07825B95"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43EDD05F" w14:textId="77777777" w:rsidR="00D740B8" w:rsidRPr="0099038F" w:rsidRDefault="00D740B8">
            <w:pPr>
              <w:autoSpaceDE w:val="0"/>
              <w:autoSpaceDN w:val="0"/>
              <w:adjustRightInd w:val="0"/>
              <w:spacing w:before="60" w:after="120"/>
              <w:jc w:val="center"/>
              <w:rPr>
                <w:rFonts w:ascii="Times New Roman" w:hAnsi="Times New Roman" w:cs="Times New Roman"/>
                <w:b/>
                <w:sz w:val="24"/>
              </w:rPr>
            </w:pPr>
            <w:r w:rsidRPr="0099038F">
              <w:rPr>
                <w:rFonts w:ascii="Times New Roman" w:hAnsi="Times New Roman"/>
                <w:b/>
                <w:sz w:val="24"/>
              </w:rPr>
              <w:t>1b</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155F99FE" w14:textId="5114D538" w:rsidR="00D740B8" w:rsidRPr="0099038F" w:rsidRDefault="00D740B8">
            <w:pPr>
              <w:spacing w:before="60" w:after="120"/>
              <w:jc w:val="both"/>
              <w:rPr>
                <w:rFonts w:ascii="Times New Roman" w:eastAsia="Times New Roman" w:hAnsi="Times New Roman" w:cs="Times New Roman"/>
                <w:b/>
                <w:sz w:val="24"/>
              </w:rPr>
            </w:pPr>
            <w:r w:rsidRPr="0099038F">
              <w:rPr>
                <w:rFonts w:ascii="Times New Roman" w:hAnsi="Times New Roman"/>
                <w:b/>
                <w:sz w:val="24"/>
              </w:rPr>
              <w:t>Cheltuielile cu dobânzile și contractele de leasing</w:t>
            </w:r>
          </w:p>
          <w:p w14:paraId="65B73157" w14:textId="72BA8427" w:rsidR="00EC1398" w:rsidRPr="0099038F" w:rsidRDefault="00D740B8">
            <w:pPr>
              <w:rPr>
                <w:rFonts w:ascii="Times New Roman" w:eastAsia="Times New Roman" w:hAnsi="Times New Roman" w:cs="Times New Roman"/>
                <w:sz w:val="24"/>
              </w:rPr>
            </w:pPr>
            <w:r w:rsidRPr="0099038F">
              <w:rPr>
                <w:rFonts w:ascii="Times New Roman" w:hAnsi="Times New Roman"/>
                <w:sz w:val="24"/>
              </w:rPr>
              <w:t>Suma cheltuielilor cu dobânzile aferente tuturor datoriilor financiare, a cheltuielilor cu activele care fac obiectul unui contract de leasing și a amortizării, deprecierii și pierderilor aferente activelor care fac obiectul unui contract de leasing, astfel cum se menționează în anexa V la soluțiile informatice ale ABE.</w:t>
            </w:r>
          </w:p>
          <w:p w14:paraId="06CEDDA9" w14:textId="77777777" w:rsidR="00BA33C3" w:rsidRPr="0099038F" w:rsidRDefault="00BA33C3">
            <w:pPr>
              <w:rPr>
                <w:rFonts w:ascii="Times New Roman" w:eastAsia="Times New Roman" w:hAnsi="Times New Roman" w:cs="Times New Roman"/>
                <w:sz w:val="24"/>
              </w:rPr>
            </w:pPr>
          </w:p>
          <w:p w14:paraId="3ACFF991" w14:textId="1BCDC8C4" w:rsidR="00BA33C3" w:rsidRPr="0099038F" w:rsidRDefault="00BA33C3">
            <w:pPr>
              <w:rPr>
                <w:rFonts w:ascii="Times New Roman" w:eastAsia="Times New Roman" w:hAnsi="Times New Roman" w:cs="Times New Roman"/>
                <w:sz w:val="24"/>
              </w:rPr>
            </w:pPr>
            <w:r w:rsidRPr="0099038F">
              <w:rPr>
                <w:rFonts w:ascii="Times New Roman" w:hAnsi="Times New Roman"/>
                <w:sz w:val="24"/>
              </w:rPr>
              <w:t>Cheltuielile cu dobânzile aferente tuturor datoriilor financiare se calculează în conformitate cu partea 2 punctul 31 din anexa V la soluțiile informatice ale ABE și respectând specificațiile suplimentare din partea 2 punctele 188, 190 și 194ii din anexa V la soluțiile informatice ale ABE. Nu se includ aici cheltuielile cu dobânzile care se datorează evenimentelor de risc operațional. În schimb, acestea sunt incluse în componenta servicii în conformitate cu articolul 314 alineatul (5) din Regulamentul (UE) nr. 575/2013.</w:t>
            </w:r>
          </w:p>
          <w:p w14:paraId="2D079DF5" w14:textId="77777777" w:rsidR="003D0A4B" w:rsidRPr="0099038F" w:rsidRDefault="003D0A4B">
            <w:pPr>
              <w:rPr>
                <w:rFonts w:ascii="Times New Roman" w:eastAsia="Times New Roman" w:hAnsi="Times New Roman" w:cs="Times New Roman"/>
                <w:sz w:val="24"/>
              </w:rPr>
            </w:pPr>
          </w:p>
          <w:p w14:paraId="08A94531" w14:textId="1EA15404" w:rsidR="003D0A4B" w:rsidRPr="0099038F" w:rsidRDefault="003D0A4B" w:rsidP="00D136A0">
            <w:pPr>
              <w:rPr>
                <w:rFonts w:ascii="Times New Roman" w:eastAsia="Times New Roman" w:hAnsi="Times New Roman" w:cs="Times New Roman"/>
                <w:sz w:val="24"/>
              </w:rPr>
            </w:pPr>
            <w:r w:rsidRPr="0099038F">
              <w:rPr>
                <w:rFonts w:ascii="Times New Roman" w:hAnsi="Times New Roman"/>
                <w:sz w:val="24"/>
              </w:rPr>
              <w:t>Cheltuielile cu activele care fac obiectul unui contract de leasing (operațional) includ cheltuielile aferente contractelor de leasing operațional, în conformitate cu partea 2 punctele 314 și 315 din anexa V la soluțiile informatice ale ABE, reprezentând: (i) cheltuielile rezultate din modificările valorii juste în investiții imobiliare care generează chirii și sunt evaluate utilizând modelul valorii juste din active care fac obiectul unui contract de leasing operațional; și (ii) cheltuielile cu contractele de leasing operațional, inclusiv cheltuielile de exploatare directe din investiții imobiliare care generează chirii. În plus, instituțiile includ aici și alte cheltuieli administrative legate de activele care fac obiectul unui contract de leasing operațional, în conformitate cu partea 2 punctul 208ix din anexa V la soluțiile informatice ale ABE. Nu se includ aici cheltuielile care se datorează evenimentelor de risc operațional. În schimb, acestea sunt incluse în componenta serviciilor în conformitate cu articolul 314 alineatul (5) din Regulamentul (UE) nr. 575/2013.</w:t>
            </w:r>
          </w:p>
          <w:p w14:paraId="61020FEC" w14:textId="77777777" w:rsidR="00376B14" w:rsidRPr="0099038F" w:rsidRDefault="00376B14">
            <w:pPr>
              <w:rPr>
                <w:rFonts w:ascii="Times New Roman" w:eastAsia="Times New Roman" w:hAnsi="Times New Roman" w:cs="Times New Roman"/>
                <w:sz w:val="24"/>
              </w:rPr>
            </w:pPr>
          </w:p>
          <w:p w14:paraId="5D976FDD" w14:textId="0FB08478" w:rsidR="00376B14" w:rsidRPr="0099038F" w:rsidRDefault="00376B14">
            <w:pPr>
              <w:rPr>
                <w:rFonts w:ascii="Times New Roman" w:eastAsia="Times New Roman" w:hAnsi="Times New Roman" w:cs="Times New Roman"/>
                <w:sz w:val="24"/>
              </w:rPr>
            </w:pPr>
            <w:r w:rsidRPr="0099038F">
              <w:rPr>
                <w:rFonts w:ascii="Times New Roman" w:hAnsi="Times New Roman"/>
                <w:sz w:val="24"/>
              </w:rPr>
              <w:t>Amortizarea activelor care fac obiectul unui contract de leasing corespunde cheltuielilor cu amortizarea, astfel cum sunt raportate în conformitate cu standardele internaționale de contabilitate (IAS) 1, punctele 102 și 104, dar numai cele aferente activelor care fac obiectul unui contract de leasing operațional ale căror venituri sau cheltuieli sunt incluse în calculul veniturilor/cheltuielilor cu dobânzile.</w:t>
            </w:r>
          </w:p>
          <w:p w14:paraId="5D82FC67" w14:textId="77777777" w:rsidR="00DA24A2" w:rsidRPr="0099038F" w:rsidRDefault="00DA24A2">
            <w:pPr>
              <w:rPr>
                <w:rFonts w:ascii="Times New Roman" w:eastAsia="Times New Roman" w:hAnsi="Times New Roman" w:cs="Times New Roman"/>
                <w:sz w:val="24"/>
              </w:rPr>
            </w:pPr>
          </w:p>
          <w:p w14:paraId="1D89DE9C" w14:textId="6D7B59E2" w:rsidR="00DA24A2" w:rsidRPr="0099038F" w:rsidRDefault="00DA24A2">
            <w:pPr>
              <w:rPr>
                <w:rFonts w:ascii="Times New Roman" w:eastAsia="Times New Roman" w:hAnsi="Times New Roman" w:cs="Times New Roman"/>
                <w:sz w:val="24"/>
              </w:rPr>
            </w:pPr>
            <w:r w:rsidRPr="0099038F">
              <w:rPr>
                <w:rFonts w:ascii="Times New Roman" w:hAnsi="Times New Roman"/>
                <w:sz w:val="24"/>
              </w:rPr>
              <w:t>Deprecierea activelor care fac obiectul unui contract de leasing trebuie să corespundă cheltuielilor aferente activelor care fac obiectul unui contract de leasing operațional care reprezintă deprecierea sau reluarea deprecierii activelor care fac obiectul unui contract de leasing operațional, în conformitate cu IAS 36 punctul 126 literele (a) și (b).</w:t>
            </w:r>
          </w:p>
          <w:p w14:paraId="11B36ACB" w14:textId="77777777" w:rsidR="00DA24A2" w:rsidRPr="0099038F" w:rsidRDefault="00DA24A2">
            <w:pPr>
              <w:rPr>
                <w:rFonts w:ascii="Times New Roman" w:eastAsia="Times New Roman" w:hAnsi="Times New Roman" w:cs="Times New Roman"/>
                <w:sz w:val="24"/>
              </w:rPr>
            </w:pPr>
          </w:p>
          <w:p w14:paraId="0FA351B6" w14:textId="470A5833" w:rsidR="00D740B8" w:rsidRPr="0099038F" w:rsidRDefault="00DA24A2" w:rsidP="004F34D4">
            <w:pPr>
              <w:rPr>
                <w:rFonts w:ascii="Times New Roman" w:hAnsi="Times New Roman"/>
                <w:sz w:val="24"/>
              </w:rPr>
            </w:pPr>
            <w:r w:rsidRPr="0099038F">
              <w:rPr>
                <w:rFonts w:ascii="Times New Roman" w:hAnsi="Times New Roman"/>
                <w:sz w:val="24"/>
              </w:rPr>
              <w:t>Pierderile de active care fac obiectul unui contract de leasing corespund restului altor cheltuieli de exploatare (alte cheltuieli de exploatare) în conformitate cu partea 2 secțiunea 29.3 punctul 316 din anexa V la soluțiile informatice ale ABE, dacă sunt legate de active care fac obiectul unui contract de leasing operațional. Nu se includ aici pierderile care se datorează evenimentelor de risc operațional. În schimb, acestea sunt incluse în componenta serviciilor în conformitate cu articolul 314 alineatul (5) din Regulamentul (UE) nr. 575/2013.</w:t>
            </w:r>
          </w:p>
        </w:tc>
      </w:tr>
      <w:tr w:rsidR="00D740B8" w:rsidRPr="0099038F" w14:paraId="49B58D8D"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2F0019E7" w14:textId="77777777" w:rsidR="00D740B8" w:rsidRPr="0099038F" w:rsidRDefault="00D740B8">
            <w:pPr>
              <w:autoSpaceDE w:val="0"/>
              <w:autoSpaceDN w:val="0"/>
              <w:adjustRightInd w:val="0"/>
              <w:spacing w:before="60" w:after="120"/>
              <w:jc w:val="center"/>
              <w:rPr>
                <w:rFonts w:ascii="Times New Roman" w:hAnsi="Times New Roman" w:cs="Times New Roman"/>
                <w:b/>
                <w:sz w:val="24"/>
              </w:rPr>
            </w:pPr>
            <w:r w:rsidRPr="0099038F">
              <w:rPr>
                <w:rFonts w:ascii="Times New Roman" w:hAnsi="Times New Roman"/>
                <w:b/>
                <w:sz w:val="24"/>
              </w:rPr>
              <w:t>1c</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31EE844B" w14:textId="18CAFF49" w:rsidR="00D740B8" w:rsidRPr="0099038F" w:rsidRDefault="00B76736">
            <w:pPr>
              <w:spacing w:before="60" w:after="120"/>
              <w:jc w:val="both"/>
              <w:rPr>
                <w:rStyle w:val="InstructionsTabelleberschrift"/>
                <w:rFonts w:ascii="Times New Roman" w:eastAsia="Times New Roman" w:hAnsi="Times New Roman"/>
                <w:sz w:val="24"/>
                <w:u w:val="none"/>
              </w:rPr>
            </w:pPr>
            <w:r w:rsidRPr="0099038F">
              <w:rPr>
                <w:rStyle w:val="InstructionsTabelleberschrift"/>
                <w:rFonts w:ascii="Times New Roman" w:hAnsi="Times New Roman"/>
                <w:sz w:val="24"/>
                <w:u w:val="none"/>
              </w:rPr>
              <w:t>Total active/Componenta activelor</w:t>
            </w:r>
          </w:p>
          <w:p w14:paraId="15501679" w14:textId="3EB04379" w:rsidR="00D740B8" w:rsidRPr="0099038F" w:rsidRDefault="00B76736">
            <w:pPr>
              <w:spacing w:before="60" w:after="120"/>
              <w:jc w:val="both"/>
              <w:rPr>
                <w:rFonts w:ascii="Times New Roman" w:eastAsia="Times New Roman" w:hAnsi="Times New Roman" w:cs="Times New Roman"/>
                <w:sz w:val="24"/>
              </w:rPr>
            </w:pPr>
            <w:r w:rsidRPr="0099038F">
              <w:rPr>
                <w:rFonts w:ascii="Times New Roman" w:hAnsi="Times New Roman"/>
                <w:sz w:val="24"/>
              </w:rPr>
              <w:t>În coloana d), componenta activelor calculată în conformitate cu articolul 314 alineatul (2) din Regulamentul (UE) nr. 575/2013.</w:t>
            </w:r>
          </w:p>
          <w:p w14:paraId="65FF56C9" w14:textId="24401D0D" w:rsidR="004E3E86" w:rsidRPr="0099038F" w:rsidRDefault="003E3201" w:rsidP="00373F9D">
            <w:pPr>
              <w:rPr>
                <w:rFonts w:ascii="Times New Roman" w:hAnsi="Times New Roman"/>
                <w:sz w:val="24"/>
              </w:rPr>
            </w:pPr>
            <w:r w:rsidRPr="0099038F">
              <w:rPr>
                <w:rFonts w:ascii="Times New Roman" w:hAnsi="Times New Roman"/>
                <w:sz w:val="24"/>
              </w:rPr>
              <w:t>În celelalte coloane, totalul activelor corespunde sumei dintre valoarea contabilă brută a soldurilor de numerar la băncile centrale și a altor depozite la vedere, titluri de datorie, împrumuturi și avansuri, precum și valoarea contabilă a instrumentelor financiare derivate (tranzacționare și instrumente de acoperire economică împotriva riscurilor și contabilitatea de acoperire împotriva riscurilor) și a activelor care fac obiectul contractelor de leasing (imobilizări corporale și necorporale). Aceste elemente fac trimitere la anexa V la soluțiile informatice ale ABE.</w:t>
            </w:r>
          </w:p>
          <w:p w14:paraId="2655EEC4" w14:textId="6116BB66" w:rsidR="00BC1F18" w:rsidRPr="0099038F" w:rsidRDefault="00BC1F18" w:rsidP="00BC1F18">
            <w:pPr>
              <w:rPr>
                <w:rFonts w:ascii="Times New Roman" w:hAnsi="Times New Roman"/>
                <w:sz w:val="24"/>
              </w:rPr>
            </w:pPr>
          </w:p>
        </w:tc>
      </w:tr>
      <w:tr w:rsidR="00D740B8" w:rsidRPr="0099038F" w14:paraId="431D95BD"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5504247A" w14:textId="77777777" w:rsidR="00D740B8" w:rsidRPr="0099038F" w:rsidRDefault="00D740B8">
            <w:pPr>
              <w:autoSpaceDE w:val="0"/>
              <w:autoSpaceDN w:val="0"/>
              <w:adjustRightInd w:val="0"/>
              <w:spacing w:before="60" w:after="120"/>
              <w:jc w:val="center"/>
              <w:rPr>
                <w:rFonts w:ascii="Times New Roman" w:hAnsi="Times New Roman" w:cs="Times New Roman"/>
                <w:b/>
                <w:sz w:val="24"/>
              </w:rPr>
            </w:pPr>
            <w:r w:rsidRPr="0099038F">
              <w:rPr>
                <w:rFonts w:ascii="Times New Roman" w:hAnsi="Times New Roman"/>
                <w:b/>
                <w:sz w:val="24"/>
              </w:rPr>
              <w:t>1d</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1AF83663" w14:textId="03959A67" w:rsidR="00D740B8" w:rsidRPr="0099038F" w:rsidRDefault="00B76736">
            <w:pPr>
              <w:spacing w:before="60" w:after="120"/>
              <w:jc w:val="both"/>
              <w:rPr>
                <w:rStyle w:val="InstructionsTabelleberschrift"/>
                <w:rFonts w:ascii="Times New Roman" w:eastAsia="Times New Roman" w:hAnsi="Times New Roman"/>
                <w:bCs w:val="0"/>
                <w:sz w:val="24"/>
                <w:u w:val="none"/>
              </w:rPr>
            </w:pPr>
            <w:r w:rsidRPr="0099038F">
              <w:rPr>
                <w:rStyle w:val="InstructionsTabelleberschrift"/>
                <w:rFonts w:ascii="Times New Roman" w:hAnsi="Times New Roman"/>
                <w:sz w:val="24"/>
                <w:u w:val="none"/>
              </w:rPr>
              <w:t>Venituri din dividende/Componenta dividendelor</w:t>
            </w:r>
          </w:p>
          <w:p w14:paraId="1A066B7B" w14:textId="4AA7538A" w:rsidR="00D740B8" w:rsidRPr="0099038F" w:rsidRDefault="00B76736" w:rsidP="004E3E86">
            <w:pPr>
              <w:spacing w:before="60" w:after="120"/>
              <w:jc w:val="both"/>
              <w:rPr>
                <w:rFonts w:ascii="Times New Roman" w:eastAsia="Times New Roman" w:hAnsi="Times New Roman" w:cs="Times New Roman"/>
                <w:sz w:val="24"/>
              </w:rPr>
            </w:pPr>
            <w:r w:rsidRPr="0099038F">
              <w:rPr>
                <w:rFonts w:ascii="Times New Roman" w:hAnsi="Times New Roman"/>
                <w:sz w:val="24"/>
              </w:rPr>
              <w:t>În coloana d), componenta dividendelor calculată în conformitate cu articolul 314 alineatul (2) din Regulamentul (UE) nr. 575/2013.</w:t>
            </w:r>
          </w:p>
          <w:p w14:paraId="3F4B342E" w14:textId="23DB8876" w:rsidR="004E3E86" w:rsidRPr="0099038F" w:rsidRDefault="004E3E86" w:rsidP="004E3E86">
            <w:pPr>
              <w:rPr>
                <w:rFonts w:ascii="Times New Roman" w:hAnsi="Times New Roman"/>
                <w:sz w:val="24"/>
              </w:rPr>
            </w:pPr>
            <w:r w:rsidRPr="0099038F">
              <w:rPr>
                <w:rFonts w:ascii="Times New Roman" w:hAnsi="Times New Roman"/>
                <w:sz w:val="24"/>
              </w:rPr>
              <w:t>Instituțiile raportează veniturile din dividende în conformitate cu partea 2 punctele 40-42 din anexa V la soluțiile informatice ale ABE.</w:t>
            </w:r>
          </w:p>
        </w:tc>
      </w:tr>
      <w:tr w:rsidR="003826D3" w:rsidRPr="0099038F" w14:paraId="3A9CE2B7"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61064302" w14:textId="77777777" w:rsidR="003826D3" w:rsidRPr="0099038F" w:rsidRDefault="003826D3" w:rsidP="0099038F">
            <w:pPr>
              <w:pageBreakBefore/>
              <w:autoSpaceDE w:val="0"/>
              <w:autoSpaceDN w:val="0"/>
              <w:adjustRightInd w:val="0"/>
              <w:spacing w:before="60" w:after="120"/>
              <w:jc w:val="center"/>
              <w:rPr>
                <w:rFonts w:ascii="Times New Roman" w:hAnsi="Times New Roman" w:cs="Times New Roman"/>
                <w:b/>
                <w:sz w:val="24"/>
              </w:rPr>
            </w:pPr>
            <w:r w:rsidRPr="0099038F">
              <w:rPr>
                <w:rFonts w:ascii="Times New Roman" w:hAnsi="Times New Roman"/>
                <w:b/>
                <w:sz w:val="24"/>
              </w:rPr>
              <w:t>2</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48458B47" w14:textId="103CAA7B" w:rsidR="003826D3" w:rsidRPr="0099038F" w:rsidRDefault="003826D3" w:rsidP="003826D3">
            <w:pPr>
              <w:spacing w:before="60" w:after="120"/>
              <w:jc w:val="both"/>
              <w:rPr>
                <w:rFonts w:ascii="Times New Roman" w:eastAsia="Times New Roman" w:hAnsi="Times New Roman" w:cs="Times New Roman"/>
                <w:b/>
                <w:sz w:val="24"/>
              </w:rPr>
            </w:pPr>
            <w:r w:rsidRPr="0099038F">
              <w:rPr>
                <w:rFonts w:ascii="Times New Roman" w:hAnsi="Times New Roman"/>
                <w:b/>
                <w:sz w:val="24"/>
              </w:rPr>
              <w:t>Componenta serviciilor (SC)</w:t>
            </w:r>
          </w:p>
          <w:p w14:paraId="2D48B659" w14:textId="0264DFE4" w:rsidR="00080F37" w:rsidRPr="0099038F" w:rsidRDefault="005E7C4C" w:rsidP="003826D3">
            <w:pPr>
              <w:spacing w:before="60" w:after="120"/>
              <w:jc w:val="both"/>
              <w:rPr>
                <w:rFonts w:ascii="Times New Roman" w:eastAsia="Times New Roman" w:hAnsi="Times New Roman" w:cs="Times New Roman"/>
                <w:sz w:val="24"/>
              </w:rPr>
            </w:pPr>
            <w:r w:rsidRPr="0099038F">
              <w:rPr>
                <w:rFonts w:ascii="Times New Roman" w:hAnsi="Times New Roman"/>
                <w:sz w:val="24"/>
              </w:rPr>
              <w:t>Componenta serviciilor (SC), calculată în conformitate cu articolul 314 alineatul (5) din Regulamentul (UE) nr. 575/2013.</w:t>
            </w:r>
          </w:p>
          <w:p w14:paraId="2EFCFDAF" w14:textId="3F07E77F" w:rsidR="003826D3" w:rsidRPr="0099038F" w:rsidRDefault="0094124B" w:rsidP="003826D3">
            <w:pPr>
              <w:spacing w:before="60" w:after="120"/>
              <w:jc w:val="both"/>
              <w:rPr>
                <w:rStyle w:val="InstructionsTabelleberschrift"/>
                <w:rFonts w:ascii="Times New Roman" w:eastAsia="Times New Roman" w:hAnsi="Times New Roman"/>
                <w:bCs w:val="0"/>
                <w:sz w:val="24"/>
              </w:rPr>
            </w:pPr>
            <w:r w:rsidRPr="0099038F">
              <w:rPr>
                <w:rFonts w:ascii="Times New Roman" w:hAnsi="Times New Roman"/>
                <w:sz w:val="24"/>
              </w:rPr>
              <w:t xml:space="preserve">Dacă o instituție face obiectul derogării menționate la articolul 314 alineatul (4) din Regulamentul (UE) nr. 575/2013, instituția nu include cifre din liniile de activitate bancară de retail și comercială. </w:t>
            </w:r>
          </w:p>
        </w:tc>
      </w:tr>
      <w:tr w:rsidR="003826D3" w:rsidRPr="0099038F" w14:paraId="74CC77AB"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2FB24C8A" w14:textId="77777777" w:rsidR="003826D3" w:rsidRPr="0099038F" w:rsidRDefault="003826D3" w:rsidP="003826D3">
            <w:pPr>
              <w:autoSpaceDE w:val="0"/>
              <w:autoSpaceDN w:val="0"/>
              <w:adjustRightInd w:val="0"/>
              <w:spacing w:before="60" w:after="120"/>
              <w:jc w:val="center"/>
              <w:rPr>
                <w:rFonts w:ascii="Times New Roman" w:hAnsi="Times New Roman" w:cs="Times New Roman"/>
                <w:b/>
                <w:sz w:val="24"/>
              </w:rPr>
            </w:pPr>
            <w:r w:rsidRPr="0099038F">
              <w:rPr>
                <w:rFonts w:ascii="Times New Roman" w:hAnsi="Times New Roman"/>
                <w:b/>
                <w:sz w:val="24"/>
              </w:rPr>
              <w:t>2a</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662F1D9A" w14:textId="77777777" w:rsidR="003826D3" w:rsidRPr="0099038F" w:rsidRDefault="003826D3" w:rsidP="003826D3">
            <w:pPr>
              <w:spacing w:before="60" w:after="120"/>
              <w:jc w:val="both"/>
              <w:rPr>
                <w:rFonts w:ascii="Times New Roman" w:eastAsia="Times New Roman" w:hAnsi="Times New Roman" w:cs="Times New Roman"/>
                <w:b/>
                <w:sz w:val="24"/>
              </w:rPr>
            </w:pPr>
            <w:r w:rsidRPr="0099038F">
              <w:rPr>
                <w:rFonts w:ascii="Times New Roman" w:hAnsi="Times New Roman"/>
                <w:b/>
                <w:sz w:val="24"/>
              </w:rPr>
              <w:t>Venituri din onorarii și comisioane</w:t>
            </w:r>
          </w:p>
          <w:p w14:paraId="1394D6AF" w14:textId="06AD3617" w:rsidR="003826D3" w:rsidRPr="0099038F" w:rsidRDefault="009816D6" w:rsidP="003826D3">
            <w:pPr>
              <w:spacing w:before="60" w:after="120"/>
              <w:jc w:val="both"/>
              <w:rPr>
                <w:rFonts w:ascii="Times New Roman" w:eastAsia="Times New Roman" w:hAnsi="Times New Roman" w:cs="Times New Roman"/>
                <w:sz w:val="24"/>
              </w:rPr>
            </w:pPr>
            <w:r w:rsidRPr="0099038F">
              <w:rPr>
                <w:rFonts w:ascii="Times New Roman" w:hAnsi="Times New Roman"/>
                <w:sz w:val="24"/>
              </w:rPr>
              <w:t>Veniturile din onorarii și comisioane menționate în partea 2 punctele 281-284 din anexa V la soluțiile informatice ale ABE și calculate în conformitate cu articolul 314 alineatul (5) din Regulamentul (UE) nr. 575/2013.</w:t>
            </w:r>
          </w:p>
          <w:p w14:paraId="0EA5E8EE" w14:textId="07382D3A" w:rsidR="008D318E" w:rsidRPr="0099038F" w:rsidRDefault="008D318E" w:rsidP="003826D3">
            <w:pPr>
              <w:spacing w:before="60" w:after="120"/>
              <w:jc w:val="both"/>
              <w:rPr>
                <w:rFonts w:ascii="Times New Roman" w:eastAsia="Times New Roman" w:hAnsi="Times New Roman" w:cs="Times New Roman"/>
                <w:sz w:val="24"/>
              </w:rPr>
            </w:pPr>
            <w:r w:rsidRPr="0099038F">
              <w:rPr>
                <w:rFonts w:ascii="Times New Roman" w:hAnsi="Times New Roman"/>
                <w:sz w:val="24"/>
              </w:rPr>
              <w:t>Veniturile din activități conexe, precum activitățile informatice necesare pentru executarea unui serviciu financiar, trebuie incluse de asemenea la acest element, în conformitate cu articolul 7 din standardele tehnice de reglementare care urmează să fie elaborate în temeiul articolului 314 alineatul (9) din Regulamentul (UE) nr. 575/2013.</w:t>
            </w:r>
          </w:p>
          <w:p w14:paraId="388F841F" w14:textId="1B0267DB" w:rsidR="00D91B18" w:rsidRPr="0099038F" w:rsidRDefault="007D3710" w:rsidP="003826D3">
            <w:pPr>
              <w:spacing w:before="60" w:after="120"/>
              <w:jc w:val="both"/>
              <w:rPr>
                <w:rStyle w:val="InstructionsTabelleberschrift"/>
                <w:rFonts w:ascii="Times New Roman" w:eastAsia="Times New Roman" w:hAnsi="Times New Roman"/>
                <w:b w:val="0"/>
                <w:bCs w:val="0"/>
                <w:sz w:val="24"/>
                <w:u w:val="none"/>
              </w:rPr>
            </w:pPr>
            <w:r w:rsidRPr="0099038F">
              <w:rPr>
                <w:rStyle w:val="InstructionsTabelleberschrift"/>
                <w:rFonts w:ascii="Times New Roman" w:hAnsi="Times New Roman"/>
                <w:b w:val="0"/>
                <w:sz w:val="24"/>
                <w:u w:val="none"/>
              </w:rPr>
              <w:t>Se exclude partea din veniturile din onorarii și comisioane primită de la instituții care sunt membre ale aceluiași sistem instituțional de protecție în conformitate cu articolul 314 alineatul (5) din Regulamentul (UE) nr. 575/2013.</w:t>
            </w:r>
          </w:p>
        </w:tc>
      </w:tr>
      <w:tr w:rsidR="003826D3" w:rsidRPr="0099038F" w14:paraId="20677853"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6317D63A" w14:textId="77777777" w:rsidR="003826D3" w:rsidRPr="0099038F" w:rsidRDefault="003826D3" w:rsidP="003826D3">
            <w:pPr>
              <w:autoSpaceDE w:val="0"/>
              <w:autoSpaceDN w:val="0"/>
              <w:adjustRightInd w:val="0"/>
              <w:spacing w:before="60" w:after="120"/>
              <w:jc w:val="center"/>
              <w:rPr>
                <w:rFonts w:ascii="Times New Roman" w:hAnsi="Times New Roman" w:cs="Times New Roman"/>
                <w:b/>
                <w:sz w:val="24"/>
              </w:rPr>
            </w:pPr>
            <w:r w:rsidRPr="0099038F">
              <w:rPr>
                <w:rFonts w:ascii="Times New Roman" w:hAnsi="Times New Roman"/>
                <w:b/>
                <w:sz w:val="24"/>
              </w:rPr>
              <w:t>2b</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248259B2" w14:textId="5A4319DA" w:rsidR="003826D3" w:rsidRPr="0099038F" w:rsidRDefault="003826D3" w:rsidP="003826D3">
            <w:pPr>
              <w:spacing w:before="60" w:after="120"/>
              <w:jc w:val="both"/>
              <w:rPr>
                <w:rFonts w:ascii="Times New Roman" w:eastAsia="Times New Roman" w:hAnsi="Times New Roman" w:cs="Times New Roman"/>
                <w:b/>
                <w:sz w:val="24"/>
              </w:rPr>
            </w:pPr>
            <w:r w:rsidRPr="0099038F">
              <w:rPr>
                <w:rFonts w:ascii="Times New Roman" w:hAnsi="Times New Roman"/>
                <w:b/>
                <w:sz w:val="24"/>
              </w:rPr>
              <w:t>Cheltuieli cu onorariile și comisioanele</w:t>
            </w:r>
          </w:p>
          <w:p w14:paraId="241530E4" w14:textId="72E685E0" w:rsidR="003826D3" w:rsidRPr="0099038F" w:rsidRDefault="009816D6" w:rsidP="003826D3">
            <w:pPr>
              <w:spacing w:before="60" w:after="120"/>
              <w:jc w:val="both"/>
              <w:rPr>
                <w:rFonts w:ascii="Times New Roman" w:eastAsia="Times New Roman" w:hAnsi="Times New Roman" w:cs="Times New Roman"/>
                <w:sz w:val="24"/>
              </w:rPr>
            </w:pPr>
            <w:r w:rsidRPr="0099038F">
              <w:rPr>
                <w:rFonts w:ascii="Times New Roman" w:hAnsi="Times New Roman"/>
                <w:sz w:val="24"/>
              </w:rPr>
              <w:t>Cheltuielile cu onorariile și comisioanele în conformitate cu partea 2 punctele 281-284 din anexa V la soluțiile informatice ale ABE și calculate în conformitate cu articolul 314 alineatul (5) din Regulamentul (UE) nr. 575/2013.</w:t>
            </w:r>
          </w:p>
          <w:p w14:paraId="03E34B08" w14:textId="2D67624D" w:rsidR="00126683" w:rsidRPr="0099038F" w:rsidRDefault="00126683" w:rsidP="003826D3">
            <w:pPr>
              <w:spacing w:before="60" w:after="120"/>
              <w:jc w:val="both"/>
              <w:rPr>
                <w:rFonts w:ascii="Times New Roman" w:eastAsia="Times New Roman" w:hAnsi="Times New Roman" w:cs="Times New Roman"/>
                <w:sz w:val="24"/>
              </w:rPr>
            </w:pPr>
            <w:r w:rsidRPr="0099038F">
              <w:rPr>
                <w:rFonts w:ascii="Times New Roman" w:hAnsi="Times New Roman"/>
                <w:sz w:val="24"/>
              </w:rPr>
              <w:t>Se publică pe acest rând taxele de externalizare plătite pentru furnizarea de servicii financiare, reprezentate de lista activităților indicate la articolul 8 din standardele tehnice de reglementare care urmează să fie elaborate în temeiul articolului 314 alineatul (9) din Regulamentul (UE) nr. 575/2013, dacă sunt incluse, în temeiul cadrului contabil aplicat, la cheltuielile administrative, în conformitate cu articolul 16 din standardele tehnice de reglementare menționate. Cheltuielile aferente activităților conexe, cum ar fi activitățile informatice necesare pentru executarea unui serviciu financiar, trebuie, de asemenea, să fie incluse la acest element.</w:t>
            </w:r>
          </w:p>
          <w:p w14:paraId="37B7C759" w14:textId="401F429B" w:rsidR="00A87543" w:rsidRPr="0099038F" w:rsidRDefault="00A87543" w:rsidP="003826D3">
            <w:pPr>
              <w:spacing w:before="60" w:after="120"/>
              <w:jc w:val="both"/>
              <w:rPr>
                <w:rStyle w:val="InstructionsTabelleberschrift"/>
                <w:rFonts w:ascii="Times New Roman" w:eastAsia="Times New Roman" w:hAnsi="Times New Roman"/>
                <w:b w:val="0"/>
                <w:sz w:val="24"/>
              </w:rPr>
            </w:pPr>
            <w:r w:rsidRPr="0099038F">
              <w:rPr>
                <w:rFonts w:ascii="Times New Roman" w:hAnsi="Times New Roman"/>
                <w:sz w:val="24"/>
              </w:rPr>
              <w:t>Se exclude partea din cheltuielile cu onorariile și comisioanele plătite instituțiilor care sunt membre ale aceluiași sistem instituțional de protecție în conformitate cu articolul 314 alineatul (5) din Regulamentul (UE) nr. 575/2013.</w:t>
            </w:r>
          </w:p>
        </w:tc>
      </w:tr>
      <w:tr w:rsidR="003826D3" w:rsidRPr="0099038F" w14:paraId="56FE9999"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3C7FDD92" w14:textId="77777777" w:rsidR="003826D3" w:rsidRPr="0099038F" w:rsidRDefault="003826D3" w:rsidP="003826D3">
            <w:pPr>
              <w:autoSpaceDE w:val="0"/>
              <w:autoSpaceDN w:val="0"/>
              <w:adjustRightInd w:val="0"/>
              <w:spacing w:before="60" w:after="120"/>
              <w:jc w:val="center"/>
              <w:rPr>
                <w:rFonts w:ascii="Times New Roman" w:hAnsi="Times New Roman" w:cs="Times New Roman"/>
                <w:b/>
                <w:sz w:val="24"/>
              </w:rPr>
            </w:pPr>
            <w:r w:rsidRPr="0099038F">
              <w:rPr>
                <w:rFonts w:ascii="Times New Roman" w:hAnsi="Times New Roman"/>
                <w:b/>
                <w:sz w:val="24"/>
              </w:rPr>
              <w:t>2c</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10640694" w14:textId="77777777" w:rsidR="003826D3" w:rsidRPr="0099038F" w:rsidRDefault="003826D3" w:rsidP="003826D3">
            <w:pPr>
              <w:spacing w:before="60" w:after="120"/>
              <w:jc w:val="both"/>
              <w:rPr>
                <w:rStyle w:val="InstructionsTabelleberschrift"/>
                <w:rFonts w:ascii="Times New Roman" w:eastAsia="Times New Roman" w:hAnsi="Times New Roman"/>
                <w:sz w:val="24"/>
                <w:u w:val="none"/>
              </w:rPr>
            </w:pPr>
            <w:r w:rsidRPr="0099038F">
              <w:rPr>
                <w:rStyle w:val="InstructionsTabelleberschrift"/>
                <w:rFonts w:ascii="Times New Roman" w:hAnsi="Times New Roman"/>
                <w:sz w:val="24"/>
                <w:u w:val="none"/>
              </w:rPr>
              <w:t>Alte venituri din exploatare</w:t>
            </w:r>
          </w:p>
          <w:p w14:paraId="035A399D" w14:textId="7232F3EB" w:rsidR="00671F1C" w:rsidRPr="0099038F" w:rsidRDefault="009816D6" w:rsidP="003826D3">
            <w:pPr>
              <w:spacing w:before="60" w:after="120"/>
              <w:jc w:val="both"/>
              <w:rPr>
                <w:rFonts w:ascii="Times New Roman" w:eastAsia="Times New Roman" w:hAnsi="Times New Roman" w:cs="Times New Roman"/>
                <w:sz w:val="24"/>
              </w:rPr>
            </w:pPr>
            <w:r w:rsidRPr="0099038F">
              <w:rPr>
                <w:rFonts w:ascii="Times New Roman" w:hAnsi="Times New Roman"/>
                <w:sz w:val="24"/>
              </w:rPr>
              <w:t>Alte venituri din exploatare, inclusiv: câștigurile din active imobilizate și grupuri destinate cedării clasificate ca deținute în vederea vânzării care nu se califică drept activități întrerupte (în cazul pierderilor, valorile sunt tratate ca fiind zero) în conformitate cu partea 2 punctul 55 din anexa V la soluțiile informatice ale ABE și alte venituri din exploatare, astfel cum sunt menționate în partea 2 punctele 314 și 316 din anexa V la soluțiile informatice ale ABE, dar excluzând veniturile din contractele de leasing operațional și orice element determinat în temeiul articolului 314 alineatul (7) din Regulamentul (UE) 2021/451.</w:t>
            </w:r>
          </w:p>
          <w:p w14:paraId="39451B35" w14:textId="17278A47" w:rsidR="00A471E8" w:rsidRPr="0099038F" w:rsidRDefault="007863F3" w:rsidP="003826D3">
            <w:pPr>
              <w:spacing w:before="60" w:after="120"/>
              <w:jc w:val="both"/>
              <w:rPr>
                <w:rFonts w:ascii="Times New Roman" w:eastAsia="Times New Roman" w:hAnsi="Times New Roman" w:cs="Times New Roman"/>
                <w:sz w:val="24"/>
              </w:rPr>
            </w:pPr>
            <w:r w:rsidRPr="0099038F">
              <w:rPr>
                <w:rFonts w:ascii="Times New Roman" w:hAnsi="Times New Roman"/>
                <w:sz w:val="24"/>
              </w:rPr>
              <w:t>Recuperarea cheltuielilor administrative nu trebuie luată în considerare în conformitate cu articolul 5 din standardele tehnice de reglementare privind componentele indicatorului de activitate care urmează să fie elaborate în temeiul articolului 314 alineatul (9) din Regulamentul (UE) nr. 575/2013.</w:t>
            </w:r>
          </w:p>
          <w:p w14:paraId="0B35E56E" w14:textId="27C4774F" w:rsidR="00695D35" w:rsidRPr="0099038F" w:rsidRDefault="00695D35" w:rsidP="003826D3">
            <w:pPr>
              <w:spacing w:before="60" w:after="120"/>
              <w:jc w:val="both"/>
              <w:rPr>
                <w:rFonts w:ascii="Times New Roman" w:eastAsia="Times New Roman" w:hAnsi="Times New Roman" w:cs="Times New Roman"/>
                <w:sz w:val="24"/>
              </w:rPr>
            </w:pPr>
            <w:r w:rsidRPr="0099038F">
              <w:rPr>
                <w:rFonts w:ascii="Times New Roman" w:hAnsi="Times New Roman"/>
                <w:sz w:val="24"/>
              </w:rPr>
              <w:t>Se exclude cuantumul altor venituri din exploatare primite de la instituții care sunt membre ale aceluiași sistem instituțional de protecție, în conformitate cu articolul 314 alineatul (5) din Regulamentul (UE) nr. 575/2013.</w:t>
            </w:r>
          </w:p>
          <w:p w14:paraId="685D1BC1" w14:textId="04DD0137" w:rsidR="00695D35" w:rsidRPr="0099038F" w:rsidRDefault="00695D35" w:rsidP="003826D3">
            <w:pPr>
              <w:spacing w:before="60" w:after="120"/>
              <w:jc w:val="both"/>
              <w:rPr>
                <w:rStyle w:val="InstructionsTabelleberschrift"/>
                <w:rFonts w:ascii="Times New Roman" w:eastAsia="Times New Roman" w:hAnsi="Times New Roman"/>
                <w:b w:val="0"/>
                <w:bCs w:val="0"/>
                <w:sz w:val="24"/>
                <w:u w:val="none"/>
              </w:rPr>
            </w:pPr>
            <w:r w:rsidRPr="0099038F">
              <w:rPr>
                <w:rFonts w:ascii="Times New Roman" w:hAnsi="Times New Roman"/>
                <w:sz w:val="24"/>
              </w:rPr>
              <w:t>Cuantumul de pe acest rând se calculează în conformitate cu articolul 314 alineatul (5) din Regulamentul (UE) nr. 575/2013.</w:t>
            </w:r>
          </w:p>
        </w:tc>
      </w:tr>
      <w:tr w:rsidR="003826D3" w:rsidRPr="0099038F" w14:paraId="278E4D2B"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00575E4C" w14:textId="77777777" w:rsidR="003826D3" w:rsidRPr="0099038F" w:rsidRDefault="003826D3" w:rsidP="003826D3">
            <w:pPr>
              <w:autoSpaceDE w:val="0"/>
              <w:autoSpaceDN w:val="0"/>
              <w:adjustRightInd w:val="0"/>
              <w:spacing w:before="60" w:after="120"/>
              <w:jc w:val="center"/>
              <w:rPr>
                <w:rFonts w:ascii="Times New Roman" w:hAnsi="Times New Roman" w:cs="Times New Roman"/>
                <w:b/>
                <w:sz w:val="24"/>
              </w:rPr>
            </w:pPr>
            <w:r w:rsidRPr="0099038F">
              <w:rPr>
                <w:rFonts w:ascii="Times New Roman" w:hAnsi="Times New Roman"/>
                <w:b/>
                <w:sz w:val="24"/>
              </w:rPr>
              <w:t>2d</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32C949AD" w14:textId="3ED4D7E2" w:rsidR="003826D3" w:rsidRPr="0099038F" w:rsidRDefault="003826D3" w:rsidP="003826D3">
            <w:pPr>
              <w:spacing w:before="60" w:after="120"/>
              <w:jc w:val="both"/>
              <w:rPr>
                <w:rStyle w:val="InstructionsTabelleberschrift"/>
                <w:rFonts w:ascii="Times New Roman" w:eastAsia="Times New Roman" w:hAnsi="Times New Roman"/>
                <w:sz w:val="24"/>
                <w:u w:val="none"/>
              </w:rPr>
            </w:pPr>
            <w:r w:rsidRPr="0099038F">
              <w:rPr>
                <w:rStyle w:val="InstructionsTabelleberschrift"/>
                <w:rFonts w:ascii="Times New Roman" w:hAnsi="Times New Roman"/>
                <w:sz w:val="24"/>
                <w:u w:val="none"/>
              </w:rPr>
              <w:t>Alte cheltuieli de exploatare</w:t>
            </w:r>
          </w:p>
          <w:p w14:paraId="13FCDFA5" w14:textId="269315A4" w:rsidR="00B722D0" w:rsidRPr="0099038F" w:rsidRDefault="009816D6" w:rsidP="003826D3">
            <w:pPr>
              <w:spacing w:before="60" w:after="120"/>
              <w:jc w:val="both"/>
              <w:rPr>
                <w:rFonts w:ascii="Times New Roman" w:eastAsia="Times New Roman" w:hAnsi="Times New Roman" w:cs="Times New Roman"/>
                <w:sz w:val="24"/>
              </w:rPr>
            </w:pPr>
            <w:r w:rsidRPr="0099038F">
              <w:rPr>
                <w:rFonts w:ascii="Times New Roman" w:hAnsi="Times New Roman"/>
                <w:sz w:val="24"/>
              </w:rPr>
              <w:t>Alte cheltuieli de exploatare, inclusiv:</w:t>
            </w:r>
          </w:p>
          <w:p w14:paraId="0E760CEE" w14:textId="74A56BE8" w:rsidR="00643568" w:rsidRPr="0099038F" w:rsidRDefault="004D0A0E" w:rsidP="002A26E9">
            <w:pPr>
              <w:pStyle w:val="ListParagraph"/>
              <w:numPr>
                <w:ilvl w:val="0"/>
                <w:numId w:val="9"/>
              </w:numPr>
              <w:spacing w:before="60" w:after="120"/>
              <w:jc w:val="both"/>
              <w:rPr>
                <w:rFonts w:ascii="Times New Roman" w:eastAsia="Times New Roman" w:hAnsi="Times New Roman"/>
                <w:sz w:val="24"/>
              </w:rPr>
            </w:pPr>
            <w:r w:rsidRPr="0099038F">
              <w:rPr>
                <w:rFonts w:ascii="Times New Roman" w:hAnsi="Times New Roman"/>
                <w:sz w:val="24"/>
              </w:rPr>
              <w:t>Pierderi din active imobilizate și grupuri destinate cedării clasificate ca deținute în vederea vânzării care nu se califică drept activități întrerupte: pierderi care nu sunt cauzate de evenimente de risc operațional din active imobilizate și grupuri destinate cedării clasificate ca deținute în vederea vânzării care nu se califică drept activități întrerupte, în conformitate cu partea 2 punctul 55 din anexa V la soluțiile informatice ale ABE. Trebuie raportate numai pierderile; în cazul unui câștig, valoarea se consideră zero în sensul acestui rând.</w:t>
            </w:r>
          </w:p>
          <w:p w14:paraId="0334035E" w14:textId="19D6E763" w:rsidR="00EE7608" w:rsidRPr="0099038F" w:rsidRDefault="004D0A0E" w:rsidP="00EE7608">
            <w:pPr>
              <w:pStyle w:val="ListParagraph"/>
              <w:numPr>
                <w:ilvl w:val="0"/>
                <w:numId w:val="9"/>
              </w:numPr>
              <w:spacing w:before="60" w:after="120"/>
              <w:jc w:val="both"/>
              <w:rPr>
                <w:rFonts w:ascii="Times New Roman" w:eastAsia="Times New Roman" w:hAnsi="Times New Roman"/>
                <w:sz w:val="24"/>
              </w:rPr>
            </w:pPr>
            <w:r w:rsidRPr="0099038F">
              <w:rPr>
                <w:rFonts w:ascii="Times New Roman" w:hAnsi="Times New Roman"/>
                <w:sz w:val="24"/>
              </w:rPr>
              <w:t>Totalul pierderilor, cheltuielilor, provizioanelor și altor efecte financiare cauzate de evenimente de risc operațional: suma tuturor pierderilor, cheltuielilor, provizioanelor și a altor efecte financiare legate de evenimentele de risc operațional, astfel cum sunt raportate pe rândul 0080 din formularul C.16.03 inclus în anexa I la soluțiile informatice ale ABE.</w:t>
            </w:r>
          </w:p>
          <w:p w14:paraId="2C93E8CD" w14:textId="64776E12" w:rsidR="004D0A0E" w:rsidRPr="0099038F" w:rsidRDefault="00A37C45" w:rsidP="00EE7608">
            <w:pPr>
              <w:pStyle w:val="ListParagraph"/>
              <w:numPr>
                <w:ilvl w:val="0"/>
                <w:numId w:val="9"/>
              </w:numPr>
              <w:spacing w:before="60" w:after="120"/>
              <w:jc w:val="both"/>
              <w:rPr>
                <w:rFonts w:ascii="Times New Roman" w:eastAsia="Times New Roman" w:hAnsi="Times New Roman"/>
                <w:sz w:val="24"/>
              </w:rPr>
            </w:pPr>
            <w:r w:rsidRPr="0099038F">
              <w:rPr>
                <w:rFonts w:ascii="Times New Roman" w:hAnsi="Times New Roman"/>
                <w:sz w:val="24"/>
              </w:rPr>
              <w:t>Alte cheltuieli de exploatare decât cele care se datorează evenimentelor de risc operațional, în conformitate cu partea 2 punctele 314 și 316 din anexa V la soluțiile informatice ale ABE care reprezintă:</w:t>
            </w:r>
          </w:p>
          <w:p w14:paraId="01D56412" w14:textId="77777777" w:rsidR="004A5BBA" w:rsidRPr="0099038F" w:rsidRDefault="004A5BBA" w:rsidP="004A5BBA">
            <w:pPr>
              <w:pStyle w:val="ListParagraph"/>
              <w:numPr>
                <w:ilvl w:val="1"/>
                <w:numId w:val="10"/>
              </w:numPr>
              <w:spacing w:before="60" w:after="120"/>
              <w:jc w:val="both"/>
              <w:rPr>
                <w:rFonts w:ascii="Times New Roman" w:eastAsia="Times New Roman" w:hAnsi="Times New Roman"/>
                <w:sz w:val="24"/>
              </w:rPr>
            </w:pPr>
            <w:r w:rsidRPr="0099038F">
              <w:rPr>
                <w:rFonts w:ascii="Times New Roman" w:hAnsi="Times New Roman"/>
                <w:sz w:val="24"/>
              </w:rPr>
              <w:t>cheltuieli rezultate din modificările valorii juste a imobilizărilor corporale măsurate utilizând modelul valorii juste, cu excepția cheltuielilor rezultate din modificările valorii juste a investițiilor imobiliare care generează chirii și care sunt măsurate utilizând modelul valorii juste din active care fac obiectul unui contract de leasing operațional;</w:t>
            </w:r>
          </w:p>
          <w:p w14:paraId="726CB5AB" w14:textId="426E3DFA" w:rsidR="004A5BBA" w:rsidRPr="0099038F" w:rsidRDefault="004A5BBA" w:rsidP="004A5BBA">
            <w:pPr>
              <w:pStyle w:val="ListParagraph"/>
              <w:numPr>
                <w:ilvl w:val="1"/>
                <w:numId w:val="10"/>
              </w:numPr>
              <w:spacing w:before="60" w:after="120"/>
              <w:jc w:val="both"/>
              <w:rPr>
                <w:rFonts w:ascii="Times New Roman" w:eastAsia="Times New Roman" w:hAnsi="Times New Roman"/>
                <w:sz w:val="24"/>
              </w:rPr>
            </w:pPr>
          </w:p>
          <w:p w14:paraId="4F8244A1" w14:textId="2CF47DAA" w:rsidR="004A5BBA" w:rsidRPr="0099038F" w:rsidRDefault="004A5BBA" w:rsidP="004A5BBA">
            <w:pPr>
              <w:pStyle w:val="ListParagraph"/>
              <w:numPr>
                <w:ilvl w:val="1"/>
                <w:numId w:val="10"/>
              </w:numPr>
              <w:spacing w:before="60" w:after="120"/>
              <w:jc w:val="both"/>
              <w:rPr>
                <w:rFonts w:ascii="Times New Roman" w:eastAsia="Times New Roman" w:hAnsi="Times New Roman"/>
                <w:sz w:val="24"/>
              </w:rPr>
            </w:pPr>
            <w:r w:rsidRPr="0099038F">
              <w:rPr>
                <w:rFonts w:ascii="Times New Roman" w:hAnsi="Times New Roman"/>
                <w:sz w:val="24"/>
              </w:rPr>
              <w:t>restul altor cheltuieli de exploatare (Alte cheltuieli de exploatare) în conformitate cu partea 2 punctele 314 și 316 din anexa V la soluțiile informatice ale ABE, dacă nu sunt legate de active care fac obiectul unui contract de leasing.</w:t>
            </w:r>
          </w:p>
          <w:p w14:paraId="6CDC5FBE" w14:textId="54C68FB7" w:rsidR="004A3C86" w:rsidRPr="0099038F" w:rsidRDefault="004A3C86" w:rsidP="00EE7608">
            <w:pPr>
              <w:spacing w:before="60" w:after="120"/>
              <w:jc w:val="both"/>
              <w:rPr>
                <w:rStyle w:val="InstructionsTabelleberschrift"/>
                <w:rFonts w:ascii="Times New Roman" w:eastAsia="Times New Roman" w:hAnsi="Times New Roman"/>
                <w:b w:val="0"/>
                <w:bCs w:val="0"/>
                <w:sz w:val="24"/>
                <w:u w:val="none"/>
              </w:rPr>
            </w:pPr>
            <w:r w:rsidRPr="0099038F">
              <w:rPr>
                <w:rStyle w:val="InstructionsTabelleberschrift"/>
                <w:rFonts w:ascii="Times New Roman" w:hAnsi="Times New Roman"/>
                <w:b w:val="0"/>
                <w:sz w:val="24"/>
                <w:u w:val="none"/>
              </w:rPr>
              <w:t>Se exclude valoarea altor cheltuieli de exploatare plătite instituțiilor care sunt membre ale aceluiași sistem instituțional de protecție, în conformitate cu articolul 314 alineatul (5) din Regulamentul (UE) nr. 575/2013.</w:t>
            </w:r>
          </w:p>
          <w:p w14:paraId="6F1C30F0" w14:textId="3B05E985" w:rsidR="003826D3" w:rsidRPr="0099038F" w:rsidRDefault="00DE3384" w:rsidP="003826D3">
            <w:pPr>
              <w:spacing w:before="60" w:after="120"/>
              <w:jc w:val="both"/>
              <w:rPr>
                <w:rStyle w:val="InstructionsTabelleberschrift"/>
                <w:rFonts w:ascii="Times New Roman" w:eastAsia="Times New Roman" w:hAnsi="Times New Roman"/>
                <w:sz w:val="24"/>
              </w:rPr>
            </w:pPr>
            <w:r w:rsidRPr="0099038F">
              <w:rPr>
                <w:rFonts w:ascii="Times New Roman" w:hAnsi="Times New Roman"/>
                <w:sz w:val="24"/>
              </w:rPr>
              <w:t>Cuantumul de pe acest rând se calculează în conformitate cu articolul 314 alineatul (5) din Regulamentul (UE) nr. 575/2013.</w:t>
            </w:r>
          </w:p>
        </w:tc>
      </w:tr>
      <w:tr w:rsidR="003826D3" w:rsidRPr="0099038F" w14:paraId="7FA7A9FF"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44E87AB3" w14:textId="77777777" w:rsidR="003826D3" w:rsidRPr="0099038F" w:rsidRDefault="003826D3" w:rsidP="003826D3">
            <w:pPr>
              <w:autoSpaceDE w:val="0"/>
              <w:autoSpaceDN w:val="0"/>
              <w:adjustRightInd w:val="0"/>
              <w:spacing w:before="60" w:after="120"/>
              <w:jc w:val="center"/>
              <w:rPr>
                <w:rFonts w:ascii="Times New Roman" w:hAnsi="Times New Roman" w:cs="Times New Roman"/>
                <w:b/>
                <w:sz w:val="24"/>
              </w:rPr>
            </w:pPr>
            <w:r w:rsidRPr="0099038F">
              <w:rPr>
                <w:rFonts w:ascii="Times New Roman" w:hAnsi="Times New Roman"/>
                <w:b/>
                <w:sz w:val="24"/>
              </w:rPr>
              <w:t>3</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25B7EDDC" w14:textId="77777777" w:rsidR="003826D3" w:rsidRPr="0099038F" w:rsidRDefault="003826D3" w:rsidP="003826D3">
            <w:pPr>
              <w:spacing w:before="60" w:after="120"/>
              <w:jc w:val="both"/>
              <w:rPr>
                <w:rStyle w:val="InstructionsTabelleberschrift"/>
                <w:rFonts w:ascii="Times New Roman" w:eastAsia="Times New Roman" w:hAnsi="Times New Roman"/>
                <w:bCs w:val="0"/>
                <w:sz w:val="24"/>
                <w:u w:val="none"/>
              </w:rPr>
            </w:pPr>
            <w:r w:rsidRPr="0099038F">
              <w:rPr>
                <w:rStyle w:val="InstructionsTabelleberschrift"/>
                <w:rFonts w:ascii="Times New Roman" w:hAnsi="Times New Roman"/>
                <w:sz w:val="24"/>
                <w:u w:val="none"/>
              </w:rPr>
              <w:t>Componenta financiară (FC)</w:t>
            </w:r>
          </w:p>
          <w:p w14:paraId="1C2CD9AE" w14:textId="16B8F7FC" w:rsidR="003826D3" w:rsidRPr="0099038F" w:rsidRDefault="00DE3384" w:rsidP="003826D3">
            <w:pPr>
              <w:spacing w:before="60" w:after="120"/>
              <w:jc w:val="both"/>
              <w:rPr>
                <w:rStyle w:val="InstructionsTabelleberschrift"/>
                <w:rFonts w:ascii="Times New Roman" w:eastAsia="Times New Roman" w:hAnsi="Times New Roman"/>
                <w:b w:val="0"/>
                <w:bCs w:val="0"/>
                <w:sz w:val="24"/>
                <w:u w:val="none"/>
              </w:rPr>
            </w:pPr>
            <w:r w:rsidRPr="0099038F">
              <w:rPr>
                <w:rStyle w:val="InstructionsTabelleberschrift"/>
                <w:rFonts w:ascii="Times New Roman" w:hAnsi="Times New Roman"/>
                <w:b w:val="0"/>
                <w:sz w:val="24"/>
                <w:u w:val="none"/>
              </w:rPr>
              <w:t xml:space="preserve">Componenta financiară (FC) se calculează în conformitate cu articolul 314 alineatul (6) din Regulamentul (UE) nr. 575/2013. </w:t>
            </w:r>
            <w:r w:rsidRPr="0099038F">
              <w:rPr>
                <w:rFonts w:ascii="Times New Roman" w:hAnsi="Times New Roman"/>
                <w:sz w:val="24"/>
              </w:rPr>
              <w:t>Dacă o instituție face obiectul derogării menționate la articolul 314 alineatul (4) din Regulamentul (UE) nr. 575/2013, instituția nu include cifre din liniile de activitate bancară de retail și comercială.</w:t>
            </w:r>
          </w:p>
        </w:tc>
      </w:tr>
      <w:tr w:rsidR="003826D3" w:rsidRPr="0099038F" w14:paraId="2B149247"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5E3187E8" w14:textId="77777777" w:rsidR="003826D3" w:rsidRPr="0099038F" w:rsidRDefault="003826D3" w:rsidP="003826D3">
            <w:pPr>
              <w:autoSpaceDE w:val="0"/>
              <w:autoSpaceDN w:val="0"/>
              <w:adjustRightInd w:val="0"/>
              <w:spacing w:before="60" w:after="120"/>
              <w:jc w:val="center"/>
              <w:rPr>
                <w:rFonts w:ascii="Times New Roman" w:hAnsi="Times New Roman" w:cs="Times New Roman"/>
                <w:b/>
                <w:sz w:val="24"/>
              </w:rPr>
            </w:pPr>
            <w:r w:rsidRPr="0099038F">
              <w:rPr>
                <w:rFonts w:ascii="Times New Roman" w:hAnsi="Times New Roman"/>
                <w:b/>
                <w:sz w:val="24"/>
              </w:rPr>
              <w:t>3a</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2D37BB41" w14:textId="6F0E6551" w:rsidR="003826D3" w:rsidRPr="0099038F" w:rsidRDefault="003826D3" w:rsidP="003826D3">
            <w:pPr>
              <w:spacing w:before="60" w:after="120"/>
              <w:jc w:val="both"/>
              <w:rPr>
                <w:rStyle w:val="InstructionsTabelleberschrift"/>
                <w:rFonts w:ascii="Times New Roman" w:eastAsia="Times New Roman" w:hAnsi="Times New Roman"/>
                <w:bCs w:val="0"/>
                <w:sz w:val="24"/>
                <w:u w:val="none"/>
              </w:rPr>
            </w:pPr>
            <w:r w:rsidRPr="0099038F">
              <w:rPr>
                <w:rStyle w:val="InstructionsTabelleberschrift"/>
                <w:rFonts w:ascii="Times New Roman" w:hAnsi="Times New Roman"/>
                <w:sz w:val="24"/>
                <w:u w:val="none"/>
              </w:rPr>
              <w:t>Profit net aplicabil/pierdere netă aplicabilă portofoliului de tranzacționare (TB)</w:t>
            </w:r>
          </w:p>
          <w:p w14:paraId="4E177CA3" w14:textId="4C472892" w:rsidR="003826D3" w:rsidRPr="0099038F" w:rsidRDefault="003826D3" w:rsidP="003826D3">
            <w:pPr>
              <w:spacing w:before="60" w:after="120"/>
              <w:jc w:val="both"/>
              <w:rPr>
                <w:rStyle w:val="InstructionsTabelleberschrift"/>
                <w:rFonts w:ascii="Times New Roman" w:hAnsi="Times New Roman"/>
                <w:b w:val="0"/>
                <w:bCs w:val="0"/>
                <w:sz w:val="24"/>
                <w:u w:val="none"/>
              </w:rPr>
            </w:pPr>
            <w:r w:rsidRPr="0099038F">
              <w:rPr>
                <w:rStyle w:val="InstructionsTabelleberschrift"/>
                <w:rFonts w:ascii="Times New Roman" w:hAnsi="Times New Roman"/>
                <w:b w:val="0"/>
                <w:sz w:val="24"/>
                <w:u w:val="none"/>
              </w:rPr>
              <w:t>Profitul net aplicabil/pierderea netă aplicabilă portofoliului de tranzacționare se calculează ca suma dintre:</w:t>
            </w:r>
          </w:p>
          <w:p w14:paraId="6324889B" w14:textId="380EDA28" w:rsidR="008A379C" w:rsidRPr="0099038F" w:rsidRDefault="008A379C" w:rsidP="00232265">
            <w:pPr>
              <w:pStyle w:val="Style1"/>
              <w:rPr>
                <w:rStyle w:val="InstructionsTabelleberschrift"/>
                <w:rFonts w:ascii="Times New Roman" w:hAnsi="Times New Roman"/>
                <w:b w:val="0"/>
                <w:bCs w:val="0"/>
                <w:sz w:val="24"/>
                <w:u w:val="none"/>
              </w:rPr>
            </w:pPr>
            <w:r w:rsidRPr="0099038F">
              <w:rPr>
                <w:u w:val="single"/>
              </w:rPr>
              <w:t>câștigurile sau (-) pierderile nete din active și datorii financiare deținute în vederea tranzacționării sau din tranzacționarea activelor și datoriilor financiare</w:t>
            </w:r>
            <w:r w:rsidRPr="0099038F">
              <w:t>: câștigurile sau (-) pierderile aferente activelor și datoriilor financiare deținute în vederea tranzacționării în conformitate cu partea 2 punctele 43 și 46 din anexa V la soluțiile informatice ale ABE sau aferente tranzacționării activelor și datoriilor financiare în conformitate cu articolul 27 (Structura verticală) punctul 6 din Directiva 86/635/CEE a Consiliului („Directiva privind conturile anuale și conturile consolidate ale băncilor”);</w:t>
            </w:r>
          </w:p>
          <w:p w14:paraId="0B998657" w14:textId="654F8692" w:rsidR="008A379C" w:rsidRPr="0099038F" w:rsidRDefault="008A379C" w:rsidP="00232265">
            <w:pPr>
              <w:pStyle w:val="Style1"/>
              <w:rPr>
                <w:rStyle w:val="InstructionsTabelleberschrift"/>
                <w:rFonts w:ascii="Times New Roman" w:hAnsi="Times New Roman"/>
                <w:b w:val="0"/>
                <w:bCs w:val="0"/>
                <w:sz w:val="24"/>
                <w:u w:val="none"/>
              </w:rPr>
            </w:pPr>
            <w:r w:rsidRPr="0099038F">
              <w:rPr>
                <w:u w:val="single"/>
              </w:rPr>
              <w:t>câștigurile sau (-) pierderile nete din contabilitatea de acoperire împotriva riscurilor</w:t>
            </w:r>
            <w:r w:rsidRPr="0099038F">
              <w:t>: câștigurile sau (-) pierderile nete din contabilitatea de acoperire împotriva riscurilor în cadrul componentei portofoliului de tranzacționare numai în acele circumstanțe excepționale în care contabilitatea de acoperire împotriva riscurilor, calculată în conformitate cu partea 2 punctul 47 din anexa V la soluțiile informatice ale ABE sau în conformitate cu articolul 8 alineatul (1) litera (a) și cu articolul 8 alineatele (6) și (8) din Directiva contabilă, este utilizată pentru acoperirea activelor și datoriilor financiare deținute în vederea tranzacționării sau a tranzacționării activelor și datoriilor financiare; și</w:t>
            </w:r>
          </w:p>
          <w:p w14:paraId="1BC37DE4" w14:textId="36EA6A27" w:rsidR="008A379C" w:rsidRPr="0099038F" w:rsidRDefault="008A379C" w:rsidP="00232265">
            <w:pPr>
              <w:pStyle w:val="Style1"/>
              <w:rPr>
                <w:rStyle w:val="InstructionsTabelleberschrift"/>
                <w:rFonts w:ascii="Times New Roman" w:hAnsi="Times New Roman"/>
                <w:b w:val="0"/>
                <w:bCs w:val="0"/>
                <w:sz w:val="24"/>
                <w:u w:val="none"/>
              </w:rPr>
            </w:pPr>
            <w:r w:rsidRPr="0099038F">
              <w:rPr>
                <w:u w:val="single"/>
              </w:rPr>
              <w:t>diferențele de curs valutar [câștig sau (-) pierdere] nete aferente portofoliului de tranzacționare</w:t>
            </w:r>
            <w:r w:rsidRPr="0099038F">
              <w:t>: diferențele de schimb valutar [câștig sau (-) pierdere] nete, numai dacă astfel de diferențe, calculate în conformitate cu IAS 21 punctul 28, punctul 52 litera (a) sau în conformitate cu articolul 39 din Directiva privind conturile anuale și conturile consolidate ale băncilor, provin din active și datorii financiare deținute în vederea tranzacționării sau din tranzacționarea activelor și datoriilor financiare.</w:t>
            </w:r>
          </w:p>
          <w:p w14:paraId="761552C0" w14:textId="5BF82331" w:rsidR="001E5563" w:rsidRPr="0099038F" w:rsidRDefault="001E5563" w:rsidP="0099038F">
            <w:pPr>
              <w:pStyle w:val="paragraph"/>
              <w:keepLines/>
              <w:textAlignment w:val="baseline"/>
              <w:rPr>
                <w:rStyle w:val="InstructionsTabelleberschrift"/>
                <w:rFonts w:ascii="Segoe UI" w:hAnsi="Segoe UI" w:cs="Segoe UI"/>
              </w:rPr>
            </w:pPr>
            <w:r w:rsidRPr="0099038F">
              <w:t>Valorile care trebuie publicate vor reflecta valorile contabile determinate utilizând limita contabilă sau limita prudențială (PBA) pentru a identifica elementele din portofoliul de tranzacționare și din portofoliul bancar pentru fiecare din ultimele 3 exerciții financiare, în conformitate cu articolul 314 alineatul (6) din Regulamentul (UE) nr. 575/2013.</w:t>
            </w:r>
          </w:p>
        </w:tc>
      </w:tr>
      <w:tr w:rsidR="003826D3" w:rsidRPr="0099038F" w14:paraId="769832BB"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4F3C7174" w14:textId="77777777" w:rsidR="003826D3" w:rsidRPr="0099038F" w:rsidRDefault="003826D3" w:rsidP="003826D3">
            <w:pPr>
              <w:autoSpaceDE w:val="0"/>
              <w:autoSpaceDN w:val="0"/>
              <w:adjustRightInd w:val="0"/>
              <w:spacing w:before="60" w:after="120"/>
              <w:jc w:val="center"/>
              <w:rPr>
                <w:rFonts w:ascii="Times New Roman" w:hAnsi="Times New Roman" w:cs="Times New Roman"/>
                <w:b/>
                <w:sz w:val="24"/>
              </w:rPr>
            </w:pPr>
            <w:r w:rsidRPr="0099038F">
              <w:rPr>
                <w:rFonts w:ascii="Times New Roman" w:hAnsi="Times New Roman"/>
                <w:b/>
                <w:sz w:val="24"/>
              </w:rPr>
              <w:t>3b</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5CD949CD" w14:textId="505506A8" w:rsidR="003826D3" w:rsidRPr="0099038F" w:rsidRDefault="003826D3" w:rsidP="003826D3">
            <w:pPr>
              <w:spacing w:before="60" w:after="120"/>
              <w:jc w:val="both"/>
              <w:rPr>
                <w:rStyle w:val="InstructionsTabelleberschrift"/>
                <w:rFonts w:ascii="Times New Roman" w:eastAsia="Times New Roman" w:hAnsi="Times New Roman"/>
                <w:bCs w:val="0"/>
                <w:sz w:val="24"/>
                <w:u w:val="none"/>
              </w:rPr>
            </w:pPr>
            <w:r w:rsidRPr="0099038F">
              <w:rPr>
                <w:rStyle w:val="InstructionsTabelleberschrift"/>
                <w:rFonts w:ascii="Times New Roman" w:hAnsi="Times New Roman"/>
                <w:sz w:val="24"/>
                <w:u w:val="none"/>
              </w:rPr>
              <w:t>Profit net aplicabil/pierdere netă aplicabilă portofoliului bancar (BB)</w:t>
            </w:r>
          </w:p>
          <w:p w14:paraId="16F13570" w14:textId="0B537F1A" w:rsidR="003826D3" w:rsidRPr="0099038F" w:rsidRDefault="003826D3" w:rsidP="003826D3">
            <w:pPr>
              <w:spacing w:before="60" w:after="120"/>
              <w:jc w:val="both"/>
              <w:rPr>
                <w:rStyle w:val="InstructionsTabelleberschrift"/>
                <w:rFonts w:ascii="Times New Roman" w:eastAsia="Times New Roman" w:hAnsi="Times New Roman"/>
                <w:b w:val="0"/>
                <w:bCs w:val="0"/>
                <w:sz w:val="24"/>
                <w:u w:val="none"/>
              </w:rPr>
            </w:pPr>
            <w:r w:rsidRPr="0099038F">
              <w:rPr>
                <w:rStyle w:val="InstructionsTabelleberschrift"/>
                <w:rFonts w:ascii="Times New Roman" w:hAnsi="Times New Roman"/>
                <w:b w:val="0"/>
                <w:sz w:val="24"/>
                <w:u w:val="none"/>
              </w:rPr>
              <w:t>Profitul net aplicabil/pierderea netă aplicabilă portofoliului bancar se calculează ca suma dintre:</w:t>
            </w:r>
          </w:p>
          <w:p w14:paraId="4816B36A" w14:textId="59F72F36" w:rsidR="008F0781" w:rsidRPr="0099038F" w:rsidRDefault="008F0781" w:rsidP="00232265">
            <w:pPr>
              <w:pStyle w:val="Style1"/>
            </w:pPr>
            <w:r w:rsidRPr="0099038F">
              <w:rPr>
                <w:u w:val="single"/>
              </w:rPr>
              <w:t xml:space="preserve">câștigurile sau (-) pierderile nete din </w:t>
            </w:r>
            <w:proofErr w:type="spellStart"/>
            <w:r w:rsidRPr="0099038F">
              <w:rPr>
                <w:u w:val="single"/>
              </w:rPr>
              <w:t>derecunoașterea</w:t>
            </w:r>
            <w:proofErr w:type="spellEnd"/>
            <w:r w:rsidRPr="0099038F">
              <w:rPr>
                <w:u w:val="single"/>
              </w:rPr>
              <w:t xml:space="preserve"> activelor și datoriilor financiare care nu sunt măsurate la valoarea justă prin profit sau pierdere</w:t>
            </w:r>
            <w:r w:rsidRPr="0099038F">
              <w:t xml:space="preserve">: câștigurile sau (-) pierderile din </w:t>
            </w:r>
            <w:proofErr w:type="spellStart"/>
            <w:r w:rsidRPr="0099038F">
              <w:t>derecunoașterea</w:t>
            </w:r>
            <w:proofErr w:type="spellEnd"/>
            <w:r w:rsidRPr="0099038F">
              <w:t xml:space="preserve"> activelor și datoriilor financiare care nu sunt măsurate la valoarea justă prin profit sau pierdere, nete, în conformitate cu partea 2 punctul 45 din anexa V la soluțiile informatice ale ABE sau cu articolul 27 (Structura verticală) punctul 6 din Directiva privind conturile anuale și conturile consolidate ale băncilor;</w:t>
            </w:r>
          </w:p>
          <w:p w14:paraId="29EDCF43" w14:textId="7ADB0AAC" w:rsidR="008F0781" w:rsidRPr="0099038F" w:rsidRDefault="008F0781" w:rsidP="00232265">
            <w:pPr>
              <w:pStyle w:val="Style1"/>
            </w:pPr>
            <w:r w:rsidRPr="0099038F">
              <w:rPr>
                <w:u w:val="single"/>
              </w:rPr>
              <w:t>câștigurile sau (-) pierderile nete aferente activelor financiare nedestinate tranzacționării, măsurate obligatoriu la valoarea justă prin profit sau pierdere</w:t>
            </w:r>
            <w:r w:rsidRPr="0099038F">
              <w:t>: se raportează câștigurile sau (-) pierderile nete aferente activelor financiare nedestinate tranzacționării, măsurate obligatoriu la valoarea justă prin profit sau pierdere, în conformitate cu partea 2 punctul 46 din anexa V la soluțiile informatice ale ABE;</w:t>
            </w:r>
          </w:p>
          <w:p w14:paraId="23350A71" w14:textId="40356371" w:rsidR="008F0781" w:rsidRPr="0099038F" w:rsidRDefault="008F0781" w:rsidP="00232265">
            <w:pPr>
              <w:pStyle w:val="Style1"/>
            </w:pPr>
            <w:r w:rsidRPr="0099038F">
              <w:rPr>
                <w:u w:val="single"/>
              </w:rPr>
              <w:t>câștigurile sau (-) pierderile nete aferente activelor și datoriilor financiare desemnate ca fiind măsurate la valoarea justă prin profit sau pierdere</w:t>
            </w:r>
            <w:r w:rsidRPr="0099038F">
              <w:t>: câștigurile sau (-) pierderile nete aferente activelor și datoriilor financiare desemnate ca fiind măsurate la valoarea justă prin profit sau pierdere, în conformitate cu partea 2 punctul 44 din anexa V la soluțiile informatice ale ABE;</w:t>
            </w:r>
          </w:p>
          <w:p w14:paraId="44DE675E" w14:textId="5B34C2BC" w:rsidR="008F0781" w:rsidRPr="0099038F" w:rsidRDefault="008F0781" w:rsidP="00232265">
            <w:pPr>
              <w:pStyle w:val="Style1"/>
            </w:pPr>
            <w:r w:rsidRPr="0099038F">
              <w:rPr>
                <w:u w:val="single"/>
              </w:rPr>
              <w:t>câștigurile sau (-) pierderile nete din contabilitatea de acoperire împotriva riscurilor, legate de portofoliul bancar</w:t>
            </w:r>
            <w:r w:rsidRPr="0099038F">
              <w:t>: câștigurile sau (-) pierderile din contabilitatea de acoperire împotriva riscurilor, nete, în conformitate cu partea 2 punctul 47 din anexa V la soluțiile informatice ale ABE sau în conformitate cu articolul 8 alineatul (1) litera (a) și cu articolul 8 alineatele (6) și (8) din Directiva contabilă, dacă aceste câștiguri sau pierderi provin din active și datorii financiare deținute în portofoliul bancar; și</w:t>
            </w:r>
          </w:p>
          <w:p w14:paraId="23306495" w14:textId="6A259674" w:rsidR="008F0781" w:rsidRPr="0099038F" w:rsidRDefault="008F0781" w:rsidP="00232265">
            <w:pPr>
              <w:pStyle w:val="Style1"/>
            </w:pPr>
            <w:r w:rsidRPr="0099038F">
              <w:rPr>
                <w:u w:val="single"/>
              </w:rPr>
              <w:t>diferențele nete de curs valutar [câștig sau (-) pierdere] legate de portofoliul bancar</w:t>
            </w:r>
            <w:r w:rsidRPr="0099038F">
              <w:t>: diferențele de curs valutar [câștig sau (-) pierdere], nete, în conformitate cu IAS 21 punctul 28, punctul 52 litera (a) sau în conformitate cu articolul 39 din Directiva privind conturile anuale și conturile consolidate ale băncilor, dacă aceste diferențe provin din active și datorii financiare deținute în portofoliul bancar.</w:t>
            </w:r>
          </w:p>
          <w:p w14:paraId="3E9BB5BF" w14:textId="1D3FC8A9" w:rsidR="00F26A2D" w:rsidRPr="0099038F" w:rsidRDefault="001E5563" w:rsidP="00F26A2D">
            <w:pPr>
              <w:spacing w:before="60" w:after="120"/>
              <w:jc w:val="both"/>
              <w:rPr>
                <w:rStyle w:val="InstructionsTabelleberschrift"/>
                <w:rFonts w:asciiTheme="majorBidi" w:hAnsiTheme="majorBidi" w:cstheme="majorBidi"/>
                <w:sz w:val="24"/>
                <w:u w:val="none"/>
              </w:rPr>
            </w:pPr>
            <w:r w:rsidRPr="0099038F">
              <w:rPr>
                <w:rFonts w:asciiTheme="majorBidi" w:hAnsiTheme="majorBidi"/>
                <w:sz w:val="24"/>
              </w:rPr>
              <w:t>Valorile care trebuie publicate vor reflecta valorile contabile determinate utilizând limita contabilă sau limita prudențială (PBA) pentru a identifica elementele din portofoliul de tranzacționare și din portofoliul bancar pentru fiecare din ultimele 3 exerciții financiare, în conformitate cu articolul 314 alineatul (6) din Regulamentul (UE) nr. 575/2013.</w:t>
            </w:r>
          </w:p>
        </w:tc>
      </w:tr>
      <w:tr w:rsidR="003826D3" w:rsidRPr="0099038F" w14:paraId="4C01E0EE"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47DF21AD" w14:textId="77777777" w:rsidR="003826D3" w:rsidRPr="0099038F" w:rsidRDefault="003826D3" w:rsidP="003826D3">
            <w:pPr>
              <w:autoSpaceDE w:val="0"/>
              <w:autoSpaceDN w:val="0"/>
              <w:adjustRightInd w:val="0"/>
              <w:spacing w:before="60" w:after="120"/>
              <w:jc w:val="center"/>
              <w:rPr>
                <w:rFonts w:ascii="Times New Roman" w:hAnsi="Times New Roman" w:cs="Times New Roman"/>
                <w:b/>
                <w:sz w:val="24"/>
              </w:rPr>
            </w:pPr>
            <w:r w:rsidRPr="0099038F">
              <w:rPr>
                <w:rFonts w:ascii="Times New Roman" w:hAnsi="Times New Roman"/>
                <w:b/>
                <w:sz w:val="24"/>
              </w:rPr>
              <w:t>EU 3c</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561BB97F" w14:textId="3301C86C" w:rsidR="003826D3" w:rsidRPr="0099038F" w:rsidRDefault="008C3E6A" w:rsidP="003826D3">
            <w:pPr>
              <w:spacing w:before="60" w:after="120"/>
              <w:jc w:val="both"/>
              <w:rPr>
                <w:rStyle w:val="InstructionsTabelleberschrift"/>
                <w:rFonts w:ascii="Times New Roman" w:eastAsia="Times New Roman" w:hAnsi="Times New Roman"/>
                <w:bCs w:val="0"/>
                <w:sz w:val="24"/>
                <w:u w:val="none"/>
              </w:rPr>
            </w:pPr>
            <w:r w:rsidRPr="0099038F">
              <w:rPr>
                <w:rStyle w:val="InstructionsTabelleberschrift"/>
                <w:rFonts w:ascii="Times New Roman" w:hAnsi="Times New Roman"/>
                <w:sz w:val="24"/>
                <w:u w:val="none"/>
              </w:rPr>
              <w:t>Abordarea urmată pentru a determina limita TB/BB (PBA sau metoda contabilă)</w:t>
            </w:r>
          </w:p>
          <w:p w14:paraId="00A81A34" w14:textId="0A7D6D1A" w:rsidR="003826D3" w:rsidRPr="0099038F" w:rsidRDefault="003826D3" w:rsidP="003826D3">
            <w:pPr>
              <w:spacing w:before="60" w:after="120"/>
              <w:jc w:val="both"/>
              <w:rPr>
                <w:rStyle w:val="InstructionsTabelleberschrift"/>
                <w:rFonts w:ascii="Times New Roman" w:eastAsia="Times New Roman" w:hAnsi="Times New Roman"/>
                <w:b w:val="0"/>
                <w:bCs w:val="0"/>
                <w:sz w:val="24"/>
                <w:u w:val="none"/>
              </w:rPr>
            </w:pPr>
            <w:r w:rsidRPr="0099038F">
              <w:rPr>
                <w:rStyle w:val="InstructionsTabelleberschrift"/>
                <w:rFonts w:ascii="Times New Roman" w:hAnsi="Times New Roman"/>
                <w:b w:val="0"/>
                <w:sz w:val="24"/>
                <w:u w:val="none"/>
              </w:rPr>
              <w:t>Abordarea urmată la data de referință pentru determinarea FC: clasificarea contabilă sau prudențială (PBA). Abordarea se utilizează în mod consecvent pentru cuantumurile publicate pentru fiecare din ultimele trei exerciții financiare.</w:t>
            </w:r>
          </w:p>
        </w:tc>
      </w:tr>
      <w:tr w:rsidR="003826D3" w:rsidRPr="0099038F" w14:paraId="130758B4"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7F1EF276" w14:textId="77777777" w:rsidR="003826D3" w:rsidRPr="0099038F" w:rsidRDefault="003826D3" w:rsidP="003826D3">
            <w:pPr>
              <w:autoSpaceDE w:val="0"/>
              <w:autoSpaceDN w:val="0"/>
              <w:adjustRightInd w:val="0"/>
              <w:spacing w:before="60" w:after="120"/>
              <w:jc w:val="center"/>
              <w:rPr>
                <w:rFonts w:ascii="Times New Roman" w:hAnsi="Times New Roman" w:cs="Times New Roman"/>
                <w:b/>
                <w:sz w:val="24"/>
              </w:rPr>
            </w:pPr>
            <w:r w:rsidRPr="0099038F">
              <w:rPr>
                <w:rFonts w:ascii="Times New Roman" w:hAnsi="Times New Roman"/>
                <w:b/>
                <w:sz w:val="24"/>
              </w:rPr>
              <w:t>4</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614882AA" w14:textId="77777777" w:rsidR="003826D3" w:rsidRPr="0099038F" w:rsidRDefault="003826D3" w:rsidP="003826D3">
            <w:pPr>
              <w:spacing w:before="60" w:after="120"/>
              <w:jc w:val="both"/>
              <w:rPr>
                <w:rStyle w:val="InstructionsTabelleberschrift"/>
                <w:rFonts w:ascii="Times New Roman" w:eastAsia="Times New Roman" w:hAnsi="Times New Roman"/>
                <w:bCs w:val="0"/>
                <w:sz w:val="24"/>
                <w:u w:val="none"/>
              </w:rPr>
            </w:pPr>
            <w:r w:rsidRPr="0099038F">
              <w:rPr>
                <w:rStyle w:val="InstructionsTabelleberschrift"/>
                <w:rFonts w:ascii="Times New Roman" w:hAnsi="Times New Roman"/>
                <w:sz w:val="24"/>
                <w:u w:val="none"/>
              </w:rPr>
              <w:t>Indicatorul de activitate (BI)</w:t>
            </w:r>
          </w:p>
          <w:p w14:paraId="35C99FE1" w14:textId="0AFECB29" w:rsidR="003826D3" w:rsidRPr="0099038F" w:rsidRDefault="003826D3" w:rsidP="003826D3">
            <w:pPr>
              <w:spacing w:before="60" w:after="120"/>
              <w:jc w:val="both"/>
              <w:rPr>
                <w:rStyle w:val="InstructionsTabelleberschrift"/>
                <w:rFonts w:asciiTheme="majorBidi" w:eastAsia="Times New Roman" w:hAnsiTheme="majorBidi" w:cstheme="majorBidi"/>
                <w:b w:val="0"/>
                <w:bCs w:val="0"/>
                <w:sz w:val="24"/>
                <w:u w:val="none"/>
              </w:rPr>
            </w:pPr>
            <w:r w:rsidRPr="0099038F">
              <w:rPr>
                <w:rFonts w:asciiTheme="majorBidi" w:hAnsiTheme="majorBidi"/>
                <w:sz w:val="24"/>
              </w:rPr>
              <w:t>BI, calculat în conformitate cu articolul 314 alineatul (1) din Regulamentul (UE) nr. 575/2013, care reprezintă suma celor trei componente: ILDC, SC și FC.</w:t>
            </w:r>
          </w:p>
        </w:tc>
      </w:tr>
      <w:tr w:rsidR="003826D3" w:rsidRPr="0099038F" w14:paraId="45662CD2"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1BE29C54" w14:textId="77777777" w:rsidR="003826D3" w:rsidRPr="0099038F" w:rsidRDefault="003826D3" w:rsidP="003826D3">
            <w:pPr>
              <w:autoSpaceDE w:val="0"/>
              <w:autoSpaceDN w:val="0"/>
              <w:adjustRightInd w:val="0"/>
              <w:spacing w:before="60" w:after="120"/>
              <w:jc w:val="center"/>
              <w:rPr>
                <w:rFonts w:ascii="Times New Roman" w:hAnsi="Times New Roman" w:cs="Times New Roman"/>
                <w:b/>
                <w:sz w:val="24"/>
              </w:rPr>
            </w:pPr>
            <w:r w:rsidRPr="0099038F">
              <w:rPr>
                <w:rFonts w:ascii="Times New Roman" w:hAnsi="Times New Roman"/>
                <w:b/>
                <w:sz w:val="24"/>
              </w:rPr>
              <w:t>5</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5F93F910" w14:textId="77777777" w:rsidR="003826D3" w:rsidRPr="0099038F" w:rsidRDefault="003826D3" w:rsidP="003826D3">
            <w:pPr>
              <w:spacing w:before="60" w:after="120"/>
              <w:jc w:val="both"/>
              <w:rPr>
                <w:rStyle w:val="InstructionsTabelleberschrift"/>
                <w:rFonts w:ascii="Times New Roman" w:eastAsia="Times New Roman" w:hAnsi="Times New Roman"/>
                <w:sz w:val="24"/>
                <w:u w:val="none"/>
              </w:rPr>
            </w:pPr>
            <w:r w:rsidRPr="0099038F">
              <w:rPr>
                <w:rStyle w:val="InstructionsTabelleberschrift"/>
                <w:rFonts w:ascii="Times New Roman" w:hAnsi="Times New Roman"/>
                <w:sz w:val="24"/>
                <w:u w:val="none"/>
              </w:rPr>
              <w:t>Componenta indicatorului de activitate (BIC)</w:t>
            </w:r>
          </w:p>
          <w:p w14:paraId="4AC6BDA5" w14:textId="5507A684" w:rsidR="003826D3" w:rsidRPr="0099038F" w:rsidRDefault="003826D3" w:rsidP="003826D3">
            <w:pPr>
              <w:spacing w:before="60" w:after="120"/>
              <w:jc w:val="both"/>
              <w:rPr>
                <w:rStyle w:val="InstructionsTabelleberschrift"/>
                <w:rFonts w:ascii="Times New Roman" w:eastAsia="Times New Roman" w:hAnsi="Times New Roman"/>
                <w:b w:val="0"/>
                <w:bCs w:val="0"/>
                <w:sz w:val="24"/>
                <w:u w:val="none"/>
              </w:rPr>
            </w:pPr>
            <w:r w:rsidRPr="0099038F">
              <w:rPr>
                <w:rFonts w:ascii="Times New Roman" w:hAnsi="Times New Roman"/>
                <w:sz w:val="24"/>
              </w:rPr>
              <w:t xml:space="preserve">BIC se calculează în conformitate cu articolul 313 din Regulamentul (UE) nr. 575/2013. </w:t>
            </w:r>
          </w:p>
        </w:tc>
      </w:tr>
      <w:tr w:rsidR="003826D3" w:rsidRPr="0099038F" w14:paraId="246D3463"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7BD251DF" w14:textId="77777777" w:rsidR="003826D3" w:rsidRPr="0099038F" w:rsidRDefault="003826D3" w:rsidP="003826D3">
            <w:pPr>
              <w:autoSpaceDE w:val="0"/>
              <w:autoSpaceDN w:val="0"/>
              <w:adjustRightInd w:val="0"/>
              <w:spacing w:before="60" w:after="120"/>
              <w:jc w:val="center"/>
              <w:rPr>
                <w:rFonts w:ascii="Times New Roman" w:hAnsi="Times New Roman" w:cs="Times New Roman"/>
                <w:b/>
                <w:sz w:val="24"/>
              </w:rPr>
            </w:pPr>
            <w:r w:rsidRPr="0099038F">
              <w:rPr>
                <w:rFonts w:ascii="Times New Roman" w:hAnsi="Times New Roman"/>
                <w:b/>
                <w:sz w:val="24"/>
              </w:rPr>
              <w:t>6a</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4E9BD331" w14:textId="77777777" w:rsidR="003826D3" w:rsidRPr="0099038F" w:rsidRDefault="003826D3" w:rsidP="003826D3">
            <w:pPr>
              <w:spacing w:before="60" w:after="120"/>
              <w:jc w:val="both"/>
              <w:rPr>
                <w:rStyle w:val="InstructionsTabelleberschrift"/>
                <w:rFonts w:ascii="Times New Roman" w:eastAsia="Times New Roman" w:hAnsi="Times New Roman"/>
                <w:bCs w:val="0"/>
                <w:sz w:val="24"/>
                <w:u w:val="none"/>
              </w:rPr>
            </w:pPr>
            <w:r w:rsidRPr="0099038F">
              <w:rPr>
                <w:rStyle w:val="InstructionsTabelleberschrift"/>
                <w:rFonts w:ascii="Times New Roman" w:hAnsi="Times New Roman"/>
                <w:sz w:val="24"/>
                <w:u w:val="none"/>
              </w:rPr>
              <w:t>BI incluzând activitățile cesionate excluse</w:t>
            </w:r>
          </w:p>
          <w:p w14:paraId="4B01F051" w14:textId="678BE249" w:rsidR="003826D3" w:rsidRPr="0099038F" w:rsidRDefault="003826D3" w:rsidP="003826D3">
            <w:pPr>
              <w:spacing w:before="60" w:after="120"/>
              <w:jc w:val="both"/>
              <w:rPr>
                <w:rStyle w:val="InstructionsTabelleberschrift"/>
                <w:rFonts w:asciiTheme="majorBidi" w:eastAsia="Times New Roman" w:hAnsiTheme="majorBidi" w:cstheme="majorBidi"/>
                <w:b w:val="0"/>
                <w:bCs w:val="0"/>
                <w:sz w:val="24"/>
                <w:u w:val="none"/>
              </w:rPr>
            </w:pPr>
            <w:r w:rsidRPr="0099038F">
              <w:rPr>
                <w:rFonts w:asciiTheme="majorBidi" w:hAnsiTheme="majorBidi"/>
                <w:sz w:val="24"/>
              </w:rPr>
              <w:t>Cuantumul BI incluzând activitățile cesionate excluse, în conformitate cu articolul 315 alineatul (2) din Regulamentul (UE) nr. 575/2013.</w:t>
            </w:r>
          </w:p>
        </w:tc>
      </w:tr>
      <w:tr w:rsidR="003826D3" w:rsidRPr="0099038F" w14:paraId="6ADC8B44"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0C7F6F18" w14:textId="77777777" w:rsidR="003826D3" w:rsidRPr="0099038F" w:rsidRDefault="003826D3" w:rsidP="003826D3">
            <w:pPr>
              <w:autoSpaceDE w:val="0"/>
              <w:autoSpaceDN w:val="0"/>
              <w:adjustRightInd w:val="0"/>
              <w:spacing w:before="60" w:after="120"/>
              <w:jc w:val="center"/>
              <w:rPr>
                <w:rFonts w:ascii="Times New Roman" w:hAnsi="Times New Roman" w:cs="Times New Roman"/>
                <w:b/>
                <w:sz w:val="24"/>
              </w:rPr>
            </w:pPr>
            <w:r w:rsidRPr="0099038F">
              <w:rPr>
                <w:rFonts w:ascii="Times New Roman" w:hAnsi="Times New Roman"/>
                <w:b/>
                <w:sz w:val="24"/>
              </w:rPr>
              <w:t>6b</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0FD596E1" w14:textId="5FAE8014" w:rsidR="003826D3" w:rsidRPr="0099038F" w:rsidRDefault="003826D3" w:rsidP="003826D3">
            <w:pPr>
              <w:spacing w:before="60" w:after="120"/>
              <w:jc w:val="both"/>
              <w:rPr>
                <w:rStyle w:val="InstructionsTabelleberschrift"/>
                <w:rFonts w:ascii="Times New Roman" w:eastAsia="Times New Roman" w:hAnsi="Times New Roman"/>
                <w:bCs w:val="0"/>
                <w:sz w:val="24"/>
                <w:u w:val="none"/>
              </w:rPr>
            </w:pPr>
            <w:r w:rsidRPr="0099038F">
              <w:rPr>
                <w:rStyle w:val="InstructionsTabelleberschrift"/>
                <w:rFonts w:ascii="Times New Roman" w:hAnsi="Times New Roman"/>
                <w:sz w:val="24"/>
                <w:u w:val="none"/>
              </w:rPr>
              <w:t>Reducerea BI ca urmare a excluderii activităților cesionate</w:t>
            </w:r>
          </w:p>
          <w:p w14:paraId="100A0132" w14:textId="636B5EF6" w:rsidR="003826D3" w:rsidRPr="0099038F" w:rsidRDefault="003826D3" w:rsidP="003826D3">
            <w:pPr>
              <w:spacing w:before="60" w:after="120"/>
              <w:jc w:val="both"/>
              <w:rPr>
                <w:rStyle w:val="InstructionsTabelleberschrift"/>
                <w:rFonts w:asciiTheme="majorBidi" w:eastAsia="Times New Roman" w:hAnsiTheme="majorBidi" w:cstheme="majorBidi"/>
                <w:b w:val="0"/>
                <w:bCs w:val="0"/>
                <w:sz w:val="24"/>
                <w:u w:val="none"/>
              </w:rPr>
            </w:pPr>
            <w:r w:rsidRPr="0099038F">
              <w:rPr>
                <w:rFonts w:asciiTheme="majorBidi" w:hAnsiTheme="majorBidi"/>
                <w:sz w:val="24"/>
              </w:rPr>
              <w:t xml:space="preserve">Diferența dintre BI incluzând activitățile cesionate (rândul 6a) și totalul BI (rândul 4). </w:t>
            </w:r>
          </w:p>
        </w:tc>
      </w:tr>
      <w:tr w:rsidR="003826D3" w:rsidRPr="0099038F" w14:paraId="66494CDF"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29D7A112" w14:textId="77777777" w:rsidR="003826D3" w:rsidRPr="0099038F" w:rsidRDefault="003826D3" w:rsidP="003826D3">
            <w:pPr>
              <w:autoSpaceDE w:val="0"/>
              <w:autoSpaceDN w:val="0"/>
              <w:adjustRightInd w:val="0"/>
              <w:spacing w:before="60" w:after="120"/>
              <w:jc w:val="center"/>
              <w:rPr>
                <w:rFonts w:ascii="Times New Roman" w:hAnsi="Times New Roman" w:cs="Times New Roman"/>
                <w:b/>
                <w:sz w:val="24"/>
              </w:rPr>
            </w:pPr>
            <w:r w:rsidRPr="0099038F">
              <w:rPr>
                <w:rFonts w:ascii="Times New Roman" w:hAnsi="Times New Roman"/>
                <w:b/>
                <w:sz w:val="24"/>
              </w:rPr>
              <w:t>EU 6c</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504B02A2" w14:textId="77777777" w:rsidR="003826D3" w:rsidRPr="0099038F" w:rsidRDefault="003826D3" w:rsidP="003826D3">
            <w:pPr>
              <w:spacing w:before="60" w:after="120"/>
              <w:jc w:val="both"/>
              <w:rPr>
                <w:rStyle w:val="InstructionsTabelleberschrift"/>
                <w:rFonts w:ascii="Times New Roman" w:eastAsia="Times New Roman" w:hAnsi="Times New Roman"/>
                <w:bCs w:val="0"/>
                <w:sz w:val="24"/>
                <w:u w:val="none"/>
              </w:rPr>
            </w:pPr>
            <w:r w:rsidRPr="0099038F">
              <w:rPr>
                <w:rStyle w:val="InstructionsTabelleberschrift"/>
                <w:rFonts w:ascii="Times New Roman" w:hAnsi="Times New Roman"/>
                <w:sz w:val="24"/>
                <w:u w:val="none"/>
              </w:rPr>
              <w:t>Impactul fuziunilor/achizițiilor asupra BI</w:t>
            </w:r>
          </w:p>
          <w:p w14:paraId="68B0EB8C" w14:textId="39D74825" w:rsidR="003826D3" w:rsidRPr="0099038F" w:rsidRDefault="003826D3" w:rsidP="003826D3">
            <w:pPr>
              <w:spacing w:before="60" w:after="120"/>
              <w:jc w:val="both"/>
              <w:rPr>
                <w:rStyle w:val="InstructionsTabelleberschrift"/>
                <w:rFonts w:asciiTheme="majorBidi" w:eastAsia="Times New Roman" w:hAnsiTheme="majorBidi" w:cstheme="majorBidi"/>
                <w:b w:val="0"/>
                <w:bCs w:val="0"/>
                <w:sz w:val="24"/>
                <w:u w:val="none"/>
              </w:rPr>
            </w:pPr>
            <w:r w:rsidRPr="0099038F">
              <w:rPr>
                <w:rFonts w:asciiTheme="majorBidi" w:hAnsiTheme="majorBidi"/>
                <w:sz w:val="24"/>
              </w:rPr>
              <w:t>Cuantumul inclus în BI care corespunde componentelor BI care se datorează entităților sau activităților fuzionate sau achiziționate, calculat în conformitate cu articolul 315 alineatul (1) din Regulamentul (UE) nr. 575/2013.</w:t>
            </w:r>
          </w:p>
        </w:tc>
      </w:tr>
    </w:tbl>
    <w:p w14:paraId="2517003F" w14:textId="77777777" w:rsidR="00D740B8" w:rsidRPr="0099038F" w:rsidRDefault="00D740B8" w:rsidP="00D740B8">
      <w:pPr>
        <w:pStyle w:val="numberedparagraph"/>
        <w:numPr>
          <w:ilvl w:val="0"/>
          <w:numId w:val="0"/>
        </w:numPr>
        <w:ind w:left="284" w:hanging="284"/>
        <w:rPr>
          <w:rFonts w:ascii="Times New Roman" w:eastAsia="Arial" w:hAnsi="Times New Roman" w:cs="Times New Roman"/>
          <w:sz w:val="24"/>
        </w:rPr>
      </w:pPr>
    </w:p>
    <w:p w14:paraId="7E7146AD" w14:textId="1649FBD5" w:rsidR="00D740B8" w:rsidRPr="0099038F" w:rsidRDefault="00D740B8" w:rsidP="00D740B8">
      <w:pPr>
        <w:jc w:val="both"/>
        <w:rPr>
          <w:rFonts w:ascii="Times New Roman" w:hAnsi="Times New Roman" w:cs="Times New Roman"/>
          <w:bCs/>
          <w:sz w:val="24"/>
        </w:rPr>
      </w:pPr>
      <w:r w:rsidRPr="0099038F">
        <w:rPr>
          <w:rFonts w:ascii="Times New Roman" w:hAnsi="Times New Roman"/>
          <w:b/>
          <w:sz w:val="24"/>
        </w:rPr>
        <w:t xml:space="preserve">Modelul EU OR3 – Cerințele de fonduri proprii pentru riscul operațional și cuantumurile expunerilor la risc. </w:t>
      </w:r>
      <w:r w:rsidRPr="0099038F">
        <w:rPr>
          <w:rFonts w:ascii="Times New Roman" w:hAnsi="Times New Roman"/>
          <w:sz w:val="24"/>
        </w:rPr>
        <w:t>Model fix</w:t>
      </w:r>
    </w:p>
    <w:p w14:paraId="5AB15A39" w14:textId="77777777" w:rsidR="00D740B8" w:rsidRPr="0099038F" w:rsidRDefault="00D740B8" w:rsidP="00D740B8">
      <w:pPr>
        <w:ind w:left="360"/>
        <w:jc w:val="both"/>
        <w:rPr>
          <w:rFonts w:ascii="Times New Roman" w:hAnsi="Times New Roman" w:cs="Times New Roman"/>
          <w:bCs/>
          <w:sz w:val="24"/>
        </w:rPr>
      </w:pPr>
    </w:p>
    <w:p w14:paraId="60DF34D1" w14:textId="121F9A97" w:rsidR="00D740B8" w:rsidRPr="0099038F" w:rsidRDefault="00D740B8" w:rsidP="00D740B8">
      <w:pPr>
        <w:numPr>
          <w:ilvl w:val="0"/>
          <w:numId w:val="1"/>
        </w:numPr>
        <w:jc w:val="both"/>
        <w:rPr>
          <w:rFonts w:ascii="Times New Roman" w:hAnsi="Times New Roman" w:cs="Times New Roman"/>
          <w:sz w:val="24"/>
        </w:rPr>
      </w:pPr>
      <w:r w:rsidRPr="0099038F">
        <w:rPr>
          <w:rFonts w:ascii="Times New Roman" w:hAnsi="Times New Roman"/>
          <w:sz w:val="24"/>
        </w:rPr>
        <w:t>Instituțiile publică informațiile incluse în modelul EU OR3 în temeiul articolului 446 alineatul (1) litera (b) din Regulamentul (UE) nr. 575/2013. Prezentul model oferă informații despre calcularea cerințelor de fonduri proprii pentru riscul operațional în conformitate cu articolele 312-315 din Regulamentul (UE) nr. 575/2013.</w:t>
      </w:r>
    </w:p>
    <w:p w14:paraId="6DFA1648" w14:textId="77777777" w:rsidR="00D740B8" w:rsidRPr="0099038F" w:rsidRDefault="00D740B8" w:rsidP="00D740B8">
      <w:pPr>
        <w:ind w:left="360"/>
        <w:jc w:val="both"/>
        <w:rPr>
          <w:rFonts w:ascii="Times New Roman" w:hAnsi="Times New Roman" w:cs="Times New Roman"/>
          <w:bCs/>
          <w:sz w:val="24"/>
        </w:rPr>
      </w:pPr>
    </w:p>
    <w:p w14:paraId="2E35B8A0" w14:textId="77777777" w:rsidR="00D740B8" w:rsidRPr="0099038F" w:rsidRDefault="00D740B8" w:rsidP="00D740B8">
      <w:pPr>
        <w:rPr>
          <w:rFonts w:ascii="Times New Roman" w:hAnsi="Times New Roman" w:cs="Times New Roman"/>
          <w:sz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7768"/>
      </w:tblGrid>
      <w:tr w:rsidR="00D740B8" w:rsidRPr="0099038F" w14:paraId="6F42A4B4"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F89E53" w14:textId="77777777" w:rsidR="00D740B8" w:rsidRPr="0099038F" w:rsidRDefault="00D740B8" w:rsidP="0099038F">
            <w:pPr>
              <w:pageBreakBefore/>
              <w:autoSpaceDE w:val="0"/>
              <w:autoSpaceDN w:val="0"/>
              <w:adjustRightInd w:val="0"/>
              <w:rPr>
                <w:rFonts w:ascii="Times New Roman" w:hAnsi="Times New Roman" w:cs="Times New Roman"/>
                <w:b/>
                <w:sz w:val="24"/>
              </w:rPr>
            </w:pPr>
            <w:r w:rsidRPr="0099038F">
              <w:rPr>
                <w:rFonts w:ascii="Times New Roman" w:hAnsi="Times New Roman"/>
                <w:b/>
                <w:sz w:val="24"/>
              </w:rPr>
              <w:t xml:space="preserve">Rând </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DECBF1" w14:textId="77777777" w:rsidR="00D740B8" w:rsidRPr="0099038F" w:rsidRDefault="00D740B8">
            <w:pPr>
              <w:rPr>
                <w:rFonts w:ascii="Times New Roman" w:hAnsi="Times New Roman" w:cs="Times New Roman"/>
                <w:b/>
                <w:sz w:val="24"/>
              </w:rPr>
            </w:pPr>
            <w:r w:rsidRPr="0099038F">
              <w:rPr>
                <w:rFonts w:ascii="Times New Roman" w:hAnsi="Times New Roman"/>
                <w:b/>
                <w:sz w:val="24"/>
              </w:rPr>
              <w:t>Explicație</w:t>
            </w:r>
          </w:p>
        </w:tc>
      </w:tr>
      <w:tr w:rsidR="00D740B8" w:rsidRPr="0099038F" w14:paraId="6BF3BB09"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6AB58A85" w14:textId="77777777" w:rsidR="00D740B8" w:rsidRPr="0099038F" w:rsidRDefault="00D740B8">
            <w:pPr>
              <w:autoSpaceDE w:val="0"/>
              <w:autoSpaceDN w:val="0"/>
              <w:adjustRightInd w:val="0"/>
              <w:spacing w:before="60" w:after="120"/>
              <w:jc w:val="center"/>
              <w:rPr>
                <w:rFonts w:ascii="Times New Roman" w:hAnsi="Times New Roman" w:cs="Times New Roman"/>
                <w:b/>
                <w:sz w:val="24"/>
              </w:rPr>
            </w:pPr>
            <w:r w:rsidRPr="0099038F">
              <w:rPr>
                <w:rFonts w:ascii="Times New Roman" w:hAnsi="Times New Roman"/>
                <w:b/>
                <w:sz w:val="24"/>
              </w:rPr>
              <w:t>1</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518FF758" w14:textId="77777777" w:rsidR="00D740B8" w:rsidRPr="0099038F" w:rsidRDefault="00D740B8">
            <w:pPr>
              <w:spacing w:before="60" w:after="120"/>
              <w:jc w:val="both"/>
              <w:rPr>
                <w:rFonts w:ascii="Times New Roman" w:eastAsia="Times New Roman" w:hAnsi="Times New Roman" w:cs="Times New Roman"/>
                <w:b/>
                <w:sz w:val="24"/>
              </w:rPr>
            </w:pPr>
            <w:r w:rsidRPr="0099038F">
              <w:rPr>
                <w:rFonts w:ascii="Times New Roman" w:hAnsi="Times New Roman"/>
                <w:b/>
                <w:sz w:val="24"/>
              </w:rPr>
              <w:t>Componenta indicatorului de activitate (BIC)</w:t>
            </w:r>
          </w:p>
          <w:p w14:paraId="1B10BB72" w14:textId="77777777" w:rsidR="00D740B8" w:rsidRPr="0099038F" w:rsidRDefault="00D740B8">
            <w:pPr>
              <w:spacing w:before="60" w:after="120"/>
              <w:jc w:val="both"/>
              <w:rPr>
                <w:rFonts w:ascii="Times New Roman" w:eastAsia="Times New Roman" w:hAnsi="Times New Roman" w:cs="Times New Roman"/>
                <w:sz w:val="24"/>
              </w:rPr>
            </w:pPr>
            <w:r w:rsidRPr="0099038F">
              <w:rPr>
                <w:rFonts w:ascii="Times New Roman" w:hAnsi="Times New Roman"/>
                <w:sz w:val="24"/>
              </w:rPr>
              <w:t>Pe acest rând este publicată componenta indicatorului de activitate, care este calculată în conformitate cu articolul 313 din Regulamentul (UE) nr. 575/2013.</w:t>
            </w:r>
          </w:p>
        </w:tc>
      </w:tr>
      <w:tr w:rsidR="00CA794A" w:rsidRPr="0099038F" w14:paraId="2713AC1F"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37A606E2" w14:textId="48C6967A" w:rsidR="00CA794A" w:rsidRPr="0099038F" w:rsidRDefault="004A58B5">
            <w:pPr>
              <w:autoSpaceDE w:val="0"/>
              <w:autoSpaceDN w:val="0"/>
              <w:adjustRightInd w:val="0"/>
              <w:spacing w:before="60" w:after="120"/>
              <w:jc w:val="center"/>
              <w:rPr>
                <w:rFonts w:ascii="Times New Roman" w:hAnsi="Times New Roman" w:cs="Times New Roman"/>
                <w:b/>
                <w:sz w:val="24"/>
              </w:rPr>
            </w:pPr>
            <w:r w:rsidRPr="0099038F">
              <w:rPr>
                <w:rFonts w:ascii="Times New Roman" w:hAnsi="Times New Roman"/>
                <w:b/>
                <w:sz w:val="24"/>
              </w:rPr>
              <w:t>EU 1</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71B97C95" w14:textId="1613DFBF" w:rsidR="00CA794A" w:rsidRPr="0099038F" w:rsidRDefault="004A58B5">
            <w:pPr>
              <w:spacing w:before="60" w:after="120"/>
              <w:jc w:val="both"/>
              <w:rPr>
                <w:rFonts w:ascii="Times New Roman" w:eastAsia="Times New Roman" w:hAnsi="Times New Roman" w:cs="Times New Roman"/>
                <w:b/>
                <w:sz w:val="24"/>
              </w:rPr>
            </w:pPr>
            <w:r w:rsidRPr="0099038F">
              <w:rPr>
                <w:rFonts w:ascii="Times New Roman" w:hAnsi="Times New Roman"/>
                <w:b/>
                <w:sz w:val="24"/>
              </w:rPr>
              <w:t>Cerințele de fonduri proprii (OROF) conform abordării standardizate alternative (ASA) în temeiul articolului 314 alineatul (4)</w:t>
            </w:r>
          </w:p>
          <w:p w14:paraId="7762DF0B" w14:textId="6E2ACCB9" w:rsidR="004A58B5" w:rsidRPr="0099038F" w:rsidRDefault="005B4907">
            <w:pPr>
              <w:spacing w:before="60" w:after="120"/>
              <w:jc w:val="both"/>
              <w:rPr>
                <w:rFonts w:ascii="Times New Roman" w:eastAsia="Times New Roman" w:hAnsi="Times New Roman" w:cs="Times New Roman"/>
                <w:b/>
                <w:sz w:val="24"/>
              </w:rPr>
            </w:pPr>
            <w:r w:rsidRPr="0099038F">
              <w:rPr>
                <w:rFonts w:ascii="Times New Roman" w:hAnsi="Times New Roman"/>
                <w:sz w:val="24"/>
              </w:rPr>
              <w:t>Acest rând include cerințele de fonduri proprii pentru liniile de activitate avute în vedere în temeiul articolului 314 alineatul (4), după caz, până la 31 decembrie 2027 sau până când supraveghetorul consolidant acordă o aprobare în conformitate cu articolul 314 alineatul (3), oricare dintre aceste date survine prima.</w:t>
            </w:r>
          </w:p>
        </w:tc>
      </w:tr>
      <w:tr w:rsidR="00D740B8" w:rsidRPr="0099038F" w14:paraId="362D8FB9" w14:textId="77777777" w:rsidTr="00F828EB">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5B3213" w14:textId="77777777" w:rsidR="00D740B8" w:rsidRPr="0099038F" w:rsidRDefault="00D740B8">
            <w:pPr>
              <w:autoSpaceDE w:val="0"/>
              <w:autoSpaceDN w:val="0"/>
              <w:adjustRightInd w:val="0"/>
              <w:spacing w:before="60" w:after="120"/>
              <w:jc w:val="center"/>
              <w:rPr>
                <w:rFonts w:ascii="Times New Roman" w:hAnsi="Times New Roman" w:cs="Times New Roman"/>
                <w:b/>
                <w:sz w:val="24"/>
              </w:rPr>
            </w:pPr>
            <w:r w:rsidRPr="0099038F">
              <w:rPr>
                <w:rFonts w:ascii="Times New Roman" w:hAnsi="Times New Roman"/>
                <w:b/>
                <w:sz w:val="24"/>
              </w:rPr>
              <w:t>2</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0B1B93" w14:textId="0E85F01A" w:rsidR="00D740B8" w:rsidRPr="0099038F" w:rsidRDefault="001918A2">
            <w:pPr>
              <w:spacing w:before="60" w:after="120"/>
              <w:jc w:val="both"/>
              <w:rPr>
                <w:rFonts w:ascii="Times New Roman" w:eastAsia="Times New Roman" w:hAnsi="Times New Roman" w:cs="Times New Roman"/>
                <w:sz w:val="24"/>
              </w:rPr>
            </w:pPr>
            <w:r w:rsidRPr="0099038F">
              <w:rPr>
                <w:rFonts w:ascii="Times New Roman" w:hAnsi="Times New Roman"/>
                <w:sz w:val="24"/>
              </w:rPr>
              <w:t>Nu se aplică.</w:t>
            </w:r>
          </w:p>
        </w:tc>
      </w:tr>
      <w:tr w:rsidR="00D740B8" w:rsidRPr="0099038F" w14:paraId="779D052B"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0CEF8453" w14:textId="77777777" w:rsidR="00D740B8" w:rsidRPr="0099038F" w:rsidRDefault="00D740B8">
            <w:pPr>
              <w:autoSpaceDE w:val="0"/>
              <w:autoSpaceDN w:val="0"/>
              <w:adjustRightInd w:val="0"/>
              <w:spacing w:before="60" w:after="120"/>
              <w:jc w:val="center"/>
              <w:rPr>
                <w:rFonts w:ascii="Times New Roman" w:hAnsi="Times New Roman" w:cs="Times New Roman"/>
                <w:b/>
                <w:sz w:val="24"/>
              </w:rPr>
            </w:pPr>
            <w:r w:rsidRPr="0099038F">
              <w:rPr>
                <w:rFonts w:ascii="Times New Roman" w:hAnsi="Times New Roman"/>
                <w:b/>
                <w:sz w:val="24"/>
              </w:rPr>
              <w:t>3</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5BB42F01" w14:textId="77777777" w:rsidR="00D740B8" w:rsidRPr="0099038F" w:rsidRDefault="00D740B8">
            <w:pPr>
              <w:spacing w:before="60" w:after="120"/>
              <w:jc w:val="both"/>
              <w:rPr>
                <w:rStyle w:val="InstructionsTabelleberschrift"/>
                <w:rFonts w:ascii="Times New Roman" w:eastAsia="Times New Roman" w:hAnsi="Times New Roman"/>
                <w:bCs w:val="0"/>
                <w:sz w:val="24"/>
                <w:u w:val="none"/>
              </w:rPr>
            </w:pPr>
            <w:r w:rsidRPr="0099038F">
              <w:rPr>
                <w:rStyle w:val="InstructionsTabelleberschrift"/>
                <w:rFonts w:ascii="Times New Roman" w:hAnsi="Times New Roman"/>
                <w:sz w:val="24"/>
                <w:u w:val="none"/>
              </w:rPr>
              <w:t>Cerințe de fonduri proprii minime necesare pentru riscul operațional (OROF)</w:t>
            </w:r>
          </w:p>
          <w:p w14:paraId="2A7C24D0" w14:textId="54D9C5FF" w:rsidR="00D740B8" w:rsidRPr="0099038F" w:rsidRDefault="00977842">
            <w:pPr>
              <w:spacing w:before="60" w:after="120"/>
              <w:jc w:val="both"/>
              <w:rPr>
                <w:rFonts w:ascii="Times New Roman" w:eastAsia="Times New Roman" w:hAnsi="Times New Roman" w:cs="Times New Roman"/>
                <w:sz w:val="24"/>
              </w:rPr>
            </w:pPr>
            <w:r w:rsidRPr="0099038F">
              <w:rPr>
                <w:rFonts w:ascii="Times New Roman" w:hAnsi="Times New Roman"/>
                <w:sz w:val="24"/>
              </w:rPr>
              <w:t xml:space="preserve">Cerințele de fonduri proprii sunt calculate în conformitate cu articolul 312 din Regulamentul (UE) nr. 575/2013. Pe acest rând sunt publicate cerințele de fonduri proprii pentru riscul operațional care coincid cu suma dintre BIC și cerințele de fonduri proprii pentru liniile de activitate avute în vedere la articolul 314 alineatul (4), după caz. </w:t>
            </w:r>
          </w:p>
        </w:tc>
      </w:tr>
      <w:tr w:rsidR="00D740B8" w:rsidRPr="0099038F" w14:paraId="078B572A"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5DDC3902" w14:textId="77777777" w:rsidR="00D740B8" w:rsidRPr="0099038F" w:rsidRDefault="00D740B8">
            <w:pPr>
              <w:autoSpaceDE w:val="0"/>
              <w:autoSpaceDN w:val="0"/>
              <w:adjustRightInd w:val="0"/>
              <w:spacing w:before="60" w:after="120"/>
              <w:jc w:val="center"/>
              <w:rPr>
                <w:rFonts w:ascii="Times New Roman" w:hAnsi="Times New Roman" w:cs="Times New Roman"/>
                <w:b/>
                <w:sz w:val="24"/>
              </w:rPr>
            </w:pPr>
            <w:r w:rsidRPr="0099038F">
              <w:rPr>
                <w:rFonts w:ascii="Times New Roman" w:hAnsi="Times New Roman"/>
                <w:b/>
                <w:sz w:val="24"/>
              </w:rPr>
              <w:t>4</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6483DB44" w14:textId="00766941" w:rsidR="00D740B8" w:rsidRPr="0099038F" w:rsidRDefault="00D740B8">
            <w:pPr>
              <w:spacing w:before="60" w:after="120"/>
              <w:jc w:val="both"/>
              <w:rPr>
                <w:rStyle w:val="InstructionsTabelleberschrift"/>
                <w:rFonts w:ascii="Times New Roman" w:eastAsia="Times New Roman" w:hAnsi="Times New Roman"/>
                <w:bCs w:val="0"/>
                <w:sz w:val="24"/>
                <w:u w:val="none"/>
              </w:rPr>
            </w:pPr>
            <w:r w:rsidRPr="0099038F">
              <w:rPr>
                <w:rStyle w:val="InstructionsTabelleberschrift"/>
                <w:rFonts w:ascii="Times New Roman" w:hAnsi="Times New Roman"/>
                <w:sz w:val="24"/>
                <w:u w:val="none"/>
              </w:rPr>
              <w:t>Cuantumurile expunerii la riscul operațional (REA)</w:t>
            </w:r>
          </w:p>
          <w:p w14:paraId="317F9BDE" w14:textId="6672A695" w:rsidR="00D740B8" w:rsidRPr="0099038F" w:rsidRDefault="00D740B8">
            <w:pPr>
              <w:spacing w:before="60" w:after="120"/>
              <w:jc w:val="both"/>
              <w:rPr>
                <w:rFonts w:ascii="Times New Roman" w:eastAsia="Times New Roman" w:hAnsi="Times New Roman" w:cs="Times New Roman"/>
                <w:sz w:val="24"/>
              </w:rPr>
            </w:pPr>
            <w:r w:rsidRPr="0099038F">
              <w:rPr>
                <w:rFonts w:ascii="Times New Roman" w:hAnsi="Times New Roman"/>
                <w:sz w:val="24"/>
              </w:rPr>
              <w:t xml:space="preserve">În temeiul articolului 92 alineatul (3) litera (e) și al articolului 92 alineatul (4) din Regulamentul (UE) nr. 575/2013, pe acest rând se publică cerințele de fonduri proprii de pe rândul 3 înmulțite cu 12,5. </w:t>
            </w:r>
          </w:p>
        </w:tc>
      </w:tr>
    </w:tbl>
    <w:p w14:paraId="079B8CA0" w14:textId="77777777" w:rsidR="00D740B8" w:rsidRPr="0099038F" w:rsidRDefault="00D740B8" w:rsidP="00D740B8">
      <w:pPr>
        <w:rPr>
          <w:rFonts w:ascii="Times New Roman" w:hAnsi="Times New Roman" w:cs="Times New Roman"/>
          <w:sz w:val="24"/>
        </w:rPr>
      </w:pPr>
    </w:p>
    <w:p w14:paraId="41C8F396" w14:textId="77777777" w:rsidR="002C1404" w:rsidRPr="0099038F" w:rsidRDefault="002C1404"/>
    <w:sectPr w:rsidR="002C1404" w:rsidRPr="0099038F">
      <w:headerReference w:type="even" r:id="rId11"/>
      <w:headerReference w:type="default" r:id="rId12"/>
      <w:footerReference w:type="default" r:id="rId13"/>
      <w:head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2D970" w14:textId="77777777" w:rsidR="00924970" w:rsidRPr="0099038F" w:rsidRDefault="00924970" w:rsidP="00E114F3">
      <w:r w:rsidRPr="0099038F">
        <w:separator/>
      </w:r>
    </w:p>
  </w:endnote>
  <w:endnote w:type="continuationSeparator" w:id="0">
    <w:p w14:paraId="6750FE16" w14:textId="77777777" w:rsidR="00924970" w:rsidRPr="0099038F" w:rsidRDefault="00924970" w:rsidP="00E114F3">
      <w:r w:rsidRPr="0099038F">
        <w:continuationSeparator/>
      </w:r>
    </w:p>
  </w:endnote>
  <w:endnote w:type="continuationNotice" w:id="1">
    <w:p w14:paraId="44EFD629" w14:textId="77777777" w:rsidR="00924970" w:rsidRPr="0099038F" w:rsidRDefault="009249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6783897"/>
      <w:docPartObj>
        <w:docPartGallery w:val="Page Numbers (Bottom of Page)"/>
        <w:docPartUnique/>
      </w:docPartObj>
    </w:sdtPr>
    <w:sdtEndPr>
      <w:rPr>
        <w:noProof/>
      </w:rPr>
    </w:sdtEndPr>
    <w:sdtContent>
      <w:p w14:paraId="3D3D22A9" w14:textId="77777777" w:rsidR="00E114F3" w:rsidRPr="0099038F" w:rsidRDefault="00E114F3">
        <w:pPr>
          <w:pStyle w:val="Footer"/>
          <w:jc w:val="right"/>
        </w:pPr>
        <w:r w:rsidRPr="0099038F">
          <w:fldChar w:fldCharType="begin"/>
        </w:r>
        <w:r w:rsidRPr="0099038F">
          <w:instrText xml:space="preserve"> PAGE   \* MERGEFORMAT </w:instrText>
        </w:r>
        <w:r w:rsidRPr="0099038F">
          <w:fldChar w:fldCharType="separate"/>
        </w:r>
        <w:r w:rsidR="00370155" w:rsidRPr="0099038F">
          <w:t>1</w:t>
        </w:r>
        <w:r w:rsidRPr="0099038F">
          <w:fldChar w:fldCharType="end"/>
        </w:r>
      </w:p>
    </w:sdtContent>
  </w:sdt>
  <w:p w14:paraId="049F31CB" w14:textId="77777777" w:rsidR="00E114F3" w:rsidRPr="0099038F" w:rsidRDefault="00E114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81A6D" w14:textId="77777777" w:rsidR="00924970" w:rsidRPr="0099038F" w:rsidRDefault="00924970" w:rsidP="00E114F3">
      <w:r w:rsidRPr="0099038F">
        <w:separator/>
      </w:r>
    </w:p>
  </w:footnote>
  <w:footnote w:type="continuationSeparator" w:id="0">
    <w:p w14:paraId="3D7D4E32" w14:textId="77777777" w:rsidR="00924970" w:rsidRPr="0099038F" w:rsidRDefault="00924970" w:rsidP="00E114F3">
      <w:r w:rsidRPr="0099038F">
        <w:continuationSeparator/>
      </w:r>
    </w:p>
  </w:footnote>
  <w:footnote w:type="continuationNotice" w:id="1">
    <w:p w14:paraId="6FCD0CD0" w14:textId="77777777" w:rsidR="00924970" w:rsidRPr="0099038F" w:rsidRDefault="00924970"/>
  </w:footnote>
  <w:footnote w:id="2">
    <w:p w14:paraId="3798489D" w14:textId="469FF1F7" w:rsidR="00E114F3" w:rsidRPr="0099038F" w:rsidRDefault="00E114F3" w:rsidP="003D3122">
      <w:pPr>
        <w:pStyle w:val="FootnoteText"/>
      </w:pPr>
      <w:r w:rsidRPr="0099038F">
        <w:rPr>
          <w:rStyle w:val="FootnoteReference"/>
          <w:rFonts w:cstheme="minorHAnsi"/>
        </w:rPr>
        <w:footnoteRef/>
      </w:r>
      <w:r w:rsidRPr="0099038F">
        <w:tab/>
        <w:t>Regulamentul (UE) nr. 575/2013 al Parlamentului European și al Consiliului din 26 iunie 2013 privind cerințele prudențiale pentru instituțiile de credit și societățile de investiții și de modificare a Regulamentului (UE) nr. 648/2012 și Regulamentul (UE) 2024/1623 de modificare [</w:t>
      </w:r>
      <w:hyperlink r:id="rId1" w:history="1">
        <w:r w:rsidRPr="0099038F">
          <w:rPr>
            <w:rStyle w:val="Hyperlink"/>
            <w:color w:val="800080"/>
          </w:rPr>
          <w:t xml:space="preserve">JO L 176, 27.6.2013, p. 1; </w:t>
        </w:r>
      </w:hyperlink>
      <w:hyperlink r:id="rId2" w:history="1">
        <w:r w:rsidRPr="0099038F">
          <w:rPr>
            <w:rStyle w:val="Hyperlink"/>
          </w:rPr>
          <w:t>Regulamentul - UE - 2024/1623 - RO - EUR-</w:t>
        </w:r>
        <w:proofErr w:type="spellStart"/>
        <w:r w:rsidRPr="0099038F">
          <w:rPr>
            <w:rStyle w:val="Hyperlink"/>
          </w:rPr>
          <w:t>Lex</w:t>
        </w:r>
        <w:proofErr w:type="spellEnd"/>
        <w:r w:rsidRPr="0099038F">
          <w:rPr>
            <w:rStyle w:val="Hyperlink"/>
          </w:rPr>
          <w:t xml:space="preserve"> (europa.eu)</w:t>
        </w:r>
      </w:hyperlink>
      <w:r w:rsidRPr="0099038F">
        <w:t>].</w:t>
      </w:r>
    </w:p>
    <w:p w14:paraId="45FB0818" w14:textId="77777777" w:rsidR="00E114F3" w:rsidRPr="0099038F" w:rsidRDefault="00E114F3" w:rsidP="003D312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B940D" w14:textId="1615A102" w:rsidR="00E114F3" w:rsidRPr="0099038F" w:rsidRDefault="00864ECA">
    <w:pPr>
      <w:pStyle w:val="Header"/>
    </w:pPr>
    <w:r w:rsidRPr="0099038F">
      <w:rPr>
        <w:noProof/>
      </w:rPr>
      <mc:AlternateContent>
        <mc:Choice Requires="wps">
          <w:drawing>
            <wp:anchor distT="0" distB="0" distL="0" distR="0" simplePos="0" relativeHeight="251658241" behindDoc="0" locked="0" layoutInCell="1" allowOverlap="1" wp14:anchorId="56CE9015" wp14:editId="3A1C7323">
              <wp:simplePos x="635" y="635"/>
              <wp:positionH relativeFrom="page">
                <wp:align>left</wp:align>
              </wp:positionH>
              <wp:positionV relativeFrom="page">
                <wp:align>top</wp:align>
              </wp:positionV>
              <wp:extent cx="443865" cy="443865"/>
              <wp:effectExtent l="0" t="0" r="3175" b="9525"/>
              <wp:wrapNone/>
              <wp:docPr id="5" name="Text Box 5"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807B26" w14:textId="3B0140B7" w:rsidR="00864ECA" w:rsidRPr="0099038F" w:rsidRDefault="00864ECA" w:rsidP="00864ECA">
                          <w:pPr>
                            <w:rPr>
                              <w:rFonts w:ascii="Calibri" w:eastAsia="Calibri" w:hAnsi="Calibri" w:cs="Calibri"/>
                              <w:noProof/>
                              <w:color w:val="000000"/>
                              <w:sz w:val="24"/>
                            </w:rPr>
                          </w:pPr>
                          <w:r w:rsidRPr="0099038F">
                            <w:rPr>
                              <w:rFonts w:ascii="Calibri" w:hAnsi="Calibri"/>
                              <w:color w:val="000000"/>
                              <w:sz w:val="24"/>
                            </w:rPr>
                            <w:t>Utilizare curentă ABE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6CE9015" id="_x0000_t202" coordsize="21600,21600" o:spt="202" path="m,l,21600r21600,l21600,xe">
              <v:stroke joinstyle="miter"/>
              <v:path gradientshapeok="t" o:connecttype="rect"/>
            </v:shapetype>
            <v:shape id="Text Box 5" o:spid="_x0000_s1026" type="#_x0000_t202" alt="EBA Regular Use" style="position:absolute;margin-left:0;margin-top:0;width:34.95pt;height:34.9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KwCMgIAAFcEAAAOAAAAZHJzL2Uyb0RvYy54bWysVF1v2jAUfZ+0/2D5fSQwqNqIUNF2TJNQ&#10;Ww2qPhvHIZEc27INCfv1O3YC3bo9TXtx7pfv9T333Mxvu0aSo7Cu1iqn41FKiVBcF7Xa5/Rlu/p0&#10;TYnzTBVMaiVyehKO3i4+fpi3JhMTXWlZCEuQRLmsNTmtvDdZkjheiYa5kTZCwVlq2zAP1e6TwrIW&#10;2RuZTNL0Kmm1LYzVXDgH60PvpIuYvywF909l6YQnMqd4m4+njecunMlizrK9Zaaq+fAM9g+vaFit&#10;UPSS6oF5Rg62/iNVU3OrnS79iOsm0WVZcxF7QDfj9F03m4oZEXsBOM5cYHL/Ly1/PD5bUhc5nVGi&#10;WIMRbUXnyZ3uCCyFcBxofblbku9if5DMkhcnAmqtcRkubwyu+w7hmP7Z7mAMYHSlbcIXbRL4gf/p&#10;gnkowmGcTj9fX6ESh2uQkT15u2ys81+FbkgQcmox0og0O66d70PPIaGW0qtayjhWqX4zIGewJOHl&#10;/QuD5LtdN7Sz08UJ3Vjds8QZvqpRc82cf2YWtEADoLp/wlFK3eZUDxIllbY//mYP8ZgWvJS0oFlO&#10;FfaAEvlNYYqT2TRNAy2jNr5JZ0GzUYOwOwvq0NxrMHiMZTI8iiHOy7NYWt28YhOWoRpcTHHUzKk/&#10;i/e+Jz02iYvlMgaBgYb5tdoYHlIHsAKS2+6VWTPA7TGnR30mIsveod7HhpvOLA8e2MeRBGB7NAe8&#10;wd441GHTwnr8qseot//B4icAAAD//wMAUEsDBBQABgAIAAAAIQBzm59s2QAAAAMBAAAPAAAAZHJz&#10;L2Rvd25yZXYueG1sTI9PS8NAEMXvQr/DMoI3u1FssTGbUgRBwSLWotdpdvIHs7Mhu2nSb++oB73M&#10;Y3jDe7/J1pNr1ZH60Hg2cDVPQBEX3jZcGdi/PVzeggoR2WLrmQycKMA6n51lmFo/8isdd7FSEsIh&#10;RQN1jF2qdShqchjmviMWr/S9wyhrX2nb4yjhrtXXSbLUDhuWhho7uq+p+NwNzsDjTfiIQ1kuwvZ5&#10;OyZPo9sPL+/GXJxPmztQkab4dwzf+IIOuTAd/MA2qNaAPBJ/pnjL1QrU4Vd1nun/7PkXAAAA//8D&#10;AFBLAQItABQABgAIAAAAIQC2gziS/gAAAOEBAAATAAAAAAAAAAAAAAAAAAAAAABbQ29udGVudF9U&#10;eXBlc10ueG1sUEsBAi0AFAAGAAgAAAAhADj9If/WAAAAlAEAAAsAAAAAAAAAAAAAAAAALwEAAF9y&#10;ZWxzLy5yZWxzUEsBAi0AFAAGAAgAAAAhADpMrAIyAgAAVwQAAA4AAAAAAAAAAAAAAAAALgIAAGRy&#10;cy9lMm9Eb2MueG1sUEsBAi0AFAAGAAgAAAAhAHObn2zZAAAAAwEAAA8AAAAAAAAAAAAAAAAAjAQA&#10;AGRycy9kb3ducmV2LnhtbFBLBQYAAAAABAAEAPMAAACSBQAAAAA=&#10;" filled="f" stroked="f">
              <v:textbox style="mso-fit-shape-to-text:t" inset="20pt,15pt,0,0">
                <w:txbxContent>
                  <w:p w14:paraId="6B807B26" w14:textId="3B0140B7" w:rsidR="00864ECA" w:rsidRPr="0099038F" w:rsidRDefault="00864ECA" w:rsidP="00864ECA">
                    <w:pPr>
                      <w:rPr>
                        <w:rFonts w:ascii="Calibri" w:eastAsia="Calibri" w:hAnsi="Calibri" w:cs="Calibri"/>
                        <w:noProof/>
                        <w:color w:val="000000"/>
                        <w:sz w:val="24"/>
                      </w:rPr>
                    </w:pPr>
                    <w:r w:rsidRPr="0099038F">
                      <w:rPr>
                        <w:rFonts w:ascii="Calibri" w:hAnsi="Calibri"/>
                        <w:color w:val="000000"/>
                        <w:sz w:val="24"/>
                      </w:rPr>
                      <w:t>Utilizare curentă ABE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3D3EC" w14:textId="1028A940" w:rsidR="00E114F3" w:rsidRPr="0099038F" w:rsidRDefault="00864ECA">
    <w:pPr>
      <w:pStyle w:val="Header"/>
    </w:pPr>
    <w:r w:rsidRPr="0099038F">
      <w:rPr>
        <w:noProof/>
      </w:rPr>
      <mc:AlternateContent>
        <mc:Choice Requires="wps">
          <w:drawing>
            <wp:anchor distT="0" distB="0" distL="0" distR="0" simplePos="0" relativeHeight="251658242" behindDoc="0" locked="0" layoutInCell="1" allowOverlap="1" wp14:anchorId="02F1B75F" wp14:editId="3120E37C">
              <wp:simplePos x="635" y="635"/>
              <wp:positionH relativeFrom="page">
                <wp:align>left</wp:align>
              </wp:positionH>
              <wp:positionV relativeFrom="page">
                <wp:align>top</wp:align>
              </wp:positionV>
              <wp:extent cx="443865" cy="443865"/>
              <wp:effectExtent l="0" t="0" r="3175" b="9525"/>
              <wp:wrapNone/>
              <wp:docPr id="6" name="Text Box 6"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2808C3" w14:textId="14E505EC" w:rsidR="00864ECA" w:rsidRPr="0099038F" w:rsidRDefault="00864ECA" w:rsidP="00864ECA">
                          <w:pPr>
                            <w:rPr>
                              <w:rFonts w:ascii="Calibri" w:eastAsia="Calibri" w:hAnsi="Calibri" w:cs="Calibri"/>
                              <w:noProof/>
                              <w:color w:val="000000"/>
                              <w:sz w:val="24"/>
                            </w:rPr>
                          </w:pPr>
                          <w:r w:rsidRPr="0099038F">
                            <w:rPr>
                              <w:rFonts w:ascii="Calibri" w:hAnsi="Calibri"/>
                              <w:color w:val="000000"/>
                              <w:sz w:val="24"/>
                            </w:rPr>
                            <w:t>Utilizare curentă ABE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2F1B75F" id="_x0000_t202" coordsize="21600,21600" o:spt="202" path="m,l,21600r21600,l21600,xe">
              <v:stroke joinstyle="miter"/>
              <v:path gradientshapeok="t" o:connecttype="rect"/>
            </v:shapetype>
            <v:shape id="Text Box 6" o:spid="_x0000_s1027" type="#_x0000_t202" alt="EBA Regular Use" style="position:absolute;margin-left:0;margin-top:0;width:34.95pt;height:34.9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mHdNQIAAF4EAAAOAAAAZHJzL2Uyb0RvYy54bWysVE1v2zAMvQ/YfxB0X+xkSdAacYq0XYYB&#10;QVssKXpWZDk2IImCpMTOfv0o2U63rqdiF5kiKX68R3px0ypJTsK6GnROx6OUEqE5FLU+5PR5t/5y&#10;RYnzTBdMghY5PQtHb5afPy0ak4kJVCALYQkG0S5rTE4r702WJI5XQjE3AiM0Gkuwinm82kNSWNZg&#10;dCWTSZrOkwZsYSxw4Rxq7zsjXcb4ZSm4fyxLJzyROcXafDxtPPfhTJYLlh0sM1XN+zLYB6pQrNaY&#10;9BLqnnlGjrb+J5SquQUHpR9xUAmUZc1F7AG7GadvutlWzIjYC4LjzAUm9//C8ofTkyV1kdM5JZop&#10;pGgnWk9uoSWoKYTjiNa32xX5KQ5HySx5diKg1hiX4eOtwee+RXdkf9A7VAYw2tKq8MU2CdoR//MF&#10;85CEo3I6/Xo1n1HC0dTLGD15fWys898FKBKEnFqkNCLNThvnO9fBJeTSsK6ljLRK/ZcCYwZNEirv&#10;KgySb/dt7P9S/R6KMzZloRsWZ/i6xtQb5vwTszgd2AdOvH/Eo5TQ5BR6iZIK7K/39MEfSUMrJQ1O&#10;W041rgMl8odGMiezaZqG6Yy38XU6CzcbbyjsB0Ef1R3gII9xpwyPYvDzchBLC+oFF2IVsqGJaY45&#10;c+oH8c53s48LxcVqFZ1wEA3zG701PIQOmAVAd+0Ls6ZH3SNdDzDMI8vegN/5hpfOrI4eKYjMBHw7&#10;NHvYcYgjt/3ChS358x69Xn8Ly98AAAD//wMAUEsDBBQABgAIAAAAIQBzm59s2QAAAAMBAAAPAAAA&#10;ZHJzL2Rvd25yZXYueG1sTI9PS8NAEMXvQr/DMoI3u1FssTGbUgRBwSLWotdpdvIHs7Mhu2nSb++o&#10;B73MY3jDe7/J1pNr1ZH60Hg2cDVPQBEX3jZcGdi/PVzeggoR2WLrmQycKMA6n51lmFo/8isdd7FS&#10;EsIhRQN1jF2qdShqchjmviMWr/S9wyhrX2nb4yjhrtXXSbLUDhuWhho7uq+p+NwNzsDjTfiIQ1ku&#10;wvZ5OyZPo9sPL+/GXJxPmztQkab4dwzf+IIOuTAd/MA2qNaAPBJ/pnjL1QrU4Vd1nun/7PkXAAAA&#10;//8DAFBLAQItABQABgAIAAAAIQC2gziS/gAAAOEBAAATAAAAAAAAAAAAAAAAAAAAAABbQ29udGVu&#10;dF9UeXBlc10ueG1sUEsBAi0AFAAGAAgAAAAhADj9If/WAAAAlAEAAAsAAAAAAAAAAAAAAAAALwEA&#10;AF9yZWxzLy5yZWxzUEsBAi0AFAAGAAgAAAAhAMsGYd01AgAAXgQAAA4AAAAAAAAAAAAAAAAALgIA&#10;AGRycy9lMm9Eb2MueG1sUEsBAi0AFAAGAAgAAAAhAHObn2zZAAAAAwEAAA8AAAAAAAAAAAAAAAAA&#10;jwQAAGRycy9kb3ducmV2LnhtbFBLBQYAAAAABAAEAPMAAACVBQAAAAA=&#10;" filled="f" stroked="f">
              <v:textbox style="mso-fit-shape-to-text:t" inset="20pt,15pt,0,0">
                <w:txbxContent>
                  <w:p w14:paraId="422808C3" w14:textId="14E505EC" w:rsidR="00864ECA" w:rsidRPr="0099038F" w:rsidRDefault="00864ECA" w:rsidP="00864ECA">
                    <w:pPr>
                      <w:rPr>
                        <w:rFonts w:ascii="Calibri" w:eastAsia="Calibri" w:hAnsi="Calibri" w:cs="Calibri"/>
                        <w:noProof/>
                        <w:color w:val="000000"/>
                        <w:sz w:val="24"/>
                      </w:rPr>
                    </w:pPr>
                    <w:r w:rsidRPr="0099038F">
                      <w:rPr>
                        <w:rFonts w:ascii="Calibri" w:hAnsi="Calibri"/>
                        <w:color w:val="000000"/>
                        <w:sz w:val="24"/>
                      </w:rPr>
                      <w:t>Utilizare curentă ABE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4D5A5" w14:textId="505DD969" w:rsidR="00E114F3" w:rsidRPr="0099038F" w:rsidRDefault="00864ECA">
    <w:pPr>
      <w:pStyle w:val="Header"/>
    </w:pPr>
    <w:r w:rsidRPr="0099038F">
      <w:rPr>
        <w:noProof/>
      </w:rPr>
      <mc:AlternateContent>
        <mc:Choice Requires="wps">
          <w:drawing>
            <wp:anchor distT="0" distB="0" distL="0" distR="0" simplePos="0" relativeHeight="251658240" behindDoc="0" locked="0" layoutInCell="1" allowOverlap="1" wp14:anchorId="3B6A7D7E" wp14:editId="55F0D693">
              <wp:simplePos x="635" y="635"/>
              <wp:positionH relativeFrom="page">
                <wp:align>left</wp:align>
              </wp:positionH>
              <wp:positionV relativeFrom="page">
                <wp:align>top</wp:align>
              </wp:positionV>
              <wp:extent cx="443865" cy="443865"/>
              <wp:effectExtent l="0" t="0" r="3175" b="9525"/>
              <wp:wrapNone/>
              <wp:docPr id="4" name="Text Box 4"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52C3BA" w14:textId="4F2B949B" w:rsidR="00864ECA" w:rsidRPr="0099038F" w:rsidRDefault="00864ECA" w:rsidP="00864ECA">
                          <w:pPr>
                            <w:rPr>
                              <w:rFonts w:ascii="Calibri" w:eastAsia="Calibri" w:hAnsi="Calibri" w:cs="Calibri"/>
                              <w:noProof/>
                              <w:color w:val="000000"/>
                              <w:sz w:val="24"/>
                            </w:rPr>
                          </w:pPr>
                          <w:r w:rsidRPr="0099038F">
                            <w:rPr>
                              <w:rFonts w:ascii="Calibri" w:hAnsi="Calibri"/>
                              <w:color w:val="000000"/>
                              <w:sz w:val="24"/>
                            </w:rPr>
                            <w:t>Utilizare curentă ABE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B6A7D7E" id="_x0000_t202" coordsize="21600,21600" o:spt="202" path="m,l,21600r21600,l21600,xe">
              <v:stroke joinstyle="miter"/>
              <v:path gradientshapeok="t" o:connecttype="rect"/>
            </v:shapetype>
            <v:shape id="Text Box 4" o:spid="_x0000_s1028" type="#_x0000_t202" alt="EBA Regular Use"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8qyNQIAAF4EAAAOAAAAZHJzL2Uyb0RvYy54bWysVE1v2zAMvQ/YfxB0X+xkSdEacQq3XYYB&#10;QVssKXpWZDk2IImCpMTOfv0o2U63bqdhF5kiKX68R3p52ylJTsK6BnROp5OUEqE5lI0+5PRlt/50&#10;TYnzTJdMghY5PQtHb1cfPyxbk4kZ1CBLYQkG0S5rTU5r702WJI7XQjE3ASM0Giuwinm82kNSWtZi&#10;dCWTWZpeJS3Y0ljgwjnUPvRGuorxq0pw/1RVTngic4q1+XjaeO7DmayWLDtYZuqGD2Wwf6hCsUZj&#10;0kuoB+YZOdrmj1Cq4RYcVH7CQSVQVQ0XsQfsZpq+62ZbMyNiLwiOMxeY3P8Lyx9Pz5Y0ZU7nlGim&#10;kKKd6Dy5g46gphSOI1pf7gryXRyOklny4kRArTUuw8dbg899h+7I/qh3qAxgdJVV4YttErQj/ucL&#10;5iEJR+V8/vn6akEJR9MgY/Tk7bGxzn8VoEgQcmqR0og0O22c711Hl5BLw7qRMtIq9W8KjBk0Sai8&#10;rzBIvtt3sf/ZWP0eyjM2ZaEfFmf4usHUG+b8M7M4HdgHTrx/wqOS0OYUBomSGuyPv+mDP5KGVkpa&#10;nLacalwHSuQ3jWTOFvM0DdMZb9ObdBFuNt5Q2I+CPqp7wEGe4k4ZHsXg5+UoVhbUKy5EEbKhiWmO&#10;OXPqR/He97OPC8VFUUQnHETD/EZvDQ+hA2YB0F33yqwZUPdI1yOM88iyd+D3vuGlM8XRIwWRmYBv&#10;j+YAOw5x5HZYuLAlv96j19tvYfUTAAD//wMAUEsDBBQABgAIAAAAIQBzm59s2QAAAAMBAAAPAAAA&#10;ZHJzL2Rvd25yZXYueG1sTI9PS8NAEMXvQr/DMoI3u1FssTGbUgRBwSLWotdpdvIHs7Mhu2nSb++o&#10;B73MY3jDe7/J1pNr1ZH60Hg2cDVPQBEX3jZcGdi/PVzeggoR2WLrmQycKMA6n51lmFo/8isdd7FS&#10;EsIhRQN1jF2qdShqchjmviMWr/S9wyhrX2nb4yjhrtXXSbLUDhuWhho7uq+p+NwNzsDjTfiIQ1ku&#10;wvZ5OyZPo9sPL+/GXJxPmztQkab4dwzf+IIOuTAd/MA2qNaAPBJ/pnjL1QrU4Vd1nun/7PkXAAAA&#10;//8DAFBLAQItABQABgAIAAAAIQC2gziS/gAAAOEBAAATAAAAAAAAAAAAAAAAAAAAAABbQ29udGVu&#10;dF9UeXBlc10ueG1sUEsBAi0AFAAGAAgAAAAhADj9If/WAAAAlAEAAAsAAAAAAAAAAAAAAAAALwEA&#10;AF9yZWxzLy5yZWxzUEsBAi0AFAAGAAgAAAAhAFBLyrI1AgAAXgQAAA4AAAAAAAAAAAAAAAAALgIA&#10;AGRycy9lMm9Eb2MueG1sUEsBAi0AFAAGAAgAAAAhAHObn2zZAAAAAwEAAA8AAAAAAAAAAAAAAAAA&#10;jwQAAGRycy9kb3ducmV2LnhtbFBLBQYAAAAABAAEAPMAAACVBQAAAAA=&#10;" filled="f" stroked="f">
              <v:textbox style="mso-fit-shape-to-text:t" inset="20pt,15pt,0,0">
                <w:txbxContent>
                  <w:p w14:paraId="3152C3BA" w14:textId="4F2B949B" w:rsidR="00864ECA" w:rsidRPr="0099038F" w:rsidRDefault="00864ECA" w:rsidP="00864ECA">
                    <w:pPr>
                      <w:rPr>
                        <w:rFonts w:ascii="Calibri" w:eastAsia="Calibri" w:hAnsi="Calibri" w:cs="Calibri"/>
                        <w:noProof/>
                        <w:color w:val="000000"/>
                        <w:sz w:val="24"/>
                      </w:rPr>
                    </w:pPr>
                    <w:r w:rsidRPr="0099038F">
                      <w:rPr>
                        <w:rFonts w:ascii="Calibri" w:hAnsi="Calibri"/>
                        <w:color w:val="000000"/>
                        <w:sz w:val="24"/>
                      </w:rPr>
                      <w:t>Utilizare curentă ABE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860DA"/>
    <w:multiLevelType w:val="hybridMultilevel"/>
    <w:tmpl w:val="C55009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5F4C79"/>
    <w:multiLevelType w:val="hybridMultilevel"/>
    <w:tmpl w:val="7554BD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597EC3"/>
    <w:multiLevelType w:val="hybridMultilevel"/>
    <w:tmpl w:val="81D09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EE109C"/>
    <w:multiLevelType w:val="hybridMultilevel"/>
    <w:tmpl w:val="AB243A0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7971C3"/>
    <w:multiLevelType w:val="hybridMultilevel"/>
    <w:tmpl w:val="3942E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E55DB4"/>
    <w:multiLevelType w:val="hybridMultilevel"/>
    <w:tmpl w:val="D4F8EA40"/>
    <w:lvl w:ilvl="0" w:tplc="FFFFFFFF">
      <w:start w:val="1"/>
      <w:numFmt w:val="lowerRoman"/>
      <w:lvlText w:val="%1)"/>
      <w:lvlJc w:val="left"/>
      <w:pPr>
        <w:ind w:left="1080" w:hanging="720"/>
      </w:pPr>
      <w:rPr>
        <w:rFonts w:hint="default"/>
      </w:r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2E749A0"/>
    <w:multiLevelType w:val="hybridMultilevel"/>
    <w:tmpl w:val="FFFFFFFF"/>
    <w:lvl w:ilvl="0" w:tplc="0CD0E710">
      <w:start w:val="1"/>
      <w:numFmt w:val="bullet"/>
      <w:lvlText w:val=""/>
      <w:lvlJc w:val="left"/>
      <w:pPr>
        <w:ind w:left="720" w:hanging="360"/>
      </w:pPr>
      <w:rPr>
        <w:rFonts w:ascii="Symbol" w:hAnsi="Symbol" w:hint="default"/>
      </w:rPr>
    </w:lvl>
    <w:lvl w:ilvl="1" w:tplc="0C28BC12">
      <w:start w:val="1"/>
      <w:numFmt w:val="bullet"/>
      <w:lvlText w:val="o"/>
      <w:lvlJc w:val="left"/>
      <w:pPr>
        <w:ind w:left="1440" w:hanging="360"/>
      </w:pPr>
      <w:rPr>
        <w:rFonts w:ascii="Courier New" w:hAnsi="Courier New" w:hint="default"/>
      </w:rPr>
    </w:lvl>
    <w:lvl w:ilvl="2" w:tplc="A0E4D8AA">
      <w:start w:val="1"/>
      <w:numFmt w:val="bullet"/>
      <w:lvlText w:val=""/>
      <w:lvlJc w:val="left"/>
      <w:pPr>
        <w:ind w:left="2160" w:hanging="360"/>
      </w:pPr>
      <w:rPr>
        <w:rFonts w:ascii="Wingdings" w:hAnsi="Wingdings" w:hint="default"/>
      </w:rPr>
    </w:lvl>
    <w:lvl w:ilvl="3" w:tplc="91308CAC">
      <w:start w:val="1"/>
      <w:numFmt w:val="bullet"/>
      <w:lvlText w:val=""/>
      <w:lvlJc w:val="left"/>
      <w:pPr>
        <w:ind w:left="2880" w:hanging="360"/>
      </w:pPr>
      <w:rPr>
        <w:rFonts w:ascii="Symbol" w:hAnsi="Symbol" w:hint="default"/>
      </w:rPr>
    </w:lvl>
    <w:lvl w:ilvl="4" w:tplc="1EE6B26C">
      <w:start w:val="1"/>
      <w:numFmt w:val="bullet"/>
      <w:lvlText w:val="o"/>
      <w:lvlJc w:val="left"/>
      <w:pPr>
        <w:ind w:left="3600" w:hanging="360"/>
      </w:pPr>
      <w:rPr>
        <w:rFonts w:ascii="Courier New" w:hAnsi="Courier New" w:hint="default"/>
      </w:rPr>
    </w:lvl>
    <w:lvl w:ilvl="5" w:tplc="8926DF00">
      <w:start w:val="1"/>
      <w:numFmt w:val="bullet"/>
      <w:lvlText w:val=""/>
      <w:lvlJc w:val="left"/>
      <w:pPr>
        <w:ind w:left="4320" w:hanging="360"/>
      </w:pPr>
      <w:rPr>
        <w:rFonts w:ascii="Wingdings" w:hAnsi="Wingdings" w:hint="default"/>
      </w:rPr>
    </w:lvl>
    <w:lvl w:ilvl="6" w:tplc="90B4D0D2">
      <w:start w:val="1"/>
      <w:numFmt w:val="bullet"/>
      <w:lvlText w:val=""/>
      <w:lvlJc w:val="left"/>
      <w:pPr>
        <w:ind w:left="5040" w:hanging="360"/>
      </w:pPr>
      <w:rPr>
        <w:rFonts w:ascii="Symbol" w:hAnsi="Symbol" w:hint="default"/>
      </w:rPr>
    </w:lvl>
    <w:lvl w:ilvl="7" w:tplc="A3EAB52A">
      <w:start w:val="1"/>
      <w:numFmt w:val="bullet"/>
      <w:lvlText w:val="o"/>
      <w:lvlJc w:val="left"/>
      <w:pPr>
        <w:ind w:left="5760" w:hanging="360"/>
      </w:pPr>
      <w:rPr>
        <w:rFonts w:ascii="Courier New" w:hAnsi="Courier New" w:hint="default"/>
      </w:rPr>
    </w:lvl>
    <w:lvl w:ilvl="8" w:tplc="C4046BAA">
      <w:start w:val="1"/>
      <w:numFmt w:val="bullet"/>
      <w:lvlText w:val=""/>
      <w:lvlJc w:val="left"/>
      <w:pPr>
        <w:ind w:left="6480" w:hanging="360"/>
      </w:pPr>
      <w:rPr>
        <w:rFonts w:ascii="Wingdings" w:hAnsi="Wingdings" w:hint="default"/>
      </w:rPr>
    </w:lvl>
  </w:abstractNum>
  <w:abstractNum w:abstractNumId="7" w15:restartNumberingAfterBreak="0">
    <w:nsid w:val="33057CB8"/>
    <w:multiLevelType w:val="hybridMultilevel"/>
    <w:tmpl w:val="760C1692"/>
    <w:lvl w:ilvl="0" w:tplc="236EA62C">
      <w:start w:val="1"/>
      <w:numFmt w:val="decimal"/>
      <w:pStyle w:val="InstructionsText2"/>
      <w:lvlText w:val="%1."/>
      <w:lvlJc w:val="left"/>
      <w:pPr>
        <w:ind w:left="1353" w:hanging="360"/>
      </w:pPr>
      <w:rPr>
        <w:rFonts w:cs="Times New Roman"/>
      </w:rPr>
    </w:lvl>
    <w:lvl w:ilvl="1" w:tplc="5F56F3B6">
      <w:start w:val="1"/>
      <w:numFmt w:val="lowerLetter"/>
      <w:lvlText w:val="(%2)"/>
      <w:lvlJc w:val="left"/>
      <w:pPr>
        <w:ind w:left="1440" w:hanging="360"/>
      </w:pPr>
      <w:rPr>
        <w:rFonts w:cs="Times New Roman" w:hint="default"/>
      </w:rPr>
    </w:lvl>
    <w:lvl w:ilvl="2" w:tplc="04070005">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04070003" w:tentative="1">
      <w:start w:val="1"/>
      <w:numFmt w:val="lowerLetter"/>
      <w:lvlText w:val="%5."/>
      <w:lvlJc w:val="left"/>
      <w:pPr>
        <w:ind w:left="3600" w:hanging="360"/>
      </w:pPr>
      <w:rPr>
        <w:rFonts w:cs="Times New Roman"/>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8" w15:restartNumberingAfterBreak="0">
    <w:nsid w:val="485B13DC"/>
    <w:multiLevelType w:val="hybridMultilevel"/>
    <w:tmpl w:val="503222B2"/>
    <w:lvl w:ilvl="0" w:tplc="7D98D390">
      <w:start w:val="1"/>
      <w:numFmt w:val="bullet"/>
      <w:pStyle w:val="Style1"/>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227369"/>
    <w:multiLevelType w:val="hybridMultilevel"/>
    <w:tmpl w:val="D17E5BA0"/>
    <w:lvl w:ilvl="0" w:tplc="FFFFFFFF">
      <w:start w:val="1"/>
      <w:numFmt w:val="decimal"/>
      <w:pStyle w:val="numberedparagraph"/>
      <w:lvlText w:val="%1."/>
      <w:lvlJc w:val="left"/>
      <w:pPr>
        <w:tabs>
          <w:tab w:val="num" w:pos="284"/>
        </w:tabs>
        <w:ind w:left="284" w:hanging="284"/>
      </w:pPr>
    </w:lvl>
    <w:lvl w:ilvl="1" w:tplc="FFFFFFFF">
      <w:start w:val="1"/>
      <w:numFmt w:val="bullet"/>
      <w:lvlText w:val=""/>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E62199"/>
    <w:multiLevelType w:val="hybridMultilevel"/>
    <w:tmpl w:val="1F2ACEF8"/>
    <w:lvl w:ilvl="0" w:tplc="67E89A46">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A4767C0"/>
    <w:multiLevelType w:val="hybridMultilevel"/>
    <w:tmpl w:val="06983DAE"/>
    <w:lvl w:ilvl="0" w:tplc="0809000F">
      <w:start w:val="1"/>
      <w:numFmt w:val="decimal"/>
      <w:lvlText w:val="%1."/>
      <w:lvlJc w:val="left"/>
      <w:pPr>
        <w:tabs>
          <w:tab w:val="num" w:pos="360"/>
        </w:tabs>
        <w:ind w:left="360" w:hanging="360"/>
      </w:pPr>
      <w:rPr>
        <w:rFonts w:hint="default"/>
      </w:rPr>
    </w:lvl>
    <w:lvl w:ilvl="1" w:tplc="08090019">
      <w:start w:val="1"/>
      <w:numFmt w:val="lowerLetter"/>
      <w:lvlText w:val="%2."/>
      <w:lvlJc w:val="left"/>
      <w:pPr>
        <w:tabs>
          <w:tab w:val="num" w:pos="-180"/>
        </w:tabs>
        <w:ind w:left="-180" w:hanging="360"/>
      </w:pPr>
    </w:lvl>
    <w:lvl w:ilvl="2" w:tplc="0809001B" w:tentative="1">
      <w:start w:val="1"/>
      <w:numFmt w:val="lowerRoman"/>
      <w:lvlText w:val="%3."/>
      <w:lvlJc w:val="right"/>
      <w:pPr>
        <w:tabs>
          <w:tab w:val="num" w:pos="540"/>
        </w:tabs>
        <w:ind w:left="540" w:hanging="180"/>
      </w:pPr>
    </w:lvl>
    <w:lvl w:ilvl="3" w:tplc="0809000F" w:tentative="1">
      <w:start w:val="1"/>
      <w:numFmt w:val="decimal"/>
      <w:lvlText w:val="%4."/>
      <w:lvlJc w:val="left"/>
      <w:pPr>
        <w:tabs>
          <w:tab w:val="num" w:pos="1260"/>
        </w:tabs>
        <w:ind w:left="1260" w:hanging="360"/>
      </w:pPr>
    </w:lvl>
    <w:lvl w:ilvl="4" w:tplc="08090019" w:tentative="1">
      <w:start w:val="1"/>
      <w:numFmt w:val="lowerLetter"/>
      <w:lvlText w:val="%5."/>
      <w:lvlJc w:val="left"/>
      <w:pPr>
        <w:tabs>
          <w:tab w:val="num" w:pos="1980"/>
        </w:tabs>
        <w:ind w:left="1980" w:hanging="360"/>
      </w:pPr>
    </w:lvl>
    <w:lvl w:ilvl="5" w:tplc="0809001B" w:tentative="1">
      <w:start w:val="1"/>
      <w:numFmt w:val="lowerRoman"/>
      <w:lvlText w:val="%6."/>
      <w:lvlJc w:val="right"/>
      <w:pPr>
        <w:tabs>
          <w:tab w:val="num" w:pos="2700"/>
        </w:tabs>
        <w:ind w:left="2700" w:hanging="180"/>
      </w:pPr>
    </w:lvl>
    <w:lvl w:ilvl="6" w:tplc="0809000F" w:tentative="1">
      <w:start w:val="1"/>
      <w:numFmt w:val="decimal"/>
      <w:lvlText w:val="%7."/>
      <w:lvlJc w:val="left"/>
      <w:pPr>
        <w:tabs>
          <w:tab w:val="num" w:pos="3420"/>
        </w:tabs>
        <w:ind w:left="3420" w:hanging="360"/>
      </w:pPr>
    </w:lvl>
    <w:lvl w:ilvl="7" w:tplc="08090019" w:tentative="1">
      <w:start w:val="1"/>
      <w:numFmt w:val="lowerLetter"/>
      <w:lvlText w:val="%8."/>
      <w:lvlJc w:val="left"/>
      <w:pPr>
        <w:tabs>
          <w:tab w:val="num" w:pos="4140"/>
        </w:tabs>
        <w:ind w:left="4140" w:hanging="360"/>
      </w:pPr>
    </w:lvl>
    <w:lvl w:ilvl="8" w:tplc="0809001B" w:tentative="1">
      <w:start w:val="1"/>
      <w:numFmt w:val="lowerRoman"/>
      <w:lvlText w:val="%9."/>
      <w:lvlJc w:val="right"/>
      <w:pPr>
        <w:tabs>
          <w:tab w:val="num" w:pos="4860"/>
        </w:tabs>
        <w:ind w:left="4860" w:hanging="180"/>
      </w:pPr>
    </w:lvl>
  </w:abstractNum>
  <w:num w:numId="1">
    <w:abstractNumId w:val="11"/>
  </w:num>
  <w:num w:numId="2">
    <w:abstractNumId w:val="7"/>
  </w:num>
  <w:num w:numId="3">
    <w:abstractNumId w:val="0"/>
  </w:num>
  <w:num w:numId="4">
    <w:abstractNumId w:val="2"/>
  </w:num>
  <w:num w:numId="5">
    <w:abstractNumId w:val="4"/>
  </w:num>
  <w:num w:numId="6">
    <w:abstractNumId w:val="1"/>
  </w:num>
  <w:num w:numId="7">
    <w:abstractNumId w:val="9"/>
  </w:num>
  <w:num w:numId="8">
    <w:abstractNumId w:val="6"/>
  </w:num>
  <w:num w:numId="9">
    <w:abstractNumId w:val="10"/>
  </w:num>
  <w:num w:numId="10">
    <w:abstractNumId w:val="5"/>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FD049F"/>
    <w:rsid w:val="000057DA"/>
    <w:rsid w:val="000118A0"/>
    <w:rsid w:val="00011939"/>
    <w:rsid w:val="00012A75"/>
    <w:rsid w:val="0001405C"/>
    <w:rsid w:val="0001650F"/>
    <w:rsid w:val="00024346"/>
    <w:rsid w:val="00025F22"/>
    <w:rsid w:val="000272B2"/>
    <w:rsid w:val="000307E6"/>
    <w:rsid w:val="00030D74"/>
    <w:rsid w:val="00043B86"/>
    <w:rsid w:val="0004584F"/>
    <w:rsid w:val="00045858"/>
    <w:rsid w:val="00046439"/>
    <w:rsid w:val="000465B3"/>
    <w:rsid w:val="00050ABA"/>
    <w:rsid w:val="000576E8"/>
    <w:rsid w:val="0006502A"/>
    <w:rsid w:val="000664FC"/>
    <w:rsid w:val="000665BE"/>
    <w:rsid w:val="00066F9F"/>
    <w:rsid w:val="0006789F"/>
    <w:rsid w:val="00073105"/>
    <w:rsid w:val="000746E8"/>
    <w:rsid w:val="00074F00"/>
    <w:rsid w:val="00075D8B"/>
    <w:rsid w:val="00076263"/>
    <w:rsid w:val="00076410"/>
    <w:rsid w:val="00080F37"/>
    <w:rsid w:val="00083594"/>
    <w:rsid w:val="00087F79"/>
    <w:rsid w:val="00090561"/>
    <w:rsid w:val="00095D07"/>
    <w:rsid w:val="00096102"/>
    <w:rsid w:val="000A0D62"/>
    <w:rsid w:val="000A12B5"/>
    <w:rsid w:val="000A7B76"/>
    <w:rsid w:val="000B16B1"/>
    <w:rsid w:val="000B2704"/>
    <w:rsid w:val="000B2D8F"/>
    <w:rsid w:val="000B3E22"/>
    <w:rsid w:val="000B4462"/>
    <w:rsid w:val="000C1526"/>
    <w:rsid w:val="000C3EAE"/>
    <w:rsid w:val="000C4618"/>
    <w:rsid w:val="000C77E0"/>
    <w:rsid w:val="000D0723"/>
    <w:rsid w:val="000D0DBB"/>
    <w:rsid w:val="000D3111"/>
    <w:rsid w:val="000D3C6F"/>
    <w:rsid w:val="000D4A72"/>
    <w:rsid w:val="000D6DA0"/>
    <w:rsid w:val="000E3AB0"/>
    <w:rsid w:val="000E696C"/>
    <w:rsid w:val="000F08DF"/>
    <w:rsid w:val="000F1044"/>
    <w:rsid w:val="000F2921"/>
    <w:rsid w:val="000F375E"/>
    <w:rsid w:val="000F5C83"/>
    <w:rsid w:val="000F5FED"/>
    <w:rsid w:val="000F6C61"/>
    <w:rsid w:val="00103ABA"/>
    <w:rsid w:val="00103E71"/>
    <w:rsid w:val="00105E35"/>
    <w:rsid w:val="0011472E"/>
    <w:rsid w:val="001220D8"/>
    <w:rsid w:val="00122ABE"/>
    <w:rsid w:val="001257B6"/>
    <w:rsid w:val="00126683"/>
    <w:rsid w:val="00127890"/>
    <w:rsid w:val="00127955"/>
    <w:rsid w:val="00131C22"/>
    <w:rsid w:val="00134D05"/>
    <w:rsid w:val="00135C50"/>
    <w:rsid w:val="00136AE4"/>
    <w:rsid w:val="00141217"/>
    <w:rsid w:val="001420EB"/>
    <w:rsid w:val="00142276"/>
    <w:rsid w:val="00142D89"/>
    <w:rsid w:val="001449CE"/>
    <w:rsid w:val="001452C3"/>
    <w:rsid w:val="00145CEF"/>
    <w:rsid w:val="0015285C"/>
    <w:rsid w:val="00157939"/>
    <w:rsid w:val="00160A53"/>
    <w:rsid w:val="00161A8E"/>
    <w:rsid w:val="00162183"/>
    <w:rsid w:val="00165BEF"/>
    <w:rsid w:val="001756BE"/>
    <w:rsid w:val="0017572D"/>
    <w:rsid w:val="00177229"/>
    <w:rsid w:val="001830A3"/>
    <w:rsid w:val="00185088"/>
    <w:rsid w:val="001871DA"/>
    <w:rsid w:val="001918A2"/>
    <w:rsid w:val="00196907"/>
    <w:rsid w:val="001A2C2E"/>
    <w:rsid w:val="001B03D9"/>
    <w:rsid w:val="001B03DD"/>
    <w:rsid w:val="001B0A1D"/>
    <w:rsid w:val="001B2292"/>
    <w:rsid w:val="001B291D"/>
    <w:rsid w:val="001B3BC1"/>
    <w:rsid w:val="001B500A"/>
    <w:rsid w:val="001B58F8"/>
    <w:rsid w:val="001B6C85"/>
    <w:rsid w:val="001C2B75"/>
    <w:rsid w:val="001C4677"/>
    <w:rsid w:val="001C6CDD"/>
    <w:rsid w:val="001C6FE9"/>
    <w:rsid w:val="001D0334"/>
    <w:rsid w:val="001D080D"/>
    <w:rsid w:val="001D11E0"/>
    <w:rsid w:val="001D592E"/>
    <w:rsid w:val="001D782E"/>
    <w:rsid w:val="001E1503"/>
    <w:rsid w:val="001E5563"/>
    <w:rsid w:val="001F1176"/>
    <w:rsid w:val="001F7ED3"/>
    <w:rsid w:val="00201011"/>
    <w:rsid w:val="002026B4"/>
    <w:rsid w:val="002026D9"/>
    <w:rsid w:val="002054FC"/>
    <w:rsid w:val="002075AA"/>
    <w:rsid w:val="00207EDD"/>
    <w:rsid w:val="002118F9"/>
    <w:rsid w:val="00211970"/>
    <w:rsid w:val="00214165"/>
    <w:rsid w:val="00216C79"/>
    <w:rsid w:val="002208D1"/>
    <w:rsid w:val="00223530"/>
    <w:rsid w:val="00226DD0"/>
    <w:rsid w:val="00230607"/>
    <w:rsid w:val="00230F64"/>
    <w:rsid w:val="00232265"/>
    <w:rsid w:val="002322F4"/>
    <w:rsid w:val="002354DB"/>
    <w:rsid w:val="002355B0"/>
    <w:rsid w:val="00235C89"/>
    <w:rsid w:val="00236174"/>
    <w:rsid w:val="0024083E"/>
    <w:rsid w:val="00241FEC"/>
    <w:rsid w:val="00242E08"/>
    <w:rsid w:val="002455B5"/>
    <w:rsid w:val="002457F5"/>
    <w:rsid w:val="00246D4F"/>
    <w:rsid w:val="00250A53"/>
    <w:rsid w:val="00253C3A"/>
    <w:rsid w:val="00253CF4"/>
    <w:rsid w:val="00254FDF"/>
    <w:rsid w:val="002558AA"/>
    <w:rsid w:val="00257387"/>
    <w:rsid w:val="0026154A"/>
    <w:rsid w:val="00267B03"/>
    <w:rsid w:val="00267CA1"/>
    <w:rsid w:val="00270E06"/>
    <w:rsid w:val="00272014"/>
    <w:rsid w:val="0027387E"/>
    <w:rsid w:val="00273B65"/>
    <w:rsid w:val="00275651"/>
    <w:rsid w:val="00277197"/>
    <w:rsid w:val="002772B5"/>
    <w:rsid w:val="002774FB"/>
    <w:rsid w:val="00277E2E"/>
    <w:rsid w:val="002854BD"/>
    <w:rsid w:val="0028730E"/>
    <w:rsid w:val="00287A78"/>
    <w:rsid w:val="002912CA"/>
    <w:rsid w:val="00291643"/>
    <w:rsid w:val="002919DB"/>
    <w:rsid w:val="00293086"/>
    <w:rsid w:val="002A02D1"/>
    <w:rsid w:val="002A213A"/>
    <w:rsid w:val="002A2633"/>
    <w:rsid w:val="002A26E9"/>
    <w:rsid w:val="002A4A49"/>
    <w:rsid w:val="002A55B5"/>
    <w:rsid w:val="002A7A1C"/>
    <w:rsid w:val="002B0785"/>
    <w:rsid w:val="002B20D8"/>
    <w:rsid w:val="002B2993"/>
    <w:rsid w:val="002B2F6C"/>
    <w:rsid w:val="002B708C"/>
    <w:rsid w:val="002B7BCC"/>
    <w:rsid w:val="002C1404"/>
    <w:rsid w:val="002C6300"/>
    <w:rsid w:val="002D0EA4"/>
    <w:rsid w:val="002D5C08"/>
    <w:rsid w:val="002E1556"/>
    <w:rsid w:val="002E1AD8"/>
    <w:rsid w:val="002E28B0"/>
    <w:rsid w:val="002E4ED1"/>
    <w:rsid w:val="002F3CFA"/>
    <w:rsid w:val="002F70A5"/>
    <w:rsid w:val="002F733A"/>
    <w:rsid w:val="002F7AF6"/>
    <w:rsid w:val="00306E05"/>
    <w:rsid w:val="003123CA"/>
    <w:rsid w:val="003134EA"/>
    <w:rsid w:val="00313B19"/>
    <w:rsid w:val="00313BE5"/>
    <w:rsid w:val="003140BC"/>
    <w:rsid w:val="003173AB"/>
    <w:rsid w:val="0032128C"/>
    <w:rsid w:val="00322C5B"/>
    <w:rsid w:val="0032312B"/>
    <w:rsid w:val="0032508D"/>
    <w:rsid w:val="00325595"/>
    <w:rsid w:val="003260B9"/>
    <w:rsid w:val="003310FD"/>
    <w:rsid w:val="00331494"/>
    <w:rsid w:val="00332B2B"/>
    <w:rsid w:val="00340DA2"/>
    <w:rsid w:val="00340F5A"/>
    <w:rsid w:val="0034291F"/>
    <w:rsid w:val="0034713B"/>
    <w:rsid w:val="00350F3E"/>
    <w:rsid w:val="00352E37"/>
    <w:rsid w:val="00352E7B"/>
    <w:rsid w:val="00353854"/>
    <w:rsid w:val="00356B96"/>
    <w:rsid w:val="00356C56"/>
    <w:rsid w:val="0036264E"/>
    <w:rsid w:val="00366387"/>
    <w:rsid w:val="00370155"/>
    <w:rsid w:val="00371504"/>
    <w:rsid w:val="00373F9D"/>
    <w:rsid w:val="0037691C"/>
    <w:rsid w:val="00376B14"/>
    <w:rsid w:val="003826D3"/>
    <w:rsid w:val="003858A3"/>
    <w:rsid w:val="00390609"/>
    <w:rsid w:val="00390ACF"/>
    <w:rsid w:val="003930C3"/>
    <w:rsid w:val="00393427"/>
    <w:rsid w:val="00393FEF"/>
    <w:rsid w:val="00394139"/>
    <w:rsid w:val="00394AE0"/>
    <w:rsid w:val="00395B20"/>
    <w:rsid w:val="003A11C2"/>
    <w:rsid w:val="003A134B"/>
    <w:rsid w:val="003A1367"/>
    <w:rsid w:val="003A20B0"/>
    <w:rsid w:val="003A3338"/>
    <w:rsid w:val="003A752D"/>
    <w:rsid w:val="003B0795"/>
    <w:rsid w:val="003B12FB"/>
    <w:rsid w:val="003B40C6"/>
    <w:rsid w:val="003C0178"/>
    <w:rsid w:val="003C1B42"/>
    <w:rsid w:val="003C3FE1"/>
    <w:rsid w:val="003C62CB"/>
    <w:rsid w:val="003C7646"/>
    <w:rsid w:val="003D0A4B"/>
    <w:rsid w:val="003D0FCA"/>
    <w:rsid w:val="003D3122"/>
    <w:rsid w:val="003D36FD"/>
    <w:rsid w:val="003D49FC"/>
    <w:rsid w:val="003D54AC"/>
    <w:rsid w:val="003D5875"/>
    <w:rsid w:val="003D5C33"/>
    <w:rsid w:val="003E1A11"/>
    <w:rsid w:val="003E207A"/>
    <w:rsid w:val="003E3201"/>
    <w:rsid w:val="003E7CB0"/>
    <w:rsid w:val="003F52CD"/>
    <w:rsid w:val="003F5CE4"/>
    <w:rsid w:val="0040312B"/>
    <w:rsid w:val="00403F5F"/>
    <w:rsid w:val="00404BBB"/>
    <w:rsid w:val="00404E97"/>
    <w:rsid w:val="00405D1E"/>
    <w:rsid w:val="0041073A"/>
    <w:rsid w:val="004129ED"/>
    <w:rsid w:val="00413B96"/>
    <w:rsid w:val="004153D1"/>
    <w:rsid w:val="0042443A"/>
    <w:rsid w:val="00425384"/>
    <w:rsid w:val="00430F3A"/>
    <w:rsid w:val="00441196"/>
    <w:rsid w:val="00443CBC"/>
    <w:rsid w:val="00445677"/>
    <w:rsid w:val="004509B7"/>
    <w:rsid w:val="004544AD"/>
    <w:rsid w:val="00456F97"/>
    <w:rsid w:val="00457089"/>
    <w:rsid w:val="00460310"/>
    <w:rsid w:val="004618A3"/>
    <w:rsid w:val="0046389C"/>
    <w:rsid w:val="004651FB"/>
    <w:rsid w:val="00471410"/>
    <w:rsid w:val="004714CE"/>
    <w:rsid w:val="00472573"/>
    <w:rsid w:val="004744D1"/>
    <w:rsid w:val="00474A18"/>
    <w:rsid w:val="004849ED"/>
    <w:rsid w:val="004863DC"/>
    <w:rsid w:val="00486834"/>
    <w:rsid w:val="00486925"/>
    <w:rsid w:val="00487314"/>
    <w:rsid w:val="0049000A"/>
    <w:rsid w:val="00492339"/>
    <w:rsid w:val="00496389"/>
    <w:rsid w:val="00496A9E"/>
    <w:rsid w:val="004A0829"/>
    <w:rsid w:val="004A0952"/>
    <w:rsid w:val="004A18F4"/>
    <w:rsid w:val="004A3168"/>
    <w:rsid w:val="004A3C86"/>
    <w:rsid w:val="004A4A2C"/>
    <w:rsid w:val="004A58B5"/>
    <w:rsid w:val="004A5BBA"/>
    <w:rsid w:val="004A62B8"/>
    <w:rsid w:val="004A742E"/>
    <w:rsid w:val="004A7915"/>
    <w:rsid w:val="004B0B6E"/>
    <w:rsid w:val="004B0FB3"/>
    <w:rsid w:val="004B0FCE"/>
    <w:rsid w:val="004B1D55"/>
    <w:rsid w:val="004B57A6"/>
    <w:rsid w:val="004B6D23"/>
    <w:rsid w:val="004C06C0"/>
    <w:rsid w:val="004C08C6"/>
    <w:rsid w:val="004C2C33"/>
    <w:rsid w:val="004C3206"/>
    <w:rsid w:val="004D0A0E"/>
    <w:rsid w:val="004D0C4D"/>
    <w:rsid w:val="004D442B"/>
    <w:rsid w:val="004D7AAC"/>
    <w:rsid w:val="004E0A33"/>
    <w:rsid w:val="004E2BF2"/>
    <w:rsid w:val="004E3E86"/>
    <w:rsid w:val="004E41F1"/>
    <w:rsid w:val="004E5F6E"/>
    <w:rsid w:val="004E67D0"/>
    <w:rsid w:val="004E7E6A"/>
    <w:rsid w:val="004F220F"/>
    <w:rsid w:val="004F22BD"/>
    <w:rsid w:val="004F34D4"/>
    <w:rsid w:val="004F55D2"/>
    <w:rsid w:val="004F6309"/>
    <w:rsid w:val="004F7296"/>
    <w:rsid w:val="00500525"/>
    <w:rsid w:val="00501D3A"/>
    <w:rsid w:val="00502CBE"/>
    <w:rsid w:val="0051094B"/>
    <w:rsid w:val="00511F83"/>
    <w:rsid w:val="005129A3"/>
    <w:rsid w:val="00513E9E"/>
    <w:rsid w:val="005201AB"/>
    <w:rsid w:val="00520A67"/>
    <w:rsid w:val="00521787"/>
    <w:rsid w:val="005227BF"/>
    <w:rsid w:val="00523851"/>
    <w:rsid w:val="005244B2"/>
    <w:rsid w:val="00525D0C"/>
    <w:rsid w:val="00531A16"/>
    <w:rsid w:val="0053230B"/>
    <w:rsid w:val="005323E0"/>
    <w:rsid w:val="00532CFA"/>
    <w:rsid w:val="00533587"/>
    <w:rsid w:val="005346B6"/>
    <w:rsid w:val="00536DD1"/>
    <w:rsid w:val="00542C4F"/>
    <w:rsid w:val="00543CE4"/>
    <w:rsid w:val="00545C2E"/>
    <w:rsid w:val="005511B4"/>
    <w:rsid w:val="005525B5"/>
    <w:rsid w:val="00552616"/>
    <w:rsid w:val="00555026"/>
    <w:rsid w:val="0055699F"/>
    <w:rsid w:val="00557E87"/>
    <w:rsid w:val="005644FD"/>
    <w:rsid w:val="00573755"/>
    <w:rsid w:val="0058077D"/>
    <w:rsid w:val="00581319"/>
    <w:rsid w:val="00581EE7"/>
    <w:rsid w:val="00585FE7"/>
    <w:rsid w:val="00592CFD"/>
    <w:rsid w:val="00594CF8"/>
    <w:rsid w:val="00594DEA"/>
    <w:rsid w:val="00597741"/>
    <w:rsid w:val="005A0E65"/>
    <w:rsid w:val="005A1D73"/>
    <w:rsid w:val="005A28B3"/>
    <w:rsid w:val="005A56B5"/>
    <w:rsid w:val="005A6F28"/>
    <w:rsid w:val="005B1A6A"/>
    <w:rsid w:val="005B266A"/>
    <w:rsid w:val="005B2681"/>
    <w:rsid w:val="005B35FE"/>
    <w:rsid w:val="005B36AF"/>
    <w:rsid w:val="005B4907"/>
    <w:rsid w:val="005B5827"/>
    <w:rsid w:val="005B6691"/>
    <w:rsid w:val="005B76B3"/>
    <w:rsid w:val="005C0169"/>
    <w:rsid w:val="005C361B"/>
    <w:rsid w:val="005C43BC"/>
    <w:rsid w:val="005C4785"/>
    <w:rsid w:val="005C5685"/>
    <w:rsid w:val="005C7DD8"/>
    <w:rsid w:val="005D02AE"/>
    <w:rsid w:val="005D3B7F"/>
    <w:rsid w:val="005D484F"/>
    <w:rsid w:val="005D78BA"/>
    <w:rsid w:val="005E0DB5"/>
    <w:rsid w:val="005E1172"/>
    <w:rsid w:val="005E426C"/>
    <w:rsid w:val="005E4525"/>
    <w:rsid w:val="005E5C07"/>
    <w:rsid w:val="005E651B"/>
    <w:rsid w:val="005E6595"/>
    <w:rsid w:val="005E7C4C"/>
    <w:rsid w:val="005F2270"/>
    <w:rsid w:val="005F6363"/>
    <w:rsid w:val="005F6A97"/>
    <w:rsid w:val="006010B7"/>
    <w:rsid w:val="006020C0"/>
    <w:rsid w:val="00603CA2"/>
    <w:rsid w:val="00605946"/>
    <w:rsid w:val="006106BB"/>
    <w:rsid w:val="00611A03"/>
    <w:rsid w:val="00615045"/>
    <w:rsid w:val="006175E8"/>
    <w:rsid w:val="00617849"/>
    <w:rsid w:val="00620C52"/>
    <w:rsid w:val="006276CF"/>
    <w:rsid w:val="00631769"/>
    <w:rsid w:val="00632F0C"/>
    <w:rsid w:val="00634105"/>
    <w:rsid w:val="006423F0"/>
    <w:rsid w:val="00643568"/>
    <w:rsid w:val="006467E0"/>
    <w:rsid w:val="006515E3"/>
    <w:rsid w:val="00651CFD"/>
    <w:rsid w:val="00654641"/>
    <w:rsid w:val="00662E68"/>
    <w:rsid w:val="00663EA2"/>
    <w:rsid w:val="00665EDF"/>
    <w:rsid w:val="00666BFE"/>
    <w:rsid w:val="006671B4"/>
    <w:rsid w:val="00670D9B"/>
    <w:rsid w:val="006710C9"/>
    <w:rsid w:val="00671F1C"/>
    <w:rsid w:val="006721A7"/>
    <w:rsid w:val="00672648"/>
    <w:rsid w:val="00672FCF"/>
    <w:rsid w:val="006734FF"/>
    <w:rsid w:val="0067596F"/>
    <w:rsid w:val="00675FB5"/>
    <w:rsid w:val="00680908"/>
    <w:rsid w:val="006825A4"/>
    <w:rsid w:val="006832AC"/>
    <w:rsid w:val="0068676B"/>
    <w:rsid w:val="006943D3"/>
    <w:rsid w:val="006956F2"/>
    <w:rsid w:val="00695D35"/>
    <w:rsid w:val="00695DBE"/>
    <w:rsid w:val="006A3134"/>
    <w:rsid w:val="006A3C03"/>
    <w:rsid w:val="006A6B36"/>
    <w:rsid w:val="006A7708"/>
    <w:rsid w:val="006B1B9D"/>
    <w:rsid w:val="006B1C53"/>
    <w:rsid w:val="006B4D78"/>
    <w:rsid w:val="006B7E63"/>
    <w:rsid w:val="006C306E"/>
    <w:rsid w:val="006C331E"/>
    <w:rsid w:val="006C62E5"/>
    <w:rsid w:val="006C66D0"/>
    <w:rsid w:val="006D3272"/>
    <w:rsid w:val="006D3A51"/>
    <w:rsid w:val="006D58A9"/>
    <w:rsid w:val="006D76F7"/>
    <w:rsid w:val="006E0F5F"/>
    <w:rsid w:val="006E1A81"/>
    <w:rsid w:val="006E1C89"/>
    <w:rsid w:val="006E2DDE"/>
    <w:rsid w:val="006E3051"/>
    <w:rsid w:val="006F4C95"/>
    <w:rsid w:val="006F5677"/>
    <w:rsid w:val="00701AB8"/>
    <w:rsid w:val="0070328C"/>
    <w:rsid w:val="0070389C"/>
    <w:rsid w:val="00705C67"/>
    <w:rsid w:val="00713824"/>
    <w:rsid w:val="007146FC"/>
    <w:rsid w:val="0071476F"/>
    <w:rsid w:val="00716B43"/>
    <w:rsid w:val="007212B1"/>
    <w:rsid w:val="00721E9C"/>
    <w:rsid w:val="007227C1"/>
    <w:rsid w:val="00725562"/>
    <w:rsid w:val="00727D92"/>
    <w:rsid w:val="0073744A"/>
    <w:rsid w:val="00742D4E"/>
    <w:rsid w:val="0074599C"/>
    <w:rsid w:val="00752BA7"/>
    <w:rsid w:val="007535CB"/>
    <w:rsid w:val="00753C8F"/>
    <w:rsid w:val="007561ED"/>
    <w:rsid w:val="00756B6D"/>
    <w:rsid w:val="007572BA"/>
    <w:rsid w:val="00757EE7"/>
    <w:rsid w:val="00760B2D"/>
    <w:rsid w:val="00761A99"/>
    <w:rsid w:val="00764F56"/>
    <w:rsid w:val="00765CB0"/>
    <w:rsid w:val="00775BD9"/>
    <w:rsid w:val="00780966"/>
    <w:rsid w:val="00785777"/>
    <w:rsid w:val="007863F3"/>
    <w:rsid w:val="00787341"/>
    <w:rsid w:val="007912F6"/>
    <w:rsid w:val="00793C82"/>
    <w:rsid w:val="0079404E"/>
    <w:rsid w:val="007942F6"/>
    <w:rsid w:val="00794EEA"/>
    <w:rsid w:val="00795D11"/>
    <w:rsid w:val="007A244C"/>
    <w:rsid w:val="007A25E1"/>
    <w:rsid w:val="007A4B1F"/>
    <w:rsid w:val="007A7D9C"/>
    <w:rsid w:val="007B0E7E"/>
    <w:rsid w:val="007B37CA"/>
    <w:rsid w:val="007B3E62"/>
    <w:rsid w:val="007B4F63"/>
    <w:rsid w:val="007B716B"/>
    <w:rsid w:val="007B759C"/>
    <w:rsid w:val="007C45A4"/>
    <w:rsid w:val="007C4795"/>
    <w:rsid w:val="007C5D41"/>
    <w:rsid w:val="007C6DDA"/>
    <w:rsid w:val="007D1B69"/>
    <w:rsid w:val="007D3710"/>
    <w:rsid w:val="007D47E8"/>
    <w:rsid w:val="007D5B31"/>
    <w:rsid w:val="007E4A47"/>
    <w:rsid w:val="007E7DB4"/>
    <w:rsid w:val="007F107B"/>
    <w:rsid w:val="007F3294"/>
    <w:rsid w:val="007F35C2"/>
    <w:rsid w:val="007F3DCB"/>
    <w:rsid w:val="007F481E"/>
    <w:rsid w:val="007F5FB7"/>
    <w:rsid w:val="007F79D0"/>
    <w:rsid w:val="008006BD"/>
    <w:rsid w:val="00800DA8"/>
    <w:rsid w:val="00804617"/>
    <w:rsid w:val="0080619E"/>
    <w:rsid w:val="008064B3"/>
    <w:rsid w:val="00806C37"/>
    <w:rsid w:val="00806D63"/>
    <w:rsid w:val="008073CE"/>
    <w:rsid w:val="008106BB"/>
    <w:rsid w:val="008126E2"/>
    <w:rsid w:val="00815D64"/>
    <w:rsid w:val="00820A89"/>
    <w:rsid w:val="008224E4"/>
    <w:rsid w:val="00823C1A"/>
    <w:rsid w:val="00825B74"/>
    <w:rsid w:val="00825C0C"/>
    <w:rsid w:val="00827D03"/>
    <w:rsid w:val="008340AA"/>
    <w:rsid w:val="008408B7"/>
    <w:rsid w:val="00841A0D"/>
    <w:rsid w:val="008447E9"/>
    <w:rsid w:val="00845753"/>
    <w:rsid w:val="0084754D"/>
    <w:rsid w:val="00853F81"/>
    <w:rsid w:val="00856A58"/>
    <w:rsid w:val="00856FD6"/>
    <w:rsid w:val="00857C47"/>
    <w:rsid w:val="008606AB"/>
    <w:rsid w:val="00860C4A"/>
    <w:rsid w:val="008613CD"/>
    <w:rsid w:val="008639CA"/>
    <w:rsid w:val="008642ED"/>
    <w:rsid w:val="00864ECA"/>
    <w:rsid w:val="00864F98"/>
    <w:rsid w:val="008703CB"/>
    <w:rsid w:val="00871AC0"/>
    <w:rsid w:val="008726D2"/>
    <w:rsid w:val="00873664"/>
    <w:rsid w:val="008743B0"/>
    <w:rsid w:val="00876AB5"/>
    <w:rsid w:val="00876FEE"/>
    <w:rsid w:val="00877D06"/>
    <w:rsid w:val="00881740"/>
    <w:rsid w:val="00882C01"/>
    <w:rsid w:val="0088515A"/>
    <w:rsid w:val="00885AC5"/>
    <w:rsid w:val="00887164"/>
    <w:rsid w:val="00891AE6"/>
    <w:rsid w:val="00892D51"/>
    <w:rsid w:val="00892FC4"/>
    <w:rsid w:val="008A113C"/>
    <w:rsid w:val="008A1C9E"/>
    <w:rsid w:val="008A1F8B"/>
    <w:rsid w:val="008A379C"/>
    <w:rsid w:val="008A4CE3"/>
    <w:rsid w:val="008A6B9E"/>
    <w:rsid w:val="008A789A"/>
    <w:rsid w:val="008A7B63"/>
    <w:rsid w:val="008B015F"/>
    <w:rsid w:val="008B419B"/>
    <w:rsid w:val="008B66B5"/>
    <w:rsid w:val="008B71AE"/>
    <w:rsid w:val="008C3E6A"/>
    <w:rsid w:val="008C599A"/>
    <w:rsid w:val="008D0BBC"/>
    <w:rsid w:val="008D0DA3"/>
    <w:rsid w:val="008D220D"/>
    <w:rsid w:val="008D318E"/>
    <w:rsid w:val="008D6AE8"/>
    <w:rsid w:val="008D71E9"/>
    <w:rsid w:val="008D73D0"/>
    <w:rsid w:val="008E0228"/>
    <w:rsid w:val="008E4C2C"/>
    <w:rsid w:val="008E7892"/>
    <w:rsid w:val="008F0781"/>
    <w:rsid w:val="008F2676"/>
    <w:rsid w:val="008F4F1F"/>
    <w:rsid w:val="008F5F56"/>
    <w:rsid w:val="008F6903"/>
    <w:rsid w:val="00902794"/>
    <w:rsid w:val="009027E3"/>
    <w:rsid w:val="00902E47"/>
    <w:rsid w:val="009046C7"/>
    <w:rsid w:val="00907148"/>
    <w:rsid w:val="00911DED"/>
    <w:rsid w:val="00912473"/>
    <w:rsid w:val="009126FD"/>
    <w:rsid w:val="00915138"/>
    <w:rsid w:val="00922520"/>
    <w:rsid w:val="0092318D"/>
    <w:rsid w:val="00924970"/>
    <w:rsid w:val="00926593"/>
    <w:rsid w:val="0093286E"/>
    <w:rsid w:val="00933E3B"/>
    <w:rsid w:val="009361B2"/>
    <w:rsid w:val="009365C9"/>
    <w:rsid w:val="0094124B"/>
    <w:rsid w:val="009419C5"/>
    <w:rsid w:val="00944345"/>
    <w:rsid w:val="00954121"/>
    <w:rsid w:val="00954FB2"/>
    <w:rsid w:val="00956CFD"/>
    <w:rsid w:val="009614D5"/>
    <w:rsid w:val="00962EA7"/>
    <w:rsid w:val="00965CF0"/>
    <w:rsid w:val="009757A9"/>
    <w:rsid w:val="0097685A"/>
    <w:rsid w:val="00977842"/>
    <w:rsid w:val="009816D6"/>
    <w:rsid w:val="00982018"/>
    <w:rsid w:val="00983339"/>
    <w:rsid w:val="00984383"/>
    <w:rsid w:val="00984AB4"/>
    <w:rsid w:val="0098747C"/>
    <w:rsid w:val="0099038F"/>
    <w:rsid w:val="00993058"/>
    <w:rsid w:val="00993F77"/>
    <w:rsid w:val="0099479E"/>
    <w:rsid w:val="009A1346"/>
    <w:rsid w:val="009A1465"/>
    <w:rsid w:val="009A4AFC"/>
    <w:rsid w:val="009A4E43"/>
    <w:rsid w:val="009B143E"/>
    <w:rsid w:val="009B1F6C"/>
    <w:rsid w:val="009B7607"/>
    <w:rsid w:val="009C0143"/>
    <w:rsid w:val="009C034B"/>
    <w:rsid w:val="009C194B"/>
    <w:rsid w:val="009C1A54"/>
    <w:rsid w:val="009C1BC1"/>
    <w:rsid w:val="009C7B8C"/>
    <w:rsid w:val="009D0A6F"/>
    <w:rsid w:val="009D1C49"/>
    <w:rsid w:val="009D2AA7"/>
    <w:rsid w:val="009D43F3"/>
    <w:rsid w:val="009D4A12"/>
    <w:rsid w:val="009D56BD"/>
    <w:rsid w:val="009D76DE"/>
    <w:rsid w:val="009E1FA8"/>
    <w:rsid w:val="009E306F"/>
    <w:rsid w:val="009E3E80"/>
    <w:rsid w:val="009E4370"/>
    <w:rsid w:val="009E565F"/>
    <w:rsid w:val="009E5FB3"/>
    <w:rsid w:val="009F39F6"/>
    <w:rsid w:val="009F423C"/>
    <w:rsid w:val="009F4407"/>
    <w:rsid w:val="009F7C59"/>
    <w:rsid w:val="00A02195"/>
    <w:rsid w:val="00A0227E"/>
    <w:rsid w:val="00A0556C"/>
    <w:rsid w:val="00A05AB5"/>
    <w:rsid w:val="00A12978"/>
    <w:rsid w:val="00A16CBB"/>
    <w:rsid w:val="00A17193"/>
    <w:rsid w:val="00A174CD"/>
    <w:rsid w:val="00A17EAD"/>
    <w:rsid w:val="00A215ED"/>
    <w:rsid w:val="00A24AB4"/>
    <w:rsid w:val="00A255AF"/>
    <w:rsid w:val="00A26F9F"/>
    <w:rsid w:val="00A31C3A"/>
    <w:rsid w:val="00A32013"/>
    <w:rsid w:val="00A32EDF"/>
    <w:rsid w:val="00A3462E"/>
    <w:rsid w:val="00A35BD7"/>
    <w:rsid w:val="00A37C45"/>
    <w:rsid w:val="00A42FD7"/>
    <w:rsid w:val="00A45948"/>
    <w:rsid w:val="00A4606C"/>
    <w:rsid w:val="00A471E8"/>
    <w:rsid w:val="00A47B28"/>
    <w:rsid w:val="00A509DA"/>
    <w:rsid w:val="00A536F4"/>
    <w:rsid w:val="00A5559A"/>
    <w:rsid w:val="00A621C9"/>
    <w:rsid w:val="00A622C1"/>
    <w:rsid w:val="00A631CD"/>
    <w:rsid w:val="00A633F6"/>
    <w:rsid w:val="00A653D8"/>
    <w:rsid w:val="00A71D9B"/>
    <w:rsid w:val="00A71F37"/>
    <w:rsid w:val="00A72505"/>
    <w:rsid w:val="00A755DF"/>
    <w:rsid w:val="00A7672B"/>
    <w:rsid w:val="00A76A8F"/>
    <w:rsid w:val="00A804B8"/>
    <w:rsid w:val="00A80AD8"/>
    <w:rsid w:val="00A82F75"/>
    <w:rsid w:val="00A843E1"/>
    <w:rsid w:val="00A87543"/>
    <w:rsid w:val="00A87C4E"/>
    <w:rsid w:val="00A90BF1"/>
    <w:rsid w:val="00A92258"/>
    <w:rsid w:val="00A9249A"/>
    <w:rsid w:val="00A92AB0"/>
    <w:rsid w:val="00A93038"/>
    <w:rsid w:val="00A930F4"/>
    <w:rsid w:val="00A945D1"/>
    <w:rsid w:val="00A94BCA"/>
    <w:rsid w:val="00A95CB6"/>
    <w:rsid w:val="00AA36DC"/>
    <w:rsid w:val="00AA5B9A"/>
    <w:rsid w:val="00AB1539"/>
    <w:rsid w:val="00AB31A2"/>
    <w:rsid w:val="00AC150B"/>
    <w:rsid w:val="00AC2834"/>
    <w:rsid w:val="00AC2CFC"/>
    <w:rsid w:val="00AC41A4"/>
    <w:rsid w:val="00AD193C"/>
    <w:rsid w:val="00AD3DCE"/>
    <w:rsid w:val="00AD49B8"/>
    <w:rsid w:val="00AE514C"/>
    <w:rsid w:val="00AE6902"/>
    <w:rsid w:val="00AF03AE"/>
    <w:rsid w:val="00AF352D"/>
    <w:rsid w:val="00AF467F"/>
    <w:rsid w:val="00B02F7E"/>
    <w:rsid w:val="00B03935"/>
    <w:rsid w:val="00B047CC"/>
    <w:rsid w:val="00B0524B"/>
    <w:rsid w:val="00B068B0"/>
    <w:rsid w:val="00B0694A"/>
    <w:rsid w:val="00B103CE"/>
    <w:rsid w:val="00B14691"/>
    <w:rsid w:val="00B14961"/>
    <w:rsid w:val="00B16370"/>
    <w:rsid w:val="00B165EB"/>
    <w:rsid w:val="00B2221A"/>
    <w:rsid w:val="00B23CA0"/>
    <w:rsid w:val="00B23CE1"/>
    <w:rsid w:val="00B24621"/>
    <w:rsid w:val="00B31A1C"/>
    <w:rsid w:val="00B33E68"/>
    <w:rsid w:val="00B34102"/>
    <w:rsid w:val="00B408D0"/>
    <w:rsid w:val="00B43AD7"/>
    <w:rsid w:val="00B512EE"/>
    <w:rsid w:val="00B522B0"/>
    <w:rsid w:val="00B52679"/>
    <w:rsid w:val="00B53886"/>
    <w:rsid w:val="00B552DF"/>
    <w:rsid w:val="00B55481"/>
    <w:rsid w:val="00B55900"/>
    <w:rsid w:val="00B567BA"/>
    <w:rsid w:val="00B568CE"/>
    <w:rsid w:val="00B61464"/>
    <w:rsid w:val="00B629DF"/>
    <w:rsid w:val="00B676B3"/>
    <w:rsid w:val="00B706B1"/>
    <w:rsid w:val="00B707B2"/>
    <w:rsid w:val="00B713A8"/>
    <w:rsid w:val="00B71605"/>
    <w:rsid w:val="00B722D0"/>
    <w:rsid w:val="00B74EFE"/>
    <w:rsid w:val="00B76288"/>
    <w:rsid w:val="00B76736"/>
    <w:rsid w:val="00B769F2"/>
    <w:rsid w:val="00B76B25"/>
    <w:rsid w:val="00B77A65"/>
    <w:rsid w:val="00B77DC7"/>
    <w:rsid w:val="00B805CD"/>
    <w:rsid w:val="00B84747"/>
    <w:rsid w:val="00B85488"/>
    <w:rsid w:val="00B87F06"/>
    <w:rsid w:val="00B94263"/>
    <w:rsid w:val="00B95A0E"/>
    <w:rsid w:val="00B96223"/>
    <w:rsid w:val="00B973FA"/>
    <w:rsid w:val="00B97738"/>
    <w:rsid w:val="00BA33C3"/>
    <w:rsid w:val="00BA3968"/>
    <w:rsid w:val="00BA4C67"/>
    <w:rsid w:val="00BA5732"/>
    <w:rsid w:val="00BA59D8"/>
    <w:rsid w:val="00BA6256"/>
    <w:rsid w:val="00BB0B3D"/>
    <w:rsid w:val="00BB37C8"/>
    <w:rsid w:val="00BB44B3"/>
    <w:rsid w:val="00BB704D"/>
    <w:rsid w:val="00BC186D"/>
    <w:rsid w:val="00BC1F18"/>
    <w:rsid w:val="00BC2C89"/>
    <w:rsid w:val="00BC3FB7"/>
    <w:rsid w:val="00BC4C4D"/>
    <w:rsid w:val="00BD248A"/>
    <w:rsid w:val="00BD294B"/>
    <w:rsid w:val="00BD3A95"/>
    <w:rsid w:val="00BD5A42"/>
    <w:rsid w:val="00BD7206"/>
    <w:rsid w:val="00BD7550"/>
    <w:rsid w:val="00BE15A1"/>
    <w:rsid w:val="00BE42E0"/>
    <w:rsid w:val="00BF3C9E"/>
    <w:rsid w:val="00BF4A7F"/>
    <w:rsid w:val="00BF4BAF"/>
    <w:rsid w:val="00BF4E0B"/>
    <w:rsid w:val="00BF51AD"/>
    <w:rsid w:val="00BF6AF4"/>
    <w:rsid w:val="00C02E9F"/>
    <w:rsid w:val="00C0682E"/>
    <w:rsid w:val="00C0725A"/>
    <w:rsid w:val="00C14DC2"/>
    <w:rsid w:val="00C15008"/>
    <w:rsid w:val="00C1741B"/>
    <w:rsid w:val="00C21475"/>
    <w:rsid w:val="00C21A7E"/>
    <w:rsid w:val="00C23912"/>
    <w:rsid w:val="00C248D1"/>
    <w:rsid w:val="00C24966"/>
    <w:rsid w:val="00C277ED"/>
    <w:rsid w:val="00C305C3"/>
    <w:rsid w:val="00C3314A"/>
    <w:rsid w:val="00C3526F"/>
    <w:rsid w:val="00C35993"/>
    <w:rsid w:val="00C36191"/>
    <w:rsid w:val="00C3709E"/>
    <w:rsid w:val="00C40750"/>
    <w:rsid w:val="00C40F35"/>
    <w:rsid w:val="00C411C4"/>
    <w:rsid w:val="00C41FA3"/>
    <w:rsid w:val="00C43700"/>
    <w:rsid w:val="00C4421F"/>
    <w:rsid w:val="00C51633"/>
    <w:rsid w:val="00C524CB"/>
    <w:rsid w:val="00C532CF"/>
    <w:rsid w:val="00C53869"/>
    <w:rsid w:val="00C54B92"/>
    <w:rsid w:val="00C568CA"/>
    <w:rsid w:val="00C56923"/>
    <w:rsid w:val="00C638C7"/>
    <w:rsid w:val="00C65626"/>
    <w:rsid w:val="00C700F4"/>
    <w:rsid w:val="00C703A9"/>
    <w:rsid w:val="00C737CB"/>
    <w:rsid w:val="00C748ED"/>
    <w:rsid w:val="00C764F0"/>
    <w:rsid w:val="00C86A07"/>
    <w:rsid w:val="00C90166"/>
    <w:rsid w:val="00C90191"/>
    <w:rsid w:val="00C916C9"/>
    <w:rsid w:val="00C928D9"/>
    <w:rsid w:val="00C92D40"/>
    <w:rsid w:val="00C94470"/>
    <w:rsid w:val="00C969DD"/>
    <w:rsid w:val="00CA074B"/>
    <w:rsid w:val="00CA3BBF"/>
    <w:rsid w:val="00CA794A"/>
    <w:rsid w:val="00CB0899"/>
    <w:rsid w:val="00CB3224"/>
    <w:rsid w:val="00CB3237"/>
    <w:rsid w:val="00CB44DC"/>
    <w:rsid w:val="00CB60D9"/>
    <w:rsid w:val="00CC1463"/>
    <w:rsid w:val="00CC212C"/>
    <w:rsid w:val="00CC27AA"/>
    <w:rsid w:val="00CD444E"/>
    <w:rsid w:val="00CD4798"/>
    <w:rsid w:val="00CD68A2"/>
    <w:rsid w:val="00CE002E"/>
    <w:rsid w:val="00CE243D"/>
    <w:rsid w:val="00CE373B"/>
    <w:rsid w:val="00CE4B78"/>
    <w:rsid w:val="00CE5334"/>
    <w:rsid w:val="00CF0557"/>
    <w:rsid w:val="00CF16D4"/>
    <w:rsid w:val="00CF4B75"/>
    <w:rsid w:val="00CF5BBA"/>
    <w:rsid w:val="00CF6DD4"/>
    <w:rsid w:val="00CF7F64"/>
    <w:rsid w:val="00D00F1D"/>
    <w:rsid w:val="00D02186"/>
    <w:rsid w:val="00D05431"/>
    <w:rsid w:val="00D06E45"/>
    <w:rsid w:val="00D07442"/>
    <w:rsid w:val="00D0762F"/>
    <w:rsid w:val="00D07858"/>
    <w:rsid w:val="00D136A0"/>
    <w:rsid w:val="00D159DE"/>
    <w:rsid w:val="00D20F89"/>
    <w:rsid w:val="00D245C0"/>
    <w:rsid w:val="00D248FD"/>
    <w:rsid w:val="00D26C81"/>
    <w:rsid w:val="00D34497"/>
    <w:rsid w:val="00D36D1A"/>
    <w:rsid w:val="00D406FD"/>
    <w:rsid w:val="00D42000"/>
    <w:rsid w:val="00D43444"/>
    <w:rsid w:val="00D446B3"/>
    <w:rsid w:val="00D449C1"/>
    <w:rsid w:val="00D4597F"/>
    <w:rsid w:val="00D4645E"/>
    <w:rsid w:val="00D46663"/>
    <w:rsid w:val="00D46E79"/>
    <w:rsid w:val="00D50422"/>
    <w:rsid w:val="00D508C3"/>
    <w:rsid w:val="00D5746A"/>
    <w:rsid w:val="00D57EAD"/>
    <w:rsid w:val="00D60958"/>
    <w:rsid w:val="00D6205F"/>
    <w:rsid w:val="00D62B9C"/>
    <w:rsid w:val="00D64D68"/>
    <w:rsid w:val="00D656A5"/>
    <w:rsid w:val="00D70DE3"/>
    <w:rsid w:val="00D72CD9"/>
    <w:rsid w:val="00D734E2"/>
    <w:rsid w:val="00D740B8"/>
    <w:rsid w:val="00D75EF0"/>
    <w:rsid w:val="00D76809"/>
    <w:rsid w:val="00D76A23"/>
    <w:rsid w:val="00D81FA1"/>
    <w:rsid w:val="00D825DD"/>
    <w:rsid w:val="00D82B99"/>
    <w:rsid w:val="00D85DC0"/>
    <w:rsid w:val="00D873C1"/>
    <w:rsid w:val="00D87B9A"/>
    <w:rsid w:val="00D91B18"/>
    <w:rsid w:val="00D9508C"/>
    <w:rsid w:val="00DA0E14"/>
    <w:rsid w:val="00DA1090"/>
    <w:rsid w:val="00DA24A2"/>
    <w:rsid w:val="00DA2994"/>
    <w:rsid w:val="00DA47E2"/>
    <w:rsid w:val="00DA682F"/>
    <w:rsid w:val="00DB1204"/>
    <w:rsid w:val="00DB2BE1"/>
    <w:rsid w:val="00DB2F85"/>
    <w:rsid w:val="00DB3127"/>
    <w:rsid w:val="00DB51FA"/>
    <w:rsid w:val="00DB5E7D"/>
    <w:rsid w:val="00DC05DC"/>
    <w:rsid w:val="00DC2A2F"/>
    <w:rsid w:val="00DC4922"/>
    <w:rsid w:val="00DC553D"/>
    <w:rsid w:val="00DC6142"/>
    <w:rsid w:val="00DC65A9"/>
    <w:rsid w:val="00DD0AAA"/>
    <w:rsid w:val="00DD1D82"/>
    <w:rsid w:val="00DD4484"/>
    <w:rsid w:val="00DD6EDE"/>
    <w:rsid w:val="00DE041D"/>
    <w:rsid w:val="00DE0873"/>
    <w:rsid w:val="00DE0901"/>
    <w:rsid w:val="00DE306F"/>
    <w:rsid w:val="00DE3384"/>
    <w:rsid w:val="00DE3C24"/>
    <w:rsid w:val="00DE4617"/>
    <w:rsid w:val="00DE46B0"/>
    <w:rsid w:val="00DE7959"/>
    <w:rsid w:val="00DF2FC9"/>
    <w:rsid w:val="00E03FA1"/>
    <w:rsid w:val="00E040E7"/>
    <w:rsid w:val="00E0700E"/>
    <w:rsid w:val="00E114F3"/>
    <w:rsid w:val="00E12E35"/>
    <w:rsid w:val="00E13370"/>
    <w:rsid w:val="00E14EBE"/>
    <w:rsid w:val="00E21BC2"/>
    <w:rsid w:val="00E232A6"/>
    <w:rsid w:val="00E25C0C"/>
    <w:rsid w:val="00E2624F"/>
    <w:rsid w:val="00E262F3"/>
    <w:rsid w:val="00E2736B"/>
    <w:rsid w:val="00E33540"/>
    <w:rsid w:val="00E339D0"/>
    <w:rsid w:val="00E34291"/>
    <w:rsid w:val="00E34E64"/>
    <w:rsid w:val="00E35426"/>
    <w:rsid w:val="00E373CF"/>
    <w:rsid w:val="00E418BA"/>
    <w:rsid w:val="00E420AD"/>
    <w:rsid w:val="00E44051"/>
    <w:rsid w:val="00E46BA5"/>
    <w:rsid w:val="00E472D4"/>
    <w:rsid w:val="00E47A0A"/>
    <w:rsid w:val="00E5460F"/>
    <w:rsid w:val="00E55040"/>
    <w:rsid w:val="00E57987"/>
    <w:rsid w:val="00E619E8"/>
    <w:rsid w:val="00E72306"/>
    <w:rsid w:val="00E7399B"/>
    <w:rsid w:val="00E739E8"/>
    <w:rsid w:val="00E74500"/>
    <w:rsid w:val="00E76AA5"/>
    <w:rsid w:val="00E810A4"/>
    <w:rsid w:val="00E8156F"/>
    <w:rsid w:val="00E83C2F"/>
    <w:rsid w:val="00E84823"/>
    <w:rsid w:val="00E86D65"/>
    <w:rsid w:val="00E930D2"/>
    <w:rsid w:val="00E93EC2"/>
    <w:rsid w:val="00E971EC"/>
    <w:rsid w:val="00EA0BF8"/>
    <w:rsid w:val="00EA10B1"/>
    <w:rsid w:val="00EA4672"/>
    <w:rsid w:val="00EB181C"/>
    <w:rsid w:val="00EB334E"/>
    <w:rsid w:val="00EB4637"/>
    <w:rsid w:val="00EB5A36"/>
    <w:rsid w:val="00EB5B9E"/>
    <w:rsid w:val="00EC0B2D"/>
    <w:rsid w:val="00EC1398"/>
    <w:rsid w:val="00EC31D7"/>
    <w:rsid w:val="00EC38AF"/>
    <w:rsid w:val="00EC4ABE"/>
    <w:rsid w:val="00EC5126"/>
    <w:rsid w:val="00EC5CB0"/>
    <w:rsid w:val="00EC6260"/>
    <w:rsid w:val="00EC671B"/>
    <w:rsid w:val="00ED1CAA"/>
    <w:rsid w:val="00ED316E"/>
    <w:rsid w:val="00ED4E93"/>
    <w:rsid w:val="00EE0982"/>
    <w:rsid w:val="00EE2C55"/>
    <w:rsid w:val="00EE41EC"/>
    <w:rsid w:val="00EE72D7"/>
    <w:rsid w:val="00EE7608"/>
    <w:rsid w:val="00EF02B2"/>
    <w:rsid w:val="00EF0863"/>
    <w:rsid w:val="00EF0D3A"/>
    <w:rsid w:val="00EF3173"/>
    <w:rsid w:val="00EF3514"/>
    <w:rsid w:val="00EF5E19"/>
    <w:rsid w:val="00F0085B"/>
    <w:rsid w:val="00F03DD7"/>
    <w:rsid w:val="00F0497A"/>
    <w:rsid w:val="00F04F6C"/>
    <w:rsid w:val="00F050C0"/>
    <w:rsid w:val="00F05C8E"/>
    <w:rsid w:val="00F07D3B"/>
    <w:rsid w:val="00F109EB"/>
    <w:rsid w:val="00F1153B"/>
    <w:rsid w:val="00F12D64"/>
    <w:rsid w:val="00F13925"/>
    <w:rsid w:val="00F15314"/>
    <w:rsid w:val="00F1667E"/>
    <w:rsid w:val="00F17ACE"/>
    <w:rsid w:val="00F17DB8"/>
    <w:rsid w:val="00F2302E"/>
    <w:rsid w:val="00F26A2D"/>
    <w:rsid w:val="00F27A79"/>
    <w:rsid w:val="00F30D08"/>
    <w:rsid w:val="00F32954"/>
    <w:rsid w:val="00F350A5"/>
    <w:rsid w:val="00F360F5"/>
    <w:rsid w:val="00F40946"/>
    <w:rsid w:val="00F41086"/>
    <w:rsid w:val="00F42D1D"/>
    <w:rsid w:val="00F44691"/>
    <w:rsid w:val="00F45561"/>
    <w:rsid w:val="00F45FA0"/>
    <w:rsid w:val="00F46777"/>
    <w:rsid w:val="00F47073"/>
    <w:rsid w:val="00F471EF"/>
    <w:rsid w:val="00F50AB4"/>
    <w:rsid w:val="00F50C98"/>
    <w:rsid w:val="00F5221D"/>
    <w:rsid w:val="00F5545D"/>
    <w:rsid w:val="00F60E58"/>
    <w:rsid w:val="00F62A66"/>
    <w:rsid w:val="00F63909"/>
    <w:rsid w:val="00F6491B"/>
    <w:rsid w:val="00F65F2F"/>
    <w:rsid w:val="00F66BE7"/>
    <w:rsid w:val="00F71C94"/>
    <w:rsid w:val="00F72D18"/>
    <w:rsid w:val="00F733E0"/>
    <w:rsid w:val="00F73806"/>
    <w:rsid w:val="00F73C0B"/>
    <w:rsid w:val="00F75FDA"/>
    <w:rsid w:val="00F77220"/>
    <w:rsid w:val="00F778C9"/>
    <w:rsid w:val="00F828EB"/>
    <w:rsid w:val="00F83B83"/>
    <w:rsid w:val="00F856E9"/>
    <w:rsid w:val="00F91EBC"/>
    <w:rsid w:val="00F92C8D"/>
    <w:rsid w:val="00F9691B"/>
    <w:rsid w:val="00F96CC1"/>
    <w:rsid w:val="00FA3008"/>
    <w:rsid w:val="00FA5FE3"/>
    <w:rsid w:val="00FA6077"/>
    <w:rsid w:val="00FA77E7"/>
    <w:rsid w:val="00FB2C55"/>
    <w:rsid w:val="00FB3621"/>
    <w:rsid w:val="00FB3A31"/>
    <w:rsid w:val="00FB52A2"/>
    <w:rsid w:val="00FB63B4"/>
    <w:rsid w:val="00FC09A0"/>
    <w:rsid w:val="00FC325D"/>
    <w:rsid w:val="00FC339E"/>
    <w:rsid w:val="00FC35EA"/>
    <w:rsid w:val="00FC4327"/>
    <w:rsid w:val="00FC49FB"/>
    <w:rsid w:val="00FD049F"/>
    <w:rsid w:val="00FE1673"/>
    <w:rsid w:val="00FE27A4"/>
    <w:rsid w:val="00FE2ACA"/>
    <w:rsid w:val="00FE2C3C"/>
    <w:rsid w:val="00FE315B"/>
    <w:rsid w:val="00FE7EA3"/>
    <w:rsid w:val="00FF0746"/>
    <w:rsid w:val="00FF2660"/>
    <w:rsid w:val="00FF383E"/>
    <w:rsid w:val="00FF43F5"/>
    <w:rsid w:val="00FF6026"/>
    <w:rsid w:val="040168D1"/>
    <w:rsid w:val="09B4687D"/>
    <w:rsid w:val="0FB33569"/>
    <w:rsid w:val="1099E001"/>
    <w:rsid w:val="11B3E1E0"/>
    <w:rsid w:val="170A9DD2"/>
    <w:rsid w:val="18D05918"/>
    <w:rsid w:val="1905675E"/>
    <w:rsid w:val="190B926E"/>
    <w:rsid w:val="19434C61"/>
    <w:rsid w:val="1958ACBD"/>
    <w:rsid w:val="1B530A6C"/>
    <w:rsid w:val="1FBEEBC9"/>
    <w:rsid w:val="20353CAB"/>
    <w:rsid w:val="225DAA7E"/>
    <w:rsid w:val="23494677"/>
    <w:rsid w:val="250ACB92"/>
    <w:rsid w:val="288727C2"/>
    <w:rsid w:val="288A6108"/>
    <w:rsid w:val="28D78DA6"/>
    <w:rsid w:val="2A1FD4BE"/>
    <w:rsid w:val="2F7BCE35"/>
    <w:rsid w:val="3420AE3F"/>
    <w:rsid w:val="36E7BB56"/>
    <w:rsid w:val="3C0DD26A"/>
    <w:rsid w:val="3F0EE72D"/>
    <w:rsid w:val="4216D795"/>
    <w:rsid w:val="4495982A"/>
    <w:rsid w:val="44B77564"/>
    <w:rsid w:val="45ADF715"/>
    <w:rsid w:val="45C20331"/>
    <w:rsid w:val="4C1BA502"/>
    <w:rsid w:val="4FC59EDC"/>
    <w:rsid w:val="503DE061"/>
    <w:rsid w:val="512B8816"/>
    <w:rsid w:val="527FA7DA"/>
    <w:rsid w:val="528FE949"/>
    <w:rsid w:val="530BB453"/>
    <w:rsid w:val="54A2C95F"/>
    <w:rsid w:val="57106895"/>
    <w:rsid w:val="5937C0E4"/>
    <w:rsid w:val="594088A9"/>
    <w:rsid w:val="5C451C5F"/>
    <w:rsid w:val="5E245202"/>
    <w:rsid w:val="5FA26A9F"/>
    <w:rsid w:val="60BDE520"/>
    <w:rsid w:val="633686B6"/>
    <w:rsid w:val="695413D3"/>
    <w:rsid w:val="712C0A6D"/>
    <w:rsid w:val="71E6E887"/>
    <w:rsid w:val="73C7185F"/>
    <w:rsid w:val="75FC7447"/>
    <w:rsid w:val="770D5D1D"/>
    <w:rsid w:val="7948EFE4"/>
    <w:rsid w:val="795C0AA5"/>
    <w:rsid w:val="7B5AC040"/>
    <w:rsid w:val="7D25AB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0779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4F3"/>
    <w:pPr>
      <w:spacing w:after="0" w:line="240" w:lineRule="auto"/>
    </w:pPr>
    <w:rPr>
      <w:rFonts w:eastAsiaTheme="minorEastAsia"/>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level2">
    <w:name w:val="Title level 2"/>
    <w:qFormat/>
    <w:rsid w:val="00E114F3"/>
    <w:pPr>
      <w:spacing w:before="240" w:after="240" w:line="240" w:lineRule="auto"/>
    </w:pPr>
    <w:rPr>
      <w:rFonts w:asciiTheme="majorHAnsi" w:eastAsiaTheme="majorEastAsia" w:hAnsiTheme="majorHAnsi" w:cstheme="majorBidi"/>
      <w:bCs/>
      <w:color w:val="44546A" w:themeColor="text2"/>
      <w:sz w:val="32"/>
      <w:szCs w:val="24"/>
    </w:rPr>
  </w:style>
  <w:style w:type="paragraph" w:styleId="FootnoteText">
    <w:name w:val="footnote text"/>
    <w:basedOn w:val="Normal"/>
    <w:link w:val="FootnoteTextChar"/>
    <w:autoRedefine/>
    <w:qFormat/>
    <w:rsid w:val="003D3122"/>
    <w:pPr>
      <w:spacing w:before="80" w:line="200" w:lineRule="exact"/>
      <w:ind w:left="567" w:hanging="567"/>
      <w:jc w:val="both"/>
    </w:pPr>
    <w:rPr>
      <w:sz w:val="18"/>
      <w:szCs w:val="18"/>
    </w:rPr>
  </w:style>
  <w:style w:type="character" w:customStyle="1" w:styleId="FootnoteTextChar">
    <w:name w:val="Footnote Text Char"/>
    <w:basedOn w:val="DefaultParagraphFont"/>
    <w:link w:val="FootnoteText"/>
    <w:rsid w:val="003D3122"/>
    <w:rPr>
      <w:rFonts w:eastAsiaTheme="minorEastAsia"/>
      <w:sz w:val="18"/>
      <w:szCs w:val="18"/>
      <w:lang w:val="ro-RO"/>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
    <w:basedOn w:val="DefaultParagraphFont"/>
    <w:uiPriority w:val="99"/>
    <w:qFormat/>
    <w:rsid w:val="00E114F3"/>
    <w:rPr>
      <w:rFonts w:asciiTheme="minorHAnsi" w:hAnsiTheme="minorHAnsi"/>
      <w:sz w:val="22"/>
      <w:szCs w:val="18"/>
      <w:vertAlign w:val="superscript"/>
    </w:rPr>
  </w:style>
  <w:style w:type="character" w:styleId="Hyperlink">
    <w:name w:val="Hyperlink"/>
    <w:basedOn w:val="DefaultParagraphFont"/>
    <w:uiPriority w:val="99"/>
    <w:rsid w:val="00E114F3"/>
    <w:rPr>
      <w:color w:val="0563C1" w:themeColor="hyperlink"/>
      <w:u w:val="single"/>
    </w:rPr>
  </w:style>
  <w:style w:type="paragraph" w:customStyle="1" w:styleId="Annexetitre">
    <w:name w:val="Annexe titre"/>
    <w:basedOn w:val="Normal"/>
    <w:next w:val="Normal"/>
    <w:rsid w:val="00E114F3"/>
    <w:pPr>
      <w:spacing w:before="120" w:after="120"/>
      <w:jc w:val="center"/>
    </w:pPr>
    <w:rPr>
      <w:rFonts w:ascii="Times New Roman" w:eastAsia="Times New Roman" w:hAnsi="Times New Roman" w:cs="Times New Roman"/>
      <w:b/>
      <w:sz w:val="24"/>
      <w:u w:val="single"/>
    </w:rPr>
  </w:style>
  <w:style w:type="paragraph" w:customStyle="1" w:styleId="Applicationdirecte">
    <w:name w:val="Application directe"/>
    <w:basedOn w:val="Normal"/>
    <w:next w:val="Normal"/>
    <w:rsid w:val="00E114F3"/>
    <w:pPr>
      <w:spacing w:before="480" w:after="120"/>
      <w:jc w:val="both"/>
    </w:pPr>
    <w:rPr>
      <w:rFonts w:ascii="Times New Roman" w:eastAsia="Times New Roman" w:hAnsi="Times New Roman" w:cs="Times New Roman"/>
      <w:sz w:val="24"/>
    </w:rPr>
  </w:style>
  <w:style w:type="paragraph" w:styleId="ListParagraph">
    <w:name w:val="List Paragraph"/>
    <w:basedOn w:val="Normal"/>
    <w:uiPriority w:val="34"/>
    <w:qFormat/>
    <w:rsid w:val="00E114F3"/>
    <w:pPr>
      <w:ind w:left="720"/>
    </w:pPr>
    <w:rPr>
      <w:rFonts w:ascii="Calibri" w:eastAsia="Calibri" w:hAnsi="Calibri" w:cs="Times New Roman"/>
      <w:szCs w:val="22"/>
    </w:rPr>
  </w:style>
  <w:style w:type="paragraph" w:customStyle="1" w:styleId="TableMainHeading">
    <w:name w:val="TableMainHeading"/>
    <w:basedOn w:val="Normal"/>
    <w:next w:val="Normal"/>
    <w:uiPriority w:val="99"/>
    <w:rsid w:val="00E114F3"/>
    <w:pPr>
      <w:spacing w:before="120" w:after="120"/>
    </w:pPr>
    <w:rPr>
      <w:rFonts w:ascii="Segoe UI" w:eastAsia="Times New Roman" w:hAnsi="Segoe UI" w:cs="Times New Roman"/>
      <w:szCs w:val="20"/>
    </w:rPr>
  </w:style>
  <w:style w:type="paragraph" w:customStyle="1" w:styleId="TableTitle">
    <w:name w:val="TableTitle"/>
    <w:basedOn w:val="Normal"/>
    <w:next w:val="Normal"/>
    <w:link w:val="TableTitleChar"/>
    <w:rsid w:val="00E114F3"/>
    <w:pPr>
      <w:keepNext/>
      <w:spacing w:before="120" w:after="240"/>
      <w:jc w:val="center"/>
    </w:pPr>
    <w:rPr>
      <w:rFonts w:ascii="Arial" w:eastAsia="MS Mincho" w:hAnsi="Arial" w:cs="Times New Roman"/>
      <w:b/>
      <w:noProof/>
      <w:szCs w:val="20"/>
    </w:rPr>
  </w:style>
  <w:style w:type="character" w:customStyle="1" w:styleId="TableTitleChar">
    <w:name w:val="TableTitle Char"/>
    <w:basedOn w:val="DefaultParagraphFont"/>
    <w:link w:val="TableTitle"/>
    <w:locked/>
    <w:rsid w:val="00E114F3"/>
    <w:rPr>
      <w:rFonts w:ascii="Arial" w:eastAsia="MS Mincho" w:hAnsi="Arial" w:cs="Times New Roman"/>
      <w:b/>
      <w:noProof/>
      <w:szCs w:val="20"/>
    </w:rPr>
  </w:style>
  <w:style w:type="character" w:customStyle="1" w:styleId="InstructionsTabelleberschrift">
    <w:name w:val="Instructions Tabelle Überschrift"/>
    <w:qFormat/>
    <w:rsid w:val="00E114F3"/>
    <w:rPr>
      <w:rFonts w:ascii="Verdana" w:hAnsi="Verdana" w:cs="Times New Roman"/>
      <w:b/>
      <w:bCs/>
      <w:sz w:val="20"/>
      <w:u w:val="single"/>
    </w:rPr>
  </w:style>
  <w:style w:type="paragraph" w:customStyle="1" w:styleId="InstructionsText2">
    <w:name w:val="Instructions Text 2"/>
    <w:basedOn w:val="Normal"/>
    <w:qFormat/>
    <w:rsid w:val="00E114F3"/>
    <w:pPr>
      <w:numPr>
        <w:numId w:val="2"/>
      </w:numPr>
      <w:spacing w:after="240"/>
      <w:jc w:val="both"/>
    </w:pPr>
    <w:rPr>
      <w:rFonts w:ascii="Times New Roman" w:eastAsia="Times New Roman" w:hAnsi="Times New Roman" w:cs="Times New Roman"/>
      <w:sz w:val="24"/>
      <w:lang w:eastAsia="de-DE"/>
    </w:rPr>
  </w:style>
  <w:style w:type="paragraph" w:styleId="Header">
    <w:name w:val="header"/>
    <w:basedOn w:val="Normal"/>
    <w:link w:val="HeaderChar"/>
    <w:uiPriority w:val="99"/>
    <w:unhideWhenUsed/>
    <w:rsid w:val="00E114F3"/>
    <w:pPr>
      <w:tabs>
        <w:tab w:val="center" w:pos="4513"/>
        <w:tab w:val="right" w:pos="9026"/>
      </w:tabs>
    </w:pPr>
  </w:style>
  <w:style w:type="character" w:customStyle="1" w:styleId="HeaderChar">
    <w:name w:val="Header Char"/>
    <w:basedOn w:val="DefaultParagraphFont"/>
    <w:link w:val="Header"/>
    <w:uiPriority w:val="99"/>
    <w:rsid w:val="00E114F3"/>
    <w:rPr>
      <w:rFonts w:eastAsiaTheme="minorEastAsia"/>
      <w:szCs w:val="24"/>
    </w:rPr>
  </w:style>
  <w:style w:type="paragraph" w:styleId="Footer">
    <w:name w:val="footer"/>
    <w:basedOn w:val="Normal"/>
    <w:link w:val="FooterChar"/>
    <w:uiPriority w:val="99"/>
    <w:unhideWhenUsed/>
    <w:rsid w:val="00E114F3"/>
    <w:pPr>
      <w:tabs>
        <w:tab w:val="center" w:pos="4513"/>
        <w:tab w:val="right" w:pos="9026"/>
      </w:tabs>
    </w:pPr>
  </w:style>
  <w:style w:type="character" w:customStyle="1" w:styleId="FooterChar">
    <w:name w:val="Footer Char"/>
    <w:basedOn w:val="DefaultParagraphFont"/>
    <w:link w:val="Footer"/>
    <w:uiPriority w:val="99"/>
    <w:rsid w:val="00E114F3"/>
    <w:rPr>
      <w:rFonts w:eastAsiaTheme="minorEastAsia"/>
      <w:szCs w:val="24"/>
    </w:rPr>
  </w:style>
  <w:style w:type="paragraph" w:styleId="Revision">
    <w:name w:val="Revision"/>
    <w:hidden/>
    <w:uiPriority w:val="99"/>
    <w:semiHidden/>
    <w:rsid w:val="00241FEC"/>
    <w:pPr>
      <w:spacing w:after="0" w:line="240" w:lineRule="auto"/>
    </w:pPr>
    <w:rPr>
      <w:rFonts w:eastAsiaTheme="minorEastAsia"/>
      <w:szCs w:val="24"/>
    </w:rPr>
  </w:style>
  <w:style w:type="character" w:styleId="CommentReference">
    <w:name w:val="annotation reference"/>
    <w:basedOn w:val="DefaultParagraphFont"/>
    <w:uiPriority w:val="99"/>
    <w:unhideWhenUsed/>
    <w:rsid w:val="00095D07"/>
    <w:rPr>
      <w:sz w:val="16"/>
      <w:szCs w:val="16"/>
    </w:rPr>
  </w:style>
  <w:style w:type="paragraph" w:styleId="CommentText">
    <w:name w:val="annotation text"/>
    <w:basedOn w:val="Normal"/>
    <w:link w:val="CommentTextChar"/>
    <w:uiPriority w:val="99"/>
    <w:unhideWhenUsed/>
    <w:rsid w:val="00095D07"/>
    <w:rPr>
      <w:sz w:val="20"/>
      <w:szCs w:val="20"/>
    </w:rPr>
  </w:style>
  <w:style w:type="character" w:customStyle="1" w:styleId="CommentTextChar">
    <w:name w:val="Comment Text Char"/>
    <w:basedOn w:val="DefaultParagraphFont"/>
    <w:link w:val="CommentText"/>
    <w:uiPriority w:val="99"/>
    <w:rsid w:val="00095D07"/>
    <w:rPr>
      <w:rFonts w:eastAsiaTheme="minorEastAsia"/>
      <w:sz w:val="20"/>
      <w:szCs w:val="20"/>
      <w:lang w:val="ro-RO"/>
    </w:rPr>
  </w:style>
  <w:style w:type="paragraph" w:customStyle="1" w:styleId="numberedparagraph">
    <w:name w:val="numbered paragraph"/>
    <w:basedOn w:val="Normal"/>
    <w:qFormat/>
    <w:rsid w:val="00095D07"/>
    <w:pPr>
      <w:numPr>
        <w:numId w:val="7"/>
      </w:numPr>
      <w:spacing w:before="240" w:after="120" w:line="276" w:lineRule="auto"/>
      <w:jc w:val="both"/>
    </w:pPr>
  </w:style>
  <w:style w:type="paragraph" w:customStyle="1" w:styleId="paragraph">
    <w:name w:val="paragraph"/>
    <w:basedOn w:val="Normal"/>
    <w:rsid w:val="00095D07"/>
    <w:pPr>
      <w:spacing w:before="100" w:beforeAutospacing="1" w:after="100" w:afterAutospacing="1"/>
    </w:pPr>
    <w:rPr>
      <w:rFonts w:ascii="Times New Roman" w:eastAsia="Times New Roman" w:hAnsi="Times New Roman" w:cs="Times New Roman"/>
      <w:sz w:val="24"/>
      <w:lang w:eastAsia="en-GB"/>
    </w:rPr>
  </w:style>
  <w:style w:type="character" w:customStyle="1" w:styleId="normaltextrun">
    <w:name w:val="normaltextrun"/>
    <w:basedOn w:val="DefaultParagraphFont"/>
    <w:rsid w:val="00095D07"/>
  </w:style>
  <w:style w:type="character" w:customStyle="1" w:styleId="eop">
    <w:name w:val="eop"/>
    <w:basedOn w:val="DefaultParagraphFont"/>
    <w:rsid w:val="00095D07"/>
  </w:style>
  <w:style w:type="character" w:styleId="Mention">
    <w:name w:val="Mention"/>
    <w:basedOn w:val="DefaultParagraphFont"/>
    <w:uiPriority w:val="99"/>
    <w:unhideWhenUsed/>
    <w:rsid w:val="00095D07"/>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074F00"/>
    <w:rPr>
      <w:b/>
      <w:bCs/>
    </w:rPr>
  </w:style>
  <w:style w:type="character" w:customStyle="1" w:styleId="CommentSubjectChar">
    <w:name w:val="Comment Subject Char"/>
    <w:basedOn w:val="CommentTextChar"/>
    <w:link w:val="CommentSubject"/>
    <w:uiPriority w:val="99"/>
    <w:semiHidden/>
    <w:rsid w:val="00074F00"/>
    <w:rPr>
      <w:rFonts w:eastAsiaTheme="minorEastAsia"/>
      <w:b/>
      <w:bCs/>
      <w:sz w:val="20"/>
      <w:szCs w:val="20"/>
      <w:lang w:val="ro-RO"/>
    </w:rPr>
  </w:style>
  <w:style w:type="paragraph" w:customStyle="1" w:styleId="Style1">
    <w:name w:val="Style1"/>
    <w:basedOn w:val="ListParagraph"/>
    <w:qFormat/>
    <w:rsid w:val="00232265"/>
    <w:pPr>
      <w:numPr>
        <w:numId w:val="11"/>
      </w:numPr>
      <w:spacing w:before="60" w:after="120"/>
      <w:jc w:val="both"/>
    </w:pPr>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EN/TXT/?uri=OJ:L_202401623" TargetMode="External"/><Relationship Id="rId1" Type="http://schemas.openxmlformats.org/officeDocument/2006/relationships/hyperlink" Target="https://eur-lex.europa.eu/legal-content/EN/AUTO/?uri=OJ:L:2013:176:T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1D786269AE2424A8D342950147AB377" ma:contentTypeVersion="3" ma:contentTypeDescription="Create a new document." ma:contentTypeScope="" ma:versionID="1c6d71e8fe77cb1d31a72a025cb5529a">
  <xsd:schema xmlns:xsd="http://www.w3.org/2001/XMLSchema" xmlns:xs="http://www.w3.org/2001/XMLSchema" xmlns:p="http://schemas.microsoft.com/office/2006/metadata/properties" xmlns:ns2="d520683a-cb21-4d3a-9123-58e4528859ba" targetNamespace="http://schemas.microsoft.com/office/2006/metadata/properties" ma:root="true" ma:fieldsID="cdbf0337ca5db9b749df9a74d0371656" ns2:_="">
    <xsd:import namespace="d520683a-cb21-4d3a-9123-58e4528859b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0683a-cb21-4d3a-9123-58e4528859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4AA13D-5788-405C-9534-7091A4501FE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2897FCB-9E4A-4741-9004-D2C005DA7809}">
  <ds:schemaRefs>
    <ds:schemaRef ds:uri="http://schemas.openxmlformats.org/officeDocument/2006/bibliography"/>
  </ds:schemaRefs>
</ds:datastoreItem>
</file>

<file path=customXml/itemProps3.xml><?xml version="1.0" encoding="utf-8"?>
<ds:datastoreItem xmlns:ds="http://schemas.openxmlformats.org/officeDocument/2006/customXml" ds:itemID="{A3858D16-5A62-4E4D-96C3-F6E767B7E14B}">
  <ds:schemaRefs>
    <ds:schemaRef ds:uri="http://schemas.microsoft.com/sharepoint/v3/contenttype/forms"/>
  </ds:schemaRefs>
</ds:datastoreItem>
</file>

<file path=customXml/itemProps4.xml><?xml version="1.0" encoding="utf-8"?>
<ds:datastoreItem xmlns:ds="http://schemas.openxmlformats.org/officeDocument/2006/customXml" ds:itemID="{4BCFD491-C717-43CD-8132-4648BC0145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20683a-cb21-4d3a-9123-58e452885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c7eb9de-735b-4a68-8fe4-c9c62709b012}" enabled="1" method="Standard" siteId="{3bacb4ff-f1a2-4c92-b96c-e99fec826b68}"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15</Pages>
  <Words>5482</Words>
  <Characters>33352</Characters>
  <Application>Microsoft Office Word</Application>
  <DocSecurity>0</DocSecurity>
  <Lines>277</Lines>
  <Paragraphs>77</Paragraphs>
  <ScaleCrop>false</ScaleCrop>
  <Manager/>
  <Company/>
  <LinksUpToDate>false</LinksUpToDate>
  <CharactersWithSpaces>38757</CharactersWithSpaces>
  <SharedDoc>false</SharedDoc>
  <HLinks>
    <vt:vector size="36" baseType="variant">
      <vt:variant>
        <vt:i4>7143432</vt:i4>
      </vt:variant>
      <vt:variant>
        <vt:i4>3</vt:i4>
      </vt:variant>
      <vt:variant>
        <vt:i4>0</vt:i4>
      </vt:variant>
      <vt:variant>
        <vt:i4>5</vt:i4>
      </vt:variant>
      <vt:variant>
        <vt:lpwstr>https://eur-lex.europa.eu/legal-content/EN/TXT/?uri=OJ:L_202401623</vt:lpwstr>
      </vt:variant>
      <vt:variant>
        <vt:lpwstr/>
      </vt:variant>
      <vt:variant>
        <vt:i4>7602297</vt:i4>
      </vt:variant>
      <vt:variant>
        <vt:i4>0</vt:i4>
      </vt:variant>
      <vt:variant>
        <vt:i4>0</vt:i4>
      </vt:variant>
      <vt:variant>
        <vt:i4>5</vt:i4>
      </vt:variant>
      <vt:variant>
        <vt:lpwstr>https://eur-lex.europa.eu/legal-content/EN/AUTO/?uri=OJ:L:2013:176:TOC</vt:lpwstr>
      </vt:variant>
      <vt:variant>
        <vt:lpwstr/>
      </vt:variant>
      <vt:variant>
        <vt:i4>1507369</vt:i4>
      </vt:variant>
      <vt:variant>
        <vt:i4>9</vt:i4>
      </vt:variant>
      <vt:variant>
        <vt:i4>0</vt:i4>
      </vt:variant>
      <vt:variant>
        <vt:i4>5</vt:i4>
      </vt:variant>
      <vt:variant>
        <vt:lpwstr>mailto:anca.dinita@eba.europa.eu</vt:lpwstr>
      </vt:variant>
      <vt:variant>
        <vt:lpwstr/>
      </vt:variant>
      <vt:variant>
        <vt:i4>1507369</vt:i4>
      </vt:variant>
      <vt:variant>
        <vt:i4>6</vt:i4>
      </vt:variant>
      <vt:variant>
        <vt:i4>0</vt:i4>
      </vt:variant>
      <vt:variant>
        <vt:i4>5</vt:i4>
      </vt:variant>
      <vt:variant>
        <vt:lpwstr>mailto:anca.dinita@eba.europa.eu</vt:lpwstr>
      </vt:variant>
      <vt:variant>
        <vt:lpwstr/>
      </vt:variant>
      <vt:variant>
        <vt:i4>1507369</vt:i4>
      </vt:variant>
      <vt:variant>
        <vt:i4>3</vt:i4>
      </vt:variant>
      <vt:variant>
        <vt:i4>0</vt:i4>
      </vt:variant>
      <vt:variant>
        <vt:i4>5</vt:i4>
      </vt:variant>
      <vt:variant>
        <vt:lpwstr>mailto:anca.dinita@eba.europa.eu</vt:lpwstr>
      </vt:variant>
      <vt:variant>
        <vt:lpwstr/>
      </vt:variant>
      <vt:variant>
        <vt:i4>1507369</vt:i4>
      </vt:variant>
      <vt:variant>
        <vt:i4>0</vt:i4>
      </vt:variant>
      <vt:variant>
        <vt:i4>0</vt:i4>
      </vt:variant>
      <vt:variant>
        <vt:i4>5</vt:i4>
      </vt:variant>
      <vt:variant>
        <vt:lpwstr>mailto:anca.dinita@eba.europa.eu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2025-12-08T10:33:00Z</dcterms:created>
  <dcterms:modified xsi:type="dcterms:W3CDTF">2025-12-22T16:20:00Z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0x01010061D786269AE2424A8D342950147AB377</vt:lpwstr>
  </property>
</Properties>
</file>