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F4D" w14:textId="2FBDAFE8" w:rsidR="00E114F3" w:rsidRPr="00C14B87" w:rsidRDefault="00E114F3" w:rsidP="00C14B87">
      <w:pPr>
        <w:pStyle w:val="Annexetitre"/>
        <w:spacing w:before="0"/>
      </w:pPr>
      <w:r w:rsidRPr="00C14B87">
        <w:t>ZAŁĄCZNIK XXXII – Instrukcje dotyczące wzorów do celów ujawniania informacji na temat ryzyka operacyjnego</w:t>
      </w:r>
    </w:p>
    <w:p w14:paraId="672A6659" w14:textId="77777777" w:rsidR="00E114F3" w:rsidRPr="00C14B87" w:rsidRDefault="00E114F3" w:rsidP="00E114F3">
      <w:pPr>
        <w:spacing w:after="120"/>
        <w:jc w:val="both"/>
        <w:rPr>
          <w:rFonts w:ascii="Times New Roman" w:hAnsi="Times New Roman"/>
          <w:b/>
          <w:bCs/>
          <w:sz w:val="24"/>
        </w:rPr>
      </w:pPr>
    </w:p>
    <w:p w14:paraId="384DD143" w14:textId="77777777" w:rsidR="00E114F3" w:rsidRPr="00C14B87" w:rsidRDefault="00E114F3" w:rsidP="00E114F3">
      <w:pPr>
        <w:spacing w:after="120"/>
        <w:rPr>
          <w:rFonts w:ascii="Times New Roman" w:hAnsi="Times New Roman"/>
          <w:bCs/>
          <w:sz w:val="24"/>
        </w:rPr>
      </w:pPr>
      <w:r w:rsidRPr="00C14B87">
        <w:rPr>
          <w:rFonts w:ascii="Times New Roman" w:hAnsi="Times New Roman"/>
          <w:b/>
          <w:sz w:val="24"/>
        </w:rPr>
        <w:t xml:space="preserve">Tabela EU ORA – Informacje jakościowe na temat ryzyka operacyjnego. </w:t>
      </w:r>
      <w:r w:rsidRPr="00C14B87">
        <w:rPr>
          <w:rFonts w:ascii="Times New Roman" w:hAnsi="Times New Roman"/>
          <w:sz w:val="24"/>
        </w:rPr>
        <w:t>Tabela o formacie elastycznym</w:t>
      </w:r>
    </w:p>
    <w:p w14:paraId="2E1E5572" w14:textId="6D56D6EF" w:rsidR="00E114F3" w:rsidRPr="00C14B87" w:rsidRDefault="2A1FD4BE" w:rsidP="44B77564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Times New Roman"/>
          <w:color w:val="000000"/>
        </w:rPr>
      </w:pPr>
      <w:r w:rsidRPr="00C14B87">
        <w:rPr>
          <w:rFonts w:ascii="Times New Roman" w:hAnsi="Times New Roman"/>
          <w:sz w:val="24"/>
        </w:rPr>
        <w:t>Instytucje ujawniają informacje zawarte w tej tabeli zgodnie z art. 435 ust. 1, art. 446 ust. 1 lit. a) rozporządzenia (UE) nr 575/2013</w:t>
      </w:r>
      <w:r w:rsidR="00E114F3" w:rsidRPr="00C14B8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C14B87">
        <w:rPr>
          <w:rFonts w:ascii="Times New Roman" w:hAnsi="Times New Roman"/>
          <w:sz w:val="24"/>
        </w:rPr>
        <w:t>.</w:t>
      </w:r>
    </w:p>
    <w:p w14:paraId="728254AD" w14:textId="52B3E768" w:rsidR="00E114F3" w:rsidRPr="00C14B87" w:rsidRDefault="00E114F3" w:rsidP="00E114F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W celu wypełnienia tabeli EU ORA przeznaczonej do ujawniania informacji na temat ryzyka operacyjnego zamieszczonej w załączniku XXXI do rozwiązań informatycznych EUNB instytucje stosują instrukcje zawarte poniżej w niniejszym załączniku.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E114F3" w:rsidRPr="00C14B87" w14:paraId="4FA5DD43" w14:textId="77777777" w:rsidTr="00581319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79875" w14:textId="77777777" w:rsidR="00E114F3" w:rsidRPr="00C14B87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/>
                <w:sz w:val="24"/>
              </w:rPr>
              <w:t>Odniesienia prawne i instrukcje</w:t>
            </w:r>
          </w:p>
        </w:tc>
      </w:tr>
      <w:tr w:rsidR="00E114F3" w:rsidRPr="00C14B87" w14:paraId="0BB6A5B1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22B50" w14:textId="77777777" w:rsidR="00E114F3" w:rsidRPr="00C14B87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/>
                <w:sz w:val="24"/>
              </w:rPr>
              <w:t>Numer wiersza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504D8" w14:textId="77777777" w:rsidR="00E114F3" w:rsidRPr="00C14B87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/>
                <w:sz w:val="24"/>
              </w:rPr>
              <w:t>Wyjaśnienie</w:t>
            </w:r>
          </w:p>
        </w:tc>
      </w:tr>
      <w:tr w:rsidR="00E114F3" w:rsidRPr="00C14B87" w14:paraId="70735BA0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523" w14:textId="1B122A28" w:rsidR="00E114F3" w:rsidRPr="00C14B87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/>
                <w:sz w:val="24"/>
              </w:rPr>
              <w:t>a)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5B9" w14:textId="77777777" w:rsidR="00E114F3" w:rsidRPr="00C14B87" w:rsidRDefault="00E114F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/>
                <w:sz w:val="24"/>
              </w:rPr>
              <w:t>Ujawnianie informacji dotyczących celów i polityk w zakresie zarządzania ryzykiem</w:t>
            </w:r>
          </w:p>
          <w:p w14:paraId="65684A44" w14:textId="36ED8962" w:rsidR="00E114F3" w:rsidRPr="00C14B87" w:rsidRDefault="2A1FD4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 w:themeColor="text1"/>
                <w:sz w:val="24"/>
              </w:rPr>
              <w:t>Zgodnie z art. 435 ust. 1 lit. a) rozporządzenia (UE) nr 575/2013 instytucje ujawniają swoje cele, zasady, ramy i wytyczne w zakresie zarządzania ryzykiem operacyjnym, w tym strategie i procesy zarządzania tym ryzykiem.</w:t>
            </w:r>
          </w:p>
        </w:tc>
      </w:tr>
      <w:tr w:rsidR="00E114F3" w:rsidRPr="00C14B87" w14:paraId="37A6A0B3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78CA" w14:textId="22E7EFF7" w:rsidR="00E114F3" w:rsidRPr="00C14B87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/>
                <w:sz w:val="24"/>
              </w:rPr>
              <w:t>b)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32F9" w14:textId="77777777" w:rsidR="00885AC5" w:rsidRPr="00C14B87" w:rsidRDefault="00885AC5" w:rsidP="00885AC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/>
                <w:sz w:val="24"/>
              </w:rPr>
              <w:t>Ujawnianie informacji na temat struktury i organizacji odpowiedniej funkcji zarządzania ryzykiem</w:t>
            </w:r>
          </w:p>
          <w:p w14:paraId="739779F0" w14:textId="092C61F0" w:rsidR="00E114F3" w:rsidRPr="00C14B87" w:rsidRDefault="00885AC5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 w:themeColor="text1"/>
                <w:sz w:val="24"/>
              </w:rPr>
              <w:t>Zgodnie z art. 435 ust. 1 lit. b) rozporządzenia (UE) nr 575/2013 instytucje ujawniają strukturę i organizację funkcji zarządzania ryzykiem operacyjnym, w tym informacje na temat podstawy jej uprawnień, jej kompetencji i odpowiedzialności zgodnie z aktem założycielskim instytucji i dokumentami regulującymi jej działalność oraz na temat funkcji kontrolnej.</w:t>
            </w:r>
          </w:p>
        </w:tc>
      </w:tr>
      <w:tr w:rsidR="00E114F3" w:rsidRPr="00C14B87" w14:paraId="30DA08C8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F50" w14:textId="6B123167" w:rsidR="00E114F3" w:rsidRPr="00C14B87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/>
                <w:sz w:val="24"/>
              </w:rPr>
              <w:t>c)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D347" w14:textId="77777777" w:rsidR="005129A3" w:rsidRPr="00C14B87" w:rsidRDefault="005129A3" w:rsidP="005129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/>
                <w:sz w:val="24"/>
              </w:rPr>
              <w:t>Opis zakresu i charakteru systemu pomiaru</w:t>
            </w:r>
          </w:p>
          <w:p w14:paraId="2426746E" w14:textId="624D178E" w:rsidR="00E114F3" w:rsidRPr="00C14B87" w:rsidRDefault="005129A3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 w:themeColor="text1"/>
                <w:sz w:val="24"/>
              </w:rPr>
              <w:t>Zgodnie z art. 435 ust. 1 lit. c) rozporządzenia (UE) nr 575/2013 instytucje ujawniają zakres i charakter systemu pomiaru ryzyka operacyjnego (tj. systemy i dane wykorzystywane do pomiaru ryzyka operacyjnego w celu oszacowania narzutu kapitałowego z tytułu ryzyka operacyjnego).</w:t>
            </w:r>
          </w:p>
        </w:tc>
      </w:tr>
      <w:tr w:rsidR="00E114F3" w:rsidRPr="00C14B87" w14:paraId="530FAA18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C3DB" w14:textId="0C63D270" w:rsidR="00E114F3" w:rsidRPr="00C14B87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/>
                <w:sz w:val="24"/>
              </w:rPr>
              <w:t>d)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CC0D" w14:textId="77777777" w:rsidR="005D02AE" w:rsidRPr="00C14B87" w:rsidRDefault="005D02AE" w:rsidP="005D02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 w:themeColor="text1"/>
                <w:sz w:val="24"/>
              </w:rPr>
              <w:t>Opis zakresu i charakteru ram sprawozdawczości w zakresie ryzyka operacyjnego</w:t>
            </w:r>
          </w:p>
          <w:p w14:paraId="1EE9A69D" w14:textId="428D8604" w:rsidR="00E114F3" w:rsidRPr="00C14B87" w:rsidRDefault="005D02A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Zgodnie z art. 435 ust. 1 lit. c) rozporządzenia (UE) nr 575/2013 instytucje ujawniają kierownictwu wykonawczemu i radzie dyrektorów zakres i charakter ram sprawozdawczości w zakresie ryzyka operacyjnego.</w:t>
            </w:r>
          </w:p>
        </w:tc>
      </w:tr>
      <w:tr w:rsidR="00E5460F" w:rsidRPr="00C14B87" w14:paraId="1120D006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9FF" w14:textId="263ED99A" w:rsidR="00E5460F" w:rsidRPr="00C14B87" w:rsidRDefault="00E5460F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/>
                <w:sz w:val="24"/>
              </w:rPr>
              <w:lastRenderedPageBreak/>
              <w:t>e)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49C5" w14:textId="77777777" w:rsidR="00E25C0C" w:rsidRPr="00C14B87" w:rsidRDefault="00E25C0C" w:rsidP="00E25C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b/>
                <w:color w:val="000000" w:themeColor="text1"/>
                <w:sz w:val="24"/>
              </w:rPr>
              <w:t>Opis zasad i strategii ograniczania ryzyka i zabezpieczania ryzyka</w:t>
            </w:r>
          </w:p>
          <w:p w14:paraId="443DC7A5" w14:textId="7D68A10D" w:rsidR="00E5460F" w:rsidRPr="00C14B87" w:rsidDel="009A4E43" w:rsidRDefault="00E25C0C" w:rsidP="00E25C0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14B87">
              <w:rPr>
                <w:rFonts w:ascii="Times New Roman" w:hAnsi="Times New Roman"/>
                <w:color w:val="000000" w:themeColor="text1"/>
                <w:sz w:val="24"/>
              </w:rPr>
              <w:t>Zgodnie z art. 435 ust. 1 lit. d) rozporządzenia (UE) nr 575/2013 instytucje ujawniają swoje zasady i strategie w zakresie zabezpieczenia i ograniczenia ryzyka stosowane w zarządzaniu ryzykiem operacyjnym, w tym w przypadku gdy ograniczenie ryzyka operacyjnego osiąga się za pomocą polityki (w takim przypadku ujawniają one zasady dotyczące kultury ryzyka, gotowości do podejmowania ryzyka i outsourcingu) lub w przypadku gdy osiąga się je przez wycofanie się z działalności wysokiego ryzyka lub przez ustanowienie kontroli. Instytucje ujawniają również pozostałe ekspozycje, które są absorbowane przez same instytucje lub – w stosownych przypadkach – pozostałe ekspozycje, które są przenoszone na różne sposoby, w tym za pośrednictwem ubezpieczeń.</w:t>
            </w:r>
          </w:p>
        </w:tc>
      </w:tr>
    </w:tbl>
    <w:p w14:paraId="0A37501D" w14:textId="77777777" w:rsidR="00E114F3" w:rsidRPr="00C14B87" w:rsidRDefault="00E114F3" w:rsidP="00E114F3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</w:p>
    <w:p w14:paraId="73228265" w14:textId="2825D40F" w:rsidR="00E114F3" w:rsidRPr="00C14B87" w:rsidRDefault="00E114F3" w:rsidP="00E114F3">
      <w:pPr>
        <w:spacing w:after="120"/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b/>
          <w:sz w:val="24"/>
        </w:rPr>
        <w:t xml:space="preserve">Wzór EU OR1 – Straty wynikłe z ryzyka operacyjnego. </w:t>
      </w:r>
      <w:r w:rsidRPr="00C14B87">
        <w:rPr>
          <w:rFonts w:ascii="Times New Roman" w:hAnsi="Times New Roman"/>
          <w:sz w:val="24"/>
        </w:rPr>
        <w:t>Wzór o formacie stałym</w:t>
      </w:r>
    </w:p>
    <w:p w14:paraId="70B287DB" w14:textId="7164F419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 xml:space="preserve">Instytucje ujawniają informacje zawarte we wzorze EU OR1 zgodnie z art. 446 ust. 2 lit. a) i b) rozporządzenia (UE) nr 575/2013. Wzór ten zawiera informacje na temat rocznych strat wynikłych z ryzyka operacyjnego poniesionych w ciągu ostatnich 10 lat, na podstawie dnia ujęcia poniesionych strat w księgach rachunkowych. Te roczne straty wynikłe z ryzyka operacyjnego będą obliczane zgodnie z art. 316 ust. 1 rozporządzenia (UE) nr 575/2013 i obejmują – zgodnie z art. 317 ust. 2 rozporządzenia (UE) nr 575/2013 – wszystkie straty wynikające z działalności wszystkich podmiotów objętych konsolidacją, w tym straty z działalności połączonych/przejętych przedsiębiorstw (zgodnie z art. 321 ust. 1 rozporządzenia (UE) nr 575/2013). Informacje te przekazuje się w zakresie, w jakim są one </w:t>
      </w:r>
      <w:proofErr w:type="gramStart"/>
      <w:r w:rsidRPr="00C14B87">
        <w:rPr>
          <w:rFonts w:ascii="Times New Roman" w:hAnsi="Times New Roman"/>
          <w:sz w:val="24"/>
        </w:rPr>
        <w:t>dostępne,</w:t>
      </w:r>
      <w:proofErr w:type="gramEnd"/>
      <w:r w:rsidRPr="00C14B87">
        <w:rPr>
          <w:rFonts w:ascii="Times New Roman" w:hAnsi="Times New Roman"/>
          <w:sz w:val="24"/>
        </w:rPr>
        <w:t xml:space="preserve"> i na zasadzie dołożenia wszelkich starań, do czasu rozpoczęcia stosowania art. 316 ust. 3, art. 317 ust. 9, art. 320 ust. 3 i art. 321 ust. 2 rozporządzenia (UE) nr 575/2013.</w:t>
      </w:r>
    </w:p>
    <w:p w14:paraId="0C12CA7B" w14:textId="77777777" w:rsidR="00D740B8" w:rsidRPr="00C14B87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47EE9624" w14:textId="4A5B22B7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14B87">
        <w:rPr>
          <w:rFonts w:ascii="Times New Roman" w:hAnsi="Times New Roman"/>
          <w:sz w:val="24"/>
        </w:rPr>
        <w:t>W odniesieniu do każdego z ostatnich 10 lat instytucje ujawniają dane dotyczące liczby strat wynikłych z ryzyka operacyjnego i liczby wyłączonych strat wynikłych z ryzyka operacyjnego, całkowitej kwoty strat wynikłych z ryzyka operacyjnego po odliczeniu kwot odzyskanych i całkowitej kwoty strat wynikłych z ryzyka operacyjnego po odliczeniu kwot odzyskanych i po odliczeniu wyłączonych strat. Całkowita roczna kwota strat wynikłych z ryzyka operacyjnego będzie obliczana jako suma wszystkich strat netto w danym roku obrachunkowym, obliczonych zgodnie z art. 318 ust. 1 rozporządzenia (UE) nr 575/2013, które to straty są co najmniej równe progom danych dotyczących strat określonym odpowiednio w art. 319 ust. 1 lub 2 tego rozporządzenia (tj. 20 000 EUR i 100 000 EUR). Straty spowodowane wspólnym zdarzeniem ryzyka operacyjnego lub wieloma zdarzeniami powiązanymi z tym samym zdarzeniem ryzyka operacyjnego („zdarzenie generujące”), które są ujmowane w różnych latach obrachunkowych, sumuje się jednak za ostatnie 10 lat w celu ustalenia, czy przekroczono próg ujawniania informacji. Straty i korekty należy ujawniać zgodnie z przepisami art. 317 ust. 3 lit. c) i art. 318 rozporządzenia (UE) nr 575/2013. Kwoty te ujawnia się w roku, w którym zostały ujęte w sprawozdaniu finansowym.</w:t>
      </w:r>
    </w:p>
    <w:p w14:paraId="2702CB88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146DBD3" w14:textId="48F555B9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lastRenderedPageBreak/>
        <w:t xml:space="preserve"> W dołączonych informacjach opisowych instytucje ujawniają łączne uzasadnienia dotyczące wyjątkowych zdarzeń ryzyka operacyjnego, które zostały wyłączone z obliczeń rocznych strat wynikłych z ryzyka operacyjnego, zgodnie z art. 446 ust. 2 lit. b) rozporządzenia (UE) nr 575/2013.</w:t>
      </w:r>
    </w:p>
    <w:p w14:paraId="066C0912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79A49BBA" w14:textId="5D2F1C9E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 xml:space="preserve"> Instytucje ujawniają również w sposób zbiorczy wszelkie istotne informacje, które mogłyby pomóc użytkownikom zrozumieć straty historyczne instytucji, kwoty odzyskane i rezerwy statutowe, z wyjątkiem informacji poufnych i zastrzeżonych.</w:t>
      </w:r>
    </w:p>
    <w:p w14:paraId="3AF72482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6406578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745"/>
      </w:tblGrid>
      <w:tr w:rsidR="00D740B8" w:rsidRPr="00C14B87" w14:paraId="7E388732" w14:textId="77777777">
        <w:tc>
          <w:tcPr>
            <w:tcW w:w="1271" w:type="dxa"/>
            <w:shd w:val="clear" w:color="auto" w:fill="BFBFBF" w:themeFill="background1" w:themeFillShade="BF"/>
          </w:tcPr>
          <w:p w14:paraId="5F81890E" w14:textId="77777777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Kolumna</w:t>
            </w:r>
          </w:p>
        </w:tc>
        <w:tc>
          <w:tcPr>
            <w:tcW w:w="7745" w:type="dxa"/>
            <w:shd w:val="clear" w:color="auto" w:fill="BFBFBF" w:themeFill="background1" w:themeFillShade="BF"/>
          </w:tcPr>
          <w:p w14:paraId="0773BD79" w14:textId="77777777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Odniesienia prawne i instrukcje</w:t>
            </w:r>
          </w:p>
        </w:tc>
      </w:tr>
      <w:tr w:rsidR="00D740B8" w:rsidRPr="00C14B87" w14:paraId="4A7B0862" w14:textId="77777777">
        <w:tc>
          <w:tcPr>
            <w:tcW w:w="1271" w:type="dxa"/>
          </w:tcPr>
          <w:p w14:paraId="59A78ADD" w14:textId="77777777" w:rsidR="00D740B8" w:rsidRPr="00C14B87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od a do j</w:t>
            </w:r>
          </w:p>
        </w:tc>
        <w:tc>
          <w:tcPr>
            <w:tcW w:w="7745" w:type="dxa"/>
          </w:tcPr>
          <w:p w14:paraId="0B872A50" w14:textId="77777777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Rok (T, T-1, T-2, T-3, T-4, T-5, T-6, T-7, T-8, T-9)</w:t>
            </w:r>
          </w:p>
          <w:p w14:paraId="5B6EF35C" w14:textId="3033D1CC" w:rsidR="00D740B8" w:rsidRPr="00C14B87" w:rsidRDefault="00D740B8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 xml:space="preserve">Wartość wskazana w odpowiednim wierszu, dla ostatnich 10 lat obrachunkowych. </w:t>
            </w:r>
          </w:p>
        </w:tc>
      </w:tr>
      <w:tr w:rsidR="00D740B8" w:rsidRPr="00C14B87" w14:paraId="7D63969A" w14:textId="77777777">
        <w:tc>
          <w:tcPr>
            <w:tcW w:w="1271" w:type="dxa"/>
          </w:tcPr>
          <w:p w14:paraId="6CFD6A05" w14:textId="77777777" w:rsidR="00D740B8" w:rsidRPr="00C14B87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7745" w:type="dxa"/>
          </w:tcPr>
          <w:p w14:paraId="50D93A86" w14:textId="77777777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Średnia z 10 lat</w:t>
            </w:r>
          </w:p>
          <w:p w14:paraId="38A7187F" w14:textId="0CB464F2" w:rsidR="00D740B8" w:rsidRPr="00C14B87" w:rsidRDefault="00D740B8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Średnia wartości wskazanych w odpowiednim wierszu z ostatnich 10 lat.</w:t>
            </w:r>
          </w:p>
        </w:tc>
      </w:tr>
    </w:tbl>
    <w:p w14:paraId="7095834F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2DB6729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2611544E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C14B87" w14:paraId="75D1924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C07F6" w14:textId="1ED352CF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Wiersz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10C0" w14:textId="77777777" w:rsidR="00D740B8" w:rsidRPr="00C14B87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Odniesienia prawne i instrukcje</w:t>
            </w:r>
          </w:p>
        </w:tc>
      </w:tr>
      <w:tr w:rsidR="00D740B8" w:rsidRPr="00C14B87" w14:paraId="5B97976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5C0BB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F810E" w14:textId="221857B7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 xml:space="preserve">Łączna kwota strat wynikłych z ryzyka operacyjnego po odliczeniu kwot odzyskanych (bez </w:t>
            </w:r>
            <w:proofErr w:type="spellStart"/>
            <w:r w:rsidRPr="00C14B87">
              <w:rPr>
                <w:rFonts w:ascii="Times New Roman" w:hAnsi="Times New Roman"/>
                <w:b/>
                <w:sz w:val="24"/>
              </w:rPr>
              <w:t>wyłączeń</w:t>
            </w:r>
            <w:proofErr w:type="spellEnd"/>
            <w:r w:rsidRPr="00C14B87">
              <w:rPr>
                <w:rFonts w:ascii="Times New Roman" w:hAnsi="Times New Roman"/>
                <w:b/>
                <w:sz w:val="24"/>
              </w:rPr>
              <w:t>)</w:t>
            </w:r>
          </w:p>
          <w:p w14:paraId="73A6B59F" w14:textId="42A729DD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a) i art. 316 ust. 1 rozporządzenia (UE) nr 575/2013.</w:t>
            </w:r>
          </w:p>
          <w:p w14:paraId="5D929629" w14:textId="254FA976" w:rsidR="00D740B8" w:rsidRPr="00C14B87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 wierszu tym ujawnia się łączną kwotę strat pomniejszoną o kwoty odzyskane wynikające ze zdarzeń straty powyżej progu 20 000 EUR dla każdego z ostatnich 10 okresów sprawozdawczych, w tym straty wynikające z połączeń i przejęć. Straty spowodowane wspólnym zdarzeniem ryzyka operacyjnego lub wieloma zdarzeniami powiązanymi z tym samym zdarzeniem ryzyka operacyjnego, które są ujmowane w różnych latach obrachunkowych, sumuje się za ostatnie 10 lat w celu ustalenia, czy przekroczono próg ujawnienia informacji. Wyjątkowe zdarzenia ryzyka operacyjnego w danym roku, które nie mają już znaczenia dla profilu ryzyka instytucji, w odniesieniu do których instytucja otrzymała od właściwego organu zezwolenie na wyłączenie ich z rocznych strat wynikłych z ryzyka operacyjnego instytucji, zgodnie z art. 320 ust. 1 rozporządzenia (UE) nr 575/2013, nadal są uwzględniane przy obliczaniu pozycji dla tego wiersza.</w:t>
            </w:r>
          </w:p>
        </w:tc>
      </w:tr>
      <w:tr w:rsidR="00D740B8" w:rsidRPr="00C14B87" w14:paraId="1A3189B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85BED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8990" w14:textId="77777777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Łączna liczba strat wynikłych z ryzyka operacyjnego</w:t>
            </w:r>
          </w:p>
          <w:p w14:paraId="2EA91375" w14:textId="28AF0058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a) i art. 316 ust. 1 rozporządzenia (UE) nr 575/2013.</w:t>
            </w:r>
          </w:p>
          <w:p w14:paraId="275C478C" w14:textId="69738AFF" w:rsidR="00D740B8" w:rsidRPr="00C14B87" w:rsidRDefault="004714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Łączna liczba strat wynikłych z ryzyka operacyjnego powyżej progu zdarzenia straty wynoszącego 20 000 EUR.</w:t>
            </w:r>
          </w:p>
        </w:tc>
      </w:tr>
      <w:tr w:rsidR="00D740B8" w:rsidRPr="00C14B87" w14:paraId="30368E0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E2D97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E573" w14:textId="06E670C1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Łączna kwota wyłączonych strat wynikłych z ryzyka operacyjnego</w:t>
            </w:r>
          </w:p>
          <w:p w14:paraId="5C1A66AF" w14:textId="5CAD041D" w:rsidR="00D740B8" w:rsidRPr="00C14B87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b) i art. 320 ust. 1 rozporządzenia (UE) nr 575/2013</w:t>
            </w:r>
          </w:p>
          <w:p w14:paraId="7BE235CA" w14:textId="7483A5B2" w:rsidR="00D740B8" w:rsidRPr="00C14B87" w:rsidRDefault="002B078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lastRenderedPageBreak/>
              <w:t>Łączne kwoty strat netto powyżej progu straty w wysokości 20 000 EUR, które zostały wyłączone zgodnie z art. 320 ust. 1 rozporządzenia (UE) nr 575/2013, dla każdego z ostatnich 10 okresów sprawozdawczych.</w:t>
            </w:r>
          </w:p>
        </w:tc>
      </w:tr>
      <w:tr w:rsidR="00D740B8" w:rsidRPr="00C14B87" w14:paraId="2771244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28D83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A990" w14:textId="77777777" w:rsidR="00D740B8" w:rsidRPr="00C14B87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Łączna liczba wyłączonych zdarzeń ryzyka operacyjnego</w:t>
            </w:r>
          </w:p>
          <w:p w14:paraId="7914E462" w14:textId="7978A3B5" w:rsidR="00D740B8" w:rsidRPr="00C14B87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b) i art. 320 ust. 1 rozporządzenia (UE) nr 575/2013</w:t>
            </w:r>
          </w:p>
          <w:p w14:paraId="318A732C" w14:textId="242D554F" w:rsidR="00D740B8" w:rsidRPr="00C14B87" w:rsidRDefault="009D4A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 xml:space="preserve">Łączna liczba wyjątkowych zdarzeń ryzyka operacyjnego powyżej progu zdarzenia straty w wysokości 20 000 EUR, które zostały wyłączone zgodnie z art. 320 ust. 1 rozporządzenia (UE) nr 575/2013 dla każdego z ostatnich 10 okresów sprawozdawczych. </w:t>
            </w:r>
          </w:p>
        </w:tc>
      </w:tr>
      <w:tr w:rsidR="00D740B8" w:rsidRPr="00C14B87" w14:paraId="155A14DC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A2BC3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9B80" w14:textId="218BBE7C" w:rsidR="00D740B8" w:rsidRPr="00C14B87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Łączna kwota strat wynikłych z ryzyka operacyjnego po odliczeniu kwot odzyskanych i po odliczeniu wyłączonych strat</w:t>
            </w:r>
          </w:p>
          <w:p w14:paraId="4203582A" w14:textId="7C24EBAE" w:rsidR="00D740B8" w:rsidRPr="00C14B87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Całkowita kwota strat wynikłych z ryzyka operacyjnego, pomniejszona o kwoty odzyskane ujawnionych w wierszu 1 oraz pomniejszona o wyłączone straty ujawnione w wierszu 3.</w:t>
            </w:r>
          </w:p>
        </w:tc>
      </w:tr>
      <w:tr w:rsidR="00D740B8" w:rsidRPr="00C14B87" w14:paraId="533A412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E7FB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65A87" w14:textId="409B91B6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 xml:space="preserve">Łączna kwota strat wynikłych z ryzyka operacyjnego po odliczeniu kwot odzyskanych (bez </w:t>
            </w:r>
            <w:proofErr w:type="spellStart"/>
            <w:r w:rsidRPr="00C14B87">
              <w:rPr>
                <w:rFonts w:ascii="Times New Roman" w:hAnsi="Times New Roman"/>
                <w:b/>
                <w:sz w:val="24"/>
              </w:rPr>
              <w:t>wyłączeń</w:t>
            </w:r>
            <w:proofErr w:type="spellEnd"/>
            <w:r w:rsidRPr="00C14B87">
              <w:rPr>
                <w:rFonts w:ascii="Times New Roman" w:hAnsi="Times New Roman"/>
                <w:b/>
                <w:sz w:val="24"/>
              </w:rPr>
              <w:t>)</w:t>
            </w:r>
          </w:p>
          <w:p w14:paraId="647BDEC8" w14:textId="66617A83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a) i art. 316 ust. 1 rozporządzenia (UE) nr 575/2013.</w:t>
            </w:r>
          </w:p>
          <w:p w14:paraId="7F1E94AA" w14:textId="3C3700EE" w:rsidR="00D740B8" w:rsidRPr="00C14B87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Całkowita kwota strat wynikłych z ryzyka operacyjnego (pomniejszona o kwoty odzyskane) i spowodowanych zdarzeniami straty powyżej progu zdarzenia straty wynoszącego 100 000 EUR za każdy z ostatnich 10 okresów sprawozdawczych, z uwzględnieniem strat z tytułu połączeń i przejęć. Straty spowodowane wspólnym zdarzeniem ryzyka operacyjnego lub wieloma zdarzeniami powiązanymi z tym samym zdarzeniem ryzyka operacyjnego, które są ujmowane w różnych latach obrachunkowych, sumuje się za ostatnie 10 lat w celu ustalenia, czy przekroczono próg ujawnienia informacji. Wyjątkowe zdarzenia ryzyka operacyjnego w danym roku, które nie mają już znaczenia dla profilu ryzyka instytucji, w odniesieniu do których instytucja otrzymała od właściwego organu zezwolenie na wyłączenie ich z rocznych strat wynikłych z ryzyka operacyjnego instytucji, zgodnie z art. 320 ust. 1 rozporządzenia (UE) nr 575/2013, nadal są uwzględniane przy obliczaniu pozycji dla tego wiersza.</w:t>
            </w:r>
          </w:p>
        </w:tc>
      </w:tr>
      <w:tr w:rsidR="00D740B8" w:rsidRPr="00C14B87" w14:paraId="55F7B96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372A0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15A10" w14:textId="77777777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Łączna liczba strat wynikłych z ryzyka operacyjnego</w:t>
            </w:r>
          </w:p>
          <w:p w14:paraId="7AD8EE0D" w14:textId="092E19E2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a) i art. 316 ust. 1 rozporządzenia (UE) nr 575/2013.</w:t>
            </w:r>
          </w:p>
          <w:p w14:paraId="6F316B8B" w14:textId="6ABB567B" w:rsidR="00D740B8" w:rsidRPr="00C14B87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Łączna liczba strat wynikłych z ryzyka operacyjnego powyżej progu zdarzenia straty wynoszącego 100 000 EUR.</w:t>
            </w:r>
          </w:p>
        </w:tc>
      </w:tr>
      <w:tr w:rsidR="00D740B8" w:rsidRPr="00C14B87" w14:paraId="774B79F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21F3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1AFB" w14:textId="77777777" w:rsidR="00D740B8" w:rsidRPr="00C14B87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Łączna kwota wyłączonych strat wynikłych z ryzyka operacyjnego</w:t>
            </w:r>
          </w:p>
          <w:p w14:paraId="71DECF65" w14:textId="48A395A5" w:rsidR="00D740B8" w:rsidRPr="00C14B87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b) i art. 320 ust. 1 rozporządzenia (UE) nr 575/2013</w:t>
            </w:r>
          </w:p>
          <w:p w14:paraId="0BC74916" w14:textId="396B699A" w:rsidR="00D740B8" w:rsidRPr="00C14B87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Łączne kwoty strat netto powyżej progu zdarzenia straty wynoszącego 100 000 EUR, wyłączone zgodnie z art. 320 ust. 1 rozporządzenia (UE) nr 575/2013, dla każdego z ostatnich 10 okresów sprawozdawczych.</w:t>
            </w:r>
          </w:p>
        </w:tc>
      </w:tr>
      <w:tr w:rsidR="00D740B8" w:rsidRPr="00C14B87" w14:paraId="33C9C19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35360" w14:textId="77777777" w:rsidR="00D740B8" w:rsidRPr="00C14B87" w:rsidRDefault="00D740B8" w:rsidP="00C14B87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23E8D" w14:textId="77777777" w:rsidR="00D740B8" w:rsidRPr="00C14B87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Łączna liczba wyłączonych zdarzeń ryzyka operacyjnego</w:t>
            </w:r>
          </w:p>
          <w:p w14:paraId="2B56754D" w14:textId="46B0AAAA" w:rsidR="00D740B8" w:rsidRPr="00C14B87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2 lit. b) i art. 320 ust. 1 rozporządzenia (UE) nr 575/2013</w:t>
            </w:r>
          </w:p>
          <w:p w14:paraId="2EDEC8CA" w14:textId="252B783D" w:rsidR="00D740B8" w:rsidRPr="00C14B87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Łączna liczba wyjątkowych zdarzeń ryzyka operacyjnego powyżej progu zdarzenia straty w wysokości 100 000 EUR, które zostały wyłączone zgodnie z art. 320 ust. 1 rozporządzenia (UE) nr 575/2013 dla każdego z ostatnich 10 okresów sprawozdawczych.</w:t>
            </w:r>
          </w:p>
        </w:tc>
      </w:tr>
      <w:tr w:rsidR="00D740B8" w:rsidRPr="00C14B87" w14:paraId="01B8CA90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1114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07D3" w14:textId="0C81ABEB" w:rsidR="00D740B8" w:rsidRPr="00C14B87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Łączna kwota strat wynikłych z ryzyka operacyjnego po odliczeniu kwot odzyskanych i po odliczeniu wyłączonych strat</w:t>
            </w:r>
          </w:p>
          <w:p w14:paraId="65622881" w14:textId="32C07686" w:rsidR="00D740B8" w:rsidRPr="00C14B87" w:rsidRDefault="006943D3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 wierszu tym ujawnia się całkowitą kwotę strat wynikłych z ryzyka operacyjnego pomniejszoną o kwoty odzyskane ujawnione w wierszu 6 oraz o kwotę wyłączonych strat ujawnionych w wierszu 8.</w:t>
            </w:r>
          </w:p>
        </w:tc>
      </w:tr>
      <w:tr w:rsidR="00D740B8" w:rsidRPr="00C14B87" w14:paraId="1DE089DB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A6CB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813C" w14:textId="77777777" w:rsidR="00D740B8" w:rsidRPr="00C14B87" w:rsidRDefault="00D740B8">
            <w:pPr>
              <w:autoSpaceDE w:val="0"/>
              <w:autoSpaceDN w:val="0"/>
              <w:adjustRightInd w:val="0"/>
              <w:spacing w:before="120" w:after="120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Nie dotyczy.</w:t>
            </w:r>
          </w:p>
        </w:tc>
      </w:tr>
      <w:tr w:rsidR="00D740B8" w:rsidRPr="00C14B87" w14:paraId="23D23702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54CBB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D8849" w14:textId="77777777" w:rsidR="00D740B8" w:rsidRPr="00C14B87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Nie dotyczy.</w:t>
            </w:r>
          </w:p>
        </w:tc>
      </w:tr>
      <w:tr w:rsidR="00D740B8" w:rsidRPr="00C14B87" w14:paraId="5EEF83F8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4FD13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DA855" w14:textId="77777777" w:rsidR="00D740B8" w:rsidRPr="00C14B87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Nie dotyczy.</w:t>
            </w:r>
          </w:p>
        </w:tc>
      </w:tr>
    </w:tbl>
    <w:p w14:paraId="25A698B0" w14:textId="77777777" w:rsidR="00D740B8" w:rsidRPr="00C14B87" w:rsidRDefault="00D740B8" w:rsidP="00D740B8">
      <w:pPr>
        <w:pStyle w:val="InstructionsText2"/>
        <w:numPr>
          <w:ilvl w:val="0"/>
          <w:numId w:val="0"/>
        </w:numPr>
        <w:ind w:left="360"/>
        <w:rPr>
          <w:lang w:val="en-US"/>
        </w:rPr>
      </w:pPr>
    </w:p>
    <w:p w14:paraId="033C5861" w14:textId="77777777" w:rsidR="00D740B8" w:rsidRPr="00C14B87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b/>
          <w:sz w:val="24"/>
        </w:rPr>
        <w:t>Wzór EU LUB2 – Wskaźnik biznesowy, składniki i </w:t>
      </w:r>
      <w:proofErr w:type="spellStart"/>
      <w:r w:rsidRPr="00C14B87">
        <w:rPr>
          <w:rFonts w:ascii="Times New Roman" w:hAnsi="Times New Roman"/>
          <w:b/>
          <w:sz w:val="24"/>
        </w:rPr>
        <w:t>podskładniki</w:t>
      </w:r>
      <w:proofErr w:type="spellEnd"/>
      <w:r w:rsidRPr="00C14B87">
        <w:rPr>
          <w:rFonts w:ascii="Times New Roman" w:hAnsi="Times New Roman"/>
          <w:b/>
          <w:sz w:val="24"/>
        </w:rPr>
        <w:t xml:space="preserve">. </w:t>
      </w:r>
      <w:r w:rsidRPr="00C14B87">
        <w:rPr>
          <w:rFonts w:ascii="Times New Roman" w:hAnsi="Times New Roman"/>
          <w:sz w:val="24"/>
        </w:rPr>
        <w:t>Wzór o formacie stałym</w:t>
      </w:r>
    </w:p>
    <w:p w14:paraId="3D173CCF" w14:textId="77777777" w:rsidR="00D740B8" w:rsidRPr="00C14B87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F849430" w14:textId="414C531B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Instytucje ujawniają informacje zawarte we wzorze EU OR2 zgodnie z art. 446 ust. 1 lit. c) i d) rozporządzenia (UE) nr 575/2013. Wzór ten zawiera informacje dotyczące obliczania wskaźnika biznesowego skorygowanego o współczynniki krańcowe (BIC) zgodnie z art. 313 rozporządzenia (UE) nr 575/2013 oraz obliczania wskaźnika biznesowego (BI), jego składników i </w:t>
      </w:r>
      <w:proofErr w:type="spellStart"/>
      <w:r w:rsidRPr="00C14B87">
        <w:rPr>
          <w:rFonts w:ascii="Times New Roman" w:hAnsi="Times New Roman"/>
          <w:sz w:val="24"/>
        </w:rPr>
        <w:t>podskładników</w:t>
      </w:r>
      <w:proofErr w:type="spellEnd"/>
      <w:r w:rsidRPr="00C14B87">
        <w:rPr>
          <w:rFonts w:ascii="Times New Roman" w:hAnsi="Times New Roman"/>
          <w:sz w:val="24"/>
        </w:rPr>
        <w:t xml:space="preserve"> zgodnie z art. 314 rozporządzenia (UE) nr 575/2013. Ponadto wzór ten zawiera również informacje na temat kwot wyłączonych ze wskaźnika biznesowego dotyczącego zbytych podmiotów lub działalności, zgodnie z art. 315 ust. 2.</w:t>
      </w:r>
    </w:p>
    <w:p w14:paraId="5C35CEC0" w14:textId="77777777" w:rsidR="00D740B8" w:rsidRPr="00C14B87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1749895F" w14:textId="07869965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 xml:space="preserve">Dla ostatnich trzech lat obrachunkowych instytucje ujawniają szczegółowe informacje na temat kwoty odpowiedniego wykazu pozycji, które muszą być częścią obliczeń </w:t>
      </w:r>
      <w:proofErr w:type="spellStart"/>
      <w:r w:rsidRPr="00C14B87">
        <w:rPr>
          <w:rFonts w:ascii="Times New Roman" w:hAnsi="Times New Roman"/>
          <w:sz w:val="24"/>
        </w:rPr>
        <w:t>podskładników</w:t>
      </w:r>
      <w:proofErr w:type="spellEnd"/>
      <w:r w:rsidRPr="00C14B87">
        <w:rPr>
          <w:rFonts w:ascii="Times New Roman" w:hAnsi="Times New Roman"/>
          <w:sz w:val="24"/>
        </w:rPr>
        <w:t xml:space="preserve"> BI uwzględnianych przy obliczaniu wymogów w zakresie funduszy własnych z tytułu ryzyka operacyjnego.</w:t>
      </w:r>
    </w:p>
    <w:p w14:paraId="7B27D162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41988E91" w14:textId="281D16EA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Zgodnie z art. 314 ust. 8 rozporządzenia (UE) nr 575/2013, w </w:t>
      </w:r>
      <w:proofErr w:type="gramStart"/>
      <w:r w:rsidRPr="00C14B87">
        <w:rPr>
          <w:rFonts w:ascii="Times New Roman" w:hAnsi="Times New Roman"/>
          <w:sz w:val="24"/>
        </w:rPr>
        <w:t>przypadku</w:t>
      </w:r>
      <w:proofErr w:type="gramEnd"/>
      <w:r w:rsidRPr="00C14B87">
        <w:rPr>
          <w:rFonts w:ascii="Times New Roman" w:hAnsi="Times New Roman"/>
          <w:sz w:val="24"/>
        </w:rPr>
        <w:t xml:space="preserve"> gdy dane historyczne nie są dostępne, instytucje przekazują prognozowane dane szacunkowe.</w:t>
      </w:r>
    </w:p>
    <w:p w14:paraId="14A23528" w14:textId="485ED75C" w:rsidR="00D740B8" w:rsidRPr="00C14B87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4B87">
        <w:rPr>
          <w:rFonts w:ascii="Times New Roman" w:hAnsi="Times New Roman"/>
          <w:sz w:val="24"/>
        </w:rPr>
        <w:t>W przypadku gdy instytucje dysponują danymi dotyczącymi szczegółowych pozycji wchodzących w skład wskaźników BI za okres krótszy niż trzy lata, dostępne dane historyczne należy przypisać według priorytetu do odpowiednich kolumn we wzorze. W przypadku gdy instytucje dysponują jedynie danymi historycznymi dotyczącymi składników BI za okres jednego roku, dane te należy zgłaszać w kolumnie odpowiadającej ostatniemu rokowi (np. „ostatni rok”). W przypadku gdy wydaje się to uzasadnione, prognozowane dane szacunkowe uwzględnia się odpowiednio w roku -1 i roku -2 do czasu, gdy dane te staną się dostępne.</w:t>
      </w:r>
    </w:p>
    <w:p w14:paraId="2DDE0943" w14:textId="7F04DC41" w:rsidR="00D740B8" w:rsidRPr="00C14B87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4B87">
        <w:rPr>
          <w:rFonts w:ascii="Times New Roman" w:hAnsi="Times New Roman"/>
          <w:sz w:val="24"/>
        </w:rPr>
        <w:lastRenderedPageBreak/>
        <w:t>Instytucje nie uwzględniają w podpozycjach, które są częścią obliczeń składnika dotyczącego odsetek, leasingu i dywidendy (ILDC), żadnych danych dotyczących tych konkretnych instytucji zależnych, których ILDC oblicza się oddzielnie zgodnie z art. 314 ust. 3 rozporządzenia (UE) nr 575/2013.</w:t>
      </w:r>
    </w:p>
    <w:p w14:paraId="3512454B" w14:textId="27224DC8" w:rsidR="00841A0D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Instytucje nie uwzględniają w podpozycjach, które są częścią obliczeń składnika dotyczącego odsetek, leasingu i dywidendy (ILDC), żadnych danych z linii biznesowych „bankowość detaliczna” lub „bankowość komercyjna” w przypadkach, w których instytucja otrzymała zezwolenie na stosowanie art. 314 ust. 4 rozporządzenia (UE) nr 575/2013.</w:t>
      </w:r>
    </w:p>
    <w:p w14:paraId="22AE3E22" w14:textId="77777777" w:rsidR="00841A0D" w:rsidRPr="00C14B87" w:rsidRDefault="00841A0D" w:rsidP="00841A0D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A161EFD" w14:textId="7882B43A" w:rsidR="00D740B8" w:rsidRPr="00C14B87" w:rsidRDefault="003826D3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Niemniej instytucje zgłaszają w wierszu 1 całkowitą kwotę ILDC obejmującą kwoty obliczone zgodnie z art. 314 ust. 3 rozporządzenia (UE) nr 575/2013. W wierszu EU 1 zgłasza się również ILDC z wyłączeniem podmiotów, o których mowa w art. 314 ust. 3.</w:t>
      </w:r>
    </w:p>
    <w:p w14:paraId="7DAFACF8" w14:textId="77777777" w:rsidR="00D740B8" w:rsidRPr="00C14B87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578B96DC" w14:textId="494916C5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W dołączonych informacjach opisowych, zgodnie z art. 446 ust. 1 rozporządzenia (UE) nr 575/2013, instytucje ujawniają uzasadnienie każdego wyłączenia ze wskaźnika biznesowego, z wyjątkiem wyłączenia linii biznesowych detalicznych i komercyjnych uwzględnionych w art. 314 ust. 4.</w:t>
      </w:r>
    </w:p>
    <w:p w14:paraId="22C673C4" w14:textId="77777777" w:rsidR="00393FEF" w:rsidRPr="00C14B87" w:rsidRDefault="00393FEF" w:rsidP="00532CFA">
      <w:pPr>
        <w:pStyle w:val="ListParagraph"/>
        <w:rPr>
          <w:rFonts w:ascii="Times New Roman" w:hAnsi="Times New Roman"/>
          <w:bCs/>
          <w:sz w:val="24"/>
        </w:rPr>
      </w:pPr>
    </w:p>
    <w:p w14:paraId="7DD11602" w14:textId="2BC0B288" w:rsidR="00393FEF" w:rsidRPr="00C14B87" w:rsidRDefault="006020C0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Ze względu na ścisły związek między wymogami dotyczącymi ujawniania ryzyka operacyjnego a sprawozdaniami finansowymi instytucji, w instrukcjach uwzględniono odniesienia do wymogów sprawozdawczych zawartych w załączniku V do rozwiązań informatycznych EUNB (FINREP).</w:t>
      </w:r>
    </w:p>
    <w:p w14:paraId="1D4913E2" w14:textId="77777777" w:rsidR="00DD1D82" w:rsidRPr="00C14B87" w:rsidRDefault="00DD1D82" w:rsidP="00DD1D82">
      <w:pPr>
        <w:pStyle w:val="ListParagraph"/>
        <w:rPr>
          <w:rFonts w:ascii="Times New Roman" w:hAnsi="Times New Roman"/>
          <w:bCs/>
          <w:sz w:val="24"/>
        </w:rPr>
      </w:pPr>
    </w:p>
    <w:p w14:paraId="11E51AFD" w14:textId="3D720718" w:rsidR="00DD1D82" w:rsidRPr="00C14B87" w:rsidRDefault="00050ABA" w:rsidP="001257B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sz w:val="24"/>
        </w:rPr>
        <w:t>Konwencje dotyczące znaków, których należy przestrzegać w tym wzorze, muszą być zgodne z konwencjami uwzględnionymi w załączniku V do rozwiązań informatycznych EUNB.</w:t>
      </w:r>
    </w:p>
    <w:p w14:paraId="21275E00" w14:textId="77777777" w:rsidR="00D740B8" w:rsidRPr="00C14B87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56"/>
      </w:tblGrid>
      <w:tr w:rsidR="00D740B8" w:rsidRPr="00C14B87" w14:paraId="069EA903" w14:textId="77777777">
        <w:trPr>
          <w:trHeight w:val="300"/>
        </w:trPr>
        <w:tc>
          <w:tcPr>
            <w:tcW w:w="1260" w:type="dxa"/>
            <w:shd w:val="clear" w:color="auto" w:fill="BFBFBF" w:themeFill="background1" w:themeFillShade="BF"/>
          </w:tcPr>
          <w:p w14:paraId="7E4DE4F0" w14:textId="77777777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Kolumna</w:t>
            </w:r>
          </w:p>
        </w:tc>
        <w:tc>
          <w:tcPr>
            <w:tcW w:w="7756" w:type="dxa"/>
            <w:shd w:val="clear" w:color="auto" w:fill="BFBFBF" w:themeFill="background1" w:themeFillShade="BF"/>
          </w:tcPr>
          <w:p w14:paraId="0D54BB35" w14:textId="77777777" w:rsidR="00D740B8" w:rsidRPr="00C14B87" w:rsidDel="00B46ADB" w:rsidRDefault="00D740B8">
            <w:pPr>
              <w:autoSpaceDE w:val="0"/>
              <w:autoSpaceDN w:val="0"/>
              <w:adjustRightInd w:val="0"/>
              <w:rPr>
                <w:bCs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Odniesienia prawne i instrukcje</w:t>
            </w:r>
          </w:p>
        </w:tc>
      </w:tr>
      <w:tr w:rsidR="00D740B8" w:rsidRPr="00C14B87" w14:paraId="7AE7216D" w14:textId="77777777">
        <w:trPr>
          <w:trHeight w:val="300"/>
        </w:trPr>
        <w:tc>
          <w:tcPr>
            <w:tcW w:w="1260" w:type="dxa"/>
          </w:tcPr>
          <w:p w14:paraId="0FC699E1" w14:textId="0D76C831" w:rsidR="00D740B8" w:rsidRPr="00C14B87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a, b, c</w:t>
            </w:r>
          </w:p>
        </w:tc>
        <w:tc>
          <w:tcPr>
            <w:tcW w:w="7756" w:type="dxa"/>
          </w:tcPr>
          <w:p w14:paraId="510A12A5" w14:textId="13FB6D98" w:rsidR="00D740B8" w:rsidRPr="00C14B87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Wartość</w:t>
            </w:r>
          </w:p>
          <w:p w14:paraId="0A7A2FD7" w14:textId="77777777" w:rsidR="00D740B8" w:rsidRPr="00C14B87" w:rsidRDefault="00D740B8">
            <w:pPr>
              <w:rPr>
                <w:rFonts w:ascii="Times New Roman" w:hAnsi="Times New Roman"/>
                <w:sz w:val="24"/>
                <w:lang w:eastAsia="de-DE"/>
              </w:rPr>
            </w:pPr>
          </w:p>
          <w:p w14:paraId="0C8A142A" w14:textId="4CAB13C5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446 ust. 1 lit. d) i art. 314 ust. 1 rozporządzenia (UE) nr 575/2013.</w:t>
            </w:r>
          </w:p>
          <w:p w14:paraId="7883915F" w14:textId="77777777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  <w:p w14:paraId="558CD9DA" w14:textId="2FA81485" w:rsidR="00EA10B1" w:rsidRPr="00C14B87" w:rsidRDefault="002F3CFA">
            <w:pPr>
              <w:pStyle w:val="paragraph"/>
              <w:spacing w:before="0" w:beforeAutospacing="0" w:after="0" w:afterAutospacing="0"/>
              <w:textAlignment w:val="baseline"/>
            </w:pPr>
            <w:r w:rsidRPr="00C14B87">
              <w:t>Wartość z wykazu pozycji, które są częścią obliczeń BI i jego składników (obliczanie ILDC, składnika dotyczącego usług (SC) i składnika finansowego (FC)) zgodnie ze standardami rachunkowości mającymi zastosowanie w każdym z ostatnich trzech lat obrachunkowych.</w:t>
            </w:r>
          </w:p>
          <w:p w14:paraId="3414DDFE" w14:textId="77777777" w:rsidR="007B3E62" w:rsidRPr="00C14B87" w:rsidRDefault="007B3E62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374E1BCA" w14:textId="5E2803E9" w:rsidR="007B3E62" w:rsidRPr="00C14B87" w:rsidRDefault="00B76B25">
            <w:pPr>
              <w:pStyle w:val="paragraph"/>
              <w:spacing w:before="0" w:beforeAutospacing="0" w:after="0" w:afterAutospacing="0"/>
              <w:textAlignment w:val="baseline"/>
            </w:pPr>
            <w:r w:rsidRPr="00C14B87">
              <w:t>Kwoty zgłasza się po zastosowaniu korekt związanych z połączeniami/przejęciami i zbyciem działalności.</w:t>
            </w:r>
          </w:p>
          <w:p w14:paraId="00BACA37" w14:textId="77777777" w:rsidR="00EA10B1" w:rsidRPr="00C14B87" w:rsidRDefault="00EA10B1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21635601" w14:textId="1A8DE566" w:rsidR="00D740B8" w:rsidRPr="00C14B87" w:rsidRDefault="00D740B8" w:rsidP="000F6C61">
            <w:pPr>
              <w:pStyle w:val="paragraph"/>
              <w:spacing w:before="0" w:beforeAutospacing="0" w:after="0" w:afterAutospacing="0"/>
              <w:textAlignment w:val="baseline"/>
            </w:pPr>
            <w:r w:rsidRPr="00C14B87">
              <w:t>W przypadku FC wartości, które należy ujawnić, będą odzwierciedlały wartości księgowe ustalone przy użyciu granicy rachunkowej lub granicy ostrożnościowej (PBA) w celu określenia pozycji portfela handlowego i portfela bankowego w każdym z ostatnich trzech lat obrachunkowych zgodnie z art. 314 ust. 6 rozporządzenia (UE) nr 575/2013.</w:t>
            </w:r>
          </w:p>
        </w:tc>
      </w:tr>
      <w:tr w:rsidR="00D740B8" w:rsidRPr="00C14B87" w14:paraId="3103AD05" w14:textId="77777777">
        <w:trPr>
          <w:trHeight w:val="300"/>
        </w:trPr>
        <w:tc>
          <w:tcPr>
            <w:tcW w:w="1260" w:type="dxa"/>
          </w:tcPr>
          <w:p w14:paraId="0FFA543A" w14:textId="77777777" w:rsidR="00D740B8" w:rsidRPr="00C14B87" w:rsidRDefault="00D740B8" w:rsidP="00C14B87">
            <w:pPr>
              <w:pageBreakBefore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7756" w:type="dxa"/>
          </w:tcPr>
          <w:p w14:paraId="117DF1D7" w14:textId="77777777" w:rsidR="00D740B8" w:rsidRPr="00C14B87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Średnie wartości</w:t>
            </w:r>
          </w:p>
          <w:p w14:paraId="27B3847F" w14:textId="77777777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eastAsia="de-DE"/>
              </w:rPr>
            </w:pPr>
          </w:p>
          <w:p w14:paraId="2CEEC93D" w14:textId="277817D6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Artykuł 314 ust. 2, 5 i 6 rozporządzenia (UE) nr 575/2013.</w:t>
            </w:r>
          </w:p>
          <w:p w14:paraId="5FAAFF7A" w14:textId="77777777" w:rsidR="00D740B8" w:rsidRPr="00C14B87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</w:rPr>
            </w:pPr>
          </w:p>
          <w:p w14:paraId="3E17CEC0" w14:textId="402AFA6E" w:rsidR="00D740B8" w:rsidRPr="00C14B87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C14B87">
              <w:rPr>
                <w:rStyle w:val="normaltextrun"/>
              </w:rPr>
              <w:t xml:space="preserve">Obliczone wartości składników ILDC, SC i FC oraz średnia wartość powiązanych z nimi </w:t>
            </w:r>
            <w:proofErr w:type="spellStart"/>
            <w:r w:rsidRPr="00C14B87">
              <w:rPr>
                <w:rStyle w:val="normaltextrun"/>
              </w:rPr>
              <w:t>podskładników</w:t>
            </w:r>
            <w:proofErr w:type="spellEnd"/>
            <w:r w:rsidRPr="00C14B87">
              <w:rPr>
                <w:rStyle w:val="normaltextrun"/>
              </w:rPr>
              <w:t xml:space="preserve"> obliczona dla ostatnich trzech lat obrachunkowych i odnosząca się do roku T.</w:t>
            </w:r>
          </w:p>
          <w:p w14:paraId="32637704" w14:textId="35682543" w:rsidR="00D740B8" w:rsidRPr="00C14B87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C270BFC" w14:textId="453723AA" w:rsidR="00D740B8" w:rsidRPr="00C14B87" w:rsidRDefault="00D740B8" w:rsidP="008006BD">
            <w:pPr>
              <w:pStyle w:val="paragraph"/>
              <w:spacing w:before="0" w:beforeAutospacing="0" w:after="0" w:afterAutospacing="0"/>
              <w:textAlignment w:val="baseline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C14B87">
              <w:rPr>
                <w:rStyle w:val="normaltextrun"/>
              </w:rPr>
              <w:t xml:space="preserve">Średnią oblicza się, biorąc pod uwagę wartości księgowe dla każdego z ostatnich trzech lat. </w:t>
            </w:r>
          </w:p>
        </w:tc>
      </w:tr>
    </w:tbl>
    <w:p w14:paraId="75117700" w14:textId="77777777" w:rsidR="00D740B8" w:rsidRPr="00C14B87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Style w:val="InstructionsTabelleberschrif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C14B87" w14:paraId="60D9E4A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2134" w14:textId="77777777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Wiersz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99870" w14:textId="77777777" w:rsidR="00D740B8" w:rsidRPr="00C14B87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Odniesienia prawne i instrukcje</w:t>
            </w:r>
          </w:p>
        </w:tc>
      </w:tr>
      <w:tr w:rsidR="00D740B8" w:rsidRPr="00C14B87" w14:paraId="1AE63B2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4D68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62DB" w14:textId="4BD6204F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Składnik dotyczący odsetek, leasingu i dywidendy (ILDC)</w:t>
            </w:r>
          </w:p>
          <w:p w14:paraId="78381763" w14:textId="2625CE0B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Składnik dotyczący odsetek, leasingu i dywidendy (ILDC) oblicza się zgodnie z art. 314 ust. 2 rozporządzenia (UE) nr 575/2013, z uwzględnieniem, w stosownych przypadkach, kwot obliczonych zgodnie z art. 314 ust. 3 rozporządzenia (UE) nr 575/2013. W przypadku gdy instytucja podlega odstępstwu, o którym mowa w art. 314 ust. 4 rozporządzenia (UE) nr 575/2013, instytucja ta nie uwzględnia żadnych danych dotyczących linii biznesowych „bankowość detaliczna” lub „bankowość komercyjna”.</w:t>
            </w:r>
          </w:p>
        </w:tc>
      </w:tr>
      <w:tr w:rsidR="00456F97" w:rsidRPr="00C14B87" w14:paraId="2142E78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0228B" w14:textId="2F42AD3B" w:rsidR="00456F97" w:rsidRPr="00C14B87" w:rsidRDefault="00E03FA1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EU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9357" w14:textId="2BE8631A" w:rsidR="00456F97" w:rsidRPr="00C14B87" w:rsidRDefault="00E2624F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ILDC związany z pojedynczą instytucją / grupą skonsolidowaną (z wyłączeniem podmiotów uwzględnionych w art. 314 ust. 3)</w:t>
            </w:r>
          </w:p>
          <w:p w14:paraId="3B4A0231" w14:textId="6A33703B" w:rsidR="00E2624F" w:rsidRPr="00C14B87" w:rsidRDefault="00E2624F" w:rsidP="00413B9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Składnik dotyczący odsetek, leasingu i dywidendy (ILDC) obliczony zgodnie z art. 314 ust. 2 rozporządzenia (UE) nr 575/2013, bez uwzględnienia żadnych danych stanowiących część obliczeń ILDC w przypadkach, gdy instytucja stosuje odstępstwo zgodnie z art. 314 ust. 3 rozporządzenia (UE) nr 575/2013.</w:t>
            </w:r>
          </w:p>
        </w:tc>
      </w:tr>
      <w:tr w:rsidR="00D740B8" w:rsidRPr="00C14B87" w14:paraId="687AA3E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5F19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7EA18" w14:textId="77777777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Przychody z tytułu odsetek i leasingu</w:t>
            </w:r>
          </w:p>
          <w:p w14:paraId="33CCD1CB" w14:textId="130AE220" w:rsidR="00BD248A" w:rsidRPr="00C14B87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Suma przychodów odsetkowych z tytułu wszystkich aktywów finansowych, innych przychodów z aktywów będących przedmiotem leasingu oraz zysków z aktywów będących przedmiotem leasingu, zgodnie z załącznikiem V do rozwiązań informatycznych EUNB.</w:t>
            </w:r>
          </w:p>
          <w:p w14:paraId="76D4A1E7" w14:textId="77777777" w:rsidR="00BD248A" w:rsidRPr="00C14B87" w:rsidRDefault="00BD248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41383" w14:textId="08257E38" w:rsidR="00F5221D" w:rsidRPr="00C14B87" w:rsidRDefault="004F220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Przychody odsetkowe z tytułu wszystkich aktywów finansowych oblicza się zgodnie z częścią 2 pkt 31 załącznika V do rozwiązań informatycznych EUNB i zgodnie z dalszymi specyfikacjami zawartymi w części 2 pkt 187, 189 i 194ii załącznika V do rozwiązań informatycznych EUNB.</w:t>
            </w:r>
          </w:p>
          <w:p w14:paraId="55B6FFE6" w14:textId="77777777" w:rsidR="00F5221D" w:rsidRPr="00C14B87" w:rsidRDefault="00F52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D9136" w14:textId="12CD18AE" w:rsidR="00E76AA5" w:rsidRPr="00C14B87" w:rsidRDefault="00F5221D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Inne przychody z aktywów będących przedmiotem leasingu (finansowego i operacyjnego) nie obejmują przychodów odsetkowych. Kwotę tę oblicza się zgodnie z częścią 2 pkt 314 i 315 załącznika V do rozwiązań informatycznych EUNB, a stanowi ona: (i) przychody ze zmian wartości godziwej nieruchomości inwestycyjnych, które generują czynsze i są wyceniane przy użyciu modelu wartości godziwej; lub (ii) przychody z leasingu operacyjnego, w tym przychody z czynszów z nieruchomości inwestycyjnych.</w:t>
            </w:r>
          </w:p>
          <w:p w14:paraId="6C1BE770" w14:textId="77777777" w:rsidR="007535CB" w:rsidRPr="00C14B87" w:rsidRDefault="007535CB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2C7468" w14:textId="3A50C109" w:rsidR="00D740B8" w:rsidRPr="00C14B87" w:rsidRDefault="00BB0B3D" w:rsidP="004F34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Zyski z aktywów będących przedmiotem leasingu (finansowego i operacyjnego) obejmują: (i) zyski ze zmian leasingu zgodnie z częścią 2 pkt 49 załącznika V do rozwiązań informatycznych EUNB; (ii) pozostałe przychody operacyjne (Pozostałe przychody operacyjne) zgodnie z częścią 2 pkt 314 i 316 załącznika V do rozwiązań informatycznych EUNB, jeżeli są związane z aktywami będącymi przedmiotem leasingu (finansowego i operacyjnego).</w:t>
            </w:r>
          </w:p>
        </w:tc>
      </w:tr>
      <w:tr w:rsidR="00D740B8" w:rsidRPr="00C14B87" w14:paraId="07825B9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DD05F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99FE" w14:textId="5114D538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Koszty odsetkowe i koszty leasingu</w:t>
            </w:r>
          </w:p>
          <w:p w14:paraId="65B73157" w14:textId="72BA8427" w:rsidR="00EC1398" w:rsidRPr="00C14B87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Suma kosztów odsetkowych z tytułu wszystkich zobowiązań finansowych, kosztów z aktywów będących przedmiotem leasingu oraz amortyzacji, utraty wartości aktywów będących przedmiotem leasingu oraz strat z tego tytułu, o czym mowa w załączniku V do rozwiązań informatycznych EUNB.</w:t>
            </w:r>
          </w:p>
          <w:p w14:paraId="06CEDDA9" w14:textId="77777777" w:rsidR="00BA33C3" w:rsidRPr="00C14B87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CFF991" w14:textId="1BCDC8C4" w:rsidR="00BA33C3" w:rsidRPr="00C14B87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Koszty odsetkowe od wszystkich zobowiązań finansowych oblicza się zgodnie z częścią 2 pkt 31 załącznika V do rozwiązań informatycznych EUNB i zgodnie z dalszymi specyfikacjami zawartymi w części 2 pkt 188, 190 i 194ii załącznika V do rozwiązań informatycznych EUNB. Nie uwzględnia się tych kosztów odsetkowych, które wynikają ze zdarzeń ryzyka operacyjnego. Zamiast tego włącza się je do składnika dotyczącego usług zgodnie z art. 314 ust. 5 rozporządzenia (UE) nr 575/2013.</w:t>
            </w:r>
          </w:p>
          <w:p w14:paraId="2D079DF5" w14:textId="77777777" w:rsidR="003D0A4B" w:rsidRPr="00C14B87" w:rsidRDefault="003D0A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A94531" w14:textId="1EA15404" w:rsidR="003D0A4B" w:rsidRPr="00C14B87" w:rsidRDefault="003D0A4B" w:rsidP="00D136A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Koszty z tytułu aktywów będących przedmiotem leasingu (operacyjnego) obejmują koszty zgodnie z częścią 2 pkt 314 i 315 załącznika V do rozwiązań informatycznych EUNB, gdy koszty te są związane z leasingami operacyjnymi i stanowią: (i) koszty wynikające ze zmian wartości godziwej nieruchomości inwestycyjnych generujących przychody z czynszów i wycenianych zgodnie z modelem wartości godziwej z tytułu aktywów będących przedmiotem leasingi operacyjnego; oraz (ii) koszty leasingu operacyjnego, w tym bezpośrednie koszty operacyjne związane z nieruchomościami inwestycyjnymi generującymi przychody z czynszów. Ponadto instytucje powinny również włączyć tutaj pozostałe koszty administracyjne związane z aktywami będącymi przedmiotem leasingu operacyjnego zgodnie z częścią 2 pkt 208ix załącznika V do rozwiązań informatycznych EUNB. Nie uwzględnia się tych kosztów, które wynikają ze zdarzeń ryzyka operacyjnego. Zamiast tego włącza się je do składnika dotyczącego usług zgodnie z art. 314 ust. 5 rozporządzenia (UE) nr 575/2013.</w:t>
            </w:r>
          </w:p>
          <w:p w14:paraId="61020FEC" w14:textId="77777777" w:rsidR="00376B14" w:rsidRPr="00C14B87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976FDD" w14:textId="0FB08478" w:rsidR="00376B14" w:rsidRPr="00C14B87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Amortyzacja aktywów będących przedmiotem leasingu odpowiada kosztom amortyzacji zgłoszonym zgodnie z międzynarodowymi standardami rachunkowości (MSR) 1 pkt 102 i 104, ale tylko z tytułu aktywów będących przedmiotem leasingu operacyjnego, których przychody lub koszty są uwzględnione przy obliczaniu przychodów/kosztów odsetkowych.</w:t>
            </w:r>
          </w:p>
          <w:p w14:paraId="5D82FC67" w14:textId="77777777" w:rsidR="00DA24A2" w:rsidRPr="00C14B87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9DE9C" w14:textId="6D7B59E2" w:rsidR="00DA24A2" w:rsidRPr="00C14B87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Utrata wartości aktywów będących przedmiotem leasingu operacyjnego odpowiada kosztom z tytułu aktywów będących przedmiotem leasingu operacyjnego, które stanowią utratę wartości lub odwrócenie utraty wartości zgodnie z MSR 36 pkt 126 lit. a) i b) z tytułu aktywów będących przedmiotem leasingu operacyjnego.</w:t>
            </w:r>
          </w:p>
          <w:p w14:paraId="11B36ACB" w14:textId="77777777" w:rsidR="00DA24A2" w:rsidRPr="00C14B87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A351B6" w14:textId="470A5833" w:rsidR="00D740B8" w:rsidRPr="00C14B87" w:rsidRDefault="00DA24A2" w:rsidP="004F34D4">
            <w:pPr>
              <w:rPr>
                <w:rFonts w:ascii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Straty aktywów będących przedmiotem leasingu odpowiadają pozostałym kosztom operacyjnym (Pozostałe koszty operacyjne) zgodnie z częścią 2 sekcją 29.3 pkt 316 załącznika V do rozwiązań informatycznych EUNB, jeżeli nie są one związane z aktywami będącymi przedmiotem leasingu operacyjnego. W tej pozycji nie uwzględnia się strat wynikających ze zdarzeń ryzyka operacyjnego. Zamiast tego włącza się je do składnika dotyczącego usług zgodnie z art. 314 ust. 5 rozporządzenia (UE) nr 575/2013.</w:t>
            </w:r>
          </w:p>
        </w:tc>
      </w:tr>
      <w:tr w:rsidR="00D740B8" w:rsidRPr="00C14B87" w14:paraId="49B58D8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19E7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E844B" w14:textId="18CAFF49" w:rsidR="00D740B8" w:rsidRPr="00C14B87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Aktywa ogółem / składnik dotyczący aktywów</w:t>
            </w:r>
          </w:p>
          <w:p w14:paraId="15501679" w14:textId="3EB04379" w:rsidR="00D740B8" w:rsidRPr="00C14B87" w:rsidRDefault="00B7673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 kolumnie d) składnik dotyczący aktywów oblicza się zgodnie z art. 314 ust. 2 rozporządzenia (UE) nr 575/2013.</w:t>
            </w:r>
          </w:p>
          <w:p w14:paraId="65FF56C9" w14:textId="24401D0D" w:rsidR="004E3E86" w:rsidRPr="00C14B87" w:rsidRDefault="003E3201" w:rsidP="00373F9D">
            <w:pPr>
              <w:rPr>
                <w:rFonts w:ascii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 pozostałych kolumnach wszystkie aktywa odpowiadają sumie wartości bilansowej brutto sald pieniężnych w bankach centralnych i innych depozytów płatnych na żądanie, dłużnych papierów wartościowych, kredytów i zaliczek, a także wartości bilansowej instrumentów pochodnych (przeznaczonych do obrotu i zabezpieczeń i ekonomicznych oraz rachunkowości zabezpieczeń) i aktywów podlegających leasingowi (aktywów rzeczowych oraz wartości niematerialnych i prawnych). Pozycje te odnoszą się do załącznika V do rozwiązań informatycznych EUNB.</w:t>
            </w:r>
          </w:p>
          <w:p w14:paraId="2655EEC4" w14:textId="6116BB66" w:rsidR="00BC1F18" w:rsidRPr="00C14B87" w:rsidRDefault="00BC1F18" w:rsidP="00BC1F18">
            <w:pPr>
              <w:rPr>
                <w:rFonts w:ascii="Times New Roman" w:hAnsi="Times New Roman"/>
                <w:sz w:val="24"/>
              </w:rPr>
            </w:pPr>
          </w:p>
        </w:tc>
      </w:tr>
      <w:tr w:rsidR="00D740B8" w:rsidRPr="00C14B87" w14:paraId="431D95B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247A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3663" w14:textId="03959A67" w:rsidR="00D740B8" w:rsidRPr="00C14B87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Przychody z tytułu dywidendy / składnik dotyczący dywidendy</w:t>
            </w:r>
          </w:p>
          <w:p w14:paraId="1A066B7B" w14:textId="4AA7538A" w:rsidR="00D740B8" w:rsidRPr="00C14B87" w:rsidRDefault="00B76736" w:rsidP="004E3E8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 kolumnie d – składnik dotyczący dywidendy, obliczony zgodnie z art. 314 ust. 2 rozporządzenia (UE) nr 575/2013.</w:t>
            </w:r>
          </w:p>
          <w:p w14:paraId="3F4B342E" w14:textId="23DB8876" w:rsidR="004E3E86" w:rsidRPr="00C14B87" w:rsidRDefault="004E3E86" w:rsidP="004E3E86">
            <w:pPr>
              <w:rPr>
                <w:rFonts w:ascii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Instytucje zgłaszają przychody z tytułu dywidendy zgodnie z częścią 2 pkt 40–42 załącznika V do rozwiązań informatycznych EUNB.</w:t>
            </w:r>
          </w:p>
        </w:tc>
      </w:tr>
      <w:tr w:rsidR="003826D3" w:rsidRPr="00C14B87" w14:paraId="3A9CE2B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4302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8B47" w14:textId="103CAA7B" w:rsidR="003826D3" w:rsidRPr="00C14B87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Składnik dotyczący usług (SC)</w:t>
            </w:r>
          </w:p>
          <w:p w14:paraId="2D48B659" w14:textId="0264DFE4" w:rsidR="00080F37" w:rsidRPr="00C14B87" w:rsidRDefault="005E7C4C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Składnik dotyczący usług (SC) oblicza się zgodnie z art. 314 ust. 5 rozporządzenia (UE) nr 575/2013.</w:t>
            </w:r>
          </w:p>
          <w:p w14:paraId="2EFCFDAF" w14:textId="3F07E77F" w:rsidR="003826D3" w:rsidRPr="00C14B87" w:rsidRDefault="0094124B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 xml:space="preserve">W przypadku gdy instytucja podlega odstępstwu, o którym mowa w art. 314 ust. 4 rozporządzenia (UE) nr 575/2013, instytucja ta nie uwzględnia żadnych danych dotyczących linii biznesowych „bankowość detaliczna” lub „bankowość komercyjna”. </w:t>
            </w:r>
          </w:p>
        </w:tc>
      </w:tr>
      <w:tr w:rsidR="003826D3" w:rsidRPr="00C14B87" w14:paraId="74CC77A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4C8A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1D9A" w14:textId="77777777" w:rsidR="003826D3" w:rsidRPr="00C14B87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Przychody z tytułu opłat i prowizji</w:t>
            </w:r>
          </w:p>
          <w:p w14:paraId="1394D6AF" w14:textId="06AD3617" w:rsidR="003826D3" w:rsidRPr="00C14B87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Przychody z tytułu opłat i prowizji, o których mowa w części 2 pkt 281–284 załącznika V do rozwiązań informatycznych EUNB, obliczone zgodnie z art. 314 ust. 5 rozporządzenia (UE) nr 575/2013.</w:t>
            </w:r>
          </w:p>
          <w:p w14:paraId="0EA5E8EE" w14:textId="07382D3A" w:rsidR="008D318E" w:rsidRPr="00C14B87" w:rsidRDefault="008D318E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 pozycji tej należy również ująć przychody z działalności pomocniczej, takiej jak działalność informatyczna niezbędna do świadczenia usługi finansowej, zgodnie z art. 7 regulacyjnego standardu technicznego, do opracowania na podstawie art. 314 ust. 9 rozporządzenia (UE) nr 575/2013.</w:t>
            </w:r>
          </w:p>
          <w:p w14:paraId="388F841F" w14:textId="1B0267DB" w:rsidR="00D91B18" w:rsidRPr="00C14B87" w:rsidRDefault="007D3710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Wyłącza się część przychodów z tytułu opłat i prowizji otrzymanych od instytucji będących członkami tego samego instytucjonalnego systemu ochrony zgodnie z art. 314 ust. 5 rozporządzenia (UE) nr 575/2013.</w:t>
            </w:r>
          </w:p>
        </w:tc>
      </w:tr>
      <w:tr w:rsidR="003826D3" w:rsidRPr="00C14B87" w14:paraId="2067785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D63A" w14:textId="77777777" w:rsidR="003826D3" w:rsidRPr="00C14B87" w:rsidRDefault="003826D3" w:rsidP="00C14B87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59B2" w14:textId="5A4319DA" w:rsidR="003826D3" w:rsidRPr="00C14B87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Koszty z tytułu opłat i prowizji</w:t>
            </w:r>
          </w:p>
          <w:p w14:paraId="241530E4" w14:textId="72E685E0" w:rsidR="003826D3" w:rsidRPr="00C14B87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Koszty z tytułu opłat i prowizji zgodnie z częścią 2 pkt 281–284 załącznika V do rozwiązań informatycznych EUNB i obliczone zgodnie z art. 314 ust. 5 rozporządzenia (UE) nr 575/2013.</w:t>
            </w:r>
          </w:p>
          <w:p w14:paraId="03E34B08" w14:textId="2D67624D" w:rsidR="00126683" w:rsidRPr="00C14B87" w:rsidRDefault="0012668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 tym wierszu należy wykazać opłaty z tytułu outsourcingu związane ze świadczeniem usług finansowych, przedstawione w wykazie rodzajów działalności wskazanych w art. 8 regulacyjnego standardu technicznego, do opracowania na podstawie art. 314 ust. 9 rozporządzenia (UE) nr 575/2013, jeżeli w stosowanych standardach rachunkowości opłaty te są ujęte w kosztach administracyjnych, zgodnie z art. 16 wspomnianego regulacyjnego standardu technicznego. W pozycji tej należy również ująć koszty działalności pomocniczej, takiej jak działalność informatyczna niezbędna do świadczenia usługi finansowej.</w:t>
            </w:r>
          </w:p>
          <w:p w14:paraId="37B7C759" w14:textId="401F429B" w:rsidR="00A87543" w:rsidRPr="00C14B87" w:rsidRDefault="00A8754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Wyłącza się część kosztów z tytułu opłat i prowizji wypłacanych instytucjom będącym członkami tego samego instytucjonalnego systemu ochrony zgodnie z art. 314 ust. 5 rozporządzenia (UE) nr 575/2013.</w:t>
            </w:r>
          </w:p>
        </w:tc>
      </w:tr>
      <w:tr w:rsidR="003826D3" w:rsidRPr="00C14B87" w14:paraId="56FE999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DD92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40694" w14:textId="77777777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Pozostałe przychody operacyjne</w:t>
            </w:r>
          </w:p>
          <w:p w14:paraId="035A399D" w14:textId="7232F3EB" w:rsidR="00671F1C" w:rsidRPr="00C14B87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Pozostałe przychody operacyjne, w tym: zyski z aktywów trwałych i grup do zbycia zaklasyfikowanych jako przeznaczone do sprzedaży, które nie kwalifikują się jako działalność zaniechana (w przypadku strat wartości traktuje się jako zero) zgodnie z częścią 2 pkt 55 załącznika V do rozwiązań informatycznych EUNB, oraz pozostałe przychody operacyjne, o których mowa w części 2 pkt 314 i 316 załącznika V do rozwiązań informatycznych EUNB, z wyłączeniem przychodów z tytułu leasingu operacyjnego oraz wszelkich pozycji określonych na podstawie art. 314 ust. 7 rozporządzenia (UE) 2021/451.</w:t>
            </w:r>
          </w:p>
          <w:p w14:paraId="39451B35" w14:textId="17278A47" w:rsidR="00A471E8" w:rsidRPr="00C14B87" w:rsidRDefault="007863F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Odzyskiwania kosztów administracyjnych nie należy traktować zgodnie z art. 5 regulacyjnego standardu technicznego (RTS) dotyczącego elementów wskaźnika biznesowego, do opracowania na podstawie art. 314 ust. 9 rozporządzenia (UE) nr 575/2013.</w:t>
            </w:r>
          </w:p>
          <w:p w14:paraId="0B35E56E" w14:textId="27C4774F" w:rsidR="00695D35" w:rsidRPr="00C14B87" w:rsidRDefault="00695D35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Wyłącza się kwotę pozostałych przychodów operacyjnych uzyskanych od instytucji będących członkami tego samego instytucjonalnego systemu ochrony zgodnie z art. 314 ust. 5 rozporządzenia (UE) nr 575/2013.</w:t>
            </w:r>
          </w:p>
          <w:p w14:paraId="685D1BC1" w14:textId="04DD0137" w:rsidR="00695D35" w:rsidRPr="00C14B87" w:rsidRDefault="00695D35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Fonts w:ascii="Times New Roman" w:hAnsi="Times New Roman"/>
                <w:sz w:val="24"/>
              </w:rPr>
              <w:t>Kwotę tego wiersza oblicza się zgodnie z art. 314 ust. 5 rozporządzenia (UE) nr 575/2013.</w:t>
            </w:r>
          </w:p>
        </w:tc>
      </w:tr>
      <w:tr w:rsidR="003826D3" w:rsidRPr="00C14B87" w14:paraId="278E4D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E4C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949AD" w14:textId="3ED4D7E2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Pozostałe koszty operacyjne</w:t>
            </w:r>
          </w:p>
          <w:p w14:paraId="13FCDFA5" w14:textId="269315A4" w:rsidR="00B722D0" w:rsidRPr="00C14B87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Pozostałe koszty operacyjne obejmujące:</w:t>
            </w:r>
          </w:p>
          <w:p w14:paraId="0E760CEE" w14:textId="74A56BE8" w:rsidR="00643568" w:rsidRPr="00C14B87" w:rsidRDefault="004D0A0E" w:rsidP="002A26E9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Straty z tytułu aktywów trwałych i grup do zbycia zaklasyfikowanych jako przeznaczone do sprzedaży, które nie kwalifikują się jako działalność zaniechana: straty inne niż wynikające ze zdarzeń ryzyka operacyjnego dotyczące aktywów trwałych i grup do zbycia zaklasyfikowanych jako przeznaczone do sprzedaży, które nie kwalifikują się jako działalność zaniechana zgodnie z częścią 2 pkt 55 załącznika V do rozwiązań informatycznych EUNB. Należy zgłaszać wyłącznie straty; w przypadku zysku wartość traktuje się jako zero na potrzeby tego wiersza.</w:t>
            </w:r>
          </w:p>
          <w:p w14:paraId="0334035E" w14:textId="19D6E763" w:rsidR="00EE7608" w:rsidRPr="00C14B87" w:rsidRDefault="004D0A0E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Łączne straty, koszty, rezerwy i inne skutki finansowe wynikające ze zdarzeń ryzyka operacyjnego: suma wszystkich strat, kosztów, rezerw i innych skutków finansowych związanych ze zdarzeniami ryzyka operacyjnego wykazanych w wierszu 0080 wzoru C.16.03 zawartego w załączniku I do rozwiązań informatycznych EUNB.</w:t>
            </w:r>
          </w:p>
          <w:p w14:paraId="2C93E8CD" w14:textId="64776E12" w:rsidR="004D0A0E" w:rsidRPr="00C14B87" w:rsidRDefault="00A37C45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Pozostałe koszty operacyjne, inne niż wynikające ze zdarzeń ryzyka operacyjnego – zgodnie z częścią 2 pkt 314 i 316 załącznika V do rozwiązań informatycznych EUNB – w tym:</w:t>
            </w:r>
          </w:p>
          <w:p w14:paraId="01D56412" w14:textId="77777777" w:rsidR="004A5BBA" w:rsidRPr="00C14B87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koszty wynikające ze zmian wartości godziwej rzeczowych aktywów trwałych wycenianych według modelu wartości godziwej, z wyjątkiem kosztów wynikających ze zmian wartości godziwej nieruchomości inwestycyjnych, które generują czynsze i są wyceniane według modelu wartości godziwej z tytułu aktywów będących przedmiotem leasingu operacyjnego;</w:t>
            </w:r>
          </w:p>
          <w:p w14:paraId="726CB5AB" w14:textId="426E3DFA" w:rsidR="004A5BBA" w:rsidRPr="00C14B87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F8244A1" w14:textId="2CF47DAA" w:rsidR="004A5BBA" w:rsidRPr="00C14B87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pozostałe koszty operacyjne (Pozostałe koszty operacyjne) zgodnie z częścią 2 pkt 314 i 316 załącznika V do rozwiązań informatycznych EUNB, jeżeli nie są one związane z aktywami będącymi przedmiotem leasingu.</w:t>
            </w:r>
          </w:p>
          <w:p w14:paraId="6CDC5FBE" w14:textId="54C68FB7" w:rsidR="004A3C86" w:rsidRPr="00C14B87" w:rsidRDefault="004A3C86" w:rsidP="00EE760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Wyłącza się kwotę pozostałych kosztów operacyjnych wypłaconych instytucjom będących członkami tego samego instytucjonalnego systemu ochrony zgodnie z art. 314 ust. 5 rozporządzenia (UE) nr 575/2013.</w:t>
            </w:r>
          </w:p>
          <w:p w14:paraId="6F1C30F0" w14:textId="3B05E985" w:rsidR="003826D3" w:rsidRPr="00C14B87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Kwotę tego wiersza oblicza się zgodnie z art. 314 ust. 5 rozporządzenia (UE) nr 575/2013.</w:t>
            </w:r>
          </w:p>
        </w:tc>
      </w:tr>
      <w:tr w:rsidR="003826D3" w:rsidRPr="00C14B87" w14:paraId="7FA7A9F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AB3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EDDC" w14:textId="77777777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Składnik finansowy (FC)</w:t>
            </w:r>
          </w:p>
          <w:p w14:paraId="1C2CD9AE" w14:textId="16B8F7FC" w:rsidR="003826D3" w:rsidRPr="00C14B87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Składnik finansowy (FC) oblicza się zgodnie z art. 314 ust. 6 rozporządzenia (UE) nr 575/2013. </w:t>
            </w:r>
            <w:r w:rsidRPr="00C14B87">
              <w:rPr>
                <w:rFonts w:ascii="Times New Roman" w:hAnsi="Times New Roman"/>
                <w:sz w:val="24"/>
              </w:rPr>
              <w:t>W przypadku gdy instytucja podlega odstępstwu, o którym mowa w art. 314 ust. 4 rozporządzenia (UE) nr 575/2013, instytucja ta nie uwzględnia żadnych danych dotyczących linii biznesowych „bankowość detaliczna” lub „bankowość komercyjna”.</w:t>
            </w:r>
          </w:p>
        </w:tc>
      </w:tr>
      <w:tr w:rsidR="003826D3" w:rsidRPr="00C14B87" w14:paraId="2B14924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87E8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3 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BB41" w14:textId="6F0E6551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Zysk lub strata netto mające zastosowanie do portfela handlowego (TB)</w:t>
            </w:r>
          </w:p>
          <w:p w14:paraId="4E177CA3" w14:textId="4C472892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Zysk lub stratę netto mające zastosowanie do portfela handlowego oblicza się jako sumę:</w:t>
            </w:r>
          </w:p>
          <w:p w14:paraId="6324889B" w14:textId="380EDA28" w:rsidR="008A379C" w:rsidRPr="00C14B87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u w:val="single"/>
              </w:rPr>
              <w:t>Zyski lub (-) straty z tytułu aktywów finansowych i zobowiązań finansowych przeznaczonych do obrotu oraz z przeznaczeniem do obrotu, netto</w:t>
            </w:r>
            <w:r w:rsidRPr="00C14B87">
              <w:t>: zyski lub (-) straty z tytułu aktywów finansowych i zobowiązań finansowych przeznaczonych do obrotu zgodnie z częścią 2 pkt 43 i 46 załącznika V do rozwiązań informatycznych EUNB lub z tytułu aktywów i zobowiązań finansowych z przeznaczeniem do obrotu zgodnie z dyrektywą Rady 86/635/EWG („dyrektywa w sprawie sprawozdań finansowych banków” lub „BAD”); art. 27. Układ pionowy pkt 6;</w:t>
            </w:r>
          </w:p>
          <w:p w14:paraId="0B998657" w14:textId="654F8692" w:rsidR="008A379C" w:rsidRPr="00C14B87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u w:val="single"/>
              </w:rPr>
              <w:t>Zyski lub (-) straty z tytułu rachunkowości zabezpieczeń, netto</w:t>
            </w:r>
            <w:r w:rsidRPr="00C14B87">
              <w:t>: zyski lub (-) straty z tytułu rachunkowości zabezpieczeń, netto, w ramach składnika dotyczącego portfela handlowego, wyłącznie w tych wyjątkowych okolicznościach, gdy rachunkowość zabezpieczeń – obliczana zgodnie z częścią 2 pkt 47 załącznika V do rozwiązań informatycznych EUNB lub zgodnie z art. 8 ust. 1 lit. a), ust. 6 i 8 dyrektywy o rachunkowości – jest stosowana w celu zabezpieczenia aktywów finansowych i zobowiązań finansowych przeznaczonych do obrotu lub aktywów i zobowiązań finansowych z przeznaczeniem do obrotu.</w:t>
            </w:r>
          </w:p>
          <w:p w14:paraId="1BC37DE4" w14:textId="36EA6A27" w:rsidR="008A379C" w:rsidRPr="00C14B87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u w:val="single"/>
              </w:rPr>
              <w:t>Różnice kursowe [zysk lub (-) strata] netto, związane z portfelem handlowym</w:t>
            </w:r>
            <w:r w:rsidRPr="00C14B87">
              <w:t>: różnice kursowe [zysk lub (-) strata], netto, wyłącznie w przypadku, gdy różnice te, obliczone zgodnie z MSR 21 pkt 28 i pkt 52 lit. a) lub zgodnie z art. 39 BAD, wynikają z aktywów finansowych i zobowiązań finansowych przeznaczonych do obrotu lub z aktywów finansowych i zobowiązań finansowych z przeznaczeniem do obrotu.</w:t>
            </w:r>
          </w:p>
          <w:p w14:paraId="761552C0" w14:textId="5BF82331" w:rsidR="001E5563" w:rsidRPr="00C14B87" w:rsidRDefault="001E5563" w:rsidP="00C65626">
            <w:pPr>
              <w:pStyle w:val="paragraph"/>
              <w:textAlignment w:val="baseline"/>
              <w:rPr>
                <w:rStyle w:val="InstructionsTabelleberschrift"/>
                <w:rFonts w:ascii="Segoe UI" w:hAnsi="Segoe UI" w:cs="Segoe UI"/>
              </w:rPr>
            </w:pPr>
            <w:r w:rsidRPr="00C14B87">
              <w:t>Wartości, które należy ujawnić, będą odzwierciedlały wartości księgowe ustalone przy użyciu granicy rachunkowej lub granicy ostrożnościowej (PBA) w celu określenia pozycji portfela handlowego i portfela bankowego w każdym z ostatnich trzech lat obrachunkowych zgodnie z art. 314 ust. 6 rozporządzenia (UE) nr 575/2013.</w:t>
            </w:r>
          </w:p>
        </w:tc>
      </w:tr>
      <w:tr w:rsidR="003826D3" w:rsidRPr="00C14B87" w14:paraId="769832B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7174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3b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949CD" w14:textId="505506A8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Zysk netto lub strata mające zastosowanie do portfela bankowego (BB)</w:t>
            </w:r>
          </w:p>
          <w:p w14:paraId="16F13570" w14:textId="0B537F1A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Zysk lub stratę netto mające zastosowanie do portfela bankowego oblicza się jako sumę:</w:t>
            </w:r>
          </w:p>
          <w:p w14:paraId="4816B36A" w14:textId="59F72F36" w:rsidR="008F0781" w:rsidRPr="00C14B87" w:rsidRDefault="008F0781" w:rsidP="00232265">
            <w:pPr>
              <w:pStyle w:val="Style1"/>
            </w:pPr>
            <w:r w:rsidRPr="00C14B87">
              <w:rPr>
                <w:u w:val="single"/>
              </w:rPr>
              <w:t>Zyski lub (−) straty z tytułu zaprzestania ujmowania aktywów i zobowiązań finansowych niewycenianych według wartości godziwej przez wynik finansowy, netto</w:t>
            </w:r>
            <w:r w:rsidRPr="00C14B87">
              <w:t>: zyski lub (−) straty z tytułu zaprzestania ujmowania aktywów i zobowiązań finansowych niewycenianych według wartości godziwej przez wynik finansowy, netto zgodnie z częścią 2 pkt 45 załącznika V do rozwiązań informatycznych EUNB lub art. 27 BAD. Układ pionowy, ust. 6;</w:t>
            </w:r>
          </w:p>
          <w:p w14:paraId="29EDCF43" w14:textId="7ADB0AAC" w:rsidR="008F0781" w:rsidRPr="00C14B87" w:rsidRDefault="008F0781" w:rsidP="00232265">
            <w:pPr>
              <w:pStyle w:val="Style1"/>
            </w:pPr>
            <w:r w:rsidRPr="00C14B87">
              <w:rPr>
                <w:u w:val="single"/>
              </w:rPr>
              <w:t>Zyski lub (−) straty z tytułu aktywów finansowych nieprzeznaczonych do obrotu wycenianych obowiązkowo według wartości godziwej przez wynik finansowy, netto</w:t>
            </w:r>
            <w:r w:rsidRPr="00C14B87">
              <w:t>: zgłasza się zyski lub (−) straty z tytułu aktywów finansowych nieprzeznaczonych do obrotu wycenianych obowiązkowo według wartości godziwej przez wynik finansowy, netto zgodnie z częścią 2 pkt 46 załącznika V do rozwiązań informatycznych EUNB;</w:t>
            </w:r>
          </w:p>
          <w:p w14:paraId="23350A71" w14:textId="40356371" w:rsidR="008F0781" w:rsidRPr="00C14B87" w:rsidRDefault="008F0781" w:rsidP="00232265">
            <w:pPr>
              <w:pStyle w:val="Style1"/>
            </w:pPr>
            <w:r w:rsidRPr="00C14B87">
              <w:rPr>
                <w:u w:val="single"/>
              </w:rPr>
              <w:t>Zyski lub (-) straty z tytułu aktywów i zobowiązań finansowych wycenianych według wartości godziwej przez wynik finansowy, netto</w:t>
            </w:r>
            <w:r w:rsidRPr="00C14B87">
              <w:t>: zyski lub (-) straty z tytułu aktywów i zobowiązań finansowych wycenianych według wartości godziwej przez wynik finansowy, netto zgodnie z częścią 2 pkt 44 załącznika V do rozwiązań informatycznych EUNB;</w:t>
            </w:r>
          </w:p>
          <w:p w14:paraId="44DE675E" w14:textId="5B34C2BC" w:rsidR="008F0781" w:rsidRPr="00C14B87" w:rsidRDefault="008F0781" w:rsidP="00232265">
            <w:pPr>
              <w:pStyle w:val="Style1"/>
            </w:pPr>
            <w:r w:rsidRPr="00C14B87">
              <w:rPr>
                <w:u w:val="single"/>
              </w:rPr>
              <w:t>Zyski lub (-) straty z tytułu rachunkowości zabezpieczeń, związane z portfelem bankowym, netto</w:t>
            </w:r>
            <w:r w:rsidRPr="00C14B87">
              <w:t>: zyski lub (-) straty z tytułu rachunkowości zabezpieczeń, netto, zgodnie z częścią 2 pkt 47 załącznika V do rozwiązań informatycznych EUNB lub zgodnie z art. 8 ust. 1 lit. a), pkt 6 i 8 BAD, jeżeli zyski lub straty te pochodzą z aktywów finansowych i zobowiązań finansowych znajdujących się w portfelu bankowym; oraz</w:t>
            </w:r>
          </w:p>
          <w:p w14:paraId="23306495" w14:textId="6A259674" w:rsidR="008F0781" w:rsidRPr="00C14B87" w:rsidRDefault="008F0781" w:rsidP="00232265">
            <w:pPr>
              <w:pStyle w:val="Style1"/>
            </w:pPr>
            <w:r w:rsidRPr="00C14B87">
              <w:rPr>
                <w:u w:val="single"/>
              </w:rPr>
              <w:t>Różnice kursowe [zysk lub (−) strata], netto, związane z portfelem bankowym</w:t>
            </w:r>
            <w:r w:rsidRPr="00C14B87">
              <w:t>: różnice kursowe [zysk lub (−) strata], netto, zgodnie z MSR 21 pkt 28 i pkt 52 lit. a) lub zgodnie z art. 39 BAD, jeżeli różnice te wynikają z aktywów i zobowiązań finansowych znajdujących się w portfelu bankowym.</w:t>
            </w:r>
          </w:p>
          <w:p w14:paraId="3E9BB5BF" w14:textId="1D3FC8A9" w:rsidR="00F26A2D" w:rsidRPr="00C14B87" w:rsidRDefault="001E5563" w:rsidP="00F26A2D">
            <w:pPr>
              <w:spacing w:before="60" w:after="120"/>
              <w:jc w:val="both"/>
              <w:rPr>
                <w:rStyle w:val="InstructionsTabelleberschrift"/>
                <w:rFonts w:asciiTheme="majorBidi" w:hAnsiTheme="majorBidi" w:cstheme="majorBidi"/>
                <w:sz w:val="24"/>
                <w:u w:val="none"/>
              </w:rPr>
            </w:pPr>
            <w:r w:rsidRPr="00C14B87">
              <w:rPr>
                <w:rFonts w:asciiTheme="majorBidi" w:hAnsiTheme="majorBidi"/>
                <w:sz w:val="24"/>
              </w:rPr>
              <w:t>Wartości, które należy ujawnić, będą odzwierciedlały wartości księgowe ustalone przy użyciu granicy rachunkowej lub granicy ostrożnościowej (PBA) w celu określenia pozycji portfela handlowego i portfela bankowego w każdym z ostatnich trzech lat obrachunkowych zgodnie z art. 314 ust. 6 rozporządzenia (UE) nr 575/2013.</w:t>
            </w:r>
          </w:p>
        </w:tc>
      </w:tr>
      <w:tr w:rsidR="003826D3" w:rsidRPr="00C14B87" w14:paraId="4C01E0E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21AD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EU 3c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B97F" w14:textId="3301C86C" w:rsidR="003826D3" w:rsidRPr="00C14B87" w:rsidRDefault="008C3E6A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Podejście stosowane do ustalenia granicy pomiędzy portfelem bankowym a portfelem handlowym (podejście ostrożnościowe lub rachunkowe)</w:t>
            </w:r>
          </w:p>
          <w:p w14:paraId="00A81A34" w14:textId="0A7D6D1A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Podejście stosowane na dzień odniesienia w celu określenia FC: klasyfikacja rachunkowa lub ostrożnościowa (PBA). Podejście to stosuje się konsekwentnie w odniesieniu do kwot ujawnionych za każdy z trzech ostatnich lat obrachunkowych.</w:t>
            </w:r>
          </w:p>
        </w:tc>
      </w:tr>
      <w:tr w:rsidR="003826D3" w:rsidRPr="00C14B87" w14:paraId="130758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EF276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82AA" w14:textId="77777777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Wskaźnik biznesowy (BI)</w:t>
            </w:r>
          </w:p>
          <w:p w14:paraId="35C99FE1" w14:textId="0AFECB29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14B87">
              <w:rPr>
                <w:rFonts w:asciiTheme="majorBidi" w:hAnsiTheme="majorBidi"/>
                <w:sz w:val="24"/>
              </w:rPr>
              <w:t>BI, obliczony zgodnie z art. 314 ust. 1 rozporządzenia (UE) nr 575/2013, będący sumą trzech składników: ILDC, SC i FC.</w:t>
            </w:r>
          </w:p>
        </w:tc>
      </w:tr>
      <w:tr w:rsidR="003826D3" w:rsidRPr="00C14B87" w14:paraId="45662CD2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9C54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F910" w14:textId="77777777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Wskaźnik biznesowy skorygowany o współczynniki krańcowe (BIC)</w:t>
            </w:r>
          </w:p>
          <w:p w14:paraId="4AC6BDA5" w14:textId="5507A684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14B87">
              <w:rPr>
                <w:rFonts w:ascii="Times New Roman" w:hAnsi="Times New Roman"/>
                <w:sz w:val="24"/>
              </w:rPr>
              <w:t xml:space="preserve">BIC oblicza się zgodnie z art. 313 rozporządzenia (UE) nr 575/2013. </w:t>
            </w:r>
          </w:p>
        </w:tc>
      </w:tr>
      <w:tr w:rsidR="003826D3" w:rsidRPr="00C14B87" w14:paraId="246D346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251DF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6a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D331" w14:textId="77777777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BI z wyłączoną działalnością zbywaną</w:t>
            </w:r>
          </w:p>
          <w:p w14:paraId="4B01F051" w14:textId="678BE249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14B87">
              <w:rPr>
                <w:rFonts w:asciiTheme="majorBidi" w:hAnsiTheme="majorBidi"/>
                <w:sz w:val="24"/>
              </w:rPr>
              <w:t>Kwota BI z uwzględnieniem wyłączonej zbywanej działalności zgodnie z art. 315 ust. 2 rozporządzenia (UE) nr 575/2013.</w:t>
            </w:r>
          </w:p>
        </w:tc>
      </w:tr>
      <w:tr w:rsidR="003826D3" w:rsidRPr="00C14B87" w14:paraId="6ADC8B4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F6F18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6b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96E1" w14:textId="5FAE8014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Zmniejszenie BI wynikłe z wyłączonej działalności zbywanej</w:t>
            </w:r>
          </w:p>
          <w:p w14:paraId="100A0132" w14:textId="636B5EF6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14B87">
              <w:rPr>
                <w:rFonts w:asciiTheme="majorBidi" w:hAnsiTheme="majorBidi"/>
                <w:sz w:val="24"/>
              </w:rPr>
              <w:t xml:space="preserve">Różnica między BI z działalnością zbywaną (wiersz 6a) a BI ogółem (wiersz 4). </w:t>
            </w:r>
          </w:p>
        </w:tc>
      </w:tr>
      <w:tr w:rsidR="003826D3" w:rsidRPr="00C14B87" w14:paraId="66494CD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A112" w14:textId="77777777" w:rsidR="003826D3" w:rsidRPr="00C14B87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EU 6c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02A2" w14:textId="77777777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Wpływ połączeń/przejęć na BI</w:t>
            </w:r>
          </w:p>
          <w:p w14:paraId="68B0EB8C" w14:textId="39D74825" w:rsidR="003826D3" w:rsidRPr="00C14B87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14B87">
              <w:rPr>
                <w:rFonts w:asciiTheme="majorBidi" w:hAnsiTheme="majorBidi"/>
                <w:sz w:val="24"/>
              </w:rPr>
              <w:t>Kwota uwzględniona w BI odpowiadająca składnikom BI, wynikającym z połączenia lub przejęcia podmiotów lub rodzajów działalności, obliczona zgodnie z art. 315 ust. 1 rozporządzenia (UE) nr 575/2013.</w:t>
            </w:r>
          </w:p>
        </w:tc>
      </w:tr>
    </w:tbl>
    <w:p w14:paraId="2517003F" w14:textId="77777777" w:rsidR="00D740B8" w:rsidRPr="00C14B87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Fonts w:ascii="Times New Roman" w:eastAsia="Arial" w:hAnsi="Times New Roman" w:cs="Times New Roman"/>
          <w:sz w:val="24"/>
        </w:rPr>
      </w:pPr>
    </w:p>
    <w:p w14:paraId="7E7146AD" w14:textId="1649FBD5" w:rsidR="00D740B8" w:rsidRPr="00C14B87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C14B87">
        <w:rPr>
          <w:rFonts w:ascii="Times New Roman" w:hAnsi="Times New Roman"/>
          <w:b/>
          <w:sz w:val="24"/>
        </w:rPr>
        <w:t xml:space="preserve">Wzór EU OR3 – Wymogi w zakresie funduszy własnych z tytułu ryzyka operacyjnego i kwoty ekspozycji na ryzyko. </w:t>
      </w:r>
      <w:r w:rsidRPr="00C14B87">
        <w:rPr>
          <w:rFonts w:ascii="Times New Roman" w:hAnsi="Times New Roman"/>
          <w:sz w:val="24"/>
        </w:rPr>
        <w:t>Wzór o formacie stałym</w:t>
      </w:r>
    </w:p>
    <w:p w14:paraId="5AB15A39" w14:textId="77777777" w:rsidR="00D740B8" w:rsidRPr="00C14B87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0DF34D1" w14:textId="121F9A97" w:rsidR="00D740B8" w:rsidRPr="00C14B87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14B87">
        <w:rPr>
          <w:rFonts w:ascii="Times New Roman" w:hAnsi="Times New Roman"/>
          <w:sz w:val="24"/>
        </w:rPr>
        <w:t>Instytucje ujawniają informacje zawarte we wzorze EU OR3 zgodnie z art. 446 ust. 1 lit. b) rozporządzenia (UE) nr 575/2013. Wzór ten zawiera informacje dotyczące obliczania wymogów w zakresie funduszy własnych z tytułu ryzyka operacyjnego zgodnie z art. 312–315 rozporządzenia (UE) nr 575/2013.</w:t>
      </w:r>
    </w:p>
    <w:p w14:paraId="6DFA1648" w14:textId="77777777" w:rsidR="00D740B8" w:rsidRPr="00C14B87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2E35B8A0" w14:textId="77777777" w:rsidR="00D740B8" w:rsidRPr="00C14B87" w:rsidRDefault="00D740B8" w:rsidP="00D740B8">
      <w:pPr>
        <w:rPr>
          <w:rFonts w:ascii="Times New Roman" w:hAnsi="Times New Roman" w:cs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C14B87" w14:paraId="6F42A4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89E53" w14:textId="77777777" w:rsidR="00D740B8" w:rsidRPr="00C14B87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 xml:space="preserve">Wiersz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ECBF1" w14:textId="77777777" w:rsidR="00D740B8" w:rsidRPr="00C14B87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Wyjaśnienie</w:t>
            </w:r>
          </w:p>
        </w:tc>
      </w:tr>
      <w:tr w:rsidR="00D740B8" w:rsidRPr="00C14B87" w14:paraId="6BF3BB0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8A85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F758" w14:textId="77777777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Wskaźnik biznesowy skorygowany o współczynniki krańcowe (BIC)</w:t>
            </w:r>
          </w:p>
          <w:p w14:paraId="1B10BB72" w14:textId="77777777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 tym wierszu ujmuje się wskaźnik biznesowy skorygowany o współczynniki krańcowe, który oblicza się zgodnie z art. 313 rozporządzenia (UE) nr 575/2013.</w:t>
            </w:r>
          </w:p>
        </w:tc>
      </w:tr>
      <w:tr w:rsidR="00CA794A" w:rsidRPr="00C14B87" w14:paraId="2713AC1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606E2" w14:textId="48C6967A" w:rsidR="00CA794A" w:rsidRPr="00C14B87" w:rsidRDefault="004A58B5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EU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7C95" w14:textId="1613DFBF" w:rsidR="00CA794A" w:rsidRPr="00C14B87" w:rsidRDefault="004A58B5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Wymogi w zakresie funduszy własnych według alternatywnej metody standardowej zgodnie z art. 314 ust. 4</w:t>
            </w:r>
          </w:p>
          <w:p w14:paraId="7762DF0B" w14:textId="6E2ACCB9" w:rsidR="004A58B5" w:rsidRPr="00C14B87" w:rsidRDefault="005B4907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Wiersz ten obejmuje wymogi w zakresie funduszy własnych dla linii biznesowych uwzględnionych w art. 314 ust. 4, w stosownych przypadkach, do dnia 31 grudnia 2027 r. lub do czasu wydania przez organ sprawujący nadzór skonsolidowany zezwolenia zgodnie z art. 314 ust. 3, w zależności od tego, co nastąpi wcześniej.</w:t>
            </w:r>
          </w:p>
        </w:tc>
      </w:tr>
      <w:tr w:rsidR="00D740B8" w:rsidRPr="00C14B87" w14:paraId="362D8FB9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B3213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B1B93" w14:textId="0E85F01A" w:rsidR="00D740B8" w:rsidRPr="00C14B87" w:rsidRDefault="001918A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>Nie dotyczy.</w:t>
            </w:r>
          </w:p>
        </w:tc>
      </w:tr>
      <w:tr w:rsidR="00D740B8" w:rsidRPr="00C14B87" w14:paraId="779D05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F8453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2F01" w14:textId="77777777" w:rsidR="00D740B8" w:rsidRPr="00C14B87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Minimalne wymogi w zakresie funduszy własnych z tytułu ryzyka operacyjnego</w:t>
            </w:r>
          </w:p>
          <w:p w14:paraId="2A7C24D0" w14:textId="54D9C5FF" w:rsidR="00D740B8" w:rsidRPr="00C14B87" w:rsidRDefault="0097784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 xml:space="preserve">Wymogi w zakresie funduszy własnych oblicza się zgodnie z art. 312 rozporządzenia (UE) nr 575/2013. W wierszu tym przedstawia się wymogi w zakresie funduszy własnych z tytułu ryzyka operacyjnego, które pokrywają się z sumą BIC </w:t>
            </w:r>
            <w:proofErr w:type="gramStart"/>
            <w:r w:rsidRPr="00C14B87">
              <w:rPr>
                <w:rFonts w:ascii="Times New Roman" w:hAnsi="Times New Roman"/>
                <w:sz w:val="24"/>
              </w:rPr>
              <w:t>oraz,</w:t>
            </w:r>
            <w:proofErr w:type="gramEnd"/>
            <w:r w:rsidRPr="00C14B87">
              <w:rPr>
                <w:rFonts w:ascii="Times New Roman" w:hAnsi="Times New Roman"/>
                <w:sz w:val="24"/>
              </w:rPr>
              <w:t xml:space="preserve"> w stosownych przypadkach, wymogami w zakresie funduszy własnych w odniesieniu do linii biznesowych, o których mowa w art. 314 ust. 4. </w:t>
            </w:r>
          </w:p>
        </w:tc>
      </w:tr>
      <w:tr w:rsidR="00D740B8" w:rsidRPr="00C14B87" w14:paraId="078B572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3902" w14:textId="77777777" w:rsidR="00D740B8" w:rsidRPr="00C14B87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B87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DB44" w14:textId="00766941" w:rsidR="00D740B8" w:rsidRPr="00C14B87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14B87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Kwoty ekspozycji na ryzyko operacyjne</w:t>
            </w:r>
          </w:p>
          <w:p w14:paraId="317F9BDE" w14:textId="6672A695" w:rsidR="00D740B8" w:rsidRPr="00C14B87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87">
              <w:rPr>
                <w:rFonts w:ascii="Times New Roman" w:hAnsi="Times New Roman"/>
                <w:sz w:val="24"/>
              </w:rPr>
              <w:t xml:space="preserve">Na podstawie art. 92 ust. 3 lit. e) i art. 92 ust. 4 rozporządzenia (UE) nr 575/2013 w tym wierszu należy ujawnić wymogi w zakresie funduszy własnych z wiersza (3) pomnożone przez 12,5. </w:t>
            </w:r>
          </w:p>
        </w:tc>
      </w:tr>
    </w:tbl>
    <w:p w14:paraId="079B8CA0" w14:textId="77777777" w:rsidR="00D740B8" w:rsidRPr="00C14B87" w:rsidRDefault="00D740B8" w:rsidP="00D740B8">
      <w:pPr>
        <w:rPr>
          <w:rFonts w:ascii="Times New Roman" w:hAnsi="Times New Roman" w:cs="Times New Roman"/>
          <w:sz w:val="24"/>
        </w:rPr>
      </w:pPr>
    </w:p>
    <w:p w14:paraId="41C8F396" w14:textId="77777777" w:rsidR="002C1404" w:rsidRPr="00C14B87" w:rsidRDefault="002C1404"/>
    <w:sectPr w:rsidR="002C1404" w:rsidRPr="00C14B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D970" w14:textId="77777777" w:rsidR="00924970" w:rsidRPr="00C14B87" w:rsidRDefault="00924970" w:rsidP="00E114F3">
      <w:r w:rsidRPr="00C14B87">
        <w:separator/>
      </w:r>
    </w:p>
  </w:endnote>
  <w:endnote w:type="continuationSeparator" w:id="0">
    <w:p w14:paraId="6750FE16" w14:textId="77777777" w:rsidR="00924970" w:rsidRPr="00C14B87" w:rsidRDefault="00924970" w:rsidP="00E114F3">
      <w:r w:rsidRPr="00C14B87">
        <w:continuationSeparator/>
      </w:r>
    </w:p>
  </w:endnote>
  <w:endnote w:type="continuationNotice" w:id="1">
    <w:p w14:paraId="44EFD629" w14:textId="77777777" w:rsidR="00924970" w:rsidRPr="00C14B87" w:rsidRDefault="00924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3D36" w14:textId="77777777" w:rsidR="00C14B87" w:rsidRPr="00C14B87" w:rsidRDefault="00C14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783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E114F3" w:rsidRPr="00C14B87" w:rsidRDefault="00E114F3">
        <w:pPr>
          <w:pStyle w:val="Footer"/>
          <w:jc w:val="right"/>
        </w:pPr>
        <w:r w:rsidRPr="00C14B87">
          <w:fldChar w:fldCharType="begin"/>
        </w:r>
        <w:r w:rsidRPr="00C14B87">
          <w:instrText xml:space="preserve"> PAGE   \* MERGEFORMAT </w:instrText>
        </w:r>
        <w:r w:rsidRPr="00C14B87">
          <w:fldChar w:fldCharType="separate"/>
        </w:r>
        <w:r w:rsidR="00370155" w:rsidRPr="00C14B87">
          <w:t>1</w:t>
        </w:r>
        <w:r w:rsidRPr="00C14B87">
          <w:fldChar w:fldCharType="end"/>
        </w:r>
      </w:p>
    </w:sdtContent>
  </w:sdt>
  <w:p w14:paraId="049F31CB" w14:textId="77777777" w:rsidR="00E114F3" w:rsidRPr="00C14B87" w:rsidRDefault="00E11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F8AB" w14:textId="77777777" w:rsidR="00C14B87" w:rsidRPr="00C14B87" w:rsidRDefault="00C1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1A6D" w14:textId="77777777" w:rsidR="00924970" w:rsidRPr="00C14B87" w:rsidRDefault="00924970" w:rsidP="00E114F3">
      <w:r w:rsidRPr="00C14B87">
        <w:separator/>
      </w:r>
    </w:p>
  </w:footnote>
  <w:footnote w:type="continuationSeparator" w:id="0">
    <w:p w14:paraId="3D7D4E32" w14:textId="77777777" w:rsidR="00924970" w:rsidRPr="00C14B87" w:rsidRDefault="00924970" w:rsidP="00E114F3">
      <w:r w:rsidRPr="00C14B87">
        <w:continuationSeparator/>
      </w:r>
    </w:p>
  </w:footnote>
  <w:footnote w:type="continuationNotice" w:id="1">
    <w:p w14:paraId="6FCD0CD0" w14:textId="77777777" w:rsidR="00924970" w:rsidRPr="00C14B87" w:rsidRDefault="00924970"/>
  </w:footnote>
  <w:footnote w:id="2">
    <w:p w14:paraId="3798489D" w14:textId="469FF1F7" w:rsidR="00E114F3" w:rsidRPr="00C14B87" w:rsidRDefault="00E114F3" w:rsidP="003D3122">
      <w:pPr>
        <w:pStyle w:val="FootnoteText"/>
      </w:pPr>
      <w:r w:rsidRPr="00C14B87">
        <w:rPr>
          <w:rStyle w:val="FootnoteReference"/>
          <w:rFonts w:cstheme="minorHAnsi"/>
        </w:rPr>
        <w:footnoteRef/>
      </w:r>
      <w:r w:rsidRPr="00C14B87">
        <w:tab/>
        <w:t>Rozporządzenie Parlamentu Europejskiego i Rady (UE) nr 575/2013 z dnia 26 czerwca 2013 r. w sprawie wymogów ostrożnościowych dla instytucji kredytowych i firm inwestycyjnych, zmieniające rozporządzenie (UE) nr 648/2012; a także rozporządzenie zmieniające (UE) 2024/1623 (</w:t>
      </w:r>
      <w:hyperlink r:id="rId1" w:history="1">
        <w:r w:rsidRPr="00C14B87">
          <w:rPr>
            <w:rStyle w:val="Hyperlink"/>
            <w:color w:val="800080"/>
          </w:rPr>
          <w:t xml:space="preserve">Dz.U. L 176 z 27.6.2013, s. 1; </w:t>
        </w:r>
      </w:hyperlink>
      <w:hyperlink r:id="rId2" w:history="1">
        <w:r w:rsidRPr="00C14B87">
          <w:rPr>
            <w:rStyle w:val="Hyperlink"/>
          </w:rPr>
          <w:t>rozporządzenie – UE – 2024/1623 – PL – EUR-Lex (europa.eu)</w:t>
        </w:r>
      </w:hyperlink>
      <w:r w:rsidRPr="00C14B87">
        <w:t>).</w:t>
      </w:r>
    </w:p>
    <w:p w14:paraId="45FB0818" w14:textId="77777777" w:rsidR="00E114F3" w:rsidRPr="00C14B87" w:rsidRDefault="00E114F3" w:rsidP="003D31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1615A102" w:rsidR="00E114F3" w:rsidRPr="00C14B87" w:rsidRDefault="00864ECA">
    <w:pPr>
      <w:pStyle w:val="Header"/>
    </w:pPr>
    <w:r w:rsidRPr="00C14B87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CE9015" wp14:editId="3A1C73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5" name="Text Box 5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07B26" w14:textId="3B0140B7" w:rsidR="00864ECA" w:rsidRPr="00C14B87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C14B87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Użytek zwykły EUNB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E90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EBA Regular Use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" filled="f" stroked="f">
              <v:textbox style="mso-fit-shape-to-text:t" inset="20pt,15pt,0,0">
                <w:txbxContent>
                  <w:p w14:paraId="6B807B26" w14:textId="3B0140B7" w:rsidR="00864ECA" w:rsidRPr="00C14B87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C14B87">
                      <w:rPr>
                        <w:rFonts w:ascii="Calibri" w:hAnsi="Calibri"/>
                        <w:color w:val="000000"/>
                        <w:sz w:val="24"/>
                      </w:rPr>
                      <w:t>Użytek zwykły EUNB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1028A940" w:rsidR="00E114F3" w:rsidRPr="00C14B87" w:rsidRDefault="00864ECA">
    <w:pPr>
      <w:pStyle w:val="Header"/>
    </w:pPr>
    <w:r w:rsidRPr="00C14B87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F1B75F" wp14:editId="3120E3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6" name="Text Box 6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808C3" w14:textId="14E505EC" w:rsidR="00864ECA" w:rsidRPr="00C14B87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C14B87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Użytek zwykły EUNB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1B7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EBA Regular Use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MsGYd0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422808C3" w14:textId="14E505EC" w:rsidR="00864ECA" w:rsidRPr="00C14B87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C14B87">
                      <w:rPr>
                        <w:rFonts w:ascii="Calibri" w:hAnsi="Calibri"/>
                        <w:color w:val="000000"/>
                        <w:sz w:val="24"/>
                      </w:rPr>
                      <w:t>Użytek zwykły EUNB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505DD969" w:rsidR="00E114F3" w:rsidRPr="00C14B87" w:rsidRDefault="00864ECA">
    <w:pPr>
      <w:pStyle w:val="Header"/>
    </w:pPr>
    <w:r w:rsidRPr="00C14B87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A7D7E" wp14:editId="55F0D6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4" name="Text Box 4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C3BA" w14:textId="4F2B949B" w:rsidR="00864ECA" w:rsidRPr="00C14B87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C14B87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Użytek zwykły EUNB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7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EBA Regular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FBLyrI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3152C3BA" w14:textId="4F2B949B" w:rsidR="00864ECA" w:rsidRPr="00C14B87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C14B87">
                      <w:rPr>
                        <w:rFonts w:ascii="Calibri" w:hAnsi="Calibri"/>
                        <w:color w:val="000000"/>
                        <w:sz w:val="24"/>
                      </w:rPr>
                      <w:t>Użytek zwykły EUNB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0DA"/>
    <w:multiLevelType w:val="hybridMultilevel"/>
    <w:tmpl w:val="C5500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C79"/>
    <w:multiLevelType w:val="hybridMultilevel"/>
    <w:tmpl w:val="7554B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7EC3"/>
    <w:multiLevelType w:val="hybridMultilevel"/>
    <w:tmpl w:val="81D0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109C"/>
    <w:multiLevelType w:val="hybridMultilevel"/>
    <w:tmpl w:val="AB243A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71C3"/>
    <w:multiLevelType w:val="hybridMultilevel"/>
    <w:tmpl w:val="3942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DB4"/>
    <w:multiLevelType w:val="hybridMultilevel"/>
    <w:tmpl w:val="D4F8EA4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49A0"/>
    <w:multiLevelType w:val="hybridMultilevel"/>
    <w:tmpl w:val="FFFFFFFF"/>
    <w:lvl w:ilvl="0" w:tplc="0CD0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8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D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D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7CB8"/>
    <w:multiLevelType w:val="hybridMultilevel"/>
    <w:tmpl w:val="760C169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5B13DC"/>
    <w:multiLevelType w:val="hybridMultilevel"/>
    <w:tmpl w:val="503222B2"/>
    <w:lvl w:ilvl="0" w:tplc="7D98D390">
      <w:start w:val="1"/>
      <w:numFmt w:val="bullet"/>
      <w:pStyle w:val="Style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7369"/>
    <w:multiLevelType w:val="hybridMultilevel"/>
    <w:tmpl w:val="D17E5BA0"/>
    <w:lvl w:ilvl="0" w:tplc="FFFFFFFF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62199"/>
    <w:multiLevelType w:val="hybridMultilevel"/>
    <w:tmpl w:val="1F2ACEF8"/>
    <w:lvl w:ilvl="0" w:tplc="67E8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D049F"/>
    <w:rsid w:val="000057DA"/>
    <w:rsid w:val="000118A0"/>
    <w:rsid w:val="00011939"/>
    <w:rsid w:val="00012A75"/>
    <w:rsid w:val="0001405C"/>
    <w:rsid w:val="0001650F"/>
    <w:rsid w:val="00024346"/>
    <w:rsid w:val="00025F22"/>
    <w:rsid w:val="000272B2"/>
    <w:rsid w:val="000307E6"/>
    <w:rsid w:val="00030D74"/>
    <w:rsid w:val="00043B86"/>
    <w:rsid w:val="0004584F"/>
    <w:rsid w:val="00045858"/>
    <w:rsid w:val="00046439"/>
    <w:rsid w:val="000465B3"/>
    <w:rsid w:val="00050ABA"/>
    <w:rsid w:val="000576E8"/>
    <w:rsid w:val="0006502A"/>
    <w:rsid w:val="000664FC"/>
    <w:rsid w:val="000665BE"/>
    <w:rsid w:val="00066F9F"/>
    <w:rsid w:val="0006789F"/>
    <w:rsid w:val="00073105"/>
    <w:rsid w:val="000746E8"/>
    <w:rsid w:val="00074F00"/>
    <w:rsid w:val="00075D8B"/>
    <w:rsid w:val="00076263"/>
    <w:rsid w:val="00076410"/>
    <w:rsid w:val="00080F37"/>
    <w:rsid w:val="00083594"/>
    <w:rsid w:val="00087F79"/>
    <w:rsid w:val="00090561"/>
    <w:rsid w:val="00095D07"/>
    <w:rsid w:val="00096102"/>
    <w:rsid w:val="000A0D62"/>
    <w:rsid w:val="000A12B5"/>
    <w:rsid w:val="000A7B76"/>
    <w:rsid w:val="000B16B1"/>
    <w:rsid w:val="000B2704"/>
    <w:rsid w:val="000B2D8F"/>
    <w:rsid w:val="000B3E22"/>
    <w:rsid w:val="000B4462"/>
    <w:rsid w:val="000C1526"/>
    <w:rsid w:val="000C3EAE"/>
    <w:rsid w:val="000C4618"/>
    <w:rsid w:val="000C77E0"/>
    <w:rsid w:val="000D0723"/>
    <w:rsid w:val="000D0DBB"/>
    <w:rsid w:val="000D3111"/>
    <w:rsid w:val="000D3C6F"/>
    <w:rsid w:val="000D4A72"/>
    <w:rsid w:val="000D6DA0"/>
    <w:rsid w:val="000E3AB0"/>
    <w:rsid w:val="000E696C"/>
    <w:rsid w:val="000F08DF"/>
    <w:rsid w:val="000F1044"/>
    <w:rsid w:val="000F2921"/>
    <w:rsid w:val="000F375E"/>
    <w:rsid w:val="000F5C83"/>
    <w:rsid w:val="000F5FED"/>
    <w:rsid w:val="000F6C61"/>
    <w:rsid w:val="00103ABA"/>
    <w:rsid w:val="00103E71"/>
    <w:rsid w:val="00105E35"/>
    <w:rsid w:val="0011472E"/>
    <w:rsid w:val="001220D8"/>
    <w:rsid w:val="00122ABE"/>
    <w:rsid w:val="001257B6"/>
    <w:rsid w:val="00126683"/>
    <w:rsid w:val="00127890"/>
    <w:rsid w:val="00127955"/>
    <w:rsid w:val="00131C22"/>
    <w:rsid w:val="00134D05"/>
    <w:rsid w:val="00135C50"/>
    <w:rsid w:val="00136AE4"/>
    <w:rsid w:val="00141217"/>
    <w:rsid w:val="001420EB"/>
    <w:rsid w:val="00142276"/>
    <w:rsid w:val="00142D89"/>
    <w:rsid w:val="001449CE"/>
    <w:rsid w:val="001452C3"/>
    <w:rsid w:val="00145CEF"/>
    <w:rsid w:val="0015285C"/>
    <w:rsid w:val="00157939"/>
    <w:rsid w:val="00160A53"/>
    <w:rsid w:val="00161A8E"/>
    <w:rsid w:val="00162183"/>
    <w:rsid w:val="00165BEF"/>
    <w:rsid w:val="001756BE"/>
    <w:rsid w:val="0017572D"/>
    <w:rsid w:val="00177229"/>
    <w:rsid w:val="001830A3"/>
    <w:rsid w:val="00185088"/>
    <w:rsid w:val="001871DA"/>
    <w:rsid w:val="001918A2"/>
    <w:rsid w:val="00196907"/>
    <w:rsid w:val="001A2C2E"/>
    <w:rsid w:val="001B03D9"/>
    <w:rsid w:val="001B03DD"/>
    <w:rsid w:val="001B0A1D"/>
    <w:rsid w:val="001B2292"/>
    <w:rsid w:val="001B291D"/>
    <w:rsid w:val="001B3BC1"/>
    <w:rsid w:val="001B500A"/>
    <w:rsid w:val="001B58F8"/>
    <w:rsid w:val="001B6C85"/>
    <w:rsid w:val="001C2B75"/>
    <w:rsid w:val="001C4677"/>
    <w:rsid w:val="001C6CDD"/>
    <w:rsid w:val="001C6FE9"/>
    <w:rsid w:val="001D0334"/>
    <w:rsid w:val="001D080D"/>
    <w:rsid w:val="001D11E0"/>
    <w:rsid w:val="001D592E"/>
    <w:rsid w:val="001D782E"/>
    <w:rsid w:val="001E1503"/>
    <w:rsid w:val="001E5563"/>
    <w:rsid w:val="001F1176"/>
    <w:rsid w:val="001F7ED3"/>
    <w:rsid w:val="00201011"/>
    <w:rsid w:val="002026B4"/>
    <w:rsid w:val="002026D9"/>
    <w:rsid w:val="002054FC"/>
    <w:rsid w:val="002075AA"/>
    <w:rsid w:val="00207EDD"/>
    <w:rsid w:val="002118F9"/>
    <w:rsid w:val="00211970"/>
    <w:rsid w:val="00214165"/>
    <w:rsid w:val="00216C79"/>
    <w:rsid w:val="002208D1"/>
    <w:rsid w:val="00223530"/>
    <w:rsid w:val="00226DD0"/>
    <w:rsid w:val="00230607"/>
    <w:rsid w:val="00230F64"/>
    <w:rsid w:val="00232265"/>
    <w:rsid w:val="002322F4"/>
    <w:rsid w:val="002354DB"/>
    <w:rsid w:val="002355B0"/>
    <w:rsid w:val="00235C89"/>
    <w:rsid w:val="00236174"/>
    <w:rsid w:val="0024083E"/>
    <w:rsid w:val="00241FEC"/>
    <w:rsid w:val="00242E08"/>
    <w:rsid w:val="002455B5"/>
    <w:rsid w:val="002457F5"/>
    <w:rsid w:val="00246D4F"/>
    <w:rsid w:val="00250A53"/>
    <w:rsid w:val="00253C3A"/>
    <w:rsid w:val="00253CF4"/>
    <w:rsid w:val="00254FDF"/>
    <w:rsid w:val="002558AA"/>
    <w:rsid w:val="00257387"/>
    <w:rsid w:val="0026154A"/>
    <w:rsid w:val="00267B03"/>
    <w:rsid w:val="00267CA1"/>
    <w:rsid w:val="00270E06"/>
    <w:rsid w:val="00272014"/>
    <w:rsid w:val="0027387E"/>
    <w:rsid w:val="00273B65"/>
    <w:rsid w:val="00275651"/>
    <w:rsid w:val="00277197"/>
    <w:rsid w:val="002772B5"/>
    <w:rsid w:val="002774FB"/>
    <w:rsid w:val="00277E2E"/>
    <w:rsid w:val="002854BD"/>
    <w:rsid w:val="0028730E"/>
    <w:rsid w:val="00287A78"/>
    <w:rsid w:val="002912CA"/>
    <w:rsid w:val="00291643"/>
    <w:rsid w:val="002919DB"/>
    <w:rsid w:val="00293086"/>
    <w:rsid w:val="002A02D1"/>
    <w:rsid w:val="002A213A"/>
    <w:rsid w:val="002A2633"/>
    <w:rsid w:val="002A26E9"/>
    <w:rsid w:val="002A4A49"/>
    <w:rsid w:val="002A55B5"/>
    <w:rsid w:val="002A7A1C"/>
    <w:rsid w:val="002B0785"/>
    <w:rsid w:val="002B20D8"/>
    <w:rsid w:val="002B2993"/>
    <w:rsid w:val="002B2F6C"/>
    <w:rsid w:val="002B708C"/>
    <w:rsid w:val="002B7BCC"/>
    <w:rsid w:val="002C1404"/>
    <w:rsid w:val="002C6300"/>
    <w:rsid w:val="002D0EA4"/>
    <w:rsid w:val="002D5C08"/>
    <w:rsid w:val="002E1556"/>
    <w:rsid w:val="002E1AD8"/>
    <w:rsid w:val="002E28B0"/>
    <w:rsid w:val="002E4ED1"/>
    <w:rsid w:val="002F3CFA"/>
    <w:rsid w:val="002F70A5"/>
    <w:rsid w:val="002F733A"/>
    <w:rsid w:val="002F7AF6"/>
    <w:rsid w:val="00306E05"/>
    <w:rsid w:val="003123CA"/>
    <w:rsid w:val="003134EA"/>
    <w:rsid w:val="00313B19"/>
    <w:rsid w:val="00313BE5"/>
    <w:rsid w:val="003140BC"/>
    <w:rsid w:val="003173AB"/>
    <w:rsid w:val="0032128C"/>
    <w:rsid w:val="00322C5B"/>
    <w:rsid w:val="0032312B"/>
    <w:rsid w:val="0032508D"/>
    <w:rsid w:val="00325595"/>
    <w:rsid w:val="003260B9"/>
    <w:rsid w:val="003310FD"/>
    <w:rsid w:val="00331494"/>
    <w:rsid w:val="00332B2B"/>
    <w:rsid w:val="00340DA2"/>
    <w:rsid w:val="00340F5A"/>
    <w:rsid w:val="0034291F"/>
    <w:rsid w:val="0034713B"/>
    <w:rsid w:val="00350F3E"/>
    <w:rsid w:val="00352E37"/>
    <w:rsid w:val="00352E7B"/>
    <w:rsid w:val="00353854"/>
    <w:rsid w:val="00356B96"/>
    <w:rsid w:val="00356C56"/>
    <w:rsid w:val="0036264E"/>
    <w:rsid w:val="00366387"/>
    <w:rsid w:val="00370155"/>
    <w:rsid w:val="00371504"/>
    <w:rsid w:val="00373F9D"/>
    <w:rsid w:val="0037691C"/>
    <w:rsid w:val="00376B14"/>
    <w:rsid w:val="003826D3"/>
    <w:rsid w:val="003858A3"/>
    <w:rsid w:val="00390609"/>
    <w:rsid w:val="00390ACF"/>
    <w:rsid w:val="003930C3"/>
    <w:rsid w:val="00393427"/>
    <w:rsid w:val="00393FEF"/>
    <w:rsid w:val="00394139"/>
    <w:rsid w:val="00394AE0"/>
    <w:rsid w:val="00395B20"/>
    <w:rsid w:val="003A11C2"/>
    <w:rsid w:val="003A134B"/>
    <w:rsid w:val="003A1367"/>
    <w:rsid w:val="003A20B0"/>
    <w:rsid w:val="003A3338"/>
    <w:rsid w:val="003A752D"/>
    <w:rsid w:val="003B0795"/>
    <w:rsid w:val="003B12FB"/>
    <w:rsid w:val="003B40C6"/>
    <w:rsid w:val="003C0178"/>
    <w:rsid w:val="003C1B42"/>
    <w:rsid w:val="003C3FE1"/>
    <w:rsid w:val="003C62CB"/>
    <w:rsid w:val="003C7646"/>
    <w:rsid w:val="003D0A4B"/>
    <w:rsid w:val="003D0FCA"/>
    <w:rsid w:val="003D3122"/>
    <w:rsid w:val="003D36FD"/>
    <w:rsid w:val="003D49FC"/>
    <w:rsid w:val="003D54AC"/>
    <w:rsid w:val="003D5875"/>
    <w:rsid w:val="003D5C33"/>
    <w:rsid w:val="003E1A11"/>
    <w:rsid w:val="003E207A"/>
    <w:rsid w:val="003E3201"/>
    <w:rsid w:val="003E7CB0"/>
    <w:rsid w:val="003F52CD"/>
    <w:rsid w:val="003F5CE4"/>
    <w:rsid w:val="0040312B"/>
    <w:rsid w:val="00403F5F"/>
    <w:rsid w:val="00404BBB"/>
    <w:rsid w:val="00404E97"/>
    <w:rsid w:val="00405D1E"/>
    <w:rsid w:val="0041073A"/>
    <w:rsid w:val="004129ED"/>
    <w:rsid w:val="00413B96"/>
    <w:rsid w:val="004153D1"/>
    <w:rsid w:val="0042443A"/>
    <w:rsid w:val="00425384"/>
    <w:rsid w:val="00430F3A"/>
    <w:rsid w:val="00441196"/>
    <w:rsid w:val="00443CBC"/>
    <w:rsid w:val="00445677"/>
    <w:rsid w:val="004509B7"/>
    <w:rsid w:val="004544AD"/>
    <w:rsid w:val="00456F97"/>
    <w:rsid w:val="00457089"/>
    <w:rsid w:val="00460310"/>
    <w:rsid w:val="004618A3"/>
    <w:rsid w:val="0046389C"/>
    <w:rsid w:val="004651FB"/>
    <w:rsid w:val="00471410"/>
    <w:rsid w:val="004714CE"/>
    <w:rsid w:val="00472573"/>
    <w:rsid w:val="004744D1"/>
    <w:rsid w:val="00474A18"/>
    <w:rsid w:val="004849ED"/>
    <w:rsid w:val="004863DC"/>
    <w:rsid w:val="00486834"/>
    <w:rsid w:val="00486925"/>
    <w:rsid w:val="00487314"/>
    <w:rsid w:val="0049000A"/>
    <w:rsid w:val="00492339"/>
    <w:rsid w:val="00496389"/>
    <w:rsid w:val="00496A9E"/>
    <w:rsid w:val="004A0829"/>
    <w:rsid w:val="004A0952"/>
    <w:rsid w:val="004A18F4"/>
    <w:rsid w:val="004A3168"/>
    <w:rsid w:val="004A3C86"/>
    <w:rsid w:val="004A4A2C"/>
    <w:rsid w:val="004A58B5"/>
    <w:rsid w:val="004A5BBA"/>
    <w:rsid w:val="004A62B8"/>
    <w:rsid w:val="004A742E"/>
    <w:rsid w:val="004A7915"/>
    <w:rsid w:val="004B0B6E"/>
    <w:rsid w:val="004B0FB3"/>
    <w:rsid w:val="004B0FCE"/>
    <w:rsid w:val="004B1D55"/>
    <w:rsid w:val="004B57A6"/>
    <w:rsid w:val="004B6D23"/>
    <w:rsid w:val="004C06C0"/>
    <w:rsid w:val="004C08C6"/>
    <w:rsid w:val="004C2C33"/>
    <w:rsid w:val="004C3206"/>
    <w:rsid w:val="004D0A0E"/>
    <w:rsid w:val="004D0C4D"/>
    <w:rsid w:val="004D442B"/>
    <w:rsid w:val="004D7AAC"/>
    <w:rsid w:val="004E0A33"/>
    <w:rsid w:val="004E2BF2"/>
    <w:rsid w:val="004E3E86"/>
    <w:rsid w:val="004E41F1"/>
    <w:rsid w:val="004E5F6E"/>
    <w:rsid w:val="004E67D0"/>
    <w:rsid w:val="004E7E6A"/>
    <w:rsid w:val="004F220F"/>
    <w:rsid w:val="004F22BD"/>
    <w:rsid w:val="004F34D4"/>
    <w:rsid w:val="004F55D2"/>
    <w:rsid w:val="004F6309"/>
    <w:rsid w:val="004F7296"/>
    <w:rsid w:val="00500525"/>
    <w:rsid w:val="00501D3A"/>
    <w:rsid w:val="00502CBE"/>
    <w:rsid w:val="0051094B"/>
    <w:rsid w:val="00511F83"/>
    <w:rsid w:val="005129A3"/>
    <w:rsid w:val="00513E9E"/>
    <w:rsid w:val="005201AB"/>
    <w:rsid w:val="00520A67"/>
    <w:rsid w:val="00521787"/>
    <w:rsid w:val="005227BF"/>
    <w:rsid w:val="00523851"/>
    <w:rsid w:val="005244B2"/>
    <w:rsid w:val="00525D0C"/>
    <w:rsid w:val="00531A16"/>
    <w:rsid w:val="0053230B"/>
    <w:rsid w:val="005323E0"/>
    <w:rsid w:val="00532CFA"/>
    <w:rsid w:val="00533587"/>
    <w:rsid w:val="005346B6"/>
    <w:rsid w:val="00536DD1"/>
    <w:rsid w:val="00542C4F"/>
    <w:rsid w:val="00543CE4"/>
    <w:rsid w:val="00545C2E"/>
    <w:rsid w:val="005511B4"/>
    <w:rsid w:val="005525B5"/>
    <w:rsid w:val="00552616"/>
    <w:rsid w:val="00555026"/>
    <w:rsid w:val="0055699F"/>
    <w:rsid w:val="00557E87"/>
    <w:rsid w:val="005644FD"/>
    <w:rsid w:val="00573755"/>
    <w:rsid w:val="0058077D"/>
    <w:rsid w:val="00581319"/>
    <w:rsid w:val="00581EE7"/>
    <w:rsid w:val="00585FE7"/>
    <w:rsid w:val="00592CFD"/>
    <w:rsid w:val="00594CF8"/>
    <w:rsid w:val="00594DEA"/>
    <w:rsid w:val="00597741"/>
    <w:rsid w:val="005A0E65"/>
    <w:rsid w:val="005A1D73"/>
    <w:rsid w:val="005A28B3"/>
    <w:rsid w:val="005A56B5"/>
    <w:rsid w:val="005A6F28"/>
    <w:rsid w:val="005B1A6A"/>
    <w:rsid w:val="005B266A"/>
    <w:rsid w:val="005B2681"/>
    <w:rsid w:val="005B35FE"/>
    <w:rsid w:val="005B36AF"/>
    <w:rsid w:val="005B4907"/>
    <w:rsid w:val="005B5827"/>
    <w:rsid w:val="005B6691"/>
    <w:rsid w:val="005B76B3"/>
    <w:rsid w:val="005C0169"/>
    <w:rsid w:val="005C361B"/>
    <w:rsid w:val="005C43BC"/>
    <w:rsid w:val="005C4785"/>
    <w:rsid w:val="005C5685"/>
    <w:rsid w:val="005C7DD8"/>
    <w:rsid w:val="005D02AE"/>
    <w:rsid w:val="005D3B7F"/>
    <w:rsid w:val="005D484F"/>
    <w:rsid w:val="005D78BA"/>
    <w:rsid w:val="005E0DB5"/>
    <w:rsid w:val="005E1172"/>
    <w:rsid w:val="005E426C"/>
    <w:rsid w:val="005E4525"/>
    <w:rsid w:val="005E5C07"/>
    <w:rsid w:val="005E651B"/>
    <w:rsid w:val="005E6595"/>
    <w:rsid w:val="005E7C4C"/>
    <w:rsid w:val="005F2270"/>
    <w:rsid w:val="005F6363"/>
    <w:rsid w:val="005F6A97"/>
    <w:rsid w:val="006010B7"/>
    <w:rsid w:val="006020C0"/>
    <w:rsid w:val="00603CA2"/>
    <w:rsid w:val="00605946"/>
    <w:rsid w:val="006106BB"/>
    <w:rsid w:val="00611A03"/>
    <w:rsid w:val="00615045"/>
    <w:rsid w:val="006175E8"/>
    <w:rsid w:val="00617849"/>
    <w:rsid w:val="00620C52"/>
    <w:rsid w:val="006276CF"/>
    <w:rsid w:val="00631769"/>
    <w:rsid w:val="00632F0C"/>
    <w:rsid w:val="00634105"/>
    <w:rsid w:val="006423F0"/>
    <w:rsid w:val="00643568"/>
    <w:rsid w:val="006467E0"/>
    <w:rsid w:val="006515E3"/>
    <w:rsid w:val="00651CFD"/>
    <w:rsid w:val="00654641"/>
    <w:rsid w:val="00662E68"/>
    <w:rsid w:val="00663EA2"/>
    <w:rsid w:val="00665EDF"/>
    <w:rsid w:val="00666BFE"/>
    <w:rsid w:val="006671B4"/>
    <w:rsid w:val="00670D9B"/>
    <w:rsid w:val="006710C9"/>
    <w:rsid w:val="00671F1C"/>
    <w:rsid w:val="006721A7"/>
    <w:rsid w:val="00672648"/>
    <w:rsid w:val="00672FCF"/>
    <w:rsid w:val="006734FF"/>
    <w:rsid w:val="0067596F"/>
    <w:rsid w:val="00675FB5"/>
    <w:rsid w:val="00680908"/>
    <w:rsid w:val="006825A4"/>
    <w:rsid w:val="006832AC"/>
    <w:rsid w:val="0068676B"/>
    <w:rsid w:val="006943D3"/>
    <w:rsid w:val="006956F2"/>
    <w:rsid w:val="00695D35"/>
    <w:rsid w:val="00695DBE"/>
    <w:rsid w:val="006A3134"/>
    <w:rsid w:val="006A3C03"/>
    <w:rsid w:val="006A6B36"/>
    <w:rsid w:val="006A7708"/>
    <w:rsid w:val="006B1B9D"/>
    <w:rsid w:val="006B1C53"/>
    <w:rsid w:val="006B4D78"/>
    <w:rsid w:val="006B7E63"/>
    <w:rsid w:val="006C306E"/>
    <w:rsid w:val="006C331E"/>
    <w:rsid w:val="006C62E5"/>
    <w:rsid w:val="006C66D0"/>
    <w:rsid w:val="006D3272"/>
    <w:rsid w:val="006D3A51"/>
    <w:rsid w:val="006D58A9"/>
    <w:rsid w:val="006D76F7"/>
    <w:rsid w:val="006E0F5F"/>
    <w:rsid w:val="006E1A81"/>
    <w:rsid w:val="006E1C89"/>
    <w:rsid w:val="006E2DDE"/>
    <w:rsid w:val="006E3051"/>
    <w:rsid w:val="006F4C95"/>
    <w:rsid w:val="006F5677"/>
    <w:rsid w:val="00701AB8"/>
    <w:rsid w:val="0070328C"/>
    <w:rsid w:val="0070389C"/>
    <w:rsid w:val="00705C67"/>
    <w:rsid w:val="00713824"/>
    <w:rsid w:val="007146FC"/>
    <w:rsid w:val="0071476F"/>
    <w:rsid w:val="00716B43"/>
    <w:rsid w:val="007212B1"/>
    <w:rsid w:val="00721E9C"/>
    <w:rsid w:val="007227C1"/>
    <w:rsid w:val="00725562"/>
    <w:rsid w:val="00727D92"/>
    <w:rsid w:val="0073744A"/>
    <w:rsid w:val="00742D4E"/>
    <w:rsid w:val="0074599C"/>
    <w:rsid w:val="00752BA7"/>
    <w:rsid w:val="007535CB"/>
    <w:rsid w:val="00753C8F"/>
    <w:rsid w:val="007561ED"/>
    <w:rsid w:val="00756B6D"/>
    <w:rsid w:val="007572BA"/>
    <w:rsid w:val="00757EE7"/>
    <w:rsid w:val="00760B2D"/>
    <w:rsid w:val="00761A99"/>
    <w:rsid w:val="00764F56"/>
    <w:rsid w:val="00765CB0"/>
    <w:rsid w:val="00775BD9"/>
    <w:rsid w:val="00780966"/>
    <w:rsid w:val="00785777"/>
    <w:rsid w:val="007863F3"/>
    <w:rsid w:val="00787341"/>
    <w:rsid w:val="007912F6"/>
    <w:rsid w:val="00793C82"/>
    <w:rsid w:val="0079404E"/>
    <w:rsid w:val="007942F6"/>
    <w:rsid w:val="00794EEA"/>
    <w:rsid w:val="00795D11"/>
    <w:rsid w:val="007A244C"/>
    <w:rsid w:val="007A25E1"/>
    <w:rsid w:val="007A4B1F"/>
    <w:rsid w:val="007A7D9C"/>
    <w:rsid w:val="007B0E7E"/>
    <w:rsid w:val="007B37CA"/>
    <w:rsid w:val="007B3E62"/>
    <w:rsid w:val="007B4F63"/>
    <w:rsid w:val="007B716B"/>
    <w:rsid w:val="007B759C"/>
    <w:rsid w:val="007C45A4"/>
    <w:rsid w:val="007C4795"/>
    <w:rsid w:val="007C5D41"/>
    <w:rsid w:val="007C6DDA"/>
    <w:rsid w:val="007D1B69"/>
    <w:rsid w:val="007D3710"/>
    <w:rsid w:val="007D47E8"/>
    <w:rsid w:val="007D5B31"/>
    <w:rsid w:val="007E4A47"/>
    <w:rsid w:val="007E7DB4"/>
    <w:rsid w:val="007F107B"/>
    <w:rsid w:val="007F3294"/>
    <w:rsid w:val="007F35C2"/>
    <w:rsid w:val="007F3DCB"/>
    <w:rsid w:val="007F481E"/>
    <w:rsid w:val="007F5FB7"/>
    <w:rsid w:val="007F79D0"/>
    <w:rsid w:val="008006BD"/>
    <w:rsid w:val="00800DA8"/>
    <w:rsid w:val="00804617"/>
    <w:rsid w:val="0080619E"/>
    <w:rsid w:val="008064B3"/>
    <w:rsid w:val="00806C37"/>
    <w:rsid w:val="00806D63"/>
    <w:rsid w:val="008073CE"/>
    <w:rsid w:val="008106BB"/>
    <w:rsid w:val="008126E2"/>
    <w:rsid w:val="00815D64"/>
    <w:rsid w:val="00820A89"/>
    <w:rsid w:val="008224E4"/>
    <w:rsid w:val="00823C1A"/>
    <w:rsid w:val="00825B74"/>
    <w:rsid w:val="00825C0C"/>
    <w:rsid w:val="00827D03"/>
    <w:rsid w:val="008340AA"/>
    <w:rsid w:val="008408B7"/>
    <w:rsid w:val="00841A0D"/>
    <w:rsid w:val="008447E9"/>
    <w:rsid w:val="00845753"/>
    <w:rsid w:val="0084754D"/>
    <w:rsid w:val="00853F81"/>
    <w:rsid w:val="00856A58"/>
    <w:rsid w:val="00856FD6"/>
    <w:rsid w:val="00857C47"/>
    <w:rsid w:val="008606AB"/>
    <w:rsid w:val="00860C4A"/>
    <w:rsid w:val="008613CD"/>
    <w:rsid w:val="008639CA"/>
    <w:rsid w:val="008642ED"/>
    <w:rsid w:val="00864ECA"/>
    <w:rsid w:val="00864F98"/>
    <w:rsid w:val="008703CB"/>
    <w:rsid w:val="00871AC0"/>
    <w:rsid w:val="008726D2"/>
    <w:rsid w:val="00873664"/>
    <w:rsid w:val="008743B0"/>
    <w:rsid w:val="00876AB5"/>
    <w:rsid w:val="00876FEE"/>
    <w:rsid w:val="00877D06"/>
    <w:rsid w:val="00881740"/>
    <w:rsid w:val="00882C01"/>
    <w:rsid w:val="0088515A"/>
    <w:rsid w:val="00885AC5"/>
    <w:rsid w:val="00887164"/>
    <w:rsid w:val="00891AE6"/>
    <w:rsid w:val="00892D51"/>
    <w:rsid w:val="00892FC4"/>
    <w:rsid w:val="008A113C"/>
    <w:rsid w:val="008A1C9E"/>
    <w:rsid w:val="008A1F8B"/>
    <w:rsid w:val="008A379C"/>
    <w:rsid w:val="008A4CE3"/>
    <w:rsid w:val="008A6B9E"/>
    <w:rsid w:val="008A789A"/>
    <w:rsid w:val="008A7B63"/>
    <w:rsid w:val="008B015F"/>
    <w:rsid w:val="008B419B"/>
    <w:rsid w:val="008B66B5"/>
    <w:rsid w:val="008B71AE"/>
    <w:rsid w:val="008C3E6A"/>
    <w:rsid w:val="008C599A"/>
    <w:rsid w:val="008D0BBC"/>
    <w:rsid w:val="008D0DA3"/>
    <w:rsid w:val="008D220D"/>
    <w:rsid w:val="008D318E"/>
    <w:rsid w:val="008D6AE8"/>
    <w:rsid w:val="008D71E9"/>
    <w:rsid w:val="008D73D0"/>
    <w:rsid w:val="008E0228"/>
    <w:rsid w:val="008E4C2C"/>
    <w:rsid w:val="008E7892"/>
    <w:rsid w:val="008F0781"/>
    <w:rsid w:val="008F2676"/>
    <w:rsid w:val="008F4F1F"/>
    <w:rsid w:val="008F5F56"/>
    <w:rsid w:val="008F6903"/>
    <w:rsid w:val="00902794"/>
    <w:rsid w:val="009027E3"/>
    <w:rsid w:val="00902E47"/>
    <w:rsid w:val="009046C7"/>
    <w:rsid w:val="00907148"/>
    <w:rsid w:val="00911DED"/>
    <w:rsid w:val="00912473"/>
    <w:rsid w:val="009126FD"/>
    <w:rsid w:val="00915138"/>
    <w:rsid w:val="00922520"/>
    <w:rsid w:val="0092318D"/>
    <w:rsid w:val="00924970"/>
    <w:rsid w:val="00926593"/>
    <w:rsid w:val="0093286E"/>
    <w:rsid w:val="00933E3B"/>
    <w:rsid w:val="009361B2"/>
    <w:rsid w:val="009365C9"/>
    <w:rsid w:val="0094124B"/>
    <w:rsid w:val="009419C5"/>
    <w:rsid w:val="00944345"/>
    <w:rsid w:val="00954121"/>
    <w:rsid w:val="00954FB2"/>
    <w:rsid w:val="00956CFD"/>
    <w:rsid w:val="009614D5"/>
    <w:rsid w:val="00962EA7"/>
    <w:rsid w:val="00965CF0"/>
    <w:rsid w:val="009757A9"/>
    <w:rsid w:val="0097685A"/>
    <w:rsid w:val="00977842"/>
    <w:rsid w:val="009816D6"/>
    <w:rsid w:val="00982018"/>
    <w:rsid w:val="00983339"/>
    <w:rsid w:val="00984383"/>
    <w:rsid w:val="00984AB4"/>
    <w:rsid w:val="0098747C"/>
    <w:rsid w:val="00993058"/>
    <w:rsid w:val="00993F77"/>
    <w:rsid w:val="0099479E"/>
    <w:rsid w:val="009A1346"/>
    <w:rsid w:val="009A1465"/>
    <w:rsid w:val="009A4AFC"/>
    <w:rsid w:val="009A4E43"/>
    <w:rsid w:val="009B143E"/>
    <w:rsid w:val="009B1F6C"/>
    <w:rsid w:val="009B7607"/>
    <w:rsid w:val="009C0143"/>
    <w:rsid w:val="009C034B"/>
    <w:rsid w:val="009C194B"/>
    <w:rsid w:val="009C1A54"/>
    <w:rsid w:val="009C1BC1"/>
    <w:rsid w:val="009C7B8C"/>
    <w:rsid w:val="009D0A6F"/>
    <w:rsid w:val="009D1C49"/>
    <w:rsid w:val="009D2AA7"/>
    <w:rsid w:val="009D43F3"/>
    <w:rsid w:val="009D4A12"/>
    <w:rsid w:val="009D56BD"/>
    <w:rsid w:val="009D76DE"/>
    <w:rsid w:val="009E1FA8"/>
    <w:rsid w:val="009E306F"/>
    <w:rsid w:val="009E3E80"/>
    <w:rsid w:val="009E4370"/>
    <w:rsid w:val="009E565F"/>
    <w:rsid w:val="009E5FB3"/>
    <w:rsid w:val="009F39F6"/>
    <w:rsid w:val="009F423C"/>
    <w:rsid w:val="009F4407"/>
    <w:rsid w:val="009F7C59"/>
    <w:rsid w:val="00A02195"/>
    <w:rsid w:val="00A0227E"/>
    <w:rsid w:val="00A0556C"/>
    <w:rsid w:val="00A05AB5"/>
    <w:rsid w:val="00A12978"/>
    <w:rsid w:val="00A16CBB"/>
    <w:rsid w:val="00A17193"/>
    <w:rsid w:val="00A174CD"/>
    <w:rsid w:val="00A17EAD"/>
    <w:rsid w:val="00A215ED"/>
    <w:rsid w:val="00A24AB4"/>
    <w:rsid w:val="00A255AF"/>
    <w:rsid w:val="00A26F9F"/>
    <w:rsid w:val="00A31C3A"/>
    <w:rsid w:val="00A32013"/>
    <w:rsid w:val="00A32EDF"/>
    <w:rsid w:val="00A3462E"/>
    <w:rsid w:val="00A35BD7"/>
    <w:rsid w:val="00A37C45"/>
    <w:rsid w:val="00A42FD7"/>
    <w:rsid w:val="00A45948"/>
    <w:rsid w:val="00A4606C"/>
    <w:rsid w:val="00A471E8"/>
    <w:rsid w:val="00A47B28"/>
    <w:rsid w:val="00A509DA"/>
    <w:rsid w:val="00A536F4"/>
    <w:rsid w:val="00A5559A"/>
    <w:rsid w:val="00A621C9"/>
    <w:rsid w:val="00A622C1"/>
    <w:rsid w:val="00A631CD"/>
    <w:rsid w:val="00A633F6"/>
    <w:rsid w:val="00A653D8"/>
    <w:rsid w:val="00A71D9B"/>
    <w:rsid w:val="00A71F37"/>
    <w:rsid w:val="00A72505"/>
    <w:rsid w:val="00A755DF"/>
    <w:rsid w:val="00A7672B"/>
    <w:rsid w:val="00A76A8F"/>
    <w:rsid w:val="00A804B8"/>
    <w:rsid w:val="00A80AD8"/>
    <w:rsid w:val="00A82F75"/>
    <w:rsid w:val="00A843E1"/>
    <w:rsid w:val="00A87543"/>
    <w:rsid w:val="00A87C4E"/>
    <w:rsid w:val="00A90BF1"/>
    <w:rsid w:val="00A92258"/>
    <w:rsid w:val="00A9249A"/>
    <w:rsid w:val="00A92AB0"/>
    <w:rsid w:val="00A93038"/>
    <w:rsid w:val="00A930F4"/>
    <w:rsid w:val="00A945D1"/>
    <w:rsid w:val="00A94BCA"/>
    <w:rsid w:val="00A95CB6"/>
    <w:rsid w:val="00AA36DC"/>
    <w:rsid w:val="00AA5B9A"/>
    <w:rsid w:val="00AB1539"/>
    <w:rsid w:val="00AB31A2"/>
    <w:rsid w:val="00AC150B"/>
    <w:rsid w:val="00AC2834"/>
    <w:rsid w:val="00AC2CFC"/>
    <w:rsid w:val="00AC41A4"/>
    <w:rsid w:val="00AD193C"/>
    <w:rsid w:val="00AD3DCE"/>
    <w:rsid w:val="00AD49B8"/>
    <w:rsid w:val="00AE514C"/>
    <w:rsid w:val="00AE6902"/>
    <w:rsid w:val="00AF03AE"/>
    <w:rsid w:val="00AF352D"/>
    <w:rsid w:val="00AF467F"/>
    <w:rsid w:val="00B02F7E"/>
    <w:rsid w:val="00B03935"/>
    <w:rsid w:val="00B047CC"/>
    <w:rsid w:val="00B0524B"/>
    <w:rsid w:val="00B068B0"/>
    <w:rsid w:val="00B0694A"/>
    <w:rsid w:val="00B103CE"/>
    <w:rsid w:val="00B14691"/>
    <w:rsid w:val="00B14961"/>
    <w:rsid w:val="00B16370"/>
    <w:rsid w:val="00B165EB"/>
    <w:rsid w:val="00B2221A"/>
    <w:rsid w:val="00B23CA0"/>
    <w:rsid w:val="00B23CE1"/>
    <w:rsid w:val="00B24621"/>
    <w:rsid w:val="00B31A1C"/>
    <w:rsid w:val="00B33E68"/>
    <w:rsid w:val="00B34102"/>
    <w:rsid w:val="00B408D0"/>
    <w:rsid w:val="00B43AD7"/>
    <w:rsid w:val="00B512EE"/>
    <w:rsid w:val="00B522B0"/>
    <w:rsid w:val="00B52679"/>
    <w:rsid w:val="00B53886"/>
    <w:rsid w:val="00B552DF"/>
    <w:rsid w:val="00B55481"/>
    <w:rsid w:val="00B55900"/>
    <w:rsid w:val="00B567BA"/>
    <w:rsid w:val="00B568CE"/>
    <w:rsid w:val="00B61464"/>
    <w:rsid w:val="00B629DF"/>
    <w:rsid w:val="00B676B3"/>
    <w:rsid w:val="00B706B1"/>
    <w:rsid w:val="00B707B2"/>
    <w:rsid w:val="00B713A8"/>
    <w:rsid w:val="00B71605"/>
    <w:rsid w:val="00B722D0"/>
    <w:rsid w:val="00B74EFE"/>
    <w:rsid w:val="00B76288"/>
    <w:rsid w:val="00B76736"/>
    <w:rsid w:val="00B769F2"/>
    <w:rsid w:val="00B76B25"/>
    <w:rsid w:val="00B77A65"/>
    <w:rsid w:val="00B77DC7"/>
    <w:rsid w:val="00B805CD"/>
    <w:rsid w:val="00B84747"/>
    <w:rsid w:val="00B85488"/>
    <w:rsid w:val="00B87F06"/>
    <w:rsid w:val="00B94263"/>
    <w:rsid w:val="00B95A0E"/>
    <w:rsid w:val="00B96223"/>
    <w:rsid w:val="00B973FA"/>
    <w:rsid w:val="00B97738"/>
    <w:rsid w:val="00BA33C3"/>
    <w:rsid w:val="00BA3968"/>
    <w:rsid w:val="00BA4C67"/>
    <w:rsid w:val="00BA5732"/>
    <w:rsid w:val="00BA59D8"/>
    <w:rsid w:val="00BA6256"/>
    <w:rsid w:val="00BB0B3D"/>
    <w:rsid w:val="00BB37C8"/>
    <w:rsid w:val="00BB44B3"/>
    <w:rsid w:val="00BB704D"/>
    <w:rsid w:val="00BC186D"/>
    <w:rsid w:val="00BC1F18"/>
    <w:rsid w:val="00BC2C89"/>
    <w:rsid w:val="00BC3FB7"/>
    <w:rsid w:val="00BC4C4D"/>
    <w:rsid w:val="00BD248A"/>
    <w:rsid w:val="00BD294B"/>
    <w:rsid w:val="00BD3A95"/>
    <w:rsid w:val="00BD5A42"/>
    <w:rsid w:val="00BD7206"/>
    <w:rsid w:val="00BD7550"/>
    <w:rsid w:val="00BE15A1"/>
    <w:rsid w:val="00BE42E0"/>
    <w:rsid w:val="00BF3C9E"/>
    <w:rsid w:val="00BF4A7F"/>
    <w:rsid w:val="00BF4BAF"/>
    <w:rsid w:val="00BF4E0B"/>
    <w:rsid w:val="00BF51AD"/>
    <w:rsid w:val="00BF6AF4"/>
    <w:rsid w:val="00C02E9F"/>
    <w:rsid w:val="00C0682E"/>
    <w:rsid w:val="00C0725A"/>
    <w:rsid w:val="00C14B87"/>
    <w:rsid w:val="00C14DC2"/>
    <w:rsid w:val="00C15008"/>
    <w:rsid w:val="00C1741B"/>
    <w:rsid w:val="00C21475"/>
    <w:rsid w:val="00C21A7E"/>
    <w:rsid w:val="00C23912"/>
    <w:rsid w:val="00C248D1"/>
    <w:rsid w:val="00C24966"/>
    <w:rsid w:val="00C277ED"/>
    <w:rsid w:val="00C305C3"/>
    <w:rsid w:val="00C3314A"/>
    <w:rsid w:val="00C3526F"/>
    <w:rsid w:val="00C35993"/>
    <w:rsid w:val="00C36191"/>
    <w:rsid w:val="00C3709E"/>
    <w:rsid w:val="00C40750"/>
    <w:rsid w:val="00C40F35"/>
    <w:rsid w:val="00C411C4"/>
    <w:rsid w:val="00C41FA3"/>
    <w:rsid w:val="00C43700"/>
    <w:rsid w:val="00C4421F"/>
    <w:rsid w:val="00C51633"/>
    <w:rsid w:val="00C524CB"/>
    <w:rsid w:val="00C532CF"/>
    <w:rsid w:val="00C53869"/>
    <w:rsid w:val="00C54B92"/>
    <w:rsid w:val="00C568CA"/>
    <w:rsid w:val="00C56923"/>
    <w:rsid w:val="00C638C7"/>
    <w:rsid w:val="00C65626"/>
    <w:rsid w:val="00C700F4"/>
    <w:rsid w:val="00C703A9"/>
    <w:rsid w:val="00C737CB"/>
    <w:rsid w:val="00C748ED"/>
    <w:rsid w:val="00C764F0"/>
    <w:rsid w:val="00C86A07"/>
    <w:rsid w:val="00C90166"/>
    <w:rsid w:val="00C90191"/>
    <w:rsid w:val="00C916C9"/>
    <w:rsid w:val="00C928D9"/>
    <w:rsid w:val="00C92D40"/>
    <w:rsid w:val="00C94470"/>
    <w:rsid w:val="00C969DD"/>
    <w:rsid w:val="00CA074B"/>
    <w:rsid w:val="00CA3BBF"/>
    <w:rsid w:val="00CA794A"/>
    <w:rsid w:val="00CB0899"/>
    <w:rsid w:val="00CB3224"/>
    <w:rsid w:val="00CB3237"/>
    <w:rsid w:val="00CB44DC"/>
    <w:rsid w:val="00CB60D9"/>
    <w:rsid w:val="00CC1463"/>
    <w:rsid w:val="00CC212C"/>
    <w:rsid w:val="00CC27AA"/>
    <w:rsid w:val="00CD444E"/>
    <w:rsid w:val="00CD4798"/>
    <w:rsid w:val="00CD68A2"/>
    <w:rsid w:val="00CE002E"/>
    <w:rsid w:val="00CE243D"/>
    <w:rsid w:val="00CE373B"/>
    <w:rsid w:val="00CE4B78"/>
    <w:rsid w:val="00CE5334"/>
    <w:rsid w:val="00CF0557"/>
    <w:rsid w:val="00CF16D4"/>
    <w:rsid w:val="00CF4B75"/>
    <w:rsid w:val="00CF5BBA"/>
    <w:rsid w:val="00CF6DD4"/>
    <w:rsid w:val="00CF7F64"/>
    <w:rsid w:val="00D00F1D"/>
    <w:rsid w:val="00D02186"/>
    <w:rsid w:val="00D05431"/>
    <w:rsid w:val="00D06E45"/>
    <w:rsid w:val="00D07442"/>
    <w:rsid w:val="00D0762F"/>
    <w:rsid w:val="00D07858"/>
    <w:rsid w:val="00D136A0"/>
    <w:rsid w:val="00D159DE"/>
    <w:rsid w:val="00D20F89"/>
    <w:rsid w:val="00D245C0"/>
    <w:rsid w:val="00D248FD"/>
    <w:rsid w:val="00D26C81"/>
    <w:rsid w:val="00D34497"/>
    <w:rsid w:val="00D36D1A"/>
    <w:rsid w:val="00D406FD"/>
    <w:rsid w:val="00D42000"/>
    <w:rsid w:val="00D43444"/>
    <w:rsid w:val="00D446B3"/>
    <w:rsid w:val="00D449C1"/>
    <w:rsid w:val="00D4597F"/>
    <w:rsid w:val="00D4645E"/>
    <w:rsid w:val="00D46663"/>
    <w:rsid w:val="00D46E79"/>
    <w:rsid w:val="00D50422"/>
    <w:rsid w:val="00D508C3"/>
    <w:rsid w:val="00D5746A"/>
    <w:rsid w:val="00D57EAD"/>
    <w:rsid w:val="00D60958"/>
    <w:rsid w:val="00D6205F"/>
    <w:rsid w:val="00D62B9C"/>
    <w:rsid w:val="00D64D68"/>
    <w:rsid w:val="00D656A5"/>
    <w:rsid w:val="00D70DE3"/>
    <w:rsid w:val="00D72CD9"/>
    <w:rsid w:val="00D734E2"/>
    <w:rsid w:val="00D740B8"/>
    <w:rsid w:val="00D75EF0"/>
    <w:rsid w:val="00D76809"/>
    <w:rsid w:val="00D76A23"/>
    <w:rsid w:val="00D81FA1"/>
    <w:rsid w:val="00D825DD"/>
    <w:rsid w:val="00D82B99"/>
    <w:rsid w:val="00D85DC0"/>
    <w:rsid w:val="00D873C1"/>
    <w:rsid w:val="00D87B9A"/>
    <w:rsid w:val="00D91B18"/>
    <w:rsid w:val="00D9508C"/>
    <w:rsid w:val="00DA0E14"/>
    <w:rsid w:val="00DA1090"/>
    <w:rsid w:val="00DA24A2"/>
    <w:rsid w:val="00DA2994"/>
    <w:rsid w:val="00DA47E2"/>
    <w:rsid w:val="00DA682F"/>
    <w:rsid w:val="00DB1204"/>
    <w:rsid w:val="00DB2BE1"/>
    <w:rsid w:val="00DB2F85"/>
    <w:rsid w:val="00DB3127"/>
    <w:rsid w:val="00DB51FA"/>
    <w:rsid w:val="00DB5E7D"/>
    <w:rsid w:val="00DC05DC"/>
    <w:rsid w:val="00DC2A2F"/>
    <w:rsid w:val="00DC4922"/>
    <w:rsid w:val="00DC553D"/>
    <w:rsid w:val="00DC6142"/>
    <w:rsid w:val="00DC65A9"/>
    <w:rsid w:val="00DD0AAA"/>
    <w:rsid w:val="00DD1D82"/>
    <w:rsid w:val="00DD4484"/>
    <w:rsid w:val="00DD6EDE"/>
    <w:rsid w:val="00DE041D"/>
    <w:rsid w:val="00DE0873"/>
    <w:rsid w:val="00DE0901"/>
    <w:rsid w:val="00DE306F"/>
    <w:rsid w:val="00DE3384"/>
    <w:rsid w:val="00DE3C24"/>
    <w:rsid w:val="00DE4617"/>
    <w:rsid w:val="00DE46B0"/>
    <w:rsid w:val="00DE7959"/>
    <w:rsid w:val="00DF2FC9"/>
    <w:rsid w:val="00E03FA1"/>
    <w:rsid w:val="00E040E7"/>
    <w:rsid w:val="00E0700E"/>
    <w:rsid w:val="00E114F3"/>
    <w:rsid w:val="00E12E35"/>
    <w:rsid w:val="00E13370"/>
    <w:rsid w:val="00E14EBE"/>
    <w:rsid w:val="00E21BC2"/>
    <w:rsid w:val="00E232A6"/>
    <w:rsid w:val="00E25C0C"/>
    <w:rsid w:val="00E2624F"/>
    <w:rsid w:val="00E262F3"/>
    <w:rsid w:val="00E2736B"/>
    <w:rsid w:val="00E33540"/>
    <w:rsid w:val="00E339D0"/>
    <w:rsid w:val="00E34291"/>
    <w:rsid w:val="00E34E64"/>
    <w:rsid w:val="00E35426"/>
    <w:rsid w:val="00E373CF"/>
    <w:rsid w:val="00E418BA"/>
    <w:rsid w:val="00E420AD"/>
    <w:rsid w:val="00E44051"/>
    <w:rsid w:val="00E46BA5"/>
    <w:rsid w:val="00E472D4"/>
    <w:rsid w:val="00E47A0A"/>
    <w:rsid w:val="00E5460F"/>
    <w:rsid w:val="00E55040"/>
    <w:rsid w:val="00E57987"/>
    <w:rsid w:val="00E619E8"/>
    <w:rsid w:val="00E72306"/>
    <w:rsid w:val="00E7399B"/>
    <w:rsid w:val="00E739E8"/>
    <w:rsid w:val="00E74500"/>
    <w:rsid w:val="00E76AA5"/>
    <w:rsid w:val="00E810A4"/>
    <w:rsid w:val="00E8156F"/>
    <w:rsid w:val="00E83C2F"/>
    <w:rsid w:val="00E84823"/>
    <w:rsid w:val="00E86D65"/>
    <w:rsid w:val="00E930D2"/>
    <w:rsid w:val="00E93EC2"/>
    <w:rsid w:val="00E971EC"/>
    <w:rsid w:val="00EA0BF8"/>
    <w:rsid w:val="00EA10B1"/>
    <w:rsid w:val="00EA4672"/>
    <w:rsid w:val="00EB181C"/>
    <w:rsid w:val="00EB334E"/>
    <w:rsid w:val="00EB4637"/>
    <w:rsid w:val="00EB5A36"/>
    <w:rsid w:val="00EB5B9E"/>
    <w:rsid w:val="00EC0B2D"/>
    <w:rsid w:val="00EC1398"/>
    <w:rsid w:val="00EC31D7"/>
    <w:rsid w:val="00EC38AF"/>
    <w:rsid w:val="00EC4ABE"/>
    <w:rsid w:val="00EC5126"/>
    <w:rsid w:val="00EC5CB0"/>
    <w:rsid w:val="00EC6260"/>
    <w:rsid w:val="00EC671B"/>
    <w:rsid w:val="00ED1CAA"/>
    <w:rsid w:val="00ED316E"/>
    <w:rsid w:val="00ED4E93"/>
    <w:rsid w:val="00EE0982"/>
    <w:rsid w:val="00EE2C55"/>
    <w:rsid w:val="00EE41EC"/>
    <w:rsid w:val="00EE72D7"/>
    <w:rsid w:val="00EE7608"/>
    <w:rsid w:val="00EF02B2"/>
    <w:rsid w:val="00EF0863"/>
    <w:rsid w:val="00EF0D3A"/>
    <w:rsid w:val="00EF3173"/>
    <w:rsid w:val="00EF3514"/>
    <w:rsid w:val="00EF5E19"/>
    <w:rsid w:val="00F0085B"/>
    <w:rsid w:val="00F03DD7"/>
    <w:rsid w:val="00F0497A"/>
    <w:rsid w:val="00F04F6C"/>
    <w:rsid w:val="00F050C0"/>
    <w:rsid w:val="00F05C8E"/>
    <w:rsid w:val="00F07D3B"/>
    <w:rsid w:val="00F109EB"/>
    <w:rsid w:val="00F1153B"/>
    <w:rsid w:val="00F12D64"/>
    <w:rsid w:val="00F13925"/>
    <w:rsid w:val="00F15314"/>
    <w:rsid w:val="00F1667E"/>
    <w:rsid w:val="00F17ACE"/>
    <w:rsid w:val="00F17DB8"/>
    <w:rsid w:val="00F2302E"/>
    <w:rsid w:val="00F26A2D"/>
    <w:rsid w:val="00F27A79"/>
    <w:rsid w:val="00F30D08"/>
    <w:rsid w:val="00F32954"/>
    <w:rsid w:val="00F350A5"/>
    <w:rsid w:val="00F360F5"/>
    <w:rsid w:val="00F40946"/>
    <w:rsid w:val="00F41086"/>
    <w:rsid w:val="00F42D1D"/>
    <w:rsid w:val="00F44691"/>
    <w:rsid w:val="00F45561"/>
    <w:rsid w:val="00F45FA0"/>
    <w:rsid w:val="00F46777"/>
    <w:rsid w:val="00F47073"/>
    <w:rsid w:val="00F471EF"/>
    <w:rsid w:val="00F50AB4"/>
    <w:rsid w:val="00F50C98"/>
    <w:rsid w:val="00F5221D"/>
    <w:rsid w:val="00F5545D"/>
    <w:rsid w:val="00F60E58"/>
    <w:rsid w:val="00F62A66"/>
    <w:rsid w:val="00F63909"/>
    <w:rsid w:val="00F6491B"/>
    <w:rsid w:val="00F65F2F"/>
    <w:rsid w:val="00F66BE7"/>
    <w:rsid w:val="00F71C94"/>
    <w:rsid w:val="00F72D18"/>
    <w:rsid w:val="00F733E0"/>
    <w:rsid w:val="00F73806"/>
    <w:rsid w:val="00F73C0B"/>
    <w:rsid w:val="00F75FDA"/>
    <w:rsid w:val="00F77220"/>
    <w:rsid w:val="00F778C9"/>
    <w:rsid w:val="00F828EB"/>
    <w:rsid w:val="00F83B83"/>
    <w:rsid w:val="00F856E9"/>
    <w:rsid w:val="00F91EBC"/>
    <w:rsid w:val="00F92C8D"/>
    <w:rsid w:val="00F9691B"/>
    <w:rsid w:val="00F96CC1"/>
    <w:rsid w:val="00FA3008"/>
    <w:rsid w:val="00FA5FE3"/>
    <w:rsid w:val="00FA6077"/>
    <w:rsid w:val="00FA77E7"/>
    <w:rsid w:val="00FB2C55"/>
    <w:rsid w:val="00FB3621"/>
    <w:rsid w:val="00FB3A31"/>
    <w:rsid w:val="00FB52A2"/>
    <w:rsid w:val="00FB63B4"/>
    <w:rsid w:val="00FC09A0"/>
    <w:rsid w:val="00FC325D"/>
    <w:rsid w:val="00FC339E"/>
    <w:rsid w:val="00FC35EA"/>
    <w:rsid w:val="00FC4327"/>
    <w:rsid w:val="00FC49FB"/>
    <w:rsid w:val="00FD049F"/>
    <w:rsid w:val="00FE1673"/>
    <w:rsid w:val="00FE27A4"/>
    <w:rsid w:val="00FE2ACA"/>
    <w:rsid w:val="00FE2C3C"/>
    <w:rsid w:val="00FE315B"/>
    <w:rsid w:val="00FE7EA3"/>
    <w:rsid w:val="00FF0746"/>
    <w:rsid w:val="00FF2660"/>
    <w:rsid w:val="00FF383E"/>
    <w:rsid w:val="00FF43F5"/>
    <w:rsid w:val="00FF6026"/>
    <w:rsid w:val="040168D1"/>
    <w:rsid w:val="09B4687D"/>
    <w:rsid w:val="0FB33569"/>
    <w:rsid w:val="1099E001"/>
    <w:rsid w:val="11B3E1E0"/>
    <w:rsid w:val="170A9DD2"/>
    <w:rsid w:val="18D05918"/>
    <w:rsid w:val="1905675E"/>
    <w:rsid w:val="190B926E"/>
    <w:rsid w:val="19434C61"/>
    <w:rsid w:val="1958ACBD"/>
    <w:rsid w:val="1B530A6C"/>
    <w:rsid w:val="1FBEEBC9"/>
    <w:rsid w:val="20353CAB"/>
    <w:rsid w:val="225DAA7E"/>
    <w:rsid w:val="23494677"/>
    <w:rsid w:val="250ACB92"/>
    <w:rsid w:val="288727C2"/>
    <w:rsid w:val="288A6108"/>
    <w:rsid w:val="28D78DA6"/>
    <w:rsid w:val="2A1FD4BE"/>
    <w:rsid w:val="2F7BCE35"/>
    <w:rsid w:val="3420AE3F"/>
    <w:rsid w:val="36E7BB56"/>
    <w:rsid w:val="3C0DD26A"/>
    <w:rsid w:val="3F0EE72D"/>
    <w:rsid w:val="4216D795"/>
    <w:rsid w:val="4495982A"/>
    <w:rsid w:val="44B77564"/>
    <w:rsid w:val="45ADF715"/>
    <w:rsid w:val="45C20331"/>
    <w:rsid w:val="4C1BA502"/>
    <w:rsid w:val="4FC59EDC"/>
    <w:rsid w:val="503DE061"/>
    <w:rsid w:val="512B8816"/>
    <w:rsid w:val="527FA7DA"/>
    <w:rsid w:val="528FE949"/>
    <w:rsid w:val="530BB453"/>
    <w:rsid w:val="54A2C95F"/>
    <w:rsid w:val="57106895"/>
    <w:rsid w:val="5937C0E4"/>
    <w:rsid w:val="594088A9"/>
    <w:rsid w:val="5C451C5F"/>
    <w:rsid w:val="5E245202"/>
    <w:rsid w:val="5FA26A9F"/>
    <w:rsid w:val="60BDE520"/>
    <w:rsid w:val="633686B6"/>
    <w:rsid w:val="695413D3"/>
    <w:rsid w:val="712C0A6D"/>
    <w:rsid w:val="71E6E887"/>
    <w:rsid w:val="73C7185F"/>
    <w:rsid w:val="75FC7447"/>
    <w:rsid w:val="770D5D1D"/>
    <w:rsid w:val="7948EFE4"/>
    <w:rsid w:val="795C0AA5"/>
    <w:rsid w:val="7B5AC040"/>
    <w:rsid w:val="7D25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77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F3"/>
    <w:pPr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evel2">
    <w:name w:val="Title level 2"/>
    <w:qFormat/>
    <w:rsid w:val="00E114F3"/>
    <w:pPr>
      <w:spacing w:before="240" w:after="240" w:line="240" w:lineRule="auto"/>
    </w:pPr>
    <w:rPr>
      <w:rFonts w:asciiTheme="majorHAnsi" w:eastAsiaTheme="majorEastAsia" w:hAnsiTheme="majorHAnsi" w:cstheme="majorBidi"/>
      <w:bCs/>
      <w:color w:val="44546A" w:themeColor="text2"/>
      <w:sz w:val="32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3D3122"/>
    <w:pPr>
      <w:spacing w:before="80" w:line="200" w:lineRule="exact"/>
      <w:ind w:left="567" w:hanging="567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D3122"/>
    <w:rPr>
      <w:rFonts w:eastAsiaTheme="minorEastAsia"/>
      <w:sz w:val="18"/>
      <w:szCs w:val="18"/>
      <w:lang w:val="pl-PL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E114F3"/>
    <w:rPr>
      <w:rFonts w:asciiTheme="minorHAnsi" w:hAnsiTheme="minorHAnsi"/>
      <w:sz w:val="22"/>
      <w:szCs w:val="18"/>
      <w:vertAlign w:val="superscript"/>
    </w:rPr>
  </w:style>
  <w:style w:type="character" w:styleId="Hyperlink">
    <w:name w:val="Hyperlink"/>
    <w:basedOn w:val="DefaultParagraphFont"/>
    <w:uiPriority w:val="99"/>
    <w:rsid w:val="00E114F3"/>
    <w:rPr>
      <w:color w:val="0563C1" w:themeColor="hyperlink"/>
      <w:u w:val="single"/>
    </w:rPr>
  </w:style>
  <w:style w:type="paragraph" w:customStyle="1" w:styleId="Annexetitre">
    <w:name w:val="Annexe titre"/>
    <w:basedOn w:val="Normal"/>
    <w:next w:val="Normal"/>
    <w:rsid w:val="00E114F3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Normal"/>
    <w:rsid w:val="00E114F3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114F3"/>
    <w:pPr>
      <w:ind w:left="720"/>
    </w:pPr>
    <w:rPr>
      <w:rFonts w:ascii="Calibri" w:eastAsia="Calibri" w:hAnsi="Calibri" w:cs="Times New Roman"/>
      <w:szCs w:val="22"/>
    </w:rPr>
  </w:style>
  <w:style w:type="paragraph" w:customStyle="1" w:styleId="TableMainHeading">
    <w:name w:val="TableMainHeading"/>
    <w:basedOn w:val="Normal"/>
    <w:next w:val="Normal"/>
    <w:uiPriority w:val="99"/>
    <w:rsid w:val="00E114F3"/>
    <w:pPr>
      <w:spacing w:before="120" w:after="120"/>
    </w:pPr>
    <w:rPr>
      <w:rFonts w:ascii="Segoe UI" w:eastAsia="Times New Roman" w:hAnsi="Segoe UI" w:cs="Times New Roman"/>
      <w:szCs w:val="20"/>
    </w:rPr>
  </w:style>
  <w:style w:type="paragraph" w:customStyle="1" w:styleId="TableTitle">
    <w:name w:val="TableTitle"/>
    <w:basedOn w:val="Normal"/>
    <w:next w:val="Normal"/>
    <w:link w:val="TableTitleChar"/>
    <w:rsid w:val="00E114F3"/>
    <w:pPr>
      <w:keepNext/>
      <w:spacing w:before="120" w:after="240"/>
      <w:jc w:val="center"/>
    </w:pPr>
    <w:rPr>
      <w:rFonts w:ascii="Arial" w:eastAsia="MS Mincho" w:hAnsi="Arial" w:cs="Times New Roman"/>
      <w:b/>
      <w:noProof/>
      <w:szCs w:val="20"/>
    </w:rPr>
  </w:style>
  <w:style w:type="character" w:customStyle="1" w:styleId="TableTitleChar">
    <w:name w:val="TableTitle Char"/>
    <w:basedOn w:val="DefaultParagraphFont"/>
    <w:link w:val="TableTitle"/>
    <w:locked/>
    <w:rsid w:val="00E114F3"/>
    <w:rPr>
      <w:rFonts w:ascii="Arial" w:eastAsia="MS Mincho" w:hAnsi="Arial" w:cs="Times New Roman"/>
      <w:b/>
      <w:noProof/>
      <w:szCs w:val="20"/>
    </w:rPr>
  </w:style>
  <w:style w:type="character" w:customStyle="1" w:styleId="InstructionsTabelleberschrift">
    <w:name w:val="Instructions Tabelle Überschrift"/>
    <w:qFormat/>
    <w:rsid w:val="00E114F3"/>
    <w:rPr>
      <w:rFonts w:ascii="Verdana" w:hAnsi="Verdana" w:cs="Times New Roman"/>
      <w:b/>
      <w:bCs/>
      <w:sz w:val="20"/>
      <w:u w:val="single"/>
    </w:rPr>
  </w:style>
  <w:style w:type="paragraph" w:customStyle="1" w:styleId="InstructionsText2">
    <w:name w:val="Instructions Text 2"/>
    <w:basedOn w:val="Normal"/>
    <w:qFormat/>
    <w:rsid w:val="00E114F3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F3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F3"/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241FEC"/>
    <w:pPr>
      <w:spacing w:after="0" w:line="240" w:lineRule="auto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95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D07"/>
    <w:rPr>
      <w:rFonts w:eastAsiaTheme="minorEastAsia"/>
      <w:sz w:val="20"/>
      <w:szCs w:val="20"/>
      <w:lang w:val="pl-PL"/>
    </w:rPr>
  </w:style>
  <w:style w:type="paragraph" w:customStyle="1" w:styleId="numberedparagraph">
    <w:name w:val="numbered paragraph"/>
    <w:basedOn w:val="Normal"/>
    <w:qFormat/>
    <w:rsid w:val="00095D07"/>
    <w:pPr>
      <w:numPr>
        <w:numId w:val="7"/>
      </w:numPr>
      <w:spacing w:before="240" w:after="120" w:line="276" w:lineRule="auto"/>
      <w:jc w:val="both"/>
    </w:pPr>
  </w:style>
  <w:style w:type="paragraph" w:customStyle="1" w:styleId="paragraph">
    <w:name w:val="paragraph"/>
    <w:basedOn w:val="Normal"/>
    <w:rsid w:val="00095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95D07"/>
  </w:style>
  <w:style w:type="character" w:customStyle="1" w:styleId="eop">
    <w:name w:val="eop"/>
    <w:basedOn w:val="DefaultParagraphFont"/>
    <w:rsid w:val="00095D07"/>
  </w:style>
  <w:style w:type="character" w:styleId="Mention">
    <w:name w:val="Mention"/>
    <w:basedOn w:val="DefaultParagraphFont"/>
    <w:uiPriority w:val="99"/>
    <w:unhideWhenUsed/>
    <w:rsid w:val="00095D07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00"/>
    <w:rPr>
      <w:rFonts w:eastAsiaTheme="minorEastAsia"/>
      <w:b/>
      <w:bCs/>
      <w:sz w:val="20"/>
      <w:szCs w:val="20"/>
      <w:lang w:val="pl-PL"/>
    </w:rPr>
  </w:style>
  <w:style w:type="paragraph" w:customStyle="1" w:styleId="Style1">
    <w:name w:val="Style1"/>
    <w:basedOn w:val="ListParagraph"/>
    <w:qFormat/>
    <w:rsid w:val="00232265"/>
    <w:pPr>
      <w:numPr>
        <w:numId w:val="11"/>
      </w:numPr>
      <w:spacing w:before="60" w:after="120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OJ:L_202401623" TargetMode="External"/><Relationship Id="rId1" Type="http://schemas.openxmlformats.org/officeDocument/2006/relationships/hyperlink" Target="https://eur-lex.europa.eu/legal-content/EN/AUTO/?uri=OJ:L:2013:176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86269AE2424A8D342950147AB377" ma:contentTypeVersion="3" ma:contentTypeDescription="Create a new document." ma:contentTypeScope="" ma:versionID="1c6d71e8fe77cb1d31a72a025cb5529a">
  <xsd:schema xmlns:xsd="http://www.w3.org/2001/XMLSchema" xmlns:xs="http://www.w3.org/2001/XMLSchema" xmlns:p="http://schemas.microsoft.com/office/2006/metadata/properties" xmlns:ns2="d520683a-cb21-4d3a-9123-58e4528859ba" targetNamespace="http://schemas.microsoft.com/office/2006/metadata/properties" ma:root="true" ma:fieldsID="cdbf0337ca5db9b749df9a74d0371656" ns2:_="">
    <xsd:import namespace="d520683a-cb21-4d3a-9123-58e452885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683a-cb21-4d3a-9123-58e452885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97FCB-9E4A-4741-9004-D2C005DA7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58D16-5A62-4E4D-96C3-F6E767B7E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FD491-C717-43CD-8132-4648BC01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683a-cb21-4d3a-9123-58e45288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AA13D-5788-405C-9534-7091A4501F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4949</Words>
  <Characters>29667</Characters>
  <Application>Microsoft Office Word</Application>
  <DocSecurity>0</DocSecurity>
  <Lines>247</Lines>
  <Paragraphs>69</Paragraphs>
  <ScaleCrop>false</ScaleCrop>
  <Manager/>
  <Company/>
  <LinksUpToDate>false</LinksUpToDate>
  <CharactersWithSpaces>34547</CharactersWithSpaces>
  <SharedDoc>false</SharedDoc>
  <HLinks>
    <vt:vector size="36" baseType="variant">
      <vt:variant>
        <vt:i4>7143432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https://eur-lex.europa.eu/legal-content/EN/TXT/?uri=OJ:L_202401623</vt:lpwstr>
      </vt:variant>
      <vt:variant>
        <vt:lpwstr/>
      </vt:variant>
      <vt:variant>
        <vt:i4>7602297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https://eur-lex.europa.eu/legal-content/EN/AUTO/?uri=OJ:L:2013:176:TOC</vt:lpwstr>
      </vt:variant>
      <vt:variant>
        <vt:lpwstr/>
      </vt:variant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2025-12-08T10:33:00Z</dcterms:created>
  <dcterms:modified xsi:type="dcterms:W3CDTF">2025-12-22T16:18:00Z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0x01010061D786269AE2424A8D342950147AB377</vt:lpwstr>
  </property>
</Properties>
</file>