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9EF4D" w14:textId="2FBDAFE8" w:rsidR="00E114F3" w:rsidRPr="00C72773" w:rsidRDefault="00E114F3" w:rsidP="00C72773">
      <w:pPr>
        <w:pStyle w:val="Annexetitre"/>
        <w:spacing w:before="0"/>
      </w:pPr>
      <w:r w:rsidRPr="00C72773">
        <w:t xml:space="preserve">ANNESS XXXII – Struzzjonijiet għall-mudelli </w:t>
      </w:r>
      <w:proofErr w:type="spellStart"/>
      <w:r w:rsidRPr="00C72773">
        <w:t>tad-divulgazzjoni</w:t>
      </w:r>
      <w:proofErr w:type="spellEnd"/>
      <w:r w:rsidRPr="00C72773">
        <w:t xml:space="preserve"> tar-riskju </w:t>
      </w:r>
      <w:proofErr w:type="spellStart"/>
      <w:r w:rsidRPr="00C72773">
        <w:t>operazzjonali</w:t>
      </w:r>
      <w:proofErr w:type="spellEnd"/>
    </w:p>
    <w:p w14:paraId="672A6659" w14:textId="77777777" w:rsidR="00E114F3" w:rsidRPr="00C72773" w:rsidRDefault="00E114F3" w:rsidP="00E114F3">
      <w:pPr>
        <w:spacing w:after="120"/>
        <w:jc w:val="both"/>
        <w:rPr>
          <w:rFonts w:ascii="Times New Roman" w:hAnsi="Times New Roman"/>
          <w:b/>
          <w:bCs/>
          <w:sz w:val="24"/>
        </w:rPr>
      </w:pPr>
    </w:p>
    <w:p w14:paraId="384DD143" w14:textId="77777777" w:rsidR="00E114F3" w:rsidRPr="00C72773" w:rsidRDefault="00E114F3" w:rsidP="00E114F3">
      <w:pPr>
        <w:spacing w:after="120"/>
        <w:rPr>
          <w:rFonts w:ascii="Times New Roman" w:hAnsi="Times New Roman"/>
          <w:bCs/>
          <w:sz w:val="24"/>
        </w:rPr>
      </w:pPr>
      <w:r w:rsidRPr="00C72773">
        <w:rPr>
          <w:rFonts w:ascii="Times New Roman" w:hAnsi="Times New Roman"/>
          <w:b/>
          <w:sz w:val="24"/>
        </w:rPr>
        <w:t xml:space="preserve">Tabella ORA tal-UE - Informazzjoni </w:t>
      </w:r>
      <w:proofErr w:type="spellStart"/>
      <w:r w:rsidRPr="00C72773">
        <w:rPr>
          <w:rFonts w:ascii="Times New Roman" w:hAnsi="Times New Roman"/>
          <w:b/>
          <w:sz w:val="24"/>
        </w:rPr>
        <w:t>kwalitattiva</w:t>
      </w:r>
      <w:proofErr w:type="spellEnd"/>
      <w:r w:rsidRPr="00C72773">
        <w:rPr>
          <w:rFonts w:ascii="Times New Roman" w:hAnsi="Times New Roman"/>
          <w:b/>
          <w:sz w:val="24"/>
        </w:rPr>
        <w:t xml:space="preserve"> dwar ir-riskju </w:t>
      </w:r>
      <w:proofErr w:type="spellStart"/>
      <w:r w:rsidRPr="00C72773">
        <w:rPr>
          <w:rFonts w:ascii="Times New Roman" w:hAnsi="Times New Roman"/>
          <w:b/>
          <w:sz w:val="24"/>
        </w:rPr>
        <w:t>operazzjonali</w:t>
      </w:r>
      <w:proofErr w:type="spellEnd"/>
      <w:r w:rsidRPr="00C72773">
        <w:rPr>
          <w:rFonts w:ascii="Times New Roman" w:hAnsi="Times New Roman"/>
          <w:b/>
          <w:sz w:val="24"/>
        </w:rPr>
        <w:t xml:space="preserve">. </w:t>
      </w:r>
      <w:r w:rsidRPr="00C72773">
        <w:rPr>
          <w:rFonts w:ascii="Times New Roman" w:hAnsi="Times New Roman"/>
          <w:sz w:val="24"/>
        </w:rPr>
        <w:t>Tabella flessibbli</w:t>
      </w:r>
    </w:p>
    <w:p w14:paraId="2E1E5572" w14:textId="6D56D6EF" w:rsidR="00E114F3" w:rsidRPr="00C72773" w:rsidRDefault="2A1FD4BE" w:rsidP="44B77564">
      <w:pPr>
        <w:numPr>
          <w:ilvl w:val="0"/>
          <w:numId w:val="1"/>
        </w:numPr>
        <w:spacing w:after="120"/>
        <w:jc w:val="both"/>
        <w:rPr>
          <w:rFonts w:ascii="Calibri" w:eastAsia="Times New Roman" w:hAnsi="Calibri" w:cs="Times New Roman"/>
          <w:color w:val="000000"/>
        </w:rPr>
      </w:pPr>
      <w:r w:rsidRPr="00C72773">
        <w:rPr>
          <w:rFonts w:ascii="Times New Roman" w:hAnsi="Times New Roman"/>
          <w:sz w:val="24"/>
        </w:rPr>
        <w:t>L-istituzzjonijiet għandhom jiżvelaw l-informazzjoni inkluża f’din it-tabella bl-applikazzjoni tal-Artikoli 435(1), 446(1), il-punt a) tar-Regolament (UE) 575/2013</w:t>
      </w:r>
      <w:r w:rsidR="00E114F3" w:rsidRPr="00C72773"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 w:rsidRPr="00C72773">
        <w:rPr>
          <w:rFonts w:ascii="Times New Roman" w:hAnsi="Times New Roman"/>
          <w:sz w:val="24"/>
        </w:rPr>
        <w:t>.</w:t>
      </w:r>
    </w:p>
    <w:p w14:paraId="728254AD" w14:textId="52B3E768" w:rsidR="00E114F3" w:rsidRPr="00C72773" w:rsidRDefault="00E114F3" w:rsidP="00E114F3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bCs/>
          <w:sz w:val="24"/>
        </w:rPr>
      </w:pPr>
      <w:r w:rsidRPr="00C72773">
        <w:rPr>
          <w:rFonts w:ascii="Times New Roman" w:hAnsi="Times New Roman"/>
          <w:sz w:val="24"/>
        </w:rPr>
        <w:t xml:space="preserve">L-istituzzjonijiet għandhom japplikaw l-istruzzjonijiet ipprovduti hawn taħt f’dan l-Anness sabiex jimlew it-tabella ORA tal-UE </w:t>
      </w:r>
      <w:proofErr w:type="spellStart"/>
      <w:r w:rsidRPr="00C72773">
        <w:rPr>
          <w:rFonts w:ascii="Times New Roman" w:hAnsi="Times New Roman"/>
          <w:sz w:val="24"/>
        </w:rPr>
        <w:t>tad-Divulgazzjoni</w:t>
      </w:r>
      <w:proofErr w:type="spellEnd"/>
      <w:r w:rsidRPr="00C72773">
        <w:rPr>
          <w:rFonts w:ascii="Times New Roman" w:hAnsi="Times New Roman"/>
          <w:sz w:val="24"/>
        </w:rPr>
        <w:t xml:space="preserve"> tar-Riskju </w:t>
      </w:r>
      <w:proofErr w:type="spellStart"/>
      <w:r w:rsidRPr="00C72773">
        <w:rPr>
          <w:rFonts w:ascii="Times New Roman" w:hAnsi="Times New Roman"/>
          <w:sz w:val="24"/>
        </w:rPr>
        <w:t>Operazzjonali</w:t>
      </w:r>
      <w:proofErr w:type="spellEnd"/>
      <w:r w:rsidRPr="00C72773">
        <w:rPr>
          <w:rFonts w:ascii="Times New Roman" w:hAnsi="Times New Roman"/>
          <w:sz w:val="24"/>
        </w:rPr>
        <w:t xml:space="preserve"> kif ippreżentata fl-Anness XXXI tas-soluzzjonijiet tal-IT tal-EBA.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1555"/>
        <w:gridCol w:w="7371"/>
      </w:tblGrid>
      <w:tr w:rsidR="00E114F3" w:rsidRPr="00C72773" w14:paraId="4FA5DD43" w14:textId="77777777" w:rsidTr="00581319">
        <w:trPr>
          <w:trHeight w:val="2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879875" w14:textId="77777777" w:rsidR="00E114F3" w:rsidRPr="00C72773" w:rsidRDefault="00E114F3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C72773">
              <w:rPr>
                <w:rFonts w:ascii="Times New Roman" w:hAnsi="Times New Roman"/>
                <w:b/>
                <w:color w:val="000000"/>
                <w:sz w:val="24"/>
              </w:rPr>
              <w:t>Referenzi legali u struzzjonijiet</w:t>
            </w:r>
          </w:p>
        </w:tc>
      </w:tr>
      <w:tr w:rsidR="00E114F3" w:rsidRPr="00C72773" w14:paraId="0BB6A5B1" w14:textId="77777777" w:rsidTr="00581319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522B50" w14:textId="77777777" w:rsidR="00E114F3" w:rsidRPr="00C72773" w:rsidRDefault="00E114F3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C72773">
              <w:rPr>
                <w:rFonts w:ascii="Times New Roman" w:hAnsi="Times New Roman"/>
                <w:b/>
                <w:color w:val="000000"/>
                <w:sz w:val="24"/>
              </w:rPr>
              <w:t>Numru tar-ringiela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F504D8" w14:textId="77777777" w:rsidR="00E114F3" w:rsidRPr="00C72773" w:rsidRDefault="00E114F3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C72773">
              <w:rPr>
                <w:rFonts w:ascii="Times New Roman" w:hAnsi="Times New Roman"/>
                <w:b/>
                <w:color w:val="000000"/>
                <w:sz w:val="24"/>
              </w:rPr>
              <w:t>Spjegazzjoni</w:t>
            </w:r>
          </w:p>
        </w:tc>
      </w:tr>
      <w:tr w:rsidR="00E114F3" w:rsidRPr="00C72773" w14:paraId="70735BA0" w14:textId="77777777" w:rsidTr="00581319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5523" w14:textId="1B122A28" w:rsidR="00E114F3" w:rsidRPr="00C72773" w:rsidRDefault="00E114F3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2773">
              <w:rPr>
                <w:rFonts w:ascii="Times New Roman" w:hAnsi="Times New Roman"/>
                <w:color w:val="000000"/>
                <w:sz w:val="24"/>
              </w:rPr>
              <w:t>(a)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E5B9" w14:textId="77777777" w:rsidR="00E114F3" w:rsidRPr="00C72773" w:rsidRDefault="00E114F3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C72773">
              <w:rPr>
                <w:rFonts w:ascii="Times New Roman" w:hAnsi="Times New Roman"/>
                <w:b/>
                <w:color w:val="000000"/>
                <w:sz w:val="24"/>
              </w:rPr>
              <w:t>Divulgazzjoni</w:t>
            </w:r>
            <w:proofErr w:type="spellEnd"/>
            <w:r w:rsidRPr="00C72773">
              <w:rPr>
                <w:rFonts w:ascii="Times New Roman" w:hAnsi="Times New Roman"/>
                <w:b/>
                <w:color w:val="000000"/>
                <w:sz w:val="24"/>
              </w:rPr>
              <w:t xml:space="preserve"> tal-objettivi u tal-politiki </w:t>
            </w:r>
            <w:proofErr w:type="spellStart"/>
            <w:r w:rsidRPr="00C72773">
              <w:rPr>
                <w:rFonts w:ascii="Times New Roman" w:hAnsi="Times New Roman"/>
                <w:b/>
                <w:color w:val="000000"/>
                <w:sz w:val="24"/>
              </w:rPr>
              <w:t>tal-ġestjoni</w:t>
            </w:r>
            <w:proofErr w:type="spellEnd"/>
            <w:r w:rsidRPr="00C72773">
              <w:rPr>
                <w:rFonts w:ascii="Times New Roman" w:hAnsi="Times New Roman"/>
                <w:b/>
                <w:color w:val="000000"/>
                <w:sz w:val="24"/>
              </w:rPr>
              <w:t xml:space="preserve"> tar-riskju</w:t>
            </w:r>
          </w:p>
          <w:p w14:paraId="65684A44" w14:textId="36ED8962" w:rsidR="00E114F3" w:rsidRPr="00C72773" w:rsidRDefault="2A1FD4BE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>F’</w:t>
            </w:r>
            <w:proofErr w:type="spellStart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 xml:space="preserve"> mal-Artikolu 435(1), il-punt (a) tar-Regolament (UE) Nru 575/2013, l-istituzzjonijiet għandhom jiżvelaw l-objettivi, il-politiki, l-</w:t>
            </w:r>
            <w:proofErr w:type="spellStart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>oqfsa</w:t>
            </w:r>
            <w:proofErr w:type="spellEnd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 xml:space="preserve"> u l-linji gwida tagħhom </w:t>
            </w:r>
            <w:proofErr w:type="spellStart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>għall-ġestjoni</w:t>
            </w:r>
            <w:proofErr w:type="spellEnd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 xml:space="preserve"> tar-riskju </w:t>
            </w:r>
            <w:proofErr w:type="spellStart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 xml:space="preserve">, inklużi l-istrateġiji u l-proċessi </w:t>
            </w:r>
            <w:proofErr w:type="spellStart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>għall-ġestjoni</w:t>
            </w:r>
            <w:proofErr w:type="spellEnd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 xml:space="preserve"> ta’ dak ir-riskju.</w:t>
            </w:r>
          </w:p>
        </w:tc>
      </w:tr>
      <w:tr w:rsidR="00E114F3" w:rsidRPr="00C72773" w14:paraId="37A6A0B3" w14:textId="77777777" w:rsidTr="00581319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78CA" w14:textId="22E7EFF7" w:rsidR="00E114F3" w:rsidRPr="00C72773" w:rsidRDefault="00E114F3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2773">
              <w:rPr>
                <w:rFonts w:ascii="Times New Roman" w:hAnsi="Times New Roman"/>
                <w:color w:val="000000"/>
                <w:sz w:val="24"/>
              </w:rPr>
              <w:t>(b)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C32F9" w14:textId="77777777" w:rsidR="00885AC5" w:rsidRPr="00C72773" w:rsidRDefault="00885AC5" w:rsidP="00885AC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C72773">
              <w:rPr>
                <w:rFonts w:ascii="Times New Roman" w:hAnsi="Times New Roman"/>
                <w:b/>
                <w:color w:val="000000"/>
                <w:sz w:val="24"/>
              </w:rPr>
              <w:t>Divulgazzjoni</w:t>
            </w:r>
            <w:proofErr w:type="spellEnd"/>
            <w:r w:rsidRPr="00C72773">
              <w:rPr>
                <w:rFonts w:ascii="Times New Roman" w:hAnsi="Times New Roman"/>
                <w:b/>
                <w:color w:val="000000"/>
                <w:sz w:val="24"/>
              </w:rPr>
              <w:t xml:space="preserve"> tal-istruttura u tal-organizzazzjoni tal-funzjoni </w:t>
            </w:r>
            <w:proofErr w:type="spellStart"/>
            <w:r w:rsidRPr="00C72773">
              <w:rPr>
                <w:rFonts w:ascii="Times New Roman" w:hAnsi="Times New Roman"/>
                <w:b/>
                <w:color w:val="000000"/>
                <w:sz w:val="24"/>
              </w:rPr>
              <w:t>tal-ġestjoni</w:t>
            </w:r>
            <w:proofErr w:type="spellEnd"/>
            <w:r w:rsidRPr="00C72773">
              <w:rPr>
                <w:rFonts w:ascii="Times New Roman" w:hAnsi="Times New Roman"/>
                <w:b/>
                <w:color w:val="000000"/>
                <w:sz w:val="24"/>
              </w:rPr>
              <w:t xml:space="preserve"> tar-riskju </w:t>
            </w:r>
            <w:proofErr w:type="spellStart"/>
            <w:r w:rsidRPr="00C72773">
              <w:rPr>
                <w:rFonts w:ascii="Times New Roman" w:hAnsi="Times New Roman"/>
                <w:b/>
                <w:color w:val="000000"/>
                <w:sz w:val="24"/>
              </w:rPr>
              <w:t>operazzjonali</w:t>
            </w:r>
            <w:proofErr w:type="spellEnd"/>
          </w:p>
          <w:p w14:paraId="739779F0" w14:textId="092C61F0" w:rsidR="00E114F3" w:rsidRPr="00C72773" w:rsidRDefault="00885AC5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>F’</w:t>
            </w:r>
            <w:proofErr w:type="spellStart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 xml:space="preserve"> mal-Artikolu 435(1), il-punt (b) tar-Regolament (UE) 575/2013, l-istituzzjonijiet għandhom jiżvelaw l-istruttura u l-organizzazzjoni tal-funzjoni </w:t>
            </w:r>
            <w:proofErr w:type="spellStart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>tal-ġestjoni</w:t>
            </w:r>
            <w:proofErr w:type="spellEnd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 xml:space="preserve"> tar-riskju </w:t>
            </w:r>
            <w:proofErr w:type="spellStart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 xml:space="preserve">, inkluża informazzjoni abbażi tal-awtorità tal-funzjoni </w:t>
            </w:r>
            <w:proofErr w:type="spellStart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>tal-ġestjoni</w:t>
            </w:r>
            <w:proofErr w:type="spellEnd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 xml:space="preserve"> tar-riskju </w:t>
            </w:r>
            <w:proofErr w:type="spellStart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>, is-setgħat u l-</w:t>
            </w:r>
            <w:proofErr w:type="spellStart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>akkontabbiltà</w:t>
            </w:r>
            <w:proofErr w:type="spellEnd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 xml:space="preserve"> tagħha f’</w:t>
            </w:r>
            <w:proofErr w:type="spellStart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 xml:space="preserve"> mad-dokumenti ta’ inkorporazzjoni u ta’ tmexxija, u l-funzjoni ta’ kontroll tal-istituzzjoni.</w:t>
            </w:r>
          </w:p>
        </w:tc>
      </w:tr>
      <w:tr w:rsidR="00E114F3" w:rsidRPr="00C72773" w14:paraId="30DA08C8" w14:textId="77777777" w:rsidTr="00581319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AF50" w14:textId="6B123167" w:rsidR="00E114F3" w:rsidRPr="00C72773" w:rsidRDefault="00E114F3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2773">
              <w:rPr>
                <w:rFonts w:ascii="Times New Roman" w:hAnsi="Times New Roman"/>
                <w:color w:val="000000"/>
                <w:sz w:val="24"/>
              </w:rPr>
              <w:t>(c)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6D347" w14:textId="77777777" w:rsidR="005129A3" w:rsidRPr="00C72773" w:rsidRDefault="005129A3" w:rsidP="005129A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C72773">
              <w:rPr>
                <w:rFonts w:ascii="Times New Roman" w:hAnsi="Times New Roman"/>
                <w:b/>
                <w:color w:val="000000"/>
                <w:sz w:val="24"/>
              </w:rPr>
              <w:t>Deskrizzjoni tal-kamp ta’ applikazzjoni u tan-natura tas-sistema tal-kejl</w:t>
            </w:r>
          </w:p>
          <w:p w14:paraId="2426746E" w14:textId="624D178E" w:rsidR="00E114F3" w:rsidRPr="00C72773" w:rsidRDefault="005129A3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>F’</w:t>
            </w:r>
            <w:proofErr w:type="spellStart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 xml:space="preserve"> mal-Artikolu 435(1), il-punt (c) tar-Regolament (UE) Nru 575/2013, l-istituzzjonijiet għandhom jiżvelaw il-kamp ta’ applikazzjoni u n-natura tas-sistema tal-kejl tar-riskju </w:t>
            </w:r>
            <w:proofErr w:type="spellStart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 xml:space="preserve"> (jiġifieri s-sistemi u d-data użati għall-kejl tar-riskju </w:t>
            </w:r>
            <w:proofErr w:type="spellStart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 xml:space="preserve"> sabiex tiġi stmata l-imposta fuq il-kapital tar-riskji </w:t>
            </w:r>
            <w:proofErr w:type="spellStart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>).</w:t>
            </w:r>
          </w:p>
        </w:tc>
      </w:tr>
      <w:tr w:rsidR="00E114F3" w:rsidRPr="00C72773" w14:paraId="530FAA18" w14:textId="77777777" w:rsidTr="00581319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C3DB" w14:textId="0C63D270" w:rsidR="00E114F3" w:rsidRPr="00C72773" w:rsidRDefault="00E114F3" w:rsidP="00C72773">
            <w:pPr>
              <w:pageBreakBefore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2773">
              <w:rPr>
                <w:rFonts w:ascii="Times New Roman" w:hAnsi="Times New Roman"/>
                <w:color w:val="000000"/>
                <w:sz w:val="24"/>
              </w:rPr>
              <w:t>(d)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2CC0D" w14:textId="77777777" w:rsidR="005D02AE" w:rsidRPr="00C72773" w:rsidRDefault="005D02AE" w:rsidP="005D02A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C72773">
              <w:rPr>
                <w:rFonts w:ascii="Times New Roman" w:hAnsi="Times New Roman"/>
                <w:b/>
                <w:color w:val="000000" w:themeColor="text1"/>
                <w:sz w:val="24"/>
              </w:rPr>
              <w:t>Deskrizzjoni tal-kamp ta’ applikazzjoni u tan-natura tal-qafas tar-</w:t>
            </w:r>
            <w:proofErr w:type="spellStart"/>
            <w:r w:rsidRPr="00C72773">
              <w:rPr>
                <w:rFonts w:ascii="Times New Roman" w:hAnsi="Times New Roman"/>
                <w:b/>
                <w:color w:val="000000" w:themeColor="text1"/>
                <w:sz w:val="24"/>
              </w:rPr>
              <w:t>rappurtar</w:t>
            </w:r>
            <w:proofErr w:type="spellEnd"/>
            <w:r w:rsidRPr="00C72773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tar-riskju </w:t>
            </w:r>
            <w:proofErr w:type="spellStart"/>
            <w:r w:rsidRPr="00C72773">
              <w:rPr>
                <w:rFonts w:ascii="Times New Roman" w:hAnsi="Times New Roman"/>
                <w:b/>
                <w:color w:val="000000" w:themeColor="text1"/>
                <w:sz w:val="24"/>
              </w:rPr>
              <w:t>operazzjonali</w:t>
            </w:r>
            <w:proofErr w:type="spellEnd"/>
          </w:p>
          <w:p w14:paraId="1EE9A69D" w14:textId="428D8604" w:rsidR="00E114F3" w:rsidRPr="00C72773" w:rsidRDefault="005D02AE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F’</w:t>
            </w:r>
            <w:proofErr w:type="spellStart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 xml:space="preserve"> mal-Artikolu 435(1), il-punt (c) tar-Regolament (UE) 575/2013, l-istituzzjonijiet għandhom jiżvelaw il-kamp ta’ applikazzjoni u n-natura tal-qafas ta’ </w:t>
            </w:r>
            <w:proofErr w:type="spellStart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>rappurtar</w:t>
            </w:r>
            <w:proofErr w:type="spellEnd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 xml:space="preserve"> tar-riskju </w:t>
            </w:r>
            <w:proofErr w:type="spellStart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 xml:space="preserve"> lill-maniġment eżekuttiv u lill-Bord tad-Diretturi.</w:t>
            </w:r>
          </w:p>
        </w:tc>
      </w:tr>
      <w:tr w:rsidR="00E5460F" w:rsidRPr="00C72773" w14:paraId="1120D006" w14:textId="77777777" w:rsidTr="00581319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99FF" w14:textId="263ED99A" w:rsidR="00E5460F" w:rsidRPr="00C72773" w:rsidRDefault="00E5460F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2773">
              <w:rPr>
                <w:rFonts w:ascii="Times New Roman" w:hAnsi="Times New Roman"/>
                <w:color w:val="000000"/>
                <w:sz w:val="24"/>
              </w:rPr>
              <w:lastRenderedPageBreak/>
              <w:t>(e)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249C5" w14:textId="77777777" w:rsidR="00E25C0C" w:rsidRPr="00C72773" w:rsidRDefault="00E25C0C" w:rsidP="00E25C0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2773">
              <w:rPr>
                <w:rFonts w:ascii="Times New Roman" w:hAnsi="Times New Roman"/>
                <w:b/>
                <w:color w:val="000000" w:themeColor="text1"/>
                <w:sz w:val="24"/>
              </w:rPr>
              <w:t>Deskrizzjoni tal-politiki u tal-istrateġiji tal-mitigazzjoni tar-riskju u l-</w:t>
            </w:r>
            <w:proofErr w:type="spellStart"/>
            <w:r w:rsidRPr="00C72773">
              <w:rPr>
                <w:rFonts w:ascii="Times New Roman" w:hAnsi="Times New Roman"/>
                <w:b/>
                <w:color w:val="000000" w:themeColor="text1"/>
                <w:sz w:val="24"/>
              </w:rPr>
              <w:t>ħeġġ</w:t>
            </w:r>
            <w:proofErr w:type="spellEnd"/>
            <w:r w:rsidRPr="00C72773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tar-riskju</w:t>
            </w:r>
          </w:p>
          <w:p w14:paraId="443DC7A5" w14:textId="7D68A10D" w:rsidR="00E5460F" w:rsidRPr="00C72773" w:rsidDel="009A4E43" w:rsidRDefault="00E25C0C" w:rsidP="00E25C0C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>F’</w:t>
            </w:r>
            <w:proofErr w:type="spellStart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 xml:space="preserve"> mal-Artikolu 435(1), il-punt (d) tar-Regolament (UE) Nru 575/2013, l-istituzzjonijiet għandhom jiżvelaw il-politiki u l-istrateġiji tagħhom tal-mitigazzjoni tar-riskju u tal-</w:t>
            </w:r>
            <w:proofErr w:type="spellStart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>ħeġġ</w:t>
            </w:r>
            <w:proofErr w:type="spellEnd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 xml:space="preserve"> tar-riskju użati </w:t>
            </w:r>
            <w:proofErr w:type="spellStart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>fil-ġestjoni</w:t>
            </w:r>
            <w:proofErr w:type="spellEnd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 xml:space="preserve"> tar-riskju </w:t>
            </w:r>
            <w:proofErr w:type="spellStart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 xml:space="preserve">, inkluż meta l-mitigazzjoni tar-riskju </w:t>
            </w:r>
            <w:proofErr w:type="spellStart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 xml:space="preserve"> tinkiseb permezz ta’ politika (f’liema każ għandhom jiżvelaw il-politiki dwar il-kultura tar-riskju, il-</w:t>
            </w:r>
            <w:proofErr w:type="spellStart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>predispożizzjoni</w:t>
            </w:r>
            <w:proofErr w:type="spellEnd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 xml:space="preserve"> għar-riskju u l-</w:t>
            </w:r>
            <w:proofErr w:type="spellStart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>esternalizzazzjoni</w:t>
            </w:r>
            <w:proofErr w:type="spellEnd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 xml:space="preserve">), jew meta tinkiseb permezz ta’ </w:t>
            </w:r>
            <w:proofErr w:type="spellStart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>żvestiment</w:t>
            </w:r>
            <w:proofErr w:type="spellEnd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 xml:space="preserve"> minn negozji b’riskju għoli jew permezz tal-istabbiliment ta’ kontrolli. L-istituzzjonijiet għandhom jiżvelaw ukoll l-</w:t>
            </w:r>
            <w:proofErr w:type="spellStart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>iskoperturi</w:t>
            </w:r>
            <w:proofErr w:type="spellEnd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 xml:space="preserve"> li jifdal li jiġu assorbiti mill-istituzzjonijiet infushom jew, fejn applikabbli, l-</w:t>
            </w:r>
            <w:proofErr w:type="spellStart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>iskoperturi</w:t>
            </w:r>
            <w:proofErr w:type="spellEnd"/>
            <w:r w:rsidRPr="00C72773">
              <w:rPr>
                <w:rFonts w:ascii="Times New Roman" w:hAnsi="Times New Roman"/>
                <w:color w:val="000000" w:themeColor="text1"/>
                <w:sz w:val="24"/>
              </w:rPr>
              <w:t xml:space="preserve"> li jifdal li jiġu trasferiti b’diversi modi, inkluż permezz ta’ assigurazzjoni.</w:t>
            </w:r>
          </w:p>
        </w:tc>
      </w:tr>
    </w:tbl>
    <w:p w14:paraId="0A37501D" w14:textId="77777777" w:rsidR="00E114F3" w:rsidRPr="00C72773" w:rsidRDefault="00E114F3" w:rsidP="00E114F3">
      <w:pPr>
        <w:spacing w:after="120"/>
        <w:jc w:val="both"/>
        <w:rPr>
          <w:rFonts w:ascii="Times New Roman" w:hAnsi="Times New Roman" w:cs="Times New Roman"/>
          <w:b/>
          <w:bCs/>
          <w:sz w:val="24"/>
        </w:rPr>
      </w:pPr>
    </w:p>
    <w:p w14:paraId="73228265" w14:textId="2825D40F" w:rsidR="00E114F3" w:rsidRPr="00C72773" w:rsidRDefault="00E114F3" w:rsidP="00E114F3">
      <w:pPr>
        <w:spacing w:after="120"/>
        <w:jc w:val="both"/>
        <w:rPr>
          <w:rFonts w:ascii="Times New Roman" w:hAnsi="Times New Roman" w:cs="Times New Roman"/>
          <w:bCs/>
          <w:sz w:val="24"/>
        </w:rPr>
      </w:pPr>
      <w:r w:rsidRPr="00C72773">
        <w:rPr>
          <w:rFonts w:ascii="Times New Roman" w:hAnsi="Times New Roman"/>
          <w:b/>
          <w:sz w:val="24"/>
        </w:rPr>
        <w:t xml:space="preserve">Mudell OR1 tal-UE - Telf mir-riskji </w:t>
      </w:r>
      <w:proofErr w:type="spellStart"/>
      <w:r w:rsidRPr="00C72773">
        <w:rPr>
          <w:rFonts w:ascii="Times New Roman" w:hAnsi="Times New Roman"/>
          <w:b/>
          <w:sz w:val="24"/>
        </w:rPr>
        <w:t>operazzjonali</w:t>
      </w:r>
      <w:proofErr w:type="spellEnd"/>
      <w:r w:rsidRPr="00C72773">
        <w:rPr>
          <w:rFonts w:ascii="Times New Roman" w:hAnsi="Times New Roman"/>
          <w:b/>
          <w:sz w:val="24"/>
        </w:rPr>
        <w:t xml:space="preserve">. </w:t>
      </w:r>
      <w:r w:rsidRPr="00C72773">
        <w:rPr>
          <w:rFonts w:ascii="Times New Roman" w:hAnsi="Times New Roman"/>
          <w:sz w:val="24"/>
        </w:rPr>
        <w:t>Mudell fiss</w:t>
      </w:r>
    </w:p>
    <w:p w14:paraId="70B287DB" w14:textId="7164F419" w:rsidR="00D740B8" w:rsidRPr="00C72773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C72773">
        <w:rPr>
          <w:rFonts w:ascii="Times New Roman" w:hAnsi="Times New Roman"/>
          <w:sz w:val="24"/>
        </w:rPr>
        <w:t xml:space="preserve">L-istituzzjonijiet għandhom jiżvelaw l-informazzjoni inkluża fil-mudell OR1 tal-UE bl-applikazzjoni tal-Artikolu 446(2), il-punti a) u b) tar-Regolament (UE) Nru 575/2013. Dan il-mudell jipprovdi informazzjoni dwar it-telf annwali mir-riskji </w:t>
      </w:r>
      <w:proofErr w:type="spellStart"/>
      <w:r w:rsidRPr="00C72773">
        <w:rPr>
          <w:rFonts w:ascii="Times New Roman" w:hAnsi="Times New Roman"/>
          <w:sz w:val="24"/>
        </w:rPr>
        <w:t>operazzjonali</w:t>
      </w:r>
      <w:proofErr w:type="spellEnd"/>
      <w:r w:rsidRPr="00C72773">
        <w:rPr>
          <w:rFonts w:ascii="Times New Roman" w:hAnsi="Times New Roman"/>
          <w:sz w:val="24"/>
        </w:rPr>
        <w:t xml:space="preserve"> </w:t>
      </w:r>
      <w:proofErr w:type="spellStart"/>
      <w:r w:rsidRPr="00C72773">
        <w:rPr>
          <w:rFonts w:ascii="Times New Roman" w:hAnsi="Times New Roman"/>
          <w:sz w:val="24"/>
        </w:rPr>
        <w:t>mġarrab</w:t>
      </w:r>
      <w:proofErr w:type="spellEnd"/>
      <w:r w:rsidRPr="00C72773">
        <w:rPr>
          <w:rFonts w:ascii="Times New Roman" w:hAnsi="Times New Roman"/>
          <w:sz w:val="24"/>
        </w:rPr>
        <w:t xml:space="preserve"> matul l-aħħar 10 snin, abbażi tad-data </w:t>
      </w:r>
      <w:proofErr w:type="spellStart"/>
      <w:r w:rsidRPr="00C72773">
        <w:rPr>
          <w:rFonts w:ascii="Times New Roman" w:hAnsi="Times New Roman"/>
          <w:sz w:val="24"/>
        </w:rPr>
        <w:t>kontabilistika</w:t>
      </w:r>
      <w:proofErr w:type="spellEnd"/>
      <w:r w:rsidRPr="00C72773">
        <w:rPr>
          <w:rFonts w:ascii="Times New Roman" w:hAnsi="Times New Roman"/>
          <w:sz w:val="24"/>
        </w:rPr>
        <w:t xml:space="preserve"> tat-telf </w:t>
      </w:r>
      <w:proofErr w:type="spellStart"/>
      <w:r w:rsidRPr="00C72773">
        <w:rPr>
          <w:rFonts w:ascii="Times New Roman" w:hAnsi="Times New Roman"/>
          <w:sz w:val="24"/>
        </w:rPr>
        <w:t>imġarrab</w:t>
      </w:r>
      <w:proofErr w:type="spellEnd"/>
      <w:r w:rsidRPr="00C72773">
        <w:rPr>
          <w:rFonts w:ascii="Times New Roman" w:hAnsi="Times New Roman"/>
          <w:sz w:val="24"/>
        </w:rPr>
        <w:t xml:space="preserve">. Dan it-telf annwali mir-riskji </w:t>
      </w:r>
      <w:proofErr w:type="spellStart"/>
      <w:r w:rsidRPr="00C72773">
        <w:rPr>
          <w:rFonts w:ascii="Times New Roman" w:hAnsi="Times New Roman"/>
          <w:sz w:val="24"/>
        </w:rPr>
        <w:t>operazzjonali</w:t>
      </w:r>
      <w:proofErr w:type="spellEnd"/>
      <w:r w:rsidRPr="00C72773">
        <w:rPr>
          <w:rFonts w:ascii="Times New Roman" w:hAnsi="Times New Roman"/>
          <w:sz w:val="24"/>
        </w:rPr>
        <w:t xml:space="preserve"> ser jiġi </w:t>
      </w:r>
      <w:proofErr w:type="spellStart"/>
      <w:r w:rsidRPr="00C72773">
        <w:rPr>
          <w:rFonts w:ascii="Times New Roman" w:hAnsi="Times New Roman"/>
          <w:sz w:val="24"/>
        </w:rPr>
        <w:t>kkalkulat</w:t>
      </w:r>
      <w:proofErr w:type="spellEnd"/>
      <w:r w:rsidRPr="00C72773">
        <w:rPr>
          <w:rFonts w:ascii="Times New Roman" w:hAnsi="Times New Roman"/>
          <w:sz w:val="24"/>
        </w:rPr>
        <w:t xml:space="preserve"> f’</w:t>
      </w:r>
      <w:proofErr w:type="spellStart"/>
      <w:r w:rsidRPr="00C72773">
        <w:rPr>
          <w:rFonts w:ascii="Times New Roman" w:hAnsi="Times New Roman"/>
          <w:sz w:val="24"/>
        </w:rPr>
        <w:t>konformità</w:t>
      </w:r>
      <w:proofErr w:type="spellEnd"/>
      <w:r w:rsidRPr="00C72773">
        <w:rPr>
          <w:rFonts w:ascii="Times New Roman" w:hAnsi="Times New Roman"/>
          <w:sz w:val="24"/>
        </w:rPr>
        <w:t xml:space="preserve"> mal-Artikolu 316(1) tar-Regolament (UE) 575/2013 u jinkludi, f’</w:t>
      </w:r>
      <w:proofErr w:type="spellStart"/>
      <w:r w:rsidRPr="00C72773">
        <w:rPr>
          <w:rFonts w:ascii="Times New Roman" w:hAnsi="Times New Roman"/>
          <w:sz w:val="24"/>
        </w:rPr>
        <w:t>konformità</w:t>
      </w:r>
      <w:proofErr w:type="spellEnd"/>
      <w:r w:rsidRPr="00C72773">
        <w:rPr>
          <w:rFonts w:ascii="Times New Roman" w:hAnsi="Times New Roman"/>
          <w:sz w:val="24"/>
        </w:rPr>
        <w:t xml:space="preserve"> mal-Artikolu 317(2) tar-Regolament (UE) 575/2013, it-telf kollu li jirriżulta mill-entitajiet kollha li huma parti mill-kamp ta’ applikazzjoni tal-konsolidazzjoni inkluż it-telf minn negozji li ngħaqdu/ġew akkwistati (skont l-Artikolu 321(1) tar-Regolament (UE) 575/2013). Din l-informazzjoni għandha tingħata safejn tkun disponibbli u fuq bażi tal-aħjar sforz, sakemm ikunu applikabbli l-Artikoli 316(3), 317(9), 320(3) u 321(2) tar-Regolament (UE) 575/2013.</w:t>
      </w:r>
    </w:p>
    <w:p w14:paraId="0C12CA7B" w14:textId="77777777" w:rsidR="00D740B8" w:rsidRPr="00C72773" w:rsidRDefault="00D740B8" w:rsidP="00D740B8">
      <w:pPr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47EE9624" w14:textId="4A5B22B7" w:rsidR="00D740B8" w:rsidRPr="00C72773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72773">
        <w:rPr>
          <w:rFonts w:ascii="Times New Roman" w:hAnsi="Times New Roman"/>
          <w:sz w:val="24"/>
        </w:rPr>
        <w:t xml:space="preserve">L-istituzzjonijiet għandhom jiżvelaw, għal kull waħda mill-aħħar 10 snin, data dwar l-għadd ta’ telf mir-riskji </w:t>
      </w:r>
      <w:proofErr w:type="spellStart"/>
      <w:r w:rsidRPr="00C72773">
        <w:rPr>
          <w:rFonts w:ascii="Times New Roman" w:hAnsi="Times New Roman"/>
          <w:sz w:val="24"/>
        </w:rPr>
        <w:t>operazzjonali</w:t>
      </w:r>
      <w:proofErr w:type="spellEnd"/>
      <w:r w:rsidRPr="00C72773">
        <w:rPr>
          <w:rFonts w:ascii="Times New Roman" w:hAnsi="Times New Roman"/>
          <w:sz w:val="24"/>
        </w:rPr>
        <w:t xml:space="preserve"> u l-għadd ta’ telf mir-riskji </w:t>
      </w:r>
      <w:proofErr w:type="spellStart"/>
      <w:r w:rsidRPr="00C72773">
        <w:rPr>
          <w:rFonts w:ascii="Times New Roman" w:hAnsi="Times New Roman"/>
          <w:sz w:val="24"/>
        </w:rPr>
        <w:t>operazzjonali</w:t>
      </w:r>
      <w:proofErr w:type="spellEnd"/>
      <w:r w:rsidRPr="00C72773">
        <w:rPr>
          <w:rFonts w:ascii="Times New Roman" w:hAnsi="Times New Roman"/>
          <w:sz w:val="24"/>
        </w:rPr>
        <w:t xml:space="preserve"> eskluż, l-ammont totali ta’ telf mir-riskji </w:t>
      </w:r>
      <w:proofErr w:type="spellStart"/>
      <w:r w:rsidRPr="00C72773">
        <w:rPr>
          <w:rFonts w:ascii="Times New Roman" w:hAnsi="Times New Roman"/>
          <w:sz w:val="24"/>
        </w:rPr>
        <w:t>operazzjonali</w:t>
      </w:r>
      <w:proofErr w:type="spellEnd"/>
      <w:r w:rsidRPr="00C72773">
        <w:rPr>
          <w:rFonts w:ascii="Times New Roman" w:hAnsi="Times New Roman"/>
          <w:sz w:val="24"/>
        </w:rPr>
        <w:t xml:space="preserve"> nett mill-</w:t>
      </w:r>
      <w:proofErr w:type="spellStart"/>
      <w:r w:rsidRPr="00C72773">
        <w:rPr>
          <w:rFonts w:ascii="Times New Roman" w:hAnsi="Times New Roman"/>
          <w:sz w:val="24"/>
        </w:rPr>
        <w:t>irkupri</w:t>
      </w:r>
      <w:proofErr w:type="spellEnd"/>
      <w:r w:rsidRPr="00C72773">
        <w:rPr>
          <w:rFonts w:ascii="Times New Roman" w:hAnsi="Times New Roman"/>
          <w:sz w:val="24"/>
        </w:rPr>
        <w:t xml:space="preserve"> u l-ammont totali ta’ telf mir-riskji </w:t>
      </w:r>
      <w:proofErr w:type="spellStart"/>
      <w:r w:rsidRPr="00C72773">
        <w:rPr>
          <w:rFonts w:ascii="Times New Roman" w:hAnsi="Times New Roman"/>
          <w:sz w:val="24"/>
        </w:rPr>
        <w:t>operazzjonali</w:t>
      </w:r>
      <w:proofErr w:type="spellEnd"/>
      <w:r w:rsidRPr="00C72773">
        <w:rPr>
          <w:rFonts w:ascii="Times New Roman" w:hAnsi="Times New Roman"/>
          <w:sz w:val="24"/>
        </w:rPr>
        <w:t xml:space="preserve"> nett mill-</w:t>
      </w:r>
      <w:proofErr w:type="spellStart"/>
      <w:r w:rsidRPr="00C72773">
        <w:rPr>
          <w:rFonts w:ascii="Times New Roman" w:hAnsi="Times New Roman"/>
          <w:sz w:val="24"/>
        </w:rPr>
        <w:t>irkupri</w:t>
      </w:r>
      <w:proofErr w:type="spellEnd"/>
      <w:r w:rsidRPr="00C72773">
        <w:rPr>
          <w:rFonts w:ascii="Times New Roman" w:hAnsi="Times New Roman"/>
          <w:sz w:val="24"/>
        </w:rPr>
        <w:t xml:space="preserve"> u nett minn telf eskluż. L-ammont annwali totali ta’ telf mir-riskji </w:t>
      </w:r>
      <w:proofErr w:type="spellStart"/>
      <w:r w:rsidRPr="00C72773">
        <w:rPr>
          <w:rFonts w:ascii="Times New Roman" w:hAnsi="Times New Roman"/>
          <w:sz w:val="24"/>
        </w:rPr>
        <w:t>operazzjonali</w:t>
      </w:r>
      <w:proofErr w:type="spellEnd"/>
      <w:r w:rsidRPr="00C72773">
        <w:rPr>
          <w:rFonts w:ascii="Times New Roman" w:hAnsi="Times New Roman"/>
          <w:sz w:val="24"/>
        </w:rPr>
        <w:t xml:space="preserve"> se jiġi </w:t>
      </w:r>
      <w:proofErr w:type="spellStart"/>
      <w:r w:rsidRPr="00C72773">
        <w:rPr>
          <w:rFonts w:ascii="Times New Roman" w:hAnsi="Times New Roman"/>
          <w:sz w:val="24"/>
        </w:rPr>
        <w:t>kkalkulat</w:t>
      </w:r>
      <w:proofErr w:type="spellEnd"/>
      <w:r w:rsidRPr="00C72773">
        <w:rPr>
          <w:rFonts w:ascii="Times New Roman" w:hAnsi="Times New Roman"/>
          <w:sz w:val="24"/>
        </w:rPr>
        <w:t xml:space="preserve"> bħala s-somma tat-telf nett kollu matul sena finanzjarja partikolari, ikkalkulat f’</w:t>
      </w:r>
      <w:proofErr w:type="spellStart"/>
      <w:r w:rsidRPr="00C72773">
        <w:rPr>
          <w:rFonts w:ascii="Times New Roman" w:hAnsi="Times New Roman"/>
          <w:sz w:val="24"/>
        </w:rPr>
        <w:t>konformità</w:t>
      </w:r>
      <w:proofErr w:type="spellEnd"/>
      <w:r w:rsidRPr="00C72773">
        <w:rPr>
          <w:rFonts w:ascii="Times New Roman" w:hAnsi="Times New Roman"/>
          <w:sz w:val="24"/>
        </w:rPr>
        <w:t xml:space="preserve"> mal-Artikolu 318(1) tar-Regolament (UE) 575/2013, li huwa ugwali jew ogħla mil-limiti tad-data dwar it-telf stabbiliti fl-Artikolu 319(1) jew (2), rispettivament ta’ dak ir-Regolament (jiġifieri €20,000 u €100,000). Madankollu, telf ikkawżat minn event ta’ riskju </w:t>
      </w:r>
      <w:proofErr w:type="spellStart"/>
      <w:r w:rsidRPr="00C72773">
        <w:rPr>
          <w:rFonts w:ascii="Times New Roman" w:hAnsi="Times New Roman"/>
          <w:sz w:val="24"/>
        </w:rPr>
        <w:t>operazzjonali</w:t>
      </w:r>
      <w:proofErr w:type="spellEnd"/>
      <w:r w:rsidRPr="00C72773">
        <w:rPr>
          <w:rFonts w:ascii="Times New Roman" w:hAnsi="Times New Roman"/>
          <w:sz w:val="24"/>
        </w:rPr>
        <w:t xml:space="preserve"> komuni jew minn bosta eventi marbuta mal-istess event ta’ riskju </w:t>
      </w:r>
      <w:proofErr w:type="spellStart"/>
      <w:r w:rsidRPr="00C72773">
        <w:rPr>
          <w:rFonts w:ascii="Times New Roman" w:hAnsi="Times New Roman"/>
          <w:sz w:val="24"/>
        </w:rPr>
        <w:t>operazzjonali</w:t>
      </w:r>
      <w:proofErr w:type="spellEnd"/>
      <w:r w:rsidRPr="00C72773">
        <w:rPr>
          <w:rFonts w:ascii="Times New Roman" w:hAnsi="Times New Roman"/>
          <w:sz w:val="24"/>
        </w:rPr>
        <w:t xml:space="preserve"> (“event oriġinali”), li huma rikonoxxuti fi snin </w:t>
      </w:r>
      <w:proofErr w:type="spellStart"/>
      <w:r w:rsidRPr="00C72773">
        <w:rPr>
          <w:rFonts w:ascii="Times New Roman" w:hAnsi="Times New Roman"/>
          <w:sz w:val="24"/>
        </w:rPr>
        <w:t>kontabilistiċi</w:t>
      </w:r>
      <w:proofErr w:type="spellEnd"/>
      <w:r w:rsidRPr="00C72773">
        <w:rPr>
          <w:rFonts w:ascii="Times New Roman" w:hAnsi="Times New Roman"/>
          <w:sz w:val="24"/>
        </w:rPr>
        <w:t xml:space="preserve"> differenti, għandu jingħadd flimkien għall-aħħar 10 snin sabiex jiġi </w:t>
      </w:r>
      <w:proofErr w:type="spellStart"/>
      <w:r w:rsidRPr="00C72773">
        <w:rPr>
          <w:rFonts w:ascii="Times New Roman" w:hAnsi="Times New Roman"/>
          <w:sz w:val="24"/>
        </w:rPr>
        <w:t>ddeterminat</w:t>
      </w:r>
      <w:proofErr w:type="spellEnd"/>
      <w:r w:rsidRPr="00C72773">
        <w:rPr>
          <w:rFonts w:ascii="Times New Roman" w:hAnsi="Times New Roman"/>
          <w:sz w:val="24"/>
        </w:rPr>
        <w:t xml:space="preserve"> jekk il-limitu għad-</w:t>
      </w:r>
      <w:proofErr w:type="spellStart"/>
      <w:r w:rsidRPr="00C72773">
        <w:rPr>
          <w:rFonts w:ascii="Times New Roman" w:hAnsi="Times New Roman"/>
          <w:sz w:val="24"/>
        </w:rPr>
        <w:t>divulgazzjoni</w:t>
      </w:r>
      <w:proofErr w:type="spellEnd"/>
      <w:r w:rsidRPr="00C72773">
        <w:rPr>
          <w:rFonts w:ascii="Times New Roman" w:hAnsi="Times New Roman"/>
          <w:sz w:val="24"/>
        </w:rPr>
        <w:t xml:space="preserve"> </w:t>
      </w:r>
      <w:proofErr w:type="spellStart"/>
      <w:r w:rsidRPr="00C72773">
        <w:rPr>
          <w:rFonts w:ascii="Times New Roman" w:hAnsi="Times New Roman"/>
          <w:sz w:val="24"/>
        </w:rPr>
        <w:t>jinqabiżx</w:t>
      </w:r>
      <w:proofErr w:type="spellEnd"/>
      <w:r w:rsidRPr="00C72773">
        <w:rPr>
          <w:rFonts w:ascii="Times New Roman" w:hAnsi="Times New Roman"/>
          <w:sz w:val="24"/>
        </w:rPr>
        <w:t xml:space="preserve"> jew le. It-telf u l-aġġustamenti għandhom jiġu żvelati skont id-dispożizzjonijiet skont l-Artikolu 317(3)(c) u l-Artikolu 318 tar-Regolament (UE) Nru 575/2013. Dawn l-ammonti għandhom jiġu żvelati fis-sena li fiha jkunu ġew irreġistrati fir-rapporti finanzjarji.</w:t>
      </w:r>
    </w:p>
    <w:p w14:paraId="2702CB88" w14:textId="77777777" w:rsidR="00D740B8" w:rsidRPr="00C72773" w:rsidRDefault="00D740B8" w:rsidP="00D740B8">
      <w:pPr>
        <w:pStyle w:val="ListParagraph"/>
        <w:rPr>
          <w:rFonts w:ascii="Times New Roman" w:hAnsi="Times New Roman"/>
          <w:bCs/>
          <w:sz w:val="24"/>
        </w:rPr>
      </w:pPr>
    </w:p>
    <w:p w14:paraId="3146DBD3" w14:textId="48F555B9" w:rsidR="00D740B8" w:rsidRPr="00C72773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C72773">
        <w:rPr>
          <w:rFonts w:ascii="Times New Roman" w:hAnsi="Times New Roman"/>
          <w:sz w:val="24"/>
        </w:rPr>
        <w:lastRenderedPageBreak/>
        <w:t xml:space="preserve"> Fin-</w:t>
      </w:r>
      <w:proofErr w:type="spellStart"/>
      <w:r w:rsidRPr="00C72773">
        <w:rPr>
          <w:rFonts w:ascii="Times New Roman" w:hAnsi="Times New Roman"/>
          <w:sz w:val="24"/>
        </w:rPr>
        <w:t>narrattiva</w:t>
      </w:r>
      <w:proofErr w:type="spellEnd"/>
      <w:r w:rsidRPr="00C72773">
        <w:rPr>
          <w:rFonts w:ascii="Times New Roman" w:hAnsi="Times New Roman"/>
          <w:sz w:val="24"/>
        </w:rPr>
        <w:t xml:space="preserve"> ta’ akkumpanjament, l-istituzzjonijiet għandhom jiżvelaw il-</w:t>
      </w:r>
      <w:proofErr w:type="spellStart"/>
      <w:r w:rsidRPr="00C72773">
        <w:rPr>
          <w:rFonts w:ascii="Times New Roman" w:hAnsi="Times New Roman"/>
          <w:sz w:val="24"/>
        </w:rPr>
        <w:t>ġustifikazzjonijiet</w:t>
      </w:r>
      <w:proofErr w:type="spellEnd"/>
      <w:r w:rsidRPr="00C72773">
        <w:rPr>
          <w:rFonts w:ascii="Times New Roman" w:hAnsi="Times New Roman"/>
          <w:sz w:val="24"/>
        </w:rPr>
        <w:t xml:space="preserve"> b’mod aggregat għall-eventi ta’ riskju </w:t>
      </w:r>
      <w:proofErr w:type="spellStart"/>
      <w:r w:rsidRPr="00C72773">
        <w:rPr>
          <w:rFonts w:ascii="Times New Roman" w:hAnsi="Times New Roman"/>
          <w:sz w:val="24"/>
        </w:rPr>
        <w:t>operazzjonali</w:t>
      </w:r>
      <w:proofErr w:type="spellEnd"/>
      <w:r w:rsidRPr="00C72773">
        <w:rPr>
          <w:rFonts w:ascii="Times New Roman" w:hAnsi="Times New Roman"/>
          <w:sz w:val="24"/>
        </w:rPr>
        <w:t xml:space="preserve"> eċċezzjonali li ġew esklużi mill-kalkolu tat-telf annwali mir-riskju </w:t>
      </w:r>
      <w:proofErr w:type="spellStart"/>
      <w:r w:rsidRPr="00C72773">
        <w:rPr>
          <w:rFonts w:ascii="Times New Roman" w:hAnsi="Times New Roman"/>
          <w:sz w:val="24"/>
        </w:rPr>
        <w:t>operazzjonali</w:t>
      </w:r>
      <w:proofErr w:type="spellEnd"/>
      <w:r w:rsidRPr="00C72773">
        <w:rPr>
          <w:rFonts w:ascii="Times New Roman" w:hAnsi="Times New Roman"/>
          <w:sz w:val="24"/>
        </w:rPr>
        <w:t>, f’</w:t>
      </w:r>
      <w:proofErr w:type="spellStart"/>
      <w:r w:rsidRPr="00C72773">
        <w:rPr>
          <w:rFonts w:ascii="Times New Roman" w:hAnsi="Times New Roman"/>
          <w:sz w:val="24"/>
        </w:rPr>
        <w:t>konformità</w:t>
      </w:r>
      <w:proofErr w:type="spellEnd"/>
      <w:r w:rsidRPr="00C72773">
        <w:rPr>
          <w:rFonts w:ascii="Times New Roman" w:hAnsi="Times New Roman"/>
          <w:sz w:val="24"/>
        </w:rPr>
        <w:t xml:space="preserve"> mal-Artikolu 446(2), il-punt b) tar-Regolament (UE) Nru 575/2013.</w:t>
      </w:r>
    </w:p>
    <w:p w14:paraId="066C0912" w14:textId="77777777" w:rsidR="00D740B8" w:rsidRPr="00C72773" w:rsidRDefault="00D740B8" w:rsidP="00D740B8">
      <w:pPr>
        <w:pStyle w:val="ListParagraph"/>
        <w:rPr>
          <w:rFonts w:ascii="Times New Roman" w:hAnsi="Times New Roman"/>
          <w:bCs/>
          <w:sz w:val="24"/>
        </w:rPr>
      </w:pPr>
    </w:p>
    <w:p w14:paraId="79A49BBA" w14:textId="5D2F1C9E" w:rsidR="00D740B8" w:rsidRPr="00C72773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C72773">
        <w:rPr>
          <w:rFonts w:ascii="Times New Roman" w:hAnsi="Times New Roman"/>
          <w:sz w:val="24"/>
        </w:rPr>
        <w:t xml:space="preserve"> L-istituzzjonijiet għandhom jiżvelaw ukoll, b’mod aggregat, kwalunkwe informazzjoni materjali li tista’ tgħin lill-utenti jifhmu t-telf storiku, l-</w:t>
      </w:r>
      <w:proofErr w:type="spellStart"/>
      <w:r w:rsidRPr="00C72773">
        <w:rPr>
          <w:rFonts w:ascii="Times New Roman" w:hAnsi="Times New Roman"/>
          <w:sz w:val="24"/>
        </w:rPr>
        <w:t>irkupri</w:t>
      </w:r>
      <w:proofErr w:type="spellEnd"/>
      <w:r w:rsidRPr="00C72773">
        <w:rPr>
          <w:rFonts w:ascii="Times New Roman" w:hAnsi="Times New Roman"/>
          <w:sz w:val="24"/>
        </w:rPr>
        <w:t xml:space="preserve"> u r-riżervi legali tal-istituzzjonijiet, bl-eċċezzjoni ta’ informazzjoni kunfidenzjali u </w:t>
      </w:r>
      <w:proofErr w:type="spellStart"/>
      <w:r w:rsidRPr="00C72773">
        <w:rPr>
          <w:rFonts w:ascii="Times New Roman" w:hAnsi="Times New Roman"/>
          <w:sz w:val="24"/>
        </w:rPr>
        <w:t>proprjetarja</w:t>
      </w:r>
      <w:proofErr w:type="spellEnd"/>
      <w:r w:rsidRPr="00C72773">
        <w:rPr>
          <w:rFonts w:ascii="Times New Roman" w:hAnsi="Times New Roman"/>
          <w:sz w:val="24"/>
        </w:rPr>
        <w:t>.</w:t>
      </w:r>
    </w:p>
    <w:p w14:paraId="3AF72482" w14:textId="77777777" w:rsidR="00D740B8" w:rsidRPr="00C72773" w:rsidRDefault="00D740B8" w:rsidP="00D740B8">
      <w:pPr>
        <w:pStyle w:val="ListParagraph"/>
        <w:rPr>
          <w:rFonts w:ascii="Times New Roman" w:hAnsi="Times New Roman"/>
          <w:bCs/>
          <w:sz w:val="24"/>
        </w:rPr>
      </w:pPr>
    </w:p>
    <w:p w14:paraId="36406578" w14:textId="77777777" w:rsidR="00D740B8" w:rsidRPr="00C72773" w:rsidRDefault="00D740B8" w:rsidP="00D740B8">
      <w:pPr>
        <w:pStyle w:val="ListParagraph"/>
        <w:rPr>
          <w:rFonts w:ascii="Times New Roman" w:hAnsi="Times New Roman"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7745"/>
      </w:tblGrid>
      <w:tr w:rsidR="00D740B8" w:rsidRPr="00C72773" w14:paraId="7E388732" w14:textId="77777777">
        <w:tc>
          <w:tcPr>
            <w:tcW w:w="1271" w:type="dxa"/>
            <w:shd w:val="clear" w:color="auto" w:fill="BFBFBF" w:themeFill="background1" w:themeFillShade="BF"/>
          </w:tcPr>
          <w:p w14:paraId="5F81890E" w14:textId="77777777" w:rsidR="00D740B8" w:rsidRPr="00C72773" w:rsidRDefault="00D740B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Kolonna</w:t>
            </w:r>
          </w:p>
        </w:tc>
        <w:tc>
          <w:tcPr>
            <w:tcW w:w="7745" w:type="dxa"/>
            <w:shd w:val="clear" w:color="auto" w:fill="BFBFBF" w:themeFill="background1" w:themeFillShade="BF"/>
          </w:tcPr>
          <w:p w14:paraId="0773BD79" w14:textId="77777777" w:rsidR="00D740B8" w:rsidRPr="00C72773" w:rsidRDefault="00D740B8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Referenzi legali u struzzjonijiet</w:t>
            </w:r>
          </w:p>
        </w:tc>
      </w:tr>
      <w:tr w:rsidR="00D740B8" w:rsidRPr="00C72773" w14:paraId="4A7B0862" w14:textId="77777777">
        <w:tc>
          <w:tcPr>
            <w:tcW w:w="1271" w:type="dxa"/>
          </w:tcPr>
          <w:p w14:paraId="59A78ADD" w14:textId="77777777" w:rsidR="00D740B8" w:rsidRPr="00C72773" w:rsidRDefault="00D74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>a sa j</w:t>
            </w:r>
          </w:p>
        </w:tc>
        <w:tc>
          <w:tcPr>
            <w:tcW w:w="7745" w:type="dxa"/>
          </w:tcPr>
          <w:p w14:paraId="0B872A50" w14:textId="77777777" w:rsidR="00D740B8" w:rsidRPr="00C72773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Sena (T, T-1, T-2, T-3, T-4, T-5, T-6, T-7, T-8, T-9)</w:t>
            </w:r>
          </w:p>
          <w:p w14:paraId="5B6EF35C" w14:textId="3033D1CC" w:rsidR="00D740B8" w:rsidRPr="00C72773" w:rsidRDefault="00D740B8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 xml:space="preserve">Il-valur indikat mir-ringiela korrispondenti, għall-aħħar 10 snin finanzjarji. </w:t>
            </w:r>
          </w:p>
        </w:tc>
      </w:tr>
      <w:tr w:rsidR="00D740B8" w:rsidRPr="00C72773" w14:paraId="7D63969A" w14:textId="77777777">
        <w:tc>
          <w:tcPr>
            <w:tcW w:w="1271" w:type="dxa"/>
          </w:tcPr>
          <w:p w14:paraId="6CFD6A05" w14:textId="77777777" w:rsidR="00D740B8" w:rsidRPr="00C72773" w:rsidRDefault="00D74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7745" w:type="dxa"/>
          </w:tcPr>
          <w:p w14:paraId="50D93A86" w14:textId="77777777" w:rsidR="00D740B8" w:rsidRPr="00C72773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Medja ta’ 10 snin</w:t>
            </w:r>
          </w:p>
          <w:p w14:paraId="38A7187F" w14:textId="0CB464F2" w:rsidR="00D740B8" w:rsidRPr="00C72773" w:rsidRDefault="00D740B8">
            <w:pPr>
              <w:spacing w:before="120" w:after="120"/>
              <w:rPr>
                <w:rFonts w:ascii="Times New Roman" w:hAnsi="Times New Roman"/>
                <w:bCs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>Il-medja tal-valuri indikati mir-ringiela korrispondenti matul l-aħħar 10 snin.</w:t>
            </w:r>
          </w:p>
        </w:tc>
      </w:tr>
    </w:tbl>
    <w:p w14:paraId="7095834F" w14:textId="77777777" w:rsidR="00D740B8" w:rsidRPr="00C72773" w:rsidRDefault="00D740B8" w:rsidP="00D740B8">
      <w:pPr>
        <w:pStyle w:val="ListParagraph"/>
        <w:rPr>
          <w:rFonts w:ascii="Times New Roman" w:hAnsi="Times New Roman"/>
          <w:bCs/>
          <w:sz w:val="24"/>
        </w:rPr>
      </w:pPr>
    </w:p>
    <w:p w14:paraId="32DB6729" w14:textId="77777777" w:rsidR="00D740B8" w:rsidRPr="00C72773" w:rsidRDefault="00D740B8" w:rsidP="00D740B8">
      <w:pPr>
        <w:pStyle w:val="ListParagraph"/>
        <w:rPr>
          <w:rFonts w:ascii="Times New Roman" w:hAnsi="Times New Roman"/>
          <w:bCs/>
          <w:sz w:val="24"/>
        </w:rPr>
      </w:pPr>
    </w:p>
    <w:p w14:paraId="2611544E" w14:textId="77777777" w:rsidR="00D740B8" w:rsidRPr="00C72773" w:rsidRDefault="00D740B8" w:rsidP="00D740B8">
      <w:pPr>
        <w:pStyle w:val="ListParagraph"/>
        <w:rPr>
          <w:rFonts w:ascii="Times New Roman" w:hAnsi="Times New Roman"/>
          <w:bCs/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768"/>
      </w:tblGrid>
      <w:tr w:rsidR="00D740B8" w:rsidRPr="00C72773" w14:paraId="75D19248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C07F6" w14:textId="1ED352CF" w:rsidR="00D740B8" w:rsidRPr="00C72773" w:rsidRDefault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Ringiela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2A10C0" w14:textId="77777777" w:rsidR="00D740B8" w:rsidRPr="00C72773" w:rsidRDefault="00D740B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Referenzi legali u struzzjonijiet</w:t>
            </w:r>
          </w:p>
        </w:tc>
      </w:tr>
      <w:tr w:rsidR="00D740B8" w:rsidRPr="00C72773" w14:paraId="5B979768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5C0BB" w14:textId="77777777" w:rsidR="00D740B8" w:rsidRPr="00C72773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F810E" w14:textId="221857B7" w:rsidR="00D740B8" w:rsidRPr="00C72773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 xml:space="preserve">Ammont totali ta’ telf mir-riskji </w:t>
            </w:r>
            <w:proofErr w:type="spellStart"/>
            <w:r w:rsidRPr="00C72773">
              <w:rPr>
                <w:rFonts w:ascii="Times New Roman" w:hAnsi="Times New Roman"/>
                <w:b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b/>
                <w:sz w:val="24"/>
              </w:rPr>
              <w:t xml:space="preserve"> nett mill-</w:t>
            </w:r>
            <w:proofErr w:type="spellStart"/>
            <w:r w:rsidRPr="00C72773">
              <w:rPr>
                <w:rFonts w:ascii="Times New Roman" w:hAnsi="Times New Roman"/>
                <w:b/>
                <w:sz w:val="24"/>
              </w:rPr>
              <w:t>irkupri</w:t>
            </w:r>
            <w:proofErr w:type="spellEnd"/>
            <w:r w:rsidRPr="00C72773">
              <w:rPr>
                <w:rFonts w:ascii="Times New Roman" w:hAnsi="Times New Roman"/>
                <w:b/>
                <w:sz w:val="24"/>
              </w:rPr>
              <w:t xml:space="preserve"> (l-ebda esklużjoni)</w:t>
            </w:r>
          </w:p>
          <w:p w14:paraId="73A6B59F" w14:textId="42A729DD" w:rsidR="00D740B8" w:rsidRPr="00C72773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>L-Artikolu 446(2), il-punt a) u l-Artikolu 316(1) tar-Regolament (UE) Nru 575/2013.</w:t>
            </w:r>
          </w:p>
          <w:p w14:paraId="5D929629" w14:textId="254FA976" w:rsidR="00D740B8" w:rsidRPr="00C72773" w:rsidRDefault="002B078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>Ir-ringiela għandha tiżvela l-ammont ta’ telf totali nett mill-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irkupri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li jirriżultaw minn eventi ta’ telf ogħla mil-limitu tal-event ta’ telf ta’ €20,000 għal kull wieħed mill-aħħar 10 perjodi tar-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rappurtar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, inkluż telf minn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fużjonijiet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u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akkwiżizzjonijiet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. Telf ikkawżat minn event ta’ riskju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komuni, jew minn bosta eventi marbuta mal-istess event ta’ riskju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, li huma rikonoxxuti fi snin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kontabilistiċi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differenti, għandu jingħadd flimkien għall-aħħar 10 snin sabiex jiġi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ddeterminat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jekk il-limitu għad-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divulgazzjoni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jinqabiżx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jew le. Eventi ta’ riskju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eċċezzjonali tas-sena li ma għadhomx rilevanti għall-profil tar-riskju tal-istituzzjoni li għalihom l-istituzzjoni ngħatat permess mill-Awtorità Kompetenti sabiex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teskludihom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mit-telf mir-riskju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annwali tal-istituzzjoni,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mal-Artikolu 320(1) tar-Regolament (UE) Nru 575/2013, xorta għandhom jitqiesu fil-kalkolu tal-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entrata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għal din ir-ringiela.</w:t>
            </w:r>
          </w:p>
        </w:tc>
      </w:tr>
      <w:tr w:rsidR="00D740B8" w:rsidRPr="00C72773" w14:paraId="1A3189BF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85BED" w14:textId="77777777" w:rsidR="00D740B8" w:rsidRPr="00C72773" w:rsidRDefault="00D740B8" w:rsidP="00C72773">
            <w:pPr>
              <w:pageBreakBefore/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B8990" w14:textId="77777777" w:rsidR="00D740B8" w:rsidRPr="00C72773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 xml:space="preserve">Għadd totali ta’ telf mir-riskji </w:t>
            </w:r>
            <w:proofErr w:type="spellStart"/>
            <w:r w:rsidRPr="00C72773">
              <w:rPr>
                <w:rFonts w:ascii="Times New Roman" w:hAnsi="Times New Roman"/>
                <w:b/>
                <w:sz w:val="24"/>
              </w:rPr>
              <w:t>operazzjonali</w:t>
            </w:r>
            <w:proofErr w:type="spellEnd"/>
          </w:p>
          <w:p w14:paraId="2EA91375" w14:textId="28AF0058" w:rsidR="00D740B8" w:rsidRPr="00C72773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>L-Artikolu 446(2), il-punt a) u l-Artikolu 316(1) tar-Regolament (UE) Nru 575/2013.</w:t>
            </w:r>
          </w:p>
          <w:p w14:paraId="275C478C" w14:textId="69738AFF" w:rsidR="00D740B8" w:rsidRPr="00C72773" w:rsidRDefault="004714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 xml:space="preserve">L-għadd totali ta’ telf mir-riskji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ogħla mil-limitu tal-event ta’ telf ta’ €20,000.</w:t>
            </w:r>
          </w:p>
        </w:tc>
      </w:tr>
      <w:tr w:rsidR="00D740B8" w:rsidRPr="00C72773" w14:paraId="30368E01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E2D97" w14:textId="77777777" w:rsidR="00D740B8" w:rsidRPr="00C72773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7E573" w14:textId="06E670C1" w:rsidR="00D740B8" w:rsidRPr="00C72773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 xml:space="preserve">Ammont totali ta’ telf mir-riskji </w:t>
            </w:r>
            <w:proofErr w:type="spellStart"/>
            <w:r w:rsidRPr="00C72773">
              <w:rPr>
                <w:rFonts w:ascii="Times New Roman" w:hAnsi="Times New Roman"/>
                <w:b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b/>
                <w:sz w:val="24"/>
              </w:rPr>
              <w:t xml:space="preserve"> eskluż</w:t>
            </w:r>
          </w:p>
          <w:p w14:paraId="5C1A66AF" w14:textId="5CAD041D" w:rsidR="00D740B8" w:rsidRPr="00C72773" w:rsidRDefault="00D740B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lastRenderedPageBreak/>
              <w:t>L-Artikolu 446(2), il-punt b) u l-Artikolu 320(1) tar-Regolament (UE) Nru 575/2013.</w:t>
            </w:r>
          </w:p>
          <w:p w14:paraId="7BE235CA" w14:textId="7483A5B2" w:rsidR="00D740B8" w:rsidRPr="00C72773" w:rsidRDefault="002B078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>L-ammonti totali ta’ telf nett ogħla mil-limitu ta’ telf ta’ €20,000 li ġew esklużi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mal-Artikolu 320(1) tar-Regolament (UE) Nru 575/2013, għal kull wieħed mill-aħħar 10 perjodi tar-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rappurtar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>.</w:t>
            </w:r>
          </w:p>
        </w:tc>
      </w:tr>
      <w:tr w:rsidR="00D740B8" w:rsidRPr="00C72773" w14:paraId="2771244B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28D83" w14:textId="77777777" w:rsidR="00D740B8" w:rsidRPr="00C72773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lastRenderedPageBreak/>
              <w:t>4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BA990" w14:textId="77777777" w:rsidR="00D740B8" w:rsidRPr="00C72773" w:rsidRDefault="00D740B8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Għadd totali ta’ eventi ta’ riskji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operazzjonali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 esklużi</w:t>
            </w:r>
          </w:p>
          <w:p w14:paraId="7914E462" w14:textId="7978A3B5" w:rsidR="00D740B8" w:rsidRPr="00C72773" w:rsidRDefault="00D740B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>L-Artikolu 446(2), il-punt b) u l-Artikolu 320(1) tar-Regolament (UE) Nru 575/2013.</w:t>
            </w:r>
          </w:p>
          <w:p w14:paraId="318A732C" w14:textId="242D554F" w:rsidR="00D740B8" w:rsidRPr="00C72773" w:rsidRDefault="009D4A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 xml:space="preserve">L-għadd totali ta’ eventi ta’ riskju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eċċezzjonali ogħla mil-limitu tal-event ta’ telf ta’ €20,000 li ġew esklużi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mal-Artikolu 320(1) tar-Regolament (UE) 575/2013 għal kull wieħed mill-aħħar 10 perjodi tar-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rappurtar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. </w:t>
            </w:r>
          </w:p>
        </w:tc>
      </w:tr>
      <w:tr w:rsidR="00D740B8" w:rsidRPr="00C72773" w14:paraId="155A14DC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A2BC3" w14:textId="77777777" w:rsidR="00D740B8" w:rsidRPr="00C72773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D9B80" w14:textId="218BBE7C" w:rsidR="00D740B8" w:rsidRPr="00C72773" w:rsidRDefault="00D740B8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Ammont totali ta’ telf mir-riskji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operazzjonali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 nett mill-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irkupri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 u nett mit-telf eskluż</w:t>
            </w:r>
          </w:p>
          <w:p w14:paraId="4203582A" w14:textId="7C24EBAE" w:rsidR="00D740B8" w:rsidRPr="00C72773" w:rsidRDefault="002B078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 xml:space="preserve">L-ammont totali ta’ telf mir-riskji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, li minnu jitnaqqas l-ammont ta’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rkupri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żvelati fir-ringiela 1, u li minnu jitnaqqas it-telf eskluż żvelat fir-ringiela 3.</w:t>
            </w:r>
          </w:p>
        </w:tc>
      </w:tr>
      <w:tr w:rsidR="00D740B8" w:rsidRPr="00C72773" w14:paraId="533A412E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EE7FB" w14:textId="77777777" w:rsidR="00D740B8" w:rsidRPr="00C72773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65A87" w14:textId="409B91B6" w:rsidR="00D740B8" w:rsidRPr="00C72773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 xml:space="preserve">Ammont totali ta’ telf mir-riskji </w:t>
            </w:r>
            <w:proofErr w:type="spellStart"/>
            <w:r w:rsidRPr="00C72773">
              <w:rPr>
                <w:rFonts w:ascii="Times New Roman" w:hAnsi="Times New Roman"/>
                <w:b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b/>
                <w:sz w:val="24"/>
              </w:rPr>
              <w:t xml:space="preserve"> nett mill-</w:t>
            </w:r>
            <w:proofErr w:type="spellStart"/>
            <w:r w:rsidRPr="00C72773">
              <w:rPr>
                <w:rFonts w:ascii="Times New Roman" w:hAnsi="Times New Roman"/>
                <w:b/>
                <w:sz w:val="24"/>
              </w:rPr>
              <w:t>irkupri</w:t>
            </w:r>
            <w:proofErr w:type="spellEnd"/>
            <w:r w:rsidRPr="00C72773">
              <w:rPr>
                <w:rFonts w:ascii="Times New Roman" w:hAnsi="Times New Roman"/>
                <w:b/>
                <w:sz w:val="24"/>
              </w:rPr>
              <w:t xml:space="preserve"> (l-ebda esklużjoni)</w:t>
            </w:r>
          </w:p>
          <w:p w14:paraId="647BDEC8" w14:textId="66617A83" w:rsidR="00D740B8" w:rsidRPr="00C72773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>L-Artikolu 446(2), il-punt a) u l-Artikolu 316(1) tar-Regolament (UE) Nru 575/2013.</w:t>
            </w:r>
          </w:p>
          <w:p w14:paraId="7F1E94AA" w14:textId="3C3700EE" w:rsidR="00D740B8" w:rsidRPr="00C72773" w:rsidRDefault="003D54AC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 xml:space="preserve">L-ammont totali ta’ telf mir-riskji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, li minnu jitnaqqas l-ammont ta’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rkupri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>, li jirriżulta minn eventi ta’ telf ’il fuq mil-limitu tal-event ta’ telf ta’ €100,000 għal kull wieħed mill-aħħar 10 perjodi tar-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rappurtar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, inkluż telf minn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fużjonijiet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u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akkwiżizzjonijiet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. Telf ikkawżat minn event ta’ riskju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komuni, jew minn bosta eventi marbuta mal-istess event ta’ riskju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, li huma rikonoxxuti fi snin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kontabilistiċi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differenti, għandu jingħadd flimkien għall-aħħar 10 snin sabiex jiġi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ddeterminat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jekk il-limitu għad-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divulgazzjoni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jinqabiżx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jew le. Eventi ta’ riskju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eċċezzjonali tas-sena li ma għadhomx rilevanti għall-profil tar-riskju tal-istituzzjoni li għalihom l-istituzzjoni ngħatat permess mill-Awtorità Kompetenti sabiex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teskludihom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mit-telf mir-riskju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annwali tal-istituzzjoni,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mal-Artikolu 320(1) tar-Regolament (UE) Nru 575/2013, xorta għandhom jitqiesu fil-kalkolu tal-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entrata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għal din ir-ringiela.</w:t>
            </w:r>
          </w:p>
        </w:tc>
      </w:tr>
      <w:tr w:rsidR="00D740B8" w:rsidRPr="00C72773" w14:paraId="55F7B964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372A0" w14:textId="77777777" w:rsidR="00D740B8" w:rsidRPr="00C72773" w:rsidRDefault="00D740B8" w:rsidP="00C72773">
            <w:pPr>
              <w:pageBreakBefore/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15A10" w14:textId="77777777" w:rsidR="00D740B8" w:rsidRPr="00C72773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 xml:space="preserve">Għadd totali ta’ telf mir-riskji </w:t>
            </w:r>
            <w:proofErr w:type="spellStart"/>
            <w:r w:rsidRPr="00C72773">
              <w:rPr>
                <w:rFonts w:ascii="Times New Roman" w:hAnsi="Times New Roman"/>
                <w:b/>
                <w:sz w:val="24"/>
              </w:rPr>
              <w:t>operazzjonali</w:t>
            </w:r>
            <w:proofErr w:type="spellEnd"/>
          </w:p>
          <w:p w14:paraId="7AD8EE0D" w14:textId="092E19E2" w:rsidR="00D740B8" w:rsidRPr="00C72773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>L-Artikolu 446(2), il-punt a) u l-Artikolu 316(1) tar-Regolament (UE) Nru 575/2013.</w:t>
            </w:r>
          </w:p>
          <w:p w14:paraId="6F316B8B" w14:textId="6ABB567B" w:rsidR="00D740B8" w:rsidRPr="00C72773" w:rsidRDefault="00471410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 xml:space="preserve">L-għadd totali ta’ telf mir-riskji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ogħla mil-limitu tal-event ta’ telf ta’ €100,000.</w:t>
            </w:r>
          </w:p>
        </w:tc>
      </w:tr>
      <w:tr w:rsidR="00D740B8" w:rsidRPr="00C72773" w14:paraId="774B79FA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021F3" w14:textId="77777777" w:rsidR="00D740B8" w:rsidRPr="00C72773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31AFB" w14:textId="77777777" w:rsidR="00D740B8" w:rsidRPr="00C72773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 xml:space="preserve">Ammont totali ta’ telf mir-riskji </w:t>
            </w:r>
            <w:proofErr w:type="spellStart"/>
            <w:r w:rsidRPr="00C72773">
              <w:rPr>
                <w:rFonts w:ascii="Times New Roman" w:hAnsi="Times New Roman"/>
                <w:b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b/>
                <w:sz w:val="24"/>
              </w:rPr>
              <w:t xml:space="preserve"> eskluż</w:t>
            </w:r>
          </w:p>
          <w:p w14:paraId="71DECF65" w14:textId="48A395A5" w:rsidR="00D740B8" w:rsidRPr="00C72773" w:rsidRDefault="00D740B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lastRenderedPageBreak/>
              <w:t>L-Artikolu 446(2), il-punt b) u l-Artikolu 320(1) tar-Regolament (UE) Nru 575/2013.</w:t>
            </w:r>
          </w:p>
          <w:p w14:paraId="0BC74916" w14:textId="396B699A" w:rsidR="00D740B8" w:rsidRPr="00C72773" w:rsidRDefault="003D54AC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>L-ammonti ta’ telf nett totali ogħla mil-limitu tal-event ta’ telf ta’ €100,000, esklużi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mal-Artikolu 320(1) tar-Regolament (UE) 575/2013, għal kull wieħed mill-aħħar 10 perjodi tar-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rappurtar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>.</w:t>
            </w:r>
          </w:p>
        </w:tc>
      </w:tr>
      <w:tr w:rsidR="00D740B8" w:rsidRPr="00C72773" w14:paraId="33C9C19A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35360" w14:textId="77777777" w:rsidR="00D740B8" w:rsidRPr="00C72773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lastRenderedPageBreak/>
              <w:t>9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23E8D" w14:textId="77777777" w:rsidR="00D740B8" w:rsidRPr="00C72773" w:rsidRDefault="00D740B8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Għadd totali ta’ eventi ta’ riskji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operazzjonali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 esklużi</w:t>
            </w:r>
          </w:p>
          <w:p w14:paraId="2B56754D" w14:textId="46B0AAAA" w:rsidR="00D740B8" w:rsidRPr="00C72773" w:rsidRDefault="00D740B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>L-Artikolu 446(2), il-punt b) u l-Artikolu 320(1) tar-Regolament (UE) Nru 575/2013.</w:t>
            </w:r>
          </w:p>
          <w:p w14:paraId="2EDEC8CA" w14:textId="252B783D" w:rsidR="00D740B8" w:rsidRPr="00C72773" w:rsidRDefault="00471410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 xml:space="preserve">L-għadd totali ta’ eventi ta’ riskju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eċċezzjonali ogħla mil-limitu tal-event ta’ telf ta’ €100,000 li ġew esklużi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mal-Artikolu 320(1) tar-Regolament (UE) Nru 575/2013, għal kull wieħed mill-aħħar 10 perjodi tar-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rappurtar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>.</w:t>
            </w:r>
          </w:p>
        </w:tc>
      </w:tr>
      <w:tr w:rsidR="00D740B8" w:rsidRPr="00C72773" w14:paraId="01B8CA90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51114" w14:textId="77777777" w:rsidR="00D740B8" w:rsidRPr="00C72773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D07D3" w14:textId="0C81ABEB" w:rsidR="00D740B8" w:rsidRPr="00C72773" w:rsidRDefault="00D740B8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Ammont totali ta’ telf mir-riskji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operazzjonali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 nett mill-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irkupri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 u nett mit-telf eskluż</w:t>
            </w:r>
          </w:p>
          <w:p w14:paraId="65622881" w14:textId="32C07686" w:rsidR="00D740B8" w:rsidRPr="00C72773" w:rsidRDefault="006943D3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 xml:space="preserve">Ir-ringiela għandha tiżvela l-ammont totali ta’ telf mir-riskji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li minnu jitnaqqas l-ammont ta’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rkupri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żvelati fir-ringiela 6, li minnu jitnaqqas l-ammont ta’ telf eskluż żvelat fir-ringiela 8.</w:t>
            </w:r>
          </w:p>
        </w:tc>
      </w:tr>
      <w:tr w:rsidR="00D740B8" w:rsidRPr="00C72773" w14:paraId="1DE089DB" w14:textId="77777777" w:rsidTr="00F828EB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3FA6CB" w14:textId="77777777" w:rsidR="00D740B8" w:rsidRPr="00C72773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EE813C" w14:textId="77777777" w:rsidR="00D740B8" w:rsidRPr="00C72773" w:rsidRDefault="00D740B8">
            <w:pPr>
              <w:autoSpaceDE w:val="0"/>
              <w:autoSpaceDN w:val="0"/>
              <w:adjustRightInd w:val="0"/>
              <w:spacing w:before="120" w:after="120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>Mhux applikabbli.</w:t>
            </w:r>
          </w:p>
        </w:tc>
      </w:tr>
      <w:tr w:rsidR="00D740B8" w:rsidRPr="00C72773" w14:paraId="23D23702" w14:textId="77777777" w:rsidTr="00F828EB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154CBB" w14:textId="77777777" w:rsidR="00D740B8" w:rsidRPr="00C72773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2D8849" w14:textId="77777777" w:rsidR="00D740B8" w:rsidRPr="00C72773" w:rsidRDefault="00D740B8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bCs w:val="0"/>
                <w:sz w:val="24"/>
                <w:u w:val="none"/>
              </w:rPr>
            </w:pPr>
            <w:r w:rsidRPr="00C72773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Mhux applikabbli.</w:t>
            </w:r>
          </w:p>
        </w:tc>
      </w:tr>
      <w:tr w:rsidR="00D740B8" w:rsidRPr="00C72773" w14:paraId="5EEF83F8" w14:textId="77777777" w:rsidTr="00F828EB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94FD13" w14:textId="77777777" w:rsidR="00D740B8" w:rsidRPr="00C72773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DA855" w14:textId="77777777" w:rsidR="00D740B8" w:rsidRPr="00C72773" w:rsidRDefault="00D740B8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bCs w:val="0"/>
                <w:sz w:val="24"/>
                <w:u w:val="none"/>
              </w:rPr>
            </w:pPr>
            <w:r w:rsidRPr="00C72773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Mhux applikabbli.</w:t>
            </w:r>
          </w:p>
        </w:tc>
      </w:tr>
    </w:tbl>
    <w:p w14:paraId="25A698B0" w14:textId="77777777" w:rsidR="00D740B8" w:rsidRPr="00C72773" w:rsidRDefault="00D740B8" w:rsidP="00D740B8">
      <w:pPr>
        <w:pStyle w:val="InstructionsText2"/>
        <w:numPr>
          <w:ilvl w:val="0"/>
          <w:numId w:val="0"/>
        </w:numPr>
        <w:ind w:left="360"/>
        <w:rPr>
          <w:lang w:val="en-US"/>
        </w:rPr>
      </w:pPr>
    </w:p>
    <w:p w14:paraId="033C5861" w14:textId="77777777" w:rsidR="00D740B8" w:rsidRPr="00C72773" w:rsidRDefault="00D740B8" w:rsidP="00D740B8">
      <w:pPr>
        <w:jc w:val="both"/>
        <w:rPr>
          <w:rFonts w:ascii="Times New Roman" w:hAnsi="Times New Roman" w:cs="Times New Roman"/>
          <w:bCs/>
          <w:sz w:val="24"/>
        </w:rPr>
      </w:pPr>
      <w:r w:rsidRPr="00C72773">
        <w:rPr>
          <w:rFonts w:ascii="Times New Roman" w:hAnsi="Times New Roman"/>
          <w:b/>
          <w:sz w:val="24"/>
        </w:rPr>
        <w:t xml:space="preserve">Mudell OR2 tal-UE – Indikatur tan-Negozju, komponenti u </w:t>
      </w:r>
      <w:proofErr w:type="spellStart"/>
      <w:r w:rsidRPr="00C72773">
        <w:rPr>
          <w:rFonts w:ascii="Times New Roman" w:hAnsi="Times New Roman"/>
          <w:b/>
          <w:sz w:val="24"/>
        </w:rPr>
        <w:t>sottokomponenti</w:t>
      </w:r>
      <w:proofErr w:type="spellEnd"/>
      <w:r w:rsidRPr="00C72773">
        <w:rPr>
          <w:rFonts w:ascii="Times New Roman" w:hAnsi="Times New Roman"/>
          <w:b/>
          <w:sz w:val="24"/>
        </w:rPr>
        <w:t xml:space="preserve">. </w:t>
      </w:r>
      <w:r w:rsidRPr="00C72773">
        <w:rPr>
          <w:rFonts w:ascii="Times New Roman" w:hAnsi="Times New Roman"/>
          <w:sz w:val="24"/>
        </w:rPr>
        <w:t>Mudell fiss</w:t>
      </w:r>
    </w:p>
    <w:p w14:paraId="3D173CCF" w14:textId="77777777" w:rsidR="00D740B8" w:rsidRPr="00C72773" w:rsidRDefault="00D740B8" w:rsidP="00D740B8">
      <w:pPr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3F849430" w14:textId="414C531B" w:rsidR="00D740B8" w:rsidRPr="00C72773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C72773">
        <w:rPr>
          <w:rFonts w:ascii="Times New Roman" w:hAnsi="Times New Roman"/>
          <w:sz w:val="24"/>
        </w:rPr>
        <w:t xml:space="preserve">L-istituzzjonijiet għandhom jiżvelaw l-informazzjoni inkluża fil-Mudell OR2 tal-UE bl-applikazzjoni tal-Artikoli 446(1), il-punti c) u d) tar-Regolament (UE) Nru 575/2013. Dan il-mudell jipprovdi informazzjoni dwar il-kalkolu tal-Komponent tal-Indikatur tan-Negozju (BIC, </w:t>
      </w:r>
      <w:proofErr w:type="spellStart"/>
      <w:r w:rsidRPr="00C72773">
        <w:rPr>
          <w:rFonts w:ascii="Times New Roman" w:hAnsi="Times New Roman"/>
          <w:sz w:val="24"/>
        </w:rPr>
        <w:t>Business</w:t>
      </w:r>
      <w:proofErr w:type="spellEnd"/>
      <w:r w:rsidRPr="00C72773">
        <w:rPr>
          <w:rFonts w:ascii="Times New Roman" w:hAnsi="Times New Roman"/>
          <w:sz w:val="24"/>
        </w:rPr>
        <w:t xml:space="preserve"> </w:t>
      </w:r>
      <w:proofErr w:type="spellStart"/>
      <w:r w:rsidRPr="00C72773">
        <w:rPr>
          <w:rFonts w:ascii="Times New Roman" w:hAnsi="Times New Roman"/>
          <w:sz w:val="24"/>
        </w:rPr>
        <w:t>Indicator</w:t>
      </w:r>
      <w:proofErr w:type="spellEnd"/>
      <w:r w:rsidRPr="00C72773">
        <w:rPr>
          <w:rFonts w:ascii="Times New Roman" w:hAnsi="Times New Roman"/>
          <w:sz w:val="24"/>
        </w:rPr>
        <w:t xml:space="preserve"> </w:t>
      </w:r>
      <w:proofErr w:type="spellStart"/>
      <w:r w:rsidRPr="00C72773">
        <w:rPr>
          <w:rFonts w:ascii="Times New Roman" w:hAnsi="Times New Roman"/>
          <w:sz w:val="24"/>
        </w:rPr>
        <w:t>Component</w:t>
      </w:r>
      <w:proofErr w:type="spellEnd"/>
      <w:r w:rsidRPr="00C72773">
        <w:rPr>
          <w:rFonts w:ascii="Times New Roman" w:hAnsi="Times New Roman"/>
          <w:sz w:val="24"/>
        </w:rPr>
        <w:t>), f’</w:t>
      </w:r>
      <w:proofErr w:type="spellStart"/>
      <w:r w:rsidRPr="00C72773">
        <w:rPr>
          <w:rFonts w:ascii="Times New Roman" w:hAnsi="Times New Roman"/>
          <w:sz w:val="24"/>
        </w:rPr>
        <w:t>konformità</w:t>
      </w:r>
      <w:proofErr w:type="spellEnd"/>
      <w:r w:rsidRPr="00C72773">
        <w:rPr>
          <w:rFonts w:ascii="Times New Roman" w:hAnsi="Times New Roman"/>
          <w:sz w:val="24"/>
        </w:rPr>
        <w:t xml:space="preserve"> mal-Artikolu 313 tar-Regolament (UE) Nru 575/2013, u dwar il-kalkolu tal-Indikatur tan-Negozju (BI, </w:t>
      </w:r>
      <w:proofErr w:type="spellStart"/>
      <w:r w:rsidRPr="00C72773">
        <w:rPr>
          <w:rFonts w:ascii="Times New Roman" w:hAnsi="Times New Roman"/>
          <w:sz w:val="24"/>
        </w:rPr>
        <w:t>Business</w:t>
      </w:r>
      <w:proofErr w:type="spellEnd"/>
      <w:r w:rsidRPr="00C72773">
        <w:rPr>
          <w:rFonts w:ascii="Times New Roman" w:hAnsi="Times New Roman"/>
          <w:sz w:val="24"/>
        </w:rPr>
        <w:t xml:space="preserve"> </w:t>
      </w:r>
      <w:proofErr w:type="spellStart"/>
      <w:r w:rsidRPr="00C72773">
        <w:rPr>
          <w:rFonts w:ascii="Times New Roman" w:hAnsi="Times New Roman"/>
          <w:sz w:val="24"/>
        </w:rPr>
        <w:t>Indicator</w:t>
      </w:r>
      <w:proofErr w:type="spellEnd"/>
      <w:r w:rsidRPr="00C72773">
        <w:rPr>
          <w:rFonts w:ascii="Times New Roman" w:hAnsi="Times New Roman"/>
          <w:sz w:val="24"/>
        </w:rPr>
        <w:t>), il-komponenti u s-</w:t>
      </w:r>
      <w:proofErr w:type="spellStart"/>
      <w:r w:rsidRPr="00C72773">
        <w:rPr>
          <w:rFonts w:ascii="Times New Roman" w:hAnsi="Times New Roman"/>
          <w:sz w:val="24"/>
        </w:rPr>
        <w:t>sottokomponenti</w:t>
      </w:r>
      <w:proofErr w:type="spellEnd"/>
      <w:r w:rsidRPr="00C72773">
        <w:rPr>
          <w:rFonts w:ascii="Times New Roman" w:hAnsi="Times New Roman"/>
          <w:sz w:val="24"/>
        </w:rPr>
        <w:t>, f’</w:t>
      </w:r>
      <w:proofErr w:type="spellStart"/>
      <w:r w:rsidRPr="00C72773">
        <w:rPr>
          <w:rFonts w:ascii="Times New Roman" w:hAnsi="Times New Roman"/>
          <w:sz w:val="24"/>
        </w:rPr>
        <w:t>konformità</w:t>
      </w:r>
      <w:proofErr w:type="spellEnd"/>
      <w:r w:rsidRPr="00C72773">
        <w:rPr>
          <w:rFonts w:ascii="Times New Roman" w:hAnsi="Times New Roman"/>
          <w:sz w:val="24"/>
        </w:rPr>
        <w:t xml:space="preserve"> mal-Artikolu 314 tar-Regolament (UE) Nru 575/2013. Barra minn hekk, dan il-mudell jipprovdi wkoll informazzjoni dwar l-ammonti esklużi mill-indikatur tan-negozju relatati ma’ entitajiet jew ma’ attivitajiet disposti, f’</w:t>
      </w:r>
      <w:proofErr w:type="spellStart"/>
      <w:r w:rsidRPr="00C72773">
        <w:rPr>
          <w:rFonts w:ascii="Times New Roman" w:hAnsi="Times New Roman"/>
          <w:sz w:val="24"/>
        </w:rPr>
        <w:t>konformità</w:t>
      </w:r>
      <w:proofErr w:type="spellEnd"/>
      <w:r w:rsidRPr="00C72773">
        <w:rPr>
          <w:rFonts w:ascii="Times New Roman" w:hAnsi="Times New Roman"/>
          <w:sz w:val="24"/>
        </w:rPr>
        <w:t xml:space="preserve"> mal-Artikolu 315(2).</w:t>
      </w:r>
    </w:p>
    <w:p w14:paraId="5C35CEC0" w14:textId="77777777" w:rsidR="00D740B8" w:rsidRPr="00C72773" w:rsidRDefault="00D740B8" w:rsidP="00D740B8">
      <w:pPr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1749895F" w14:textId="07869965" w:rsidR="00D740B8" w:rsidRPr="00C72773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C72773">
        <w:rPr>
          <w:rFonts w:ascii="Times New Roman" w:hAnsi="Times New Roman"/>
          <w:sz w:val="24"/>
        </w:rPr>
        <w:t xml:space="preserve">L-istituzzjonijiet għandhom jiżvelaw l-informazzjoni għall-aħħar 3 snin finanzjarji dwar l-ammont tal-lista rilevanti ta’ </w:t>
      </w:r>
      <w:proofErr w:type="spellStart"/>
      <w:r w:rsidRPr="00C72773">
        <w:rPr>
          <w:rFonts w:ascii="Times New Roman" w:hAnsi="Times New Roman"/>
          <w:sz w:val="24"/>
        </w:rPr>
        <w:t>entrati</w:t>
      </w:r>
      <w:proofErr w:type="spellEnd"/>
      <w:r w:rsidRPr="00C72773">
        <w:rPr>
          <w:rFonts w:ascii="Times New Roman" w:hAnsi="Times New Roman"/>
          <w:sz w:val="24"/>
        </w:rPr>
        <w:t xml:space="preserve"> li huma meħtieġa għall-kalkolu </w:t>
      </w:r>
      <w:proofErr w:type="spellStart"/>
      <w:r w:rsidRPr="00C72773">
        <w:rPr>
          <w:rFonts w:ascii="Times New Roman" w:hAnsi="Times New Roman"/>
          <w:sz w:val="24"/>
        </w:rPr>
        <w:t>tas-sottokomponenti</w:t>
      </w:r>
      <w:proofErr w:type="spellEnd"/>
      <w:r w:rsidRPr="00C72773">
        <w:rPr>
          <w:rFonts w:ascii="Times New Roman" w:hAnsi="Times New Roman"/>
          <w:sz w:val="24"/>
        </w:rPr>
        <w:t xml:space="preserve"> </w:t>
      </w:r>
      <w:proofErr w:type="spellStart"/>
      <w:r w:rsidRPr="00C72773">
        <w:rPr>
          <w:rFonts w:ascii="Times New Roman" w:hAnsi="Times New Roman"/>
          <w:sz w:val="24"/>
        </w:rPr>
        <w:t>tal-BI</w:t>
      </w:r>
      <w:proofErr w:type="spellEnd"/>
      <w:r w:rsidRPr="00C72773">
        <w:rPr>
          <w:rFonts w:ascii="Times New Roman" w:hAnsi="Times New Roman"/>
          <w:sz w:val="24"/>
        </w:rPr>
        <w:t xml:space="preserve"> li jikkontribwixxu għall-kalkolu tal-rekwiżiti ta’ fondi proprji għar-Riskju </w:t>
      </w:r>
      <w:proofErr w:type="spellStart"/>
      <w:r w:rsidRPr="00C72773">
        <w:rPr>
          <w:rFonts w:ascii="Times New Roman" w:hAnsi="Times New Roman"/>
          <w:sz w:val="24"/>
        </w:rPr>
        <w:t>Operazzjonali</w:t>
      </w:r>
      <w:proofErr w:type="spellEnd"/>
      <w:r w:rsidRPr="00C72773">
        <w:rPr>
          <w:rFonts w:ascii="Times New Roman" w:hAnsi="Times New Roman"/>
          <w:sz w:val="24"/>
        </w:rPr>
        <w:t>.</w:t>
      </w:r>
    </w:p>
    <w:p w14:paraId="7B27D162" w14:textId="77777777" w:rsidR="00D740B8" w:rsidRPr="00C72773" w:rsidRDefault="00D740B8" w:rsidP="00D740B8">
      <w:pPr>
        <w:pStyle w:val="ListParagraph"/>
        <w:rPr>
          <w:rFonts w:ascii="Times New Roman" w:hAnsi="Times New Roman"/>
          <w:bCs/>
          <w:sz w:val="24"/>
        </w:rPr>
      </w:pPr>
    </w:p>
    <w:p w14:paraId="41988E91" w14:textId="281D16EA" w:rsidR="00D740B8" w:rsidRPr="00C72773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C72773">
        <w:rPr>
          <w:rFonts w:ascii="Times New Roman" w:hAnsi="Times New Roman"/>
          <w:sz w:val="24"/>
        </w:rPr>
        <w:t>F’</w:t>
      </w:r>
      <w:proofErr w:type="spellStart"/>
      <w:r w:rsidRPr="00C72773">
        <w:rPr>
          <w:rFonts w:ascii="Times New Roman" w:hAnsi="Times New Roman"/>
          <w:sz w:val="24"/>
        </w:rPr>
        <w:t>konformità</w:t>
      </w:r>
      <w:proofErr w:type="spellEnd"/>
      <w:r w:rsidRPr="00C72773">
        <w:rPr>
          <w:rFonts w:ascii="Times New Roman" w:hAnsi="Times New Roman"/>
          <w:sz w:val="24"/>
        </w:rPr>
        <w:t xml:space="preserve"> mal-Artikolu 314(8) tar-Regolament (UE) Nru 575/2013, fejn l-ebda data storika ma tkun disponibbli, l-istituzzjonijiet għandhom </w:t>
      </w:r>
      <w:proofErr w:type="spellStart"/>
      <w:r w:rsidRPr="00C72773">
        <w:rPr>
          <w:rFonts w:ascii="Times New Roman" w:hAnsi="Times New Roman"/>
          <w:sz w:val="24"/>
        </w:rPr>
        <w:t>jirrappurtaw</w:t>
      </w:r>
      <w:proofErr w:type="spellEnd"/>
      <w:r w:rsidRPr="00C72773">
        <w:rPr>
          <w:rFonts w:ascii="Times New Roman" w:hAnsi="Times New Roman"/>
          <w:sz w:val="24"/>
        </w:rPr>
        <w:t xml:space="preserve"> l-istimi tan-negozju li jħarsu ’l quddiem.</w:t>
      </w:r>
    </w:p>
    <w:p w14:paraId="14A23528" w14:textId="485ED75C" w:rsidR="00D740B8" w:rsidRPr="00C72773" w:rsidRDefault="00D740B8" w:rsidP="00D740B8">
      <w:pPr>
        <w:pStyle w:val="numbered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72773">
        <w:rPr>
          <w:rFonts w:ascii="Times New Roman" w:hAnsi="Times New Roman"/>
          <w:sz w:val="24"/>
        </w:rPr>
        <w:lastRenderedPageBreak/>
        <w:t xml:space="preserve">Meta l-istituzzjonijiet jkollhom inqas minn 3 snin ta’ data disponibbli relatata </w:t>
      </w:r>
      <w:proofErr w:type="spellStart"/>
      <w:r w:rsidRPr="00C72773">
        <w:rPr>
          <w:rFonts w:ascii="Times New Roman" w:hAnsi="Times New Roman"/>
          <w:sz w:val="24"/>
        </w:rPr>
        <w:t>mal-entrati</w:t>
      </w:r>
      <w:proofErr w:type="spellEnd"/>
      <w:r w:rsidRPr="00C72773">
        <w:rPr>
          <w:rFonts w:ascii="Times New Roman" w:hAnsi="Times New Roman"/>
          <w:sz w:val="24"/>
        </w:rPr>
        <w:t xml:space="preserve"> dettaljati li jidħlu fil-komponenti </w:t>
      </w:r>
      <w:proofErr w:type="spellStart"/>
      <w:r w:rsidRPr="00C72773">
        <w:rPr>
          <w:rFonts w:ascii="Times New Roman" w:hAnsi="Times New Roman"/>
          <w:sz w:val="24"/>
        </w:rPr>
        <w:t>tal-BI</w:t>
      </w:r>
      <w:proofErr w:type="spellEnd"/>
      <w:r w:rsidRPr="00C72773">
        <w:rPr>
          <w:rFonts w:ascii="Times New Roman" w:hAnsi="Times New Roman"/>
          <w:sz w:val="24"/>
        </w:rPr>
        <w:t xml:space="preserve">, id-data storika disponibbli għandha tiġi assenjata skont il-prijorità lill-kolonni korrispondenti fil-mudell. Meta l-istituzzjonijiet ikollhom biss data storika relatata mal-komponenti </w:t>
      </w:r>
      <w:proofErr w:type="spellStart"/>
      <w:r w:rsidRPr="00C72773">
        <w:rPr>
          <w:rFonts w:ascii="Times New Roman" w:hAnsi="Times New Roman"/>
          <w:sz w:val="24"/>
        </w:rPr>
        <w:t>tal-BI</w:t>
      </w:r>
      <w:proofErr w:type="spellEnd"/>
      <w:r w:rsidRPr="00C72773">
        <w:rPr>
          <w:rFonts w:ascii="Times New Roman" w:hAnsi="Times New Roman"/>
          <w:sz w:val="24"/>
        </w:rPr>
        <w:t xml:space="preserve"> disponibbli għal informazzjoni ta’ sena waħda, din id-data għandha tiġi </w:t>
      </w:r>
      <w:proofErr w:type="spellStart"/>
      <w:r w:rsidRPr="00C72773">
        <w:rPr>
          <w:rFonts w:ascii="Times New Roman" w:hAnsi="Times New Roman"/>
          <w:sz w:val="24"/>
        </w:rPr>
        <w:t>rrappurtata</w:t>
      </w:r>
      <w:proofErr w:type="spellEnd"/>
      <w:r w:rsidRPr="00C72773">
        <w:rPr>
          <w:rFonts w:ascii="Times New Roman" w:hAnsi="Times New Roman"/>
          <w:sz w:val="24"/>
        </w:rPr>
        <w:t xml:space="preserve"> fil-kolonna li tikkorrispondi għall-aktar sena reċenti (eż. “l-aħħar sena”). Fejn jidher raġonevoli, l-istimi li jħarsu ’l quddiem għandhom jiġu inklużi f’Sena -1 u Sena -2 rispettivament sakemm din id-data ssir disponibbli.</w:t>
      </w:r>
    </w:p>
    <w:p w14:paraId="2DDE0943" w14:textId="7F04DC41" w:rsidR="00D740B8" w:rsidRPr="00C72773" w:rsidRDefault="00D740B8" w:rsidP="00D740B8">
      <w:pPr>
        <w:pStyle w:val="numbered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72773">
        <w:rPr>
          <w:rFonts w:ascii="Times New Roman" w:hAnsi="Times New Roman"/>
          <w:sz w:val="24"/>
        </w:rPr>
        <w:t>L-istituzzjonijiet ma għandhomx jinkludu fis-</w:t>
      </w:r>
      <w:proofErr w:type="spellStart"/>
      <w:r w:rsidRPr="00C72773">
        <w:rPr>
          <w:rFonts w:ascii="Times New Roman" w:hAnsi="Times New Roman"/>
          <w:sz w:val="24"/>
        </w:rPr>
        <w:t>sottoentrati</w:t>
      </w:r>
      <w:proofErr w:type="spellEnd"/>
      <w:r w:rsidRPr="00C72773">
        <w:rPr>
          <w:rFonts w:ascii="Times New Roman" w:hAnsi="Times New Roman"/>
          <w:sz w:val="24"/>
        </w:rPr>
        <w:t xml:space="preserve"> li huma parti mill-kalkolu tal-komponent tal-imgħax, tal-</w:t>
      </w:r>
      <w:proofErr w:type="spellStart"/>
      <w:r w:rsidRPr="00C72773">
        <w:rPr>
          <w:rFonts w:ascii="Times New Roman" w:hAnsi="Times New Roman"/>
          <w:sz w:val="24"/>
        </w:rPr>
        <w:t>lokazzjonijiet</w:t>
      </w:r>
      <w:proofErr w:type="spellEnd"/>
      <w:r w:rsidRPr="00C72773">
        <w:rPr>
          <w:rFonts w:ascii="Times New Roman" w:hAnsi="Times New Roman"/>
          <w:sz w:val="24"/>
        </w:rPr>
        <w:t xml:space="preserve"> u tad-dividendi (ILDC, </w:t>
      </w:r>
      <w:proofErr w:type="spellStart"/>
      <w:r w:rsidRPr="00C72773">
        <w:rPr>
          <w:rFonts w:ascii="Times New Roman" w:hAnsi="Times New Roman"/>
          <w:sz w:val="24"/>
        </w:rPr>
        <w:t>interest</w:t>
      </w:r>
      <w:proofErr w:type="spellEnd"/>
      <w:r w:rsidRPr="00C72773">
        <w:rPr>
          <w:rFonts w:ascii="Times New Roman" w:hAnsi="Times New Roman"/>
          <w:sz w:val="24"/>
        </w:rPr>
        <w:t xml:space="preserve">, </w:t>
      </w:r>
      <w:proofErr w:type="spellStart"/>
      <w:r w:rsidRPr="00C72773">
        <w:rPr>
          <w:rFonts w:ascii="Times New Roman" w:hAnsi="Times New Roman"/>
          <w:sz w:val="24"/>
        </w:rPr>
        <w:t>lease</w:t>
      </w:r>
      <w:proofErr w:type="spellEnd"/>
      <w:r w:rsidRPr="00C72773">
        <w:rPr>
          <w:rFonts w:ascii="Times New Roman" w:hAnsi="Times New Roman"/>
          <w:sz w:val="24"/>
        </w:rPr>
        <w:t xml:space="preserve">, dividend </w:t>
      </w:r>
      <w:proofErr w:type="spellStart"/>
      <w:r w:rsidRPr="00C72773">
        <w:rPr>
          <w:rFonts w:ascii="Times New Roman" w:hAnsi="Times New Roman"/>
          <w:sz w:val="24"/>
        </w:rPr>
        <w:t>component</w:t>
      </w:r>
      <w:proofErr w:type="spellEnd"/>
      <w:r w:rsidRPr="00C72773">
        <w:rPr>
          <w:rFonts w:ascii="Times New Roman" w:hAnsi="Times New Roman"/>
          <w:sz w:val="24"/>
        </w:rPr>
        <w:t xml:space="preserve">) kwalunkwe ċifra relatata ma’ dawk l-istituzzjonijiet sussidjarji speċifiċi li l-ILDC tagħhom għandu jiġi </w:t>
      </w:r>
      <w:proofErr w:type="spellStart"/>
      <w:r w:rsidRPr="00C72773">
        <w:rPr>
          <w:rFonts w:ascii="Times New Roman" w:hAnsi="Times New Roman"/>
          <w:sz w:val="24"/>
        </w:rPr>
        <w:t>kkalkulat</w:t>
      </w:r>
      <w:proofErr w:type="spellEnd"/>
      <w:r w:rsidRPr="00C72773">
        <w:rPr>
          <w:rFonts w:ascii="Times New Roman" w:hAnsi="Times New Roman"/>
          <w:sz w:val="24"/>
        </w:rPr>
        <w:t xml:space="preserve"> separatament f’</w:t>
      </w:r>
      <w:proofErr w:type="spellStart"/>
      <w:r w:rsidRPr="00C72773">
        <w:rPr>
          <w:rFonts w:ascii="Times New Roman" w:hAnsi="Times New Roman"/>
          <w:sz w:val="24"/>
        </w:rPr>
        <w:t>konformità</w:t>
      </w:r>
      <w:proofErr w:type="spellEnd"/>
      <w:r w:rsidRPr="00C72773">
        <w:rPr>
          <w:rFonts w:ascii="Times New Roman" w:hAnsi="Times New Roman"/>
          <w:sz w:val="24"/>
        </w:rPr>
        <w:t xml:space="preserve"> mal-Artikolu 314(3) tar-Regolament (UE) Nru 575/2013.</w:t>
      </w:r>
    </w:p>
    <w:p w14:paraId="3512454B" w14:textId="27224DC8" w:rsidR="00841A0D" w:rsidRPr="00C72773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C72773">
        <w:rPr>
          <w:rFonts w:ascii="Times New Roman" w:hAnsi="Times New Roman"/>
          <w:sz w:val="24"/>
        </w:rPr>
        <w:t>L-istituzzjonijiet ma għandhomx jinkludu fis-</w:t>
      </w:r>
      <w:proofErr w:type="spellStart"/>
      <w:r w:rsidRPr="00C72773">
        <w:rPr>
          <w:rFonts w:ascii="Times New Roman" w:hAnsi="Times New Roman"/>
          <w:sz w:val="24"/>
        </w:rPr>
        <w:t>sottoentrati</w:t>
      </w:r>
      <w:proofErr w:type="spellEnd"/>
      <w:r w:rsidRPr="00C72773">
        <w:rPr>
          <w:rFonts w:ascii="Times New Roman" w:hAnsi="Times New Roman"/>
          <w:sz w:val="24"/>
        </w:rPr>
        <w:t xml:space="preserve"> li huma parti mill-kalkolu tal-komponent tal-imgħax, tal-</w:t>
      </w:r>
      <w:proofErr w:type="spellStart"/>
      <w:r w:rsidRPr="00C72773">
        <w:rPr>
          <w:rFonts w:ascii="Times New Roman" w:hAnsi="Times New Roman"/>
          <w:sz w:val="24"/>
        </w:rPr>
        <w:t>lokazzjonijiet</w:t>
      </w:r>
      <w:proofErr w:type="spellEnd"/>
      <w:r w:rsidRPr="00C72773">
        <w:rPr>
          <w:rFonts w:ascii="Times New Roman" w:hAnsi="Times New Roman"/>
          <w:sz w:val="24"/>
        </w:rPr>
        <w:t xml:space="preserve"> u tad-dividendi (ILDC) kwalunkwe ċifra minn linji </w:t>
      </w:r>
      <w:proofErr w:type="spellStart"/>
      <w:r w:rsidRPr="00C72773">
        <w:rPr>
          <w:rFonts w:ascii="Times New Roman" w:hAnsi="Times New Roman"/>
          <w:sz w:val="24"/>
        </w:rPr>
        <w:t>operatorji</w:t>
      </w:r>
      <w:proofErr w:type="spellEnd"/>
      <w:r w:rsidRPr="00C72773">
        <w:rPr>
          <w:rFonts w:ascii="Times New Roman" w:hAnsi="Times New Roman"/>
          <w:sz w:val="24"/>
        </w:rPr>
        <w:t xml:space="preserve"> tal-operazzjonijiet bankarji għall-konsumatur u/jew tas-servizzi bankarji kummerċjali f’dawk il-każijiet meta l-istituzzjoni tkun irċeviet il-permess li tapplika l-Artikolu 314(4) tar-Regolament (UE) Nru 575/2013.</w:t>
      </w:r>
    </w:p>
    <w:p w14:paraId="22AE3E22" w14:textId="77777777" w:rsidR="00841A0D" w:rsidRPr="00C72773" w:rsidRDefault="00841A0D" w:rsidP="00841A0D">
      <w:pPr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3A161EFD" w14:textId="7882B43A" w:rsidR="00D740B8" w:rsidRPr="00C72773" w:rsidRDefault="003826D3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C72773">
        <w:rPr>
          <w:rFonts w:ascii="Times New Roman" w:hAnsi="Times New Roman"/>
          <w:sz w:val="24"/>
        </w:rPr>
        <w:t xml:space="preserve">Madankollu, l-istituzzjonijiet għandhom </w:t>
      </w:r>
      <w:proofErr w:type="spellStart"/>
      <w:r w:rsidRPr="00C72773">
        <w:rPr>
          <w:rFonts w:ascii="Times New Roman" w:hAnsi="Times New Roman"/>
          <w:sz w:val="24"/>
        </w:rPr>
        <w:t>jirrappurtaw</w:t>
      </w:r>
      <w:proofErr w:type="spellEnd"/>
      <w:r w:rsidRPr="00C72773">
        <w:rPr>
          <w:rFonts w:ascii="Times New Roman" w:hAnsi="Times New Roman"/>
          <w:sz w:val="24"/>
        </w:rPr>
        <w:t xml:space="preserve"> fir-ringiela 1 l-ammont totali tal-ILDC, inklużi l-ammonti </w:t>
      </w:r>
      <w:proofErr w:type="spellStart"/>
      <w:r w:rsidRPr="00C72773">
        <w:rPr>
          <w:rFonts w:ascii="Times New Roman" w:hAnsi="Times New Roman"/>
          <w:sz w:val="24"/>
        </w:rPr>
        <w:t>kkalkulati</w:t>
      </w:r>
      <w:proofErr w:type="spellEnd"/>
      <w:r w:rsidRPr="00C72773">
        <w:rPr>
          <w:rFonts w:ascii="Times New Roman" w:hAnsi="Times New Roman"/>
          <w:sz w:val="24"/>
        </w:rPr>
        <w:t xml:space="preserve"> f’</w:t>
      </w:r>
      <w:proofErr w:type="spellStart"/>
      <w:r w:rsidRPr="00C72773">
        <w:rPr>
          <w:rFonts w:ascii="Times New Roman" w:hAnsi="Times New Roman"/>
          <w:sz w:val="24"/>
        </w:rPr>
        <w:t>konformità</w:t>
      </w:r>
      <w:proofErr w:type="spellEnd"/>
      <w:r w:rsidRPr="00C72773">
        <w:rPr>
          <w:rFonts w:ascii="Times New Roman" w:hAnsi="Times New Roman"/>
          <w:sz w:val="24"/>
        </w:rPr>
        <w:t xml:space="preserve"> mal-Artikolu 314(3) tar-Regolament (UE) Nru 575/2013. Fir-ringiela UE 1, l-ILDC minbarra l-entitajiet ikkunsidrati mill-Artikolu 314(3) huwa </w:t>
      </w:r>
      <w:proofErr w:type="spellStart"/>
      <w:r w:rsidRPr="00C72773">
        <w:rPr>
          <w:rFonts w:ascii="Times New Roman" w:hAnsi="Times New Roman"/>
          <w:sz w:val="24"/>
        </w:rPr>
        <w:t>rrappurtat</w:t>
      </w:r>
      <w:proofErr w:type="spellEnd"/>
      <w:r w:rsidRPr="00C72773">
        <w:rPr>
          <w:rFonts w:ascii="Times New Roman" w:hAnsi="Times New Roman"/>
          <w:sz w:val="24"/>
        </w:rPr>
        <w:t xml:space="preserve"> ukoll.</w:t>
      </w:r>
    </w:p>
    <w:p w14:paraId="7DAFACF8" w14:textId="77777777" w:rsidR="00D740B8" w:rsidRPr="00C72773" w:rsidRDefault="00D740B8" w:rsidP="00D740B8">
      <w:pPr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578B96DC" w14:textId="494916C5" w:rsidR="00D740B8" w:rsidRPr="00C72773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C72773">
        <w:rPr>
          <w:rFonts w:ascii="Times New Roman" w:hAnsi="Times New Roman"/>
          <w:sz w:val="24"/>
        </w:rPr>
        <w:t>Fin-</w:t>
      </w:r>
      <w:proofErr w:type="spellStart"/>
      <w:r w:rsidRPr="00C72773">
        <w:rPr>
          <w:rFonts w:ascii="Times New Roman" w:hAnsi="Times New Roman"/>
          <w:sz w:val="24"/>
        </w:rPr>
        <w:t>narrattiva</w:t>
      </w:r>
      <w:proofErr w:type="spellEnd"/>
      <w:r w:rsidRPr="00C72773">
        <w:rPr>
          <w:rFonts w:ascii="Times New Roman" w:hAnsi="Times New Roman"/>
          <w:sz w:val="24"/>
        </w:rPr>
        <w:t xml:space="preserve"> ta’ akkumpanjament, f’</w:t>
      </w:r>
      <w:proofErr w:type="spellStart"/>
      <w:r w:rsidRPr="00C72773">
        <w:rPr>
          <w:rFonts w:ascii="Times New Roman" w:hAnsi="Times New Roman"/>
          <w:sz w:val="24"/>
        </w:rPr>
        <w:t>konformità</w:t>
      </w:r>
      <w:proofErr w:type="spellEnd"/>
      <w:r w:rsidRPr="00C72773">
        <w:rPr>
          <w:rFonts w:ascii="Times New Roman" w:hAnsi="Times New Roman"/>
          <w:sz w:val="24"/>
        </w:rPr>
        <w:t xml:space="preserve"> mal-Artikolu 446(1) tar-Regolament (UE) Nru 575/2013, l-istituzzjonijiet għandhom jiżvelaw il-</w:t>
      </w:r>
      <w:proofErr w:type="spellStart"/>
      <w:r w:rsidRPr="00C72773">
        <w:rPr>
          <w:rFonts w:ascii="Times New Roman" w:hAnsi="Times New Roman"/>
          <w:sz w:val="24"/>
        </w:rPr>
        <w:t>ġustifikazzjonijiet</w:t>
      </w:r>
      <w:proofErr w:type="spellEnd"/>
      <w:r w:rsidRPr="00C72773">
        <w:rPr>
          <w:rFonts w:ascii="Times New Roman" w:hAnsi="Times New Roman"/>
          <w:sz w:val="24"/>
        </w:rPr>
        <w:t xml:space="preserve"> għal kull esklużjoni mill-indikatur tan-negozju bl-eċċezzjoni tal-esklużjoni tal-linji </w:t>
      </w:r>
      <w:proofErr w:type="spellStart"/>
      <w:r w:rsidRPr="00C72773">
        <w:rPr>
          <w:rFonts w:ascii="Times New Roman" w:hAnsi="Times New Roman"/>
          <w:sz w:val="24"/>
        </w:rPr>
        <w:t>operatorji</w:t>
      </w:r>
      <w:proofErr w:type="spellEnd"/>
      <w:r w:rsidRPr="00C72773">
        <w:rPr>
          <w:rFonts w:ascii="Times New Roman" w:hAnsi="Times New Roman"/>
          <w:sz w:val="24"/>
        </w:rPr>
        <w:t xml:space="preserve"> għall-konsumatur u kummerċjali </w:t>
      </w:r>
      <w:proofErr w:type="spellStart"/>
      <w:r w:rsidRPr="00C72773">
        <w:rPr>
          <w:rFonts w:ascii="Times New Roman" w:hAnsi="Times New Roman"/>
          <w:sz w:val="24"/>
        </w:rPr>
        <w:t>kkunsidrati</w:t>
      </w:r>
      <w:proofErr w:type="spellEnd"/>
      <w:r w:rsidRPr="00C72773">
        <w:rPr>
          <w:rFonts w:ascii="Times New Roman" w:hAnsi="Times New Roman"/>
          <w:sz w:val="24"/>
        </w:rPr>
        <w:t xml:space="preserve"> skont l-Artikolu 314(4).</w:t>
      </w:r>
    </w:p>
    <w:p w14:paraId="22C673C4" w14:textId="77777777" w:rsidR="00393FEF" w:rsidRPr="00C72773" w:rsidRDefault="00393FEF" w:rsidP="00532CFA">
      <w:pPr>
        <w:pStyle w:val="ListParagraph"/>
        <w:rPr>
          <w:rFonts w:ascii="Times New Roman" w:hAnsi="Times New Roman"/>
          <w:bCs/>
          <w:sz w:val="24"/>
        </w:rPr>
      </w:pPr>
    </w:p>
    <w:p w14:paraId="7DD11602" w14:textId="2BC0B288" w:rsidR="00393FEF" w:rsidRPr="00C72773" w:rsidRDefault="006020C0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C72773">
        <w:rPr>
          <w:rFonts w:ascii="Times New Roman" w:hAnsi="Times New Roman"/>
          <w:sz w:val="24"/>
        </w:rPr>
        <w:t xml:space="preserve">Minħabba r-rabta mill-qrib bejn ir-rekwiżiti ta’ </w:t>
      </w:r>
      <w:proofErr w:type="spellStart"/>
      <w:r w:rsidRPr="00C72773">
        <w:rPr>
          <w:rFonts w:ascii="Times New Roman" w:hAnsi="Times New Roman"/>
          <w:sz w:val="24"/>
        </w:rPr>
        <w:t>divulgazzjoni</w:t>
      </w:r>
      <w:proofErr w:type="spellEnd"/>
      <w:r w:rsidRPr="00C72773">
        <w:rPr>
          <w:rFonts w:ascii="Times New Roman" w:hAnsi="Times New Roman"/>
          <w:sz w:val="24"/>
        </w:rPr>
        <w:t xml:space="preserve"> tar-riskju </w:t>
      </w:r>
      <w:proofErr w:type="spellStart"/>
      <w:r w:rsidRPr="00C72773">
        <w:rPr>
          <w:rFonts w:ascii="Times New Roman" w:hAnsi="Times New Roman"/>
          <w:sz w:val="24"/>
        </w:rPr>
        <w:t>operazzjonali</w:t>
      </w:r>
      <w:proofErr w:type="spellEnd"/>
      <w:r w:rsidRPr="00C72773">
        <w:rPr>
          <w:rFonts w:ascii="Times New Roman" w:hAnsi="Times New Roman"/>
          <w:sz w:val="24"/>
        </w:rPr>
        <w:t xml:space="preserve"> u r-rapporti finanzjarji tal-istituzzjoni, ir-referenzi għar-rekwiżiti ta’ </w:t>
      </w:r>
      <w:proofErr w:type="spellStart"/>
      <w:r w:rsidRPr="00C72773">
        <w:rPr>
          <w:rFonts w:ascii="Times New Roman" w:hAnsi="Times New Roman"/>
          <w:sz w:val="24"/>
        </w:rPr>
        <w:t>rappurtar</w:t>
      </w:r>
      <w:proofErr w:type="spellEnd"/>
      <w:r w:rsidRPr="00C72773">
        <w:rPr>
          <w:rFonts w:ascii="Times New Roman" w:hAnsi="Times New Roman"/>
          <w:sz w:val="24"/>
        </w:rPr>
        <w:t xml:space="preserve"> riflessi fl-Anness V tas-soluzzjonijiet tal-IT tal-EBA (FINREP) ġew riflessi fl-istruzzjonijiet kollha.</w:t>
      </w:r>
    </w:p>
    <w:p w14:paraId="1D4913E2" w14:textId="77777777" w:rsidR="00DD1D82" w:rsidRPr="00C72773" w:rsidRDefault="00DD1D82" w:rsidP="00DD1D82">
      <w:pPr>
        <w:pStyle w:val="ListParagraph"/>
        <w:rPr>
          <w:rFonts w:ascii="Times New Roman" w:hAnsi="Times New Roman"/>
          <w:bCs/>
          <w:sz w:val="24"/>
        </w:rPr>
      </w:pPr>
    </w:p>
    <w:p w14:paraId="11E51AFD" w14:textId="3D720718" w:rsidR="00DD1D82" w:rsidRPr="00C72773" w:rsidRDefault="00050ABA" w:rsidP="001257B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C72773">
        <w:rPr>
          <w:rFonts w:ascii="Times New Roman" w:hAnsi="Times New Roman"/>
          <w:sz w:val="24"/>
        </w:rPr>
        <w:t>Il-konvenzjonijiet tas-sinjali biex jimtela dan il-mudell għandhom isegwu l-konvenzjonijiet riflessi fl-Anness V tas-soluzzjonijiet tal-IT tal-EBA.</w:t>
      </w:r>
    </w:p>
    <w:p w14:paraId="21275E00" w14:textId="77777777" w:rsidR="00D740B8" w:rsidRPr="00C72773" w:rsidRDefault="00D740B8" w:rsidP="00D740B8">
      <w:pPr>
        <w:pStyle w:val="ListParagraph"/>
        <w:rPr>
          <w:rFonts w:ascii="Times New Roman" w:hAnsi="Times New Roman"/>
          <w:bCs/>
          <w:sz w:val="24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7756"/>
      </w:tblGrid>
      <w:tr w:rsidR="00D740B8" w:rsidRPr="00C72773" w14:paraId="069EA903" w14:textId="77777777">
        <w:trPr>
          <w:trHeight w:val="300"/>
        </w:trPr>
        <w:tc>
          <w:tcPr>
            <w:tcW w:w="1260" w:type="dxa"/>
            <w:shd w:val="clear" w:color="auto" w:fill="BFBFBF" w:themeFill="background1" w:themeFillShade="BF"/>
          </w:tcPr>
          <w:p w14:paraId="7E4DE4F0" w14:textId="77777777" w:rsidR="00D740B8" w:rsidRPr="00C72773" w:rsidRDefault="00D740B8" w:rsidP="00C72773">
            <w:pPr>
              <w:pageBreakBefore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Kolonna</w:t>
            </w:r>
          </w:p>
        </w:tc>
        <w:tc>
          <w:tcPr>
            <w:tcW w:w="7756" w:type="dxa"/>
            <w:shd w:val="clear" w:color="auto" w:fill="BFBFBF" w:themeFill="background1" w:themeFillShade="BF"/>
          </w:tcPr>
          <w:p w14:paraId="0D54BB35" w14:textId="77777777" w:rsidR="00D740B8" w:rsidRPr="00C72773" w:rsidDel="00B46ADB" w:rsidRDefault="00D740B8">
            <w:pPr>
              <w:autoSpaceDE w:val="0"/>
              <w:autoSpaceDN w:val="0"/>
              <w:adjustRightInd w:val="0"/>
              <w:rPr>
                <w:bCs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Referenzi legali u struzzjonijiet</w:t>
            </w:r>
          </w:p>
        </w:tc>
      </w:tr>
      <w:tr w:rsidR="00D740B8" w:rsidRPr="00C72773" w14:paraId="7AE7216D" w14:textId="77777777">
        <w:trPr>
          <w:trHeight w:val="300"/>
        </w:trPr>
        <w:tc>
          <w:tcPr>
            <w:tcW w:w="1260" w:type="dxa"/>
          </w:tcPr>
          <w:p w14:paraId="0FC699E1" w14:textId="0D76C831" w:rsidR="00D740B8" w:rsidRPr="00C72773" w:rsidRDefault="00D740B8" w:rsidP="00165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>a, b, c</w:t>
            </w:r>
          </w:p>
        </w:tc>
        <w:tc>
          <w:tcPr>
            <w:tcW w:w="7756" w:type="dxa"/>
          </w:tcPr>
          <w:p w14:paraId="510A12A5" w14:textId="13FB6D98" w:rsidR="00D740B8" w:rsidRPr="00C72773" w:rsidRDefault="00D740B8">
            <w:pPr>
              <w:autoSpaceDE w:val="0"/>
              <w:autoSpaceDN w:val="0"/>
              <w:adjustRightInd w:val="0"/>
              <w:rPr>
                <w:rStyle w:val="InstructionsTabelleberschrift"/>
                <w:rFonts w:ascii="Times New Roman" w:hAnsi="Times New Roman"/>
                <w:sz w:val="24"/>
                <w:u w:val="none"/>
              </w:rPr>
            </w:pPr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Valur</w:t>
            </w:r>
          </w:p>
          <w:p w14:paraId="0A7A2FD7" w14:textId="77777777" w:rsidR="00D740B8" w:rsidRPr="00C72773" w:rsidRDefault="00D740B8">
            <w:pPr>
              <w:rPr>
                <w:rFonts w:ascii="Times New Roman" w:hAnsi="Times New Roman"/>
                <w:sz w:val="24"/>
                <w:lang w:eastAsia="de-DE"/>
              </w:rPr>
            </w:pPr>
          </w:p>
          <w:p w14:paraId="0C8A142A" w14:textId="4CAB13C5" w:rsidR="00D740B8" w:rsidRPr="00C72773" w:rsidRDefault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>L-Artikolu 446(1), il-punt d) u l-Artikolu 314(1) tar-Regolament (UE) Nru 575/2013.</w:t>
            </w:r>
          </w:p>
          <w:p w14:paraId="7883915F" w14:textId="77777777" w:rsidR="00D740B8" w:rsidRPr="00C72773" w:rsidRDefault="00D740B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eastAsia="nl-BE"/>
              </w:rPr>
            </w:pPr>
          </w:p>
          <w:p w14:paraId="558CD9DA" w14:textId="2FA81485" w:rsidR="00EA10B1" w:rsidRPr="00C72773" w:rsidRDefault="002F3CFA">
            <w:pPr>
              <w:pStyle w:val="paragraph"/>
              <w:spacing w:before="0" w:beforeAutospacing="0" w:after="0" w:afterAutospacing="0"/>
              <w:textAlignment w:val="baseline"/>
            </w:pPr>
            <w:r w:rsidRPr="00C72773">
              <w:t xml:space="preserve">Il-valur għal-lista ta’ </w:t>
            </w:r>
            <w:proofErr w:type="spellStart"/>
            <w:r w:rsidRPr="00C72773">
              <w:t>entrati</w:t>
            </w:r>
            <w:proofErr w:type="spellEnd"/>
            <w:r w:rsidRPr="00C72773">
              <w:t xml:space="preserve"> li huma parti mill-kalkolu </w:t>
            </w:r>
            <w:proofErr w:type="spellStart"/>
            <w:r w:rsidRPr="00C72773">
              <w:t>tal-BI</w:t>
            </w:r>
            <w:proofErr w:type="spellEnd"/>
            <w:r w:rsidRPr="00C72773">
              <w:t xml:space="preserve"> u l-komponenti tiegħu (il-kalkolu tal-ILDC, tal-Komponent tas-Servizzi (SC, Service </w:t>
            </w:r>
            <w:proofErr w:type="spellStart"/>
            <w:r w:rsidRPr="00C72773">
              <w:t>Component</w:t>
            </w:r>
            <w:proofErr w:type="spellEnd"/>
            <w:r w:rsidRPr="00C72773">
              <w:t xml:space="preserve">) u tal-Komponent Finanzjarju (FC, </w:t>
            </w:r>
            <w:proofErr w:type="spellStart"/>
            <w:r w:rsidRPr="00C72773">
              <w:t>Financial</w:t>
            </w:r>
            <w:proofErr w:type="spellEnd"/>
            <w:r w:rsidRPr="00C72773">
              <w:t xml:space="preserve"> </w:t>
            </w:r>
            <w:proofErr w:type="spellStart"/>
            <w:r w:rsidRPr="00C72773">
              <w:t>Component</w:t>
            </w:r>
            <w:proofErr w:type="spellEnd"/>
            <w:r w:rsidRPr="00C72773">
              <w:t>)) f’</w:t>
            </w:r>
            <w:proofErr w:type="spellStart"/>
            <w:r w:rsidRPr="00C72773">
              <w:t>konformità</w:t>
            </w:r>
            <w:proofErr w:type="spellEnd"/>
            <w:r w:rsidRPr="00C72773">
              <w:t xml:space="preserve"> mal-istandards </w:t>
            </w:r>
            <w:proofErr w:type="spellStart"/>
            <w:r w:rsidRPr="00C72773">
              <w:t>kontabilistiċi</w:t>
            </w:r>
            <w:proofErr w:type="spellEnd"/>
            <w:r w:rsidRPr="00C72773">
              <w:t xml:space="preserve"> applikabbli għal kull waħda mill-aħħar 3 snin finanzjarji.</w:t>
            </w:r>
          </w:p>
          <w:p w14:paraId="3414DDFE" w14:textId="77777777" w:rsidR="007B3E62" w:rsidRPr="00C72773" w:rsidRDefault="007B3E62">
            <w:pPr>
              <w:pStyle w:val="paragraph"/>
              <w:spacing w:before="0" w:beforeAutospacing="0" w:after="0" w:afterAutospacing="0"/>
              <w:textAlignment w:val="baseline"/>
              <w:rPr>
                <w:lang w:eastAsia="de-DE"/>
              </w:rPr>
            </w:pPr>
          </w:p>
          <w:p w14:paraId="374E1BCA" w14:textId="5E2803E9" w:rsidR="007B3E62" w:rsidRPr="00C72773" w:rsidRDefault="00B76B25">
            <w:pPr>
              <w:pStyle w:val="paragraph"/>
              <w:spacing w:before="0" w:beforeAutospacing="0" w:after="0" w:afterAutospacing="0"/>
              <w:textAlignment w:val="baseline"/>
            </w:pPr>
            <w:r w:rsidRPr="00C72773">
              <w:t xml:space="preserve">L-ammonti għandhom jiġu </w:t>
            </w:r>
            <w:proofErr w:type="spellStart"/>
            <w:r w:rsidRPr="00C72773">
              <w:t>rrappurtati</w:t>
            </w:r>
            <w:proofErr w:type="spellEnd"/>
            <w:r w:rsidRPr="00C72773">
              <w:t xml:space="preserve"> wara l-applikazzjoni tal-aġġustamenti relatati ma’ </w:t>
            </w:r>
            <w:proofErr w:type="spellStart"/>
            <w:r w:rsidRPr="00C72773">
              <w:t>fużjonijiet</w:t>
            </w:r>
            <w:proofErr w:type="spellEnd"/>
            <w:r w:rsidRPr="00C72773">
              <w:t xml:space="preserve"> / </w:t>
            </w:r>
            <w:proofErr w:type="spellStart"/>
            <w:r w:rsidRPr="00C72773">
              <w:t>akkwiżizzjonijiet</w:t>
            </w:r>
            <w:proofErr w:type="spellEnd"/>
            <w:r w:rsidRPr="00C72773">
              <w:t xml:space="preserve"> u attivitajiet </w:t>
            </w:r>
            <w:proofErr w:type="spellStart"/>
            <w:r w:rsidRPr="00C72773">
              <w:t>divestiti</w:t>
            </w:r>
            <w:proofErr w:type="spellEnd"/>
            <w:r w:rsidRPr="00C72773">
              <w:t>.</w:t>
            </w:r>
          </w:p>
          <w:p w14:paraId="00BACA37" w14:textId="77777777" w:rsidR="00EA10B1" w:rsidRPr="00C72773" w:rsidRDefault="00EA10B1">
            <w:pPr>
              <w:pStyle w:val="paragraph"/>
              <w:spacing w:before="0" w:beforeAutospacing="0" w:after="0" w:afterAutospacing="0"/>
              <w:textAlignment w:val="baseline"/>
              <w:rPr>
                <w:lang w:eastAsia="de-DE"/>
              </w:rPr>
            </w:pPr>
          </w:p>
          <w:p w14:paraId="21635601" w14:textId="1A8DE566" w:rsidR="00D740B8" w:rsidRPr="00C72773" w:rsidRDefault="00D740B8" w:rsidP="000F6C61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 w:rsidRPr="00C72773">
              <w:t>Għall</w:t>
            </w:r>
            <w:proofErr w:type="spellEnd"/>
            <w:r w:rsidRPr="00C72773">
              <w:t xml:space="preserve">-FC, il-valuri li għandhom jiġu żvelati se jirriflettu l-valuri </w:t>
            </w:r>
            <w:proofErr w:type="spellStart"/>
            <w:r w:rsidRPr="00C72773">
              <w:t>kontabilistiċi</w:t>
            </w:r>
            <w:proofErr w:type="spellEnd"/>
            <w:r w:rsidRPr="00C72773">
              <w:t xml:space="preserve"> </w:t>
            </w:r>
            <w:proofErr w:type="spellStart"/>
            <w:r w:rsidRPr="00C72773">
              <w:t>ddeterminati</w:t>
            </w:r>
            <w:proofErr w:type="spellEnd"/>
            <w:r w:rsidRPr="00C72773">
              <w:t xml:space="preserve"> bl-użu tal-limitu </w:t>
            </w:r>
            <w:proofErr w:type="spellStart"/>
            <w:r w:rsidRPr="00C72773">
              <w:t>kontabilistiku</w:t>
            </w:r>
            <w:proofErr w:type="spellEnd"/>
            <w:r w:rsidRPr="00C72773">
              <w:t xml:space="preserve"> jew tal-limitu </w:t>
            </w:r>
            <w:proofErr w:type="spellStart"/>
            <w:r w:rsidRPr="00C72773">
              <w:t>prudenzjali</w:t>
            </w:r>
            <w:proofErr w:type="spellEnd"/>
            <w:r w:rsidRPr="00C72773">
              <w:t xml:space="preserve"> (PBA, </w:t>
            </w:r>
            <w:proofErr w:type="spellStart"/>
            <w:r w:rsidRPr="00C72773">
              <w:t>prudential</w:t>
            </w:r>
            <w:proofErr w:type="spellEnd"/>
            <w:r w:rsidRPr="00C72773">
              <w:t xml:space="preserve"> </w:t>
            </w:r>
            <w:proofErr w:type="spellStart"/>
            <w:r w:rsidRPr="00C72773">
              <w:t>boundary</w:t>
            </w:r>
            <w:proofErr w:type="spellEnd"/>
            <w:r w:rsidRPr="00C72773">
              <w:t>) biex jiġu identifikati l-</w:t>
            </w:r>
            <w:proofErr w:type="spellStart"/>
            <w:r w:rsidRPr="00C72773">
              <w:t>entrati</w:t>
            </w:r>
            <w:proofErr w:type="spellEnd"/>
            <w:r w:rsidRPr="00C72773">
              <w:t xml:space="preserve"> tal-</w:t>
            </w:r>
            <w:proofErr w:type="spellStart"/>
            <w:r w:rsidRPr="00C72773">
              <w:t>portafoll</w:t>
            </w:r>
            <w:proofErr w:type="spellEnd"/>
            <w:r w:rsidRPr="00C72773">
              <w:t xml:space="preserve"> tan-negozjar u tal-</w:t>
            </w:r>
            <w:proofErr w:type="spellStart"/>
            <w:r w:rsidRPr="00C72773">
              <w:t>portafoll</w:t>
            </w:r>
            <w:proofErr w:type="spellEnd"/>
            <w:r w:rsidRPr="00C72773">
              <w:t xml:space="preserve"> bankarju għal kull waħda mill-aħħar 3 snin finanzjarji f’</w:t>
            </w:r>
            <w:proofErr w:type="spellStart"/>
            <w:r w:rsidRPr="00C72773">
              <w:t>konformità</w:t>
            </w:r>
            <w:proofErr w:type="spellEnd"/>
            <w:r w:rsidRPr="00C72773">
              <w:t xml:space="preserve"> mal-Artikolu 314(6) tar-Regolament (UE) Nru 575/2013.</w:t>
            </w:r>
          </w:p>
        </w:tc>
      </w:tr>
      <w:tr w:rsidR="00D740B8" w:rsidRPr="00C72773" w14:paraId="3103AD05" w14:textId="77777777">
        <w:trPr>
          <w:trHeight w:val="300"/>
        </w:trPr>
        <w:tc>
          <w:tcPr>
            <w:tcW w:w="1260" w:type="dxa"/>
          </w:tcPr>
          <w:p w14:paraId="0FFA543A" w14:textId="77777777" w:rsidR="00D740B8" w:rsidRPr="00C72773" w:rsidRDefault="00D740B8" w:rsidP="00165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>d</w:t>
            </w:r>
          </w:p>
        </w:tc>
        <w:tc>
          <w:tcPr>
            <w:tcW w:w="7756" w:type="dxa"/>
          </w:tcPr>
          <w:p w14:paraId="117DF1D7" w14:textId="77777777" w:rsidR="00D740B8" w:rsidRPr="00C72773" w:rsidRDefault="00D740B8">
            <w:pPr>
              <w:autoSpaceDE w:val="0"/>
              <w:autoSpaceDN w:val="0"/>
              <w:adjustRightInd w:val="0"/>
              <w:rPr>
                <w:rStyle w:val="InstructionsTabelleberschrift"/>
                <w:rFonts w:ascii="Times New Roman" w:hAnsi="Times New Roman"/>
                <w:sz w:val="24"/>
                <w:u w:val="none"/>
              </w:rPr>
            </w:pPr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Valuri medji</w:t>
            </w:r>
          </w:p>
          <w:p w14:paraId="27B3847F" w14:textId="77777777" w:rsidR="00D740B8" w:rsidRPr="00C72773" w:rsidRDefault="00D740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eastAsia="de-DE"/>
              </w:rPr>
            </w:pPr>
          </w:p>
          <w:p w14:paraId="2CEEC93D" w14:textId="277817D6" w:rsidR="00D740B8" w:rsidRPr="00C72773" w:rsidRDefault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>L-Artikolu 314(2), (5) u (6) tar-Regolament (UE) Nru 575/2013.</w:t>
            </w:r>
          </w:p>
          <w:p w14:paraId="5FAAFF7A" w14:textId="77777777" w:rsidR="00D740B8" w:rsidRPr="00C72773" w:rsidRDefault="00D740B8">
            <w:pPr>
              <w:autoSpaceDE w:val="0"/>
              <w:autoSpaceDN w:val="0"/>
              <w:adjustRightInd w:val="0"/>
              <w:rPr>
                <w:rStyle w:val="InstructionsTabelleberschrift"/>
                <w:rFonts w:ascii="Times New Roman" w:hAnsi="Times New Roman"/>
                <w:sz w:val="24"/>
              </w:rPr>
            </w:pPr>
          </w:p>
          <w:p w14:paraId="3E17CEC0" w14:textId="402AFA6E" w:rsidR="00D740B8" w:rsidRPr="00C72773" w:rsidRDefault="00D740B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C72773">
              <w:rPr>
                <w:rStyle w:val="normaltextrun"/>
              </w:rPr>
              <w:t xml:space="preserve">Il-valuri </w:t>
            </w:r>
            <w:proofErr w:type="spellStart"/>
            <w:r w:rsidRPr="00C72773">
              <w:rPr>
                <w:rStyle w:val="normaltextrun"/>
              </w:rPr>
              <w:t>kkalkulati</w:t>
            </w:r>
            <w:proofErr w:type="spellEnd"/>
            <w:r w:rsidRPr="00C72773">
              <w:rPr>
                <w:rStyle w:val="normaltextrun"/>
              </w:rPr>
              <w:t xml:space="preserve"> tal-komponenti ILDC, SC u FC u l-valur medju </w:t>
            </w:r>
            <w:proofErr w:type="spellStart"/>
            <w:r w:rsidRPr="00C72773">
              <w:rPr>
                <w:rStyle w:val="normaltextrun"/>
              </w:rPr>
              <w:t>tas-sottokomponenti</w:t>
            </w:r>
            <w:proofErr w:type="spellEnd"/>
            <w:r w:rsidRPr="00C72773">
              <w:rPr>
                <w:rStyle w:val="normaltextrun"/>
              </w:rPr>
              <w:t xml:space="preserve"> relatati tagħhom ikkalkulati matul l-aħħar 3 snin finanzjarji u msemmija fis-sena T.</w:t>
            </w:r>
          </w:p>
          <w:p w14:paraId="32637704" w14:textId="35682543" w:rsidR="00D740B8" w:rsidRPr="00C72773" w:rsidRDefault="00D740B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14:paraId="6C270BFC" w14:textId="453723AA" w:rsidR="00D740B8" w:rsidRPr="00C72773" w:rsidRDefault="00D740B8" w:rsidP="008006BD">
            <w:pPr>
              <w:pStyle w:val="paragraph"/>
              <w:spacing w:before="0" w:beforeAutospacing="0" w:after="0" w:afterAutospacing="0"/>
              <w:textAlignment w:val="baseline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C72773">
              <w:rPr>
                <w:rStyle w:val="normaltextrun"/>
              </w:rPr>
              <w:t xml:space="preserve">Il-medja tiġi </w:t>
            </w:r>
            <w:proofErr w:type="spellStart"/>
            <w:r w:rsidRPr="00C72773">
              <w:rPr>
                <w:rStyle w:val="normaltextrun"/>
              </w:rPr>
              <w:t>kkalkulata</w:t>
            </w:r>
            <w:proofErr w:type="spellEnd"/>
            <w:r w:rsidRPr="00C72773">
              <w:rPr>
                <w:rStyle w:val="normaltextrun"/>
              </w:rPr>
              <w:t xml:space="preserve"> billi jitqiesu l-valuri </w:t>
            </w:r>
            <w:proofErr w:type="spellStart"/>
            <w:r w:rsidRPr="00C72773">
              <w:rPr>
                <w:rStyle w:val="normaltextrun"/>
              </w:rPr>
              <w:t>kontabilistiċi</w:t>
            </w:r>
            <w:proofErr w:type="spellEnd"/>
            <w:r w:rsidRPr="00C72773">
              <w:rPr>
                <w:rStyle w:val="normaltextrun"/>
              </w:rPr>
              <w:t xml:space="preserve"> għal kull waħda mill-aħħar 3 snin. </w:t>
            </w:r>
          </w:p>
        </w:tc>
      </w:tr>
    </w:tbl>
    <w:p w14:paraId="75117700" w14:textId="77777777" w:rsidR="00D740B8" w:rsidRPr="00C72773" w:rsidRDefault="00D740B8" w:rsidP="00D740B8">
      <w:pPr>
        <w:pStyle w:val="numberedparagraph"/>
        <w:numPr>
          <w:ilvl w:val="0"/>
          <w:numId w:val="0"/>
        </w:numPr>
        <w:ind w:left="284" w:hanging="284"/>
        <w:rPr>
          <w:rStyle w:val="InstructionsTabelleberschrift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768"/>
      </w:tblGrid>
      <w:tr w:rsidR="00D740B8" w:rsidRPr="00C72773" w14:paraId="60D9E4A4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F2134" w14:textId="77777777" w:rsidR="00D740B8" w:rsidRPr="00C72773" w:rsidRDefault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Ringiela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799870" w14:textId="77777777" w:rsidR="00D740B8" w:rsidRPr="00C72773" w:rsidRDefault="00D740B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Referenzi legali u struzzjonijiet</w:t>
            </w:r>
          </w:p>
        </w:tc>
      </w:tr>
      <w:tr w:rsidR="00D740B8" w:rsidRPr="00C72773" w14:paraId="1AE63B23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54D68" w14:textId="77777777" w:rsidR="00D740B8" w:rsidRPr="00C72773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762DB" w14:textId="4BD6204F" w:rsidR="00D740B8" w:rsidRPr="00C72773" w:rsidRDefault="00D740B8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Komponent tal-imgħax, tal-</w:t>
            </w:r>
            <w:proofErr w:type="spellStart"/>
            <w:r w:rsidRPr="00C72773">
              <w:rPr>
                <w:rFonts w:ascii="Times New Roman" w:hAnsi="Times New Roman"/>
                <w:b/>
                <w:sz w:val="24"/>
              </w:rPr>
              <w:t>lokazzjonijiet</w:t>
            </w:r>
            <w:proofErr w:type="spellEnd"/>
            <w:r w:rsidRPr="00C72773">
              <w:rPr>
                <w:rFonts w:ascii="Times New Roman" w:hAnsi="Times New Roman"/>
                <w:b/>
                <w:sz w:val="24"/>
              </w:rPr>
              <w:t xml:space="preserve"> u tad-dividendi (ILDC, </w:t>
            </w:r>
            <w:proofErr w:type="spellStart"/>
            <w:r w:rsidRPr="00C72773">
              <w:rPr>
                <w:rFonts w:ascii="Times New Roman" w:hAnsi="Times New Roman"/>
                <w:b/>
                <w:sz w:val="24"/>
              </w:rPr>
              <w:t>Interest</w:t>
            </w:r>
            <w:proofErr w:type="spellEnd"/>
            <w:r w:rsidRPr="00C72773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C72773">
              <w:rPr>
                <w:rFonts w:ascii="Times New Roman" w:hAnsi="Times New Roman"/>
                <w:b/>
                <w:sz w:val="24"/>
              </w:rPr>
              <w:t>lease</w:t>
            </w:r>
            <w:proofErr w:type="spellEnd"/>
            <w:r w:rsidRPr="00C7277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72773">
              <w:rPr>
                <w:rFonts w:ascii="Times New Roman" w:hAnsi="Times New Roman"/>
                <w:b/>
                <w:sz w:val="24"/>
              </w:rPr>
              <w:t>and</w:t>
            </w:r>
            <w:proofErr w:type="spellEnd"/>
            <w:r w:rsidRPr="00C72773">
              <w:rPr>
                <w:rFonts w:ascii="Times New Roman" w:hAnsi="Times New Roman"/>
                <w:b/>
                <w:sz w:val="24"/>
              </w:rPr>
              <w:t xml:space="preserve"> dividend </w:t>
            </w:r>
            <w:proofErr w:type="spellStart"/>
            <w:r w:rsidRPr="00C72773">
              <w:rPr>
                <w:rFonts w:ascii="Times New Roman" w:hAnsi="Times New Roman"/>
                <w:b/>
                <w:sz w:val="24"/>
              </w:rPr>
              <w:t>component</w:t>
            </w:r>
            <w:proofErr w:type="spellEnd"/>
            <w:r w:rsidRPr="00C72773">
              <w:rPr>
                <w:rFonts w:ascii="Times New Roman" w:hAnsi="Times New Roman"/>
                <w:b/>
                <w:sz w:val="24"/>
              </w:rPr>
              <w:t>)</w:t>
            </w:r>
          </w:p>
          <w:p w14:paraId="78381763" w14:textId="2625CE0B" w:rsidR="00D740B8" w:rsidRPr="00C72773" w:rsidRDefault="00D740B8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>Il-komponent tal-Imgħax, tal-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Lokazzjonijiet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u tad-Dividendi (ILDC) jiġi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kkalkulat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mal-Artikolu 314(2) tar-Regolament (UE) Nru 575/2013 inklużi, fejn applikabbli, l-ammonti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kkalkulati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mal-Artikolu 314(3) tar-Regolament (UE) Nru 575/2013. Meta istituzzjoni tkun soġġetta għad-deroga msemmija fl-Artikolu 314(4) tar-Regolament (UE) Nru 575/2013, l-istituzzjoni ma għandha tinkludi l-ebda ċifra minn linji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operatorji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tal-operazzjonijiet bankarji għall-konsumatur u/jew tas-servizzi bankarji kummerċjali.</w:t>
            </w:r>
          </w:p>
        </w:tc>
      </w:tr>
      <w:tr w:rsidR="00456F97" w:rsidRPr="00C72773" w14:paraId="2142E785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0228B" w14:textId="2F42AD3B" w:rsidR="00456F97" w:rsidRPr="00C72773" w:rsidRDefault="00E03FA1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UE 1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D9357" w14:textId="2BE8631A" w:rsidR="00456F97" w:rsidRPr="00C72773" w:rsidRDefault="00E2624F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 xml:space="preserve">ILDC relatat mal-istituzzjoni individwali/mal-Grupp </w:t>
            </w:r>
            <w:proofErr w:type="spellStart"/>
            <w:r w:rsidRPr="00C72773">
              <w:rPr>
                <w:rFonts w:ascii="Times New Roman" w:hAnsi="Times New Roman"/>
                <w:b/>
                <w:sz w:val="24"/>
              </w:rPr>
              <w:t>ikkonsolidat</w:t>
            </w:r>
            <w:proofErr w:type="spellEnd"/>
            <w:r w:rsidRPr="00C72773">
              <w:rPr>
                <w:rFonts w:ascii="Times New Roman" w:hAnsi="Times New Roman"/>
                <w:b/>
                <w:sz w:val="24"/>
              </w:rPr>
              <w:t xml:space="preserve"> (minbarra l-entitajiet ikkunsidrati mill-Artikolu 314(3))</w:t>
            </w:r>
          </w:p>
          <w:p w14:paraId="3B4A0231" w14:textId="6A33703B" w:rsidR="00E2624F" w:rsidRPr="00C72773" w:rsidRDefault="00E2624F" w:rsidP="00413B9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>Il-komponent tal-Imgħax, tal-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Lokazzjonijiet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u tad-Dividendi (ILDC) ikkalkulat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mal-Artikolu 314(2) tar-Regolament (UE) Nru 575/2013, mingħajr ma tiġi inkluża l-ebda ċifra li hija parti mill-komputazzjoni tal-ILDC f’dawk il-każijiet fejn l-istituzzjoni tapplika d-deroga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mal-Artikolu 314(3) tar-Regolament (UE) Nru 575/2013.</w:t>
            </w:r>
          </w:p>
        </w:tc>
      </w:tr>
      <w:tr w:rsidR="00D740B8" w:rsidRPr="00C72773" w14:paraId="687AA3E1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75F19" w14:textId="77777777" w:rsidR="00D740B8" w:rsidRPr="00C72773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1a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7EA18" w14:textId="77777777" w:rsidR="00D740B8" w:rsidRPr="00C72773" w:rsidRDefault="00D740B8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Introjtu mill-imgħax u mil-lokazzjoni</w:t>
            </w:r>
          </w:p>
          <w:p w14:paraId="33CCD1CB" w14:textId="130AE220" w:rsidR="00BD248A" w:rsidRPr="00C72773" w:rsidRDefault="00D740B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 xml:space="preserve">Is-somma tal-introjtu mill-imgħax mill-assi finanzjarji kollha, tal-introjtu ieħor minn assi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lokati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u profitti minn assi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lokati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>,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mal-Anness V tas-soluzzjonijiet tal-IT tal-EBA.</w:t>
            </w:r>
          </w:p>
          <w:p w14:paraId="76D4A1E7" w14:textId="77777777" w:rsidR="00BD248A" w:rsidRPr="00C72773" w:rsidRDefault="00BD248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9841383" w14:textId="08257E38" w:rsidR="00F5221D" w:rsidRPr="00C72773" w:rsidRDefault="004F220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 xml:space="preserve">L-introjtu mill-imgħax mill-assi finanzjarji kollha għandu jiġi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kkalkulat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mal-Anness V, il-Parti 2, il-paragrafu 31 tas-soluzzjonijiet tal-IT tal-EBA u skont l-ispeċifikazzjonijiet ulterjuri mill-Anness V, il-Parti 2, il-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paragrafi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187, 189 u 194ii tas-soluzzjonijiet tal-IT tal-EBA.</w:t>
            </w:r>
          </w:p>
          <w:p w14:paraId="55B6FFE6" w14:textId="77777777" w:rsidR="00F5221D" w:rsidRPr="00C72773" w:rsidRDefault="00F5221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0ED9136" w14:textId="12CD18AE" w:rsidR="00E76AA5" w:rsidRPr="00C72773" w:rsidRDefault="00F5221D" w:rsidP="007535C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 xml:space="preserve">Introjtu ieħor minn assi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lokati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(finanzjarji u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) għandu jeskludi l-introjtu mill-imgħax. Dan l-ammont għandu jiġi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kkalkulat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mal-Anness V, il-Parti 2, il-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paragrafi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314 u 315 tas-soluzzjonijiet tal-IT tal-EBA, li jirrappreżentaw: (i) introjtu minn bidliet fil-valur ġust fi proprjetajiet għall-investiment li jiġġeneraw kirjiet u jitkejlu bl-użu tal-mudell tal-valur ġust; u/jew (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ii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) introjtu minn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lokazzjonijiet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operatorji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>, inkluż introjtu mill-kiri minn proprjetà għall-investiment.</w:t>
            </w:r>
          </w:p>
          <w:p w14:paraId="6C1BE770" w14:textId="77777777" w:rsidR="007535CB" w:rsidRPr="00C72773" w:rsidRDefault="007535CB" w:rsidP="007535C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42C7468" w14:textId="3A50C109" w:rsidR="00D740B8" w:rsidRPr="00C72773" w:rsidRDefault="00BB0B3D" w:rsidP="004F34D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 xml:space="preserve">Il-profitti minn assi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lokati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(finanzjarji u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>) għandhom jinkludu: (i) il-qligħ mill-modifiki tal-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lokazzjonijiet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mal-Anness V, il-Parti 2, il-paragrafu 49 tas-soluzzjonijiet tal-IT tal-EBA; (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ii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) il-bqija tal-introjtu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operatorju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ieħor (Introjtu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Operatorju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Ieħor)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mal-Anness V, il-Parti 2, il-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paragrafi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314 u 316 tas-soluzzjonijiet tal-IT tal-EBA, jekk ikunu relatati ma’ assi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lokati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(finanzjarji u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>).</w:t>
            </w:r>
          </w:p>
        </w:tc>
      </w:tr>
      <w:tr w:rsidR="00D740B8" w:rsidRPr="00C72773" w14:paraId="07825B95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DD05F" w14:textId="77777777" w:rsidR="00D740B8" w:rsidRPr="00C72773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1b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F99FE" w14:textId="5114D538" w:rsidR="00D740B8" w:rsidRPr="00C72773" w:rsidRDefault="00D740B8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Spejjeż tal-imgħax u tal-</w:t>
            </w:r>
            <w:proofErr w:type="spellStart"/>
            <w:r w:rsidRPr="00C72773">
              <w:rPr>
                <w:rFonts w:ascii="Times New Roman" w:hAnsi="Times New Roman"/>
                <w:b/>
                <w:sz w:val="24"/>
              </w:rPr>
              <w:t>lokazzjonijiet</w:t>
            </w:r>
            <w:proofErr w:type="spellEnd"/>
          </w:p>
          <w:p w14:paraId="65B73157" w14:textId="72BA8427" w:rsidR="00EC1398" w:rsidRPr="00C72773" w:rsidRDefault="00D740B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 xml:space="preserve">Is-somma tal-ispejjeż tal-imgħax mill-obbligazzjonijiet finanzjarji kollha, l-ispejjeż minn assi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lokati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u d-deprezzament, l-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indeboliment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u t-telf ta’ assi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lokati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>, kif imsemmija fl-Anness V tas-soluzzjonijiet tal-IT tal-EBA.</w:t>
            </w:r>
          </w:p>
          <w:p w14:paraId="06CEDDA9" w14:textId="77777777" w:rsidR="00BA33C3" w:rsidRPr="00C72773" w:rsidRDefault="00BA33C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ACFF991" w14:textId="1BCDC8C4" w:rsidR="00BA33C3" w:rsidRPr="00C72773" w:rsidRDefault="00BA33C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 xml:space="preserve">L-ispejjeż tal-imgħax mill-obbligazzjonijiet finanzjarji kollha għandhom jiġu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kkalkulati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mal-Anness V, il-Parti 2, il-paragrafu 31 tas-soluzzjonijiet tal-IT tal-EBA u skont l-ispeċifikazzjonijiet ulterjuri mill-Anness V, il-Parti 2, il-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paragrafi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188, 190 u 194ii tas-soluzzjonijiet tal-IT tal-EBA. Dawk l-ispejjeż tal-imgħax li huma dovuti għal eventi ta’ riskju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 għandhomx jiġu inklużi. Minflok, dawn għandhom jiġu inklużi fil-Komponent tas-Servizzi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mal-Artikolu 314(5) tar-Regolament (UE) Nru 575/2013.</w:t>
            </w:r>
          </w:p>
          <w:p w14:paraId="2D079DF5" w14:textId="77777777" w:rsidR="003D0A4B" w:rsidRPr="00C72773" w:rsidRDefault="003D0A4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8A94531" w14:textId="1EA15404" w:rsidR="003D0A4B" w:rsidRPr="00C72773" w:rsidRDefault="003D0A4B" w:rsidP="00D136A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 xml:space="preserve">L-ispejjeż tal-assi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lokati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operatorji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>) għandhom jinkludu l-ispejjeż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mal-Anness V, il-Parti 2, il-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paragrafi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314 u 315 tas-soluzzjonijiet tal-IT tal-EBA relatati ma’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lokazzjonijiet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operatorji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, li jirrappreżentaw: (i) spejjeż minn bidliet fil-valur ġust fi proprjetajiet għall-investiment li jiġġeneraw kirjiet u jitkejlu bl-użu tal-mudell tal-valur ġust minn assi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lokati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operatorji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>; u (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ii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) spejjeż fuq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lokazzjonijiet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operatorji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, inklużi spejjeż diretti tal-operat minn proprjetà għall-investiment li jiġġeneraw kirjiet. Barra minn hekk, l-istituzzjonijiet għandhom jinkludu wkoll hawnhekk spejjeż amministrattivi oħrajn mill-assi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lokati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operatorji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mal-Anness V, il-Parti 2, il-paragrafu 208ix tas-soluzzjonijiet tal-IT tal-EBA. Dawk l-ispejjeż li huma dovuti għal eventi ta’ riskju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 għandhomx jiġu inklużi. Minflok, dawn għandhom jiġu inklużi fil-Komponent tas-Servizzi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mal-Artikolu 314(5) tar-Regolament (UE) Nru 575/2013.</w:t>
            </w:r>
          </w:p>
          <w:p w14:paraId="61020FEC" w14:textId="77777777" w:rsidR="00376B14" w:rsidRPr="00C72773" w:rsidRDefault="00376B1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D976FDD" w14:textId="0FB08478" w:rsidR="00376B14" w:rsidRPr="00C72773" w:rsidRDefault="00376B1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 xml:space="preserve">Id-deprezzament tal-assi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lokati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għandu jikkorrispondi għall-ispejjeż ta’ deprezzament kif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irrappurtati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mal-Istandards Internazzjonali tal-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Kontabbiltà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(IAS,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International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Accounting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Standards) 1, il-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paragrafi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102 u 104 iżda biss minn assi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lokati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operatorji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li l-introjtu jew l-ispejjeż tagħhom huma inklużi fil-kalkolu tal-imgħax / tal-ispejjeż.</w:t>
            </w:r>
          </w:p>
          <w:p w14:paraId="5D82FC67" w14:textId="77777777" w:rsidR="00DA24A2" w:rsidRPr="00C72773" w:rsidRDefault="00DA24A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D89DE9C" w14:textId="6D7B59E2" w:rsidR="00DA24A2" w:rsidRPr="00C72773" w:rsidRDefault="00DA24A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>L-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indeboliment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tal-assi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lokati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għandu jikkorrispondi għall-ispejjeż mill-assi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lokati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operatorji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li jirrappreżentaw l-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indeboliment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jew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ir-riversjar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ta’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indeboliment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mal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-IAS 36, il-paragrafu 126(a)(b) mill-assi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lokati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operatorji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>.</w:t>
            </w:r>
          </w:p>
          <w:p w14:paraId="11B36ACB" w14:textId="77777777" w:rsidR="00DA24A2" w:rsidRPr="00C72773" w:rsidRDefault="00DA24A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FA351B6" w14:textId="470A5833" w:rsidR="00D740B8" w:rsidRPr="00C72773" w:rsidRDefault="00DA24A2" w:rsidP="004F34D4">
            <w:pPr>
              <w:rPr>
                <w:rFonts w:ascii="Times New Roman" w:hAnsi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 xml:space="preserve">It-telf ta’ assi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lokati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jikkorrispondi għall-bqija tal-ispejjeż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operatorji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oħrajn (Spejjeż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Operatorji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Oħrajn)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mal-Anness V, il-Parti 2, it-Taqsima 29.3, il-paragrafu 316 tas-soluzzjonijiet tal-IT tal-EBA, jekk ma jkunux relatati ma’ assi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lokati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operatorji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. Dak it-telf li huwa dovut għal eventi ta’ riskju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 għandux jiġi inkluż. Minflok, dawn għandhom jiġu inklużi fil-Komponent tas-Servizzi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mal-Artikolu 314(5) tar-Regolament (UE) Nru 575/2013.</w:t>
            </w:r>
          </w:p>
        </w:tc>
      </w:tr>
      <w:tr w:rsidR="00D740B8" w:rsidRPr="00C72773" w14:paraId="49B58D8D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019E7" w14:textId="77777777" w:rsidR="00D740B8" w:rsidRPr="00C72773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1c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E844B" w14:textId="18CAFF49" w:rsidR="00D740B8" w:rsidRPr="00C72773" w:rsidRDefault="00B76736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sz w:val="24"/>
                <w:u w:val="none"/>
              </w:rPr>
            </w:pPr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Total ta’ Assi/Komponent tal-assi</w:t>
            </w:r>
          </w:p>
          <w:p w14:paraId="15501679" w14:textId="3EB04379" w:rsidR="00D740B8" w:rsidRPr="00C72773" w:rsidRDefault="00B76736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>Fil-kolonna d), il-komponent tal-assi kif ikkalkulat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mal-Artikolu 314(2) tar-Regolament (UE) Nru 575/2013.</w:t>
            </w:r>
          </w:p>
          <w:p w14:paraId="65FF56C9" w14:textId="24401D0D" w:rsidR="004E3E86" w:rsidRPr="00C72773" w:rsidRDefault="003E3201" w:rsidP="00373F9D">
            <w:pPr>
              <w:rPr>
                <w:rFonts w:ascii="Times New Roman" w:hAnsi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 xml:space="preserve">Fil-kolonni l-oħrajn, l-assi totali għandhom jikkorrispondu għas-somma tal-ammont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riportat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gross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ta’ bilanċi tal-flus f’banek ċentrali u depożiti ta’ domanda oħrajn, titoli ta’ dejn, self u avvanzi kif ukoll l-ammont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riportat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ta’ derivattivi (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ħeġġijiet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kummerċjali u ekonomiċi u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kontabbiltà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għall-iħħeġġjar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) u assi soġġetti għal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lokazzjonijiet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(assi tanġibbli u intanġibbli). Dawn l-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entrati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għandhom jirreferu għall-Anness V tas-soluzzjonijiet tal-IT tal-EBA.</w:t>
            </w:r>
          </w:p>
          <w:p w14:paraId="2655EEC4" w14:textId="6116BB66" w:rsidR="00BC1F18" w:rsidRPr="00C72773" w:rsidRDefault="00BC1F18" w:rsidP="00BC1F18">
            <w:pPr>
              <w:rPr>
                <w:rFonts w:ascii="Times New Roman" w:hAnsi="Times New Roman"/>
                <w:sz w:val="24"/>
              </w:rPr>
            </w:pPr>
          </w:p>
        </w:tc>
      </w:tr>
      <w:tr w:rsidR="00D740B8" w:rsidRPr="00C72773" w14:paraId="431D95BD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4247A" w14:textId="77777777" w:rsidR="00D740B8" w:rsidRPr="00C72773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1d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83663" w14:textId="03959A67" w:rsidR="00D740B8" w:rsidRPr="00C72773" w:rsidRDefault="00B76736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Introjtu mid-dividendi/Komponent tad-dividendi</w:t>
            </w:r>
          </w:p>
          <w:p w14:paraId="1A066B7B" w14:textId="4AA7538A" w:rsidR="00D740B8" w:rsidRPr="00C72773" w:rsidRDefault="00B76736" w:rsidP="004E3E86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>Fil-kolonna d), il-komponent tad-dividendi kif ikkalkulat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mal-Artikolu 314(2) tar-Regolament (UE) Nru 575/2013.</w:t>
            </w:r>
          </w:p>
          <w:p w14:paraId="3F4B342E" w14:textId="23DB8876" w:rsidR="004E3E86" w:rsidRPr="00C72773" w:rsidRDefault="004E3E86" w:rsidP="004E3E86">
            <w:pPr>
              <w:rPr>
                <w:rFonts w:ascii="Times New Roman" w:hAnsi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>L-istituzzjonijiet għandhom jirrapportaw l-introjtu mid-dividendi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mal-Anness V, il-Parti 2, il-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paragrafi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40 sa 42 tas-soluzzjonijiet tal-IT tal-EBA.</w:t>
            </w:r>
          </w:p>
        </w:tc>
      </w:tr>
      <w:tr w:rsidR="003826D3" w:rsidRPr="00C72773" w14:paraId="3A9CE2B7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64302" w14:textId="77777777" w:rsidR="003826D3" w:rsidRPr="00C72773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58B47" w14:textId="103CAA7B" w:rsidR="003826D3" w:rsidRPr="00C72773" w:rsidRDefault="003826D3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 xml:space="preserve">Komponent tas-Servizzi (SC, Service </w:t>
            </w:r>
            <w:proofErr w:type="spellStart"/>
            <w:r w:rsidRPr="00C72773">
              <w:rPr>
                <w:rFonts w:ascii="Times New Roman" w:hAnsi="Times New Roman"/>
                <w:b/>
                <w:sz w:val="24"/>
              </w:rPr>
              <w:t>Component</w:t>
            </w:r>
            <w:proofErr w:type="spellEnd"/>
            <w:r w:rsidRPr="00C72773">
              <w:rPr>
                <w:rFonts w:ascii="Times New Roman" w:hAnsi="Times New Roman"/>
                <w:b/>
                <w:sz w:val="24"/>
              </w:rPr>
              <w:t>)</w:t>
            </w:r>
          </w:p>
          <w:p w14:paraId="2D48B659" w14:textId="0264DFE4" w:rsidR="00080F37" w:rsidRPr="00C72773" w:rsidRDefault="005E7C4C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>Il-Komponent tas-Servizzi (SC) ikkalkulat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mal-Artikolu 314(5) tar-Regolament (UE) Nru 575/2013.</w:t>
            </w:r>
          </w:p>
          <w:p w14:paraId="2EFCFDAF" w14:textId="3F07E77F" w:rsidR="003826D3" w:rsidRPr="00C72773" w:rsidRDefault="0094124B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 xml:space="preserve">Meta istituzzjoni tkun soġġetta għad-deroga msemmija fl-Artikolu 314(4) tar-Regolament (UE) Nru 575/2013, l-istituzzjoni ma għandha tinkludi l-ebda ċifra minn linji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operatorji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tal-operazzjonijiet bankarji għall-konsumatur u/jew tas-servizzi bankarji kummerċjali. </w:t>
            </w:r>
          </w:p>
        </w:tc>
      </w:tr>
      <w:tr w:rsidR="003826D3" w:rsidRPr="00C72773" w14:paraId="74CC77AB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24C8A" w14:textId="77777777" w:rsidR="003826D3" w:rsidRPr="00C72773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2a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F1D9A" w14:textId="77777777" w:rsidR="003826D3" w:rsidRPr="00C72773" w:rsidRDefault="003826D3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Introjtu mit-tariffi u mill-kummissjonijiet</w:t>
            </w:r>
          </w:p>
          <w:p w14:paraId="1394D6AF" w14:textId="06AD3617" w:rsidR="003826D3" w:rsidRPr="00C72773" w:rsidRDefault="009816D6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>L-introjtu mit-tariffi u mill-kummissjonijiet imsemmi fl-Anness V, il-Parti 2, il-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paragrafi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281 sa 284 tas-soluzzjonijiet tal-IT tal-EBA u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kkalkulat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mal-Artikolu 314(5) tar-Regolament (UE) Nru 575/2013.</w:t>
            </w:r>
          </w:p>
          <w:p w14:paraId="0EA5E8EE" w14:textId="07382D3A" w:rsidR="008D318E" w:rsidRPr="00C72773" w:rsidRDefault="008D318E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>L-introjtu minn attivitajiet anċillari, bħall-attivitajiet tal-IT meħtieġa għall-eżekuzzjoni ta’ servizz finanzjarju, għandu jiġi inkluż ukoll f’din l-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entrata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>,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mal-Artikolu 7 tal-RTS li għandu jiġi żviluppat skont l-Artikolu 314(9) tar-Regolament (UE) Nru 575/2013.</w:t>
            </w:r>
          </w:p>
          <w:p w14:paraId="388F841F" w14:textId="1B0267DB" w:rsidR="00D91B18" w:rsidRPr="00C72773" w:rsidRDefault="007D3710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bCs w:val="0"/>
                <w:sz w:val="24"/>
                <w:u w:val="none"/>
              </w:rPr>
            </w:pPr>
            <w:r w:rsidRPr="00C72773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Il-parti tal-introjtu mit-tariffi u mill-kummissjonijiet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riċevut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minn istituzzjonijiet li huma membri tal-istess skema ta’ protezzjoni istituzzjonali f’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konformità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mal-Artikolu 314(5) tar-Regolament (UE) Nru 575/2013, għandha tiġi eskluża.</w:t>
            </w:r>
          </w:p>
        </w:tc>
      </w:tr>
      <w:tr w:rsidR="003826D3" w:rsidRPr="00C72773" w14:paraId="20677853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7D63A" w14:textId="77777777" w:rsidR="003826D3" w:rsidRPr="00C72773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2b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259B2" w14:textId="5A4319DA" w:rsidR="003826D3" w:rsidRPr="00C72773" w:rsidRDefault="003826D3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Spiża ta’ tariffi u kummissjonijiet</w:t>
            </w:r>
          </w:p>
          <w:p w14:paraId="241530E4" w14:textId="72E685E0" w:rsidR="003826D3" w:rsidRPr="00C72773" w:rsidRDefault="009816D6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>L-ispiża ta’ tariffi u kummissjonijiet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mal-Anness V, il-Parti 2, il-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paragrafi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281 sa 284 tas-soluzzjonijiet tal-IT tal-EBA u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kkalkulata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mal-Artikolu 314(5) tar-Regolament (UE) Nru 575/2013.</w:t>
            </w:r>
          </w:p>
          <w:p w14:paraId="03E34B08" w14:textId="2D67624D" w:rsidR="00126683" w:rsidRPr="00C72773" w:rsidRDefault="00126683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>It-tariffi tal-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esternalizzazzjoni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mħallsa għall-provvista ta’ servizzi finanzjarji,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irrappreżentati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mil-lista ta’ attivitajiet indikata fl-Artikolu 8, tal-RTS li għandhom jiġu żviluppati skont l-Artikolu 314(9) tar-Regolament (UE) Nru 575/2013, f’każ li jiġu inklużi, skont il-qafas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kontabilistiku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applikat taħt l-ispejjeż amministrattivi,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mal-Artikolu 16 tal-RTS imsemmija, għandhom jiġu żvelati f’din ir-ringiela. Spejjeż minn attivitajiet anċillari, bħal attivitajiet tal-IT meħtieġa biex jiġi eżegwit servizz finanzjarju, għandhom jiġu inklużi wkoll f’din l-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entrata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>.</w:t>
            </w:r>
          </w:p>
          <w:p w14:paraId="37B7C759" w14:textId="401F429B" w:rsidR="00A87543" w:rsidRPr="00C72773" w:rsidRDefault="00A8754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>Il-parti tal-ispejjeż ta’ tariffi u kummissjonijiet imħallsa lill-istituzzjonijiet li huma membri tal-istess skema ta’ protezzjoni istituzzjonali,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mal-Artikolu 314(5) tar-Regolament (UE) Nru 575/2013, għandha tiġi eskluża.</w:t>
            </w:r>
          </w:p>
        </w:tc>
      </w:tr>
      <w:tr w:rsidR="003826D3" w:rsidRPr="00C72773" w14:paraId="56FE9999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FDD92" w14:textId="77777777" w:rsidR="003826D3" w:rsidRPr="00C72773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2c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40694" w14:textId="77777777" w:rsidR="003826D3" w:rsidRPr="00C72773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sz w:val="24"/>
                <w:u w:val="none"/>
              </w:rPr>
            </w:pPr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Introjtu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operatorju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 ieħor</w:t>
            </w:r>
          </w:p>
          <w:p w14:paraId="035A399D" w14:textId="7232F3EB" w:rsidR="00671F1C" w:rsidRPr="00C72773" w:rsidRDefault="009816D6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 xml:space="preserve">Introjtu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operatorju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ieħor inkluż: qligħ minn assi mhux kurrenti u gruppi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tad-disponiment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ikklassifikati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bħala miżmuma għall-bejgħ li ma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jikkwalifikawx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bħala operazzjonijiet li ma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tkomplewx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(f’każ ta’ telf, il-valuri għandhom jiġu ttrattati bħala żero)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mal-Anness V, il-Parti 2, il-paragrafu 55 tas-soluzzjonijiet tal-IT tal-EBA, u introjtu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operatorju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ieħor kif imsemmi fl-Anness V, il-Parti 2, il-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paragrafi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314 u 316 tas-soluzzjonijiet tal-IT tal-EBA, iżda eskluż l-introjtu fuq il-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lokazzjonijiet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operatorji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u kwalunkwe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entrata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ddeterminata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skont l-Artikolu 314(7) tar-Regolament (UE) 2021/451.</w:t>
            </w:r>
          </w:p>
          <w:p w14:paraId="39451B35" w14:textId="17278A47" w:rsidR="00A471E8" w:rsidRPr="00C72773" w:rsidRDefault="007863F3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>L-irkupru ta’ spejjeż amministrattivi ma għandux jitqies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mal-Artikolu 5 tal-RTS dwar il-komponenti tal-indikatur tan-negozju li għandhom jiġu żviluppati skont l-Artikolu 314(9) tar-Regolament (UE) Nru 575/2013.</w:t>
            </w:r>
          </w:p>
          <w:p w14:paraId="0B35E56E" w14:textId="27C4774F" w:rsidR="00695D35" w:rsidRPr="00C72773" w:rsidRDefault="00695D35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 xml:space="preserve">L-ammont ta’ introjtu operattiv ieħor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riċevut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minn istituzzjonijiet li huma membri tal-istess skema ta’ protezzjoni istituzzjonali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mal-Artikolu 314(5) tar-Regolament (UE) Nru 575/2013, għandu jiġi eskluż.</w:t>
            </w:r>
          </w:p>
          <w:p w14:paraId="685D1BC1" w14:textId="04DD0137" w:rsidR="00695D35" w:rsidRPr="00C72773" w:rsidRDefault="00695D35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bCs w:val="0"/>
                <w:sz w:val="24"/>
                <w:u w:val="none"/>
              </w:rPr>
            </w:pPr>
            <w:r w:rsidRPr="00C72773">
              <w:rPr>
                <w:rFonts w:ascii="Times New Roman" w:hAnsi="Times New Roman"/>
                <w:sz w:val="24"/>
              </w:rPr>
              <w:t xml:space="preserve">L-ammont ta’ din ir-ringiela għandu jiġi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kkalkulat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mal-Artikolu 314(5) tar-Regolament (UE) Nru 575/2013.</w:t>
            </w:r>
          </w:p>
        </w:tc>
      </w:tr>
      <w:tr w:rsidR="003826D3" w:rsidRPr="00C72773" w14:paraId="278E4D2B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75E4C" w14:textId="77777777" w:rsidR="003826D3" w:rsidRPr="00C72773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2d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949AD" w14:textId="3ED4D7E2" w:rsidR="003826D3" w:rsidRPr="00C72773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sz w:val="24"/>
                <w:u w:val="none"/>
              </w:rPr>
            </w:pPr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Spejjeż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operatorji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 oħrajn</w:t>
            </w:r>
          </w:p>
          <w:p w14:paraId="13FCDFA5" w14:textId="269315A4" w:rsidR="00B722D0" w:rsidRPr="00C72773" w:rsidRDefault="009816D6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>Spiża operatorja oħra inkluż:</w:t>
            </w:r>
          </w:p>
          <w:p w14:paraId="0E760CEE" w14:textId="74A56BE8" w:rsidR="00643568" w:rsidRPr="00C72773" w:rsidRDefault="004D0A0E" w:rsidP="002A26E9">
            <w:pPr>
              <w:pStyle w:val="ListParagraph"/>
              <w:numPr>
                <w:ilvl w:val="0"/>
                <w:numId w:val="9"/>
              </w:numPr>
              <w:spacing w:before="60" w:after="1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 xml:space="preserve">Telf minn assi mhux kurrenti u gruppi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tad-disponiment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ikklassifikati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bħala miżmuma għall-bejgħ li ma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jikkwalifikawx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bħala operazzjonijiet li ma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tkomplewx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: telf minbarra minħabba eventi ta’ riskju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minn assi mhux kurrenti u gruppi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tad-disponiment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ikklassifikati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bħala miżmuma għall-bejgħ li ma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jikkwalifikawx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bħala operazzjonijiet li ma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tkomplewx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mal-Anness V, il-Parti 2, il-paragrafu 55 tas-soluzzjonijiet tal-IT tal-EBA. Huwa biss it-telf li għandu jiġi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rrappurtat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>; f’każ ta’ qligħ, il-valur għandu jiġi ttrattat bħala żero għall-fini ta’ din ir-ringiela.</w:t>
            </w:r>
          </w:p>
          <w:p w14:paraId="0334035E" w14:textId="19D6E763" w:rsidR="00EE7608" w:rsidRPr="00C72773" w:rsidRDefault="004D0A0E" w:rsidP="00EE7608">
            <w:pPr>
              <w:pStyle w:val="ListParagraph"/>
              <w:numPr>
                <w:ilvl w:val="0"/>
                <w:numId w:val="9"/>
              </w:numPr>
              <w:spacing w:before="60" w:after="1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 xml:space="preserve">Telf, spejjeż, provvedimenti u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impatti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finanzjarji oħra totali minħabba eventi ta’ riskju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: is-somma tat-telf, tal-ispejjeż, tal-provvedimenti u ta’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impatti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finanzjarji oħra kollha relatati ma’ eventi ta’ riskju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kif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irrappurtat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fir-ringiela 0080 tal-mudell C.16.03 inkluża fl-Anness I tas-soluzzjonijiet tal-IT tal-EBA.</w:t>
            </w:r>
          </w:p>
          <w:p w14:paraId="2C93E8CD" w14:textId="64776E12" w:rsidR="004D0A0E" w:rsidRPr="00C72773" w:rsidRDefault="00A37C45" w:rsidP="00EE7608">
            <w:pPr>
              <w:pStyle w:val="ListParagraph"/>
              <w:numPr>
                <w:ilvl w:val="0"/>
                <w:numId w:val="9"/>
              </w:numPr>
              <w:spacing w:before="60" w:after="1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 xml:space="preserve">Spejjeż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operatorji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oħrajn minbarra dawk dovuti għal eventi ta’ riskju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mal-Anness V, il-Parti 2, il-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paragrafi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314 u 316 tas-soluzzjonijiet tal-IT tal-EBA, li jirrappreżentaw:</w:t>
            </w:r>
          </w:p>
          <w:p w14:paraId="01D56412" w14:textId="77777777" w:rsidR="004A5BBA" w:rsidRPr="00C72773" w:rsidRDefault="004A5BBA" w:rsidP="004A5BBA">
            <w:pPr>
              <w:pStyle w:val="ListParagraph"/>
              <w:numPr>
                <w:ilvl w:val="1"/>
                <w:numId w:val="10"/>
              </w:numPr>
              <w:spacing w:before="60" w:after="1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 xml:space="preserve">spejjeż minn bidliet fil-valur ġust f’assi tanġibbli mkejla bl-użu tal-mudell tal-valur ġust, minbarra spejjeż minn bidliet fil-valur ġust fi proprjetajiet għall-investiment li jiġġeneraw kirjiet u li jitkejlu bl-użu tal-mudell tal-valur ġust mill-assi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lokati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operatorji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>;</w:t>
            </w:r>
          </w:p>
          <w:p w14:paraId="726CB5AB" w14:textId="426E3DFA" w:rsidR="004A5BBA" w:rsidRPr="00C72773" w:rsidRDefault="004A5BBA" w:rsidP="004A5BBA">
            <w:pPr>
              <w:pStyle w:val="ListParagraph"/>
              <w:numPr>
                <w:ilvl w:val="1"/>
                <w:numId w:val="10"/>
              </w:numPr>
              <w:spacing w:before="60" w:after="120"/>
              <w:jc w:val="both"/>
              <w:rPr>
                <w:rFonts w:ascii="Times New Roman" w:eastAsia="Times New Roman" w:hAnsi="Times New Roman"/>
                <w:sz w:val="24"/>
              </w:rPr>
            </w:pPr>
          </w:p>
          <w:p w14:paraId="4F8244A1" w14:textId="2CF47DAA" w:rsidR="004A5BBA" w:rsidRPr="00C72773" w:rsidRDefault="004A5BBA" w:rsidP="004A5BBA">
            <w:pPr>
              <w:pStyle w:val="ListParagraph"/>
              <w:numPr>
                <w:ilvl w:val="1"/>
                <w:numId w:val="10"/>
              </w:numPr>
              <w:spacing w:before="60" w:after="1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 xml:space="preserve">il-bqija tal-ispejjeż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operatorji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oħrajn (Spejjeż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Operatorji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Oħrajn)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mal-Anness V, il-Parti 2, il-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paragrafi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314 u 316 tas-soluzzjonijiet tal-IT tal-EBA, jekk ma jkunux relatati ma’ assi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lokati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>.</w:t>
            </w:r>
          </w:p>
          <w:p w14:paraId="6CDC5FBE" w14:textId="54C68FB7" w:rsidR="004A3C86" w:rsidRPr="00C72773" w:rsidRDefault="004A3C86" w:rsidP="00EE7608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bCs w:val="0"/>
                <w:sz w:val="24"/>
                <w:u w:val="none"/>
              </w:rPr>
            </w:pPr>
            <w:r w:rsidRPr="00C72773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L-ammont ta’ spejjeż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operatorji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oħrajn mħallsa lill-istituzzjonijiet li huma membri tal-istess skema ta’ protezzjoni istituzzjonali f’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konformità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mal-Artikolu 314(5) tar-Regolament (UE) Nru 575/2013, għandu jiġi eskluż.</w:t>
            </w:r>
          </w:p>
          <w:p w14:paraId="6F1C30F0" w14:textId="3B05E985" w:rsidR="003826D3" w:rsidRPr="00C72773" w:rsidRDefault="00DE3384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 xml:space="preserve">L-ammont ta’ din ir-ringiela għandu jiġi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kkalkulat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mal-Artikolu 314(5) tar-Regolament (UE) Nru 575/2013.</w:t>
            </w:r>
          </w:p>
        </w:tc>
      </w:tr>
      <w:tr w:rsidR="003826D3" w:rsidRPr="00C72773" w14:paraId="7FA7A9FF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87AB3" w14:textId="77777777" w:rsidR="003826D3" w:rsidRPr="00C72773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7EDDC" w14:textId="77777777" w:rsidR="003826D3" w:rsidRPr="00C72773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Komponent Finanzjarju (FC,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Financial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Component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)</w:t>
            </w:r>
          </w:p>
          <w:p w14:paraId="1C2CD9AE" w14:textId="16B8F7FC" w:rsidR="003826D3" w:rsidRPr="00C72773" w:rsidRDefault="00DE3384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bCs w:val="0"/>
                <w:sz w:val="24"/>
                <w:u w:val="none"/>
              </w:rPr>
            </w:pPr>
            <w:r w:rsidRPr="00C72773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Il-Komponent finanzjarju (FC) ikkalkulat f’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konformità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mal-Artikolu 314(6) tar-Regolament (UE) Nru 575/2013. </w:t>
            </w:r>
            <w:r w:rsidRPr="00C72773">
              <w:rPr>
                <w:rFonts w:ascii="Times New Roman" w:hAnsi="Times New Roman"/>
                <w:sz w:val="24"/>
              </w:rPr>
              <w:t xml:space="preserve">Meta istituzzjoni tkun soġġetta għad-deroga msemmija fl-Artikolu 314(4) tar-Regolament (UE) Nru 575/2013, l-istituzzjoni ma għandha tinkludi l-ebda ċifra minn linji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operatorji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tal-operazzjonijiet bankarji għall-konsumatur u/jew tas-servizzi bankarji kummerċjali.</w:t>
            </w:r>
          </w:p>
        </w:tc>
      </w:tr>
      <w:tr w:rsidR="003826D3" w:rsidRPr="00C72773" w14:paraId="2B149247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87E8" w14:textId="77777777" w:rsidR="003826D3" w:rsidRPr="00C72773" w:rsidRDefault="003826D3" w:rsidP="00C72773">
            <w:pPr>
              <w:pageBreakBefore/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3a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7BB41" w14:textId="6F0E6551" w:rsidR="003826D3" w:rsidRPr="00C72773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Profitt jew telf nett applikabbli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għall-portafoll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 tan-negozjar (TB,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trading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book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)</w:t>
            </w:r>
          </w:p>
          <w:p w14:paraId="4E177CA3" w14:textId="4C472892" w:rsidR="003826D3" w:rsidRPr="00C72773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 w:rsidRPr="00C72773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Il-profitt jew it-telf nett applikabbli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għall-portafoll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tan-negozjar għandu jiġi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kkalkulat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bħala s-somma ta’:</w:t>
            </w:r>
          </w:p>
          <w:p w14:paraId="6324889B" w14:textId="380EDA28" w:rsidR="008A379C" w:rsidRPr="00C72773" w:rsidRDefault="008A379C" w:rsidP="00232265">
            <w:pPr>
              <w:pStyle w:val="Style1"/>
              <w:rPr>
                <w:rStyle w:val="InstructionsTabelleberschrift"/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 w:rsidRPr="00C72773">
              <w:rPr>
                <w:u w:val="single"/>
              </w:rPr>
              <w:t>Qligħ jew (-) telf fuq assi u obbligazzjonijiet finanzjarji miżmuma għan-negozjar u n-negozjar, nett</w:t>
            </w:r>
            <w:r w:rsidRPr="00C72773">
              <w:t>: qligħ jew (-) telf fuq assi u obbligazzjonijiet finanzjarji miżmuma għan-negozjar f’</w:t>
            </w:r>
            <w:proofErr w:type="spellStart"/>
            <w:r w:rsidRPr="00C72773">
              <w:t>konformità</w:t>
            </w:r>
            <w:proofErr w:type="spellEnd"/>
            <w:r w:rsidRPr="00C72773">
              <w:t xml:space="preserve"> mal-Anness V, il-Parti 2, il-</w:t>
            </w:r>
            <w:proofErr w:type="spellStart"/>
            <w:r w:rsidRPr="00C72773">
              <w:t>paragrafi</w:t>
            </w:r>
            <w:proofErr w:type="spellEnd"/>
            <w:r w:rsidRPr="00C72773">
              <w:t xml:space="preserve"> 43 u 46 tas-soluzzjonijiet tal-IT tal-EBA jew fuq in-negozjar ta’ assi u obbligazzjonijiet finanzjarji f’</w:t>
            </w:r>
            <w:proofErr w:type="spellStart"/>
            <w:r w:rsidRPr="00C72773">
              <w:t>konformità</w:t>
            </w:r>
            <w:proofErr w:type="spellEnd"/>
            <w:r w:rsidRPr="00C72773">
              <w:t xml:space="preserve"> mad-Direttiva tal-Kunsill 86/635/KEE (“Direttiva dwar il-</w:t>
            </w:r>
            <w:proofErr w:type="spellStart"/>
            <w:r w:rsidRPr="00C72773">
              <w:t>Kontabbiltà</w:t>
            </w:r>
            <w:proofErr w:type="spellEnd"/>
            <w:r w:rsidRPr="00C72773">
              <w:t xml:space="preserve"> Bankarja” jew “BAD”, Bank </w:t>
            </w:r>
            <w:proofErr w:type="spellStart"/>
            <w:r w:rsidRPr="00C72773">
              <w:t>Accounting</w:t>
            </w:r>
            <w:proofErr w:type="spellEnd"/>
            <w:r w:rsidRPr="00C72773">
              <w:t xml:space="preserve"> </w:t>
            </w:r>
            <w:proofErr w:type="spellStart"/>
            <w:r w:rsidRPr="00C72773">
              <w:t>Directive</w:t>
            </w:r>
            <w:proofErr w:type="spellEnd"/>
            <w:r w:rsidRPr="00C72773">
              <w:t>) l-Artikolu 27. Tqassim vertikali (6);</w:t>
            </w:r>
          </w:p>
          <w:p w14:paraId="0B998657" w14:textId="654F8692" w:rsidR="008A379C" w:rsidRPr="00C72773" w:rsidRDefault="008A379C" w:rsidP="00232265">
            <w:pPr>
              <w:pStyle w:val="Style1"/>
              <w:rPr>
                <w:rStyle w:val="InstructionsTabelleberschrift"/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 w:rsidRPr="00C72773">
              <w:rPr>
                <w:u w:val="single"/>
              </w:rPr>
              <w:t>Qligħ jew (-) telf mill-</w:t>
            </w:r>
            <w:proofErr w:type="spellStart"/>
            <w:r w:rsidRPr="00C72773">
              <w:rPr>
                <w:u w:val="single"/>
              </w:rPr>
              <w:t>kontabbiltà</w:t>
            </w:r>
            <w:proofErr w:type="spellEnd"/>
            <w:r w:rsidRPr="00C72773">
              <w:rPr>
                <w:u w:val="single"/>
              </w:rPr>
              <w:t xml:space="preserve"> </w:t>
            </w:r>
            <w:proofErr w:type="spellStart"/>
            <w:r w:rsidRPr="00C72773">
              <w:rPr>
                <w:u w:val="single"/>
              </w:rPr>
              <w:t>għall-iħħeġġjar</w:t>
            </w:r>
            <w:proofErr w:type="spellEnd"/>
            <w:r w:rsidRPr="00C72773">
              <w:rPr>
                <w:u w:val="single"/>
              </w:rPr>
              <w:t>, nett</w:t>
            </w:r>
            <w:r w:rsidRPr="00C72773">
              <w:t>: qligħ jew (-) telf mill-</w:t>
            </w:r>
            <w:proofErr w:type="spellStart"/>
            <w:r w:rsidRPr="00C72773">
              <w:t>kontabbiltà</w:t>
            </w:r>
            <w:proofErr w:type="spellEnd"/>
            <w:r w:rsidRPr="00C72773">
              <w:t xml:space="preserve"> </w:t>
            </w:r>
            <w:proofErr w:type="spellStart"/>
            <w:r w:rsidRPr="00C72773">
              <w:t>għall-iħħeġġjar</w:t>
            </w:r>
            <w:proofErr w:type="spellEnd"/>
            <w:r w:rsidRPr="00C72773">
              <w:t>, nett taħt il-komponent tal-</w:t>
            </w:r>
            <w:proofErr w:type="spellStart"/>
            <w:r w:rsidRPr="00C72773">
              <w:t>portafoll</w:t>
            </w:r>
            <w:proofErr w:type="spellEnd"/>
            <w:r w:rsidRPr="00C72773">
              <w:t xml:space="preserve"> tan-negozjar biss f’dawk iċ-ċirkostanzi eċċezzjonali fejn il-</w:t>
            </w:r>
            <w:proofErr w:type="spellStart"/>
            <w:r w:rsidRPr="00C72773">
              <w:t>kontabbiltà</w:t>
            </w:r>
            <w:proofErr w:type="spellEnd"/>
            <w:r w:rsidRPr="00C72773">
              <w:t xml:space="preserve"> </w:t>
            </w:r>
            <w:proofErr w:type="spellStart"/>
            <w:r w:rsidRPr="00C72773">
              <w:t>għall-iħħeġġjar</w:t>
            </w:r>
            <w:proofErr w:type="spellEnd"/>
            <w:r w:rsidRPr="00C72773">
              <w:t>, ikkalkulata f’</w:t>
            </w:r>
            <w:proofErr w:type="spellStart"/>
            <w:r w:rsidRPr="00C72773">
              <w:t>konformità</w:t>
            </w:r>
            <w:proofErr w:type="spellEnd"/>
            <w:r w:rsidRPr="00C72773">
              <w:t xml:space="preserve"> mal-Anness V, il-Parti 2, il-paragrafu 47 tas-soluzzjonijiet tal-IT tal-EBA jew f’</w:t>
            </w:r>
            <w:proofErr w:type="spellStart"/>
            <w:r w:rsidRPr="00C72773">
              <w:t>konformità</w:t>
            </w:r>
            <w:proofErr w:type="spellEnd"/>
            <w:r w:rsidRPr="00C72773">
              <w:t xml:space="preserve"> mal-Artikolu 8(1)(a), (6), (8) tad-Direttiva dwar il-</w:t>
            </w:r>
            <w:proofErr w:type="spellStart"/>
            <w:r w:rsidRPr="00C72773">
              <w:t>Kontabbiltà</w:t>
            </w:r>
            <w:proofErr w:type="spellEnd"/>
            <w:r w:rsidRPr="00C72773">
              <w:t xml:space="preserve"> tintuża </w:t>
            </w:r>
            <w:proofErr w:type="spellStart"/>
            <w:r w:rsidRPr="00C72773">
              <w:t>għall-iħħeġġjar</w:t>
            </w:r>
            <w:proofErr w:type="spellEnd"/>
            <w:r w:rsidRPr="00C72773">
              <w:t xml:space="preserve"> ta’ assi u obbligazzjonijiet finanzjarji miżmuma għan-negozjar jew għan-negozjar ta’ assi u obbligazzjonijiet finanzjarji; u</w:t>
            </w:r>
          </w:p>
          <w:p w14:paraId="1BC37DE4" w14:textId="36EA6A27" w:rsidR="008A379C" w:rsidRPr="00C72773" w:rsidRDefault="008A379C" w:rsidP="00232265">
            <w:pPr>
              <w:pStyle w:val="Style1"/>
              <w:rPr>
                <w:rStyle w:val="InstructionsTabelleberschrift"/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 w:rsidRPr="00C72773">
              <w:rPr>
                <w:u w:val="single"/>
              </w:rPr>
              <w:t xml:space="preserve">Differenzi fil-kambju [qligħ jew (-) telf], netti, relatati </w:t>
            </w:r>
            <w:proofErr w:type="spellStart"/>
            <w:r w:rsidRPr="00C72773">
              <w:rPr>
                <w:u w:val="single"/>
              </w:rPr>
              <w:t>mal-portafoll</w:t>
            </w:r>
            <w:proofErr w:type="spellEnd"/>
            <w:r w:rsidRPr="00C72773">
              <w:rPr>
                <w:u w:val="single"/>
              </w:rPr>
              <w:t xml:space="preserve"> tan-negozjar</w:t>
            </w:r>
            <w:r w:rsidRPr="00C72773">
              <w:t>: differenzi fil-kambju [qligħ jew (-) telf], netti, biss meta tali differenzi, ikkalkulati f’</w:t>
            </w:r>
            <w:proofErr w:type="spellStart"/>
            <w:r w:rsidRPr="00C72773">
              <w:t>konformità</w:t>
            </w:r>
            <w:proofErr w:type="spellEnd"/>
            <w:r w:rsidRPr="00C72773">
              <w:t xml:space="preserve"> </w:t>
            </w:r>
            <w:proofErr w:type="spellStart"/>
            <w:r w:rsidRPr="00C72773">
              <w:t>mal</w:t>
            </w:r>
            <w:proofErr w:type="spellEnd"/>
            <w:r w:rsidRPr="00C72773">
              <w:t>-IAS 21.28, 52(a) jew f’</w:t>
            </w:r>
            <w:proofErr w:type="spellStart"/>
            <w:r w:rsidRPr="00C72773">
              <w:t>konformità</w:t>
            </w:r>
            <w:proofErr w:type="spellEnd"/>
            <w:r w:rsidRPr="00C72773">
              <w:t xml:space="preserve"> </w:t>
            </w:r>
            <w:proofErr w:type="spellStart"/>
            <w:r w:rsidRPr="00C72773">
              <w:t>mal</w:t>
            </w:r>
            <w:proofErr w:type="spellEnd"/>
            <w:r w:rsidRPr="00C72773">
              <w:t>-BAD l-Art 39 joriġinaw minn assi u obbligazzjonijiet finanzjarji miżmuma għan-negozjar jew min-negozjar ta’ assi u obbligazzjonijiet finanzjarji.</w:t>
            </w:r>
          </w:p>
          <w:p w14:paraId="761552C0" w14:textId="5BF82331" w:rsidR="001E5563" w:rsidRPr="00C72773" w:rsidRDefault="001E5563" w:rsidP="00C65626">
            <w:pPr>
              <w:pStyle w:val="paragraph"/>
              <w:textAlignment w:val="baseline"/>
              <w:rPr>
                <w:rStyle w:val="InstructionsTabelleberschrift"/>
                <w:rFonts w:ascii="Segoe UI" w:hAnsi="Segoe UI" w:cs="Segoe UI"/>
              </w:rPr>
            </w:pPr>
            <w:r w:rsidRPr="00C72773">
              <w:t xml:space="preserve">Il-valuri li għandhom jiġu żvelati se jirriflettu l-valuri </w:t>
            </w:r>
            <w:proofErr w:type="spellStart"/>
            <w:r w:rsidRPr="00C72773">
              <w:t>kontabilistiċi</w:t>
            </w:r>
            <w:proofErr w:type="spellEnd"/>
            <w:r w:rsidRPr="00C72773">
              <w:t xml:space="preserve"> </w:t>
            </w:r>
            <w:proofErr w:type="spellStart"/>
            <w:r w:rsidRPr="00C72773">
              <w:t>ddeterminati</w:t>
            </w:r>
            <w:proofErr w:type="spellEnd"/>
            <w:r w:rsidRPr="00C72773">
              <w:t xml:space="preserve"> bl-użu tal-limitu </w:t>
            </w:r>
            <w:proofErr w:type="spellStart"/>
            <w:r w:rsidRPr="00C72773">
              <w:t>kontabilistiku</w:t>
            </w:r>
            <w:proofErr w:type="spellEnd"/>
            <w:r w:rsidRPr="00C72773">
              <w:t xml:space="preserve"> jew il-limitu </w:t>
            </w:r>
            <w:proofErr w:type="spellStart"/>
            <w:r w:rsidRPr="00C72773">
              <w:t>prudenzjali</w:t>
            </w:r>
            <w:proofErr w:type="spellEnd"/>
            <w:r w:rsidRPr="00C72773">
              <w:t xml:space="preserve"> (PBA, </w:t>
            </w:r>
            <w:proofErr w:type="spellStart"/>
            <w:r w:rsidRPr="00C72773">
              <w:t>prudential</w:t>
            </w:r>
            <w:proofErr w:type="spellEnd"/>
            <w:r w:rsidRPr="00C72773">
              <w:t xml:space="preserve"> </w:t>
            </w:r>
            <w:proofErr w:type="spellStart"/>
            <w:r w:rsidRPr="00C72773">
              <w:t>boundary</w:t>
            </w:r>
            <w:proofErr w:type="spellEnd"/>
            <w:r w:rsidRPr="00C72773">
              <w:t>) biex jiġu identifikati l-</w:t>
            </w:r>
            <w:proofErr w:type="spellStart"/>
            <w:r w:rsidRPr="00C72773">
              <w:t>entrati</w:t>
            </w:r>
            <w:proofErr w:type="spellEnd"/>
            <w:r w:rsidRPr="00C72773">
              <w:t xml:space="preserve"> tal-</w:t>
            </w:r>
            <w:proofErr w:type="spellStart"/>
            <w:r w:rsidRPr="00C72773">
              <w:t>portafoll</w:t>
            </w:r>
            <w:proofErr w:type="spellEnd"/>
            <w:r w:rsidRPr="00C72773">
              <w:t xml:space="preserve"> tan-negozjar u tal-</w:t>
            </w:r>
            <w:proofErr w:type="spellStart"/>
            <w:r w:rsidRPr="00C72773">
              <w:t>portafoll</w:t>
            </w:r>
            <w:proofErr w:type="spellEnd"/>
            <w:r w:rsidRPr="00C72773">
              <w:t xml:space="preserve"> bankarju għal kull waħda mill-aħħar 3 snin finanzjarji f’</w:t>
            </w:r>
            <w:proofErr w:type="spellStart"/>
            <w:r w:rsidRPr="00C72773">
              <w:t>konformità</w:t>
            </w:r>
            <w:proofErr w:type="spellEnd"/>
            <w:r w:rsidRPr="00C72773">
              <w:t xml:space="preserve"> mal-Artikolu 314(6) tar-Regolament (UE) Nru 575/2013.</w:t>
            </w:r>
          </w:p>
        </w:tc>
      </w:tr>
      <w:tr w:rsidR="003826D3" w:rsidRPr="00C72773" w14:paraId="769832BB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C7174" w14:textId="77777777" w:rsidR="003826D3" w:rsidRPr="00C72773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3b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949CD" w14:textId="505506A8" w:rsidR="003826D3" w:rsidRPr="00C72773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Profitt jew telf nett applikabbli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għall-portafoll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 bankarju (BB, banking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book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)</w:t>
            </w:r>
          </w:p>
          <w:p w14:paraId="16F13570" w14:textId="0B537F1A" w:rsidR="003826D3" w:rsidRPr="00C72773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bCs w:val="0"/>
                <w:sz w:val="24"/>
                <w:u w:val="none"/>
              </w:rPr>
            </w:pPr>
            <w:r w:rsidRPr="00C72773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Il-profitt jew telf nett applikabbli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għall-portafoll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bankarju għandu jiġi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kkalkulat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bħala s-somma ta’:</w:t>
            </w:r>
          </w:p>
          <w:p w14:paraId="4816B36A" w14:textId="59F72F36" w:rsidR="008F0781" w:rsidRPr="00C72773" w:rsidRDefault="008F0781" w:rsidP="00232265">
            <w:pPr>
              <w:pStyle w:val="Style1"/>
            </w:pPr>
            <w:r w:rsidRPr="00C72773">
              <w:rPr>
                <w:u w:val="single"/>
              </w:rPr>
              <w:t xml:space="preserve">Qligħ jew (-) telf fuq l-irtirar tar-rikonoxximent ta’ assi u obbligazzjonijiet finanzjarji mhux </w:t>
            </w:r>
            <w:proofErr w:type="spellStart"/>
            <w:r w:rsidRPr="00C72773">
              <w:rPr>
                <w:u w:val="single"/>
              </w:rPr>
              <w:t>imkejla</w:t>
            </w:r>
            <w:proofErr w:type="spellEnd"/>
            <w:r w:rsidRPr="00C72773">
              <w:rPr>
                <w:u w:val="single"/>
              </w:rPr>
              <w:t xml:space="preserve"> fil-valur ġust permezz ta’ profitt jew telf, nett</w:t>
            </w:r>
            <w:r w:rsidRPr="00C72773">
              <w:t xml:space="preserve">: qligħ jew (-) telf fuq l-irtirar tar-rikonoxximent ta’ assi u obbligazzjonijiet finanzjarji mhux </w:t>
            </w:r>
            <w:proofErr w:type="spellStart"/>
            <w:r w:rsidRPr="00C72773">
              <w:t>imkejla</w:t>
            </w:r>
            <w:proofErr w:type="spellEnd"/>
            <w:r w:rsidRPr="00C72773">
              <w:t xml:space="preserve"> fil-valur ġust permezz ta’ profitt jew telf, nett f’</w:t>
            </w:r>
            <w:proofErr w:type="spellStart"/>
            <w:r w:rsidRPr="00C72773">
              <w:t>konformità</w:t>
            </w:r>
            <w:proofErr w:type="spellEnd"/>
            <w:r w:rsidRPr="00C72773">
              <w:t xml:space="preserve"> mal-Anness V, il-Parti 2, il-paragrafu 45 għas-soluzzjonijiet tal-IT tal-EBA jew </w:t>
            </w:r>
            <w:proofErr w:type="spellStart"/>
            <w:r w:rsidRPr="00C72773">
              <w:t>għall</w:t>
            </w:r>
            <w:proofErr w:type="spellEnd"/>
            <w:r w:rsidRPr="00C72773">
              <w:t>-BAD, l-Artikolu 27. Tqassim vertikali (6);</w:t>
            </w:r>
          </w:p>
          <w:p w14:paraId="29EDCF43" w14:textId="7ADB0AAC" w:rsidR="008F0781" w:rsidRPr="00C72773" w:rsidRDefault="008F0781" w:rsidP="00232265">
            <w:pPr>
              <w:pStyle w:val="Style1"/>
            </w:pPr>
            <w:r w:rsidRPr="00C72773">
              <w:rPr>
                <w:u w:val="single"/>
              </w:rPr>
              <w:t xml:space="preserve">Qligħ jew (-) telf fuq assi finanzjarji mhux tan-negozjar </w:t>
            </w:r>
            <w:proofErr w:type="spellStart"/>
            <w:r w:rsidRPr="00C72773">
              <w:rPr>
                <w:u w:val="single"/>
              </w:rPr>
              <w:t>imkejla</w:t>
            </w:r>
            <w:proofErr w:type="spellEnd"/>
            <w:r w:rsidRPr="00C72773">
              <w:rPr>
                <w:u w:val="single"/>
              </w:rPr>
              <w:t xml:space="preserve"> b’mod obbligatorju fil-valur ġust permezz ta’ profitt jew telf, nett</w:t>
            </w:r>
            <w:r w:rsidRPr="00C72773">
              <w:t xml:space="preserve">: qligħ jew (-) telf fuq assi finanzjarji mhux tan-negozjar </w:t>
            </w:r>
            <w:proofErr w:type="spellStart"/>
            <w:r w:rsidRPr="00C72773">
              <w:t>imkejla</w:t>
            </w:r>
            <w:proofErr w:type="spellEnd"/>
            <w:r w:rsidRPr="00C72773">
              <w:t xml:space="preserve"> b’mod obbligatorju fil-valur ġust permezz ta’ profitt jew telf, nett f’</w:t>
            </w:r>
            <w:proofErr w:type="spellStart"/>
            <w:r w:rsidRPr="00C72773">
              <w:t>konformità</w:t>
            </w:r>
            <w:proofErr w:type="spellEnd"/>
            <w:r w:rsidRPr="00C72773">
              <w:t xml:space="preserve"> mal-Anness V, il-Parti 2, il-paragrafu 46 tas-soluzzjonijiet tal-IT tal-EBA;</w:t>
            </w:r>
          </w:p>
          <w:p w14:paraId="23350A71" w14:textId="40356371" w:rsidR="008F0781" w:rsidRPr="00C72773" w:rsidRDefault="008F0781" w:rsidP="00232265">
            <w:pPr>
              <w:pStyle w:val="Style1"/>
            </w:pPr>
            <w:r w:rsidRPr="00C72773">
              <w:rPr>
                <w:u w:val="single"/>
              </w:rPr>
              <w:t>Qligħ jew (-) telf fuq assi u obbligazzjonijiet finanzjarji speċifikati fil-valur ġust permezz ta’ profitt jew telf, nett</w:t>
            </w:r>
            <w:r w:rsidRPr="00C72773">
              <w:t>: qligħ jew (-) telf fuq assi u obbligazzjonijiet finanzjarji speċifikati fil-valur ġust permezz ta’ profitt jew telf, nett f’</w:t>
            </w:r>
            <w:proofErr w:type="spellStart"/>
            <w:r w:rsidRPr="00C72773">
              <w:t>konformità</w:t>
            </w:r>
            <w:proofErr w:type="spellEnd"/>
            <w:r w:rsidRPr="00C72773">
              <w:t xml:space="preserve"> mal-Anness V, il-Parti 2, il-paragrafu 44 tas-soluzzjonijiet tal-IT tal-EBA;</w:t>
            </w:r>
          </w:p>
          <w:p w14:paraId="44DE675E" w14:textId="5B34C2BC" w:rsidR="008F0781" w:rsidRPr="00C72773" w:rsidRDefault="008F0781" w:rsidP="00232265">
            <w:pPr>
              <w:pStyle w:val="Style1"/>
            </w:pPr>
            <w:r w:rsidRPr="00C72773">
              <w:rPr>
                <w:u w:val="single"/>
              </w:rPr>
              <w:t>Qligħ jew (-) telf mill-</w:t>
            </w:r>
            <w:proofErr w:type="spellStart"/>
            <w:r w:rsidRPr="00C72773">
              <w:rPr>
                <w:u w:val="single"/>
              </w:rPr>
              <w:t>kontabbiltà</w:t>
            </w:r>
            <w:proofErr w:type="spellEnd"/>
            <w:r w:rsidRPr="00C72773">
              <w:rPr>
                <w:u w:val="single"/>
              </w:rPr>
              <w:t xml:space="preserve"> </w:t>
            </w:r>
            <w:proofErr w:type="spellStart"/>
            <w:r w:rsidRPr="00C72773">
              <w:rPr>
                <w:u w:val="single"/>
              </w:rPr>
              <w:t>għall-iħħeġġjar</w:t>
            </w:r>
            <w:proofErr w:type="spellEnd"/>
            <w:r w:rsidRPr="00C72773">
              <w:rPr>
                <w:u w:val="single"/>
              </w:rPr>
              <w:t xml:space="preserve">, nett, relatat </w:t>
            </w:r>
            <w:proofErr w:type="spellStart"/>
            <w:r w:rsidRPr="00C72773">
              <w:rPr>
                <w:u w:val="single"/>
              </w:rPr>
              <w:t>mal-portafoll</w:t>
            </w:r>
            <w:proofErr w:type="spellEnd"/>
            <w:r w:rsidRPr="00C72773">
              <w:rPr>
                <w:u w:val="single"/>
              </w:rPr>
              <w:t xml:space="preserve"> bankarju</w:t>
            </w:r>
            <w:r w:rsidRPr="00C72773">
              <w:t>: qligħ jew (-) telf mill-</w:t>
            </w:r>
            <w:proofErr w:type="spellStart"/>
            <w:r w:rsidRPr="00C72773">
              <w:t>kontabbiltà</w:t>
            </w:r>
            <w:proofErr w:type="spellEnd"/>
            <w:r w:rsidRPr="00C72773">
              <w:t xml:space="preserve"> </w:t>
            </w:r>
            <w:proofErr w:type="spellStart"/>
            <w:r w:rsidRPr="00C72773">
              <w:t>għall-iħħeġġjar</w:t>
            </w:r>
            <w:proofErr w:type="spellEnd"/>
            <w:r w:rsidRPr="00C72773">
              <w:t>, nett f’</w:t>
            </w:r>
            <w:proofErr w:type="spellStart"/>
            <w:r w:rsidRPr="00C72773">
              <w:t>konformità</w:t>
            </w:r>
            <w:proofErr w:type="spellEnd"/>
            <w:r w:rsidRPr="00C72773">
              <w:t xml:space="preserve"> mal-Anness V, il-Parti 2, il-paragrafu 47 tas-soluzzjonijiet tal-IT tal-EBA jew f’</w:t>
            </w:r>
            <w:proofErr w:type="spellStart"/>
            <w:r w:rsidRPr="00C72773">
              <w:t>konformità</w:t>
            </w:r>
            <w:proofErr w:type="spellEnd"/>
            <w:r w:rsidRPr="00C72773">
              <w:t xml:space="preserve"> mal-Artikolu 8(1)(a), (6), (8) tad-Direttiva dwar il-</w:t>
            </w:r>
            <w:proofErr w:type="spellStart"/>
            <w:r w:rsidRPr="00C72773">
              <w:t>Kontabbiltà</w:t>
            </w:r>
            <w:proofErr w:type="spellEnd"/>
            <w:r w:rsidRPr="00C72773">
              <w:t>, meta dan il-qligħ jew telf joriġina minn assi u obbligazzjonijiet finanzjarji miżmuma fil-</w:t>
            </w:r>
            <w:proofErr w:type="spellStart"/>
            <w:r w:rsidRPr="00C72773">
              <w:t>portafoll</w:t>
            </w:r>
            <w:proofErr w:type="spellEnd"/>
            <w:r w:rsidRPr="00C72773">
              <w:t xml:space="preserve"> bankarju; u</w:t>
            </w:r>
          </w:p>
          <w:p w14:paraId="23306495" w14:textId="6A259674" w:rsidR="008F0781" w:rsidRPr="00C72773" w:rsidRDefault="008F0781" w:rsidP="00232265">
            <w:pPr>
              <w:pStyle w:val="Style1"/>
            </w:pPr>
            <w:r w:rsidRPr="00C72773">
              <w:rPr>
                <w:u w:val="single"/>
              </w:rPr>
              <w:t xml:space="preserve">Differenzi fil-kambju [qligħ jew (-) telf], netti, relatati </w:t>
            </w:r>
            <w:proofErr w:type="spellStart"/>
            <w:r w:rsidRPr="00C72773">
              <w:rPr>
                <w:u w:val="single"/>
              </w:rPr>
              <w:t>mal-portafoll</w:t>
            </w:r>
            <w:proofErr w:type="spellEnd"/>
            <w:r w:rsidRPr="00C72773">
              <w:rPr>
                <w:u w:val="single"/>
              </w:rPr>
              <w:t xml:space="preserve"> bankarju</w:t>
            </w:r>
            <w:r w:rsidRPr="00C72773">
              <w:t>: differenzi fil-kambju [qligħ jew (-) telf], netti, f’</w:t>
            </w:r>
            <w:proofErr w:type="spellStart"/>
            <w:r w:rsidRPr="00C72773">
              <w:t>konformità</w:t>
            </w:r>
            <w:proofErr w:type="spellEnd"/>
            <w:r w:rsidRPr="00C72773">
              <w:t xml:space="preserve"> </w:t>
            </w:r>
            <w:proofErr w:type="spellStart"/>
            <w:r w:rsidRPr="00C72773">
              <w:t>mal</w:t>
            </w:r>
            <w:proofErr w:type="spellEnd"/>
            <w:r w:rsidRPr="00C72773">
              <w:t>-IAS 21.28, 52 (a) jew f’</w:t>
            </w:r>
            <w:proofErr w:type="spellStart"/>
            <w:r w:rsidRPr="00C72773">
              <w:t>konformità</w:t>
            </w:r>
            <w:proofErr w:type="spellEnd"/>
            <w:r w:rsidRPr="00C72773">
              <w:t xml:space="preserve"> mal-Artikolu 39 tal-BAD, meta dawn id-differenzi joriġinaw minn assi u obbligazzjonijiet finanzjarji miżmuma fil-</w:t>
            </w:r>
            <w:proofErr w:type="spellStart"/>
            <w:r w:rsidRPr="00C72773">
              <w:t>portafoll</w:t>
            </w:r>
            <w:proofErr w:type="spellEnd"/>
            <w:r w:rsidRPr="00C72773">
              <w:t xml:space="preserve"> bankarju.</w:t>
            </w:r>
          </w:p>
          <w:p w14:paraId="3E9BB5BF" w14:textId="1D3FC8A9" w:rsidR="00F26A2D" w:rsidRPr="00C72773" w:rsidRDefault="001E5563" w:rsidP="00F26A2D">
            <w:pPr>
              <w:spacing w:before="60" w:after="120"/>
              <w:jc w:val="both"/>
              <w:rPr>
                <w:rStyle w:val="InstructionsTabelleberschrift"/>
                <w:rFonts w:asciiTheme="majorBidi" w:hAnsiTheme="majorBidi" w:cstheme="majorBidi"/>
                <w:sz w:val="24"/>
                <w:u w:val="none"/>
              </w:rPr>
            </w:pPr>
            <w:r w:rsidRPr="00C72773">
              <w:rPr>
                <w:rFonts w:asciiTheme="majorBidi" w:hAnsiTheme="majorBidi"/>
                <w:sz w:val="24"/>
              </w:rPr>
              <w:t xml:space="preserve">Il-valuri li għandhom jiġu żvelati se jirriflettu l-valuri </w:t>
            </w:r>
            <w:proofErr w:type="spellStart"/>
            <w:r w:rsidRPr="00C72773">
              <w:rPr>
                <w:rFonts w:asciiTheme="majorBidi" w:hAnsiTheme="majorBidi"/>
                <w:sz w:val="24"/>
              </w:rPr>
              <w:t>kontabilistiċi</w:t>
            </w:r>
            <w:proofErr w:type="spellEnd"/>
            <w:r w:rsidRPr="00C72773">
              <w:rPr>
                <w:rFonts w:asciiTheme="majorBidi" w:hAnsiTheme="majorBidi"/>
                <w:sz w:val="24"/>
              </w:rPr>
              <w:t xml:space="preserve"> </w:t>
            </w:r>
            <w:proofErr w:type="spellStart"/>
            <w:r w:rsidRPr="00C72773">
              <w:rPr>
                <w:rFonts w:asciiTheme="majorBidi" w:hAnsiTheme="majorBidi"/>
                <w:sz w:val="24"/>
              </w:rPr>
              <w:t>ddeterminati</w:t>
            </w:r>
            <w:proofErr w:type="spellEnd"/>
            <w:r w:rsidRPr="00C72773">
              <w:rPr>
                <w:rFonts w:asciiTheme="majorBidi" w:hAnsiTheme="majorBidi"/>
                <w:sz w:val="24"/>
              </w:rPr>
              <w:t xml:space="preserve"> bl-użu tal-limitu </w:t>
            </w:r>
            <w:proofErr w:type="spellStart"/>
            <w:r w:rsidRPr="00C72773">
              <w:rPr>
                <w:rFonts w:asciiTheme="majorBidi" w:hAnsiTheme="majorBidi"/>
                <w:sz w:val="24"/>
              </w:rPr>
              <w:t>kontabilistiku</w:t>
            </w:r>
            <w:proofErr w:type="spellEnd"/>
            <w:r w:rsidRPr="00C72773">
              <w:rPr>
                <w:rFonts w:asciiTheme="majorBidi" w:hAnsiTheme="majorBidi"/>
                <w:sz w:val="24"/>
              </w:rPr>
              <w:t xml:space="preserve"> jew il-limitu </w:t>
            </w:r>
            <w:proofErr w:type="spellStart"/>
            <w:r w:rsidRPr="00C72773">
              <w:rPr>
                <w:rFonts w:asciiTheme="majorBidi" w:hAnsiTheme="majorBidi"/>
                <w:sz w:val="24"/>
              </w:rPr>
              <w:t>prudenzjali</w:t>
            </w:r>
            <w:proofErr w:type="spellEnd"/>
            <w:r w:rsidRPr="00C72773">
              <w:rPr>
                <w:rFonts w:asciiTheme="majorBidi" w:hAnsiTheme="majorBidi"/>
                <w:sz w:val="24"/>
              </w:rPr>
              <w:t xml:space="preserve"> (PBA, </w:t>
            </w:r>
            <w:proofErr w:type="spellStart"/>
            <w:r w:rsidRPr="00C72773">
              <w:rPr>
                <w:rFonts w:asciiTheme="majorBidi" w:hAnsiTheme="majorBidi"/>
                <w:sz w:val="24"/>
              </w:rPr>
              <w:t>prudential</w:t>
            </w:r>
            <w:proofErr w:type="spellEnd"/>
            <w:r w:rsidRPr="00C72773">
              <w:rPr>
                <w:rFonts w:asciiTheme="majorBidi" w:hAnsiTheme="majorBidi"/>
                <w:sz w:val="24"/>
              </w:rPr>
              <w:t xml:space="preserve"> </w:t>
            </w:r>
            <w:proofErr w:type="spellStart"/>
            <w:r w:rsidRPr="00C72773">
              <w:rPr>
                <w:rFonts w:asciiTheme="majorBidi" w:hAnsiTheme="majorBidi"/>
                <w:sz w:val="24"/>
              </w:rPr>
              <w:t>boundary</w:t>
            </w:r>
            <w:proofErr w:type="spellEnd"/>
            <w:r w:rsidRPr="00C72773">
              <w:rPr>
                <w:rFonts w:asciiTheme="majorBidi" w:hAnsiTheme="majorBidi"/>
                <w:sz w:val="24"/>
              </w:rPr>
              <w:t>) biex jiġu identifikati l-</w:t>
            </w:r>
            <w:proofErr w:type="spellStart"/>
            <w:r w:rsidRPr="00C72773">
              <w:rPr>
                <w:rFonts w:asciiTheme="majorBidi" w:hAnsiTheme="majorBidi"/>
                <w:sz w:val="24"/>
              </w:rPr>
              <w:t>entrati</w:t>
            </w:r>
            <w:proofErr w:type="spellEnd"/>
            <w:r w:rsidRPr="00C72773">
              <w:rPr>
                <w:rFonts w:asciiTheme="majorBidi" w:hAnsiTheme="majorBidi"/>
                <w:sz w:val="24"/>
              </w:rPr>
              <w:t xml:space="preserve"> tal-</w:t>
            </w:r>
            <w:proofErr w:type="spellStart"/>
            <w:r w:rsidRPr="00C72773">
              <w:rPr>
                <w:rFonts w:asciiTheme="majorBidi" w:hAnsiTheme="majorBidi"/>
                <w:sz w:val="24"/>
              </w:rPr>
              <w:t>portafoll</w:t>
            </w:r>
            <w:proofErr w:type="spellEnd"/>
            <w:r w:rsidRPr="00C72773">
              <w:rPr>
                <w:rFonts w:asciiTheme="majorBidi" w:hAnsiTheme="majorBidi"/>
                <w:sz w:val="24"/>
              </w:rPr>
              <w:t xml:space="preserve"> tan-negozjar u tal-</w:t>
            </w:r>
            <w:proofErr w:type="spellStart"/>
            <w:r w:rsidRPr="00C72773">
              <w:rPr>
                <w:rFonts w:asciiTheme="majorBidi" w:hAnsiTheme="majorBidi"/>
                <w:sz w:val="24"/>
              </w:rPr>
              <w:t>portafoll</w:t>
            </w:r>
            <w:proofErr w:type="spellEnd"/>
            <w:r w:rsidRPr="00C72773">
              <w:rPr>
                <w:rFonts w:asciiTheme="majorBidi" w:hAnsiTheme="majorBidi"/>
                <w:sz w:val="24"/>
              </w:rPr>
              <w:t xml:space="preserve"> bankarju għal kull waħda mill-aħħar 3 snin finanzjarji f’</w:t>
            </w:r>
            <w:proofErr w:type="spellStart"/>
            <w:r w:rsidRPr="00C72773">
              <w:rPr>
                <w:rFonts w:asciiTheme="majorBidi" w:hAnsiTheme="majorBidi"/>
                <w:sz w:val="24"/>
              </w:rPr>
              <w:t>konformità</w:t>
            </w:r>
            <w:proofErr w:type="spellEnd"/>
            <w:r w:rsidRPr="00C72773">
              <w:rPr>
                <w:rFonts w:asciiTheme="majorBidi" w:hAnsiTheme="majorBidi"/>
                <w:sz w:val="24"/>
              </w:rPr>
              <w:t xml:space="preserve"> mal-Artikolu 314(6) tar-Regolament (UE) Nru 575/2013.</w:t>
            </w:r>
          </w:p>
        </w:tc>
      </w:tr>
      <w:tr w:rsidR="003826D3" w:rsidRPr="00C72773" w14:paraId="4C01E0EE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F21AD" w14:textId="77777777" w:rsidR="003826D3" w:rsidRPr="00C72773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UE 3c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BB97F" w14:textId="3301C86C" w:rsidR="003826D3" w:rsidRPr="00C72773" w:rsidRDefault="008C3E6A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proofErr w:type="spellStart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Approċċ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 segwit sabiex jiġi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ddeterminat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 il-limitu tat-TB/BB (PBA jew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approċċ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kontabilistiku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)</w:t>
            </w:r>
          </w:p>
          <w:p w14:paraId="00A81A34" w14:textId="0A7D6D1A" w:rsidR="003826D3" w:rsidRPr="00C72773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bCs w:val="0"/>
                <w:sz w:val="24"/>
                <w:u w:val="none"/>
              </w:rPr>
            </w:pPr>
            <w:r w:rsidRPr="00C72773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L-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approċċ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segwit fid-data ta’ referenza għad-determinazzjoni tal-FC: klassifikazzjoni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kontabilistika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jew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prudenzjali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(PBA). L-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approċċ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għandu jintuża b’mod konsistenti għall-ammonti żvelati għal kull waħda mill-aħħar 3 snin finanzjarji.</w:t>
            </w:r>
          </w:p>
        </w:tc>
      </w:tr>
      <w:tr w:rsidR="003826D3" w:rsidRPr="00C72773" w14:paraId="130758B4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EF276" w14:textId="77777777" w:rsidR="003826D3" w:rsidRPr="00C72773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882AA" w14:textId="77777777" w:rsidR="003826D3" w:rsidRPr="00C72773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Indikatur tan-Negozju (BI,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Business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Indicator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)</w:t>
            </w:r>
          </w:p>
          <w:p w14:paraId="35C99FE1" w14:textId="0AFECB29" w:rsidR="003826D3" w:rsidRPr="00C72773" w:rsidRDefault="003826D3" w:rsidP="003826D3">
            <w:pPr>
              <w:spacing w:before="60" w:after="120"/>
              <w:jc w:val="both"/>
              <w:rPr>
                <w:rStyle w:val="InstructionsTabelleberschrift"/>
                <w:rFonts w:asciiTheme="majorBidi" w:eastAsia="Times New Roman" w:hAnsiTheme="majorBidi" w:cstheme="majorBidi"/>
                <w:b w:val="0"/>
                <w:bCs w:val="0"/>
                <w:sz w:val="24"/>
                <w:u w:val="none"/>
              </w:rPr>
            </w:pPr>
            <w:proofErr w:type="spellStart"/>
            <w:r w:rsidRPr="00C72773">
              <w:rPr>
                <w:rFonts w:asciiTheme="majorBidi" w:hAnsiTheme="majorBidi"/>
                <w:sz w:val="24"/>
              </w:rPr>
              <w:t>Il-BI</w:t>
            </w:r>
            <w:proofErr w:type="spellEnd"/>
            <w:r w:rsidRPr="00C72773">
              <w:rPr>
                <w:rFonts w:asciiTheme="majorBidi" w:hAnsiTheme="majorBidi"/>
                <w:sz w:val="24"/>
              </w:rPr>
              <w:t>, ikkalkulat f’</w:t>
            </w:r>
            <w:proofErr w:type="spellStart"/>
            <w:r w:rsidRPr="00C72773">
              <w:rPr>
                <w:rFonts w:asciiTheme="majorBidi" w:hAnsiTheme="majorBidi"/>
                <w:sz w:val="24"/>
              </w:rPr>
              <w:t>konformità</w:t>
            </w:r>
            <w:proofErr w:type="spellEnd"/>
            <w:r w:rsidRPr="00C72773">
              <w:rPr>
                <w:rFonts w:asciiTheme="majorBidi" w:hAnsiTheme="majorBidi"/>
                <w:sz w:val="24"/>
              </w:rPr>
              <w:t xml:space="preserve"> mal-Artikolu 314(1) tar-Regolament (UE) Nru 575/2013, li huwa s-somma tat-tliet komponenti: ILDC, SC u FC.</w:t>
            </w:r>
          </w:p>
        </w:tc>
      </w:tr>
      <w:tr w:rsidR="003826D3" w:rsidRPr="00C72773" w14:paraId="45662CD2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29C54" w14:textId="77777777" w:rsidR="003826D3" w:rsidRPr="00C72773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3F910" w14:textId="77777777" w:rsidR="003826D3" w:rsidRPr="00C72773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sz w:val="24"/>
                <w:u w:val="none"/>
              </w:rPr>
            </w:pPr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Komponent tal-Indikatur tan-Negozju (BIC,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Business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Indicator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Component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)</w:t>
            </w:r>
          </w:p>
          <w:p w14:paraId="4AC6BDA5" w14:textId="5507A684" w:rsidR="003826D3" w:rsidRPr="00C72773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bCs w:val="0"/>
                <w:sz w:val="24"/>
                <w:u w:val="none"/>
              </w:rPr>
            </w:pPr>
            <w:r w:rsidRPr="00C72773">
              <w:rPr>
                <w:rFonts w:ascii="Times New Roman" w:hAnsi="Times New Roman"/>
                <w:sz w:val="24"/>
              </w:rPr>
              <w:t>Il-BIC ikkalkulat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mal-Artikolu 313 tar-Regolament (UE) Nru 575/2013. </w:t>
            </w:r>
          </w:p>
        </w:tc>
      </w:tr>
      <w:tr w:rsidR="003826D3" w:rsidRPr="00C72773" w14:paraId="246D3463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251DF" w14:textId="77777777" w:rsidR="003826D3" w:rsidRPr="00C72773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6a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BD331" w14:textId="77777777" w:rsidR="003826D3" w:rsidRPr="00C72773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BI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gross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 minn attivitajiet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divestiti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 esklużi</w:t>
            </w:r>
          </w:p>
          <w:p w14:paraId="4B01F051" w14:textId="678BE249" w:rsidR="003826D3" w:rsidRPr="00C72773" w:rsidRDefault="003826D3" w:rsidP="003826D3">
            <w:pPr>
              <w:spacing w:before="60" w:after="120"/>
              <w:jc w:val="both"/>
              <w:rPr>
                <w:rStyle w:val="InstructionsTabelleberschrift"/>
                <w:rFonts w:asciiTheme="majorBidi" w:eastAsia="Times New Roman" w:hAnsiTheme="majorBidi" w:cstheme="majorBidi"/>
                <w:b w:val="0"/>
                <w:bCs w:val="0"/>
                <w:sz w:val="24"/>
                <w:u w:val="none"/>
              </w:rPr>
            </w:pPr>
            <w:r w:rsidRPr="00C72773">
              <w:rPr>
                <w:rFonts w:asciiTheme="majorBidi" w:hAnsiTheme="majorBidi"/>
                <w:sz w:val="24"/>
              </w:rPr>
              <w:t xml:space="preserve">L-ammont ta’ BI li jinkludi attivitajiet </w:t>
            </w:r>
            <w:proofErr w:type="spellStart"/>
            <w:r w:rsidRPr="00C72773">
              <w:rPr>
                <w:rFonts w:asciiTheme="majorBidi" w:hAnsiTheme="majorBidi"/>
                <w:sz w:val="24"/>
              </w:rPr>
              <w:t>divestiti</w:t>
            </w:r>
            <w:proofErr w:type="spellEnd"/>
            <w:r w:rsidRPr="00C72773">
              <w:rPr>
                <w:rFonts w:asciiTheme="majorBidi" w:hAnsiTheme="majorBidi"/>
                <w:sz w:val="24"/>
              </w:rPr>
              <w:t xml:space="preserve"> esklużi f’</w:t>
            </w:r>
            <w:proofErr w:type="spellStart"/>
            <w:r w:rsidRPr="00C72773">
              <w:rPr>
                <w:rFonts w:asciiTheme="majorBidi" w:hAnsiTheme="majorBidi"/>
                <w:sz w:val="24"/>
              </w:rPr>
              <w:t>konformità</w:t>
            </w:r>
            <w:proofErr w:type="spellEnd"/>
            <w:r w:rsidRPr="00C72773">
              <w:rPr>
                <w:rFonts w:asciiTheme="majorBidi" w:hAnsiTheme="majorBidi"/>
                <w:sz w:val="24"/>
              </w:rPr>
              <w:t xml:space="preserve"> mal-Artikolu 315(2), tar-Regolament (UE) Nru 575/2013.</w:t>
            </w:r>
          </w:p>
        </w:tc>
      </w:tr>
      <w:tr w:rsidR="003826D3" w:rsidRPr="00C72773" w14:paraId="6ADC8B44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F6F18" w14:textId="77777777" w:rsidR="003826D3" w:rsidRPr="00C72773" w:rsidRDefault="003826D3" w:rsidP="00C72773">
            <w:pPr>
              <w:pageBreakBefore/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6b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596E1" w14:textId="5FAE8014" w:rsidR="003826D3" w:rsidRPr="00C72773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Tnaqqis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fil-BI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 minħabba attivitajiet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divestiti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 esklużi</w:t>
            </w:r>
          </w:p>
          <w:p w14:paraId="100A0132" w14:textId="636B5EF6" w:rsidR="003826D3" w:rsidRPr="00C72773" w:rsidRDefault="003826D3" w:rsidP="003826D3">
            <w:pPr>
              <w:spacing w:before="60" w:after="120"/>
              <w:jc w:val="both"/>
              <w:rPr>
                <w:rStyle w:val="InstructionsTabelleberschrift"/>
                <w:rFonts w:asciiTheme="majorBidi" w:eastAsia="Times New Roman" w:hAnsiTheme="majorBidi" w:cstheme="majorBidi"/>
                <w:b w:val="0"/>
                <w:bCs w:val="0"/>
                <w:sz w:val="24"/>
                <w:u w:val="none"/>
              </w:rPr>
            </w:pPr>
            <w:r w:rsidRPr="00C72773">
              <w:rPr>
                <w:rFonts w:asciiTheme="majorBidi" w:hAnsiTheme="majorBidi"/>
                <w:sz w:val="24"/>
              </w:rPr>
              <w:t xml:space="preserve">Id-differenza bejn BI </w:t>
            </w:r>
            <w:proofErr w:type="spellStart"/>
            <w:r w:rsidRPr="00C72773">
              <w:rPr>
                <w:rFonts w:asciiTheme="majorBidi" w:hAnsiTheme="majorBidi"/>
                <w:sz w:val="24"/>
              </w:rPr>
              <w:t>gross</w:t>
            </w:r>
            <w:proofErr w:type="spellEnd"/>
            <w:r w:rsidRPr="00C72773">
              <w:rPr>
                <w:rFonts w:asciiTheme="majorBidi" w:hAnsiTheme="majorBidi"/>
                <w:sz w:val="24"/>
              </w:rPr>
              <w:t xml:space="preserve"> minn attivitajiet </w:t>
            </w:r>
            <w:proofErr w:type="spellStart"/>
            <w:r w:rsidRPr="00C72773">
              <w:rPr>
                <w:rFonts w:asciiTheme="majorBidi" w:hAnsiTheme="majorBidi"/>
                <w:sz w:val="24"/>
              </w:rPr>
              <w:t>divestiti</w:t>
            </w:r>
            <w:proofErr w:type="spellEnd"/>
            <w:r w:rsidRPr="00C72773">
              <w:rPr>
                <w:rFonts w:asciiTheme="majorBidi" w:hAnsiTheme="majorBidi"/>
                <w:sz w:val="24"/>
              </w:rPr>
              <w:t xml:space="preserve"> (ringiela 6a) u BI totali (ringiela 4). </w:t>
            </w:r>
          </w:p>
        </w:tc>
      </w:tr>
      <w:tr w:rsidR="003826D3" w:rsidRPr="00C72773" w14:paraId="66494CDF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7A112" w14:textId="77777777" w:rsidR="003826D3" w:rsidRPr="00C72773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UE 6c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B02A2" w14:textId="77777777" w:rsidR="003826D3" w:rsidRPr="00C72773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Impatt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fil-BI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 ta’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fużjonijiet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/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akkwiżizzjonijiet</w:t>
            </w:r>
            <w:proofErr w:type="spellEnd"/>
          </w:p>
          <w:p w14:paraId="68B0EB8C" w14:textId="39D74825" w:rsidR="003826D3" w:rsidRPr="00C72773" w:rsidRDefault="003826D3" w:rsidP="003826D3">
            <w:pPr>
              <w:spacing w:before="60" w:after="120"/>
              <w:jc w:val="both"/>
              <w:rPr>
                <w:rStyle w:val="InstructionsTabelleberschrift"/>
                <w:rFonts w:asciiTheme="majorBidi" w:eastAsia="Times New Roman" w:hAnsiTheme="majorBidi" w:cstheme="majorBidi"/>
                <w:b w:val="0"/>
                <w:bCs w:val="0"/>
                <w:sz w:val="24"/>
                <w:u w:val="none"/>
              </w:rPr>
            </w:pPr>
            <w:r w:rsidRPr="00C72773">
              <w:rPr>
                <w:rFonts w:asciiTheme="majorBidi" w:hAnsiTheme="majorBidi"/>
                <w:sz w:val="24"/>
              </w:rPr>
              <w:t xml:space="preserve">L-ammont inkluż </w:t>
            </w:r>
            <w:proofErr w:type="spellStart"/>
            <w:r w:rsidRPr="00C72773">
              <w:rPr>
                <w:rFonts w:asciiTheme="majorBidi" w:hAnsiTheme="majorBidi"/>
                <w:sz w:val="24"/>
              </w:rPr>
              <w:t>fil-BI</w:t>
            </w:r>
            <w:proofErr w:type="spellEnd"/>
            <w:r w:rsidRPr="00C72773">
              <w:rPr>
                <w:rFonts w:asciiTheme="majorBidi" w:hAnsiTheme="majorBidi"/>
                <w:sz w:val="24"/>
              </w:rPr>
              <w:t xml:space="preserve"> li jikkorrispondi għall-komponenti </w:t>
            </w:r>
            <w:proofErr w:type="spellStart"/>
            <w:r w:rsidRPr="00C72773">
              <w:rPr>
                <w:rFonts w:asciiTheme="majorBidi" w:hAnsiTheme="majorBidi"/>
                <w:sz w:val="24"/>
              </w:rPr>
              <w:t>tal-BI</w:t>
            </w:r>
            <w:proofErr w:type="spellEnd"/>
            <w:r w:rsidRPr="00C72773">
              <w:rPr>
                <w:rFonts w:asciiTheme="majorBidi" w:hAnsiTheme="majorBidi"/>
                <w:sz w:val="24"/>
              </w:rPr>
              <w:t xml:space="preserve"> li huma dovuti għal entitajiet jew attivitajiet li ngħaqdu jew ġew akkwistati, ikkalkulat kif imsemmi fl-Artikolu 315(1) tar-Regolament (UE) Nru 575/2013.</w:t>
            </w:r>
          </w:p>
        </w:tc>
      </w:tr>
    </w:tbl>
    <w:p w14:paraId="2517003F" w14:textId="77777777" w:rsidR="00D740B8" w:rsidRPr="00C72773" w:rsidRDefault="00D740B8" w:rsidP="00D740B8">
      <w:pPr>
        <w:pStyle w:val="numberedparagraph"/>
        <w:numPr>
          <w:ilvl w:val="0"/>
          <w:numId w:val="0"/>
        </w:numPr>
        <w:ind w:left="284" w:hanging="284"/>
        <w:rPr>
          <w:rFonts w:ascii="Times New Roman" w:eastAsia="Arial" w:hAnsi="Times New Roman" w:cs="Times New Roman"/>
          <w:sz w:val="24"/>
        </w:rPr>
      </w:pPr>
    </w:p>
    <w:p w14:paraId="7E7146AD" w14:textId="1649FBD5" w:rsidR="00D740B8" w:rsidRPr="00C72773" w:rsidRDefault="00D740B8" w:rsidP="00D740B8">
      <w:pPr>
        <w:jc w:val="both"/>
        <w:rPr>
          <w:rFonts w:ascii="Times New Roman" w:hAnsi="Times New Roman" w:cs="Times New Roman"/>
          <w:bCs/>
          <w:sz w:val="24"/>
        </w:rPr>
      </w:pPr>
      <w:r w:rsidRPr="00C72773">
        <w:rPr>
          <w:rFonts w:ascii="Times New Roman" w:hAnsi="Times New Roman"/>
          <w:b/>
          <w:sz w:val="24"/>
        </w:rPr>
        <w:t xml:space="preserve">Mudell OR3 tal-UE – Rekwiżiti ta’ fondi proprji għar-riskju </w:t>
      </w:r>
      <w:proofErr w:type="spellStart"/>
      <w:r w:rsidRPr="00C72773">
        <w:rPr>
          <w:rFonts w:ascii="Times New Roman" w:hAnsi="Times New Roman"/>
          <w:b/>
          <w:sz w:val="24"/>
        </w:rPr>
        <w:t>operazzjonali</w:t>
      </w:r>
      <w:proofErr w:type="spellEnd"/>
      <w:r w:rsidRPr="00C72773">
        <w:rPr>
          <w:rFonts w:ascii="Times New Roman" w:hAnsi="Times New Roman"/>
          <w:b/>
          <w:sz w:val="24"/>
        </w:rPr>
        <w:t xml:space="preserve"> u ammonti ta’ </w:t>
      </w:r>
      <w:proofErr w:type="spellStart"/>
      <w:r w:rsidRPr="00C72773">
        <w:rPr>
          <w:rFonts w:ascii="Times New Roman" w:hAnsi="Times New Roman"/>
          <w:b/>
          <w:sz w:val="24"/>
        </w:rPr>
        <w:t>skopertura</w:t>
      </w:r>
      <w:proofErr w:type="spellEnd"/>
      <w:r w:rsidRPr="00C72773">
        <w:rPr>
          <w:rFonts w:ascii="Times New Roman" w:hAnsi="Times New Roman"/>
          <w:b/>
          <w:sz w:val="24"/>
        </w:rPr>
        <w:t xml:space="preserve"> għar-riskju. </w:t>
      </w:r>
      <w:r w:rsidRPr="00C72773">
        <w:rPr>
          <w:rFonts w:ascii="Times New Roman" w:hAnsi="Times New Roman"/>
          <w:sz w:val="24"/>
        </w:rPr>
        <w:t>Mudell fiss</w:t>
      </w:r>
    </w:p>
    <w:p w14:paraId="5AB15A39" w14:textId="77777777" w:rsidR="00D740B8" w:rsidRPr="00C72773" w:rsidRDefault="00D740B8" w:rsidP="00D740B8">
      <w:pPr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60DF34D1" w14:textId="121F9A97" w:rsidR="00D740B8" w:rsidRPr="00C72773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72773">
        <w:rPr>
          <w:rFonts w:ascii="Times New Roman" w:hAnsi="Times New Roman"/>
          <w:sz w:val="24"/>
        </w:rPr>
        <w:t xml:space="preserve">L-istituzzjonijiet għandhom jiżvelaw l-informazzjoni inkluża fil-Mudell OR3 tal-UE bl-applikazzjoni tal-Artikoli 446(1), il-punt b) tar-Regolament (UE) Nru 575/2013. Dan il-mudell jipprovdi informazzjoni dwar il-kalkolu tar-rekwiżiti ta’ fondi proprji għar-riskju </w:t>
      </w:r>
      <w:proofErr w:type="spellStart"/>
      <w:r w:rsidRPr="00C72773">
        <w:rPr>
          <w:rFonts w:ascii="Times New Roman" w:hAnsi="Times New Roman"/>
          <w:sz w:val="24"/>
        </w:rPr>
        <w:t>operazzjonali</w:t>
      </w:r>
      <w:proofErr w:type="spellEnd"/>
      <w:r w:rsidRPr="00C72773">
        <w:rPr>
          <w:rFonts w:ascii="Times New Roman" w:hAnsi="Times New Roman"/>
          <w:sz w:val="24"/>
        </w:rPr>
        <w:t xml:space="preserve"> f’</w:t>
      </w:r>
      <w:proofErr w:type="spellStart"/>
      <w:r w:rsidRPr="00C72773">
        <w:rPr>
          <w:rFonts w:ascii="Times New Roman" w:hAnsi="Times New Roman"/>
          <w:sz w:val="24"/>
        </w:rPr>
        <w:t>konformità</w:t>
      </w:r>
      <w:proofErr w:type="spellEnd"/>
      <w:r w:rsidRPr="00C72773">
        <w:rPr>
          <w:rFonts w:ascii="Times New Roman" w:hAnsi="Times New Roman"/>
          <w:sz w:val="24"/>
        </w:rPr>
        <w:t xml:space="preserve"> mal-Artikoli 312 sa 315 tar-Regolament (UE) Nru 575/2013.</w:t>
      </w:r>
    </w:p>
    <w:p w14:paraId="6DFA1648" w14:textId="77777777" w:rsidR="00D740B8" w:rsidRPr="00C72773" w:rsidRDefault="00D740B8" w:rsidP="00D740B8">
      <w:pPr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2E35B8A0" w14:textId="77777777" w:rsidR="00D740B8" w:rsidRPr="00C72773" w:rsidRDefault="00D740B8" w:rsidP="00D740B8">
      <w:pPr>
        <w:rPr>
          <w:rFonts w:ascii="Times New Roman" w:hAnsi="Times New Roman" w:cs="Times New Roman"/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768"/>
      </w:tblGrid>
      <w:tr w:rsidR="00D740B8" w:rsidRPr="00C72773" w14:paraId="6F42A4B4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F89E53" w14:textId="77777777" w:rsidR="00D740B8" w:rsidRPr="00C72773" w:rsidRDefault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 xml:space="preserve">Ringiela 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DECBF1" w14:textId="77777777" w:rsidR="00D740B8" w:rsidRPr="00C72773" w:rsidRDefault="00D740B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Spjegazzjoni</w:t>
            </w:r>
          </w:p>
        </w:tc>
      </w:tr>
      <w:tr w:rsidR="00D740B8" w:rsidRPr="00C72773" w14:paraId="6BF3BB09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58A85" w14:textId="77777777" w:rsidR="00D740B8" w:rsidRPr="00C72773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FF758" w14:textId="77777777" w:rsidR="00D740B8" w:rsidRPr="00C72773" w:rsidRDefault="00D740B8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 xml:space="preserve">Komponent tal-Indikatur tan-Negozju (BIC, </w:t>
            </w:r>
            <w:proofErr w:type="spellStart"/>
            <w:r w:rsidRPr="00C72773">
              <w:rPr>
                <w:rFonts w:ascii="Times New Roman" w:hAnsi="Times New Roman"/>
                <w:b/>
                <w:sz w:val="24"/>
              </w:rPr>
              <w:t>Business</w:t>
            </w:r>
            <w:proofErr w:type="spellEnd"/>
            <w:r w:rsidRPr="00C7277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72773">
              <w:rPr>
                <w:rFonts w:ascii="Times New Roman" w:hAnsi="Times New Roman"/>
                <w:b/>
                <w:sz w:val="24"/>
              </w:rPr>
              <w:t>Indicator</w:t>
            </w:r>
            <w:proofErr w:type="spellEnd"/>
            <w:r w:rsidRPr="00C7277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72773">
              <w:rPr>
                <w:rFonts w:ascii="Times New Roman" w:hAnsi="Times New Roman"/>
                <w:b/>
                <w:sz w:val="24"/>
              </w:rPr>
              <w:t>Component</w:t>
            </w:r>
            <w:proofErr w:type="spellEnd"/>
            <w:r w:rsidRPr="00C72773">
              <w:rPr>
                <w:rFonts w:ascii="Times New Roman" w:hAnsi="Times New Roman"/>
                <w:b/>
                <w:sz w:val="24"/>
              </w:rPr>
              <w:t>)</w:t>
            </w:r>
          </w:p>
          <w:p w14:paraId="1B10BB72" w14:textId="77777777" w:rsidR="00D740B8" w:rsidRPr="00C72773" w:rsidRDefault="00D740B8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 xml:space="preserve">Din ir-ringiela għandha tippreżenta l-Komponent tal-Indikatur tan-Negozju li għandu jiġi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kkalkulat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mal-Artikolu 313 tar-Regolament (UE) Nru 575/2013.</w:t>
            </w:r>
          </w:p>
        </w:tc>
      </w:tr>
      <w:tr w:rsidR="00CA794A" w:rsidRPr="00C72773" w14:paraId="2713AC1F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606E2" w14:textId="48C6967A" w:rsidR="00CA794A" w:rsidRPr="00C72773" w:rsidRDefault="004A58B5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UE 1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97C95" w14:textId="1613DFBF" w:rsidR="00CA794A" w:rsidRPr="00C72773" w:rsidRDefault="004A58B5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Rekwiżiti ta’ Fondi Proprji (OROF) tal-</w:t>
            </w:r>
            <w:proofErr w:type="spellStart"/>
            <w:r w:rsidRPr="00C72773">
              <w:rPr>
                <w:rFonts w:ascii="Times New Roman" w:hAnsi="Times New Roman"/>
                <w:b/>
                <w:sz w:val="24"/>
              </w:rPr>
              <w:t>Approċċ</w:t>
            </w:r>
            <w:proofErr w:type="spellEnd"/>
            <w:r w:rsidRPr="00C7277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72773">
              <w:rPr>
                <w:rFonts w:ascii="Times New Roman" w:hAnsi="Times New Roman"/>
                <w:b/>
                <w:sz w:val="24"/>
              </w:rPr>
              <w:t>Standardizzat</w:t>
            </w:r>
            <w:proofErr w:type="spellEnd"/>
            <w:r w:rsidRPr="00C72773">
              <w:rPr>
                <w:rFonts w:ascii="Times New Roman" w:hAnsi="Times New Roman"/>
                <w:b/>
                <w:sz w:val="24"/>
              </w:rPr>
              <w:t xml:space="preserve"> Alternattiv (ASA, </w:t>
            </w:r>
            <w:proofErr w:type="spellStart"/>
            <w:r w:rsidRPr="00C72773">
              <w:rPr>
                <w:rFonts w:ascii="Times New Roman" w:hAnsi="Times New Roman"/>
                <w:b/>
                <w:sz w:val="24"/>
              </w:rPr>
              <w:t>Alternative</w:t>
            </w:r>
            <w:proofErr w:type="spellEnd"/>
            <w:r w:rsidRPr="00C7277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72773">
              <w:rPr>
                <w:rFonts w:ascii="Times New Roman" w:hAnsi="Times New Roman"/>
                <w:b/>
                <w:sz w:val="24"/>
              </w:rPr>
              <w:t>Standardised</w:t>
            </w:r>
            <w:proofErr w:type="spellEnd"/>
            <w:r w:rsidRPr="00C7277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72773">
              <w:rPr>
                <w:rFonts w:ascii="Times New Roman" w:hAnsi="Times New Roman"/>
                <w:b/>
                <w:sz w:val="24"/>
              </w:rPr>
              <w:t>Approach</w:t>
            </w:r>
            <w:proofErr w:type="spellEnd"/>
            <w:r w:rsidRPr="00C72773">
              <w:rPr>
                <w:rFonts w:ascii="Times New Roman" w:hAnsi="Times New Roman"/>
                <w:b/>
                <w:sz w:val="24"/>
              </w:rPr>
              <w:t>) skont l-Artikolu 314(4)</w:t>
            </w:r>
          </w:p>
          <w:p w14:paraId="7762DF0B" w14:textId="6E2ACCB9" w:rsidR="004A58B5" w:rsidRPr="00C72773" w:rsidRDefault="005B4907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 xml:space="preserve">Din ir-ringiela għandha tinkludi r-rekwiżiti ta’ fondi proprji għal-linji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operatorji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kkunsidrati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skont l-Artikolu 314(4), fejn applikabbli, sal-31 ta’ Diċembru 2027 jew sakemm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is-superviżur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konsolidanti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jagħti permess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mal-Artikolu 314(3), skont liema jiġi l-ewwel.</w:t>
            </w:r>
          </w:p>
        </w:tc>
      </w:tr>
      <w:tr w:rsidR="00D740B8" w:rsidRPr="00C72773" w14:paraId="362D8FB9" w14:textId="77777777" w:rsidTr="00F828EB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B3213" w14:textId="77777777" w:rsidR="00D740B8" w:rsidRPr="00C72773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0B1B93" w14:textId="0E85F01A" w:rsidR="00D740B8" w:rsidRPr="00C72773" w:rsidRDefault="001918A2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>Mhux applikabbli.</w:t>
            </w:r>
          </w:p>
        </w:tc>
      </w:tr>
      <w:tr w:rsidR="00D740B8" w:rsidRPr="00C72773" w14:paraId="779D052B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F8453" w14:textId="77777777" w:rsidR="00D740B8" w:rsidRPr="00C72773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42F01" w14:textId="77777777" w:rsidR="00D740B8" w:rsidRPr="00C72773" w:rsidRDefault="00D740B8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Rekwiżiti ta’ Fondi Proprji (OROF) Minimi Meħtieġa għar-Riskju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Operazzjonali</w:t>
            </w:r>
            <w:proofErr w:type="spellEnd"/>
          </w:p>
          <w:p w14:paraId="2A7C24D0" w14:textId="54D9C5FF" w:rsidR="00D740B8" w:rsidRPr="00C72773" w:rsidRDefault="00977842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 xml:space="preserve">Ir-Rekwiżiti ta’ Fondi Proprji għandhom jiġu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kkalkulati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f’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konformità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mal-Artikolu 312 tar-Regolament (UE) Nru 575/2013. Din ir-ringiela għandha tippreżenta r-Rekwiżiti ta’ Fondi Proprji għar-Riskju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Operazzjonali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li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jikkoinċidu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mas-somma tal-BIC u r-rekwiżiti ta’ fondi proprji għal-linji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operatorji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kkunsidrati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mill-Artikolu 314(4), fejn applikabbli. </w:t>
            </w:r>
          </w:p>
        </w:tc>
      </w:tr>
      <w:tr w:rsidR="00D740B8" w:rsidRPr="00C72773" w14:paraId="078B572A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C3902" w14:textId="77777777" w:rsidR="00D740B8" w:rsidRPr="00C72773" w:rsidRDefault="00D740B8" w:rsidP="00C72773">
            <w:pPr>
              <w:pageBreakBefore/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773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3DB44" w14:textId="00766941" w:rsidR="00D740B8" w:rsidRPr="00C72773" w:rsidRDefault="00D740B8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Ammonti ta’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Skopertura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 għar-Riskju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Operazzjonali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 (REA, Risk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Exposure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 </w:t>
            </w:r>
            <w:proofErr w:type="spellStart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Amounts</w:t>
            </w:r>
            <w:proofErr w:type="spellEnd"/>
            <w:r w:rsidRPr="00C72773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)</w:t>
            </w:r>
          </w:p>
          <w:p w14:paraId="317F9BDE" w14:textId="6672A695" w:rsidR="00D740B8" w:rsidRPr="00C72773" w:rsidRDefault="00D740B8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72773">
              <w:rPr>
                <w:rFonts w:ascii="Times New Roman" w:hAnsi="Times New Roman"/>
                <w:sz w:val="24"/>
              </w:rPr>
              <w:t xml:space="preserve">Abbażi tal-Artikolu 92(3), il-punt e) u 92(4) tar-Regolament (UE) Nru 575/2013, din ir-ringiela għandha tiżvela r-rekwiżiti ta’ fondi proprji fir-ringiela (3) </w:t>
            </w:r>
            <w:proofErr w:type="spellStart"/>
            <w:r w:rsidRPr="00C72773">
              <w:rPr>
                <w:rFonts w:ascii="Times New Roman" w:hAnsi="Times New Roman"/>
                <w:sz w:val="24"/>
              </w:rPr>
              <w:t>immultiplikati</w:t>
            </w:r>
            <w:proofErr w:type="spellEnd"/>
            <w:r w:rsidRPr="00C72773">
              <w:rPr>
                <w:rFonts w:ascii="Times New Roman" w:hAnsi="Times New Roman"/>
                <w:sz w:val="24"/>
              </w:rPr>
              <w:t xml:space="preserve"> bi 12.5. </w:t>
            </w:r>
          </w:p>
        </w:tc>
      </w:tr>
    </w:tbl>
    <w:p w14:paraId="079B8CA0" w14:textId="77777777" w:rsidR="00D740B8" w:rsidRPr="00C72773" w:rsidRDefault="00D740B8" w:rsidP="00D740B8">
      <w:pPr>
        <w:rPr>
          <w:rFonts w:ascii="Times New Roman" w:hAnsi="Times New Roman" w:cs="Times New Roman"/>
          <w:sz w:val="24"/>
        </w:rPr>
      </w:pPr>
    </w:p>
    <w:p w14:paraId="41C8F396" w14:textId="77777777" w:rsidR="002C1404" w:rsidRPr="00C72773" w:rsidRDefault="002C1404"/>
    <w:sectPr w:rsidR="002C1404" w:rsidRPr="00C72773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2D970" w14:textId="77777777" w:rsidR="00924970" w:rsidRPr="00C72773" w:rsidRDefault="00924970" w:rsidP="00E114F3">
      <w:r w:rsidRPr="00C72773">
        <w:separator/>
      </w:r>
    </w:p>
  </w:endnote>
  <w:endnote w:type="continuationSeparator" w:id="0">
    <w:p w14:paraId="6750FE16" w14:textId="77777777" w:rsidR="00924970" w:rsidRPr="00C72773" w:rsidRDefault="00924970" w:rsidP="00E114F3">
      <w:r w:rsidRPr="00C72773">
        <w:continuationSeparator/>
      </w:r>
    </w:p>
  </w:endnote>
  <w:endnote w:type="continuationNotice" w:id="1">
    <w:p w14:paraId="44EFD629" w14:textId="77777777" w:rsidR="00924970" w:rsidRPr="00C72773" w:rsidRDefault="009249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6783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D22A9" w14:textId="77777777" w:rsidR="00E114F3" w:rsidRPr="00C72773" w:rsidRDefault="00E114F3">
        <w:pPr>
          <w:pStyle w:val="Footer"/>
          <w:jc w:val="right"/>
        </w:pPr>
        <w:r w:rsidRPr="00C72773">
          <w:fldChar w:fldCharType="begin"/>
        </w:r>
        <w:r w:rsidRPr="00C72773">
          <w:instrText xml:space="preserve"> PAGE   \* MERGEFORMAT </w:instrText>
        </w:r>
        <w:r w:rsidRPr="00C72773">
          <w:fldChar w:fldCharType="separate"/>
        </w:r>
        <w:r w:rsidR="00370155" w:rsidRPr="00C72773">
          <w:t>1</w:t>
        </w:r>
        <w:r w:rsidRPr="00C72773">
          <w:fldChar w:fldCharType="end"/>
        </w:r>
      </w:p>
    </w:sdtContent>
  </w:sdt>
  <w:p w14:paraId="049F31CB" w14:textId="77777777" w:rsidR="00E114F3" w:rsidRPr="00C72773" w:rsidRDefault="00E11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81A6D" w14:textId="77777777" w:rsidR="00924970" w:rsidRPr="00C72773" w:rsidRDefault="00924970" w:rsidP="00E114F3">
      <w:r w:rsidRPr="00C72773">
        <w:separator/>
      </w:r>
    </w:p>
  </w:footnote>
  <w:footnote w:type="continuationSeparator" w:id="0">
    <w:p w14:paraId="3D7D4E32" w14:textId="77777777" w:rsidR="00924970" w:rsidRPr="00C72773" w:rsidRDefault="00924970" w:rsidP="00E114F3">
      <w:r w:rsidRPr="00C72773">
        <w:continuationSeparator/>
      </w:r>
    </w:p>
  </w:footnote>
  <w:footnote w:type="continuationNotice" w:id="1">
    <w:p w14:paraId="6FCD0CD0" w14:textId="77777777" w:rsidR="00924970" w:rsidRPr="00C72773" w:rsidRDefault="00924970"/>
  </w:footnote>
  <w:footnote w:id="2">
    <w:p w14:paraId="3798489D" w14:textId="469FF1F7" w:rsidR="00E114F3" w:rsidRPr="00C72773" w:rsidRDefault="00E114F3" w:rsidP="003D3122">
      <w:pPr>
        <w:pStyle w:val="FootnoteText"/>
      </w:pPr>
      <w:r w:rsidRPr="00C72773">
        <w:rPr>
          <w:rStyle w:val="FootnoteReference"/>
          <w:rFonts w:cstheme="minorHAnsi"/>
        </w:rPr>
        <w:footnoteRef/>
      </w:r>
      <w:r w:rsidRPr="00C72773">
        <w:tab/>
        <w:t xml:space="preserve">Ir-Regolament (UE) 575/2013 tal-Parlament Ewropew u tal-Kunsill tas-26 ta’ Ġunju 2013 dwar ir-rekwiżiti </w:t>
      </w:r>
      <w:proofErr w:type="spellStart"/>
      <w:r w:rsidRPr="00C72773">
        <w:t>prudenzjali</w:t>
      </w:r>
      <w:proofErr w:type="spellEnd"/>
      <w:r w:rsidRPr="00C72773">
        <w:t xml:space="preserve"> għall-istituzzjonijiet ta’ kreditu u d-ditti tal-investiment u li jemenda r-Regolament (UE) Nru 648/2012 u li jemenda r-Regolament (UE) Nru 2024/1623 (</w:t>
      </w:r>
      <w:hyperlink r:id="rId1" w:history="1">
        <w:r w:rsidRPr="00C72773">
          <w:rPr>
            <w:rStyle w:val="Hyperlink"/>
            <w:color w:val="800080"/>
          </w:rPr>
          <w:t xml:space="preserve">ĠU L 176, 27.6.2013, p. 1; </w:t>
        </w:r>
      </w:hyperlink>
      <w:hyperlink r:id="rId2" w:history="1">
        <w:r w:rsidRPr="00C72773">
          <w:rPr>
            <w:rStyle w:val="Hyperlink"/>
          </w:rPr>
          <w:t>Ir-Regolament - UE - 2024/1623 - MT - EUR-</w:t>
        </w:r>
        <w:proofErr w:type="spellStart"/>
        <w:r w:rsidRPr="00C72773">
          <w:rPr>
            <w:rStyle w:val="Hyperlink"/>
          </w:rPr>
          <w:t>Lex</w:t>
        </w:r>
        <w:proofErr w:type="spellEnd"/>
        <w:r w:rsidRPr="00C72773">
          <w:rPr>
            <w:rStyle w:val="Hyperlink"/>
          </w:rPr>
          <w:t xml:space="preserve"> (europa.eu)</w:t>
        </w:r>
      </w:hyperlink>
      <w:r w:rsidRPr="00C72773">
        <w:t>).</w:t>
      </w:r>
    </w:p>
    <w:p w14:paraId="45FB0818" w14:textId="77777777" w:rsidR="00E114F3" w:rsidRPr="00C72773" w:rsidRDefault="00E114F3" w:rsidP="003D312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40D" w14:textId="1615A102" w:rsidR="00E114F3" w:rsidRPr="00C72773" w:rsidRDefault="00864ECA">
    <w:pPr>
      <w:pStyle w:val="Header"/>
    </w:pPr>
    <w:r w:rsidRPr="00C72773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6CE9015" wp14:editId="3A1C732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3175" b="9525"/>
              <wp:wrapNone/>
              <wp:docPr id="5" name="Text Box 5" descr="EBA Regular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807B26" w14:textId="3B0140B7" w:rsidR="00864ECA" w:rsidRPr="00C72773" w:rsidRDefault="00864ECA" w:rsidP="00864E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C72773"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Użu Regolari mill-EBA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E901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EBA Regular Use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" filled="f" stroked="f">
              <v:textbox style="mso-fit-shape-to-text:t" inset="20pt,15pt,0,0">
                <w:txbxContent>
                  <w:p w14:paraId="6B807B26" w14:textId="3B0140B7" w:rsidR="00864ECA" w:rsidRPr="00C72773" w:rsidRDefault="00864ECA" w:rsidP="00864E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C72773">
                      <w:rPr>
                        <w:rFonts w:ascii="Calibri" w:hAnsi="Calibri"/>
                        <w:color w:val="000000"/>
                        <w:sz w:val="24"/>
                      </w:rPr>
                      <w:t>Użu Regolari mill-EBA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D3EC" w14:textId="1028A940" w:rsidR="00E114F3" w:rsidRPr="00C72773" w:rsidRDefault="00864ECA">
    <w:pPr>
      <w:pStyle w:val="Header"/>
    </w:pPr>
    <w:r w:rsidRPr="00C72773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2F1B75F" wp14:editId="3120E37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3175" b="9525"/>
              <wp:wrapNone/>
              <wp:docPr id="6" name="Text Box 6" descr="EBA Regular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808C3" w14:textId="14E505EC" w:rsidR="00864ECA" w:rsidRPr="00C72773" w:rsidRDefault="00864ECA" w:rsidP="00864E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C72773"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Użu Regolari mill-EBA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1B75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EBA Regular Use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" filled="f" stroked="f">
              <v:textbox style="mso-fit-shape-to-text:t" inset="20pt,15pt,0,0">
                <w:txbxContent>
                  <w:p w14:paraId="422808C3" w14:textId="14E505EC" w:rsidR="00864ECA" w:rsidRPr="00C72773" w:rsidRDefault="00864ECA" w:rsidP="00864E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C72773">
                      <w:rPr>
                        <w:rFonts w:ascii="Calibri" w:hAnsi="Calibri"/>
                        <w:color w:val="000000"/>
                        <w:sz w:val="24"/>
                      </w:rPr>
                      <w:t>Użu Regolari mill-EBA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505DD969" w:rsidR="00E114F3" w:rsidRPr="00C72773" w:rsidRDefault="00864ECA">
    <w:pPr>
      <w:pStyle w:val="Header"/>
    </w:pPr>
    <w:r w:rsidRPr="00C72773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6A7D7E" wp14:editId="55F0D69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3175" b="9525"/>
              <wp:wrapNone/>
              <wp:docPr id="4" name="Text Box 4" descr="EBA Regular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52C3BA" w14:textId="4F2B949B" w:rsidR="00864ECA" w:rsidRPr="00C72773" w:rsidRDefault="00864ECA" w:rsidP="00864E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C72773"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Użu Regolari mill-EBA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A7D7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EBA Regular Use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" filled="f" stroked="f">
              <v:textbox style="mso-fit-shape-to-text:t" inset="20pt,15pt,0,0">
                <w:txbxContent>
                  <w:p w14:paraId="3152C3BA" w14:textId="4F2B949B" w:rsidR="00864ECA" w:rsidRPr="00C72773" w:rsidRDefault="00864ECA" w:rsidP="00864E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C72773">
                      <w:rPr>
                        <w:rFonts w:ascii="Calibri" w:hAnsi="Calibri"/>
                        <w:color w:val="000000"/>
                        <w:sz w:val="24"/>
                      </w:rPr>
                      <w:t>Użu Regolari mill-EBA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0DA"/>
    <w:multiLevelType w:val="hybridMultilevel"/>
    <w:tmpl w:val="C55009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F4C79"/>
    <w:multiLevelType w:val="hybridMultilevel"/>
    <w:tmpl w:val="7554B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97EC3"/>
    <w:multiLevelType w:val="hybridMultilevel"/>
    <w:tmpl w:val="81D09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E109C"/>
    <w:multiLevelType w:val="hybridMultilevel"/>
    <w:tmpl w:val="AB243A0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971C3"/>
    <w:multiLevelType w:val="hybridMultilevel"/>
    <w:tmpl w:val="3942E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55DB4"/>
    <w:multiLevelType w:val="hybridMultilevel"/>
    <w:tmpl w:val="D4F8EA40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749A0"/>
    <w:multiLevelType w:val="hybridMultilevel"/>
    <w:tmpl w:val="FFFFFFFF"/>
    <w:lvl w:ilvl="0" w:tplc="0CD0E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28BC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E4D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308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E6B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6D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4D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EAB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46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57CB8"/>
    <w:multiLevelType w:val="hybridMultilevel"/>
    <w:tmpl w:val="760C1692"/>
    <w:lvl w:ilvl="0" w:tplc="236EA62C">
      <w:start w:val="1"/>
      <w:numFmt w:val="decimal"/>
      <w:pStyle w:val="InstructionsText2"/>
      <w:lvlText w:val="%1."/>
      <w:lvlJc w:val="left"/>
      <w:pPr>
        <w:ind w:left="1353" w:hanging="360"/>
      </w:pPr>
      <w:rPr>
        <w:rFonts w:cs="Times New Roman"/>
      </w:rPr>
    </w:lvl>
    <w:lvl w:ilvl="1" w:tplc="5F56F3B6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</w:rPr>
    </w:lvl>
    <w:lvl w:ilvl="2" w:tplc="0407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85B13DC"/>
    <w:multiLevelType w:val="hybridMultilevel"/>
    <w:tmpl w:val="503222B2"/>
    <w:lvl w:ilvl="0" w:tplc="7D98D390">
      <w:start w:val="1"/>
      <w:numFmt w:val="bullet"/>
      <w:pStyle w:val="Style1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27369"/>
    <w:multiLevelType w:val="hybridMultilevel"/>
    <w:tmpl w:val="D17E5BA0"/>
    <w:lvl w:ilvl="0" w:tplc="FFFFFFFF">
      <w:start w:val="1"/>
      <w:numFmt w:val="decimal"/>
      <w:pStyle w:val="numberedparagraph"/>
      <w:lvlText w:val="%1."/>
      <w:lvlJc w:val="left"/>
      <w:pPr>
        <w:tabs>
          <w:tab w:val="num" w:pos="284"/>
        </w:tabs>
        <w:ind w:left="284" w:hanging="284"/>
      </w:p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62199"/>
    <w:multiLevelType w:val="hybridMultilevel"/>
    <w:tmpl w:val="1F2ACEF8"/>
    <w:lvl w:ilvl="0" w:tplc="67E8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767C0"/>
    <w:multiLevelType w:val="hybridMultilevel"/>
    <w:tmpl w:val="06983DA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9"/>
  </w:num>
  <w:num w:numId="8">
    <w:abstractNumId w:val="6"/>
  </w:num>
  <w:num w:numId="9">
    <w:abstractNumId w:val="10"/>
  </w:num>
  <w:num w:numId="10">
    <w:abstractNumId w:val="5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D049F"/>
    <w:rsid w:val="000057DA"/>
    <w:rsid w:val="000118A0"/>
    <w:rsid w:val="00011939"/>
    <w:rsid w:val="00012A75"/>
    <w:rsid w:val="0001405C"/>
    <w:rsid w:val="0001650F"/>
    <w:rsid w:val="00024346"/>
    <w:rsid w:val="00025F22"/>
    <w:rsid w:val="000272B2"/>
    <w:rsid w:val="000307E6"/>
    <w:rsid w:val="00030D74"/>
    <w:rsid w:val="00043B86"/>
    <w:rsid w:val="0004584F"/>
    <w:rsid w:val="00045858"/>
    <w:rsid w:val="00046439"/>
    <w:rsid w:val="000465B3"/>
    <w:rsid w:val="00050ABA"/>
    <w:rsid w:val="000576E8"/>
    <w:rsid w:val="0006502A"/>
    <w:rsid w:val="000664FC"/>
    <w:rsid w:val="000665BE"/>
    <w:rsid w:val="00066F9F"/>
    <w:rsid w:val="0006789F"/>
    <w:rsid w:val="00073105"/>
    <w:rsid w:val="000746E8"/>
    <w:rsid w:val="00074F00"/>
    <w:rsid w:val="00075D8B"/>
    <w:rsid w:val="00076263"/>
    <w:rsid w:val="00076410"/>
    <w:rsid w:val="00080F37"/>
    <w:rsid w:val="00083594"/>
    <w:rsid w:val="00087F79"/>
    <w:rsid w:val="00090561"/>
    <w:rsid w:val="00095D07"/>
    <w:rsid w:val="00096102"/>
    <w:rsid w:val="000A0D62"/>
    <w:rsid w:val="000A12B5"/>
    <w:rsid w:val="000A7B76"/>
    <w:rsid w:val="000B16B1"/>
    <w:rsid w:val="000B2704"/>
    <w:rsid w:val="000B2D8F"/>
    <w:rsid w:val="000B3E22"/>
    <w:rsid w:val="000B4462"/>
    <w:rsid w:val="000C1526"/>
    <w:rsid w:val="000C3EAE"/>
    <w:rsid w:val="000C4618"/>
    <w:rsid w:val="000C77E0"/>
    <w:rsid w:val="000D0723"/>
    <w:rsid w:val="000D0DBB"/>
    <w:rsid w:val="000D3111"/>
    <w:rsid w:val="000D3C6F"/>
    <w:rsid w:val="000D4A72"/>
    <w:rsid w:val="000D6DA0"/>
    <w:rsid w:val="000E3AB0"/>
    <w:rsid w:val="000E696C"/>
    <w:rsid w:val="000F08DF"/>
    <w:rsid w:val="000F1044"/>
    <w:rsid w:val="000F2921"/>
    <w:rsid w:val="000F375E"/>
    <w:rsid w:val="000F5C83"/>
    <w:rsid w:val="000F5FED"/>
    <w:rsid w:val="000F6C61"/>
    <w:rsid w:val="00103ABA"/>
    <w:rsid w:val="00103E71"/>
    <w:rsid w:val="00105E35"/>
    <w:rsid w:val="0011472E"/>
    <w:rsid w:val="001220D8"/>
    <w:rsid w:val="00122ABE"/>
    <w:rsid w:val="001257B6"/>
    <w:rsid w:val="00126683"/>
    <w:rsid w:val="00127890"/>
    <w:rsid w:val="00127955"/>
    <w:rsid w:val="00131C22"/>
    <w:rsid w:val="00134D05"/>
    <w:rsid w:val="00135C50"/>
    <w:rsid w:val="00136AE4"/>
    <w:rsid w:val="00141217"/>
    <w:rsid w:val="001420EB"/>
    <w:rsid w:val="00142276"/>
    <w:rsid w:val="00142D89"/>
    <w:rsid w:val="001449CE"/>
    <w:rsid w:val="001452C3"/>
    <w:rsid w:val="00145CEF"/>
    <w:rsid w:val="0015285C"/>
    <w:rsid w:val="00157939"/>
    <w:rsid w:val="00160A53"/>
    <w:rsid w:val="00161A8E"/>
    <w:rsid w:val="00162183"/>
    <w:rsid w:val="00165BEF"/>
    <w:rsid w:val="001756BE"/>
    <w:rsid w:val="0017572D"/>
    <w:rsid w:val="00177229"/>
    <w:rsid w:val="001830A3"/>
    <w:rsid w:val="00185088"/>
    <w:rsid w:val="001871DA"/>
    <w:rsid w:val="001918A2"/>
    <w:rsid w:val="00196907"/>
    <w:rsid w:val="001A2C2E"/>
    <w:rsid w:val="001B03D9"/>
    <w:rsid w:val="001B03DD"/>
    <w:rsid w:val="001B0A1D"/>
    <w:rsid w:val="001B2292"/>
    <w:rsid w:val="001B291D"/>
    <w:rsid w:val="001B3BC1"/>
    <w:rsid w:val="001B500A"/>
    <w:rsid w:val="001B58F8"/>
    <w:rsid w:val="001B6C85"/>
    <w:rsid w:val="001C2B75"/>
    <w:rsid w:val="001C4677"/>
    <w:rsid w:val="001C6CDD"/>
    <w:rsid w:val="001C6FE9"/>
    <w:rsid w:val="001D0334"/>
    <w:rsid w:val="001D080D"/>
    <w:rsid w:val="001D11E0"/>
    <w:rsid w:val="001D592E"/>
    <w:rsid w:val="001D782E"/>
    <w:rsid w:val="001E1503"/>
    <w:rsid w:val="001E5563"/>
    <w:rsid w:val="001F1176"/>
    <w:rsid w:val="001F7ED3"/>
    <w:rsid w:val="00201011"/>
    <w:rsid w:val="002026B4"/>
    <w:rsid w:val="002026D9"/>
    <w:rsid w:val="002054FC"/>
    <w:rsid w:val="002075AA"/>
    <w:rsid w:val="00207EDD"/>
    <w:rsid w:val="002118F9"/>
    <w:rsid w:val="00211970"/>
    <w:rsid w:val="00214165"/>
    <w:rsid w:val="00216C79"/>
    <w:rsid w:val="002208D1"/>
    <w:rsid w:val="00223530"/>
    <w:rsid w:val="00226DD0"/>
    <w:rsid w:val="00230607"/>
    <w:rsid w:val="00230F64"/>
    <w:rsid w:val="00232265"/>
    <w:rsid w:val="002322F4"/>
    <w:rsid w:val="002354DB"/>
    <w:rsid w:val="002355B0"/>
    <w:rsid w:val="00235C89"/>
    <w:rsid w:val="00236174"/>
    <w:rsid w:val="0024083E"/>
    <w:rsid w:val="00241FEC"/>
    <w:rsid w:val="00242E08"/>
    <w:rsid w:val="002455B5"/>
    <w:rsid w:val="002457F5"/>
    <w:rsid w:val="00246D4F"/>
    <w:rsid w:val="00250A53"/>
    <w:rsid w:val="00253C3A"/>
    <w:rsid w:val="00253CF4"/>
    <w:rsid w:val="00254FDF"/>
    <w:rsid w:val="002558AA"/>
    <w:rsid w:val="00257387"/>
    <w:rsid w:val="0026154A"/>
    <w:rsid w:val="00267B03"/>
    <w:rsid w:val="00267CA1"/>
    <w:rsid w:val="00270E06"/>
    <w:rsid w:val="00272014"/>
    <w:rsid w:val="0027387E"/>
    <w:rsid w:val="00273B65"/>
    <w:rsid w:val="00275651"/>
    <w:rsid w:val="00277197"/>
    <w:rsid w:val="002772B5"/>
    <w:rsid w:val="002774FB"/>
    <w:rsid w:val="00277E2E"/>
    <w:rsid w:val="002854BD"/>
    <w:rsid w:val="0028730E"/>
    <w:rsid w:val="00287A78"/>
    <w:rsid w:val="002912CA"/>
    <w:rsid w:val="00291643"/>
    <w:rsid w:val="002919DB"/>
    <w:rsid w:val="00293086"/>
    <w:rsid w:val="002A02D1"/>
    <w:rsid w:val="002A213A"/>
    <w:rsid w:val="002A2633"/>
    <w:rsid w:val="002A26E9"/>
    <w:rsid w:val="002A4A49"/>
    <w:rsid w:val="002A55B5"/>
    <w:rsid w:val="002A7A1C"/>
    <w:rsid w:val="002B0785"/>
    <w:rsid w:val="002B20D8"/>
    <w:rsid w:val="002B2993"/>
    <w:rsid w:val="002B2F6C"/>
    <w:rsid w:val="002B708C"/>
    <w:rsid w:val="002B7BCC"/>
    <w:rsid w:val="002C1404"/>
    <w:rsid w:val="002C6300"/>
    <w:rsid w:val="002D0EA4"/>
    <w:rsid w:val="002D5C08"/>
    <w:rsid w:val="002E1556"/>
    <w:rsid w:val="002E1AD8"/>
    <w:rsid w:val="002E28B0"/>
    <w:rsid w:val="002E4ED1"/>
    <w:rsid w:val="002F3CFA"/>
    <w:rsid w:val="002F70A5"/>
    <w:rsid w:val="002F733A"/>
    <w:rsid w:val="002F7AF6"/>
    <w:rsid w:val="00306E05"/>
    <w:rsid w:val="003123CA"/>
    <w:rsid w:val="003134EA"/>
    <w:rsid w:val="00313B19"/>
    <w:rsid w:val="00313BE5"/>
    <w:rsid w:val="003140BC"/>
    <w:rsid w:val="003173AB"/>
    <w:rsid w:val="0032128C"/>
    <w:rsid w:val="00322C5B"/>
    <w:rsid w:val="0032312B"/>
    <w:rsid w:val="0032508D"/>
    <w:rsid w:val="00325595"/>
    <w:rsid w:val="003260B9"/>
    <w:rsid w:val="003310FD"/>
    <w:rsid w:val="00331494"/>
    <w:rsid w:val="00332B2B"/>
    <w:rsid w:val="00340DA2"/>
    <w:rsid w:val="00340F5A"/>
    <w:rsid w:val="0034291F"/>
    <w:rsid w:val="0034713B"/>
    <w:rsid w:val="00350F3E"/>
    <w:rsid w:val="00352E37"/>
    <w:rsid w:val="00352E7B"/>
    <w:rsid w:val="00353854"/>
    <w:rsid w:val="00356B96"/>
    <w:rsid w:val="00356C56"/>
    <w:rsid w:val="0036264E"/>
    <w:rsid w:val="00366387"/>
    <w:rsid w:val="00370155"/>
    <w:rsid w:val="00371504"/>
    <w:rsid w:val="00373F9D"/>
    <w:rsid w:val="0037691C"/>
    <w:rsid w:val="00376B14"/>
    <w:rsid w:val="003826D3"/>
    <w:rsid w:val="003858A3"/>
    <w:rsid w:val="00390609"/>
    <w:rsid w:val="00390ACF"/>
    <w:rsid w:val="003930C3"/>
    <w:rsid w:val="00393427"/>
    <w:rsid w:val="00393FEF"/>
    <w:rsid w:val="00394139"/>
    <w:rsid w:val="00394AE0"/>
    <w:rsid w:val="00395B20"/>
    <w:rsid w:val="003A11C2"/>
    <w:rsid w:val="003A134B"/>
    <w:rsid w:val="003A1367"/>
    <w:rsid w:val="003A20B0"/>
    <w:rsid w:val="003A3338"/>
    <w:rsid w:val="003A752D"/>
    <w:rsid w:val="003B0795"/>
    <w:rsid w:val="003B12FB"/>
    <w:rsid w:val="003B40C6"/>
    <w:rsid w:val="003C0178"/>
    <w:rsid w:val="003C1B42"/>
    <w:rsid w:val="003C3FE1"/>
    <w:rsid w:val="003C62CB"/>
    <w:rsid w:val="003C7646"/>
    <w:rsid w:val="003D0A4B"/>
    <w:rsid w:val="003D0FCA"/>
    <w:rsid w:val="003D3122"/>
    <w:rsid w:val="003D36FD"/>
    <w:rsid w:val="003D49FC"/>
    <w:rsid w:val="003D54AC"/>
    <w:rsid w:val="003D5875"/>
    <w:rsid w:val="003D5C33"/>
    <w:rsid w:val="003E1A11"/>
    <w:rsid w:val="003E207A"/>
    <w:rsid w:val="003E3201"/>
    <w:rsid w:val="003E7CB0"/>
    <w:rsid w:val="003F52CD"/>
    <w:rsid w:val="003F5CE4"/>
    <w:rsid w:val="0040312B"/>
    <w:rsid w:val="00403F5F"/>
    <w:rsid w:val="00404BBB"/>
    <w:rsid w:val="00404E97"/>
    <w:rsid w:val="00405D1E"/>
    <w:rsid w:val="0041073A"/>
    <w:rsid w:val="004129ED"/>
    <w:rsid w:val="00413B96"/>
    <w:rsid w:val="004153D1"/>
    <w:rsid w:val="0042443A"/>
    <w:rsid w:val="00425384"/>
    <w:rsid w:val="00430F3A"/>
    <w:rsid w:val="00441196"/>
    <w:rsid w:val="00443CBC"/>
    <w:rsid w:val="00445677"/>
    <w:rsid w:val="004509B7"/>
    <w:rsid w:val="004544AD"/>
    <w:rsid w:val="00456F97"/>
    <w:rsid w:val="00457089"/>
    <w:rsid w:val="00460310"/>
    <w:rsid w:val="004618A3"/>
    <w:rsid w:val="0046389C"/>
    <w:rsid w:val="004651FB"/>
    <w:rsid w:val="00471410"/>
    <w:rsid w:val="004714CE"/>
    <w:rsid w:val="00472573"/>
    <w:rsid w:val="004744D1"/>
    <w:rsid w:val="00474A18"/>
    <w:rsid w:val="004849ED"/>
    <w:rsid w:val="004863DC"/>
    <w:rsid w:val="00486834"/>
    <w:rsid w:val="00486925"/>
    <w:rsid w:val="00487314"/>
    <w:rsid w:val="0049000A"/>
    <w:rsid w:val="00492339"/>
    <w:rsid w:val="00496389"/>
    <w:rsid w:val="00496A9E"/>
    <w:rsid w:val="004A0829"/>
    <w:rsid w:val="004A0952"/>
    <w:rsid w:val="004A18F4"/>
    <w:rsid w:val="004A3168"/>
    <w:rsid w:val="004A3C86"/>
    <w:rsid w:val="004A4A2C"/>
    <w:rsid w:val="004A58B5"/>
    <w:rsid w:val="004A5BBA"/>
    <w:rsid w:val="004A62B8"/>
    <w:rsid w:val="004A742E"/>
    <w:rsid w:val="004A7915"/>
    <w:rsid w:val="004B0B6E"/>
    <w:rsid w:val="004B0FB3"/>
    <w:rsid w:val="004B0FCE"/>
    <w:rsid w:val="004B1D55"/>
    <w:rsid w:val="004B57A6"/>
    <w:rsid w:val="004B6D23"/>
    <w:rsid w:val="004C06C0"/>
    <w:rsid w:val="004C08C6"/>
    <w:rsid w:val="004C2C33"/>
    <w:rsid w:val="004C3206"/>
    <w:rsid w:val="004D0A0E"/>
    <w:rsid w:val="004D0C4D"/>
    <w:rsid w:val="004D442B"/>
    <w:rsid w:val="004D7AAC"/>
    <w:rsid w:val="004E0A33"/>
    <w:rsid w:val="004E2BF2"/>
    <w:rsid w:val="004E3E86"/>
    <w:rsid w:val="004E41F1"/>
    <w:rsid w:val="004E5F6E"/>
    <w:rsid w:val="004E67D0"/>
    <w:rsid w:val="004E7E6A"/>
    <w:rsid w:val="004F220F"/>
    <w:rsid w:val="004F22BD"/>
    <w:rsid w:val="004F34D4"/>
    <w:rsid w:val="004F55D2"/>
    <w:rsid w:val="004F6309"/>
    <w:rsid w:val="004F7296"/>
    <w:rsid w:val="00500525"/>
    <w:rsid w:val="00501D3A"/>
    <w:rsid w:val="00502CBE"/>
    <w:rsid w:val="0051094B"/>
    <w:rsid w:val="00511F83"/>
    <w:rsid w:val="005129A3"/>
    <w:rsid w:val="00513E9E"/>
    <w:rsid w:val="005201AB"/>
    <w:rsid w:val="00520A67"/>
    <w:rsid w:val="00521787"/>
    <w:rsid w:val="005227BF"/>
    <w:rsid w:val="00523851"/>
    <w:rsid w:val="005244B2"/>
    <w:rsid w:val="00525D0C"/>
    <w:rsid w:val="00531A16"/>
    <w:rsid w:val="0053230B"/>
    <w:rsid w:val="005323E0"/>
    <w:rsid w:val="00532CFA"/>
    <w:rsid w:val="00533587"/>
    <w:rsid w:val="005346B6"/>
    <w:rsid w:val="00536DD1"/>
    <w:rsid w:val="00542C4F"/>
    <w:rsid w:val="00543CE4"/>
    <w:rsid w:val="00545C2E"/>
    <w:rsid w:val="005511B4"/>
    <w:rsid w:val="005525B5"/>
    <w:rsid w:val="00552616"/>
    <w:rsid w:val="00555026"/>
    <w:rsid w:val="0055699F"/>
    <w:rsid w:val="00557E87"/>
    <w:rsid w:val="005644FD"/>
    <w:rsid w:val="00573755"/>
    <w:rsid w:val="0058077D"/>
    <w:rsid w:val="00581319"/>
    <w:rsid w:val="00581EE7"/>
    <w:rsid w:val="00585FE7"/>
    <w:rsid w:val="00592CFD"/>
    <w:rsid w:val="00594CF8"/>
    <w:rsid w:val="00594DEA"/>
    <w:rsid w:val="00597741"/>
    <w:rsid w:val="005A0E65"/>
    <w:rsid w:val="005A1D73"/>
    <w:rsid w:val="005A28B3"/>
    <w:rsid w:val="005A56B5"/>
    <w:rsid w:val="005A6F28"/>
    <w:rsid w:val="005B1A6A"/>
    <w:rsid w:val="005B266A"/>
    <w:rsid w:val="005B2681"/>
    <w:rsid w:val="005B35FE"/>
    <w:rsid w:val="005B36AF"/>
    <w:rsid w:val="005B4907"/>
    <w:rsid w:val="005B5827"/>
    <w:rsid w:val="005B6691"/>
    <w:rsid w:val="005B76B3"/>
    <w:rsid w:val="005C0169"/>
    <w:rsid w:val="005C361B"/>
    <w:rsid w:val="005C43BC"/>
    <w:rsid w:val="005C4785"/>
    <w:rsid w:val="005C5685"/>
    <w:rsid w:val="005C7DD8"/>
    <w:rsid w:val="005D02AE"/>
    <w:rsid w:val="005D3B7F"/>
    <w:rsid w:val="005D484F"/>
    <w:rsid w:val="005D78BA"/>
    <w:rsid w:val="005E0DB5"/>
    <w:rsid w:val="005E1172"/>
    <w:rsid w:val="005E426C"/>
    <w:rsid w:val="005E4525"/>
    <w:rsid w:val="005E5C07"/>
    <w:rsid w:val="005E651B"/>
    <w:rsid w:val="005E6595"/>
    <w:rsid w:val="005E7C4C"/>
    <w:rsid w:val="005F2270"/>
    <w:rsid w:val="005F6363"/>
    <w:rsid w:val="005F6A97"/>
    <w:rsid w:val="006010B7"/>
    <w:rsid w:val="006020C0"/>
    <w:rsid w:val="00603CA2"/>
    <w:rsid w:val="00605946"/>
    <w:rsid w:val="006106BB"/>
    <w:rsid w:val="00611A03"/>
    <w:rsid w:val="00615045"/>
    <w:rsid w:val="006175E8"/>
    <w:rsid w:val="00617849"/>
    <w:rsid w:val="00620C52"/>
    <w:rsid w:val="006276CF"/>
    <w:rsid w:val="00631769"/>
    <w:rsid w:val="00632F0C"/>
    <w:rsid w:val="00634105"/>
    <w:rsid w:val="006423F0"/>
    <w:rsid w:val="00643568"/>
    <w:rsid w:val="006467E0"/>
    <w:rsid w:val="006515E3"/>
    <w:rsid w:val="00651CFD"/>
    <w:rsid w:val="00654641"/>
    <w:rsid w:val="00662E68"/>
    <w:rsid w:val="00663EA2"/>
    <w:rsid w:val="00665EDF"/>
    <w:rsid w:val="00666BFE"/>
    <w:rsid w:val="006671B4"/>
    <w:rsid w:val="00670D9B"/>
    <w:rsid w:val="006710C9"/>
    <w:rsid w:val="00671F1C"/>
    <w:rsid w:val="006721A7"/>
    <w:rsid w:val="00672648"/>
    <w:rsid w:val="00672FCF"/>
    <w:rsid w:val="006734FF"/>
    <w:rsid w:val="0067596F"/>
    <w:rsid w:val="00675FB5"/>
    <w:rsid w:val="00680908"/>
    <w:rsid w:val="006825A4"/>
    <w:rsid w:val="006832AC"/>
    <w:rsid w:val="0068676B"/>
    <w:rsid w:val="006943D3"/>
    <w:rsid w:val="006956F2"/>
    <w:rsid w:val="00695D35"/>
    <w:rsid w:val="00695DBE"/>
    <w:rsid w:val="006A3134"/>
    <w:rsid w:val="006A3C03"/>
    <w:rsid w:val="006A6B36"/>
    <w:rsid w:val="006A7708"/>
    <w:rsid w:val="006B1B9D"/>
    <w:rsid w:val="006B1C53"/>
    <w:rsid w:val="006B4D78"/>
    <w:rsid w:val="006B7E63"/>
    <w:rsid w:val="006C306E"/>
    <w:rsid w:val="006C331E"/>
    <w:rsid w:val="006C62E5"/>
    <w:rsid w:val="006C66D0"/>
    <w:rsid w:val="006D3272"/>
    <w:rsid w:val="006D3A51"/>
    <w:rsid w:val="006D58A9"/>
    <w:rsid w:val="006D76F7"/>
    <w:rsid w:val="006E0F5F"/>
    <w:rsid w:val="006E1A81"/>
    <w:rsid w:val="006E1C89"/>
    <w:rsid w:val="006E2DDE"/>
    <w:rsid w:val="006E3051"/>
    <w:rsid w:val="006F4C95"/>
    <w:rsid w:val="006F5677"/>
    <w:rsid w:val="00701AB8"/>
    <w:rsid w:val="0070328C"/>
    <w:rsid w:val="0070389C"/>
    <w:rsid w:val="00705C67"/>
    <w:rsid w:val="00713824"/>
    <w:rsid w:val="007146FC"/>
    <w:rsid w:val="0071476F"/>
    <w:rsid w:val="00716B43"/>
    <w:rsid w:val="007212B1"/>
    <w:rsid w:val="00721E9C"/>
    <w:rsid w:val="007227C1"/>
    <w:rsid w:val="00725562"/>
    <w:rsid w:val="00727D92"/>
    <w:rsid w:val="0073744A"/>
    <w:rsid w:val="00742D4E"/>
    <w:rsid w:val="0074599C"/>
    <w:rsid w:val="00752BA7"/>
    <w:rsid w:val="007535CB"/>
    <w:rsid w:val="00753C8F"/>
    <w:rsid w:val="007561ED"/>
    <w:rsid w:val="00756B6D"/>
    <w:rsid w:val="007572BA"/>
    <w:rsid w:val="00757EE7"/>
    <w:rsid w:val="00760B2D"/>
    <w:rsid w:val="00761A99"/>
    <w:rsid w:val="00764F56"/>
    <w:rsid w:val="00765CB0"/>
    <w:rsid w:val="00775BD9"/>
    <w:rsid w:val="00780966"/>
    <w:rsid w:val="00785777"/>
    <w:rsid w:val="007863F3"/>
    <w:rsid w:val="00787341"/>
    <w:rsid w:val="007912F6"/>
    <w:rsid w:val="00793C82"/>
    <w:rsid w:val="0079404E"/>
    <w:rsid w:val="007942F6"/>
    <w:rsid w:val="00794EEA"/>
    <w:rsid w:val="00795D11"/>
    <w:rsid w:val="007A244C"/>
    <w:rsid w:val="007A25E1"/>
    <w:rsid w:val="007A4B1F"/>
    <w:rsid w:val="007A7D9C"/>
    <w:rsid w:val="007B0E7E"/>
    <w:rsid w:val="007B37CA"/>
    <w:rsid w:val="007B3E62"/>
    <w:rsid w:val="007B4F63"/>
    <w:rsid w:val="007B716B"/>
    <w:rsid w:val="007B759C"/>
    <w:rsid w:val="007C45A4"/>
    <w:rsid w:val="007C4795"/>
    <w:rsid w:val="007C5D41"/>
    <w:rsid w:val="007C6DDA"/>
    <w:rsid w:val="007D1B69"/>
    <w:rsid w:val="007D3710"/>
    <w:rsid w:val="007D47E8"/>
    <w:rsid w:val="007D5B31"/>
    <w:rsid w:val="007E4A47"/>
    <w:rsid w:val="007E7DB4"/>
    <w:rsid w:val="007F107B"/>
    <w:rsid w:val="007F3294"/>
    <w:rsid w:val="007F35C2"/>
    <w:rsid w:val="007F3DCB"/>
    <w:rsid w:val="007F481E"/>
    <w:rsid w:val="007F5FB7"/>
    <w:rsid w:val="007F79D0"/>
    <w:rsid w:val="008006BD"/>
    <w:rsid w:val="00800DA8"/>
    <w:rsid w:val="00804617"/>
    <w:rsid w:val="0080619E"/>
    <w:rsid w:val="008064B3"/>
    <w:rsid w:val="00806C37"/>
    <w:rsid w:val="00806D63"/>
    <w:rsid w:val="008073CE"/>
    <w:rsid w:val="008106BB"/>
    <w:rsid w:val="008126E2"/>
    <w:rsid w:val="00815D64"/>
    <w:rsid w:val="00820A89"/>
    <w:rsid w:val="008224E4"/>
    <w:rsid w:val="00823C1A"/>
    <w:rsid w:val="00825B74"/>
    <w:rsid w:val="00825C0C"/>
    <w:rsid w:val="00827D03"/>
    <w:rsid w:val="008340AA"/>
    <w:rsid w:val="008408B7"/>
    <w:rsid w:val="00841A0D"/>
    <w:rsid w:val="008447E9"/>
    <w:rsid w:val="00845753"/>
    <w:rsid w:val="0084754D"/>
    <w:rsid w:val="00853F81"/>
    <w:rsid w:val="00856A58"/>
    <w:rsid w:val="00856FD6"/>
    <w:rsid w:val="00857C47"/>
    <w:rsid w:val="008606AB"/>
    <w:rsid w:val="00860C4A"/>
    <w:rsid w:val="008613CD"/>
    <w:rsid w:val="008639CA"/>
    <w:rsid w:val="008642ED"/>
    <w:rsid w:val="00864ECA"/>
    <w:rsid w:val="00864F98"/>
    <w:rsid w:val="008703CB"/>
    <w:rsid w:val="00871AC0"/>
    <w:rsid w:val="008726D2"/>
    <w:rsid w:val="00873664"/>
    <w:rsid w:val="008743B0"/>
    <w:rsid w:val="00876AB5"/>
    <w:rsid w:val="00876FEE"/>
    <w:rsid w:val="00877D06"/>
    <w:rsid w:val="00881740"/>
    <w:rsid w:val="00882C01"/>
    <w:rsid w:val="0088515A"/>
    <w:rsid w:val="00885AC5"/>
    <w:rsid w:val="00887164"/>
    <w:rsid w:val="00891AE6"/>
    <w:rsid w:val="00892D51"/>
    <w:rsid w:val="00892FC4"/>
    <w:rsid w:val="008A113C"/>
    <w:rsid w:val="008A1C9E"/>
    <w:rsid w:val="008A1F8B"/>
    <w:rsid w:val="008A379C"/>
    <w:rsid w:val="008A4CE3"/>
    <w:rsid w:val="008A6B9E"/>
    <w:rsid w:val="008A789A"/>
    <w:rsid w:val="008A7B63"/>
    <w:rsid w:val="008B015F"/>
    <w:rsid w:val="008B419B"/>
    <w:rsid w:val="008B66B5"/>
    <w:rsid w:val="008B71AE"/>
    <w:rsid w:val="008C3E6A"/>
    <w:rsid w:val="008C599A"/>
    <w:rsid w:val="008D0BBC"/>
    <w:rsid w:val="008D0DA3"/>
    <w:rsid w:val="008D220D"/>
    <w:rsid w:val="008D318E"/>
    <w:rsid w:val="008D6AE8"/>
    <w:rsid w:val="008D71E9"/>
    <w:rsid w:val="008D73D0"/>
    <w:rsid w:val="008E0228"/>
    <w:rsid w:val="008E4C2C"/>
    <w:rsid w:val="008E7892"/>
    <w:rsid w:val="008F0781"/>
    <w:rsid w:val="008F2676"/>
    <w:rsid w:val="008F4F1F"/>
    <w:rsid w:val="008F5F56"/>
    <w:rsid w:val="008F6903"/>
    <w:rsid w:val="00902794"/>
    <w:rsid w:val="009027E3"/>
    <w:rsid w:val="00902E47"/>
    <w:rsid w:val="009046C7"/>
    <w:rsid w:val="00907148"/>
    <w:rsid w:val="00911DED"/>
    <w:rsid w:val="00912473"/>
    <w:rsid w:val="009126FD"/>
    <w:rsid w:val="00915138"/>
    <w:rsid w:val="00922520"/>
    <w:rsid w:val="0092318D"/>
    <w:rsid w:val="00924970"/>
    <w:rsid w:val="00926593"/>
    <w:rsid w:val="0093286E"/>
    <w:rsid w:val="00933E3B"/>
    <w:rsid w:val="009361B2"/>
    <w:rsid w:val="009365C9"/>
    <w:rsid w:val="0094124B"/>
    <w:rsid w:val="009419C5"/>
    <w:rsid w:val="00944345"/>
    <w:rsid w:val="00954121"/>
    <w:rsid w:val="00954FB2"/>
    <w:rsid w:val="00956CFD"/>
    <w:rsid w:val="009614D5"/>
    <w:rsid w:val="00962EA7"/>
    <w:rsid w:val="00965CF0"/>
    <w:rsid w:val="009757A9"/>
    <w:rsid w:val="0097685A"/>
    <w:rsid w:val="00977842"/>
    <w:rsid w:val="009816D6"/>
    <w:rsid w:val="00982018"/>
    <w:rsid w:val="00983339"/>
    <w:rsid w:val="00984383"/>
    <w:rsid w:val="00984AB4"/>
    <w:rsid w:val="0098747C"/>
    <w:rsid w:val="00993058"/>
    <w:rsid w:val="00993F77"/>
    <w:rsid w:val="0099479E"/>
    <w:rsid w:val="009A1346"/>
    <w:rsid w:val="009A1465"/>
    <w:rsid w:val="009A4AFC"/>
    <w:rsid w:val="009A4E43"/>
    <w:rsid w:val="009B143E"/>
    <w:rsid w:val="009B1F6C"/>
    <w:rsid w:val="009B7607"/>
    <w:rsid w:val="009C0143"/>
    <w:rsid w:val="009C034B"/>
    <w:rsid w:val="009C194B"/>
    <w:rsid w:val="009C1A54"/>
    <w:rsid w:val="009C1BC1"/>
    <w:rsid w:val="009C7B8C"/>
    <w:rsid w:val="009D0A6F"/>
    <w:rsid w:val="009D1C49"/>
    <w:rsid w:val="009D2AA7"/>
    <w:rsid w:val="009D43F3"/>
    <w:rsid w:val="009D4A12"/>
    <w:rsid w:val="009D56BD"/>
    <w:rsid w:val="009D76DE"/>
    <w:rsid w:val="009E1FA8"/>
    <w:rsid w:val="009E306F"/>
    <w:rsid w:val="009E3E80"/>
    <w:rsid w:val="009E4370"/>
    <w:rsid w:val="009E565F"/>
    <w:rsid w:val="009E5FB3"/>
    <w:rsid w:val="009F39F6"/>
    <w:rsid w:val="009F423C"/>
    <w:rsid w:val="009F4407"/>
    <w:rsid w:val="009F7C59"/>
    <w:rsid w:val="00A02195"/>
    <w:rsid w:val="00A0227E"/>
    <w:rsid w:val="00A0556C"/>
    <w:rsid w:val="00A05AB5"/>
    <w:rsid w:val="00A12978"/>
    <w:rsid w:val="00A16CBB"/>
    <w:rsid w:val="00A17193"/>
    <w:rsid w:val="00A174CD"/>
    <w:rsid w:val="00A17EAD"/>
    <w:rsid w:val="00A215ED"/>
    <w:rsid w:val="00A24AB4"/>
    <w:rsid w:val="00A255AF"/>
    <w:rsid w:val="00A26F9F"/>
    <w:rsid w:val="00A31C3A"/>
    <w:rsid w:val="00A32013"/>
    <w:rsid w:val="00A32EDF"/>
    <w:rsid w:val="00A3462E"/>
    <w:rsid w:val="00A35BD7"/>
    <w:rsid w:val="00A37C45"/>
    <w:rsid w:val="00A42FD7"/>
    <w:rsid w:val="00A45948"/>
    <w:rsid w:val="00A4606C"/>
    <w:rsid w:val="00A471E8"/>
    <w:rsid w:val="00A47B28"/>
    <w:rsid w:val="00A509DA"/>
    <w:rsid w:val="00A536F4"/>
    <w:rsid w:val="00A5559A"/>
    <w:rsid w:val="00A621C9"/>
    <w:rsid w:val="00A622C1"/>
    <w:rsid w:val="00A631CD"/>
    <w:rsid w:val="00A633F6"/>
    <w:rsid w:val="00A653D8"/>
    <w:rsid w:val="00A71D9B"/>
    <w:rsid w:val="00A71F37"/>
    <w:rsid w:val="00A72505"/>
    <w:rsid w:val="00A755DF"/>
    <w:rsid w:val="00A7672B"/>
    <w:rsid w:val="00A76A8F"/>
    <w:rsid w:val="00A804B8"/>
    <w:rsid w:val="00A80AD8"/>
    <w:rsid w:val="00A82F75"/>
    <w:rsid w:val="00A843E1"/>
    <w:rsid w:val="00A87543"/>
    <w:rsid w:val="00A87C4E"/>
    <w:rsid w:val="00A90BF1"/>
    <w:rsid w:val="00A92258"/>
    <w:rsid w:val="00A9249A"/>
    <w:rsid w:val="00A92AB0"/>
    <w:rsid w:val="00A93038"/>
    <w:rsid w:val="00A930F4"/>
    <w:rsid w:val="00A945D1"/>
    <w:rsid w:val="00A94BCA"/>
    <w:rsid w:val="00A95CB6"/>
    <w:rsid w:val="00AA36DC"/>
    <w:rsid w:val="00AA5B9A"/>
    <w:rsid w:val="00AB1539"/>
    <w:rsid w:val="00AB31A2"/>
    <w:rsid w:val="00AC150B"/>
    <w:rsid w:val="00AC2834"/>
    <w:rsid w:val="00AC2CFC"/>
    <w:rsid w:val="00AC41A4"/>
    <w:rsid w:val="00AD193C"/>
    <w:rsid w:val="00AD3DCE"/>
    <w:rsid w:val="00AD49B8"/>
    <w:rsid w:val="00AE514C"/>
    <w:rsid w:val="00AE6902"/>
    <w:rsid w:val="00AF03AE"/>
    <w:rsid w:val="00AF352D"/>
    <w:rsid w:val="00AF467F"/>
    <w:rsid w:val="00B02F7E"/>
    <w:rsid w:val="00B03935"/>
    <w:rsid w:val="00B047CC"/>
    <w:rsid w:val="00B0524B"/>
    <w:rsid w:val="00B068B0"/>
    <w:rsid w:val="00B0694A"/>
    <w:rsid w:val="00B103CE"/>
    <w:rsid w:val="00B14691"/>
    <w:rsid w:val="00B14961"/>
    <w:rsid w:val="00B16370"/>
    <w:rsid w:val="00B165EB"/>
    <w:rsid w:val="00B2221A"/>
    <w:rsid w:val="00B23CA0"/>
    <w:rsid w:val="00B23CE1"/>
    <w:rsid w:val="00B24621"/>
    <w:rsid w:val="00B31A1C"/>
    <w:rsid w:val="00B33E68"/>
    <w:rsid w:val="00B34102"/>
    <w:rsid w:val="00B408D0"/>
    <w:rsid w:val="00B43AD7"/>
    <w:rsid w:val="00B512EE"/>
    <w:rsid w:val="00B522B0"/>
    <w:rsid w:val="00B52679"/>
    <w:rsid w:val="00B53886"/>
    <w:rsid w:val="00B552DF"/>
    <w:rsid w:val="00B55481"/>
    <w:rsid w:val="00B55900"/>
    <w:rsid w:val="00B567BA"/>
    <w:rsid w:val="00B568CE"/>
    <w:rsid w:val="00B61464"/>
    <w:rsid w:val="00B629DF"/>
    <w:rsid w:val="00B676B3"/>
    <w:rsid w:val="00B706B1"/>
    <w:rsid w:val="00B707B2"/>
    <w:rsid w:val="00B713A8"/>
    <w:rsid w:val="00B71605"/>
    <w:rsid w:val="00B722D0"/>
    <w:rsid w:val="00B74EFE"/>
    <w:rsid w:val="00B76288"/>
    <w:rsid w:val="00B76736"/>
    <w:rsid w:val="00B769F2"/>
    <w:rsid w:val="00B76B25"/>
    <w:rsid w:val="00B77A65"/>
    <w:rsid w:val="00B77DC7"/>
    <w:rsid w:val="00B805CD"/>
    <w:rsid w:val="00B84747"/>
    <w:rsid w:val="00B85488"/>
    <w:rsid w:val="00B87F06"/>
    <w:rsid w:val="00B94263"/>
    <w:rsid w:val="00B95A0E"/>
    <w:rsid w:val="00B96223"/>
    <w:rsid w:val="00B973FA"/>
    <w:rsid w:val="00B97738"/>
    <w:rsid w:val="00BA33C3"/>
    <w:rsid w:val="00BA3968"/>
    <w:rsid w:val="00BA4C67"/>
    <w:rsid w:val="00BA5732"/>
    <w:rsid w:val="00BA59D8"/>
    <w:rsid w:val="00BA6256"/>
    <w:rsid w:val="00BB0B3D"/>
    <w:rsid w:val="00BB37C8"/>
    <w:rsid w:val="00BB44B3"/>
    <w:rsid w:val="00BB704D"/>
    <w:rsid w:val="00BC186D"/>
    <w:rsid w:val="00BC1F18"/>
    <w:rsid w:val="00BC2C89"/>
    <w:rsid w:val="00BC3FB7"/>
    <w:rsid w:val="00BC4C4D"/>
    <w:rsid w:val="00BD248A"/>
    <w:rsid w:val="00BD294B"/>
    <w:rsid w:val="00BD3A95"/>
    <w:rsid w:val="00BD5A42"/>
    <w:rsid w:val="00BD7206"/>
    <w:rsid w:val="00BD7550"/>
    <w:rsid w:val="00BE15A1"/>
    <w:rsid w:val="00BE42E0"/>
    <w:rsid w:val="00BF3C9E"/>
    <w:rsid w:val="00BF4A7F"/>
    <w:rsid w:val="00BF4BAF"/>
    <w:rsid w:val="00BF4E0B"/>
    <w:rsid w:val="00BF51AD"/>
    <w:rsid w:val="00BF6AF4"/>
    <w:rsid w:val="00C02E9F"/>
    <w:rsid w:val="00C0682E"/>
    <w:rsid w:val="00C0725A"/>
    <w:rsid w:val="00C14DC2"/>
    <w:rsid w:val="00C15008"/>
    <w:rsid w:val="00C1741B"/>
    <w:rsid w:val="00C21475"/>
    <w:rsid w:val="00C21A7E"/>
    <w:rsid w:val="00C23912"/>
    <w:rsid w:val="00C248D1"/>
    <w:rsid w:val="00C24966"/>
    <w:rsid w:val="00C277ED"/>
    <w:rsid w:val="00C305C3"/>
    <w:rsid w:val="00C3314A"/>
    <w:rsid w:val="00C3526F"/>
    <w:rsid w:val="00C35993"/>
    <w:rsid w:val="00C36191"/>
    <w:rsid w:val="00C3709E"/>
    <w:rsid w:val="00C40750"/>
    <w:rsid w:val="00C40F35"/>
    <w:rsid w:val="00C411C4"/>
    <w:rsid w:val="00C41FA3"/>
    <w:rsid w:val="00C43700"/>
    <w:rsid w:val="00C4421F"/>
    <w:rsid w:val="00C51633"/>
    <w:rsid w:val="00C524CB"/>
    <w:rsid w:val="00C532CF"/>
    <w:rsid w:val="00C53869"/>
    <w:rsid w:val="00C54B92"/>
    <w:rsid w:val="00C568CA"/>
    <w:rsid w:val="00C56923"/>
    <w:rsid w:val="00C638C7"/>
    <w:rsid w:val="00C65626"/>
    <w:rsid w:val="00C700F4"/>
    <w:rsid w:val="00C703A9"/>
    <w:rsid w:val="00C72773"/>
    <w:rsid w:val="00C737CB"/>
    <w:rsid w:val="00C748ED"/>
    <w:rsid w:val="00C764F0"/>
    <w:rsid w:val="00C86A07"/>
    <w:rsid w:val="00C90166"/>
    <w:rsid w:val="00C90191"/>
    <w:rsid w:val="00C916C9"/>
    <w:rsid w:val="00C928D9"/>
    <w:rsid w:val="00C92D40"/>
    <w:rsid w:val="00C94470"/>
    <w:rsid w:val="00C969DD"/>
    <w:rsid w:val="00CA074B"/>
    <w:rsid w:val="00CA3BBF"/>
    <w:rsid w:val="00CA794A"/>
    <w:rsid w:val="00CB0899"/>
    <w:rsid w:val="00CB3224"/>
    <w:rsid w:val="00CB3237"/>
    <w:rsid w:val="00CB44DC"/>
    <w:rsid w:val="00CB60D9"/>
    <w:rsid w:val="00CC1463"/>
    <w:rsid w:val="00CC212C"/>
    <w:rsid w:val="00CC27AA"/>
    <w:rsid w:val="00CD444E"/>
    <w:rsid w:val="00CD4798"/>
    <w:rsid w:val="00CD68A2"/>
    <w:rsid w:val="00CE002E"/>
    <w:rsid w:val="00CE243D"/>
    <w:rsid w:val="00CE373B"/>
    <w:rsid w:val="00CE4B78"/>
    <w:rsid w:val="00CE5334"/>
    <w:rsid w:val="00CF0557"/>
    <w:rsid w:val="00CF16D4"/>
    <w:rsid w:val="00CF4B75"/>
    <w:rsid w:val="00CF5BBA"/>
    <w:rsid w:val="00CF6DD4"/>
    <w:rsid w:val="00CF7F64"/>
    <w:rsid w:val="00D00F1D"/>
    <w:rsid w:val="00D02186"/>
    <w:rsid w:val="00D05431"/>
    <w:rsid w:val="00D06E45"/>
    <w:rsid w:val="00D07442"/>
    <w:rsid w:val="00D0762F"/>
    <w:rsid w:val="00D07858"/>
    <w:rsid w:val="00D136A0"/>
    <w:rsid w:val="00D159DE"/>
    <w:rsid w:val="00D20F89"/>
    <w:rsid w:val="00D245C0"/>
    <w:rsid w:val="00D248FD"/>
    <w:rsid w:val="00D26C81"/>
    <w:rsid w:val="00D34497"/>
    <w:rsid w:val="00D36D1A"/>
    <w:rsid w:val="00D406FD"/>
    <w:rsid w:val="00D42000"/>
    <w:rsid w:val="00D43444"/>
    <w:rsid w:val="00D446B3"/>
    <w:rsid w:val="00D449C1"/>
    <w:rsid w:val="00D4597F"/>
    <w:rsid w:val="00D4645E"/>
    <w:rsid w:val="00D46663"/>
    <w:rsid w:val="00D46E79"/>
    <w:rsid w:val="00D50422"/>
    <w:rsid w:val="00D508C3"/>
    <w:rsid w:val="00D5746A"/>
    <w:rsid w:val="00D57EAD"/>
    <w:rsid w:val="00D60958"/>
    <w:rsid w:val="00D6205F"/>
    <w:rsid w:val="00D62B9C"/>
    <w:rsid w:val="00D64D68"/>
    <w:rsid w:val="00D656A5"/>
    <w:rsid w:val="00D70DE3"/>
    <w:rsid w:val="00D72CD9"/>
    <w:rsid w:val="00D734E2"/>
    <w:rsid w:val="00D740B8"/>
    <w:rsid w:val="00D75EF0"/>
    <w:rsid w:val="00D76809"/>
    <w:rsid w:val="00D76A23"/>
    <w:rsid w:val="00D81FA1"/>
    <w:rsid w:val="00D825DD"/>
    <w:rsid w:val="00D82B99"/>
    <w:rsid w:val="00D85DC0"/>
    <w:rsid w:val="00D873C1"/>
    <w:rsid w:val="00D87B9A"/>
    <w:rsid w:val="00D91B18"/>
    <w:rsid w:val="00D9508C"/>
    <w:rsid w:val="00DA0E14"/>
    <w:rsid w:val="00DA1090"/>
    <w:rsid w:val="00DA24A2"/>
    <w:rsid w:val="00DA2994"/>
    <w:rsid w:val="00DA47E2"/>
    <w:rsid w:val="00DA682F"/>
    <w:rsid w:val="00DB1204"/>
    <w:rsid w:val="00DB2BE1"/>
    <w:rsid w:val="00DB2F85"/>
    <w:rsid w:val="00DB3127"/>
    <w:rsid w:val="00DB51FA"/>
    <w:rsid w:val="00DB5E7D"/>
    <w:rsid w:val="00DC05DC"/>
    <w:rsid w:val="00DC2A2F"/>
    <w:rsid w:val="00DC4922"/>
    <w:rsid w:val="00DC553D"/>
    <w:rsid w:val="00DC6142"/>
    <w:rsid w:val="00DC65A9"/>
    <w:rsid w:val="00DD0AAA"/>
    <w:rsid w:val="00DD1D82"/>
    <w:rsid w:val="00DD4484"/>
    <w:rsid w:val="00DD6EDE"/>
    <w:rsid w:val="00DE041D"/>
    <w:rsid w:val="00DE0873"/>
    <w:rsid w:val="00DE0901"/>
    <w:rsid w:val="00DE306F"/>
    <w:rsid w:val="00DE3384"/>
    <w:rsid w:val="00DE3C24"/>
    <w:rsid w:val="00DE4617"/>
    <w:rsid w:val="00DE46B0"/>
    <w:rsid w:val="00DE7959"/>
    <w:rsid w:val="00DF2FC9"/>
    <w:rsid w:val="00E03FA1"/>
    <w:rsid w:val="00E040E7"/>
    <w:rsid w:val="00E0700E"/>
    <w:rsid w:val="00E114F3"/>
    <w:rsid w:val="00E12E35"/>
    <w:rsid w:val="00E13370"/>
    <w:rsid w:val="00E14EBE"/>
    <w:rsid w:val="00E21BC2"/>
    <w:rsid w:val="00E232A6"/>
    <w:rsid w:val="00E25C0C"/>
    <w:rsid w:val="00E2624F"/>
    <w:rsid w:val="00E262F3"/>
    <w:rsid w:val="00E2736B"/>
    <w:rsid w:val="00E33540"/>
    <w:rsid w:val="00E339D0"/>
    <w:rsid w:val="00E34291"/>
    <w:rsid w:val="00E34E64"/>
    <w:rsid w:val="00E35426"/>
    <w:rsid w:val="00E373CF"/>
    <w:rsid w:val="00E418BA"/>
    <w:rsid w:val="00E420AD"/>
    <w:rsid w:val="00E44051"/>
    <w:rsid w:val="00E46BA5"/>
    <w:rsid w:val="00E472D4"/>
    <w:rsid w:val="00E47A0A"/>
    <w:rsid w:val="00E5460F"/>
    <w:rsid w:val="00E55040"/>
    <w:rsid w:val="00E57987"/>
    <w:rsid w:val="00E619E8"/>
    <w:rsid w:val="00E72306"/>
    <w:rsid w:val="00E7399B"/>
    <w:rsid w:val="00E739E8"/>
    <w:rsid w:val="00E74500"/>
    <w:rsid w:val="00E76AA5"/>
    <w:rsid w:val="00E810A4"/>
    <w:rsid w:val="00E8156F"/>
    <w:rsid w:val="00E83C2F"/>
    <w:rsid w:val="00E84823"/>
    <w:rsid w:val="00E86D65"/>
    <w:rsid w:val="00E930D2"/>
    <w:rsid w:val="00E93EC2"/>
    <w:rsid w:val="00E971EC"/>
    <w:rsid w:val="00EA0BF8"/>
    <w:rsid w:val="00EA10B1"/>
    <w:rsid w:val="00EA4672"/>
    <w:rsid w:val="00EB181C"/>
    <w:rsid w:val="00EB334E"/>
    <w:rsid w:val="00EB4637"/>
    <w:rsid w:val="00EB5A36"/>
    <w:rsid w:val="00EB5B9E"/>
    <w:rsid w:val="00EC0B2D"/>
    <w:rsid w:val="00EC1398"/>
    <w:rsid w:val="00EC31D7"/>
    <w:rsid w:val="00EC38AF"/>
    <w:rsid w:val="00EC4ABE"/>
    <w:rsid w:val="00EC5126"/>
    <w:rsid w:val="00EC5CB0"/>
    <w:rsid w:val="00EC6260"/>
    <w:rsid w:val="00EC671B"/>
    <w:rsid w:val="00ED1CAA"/>
    <w:rsid w:val="00ED316E"/>
    <w:rsid w:val="00ED4E93"/>
    <w:rsid w:val="00EE0982"/>
    <w:rsid w:val="00EE2C55"/>
    <w:rsid w:val="00EE41EC"/>
    <w:rsid w:val="00EE72D7"/>
    <w:rsid w:val="00EE7608"/>
    <w:rsid w:val="00EF02B2"/>
    <w:rsid w:val="00EF0863"/>
    <w:rsid w:val="00EF0D3A"/>
    <w:rsid w:val="00EF3173"/>
    <w:rsid w:val="00EF3514"/>
    <w:rsid w:val="00EF5E19"/>
    <w:rsid w:val="00F0085B"/>
    <w:rsid w:val="00F03DD7"/>
    <w:rsid w:val="00F0497A"/>
    <w:rsid w:val="00F04F6C"/>
    <w:rsid w:val="00F050C0"/>
    <w:rsid w:val="00F05C8E"/>
    <w:rsid w:val="00F07D3B"/>
    <w:rsid w:val="00F109EB"/>
    <w:rsid w:val="00F1153B"/>
    <w:rsid w:val="00F12D64"/>
    <w:rsid w:val="00F13925"/>
    <w:rsid w:val="00F15314"/>
    <w:rsid w:val="00F1667E"/>
    <w:rsid w:val="00F17ACE"/>
    <w:rsid w:val="00F17DB8"/>
    <w:rsid w:val="00F2302E"/>
    <w:rsid w:val="00F26A2D"/>
    <w:rsid w:val="00F27A79"/>
    <w:rsid w:val="00F30D08"/>
    <w:rsid w:val="00F32954"/>
    <w:rsid w:val="00F350A5"/>
    <w:rsid w:val="00F360F5"/>
    <w:rsid w:val="00F40946"/>
    <w:rsid w:val="00F41086"/>
    <w:rsid w:val="00F42D1D"/>
    <w:rsid w:val="00F44691"/>
    <w:rsid w:val="00F45561"/>
    <w:rsid w:val="00F45FA0"/>
    <w:rsid w:val="00F46777"/>
    <w:rsid w:val="00F47073"/>
    <w:rsid w:val="00F471EF"/>
    <w:rsid w:val="00F50AB4"/>
    <w:rsid w:val="00F50C98"/>
    <w:rsid w:val="00F5221D"/>
    <w:rsid w:val="00F5545D"/>
    <w:rsid w:val="00F60E58"/>
    <w:rsid w:val="00F62A66"/>
    <w:rsid w:val="00F63909"/>
    <w:rsid w:val="00F6491B"/>
    <w:rsid w:val="00F65F2F"/>
    <w:rsid w:val="00F66BE7"/>
    <w:rsid w:val="00F71C94"/>
    <w:rsid w:val="00F72D18"/>
    <w:rsid w:val="00F733E0"/>
    <w:rsid w:val="00F73806"/>
    <w:rsid w:val="00F73C0B"/>
    <w:rsid w:val="00F75FDA"/>
    <w:rsid w:val="00F77220"/>
    <w:rsid w:val="00F778C9"/>
    <w:rsid w:val="00F828EB"/>
    <w:rsid w:val="00F83B83"/>
    <w:rsid w:val="00F856E9"/>
    <w:rsid w:val="00F91EBC"/>
    <w:rsid w:val="00F92C8D"/>
    <w:rsid w:val="00F9691B"/>
    <w:rsid w:val="00F96CC1"/>
    <w:rsid w:val="00FA3008"/>
    <w:rsid w:val="00FA5FE3"/>
    <w:rsid w:val="00FA6077"/>
    <w:rsid w:val="00FA77E7"/>
    <w:rsid w:val="00FB2C55"/>
    <w:rsid w:val="00FB3621"/>
    <w:rsid w:val="00FB3A31"/>
    <w:rsid w:val="00FB52A2"/>
    <w:rsid w:val="00FB63B4"/>
    <w:rsid w:val="00FC09A0"/>
    <w:rsid w:val="00FC325D"/>
    <w:rsid w:val="00FC339E"/>
    <w:rsid w:val="00FC35EA"/>
    <w:rsid w:val="00FC4327"/>
    <w:rsid w:val="00FC49FB"/>
    <w:rsid w:val="00FD049F"/>
    <w:rsid w:val="00FE1673"/>
    <w:rsid w:val="00FE27A4"/>
    <w:rsid w:val="00FE2ACA"/>
    <w:rsid w:val="00FE2C3C"/>
    <w:rsid w:val="00FE315B"/>
    <w:rsid w:val="00FE7EA3"/>
    <w:rsid w:val="00FF0746"/>
    <w:rsid w:val="00FF2660"/>
    <w:rsid w:val="00FF383E"/>
    <w:rsid w:val="00FF43F5"/>
    <w:rsid w:val="00FF6026"/>
    <w:rsid w:val="040168D1"/>
    <w:rsid w:val="09B4687D"/>
    <w:rsid w:val="0FB33569"/>
    <w:rsid w:val="1099E001"/>
    <w:rsid w:val="11B3E1E0"/>
    <w:rsid w:val="170A9DD2"/>
    <w:rsid w:val="18D05918"/>
    <w:rsid w:val="1905675E"/>
    <w:rsid w:val="190B926E"/>
    <w:rsid w:val="19434C61"/>
    <w:rsid w:val="1958ACBD"/>
    <w:rsid w:val="1B530A6C"/>
    <w:rsid w:val="1FBEEBC9"/>
    <w:rsid w:val="20353CAB"/>
    <w:rsid w:val="225DAA7E"/>
    <w:rsid w:val="23494677"/>
    <w:rsid w:val="250ACB92"/>
    <w:rsid w:val="288727C2"/>
    <w:rsid w:val="288A6108"/>
    <w:rsid w:val="28D78DA6"/>
    <w:rsid w:val="2A1FD4BE"/>
    <w:rsid w:val="2F7BCE35"/>
    <w:rsid w:val="3420AE3F"/>
    <w:rsid w:val="36E7BB56"/>
    <w:rsid w:val="3C0DD26A"/>
    <w:rsid w:val="3F0EE72D"/>
    <w:rsid w:val="4216D795"/>
    <w:rsid w:val="4495982A"/>
    <w:rsid w:val="44B77564"/>
    <w:rsid w:val="45ADF715"/>
    <w:rsid w:val="45C20331"/>
    <w:rsid w:val="4C1BA502"/>
    <w:rsid w:val="4FC59EDC"/>
    <w:rsid w:val="503DE061"/>
    <w:rsid w:val="512B8816"/>
    <w:rsid w:val="527FA7DA"/>
    <w:rsid w:val="528FE949"/>
    <w:rsid w:val="530BB453"/>
    <w:rsid w:val="54A2C95F"/>
    <w:rsid w:val="57106895"/>
    <w:rsid w:val="5937C0E4"/>
    <w:rsid w:val="594088A9"/>
    <w:rsid w:val="5C451C5F"/>
    <w:rsid w:val="5E245202"/>
    <w:rsid w:val="5FA26A9F"/>
    <w:rsid w:val="60BDE520"/>
    <w:rsid w:val="633686B6"/>
    <w:rsid w:val="695413D3"/>
    <w:rsid w:val="712C0A6D"/>
    <w:rsid w:val="71E6E887"/>
    <w:rsid w:val="73C7185F"/>
    <w:rsid w:val="75FC7447"/>
    <w:rsid w:val="770D5D1D"/>
    <w:rsid w:val="7948EFE4"/>
    <w:rsid w:val="795C0AA5"/>
    <w:rsid w:val="7B5AC040"/>
    <w:rsid w:val="7D25A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0779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4F3"/>
    <w:pPr>
      <w:spacing w:after="0" w:line="240" w:lineRule="auto"/>
    </w:pPr>
    <w:rPr>
      <w:rFonts w:eastAsiaTheme="minorEastAsi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level2">
    <w:name w:val="Title level 2"/>
    <w:qFormat/>
    <w:rsid w:val="00E114F3"/>
    <w:pPr>
      <w:spacing w:before="240" w:after="240" w:line="240" w:lineRule="auto"/>
    </w:pPr>
    <w:rPr>
      <w:rFonts w:asciiTheme="majorHAnsi" w:eastAsiaTheme="majorEastAsia" w:hAnsiTheme="majorHAnsi" w:cstheme="majorBidi"/>
      <w:bCs/>
      <w:color w:val="44546A" w:themeColor="text2"/>
      <w:sz w:val="32"/>
      <w:szCs w:val="24"/>
    </w:rPr>
  </w:style>
  <w:style w:type="paragraph" w:styleId="FootnoteText">
    <w:name w:val="footnote text"/>
    <w:basedOn w:val="Normal"/>
    <w:link w:val="FootnoteTextChar"/>
    <w:autoRedefine/>
    <w:qFormat/>
    <w:rsid w:val="003D3122"/>
    <w:pPr>
      <w:spacing w:before="80" w:line="200" w:lineRule="exact"/>
      <w:ind w:left="567" w:hanging="567"/>
      <w:jc w:val="both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3D3122"/>
    <w:rPr>
      <w:rFonts w:eastAsiaTheme="minorEastAsia"/>
      <w:sz w:val="18"/>
      <w:szCs w:val="18"/>
      <w:lang w:val="mt-MT"/>
    </w:rPr>
  </w:style>
  <w:style w:type="character" w:styleId="FootnoteReference">
    <w:name w:val="footnote reference"/>
    <w:aliases w:val="Footnote Reference Number,Footnote Reference_LVL6,Footnote Reference_LVL61,Footnote Reference_LVL62,Footnote Reference_LVL63,Footnote Reference_LVL64,Footnote symbol,Footnote reference number,Fußnotenzeichen3,Char1"/>
    <w:basedOn w:val="DefaultParagraphFont"/>
    <w:uiPriority w:val="99"/>
    <w:qFormat/>
    <w:rsid w:val="00E114F3"/>
    <w:rPr>
      <w:rFonts w:asciiTheme="minorHAnsi" w:hAnsiTheme="minorHAnsi"/>
      <w:sz w:val="22"/>
      <w:szCs w:val="18"/>
      <w:vertAlign w:val="superscript"/>
    </w:rPr>
  </w:style>
  <w:style w:type="character" w:styleId="Hyperlink">
    <w:name w:val="Hyperlink"/>
    <w:basedOn w:val="DefaultParagraphFont"/>
    <w:uiPriority w:val="99"/>
    <w:rsid w:val="00E114F3"/>
    <w:rPr>
      <w:color w:val="0563C1" w:themeColor="hyperlink"/>
      <w:u w:val="single"/>
    </w:rPr>
  </w:style>
  <w:style w:type="paragraph" w:customStyle="1" w:styleId="Annexetitre">
    <w:name w:val="Annexe titre"/>
    <w:basedOn w:val="Normal"/>
    <w:next w:val="Normal"/>
    <w:rsid w:val="00E114F3"/>
    <w:pPr>
      <w:spacing w:before="120" w:after="120"/>
      <w:jc w:val="center"/>
    </w:pPr>
    <w:rPr>
      <w:rFonts w:ascii="Times New Roman" w:eastAsia="Times New Roman" w:hAnsi="Times New Roman" w:cs="Times New Roman"/>
      <w:b/>
      <w:sz w:val="24"/>
      <w:u w:val="single"/>
    </w:rPr>
  </w:style>
  <w:style w:type="paragraph" w:customStyle="1" w:styleId="Applicationdirecte">
    <w:name w:val="Application directe"/>
    <w:basedOn w:val="Normal"/>
    <w:next w:val="Normal"/>
    <w:rsid w:val="00E114F3"/>
    <w:pPr>
      <w:spacing w:before="480" w:after="120"/>
      <w:jc w:val="both"/>
    </w:pPr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E114F3"/>
    <w:pPr>
      <w:ind w:left="720"/>
    </w:pPr>
    <w:rPr>
      <w:rFonts w:ascii="Calibri" w:eastAsia="Calibri" w:hAnsi="Calibri" w:cs="Times New Roman"/>
      <w:szCs w:val="22"/>
    </w:rPr>
  </w:style>
  <w:style w:type="paragraph" w:customStyle="1" w:styleId="TableMainHeading">
    <w:name w:val="TableMainHeading"/>
    <w:basedOn w:val="Normal"/>
    <w:next w:val="Normal"/>
    <w:uiPriority w:val="99"/>
    <w:rsid w:val="00E114F3"/>
    <w:pPr>
      <w:spacing w:before="120" w:after="120"/>
    </w:pPr>
    <w:rPr>
      <w:rFonts w:ascii="Segoe UI" w:eastAsia="Times New Roman" w:hAnsi="Segoe UI" w:cs="Times New Roman"/>
      <w:szCs w:val="20"/>
    </w:rPr>
  </w:style>
  <w:style w:type="paragraph" w:customStyle="1" w:styleId="TableTitle">
    <w:name w:val="TableTitle"/>
    <w:basedOn w:val="Normal"/>
    <w:next w:val="Normal"/>
    <w:link w:val="TableTitleChar"/>
    <w:rsid w:val="00E114F3"/>
    <w:pPr>
      <w:keepNext/>
      <w:spacing w:before="120" w:after="240"/>
      <w:jc w:val="center"/>
    </w:pPr>
    <w:rPr>
      <w:rFonts w:ascii="Arial" w:eastAsia="MS Mincho" w:hAnsi="Arial" w:cs="Times New Roman"/>
      <w:b/>
      <w:noProof/>
      <w:szCs w:val="20"/>
    </w:rPr>
  </w:style>
  <w:style w:type="character" w:customStyle="1" w:styleId="TableTitleChar">
    <w:name w:val="TableTitle Char"/>
    <w:basedOn w:val="DefaultParagraphFont"/>
    <w:link w:val="TableTitle"/>
    <w:locked/>
    <w:rsid w:val="00E114F3"/>
    <w:rPr>
      <w:rFonts w:ascii="Arial" w:eastAsia="MS Mincho" w:hAnsi="Arial" w:cs="Times New Roman"/>
      <w:b/>
      <w:noProof/>
      <w:szCs w:val="20"/>
    </w:rPr>
  </w:style>
  <w:style w:type="character" w:customStyle="1" w:styleId="InstructionsTabelleberschrift">
    <w:name w:val="Instructions Tabelle Überschrift"/>
    <w:qFormat/>
    <w:rsid w:val="00E114F3"/>
    <w:rPr>
      <w:rFonts w:ascii="Verdana" w:hAnsi="Verdana" w:cs="Times New Roman"/>
      <w:b/>
      <w:bCs/>
      <w:sz w:val="20"/>
      <w:u w:val="single"/>
    </w:rPr>
  </w:style>
  <w:style w:type="paragraph" w:customStyle="1" w:styleId="InstructionsText2">
    <w:name w:val="Instructions Text 2"/>
    <w:basedOn w:val="Normal"/>
    <w:qFormat/>
    <w:rsid w:val="00E114F3"/>
    <w:pPr>
      <w:numPr>
        <w:numId w:val="2"/>
      </w:numPr>
      <w:spacing w:after="240"/>
      <w:jc w:val="both"/>
    </w:pPr>
    <w:rPr>
      <w:rFonts w:ascii="Times New Roman" w:eastAsia="Times New Roman" w:hAnsi="Times New Roman" w:cs="Times New Roman"/>
      <w:sz w:val="24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E114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4F3"/>
    <w:rPr>
      <w:rFonts w:eastAsiaTheme="minorEastAsia"/>
      <w:szCs w:val="24"/>
    </w:rPr>
  </w:style>
  <w:style w:type="paragraph" w:styleId="Footer">
    <w:name w:val="footer"/>
    <w:basedOn w:val="Normal"/>
    <w:link w:val="FooterChar"/>
    <w:uiPriority w:val="99"/>
    <w:unhideWhenUsed/>
    <w:rsid w:val="00E114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4F3"/>
    <w:rPr>
      <w:rFonts w:eastAsiaTheme="minorEastAsia"/>
      <w:szCs w:val="24"/>
    </w:rPr>
  </w:style>
  <w:style w:type="paragraph" w:styleId="Revision">
    <w:name w:val="Revision"/>
    <w:hidden/>
    <w:uiPriority w:val="99"/>
    <w:semiHidden/>
    <w:rsid w:val="00241FEC"/>
    <w:pPr>
      <w:spacing w:after="0" w:line="240" w:lineRule="auto"/>
    </w:pPr>
    <w:rPr>
      <w:rFonts w:eastAsiaTheme="minorEastAsia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095D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5D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5D07"/>
    <w:rPr>
      <w:rFonts w:eastAsiaTheme="minorEastAsia"/>
      <w:sz w:val="20"/>
      <w:szCs w:val="20"/>
      <w:lang w:val="mt-MT"/>
    </w:rPr>
  </w:style>
  <w:style w:type="paragraph" w:customStyle="1" w:styleId="numberedparagraph">
    <w:name w:val="numbered paragraph"/>
    <w:basedOn w:val="Normal"/>
    <w:qFormat/>
    <w:rsid w:val="00095D07"/>
    <w:pPr>
      <w:numPr>
        <w:numId w:val="7"/>
      </w:numPr>
      <w:spacing w:before="240" w:after="120" w:line="276" w:lineRule="auto"/>
      <w:jc w:val="both"/>
    </w:pPr>
  </w:style>
  <w:style w:type="paragraph" w:customStyle="1" w:styleId="paragraph">
    <w:name w:val="paragraph"/>
    <w:basedOn w:val="Normal"/>
    <w:rsid w:val="00095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095D07"/>
  </w:style>
  <w:style w:type="character" w:customStyle="1" w:styleId="eop">
    <w:name w:val="eop"/>
    <w:basedOn w:val="DefaultParagraphFont"/>
    <w:rsid w:val="00095D07"/>
  </w:style>
  <w:style w:type="character" w:styleId="Mention">
    <w:name w:val="Mention"/>
    <w:basedOn w:val="DefaultParagraphFont"/>
    <w:uiPriority w:val="99"/>
    <w:unhideWhenUsed/>
    <w:rsid w:val="00095D07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F00"/>
    <w:rPr>
      <w:rFonts w:eastAsiaTheme="minorEastAsia"/>
      <w:b/>
      <w:bCs/>
      <w:sz w:val="20"/>
      <w:szCs w:val="20"/>
      <w:lang w:val="mt-MT"/>
    </w:rPr>
  </w:style>
  <w:style w:type="paragraph" w:customStyle="1" w:styleId="Style1">
    <w:name w:val="Style1"/>
    <w:basedOn w:val="ListParagraph"/>
    <w:qFormat/>
    <w:rsid w:val="00232265"/>
    <w:pPr>
      <w:numPr>
        <w:numId w:val="11"/>
      </w:numPr>
      <w:spacing w:before="60" w:after="120"/>
      <w:jc w:val="both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EN/TXT/?uri=OJ:L_202401623" TargetMode="External"/><Relationship Id="rId1" Type="http://schemas.openxmlformats.org/officeDocument/2006/relationships/hyperlink" Target="https://eur-lex.europa.eu/legal-content/EN/AUTO/?uri=OJ:L:2013:176:T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786269AE2424A8D342950147AB377" ma:contentTypeVersion="3" ma:contentTypeDescription="Create a new document." ma:contentTypeScope="" ma:versionID="1c6d71e8fe77cb1d31a72a025cb5529a">
  <xsd:schema xmlns:xsd="http://www.w3.org/2001/XMLSchema" xmlns:xs="http://www.w3.org/2001/XMLSchema" xmlns:p="http://schemas.microsoft.com/office/2006/metadata/properties" xmlns:ns2="d520683a-cb21-4d3a-9123-58e4528859ba" targetNamespace="http://schemas.microsoft.com/office/2006/metadata/properties" ma:root="true" ma:fieldsID="cdbf0337ca5db9b749df9a74d0371656" ns2:_="">
    <xsd:import namespace="d520683a-cb21-4d3a-9123-58e452885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0683a-cb21-4d3a-9123-58e452885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897FCB-9E4A-4741-9004-D2C005DA78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858D16-5A62-4E4D-96C3-F6E767B7E1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FD491-C717-43CD-8132-4648BC014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0683a-cb21-4d3a-9123-58e452885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4AA13D-5788-405C-9534-7091A4501FE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c7eb9de-735b-4a68-8fe4-c9c62709b012}" enabled="1" method="Standard" siteId="{3bacb4ff-f1a2-4c92-b96c-e99fec826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4312</Words>
  <Characters>32223</Characters>
  <Application>Microsoft Office Word</Application>
  <DocSecurity>0</DocSecurity>
  <Lines>268</Lines>
  <Paragraphs>72</Paragraphs>
  <ScaleCrop>false</ScaleCrop>
  <Manager/>
  <Company/>
  <LinksUpToDate>false</LinksUpToDate>
  <CharactersWithSpaces>36463</CharactersWithSpaces>
  <SharedDoc>false</SharedDoc>
  <HLinks>
    <vt:vector size="36" baseType="variant">
      <vt:variant>
        <vt:i4>7143432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https://eur-lex.europa.eu/legal-content/EN/TXT/?uri=OJ:L_202401623</vt:lpwstr>
      </vt:variant>
      <vt:variant>
        <vt:lpwstr/>
      </vt:variant>
      <vt:variant>
        <vt:i4>7602297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https://eur-lex.europa.eu/legal-content/EN/AUTO/?uri=OJ:L:2013:176:TOC</vt:lpwstr>
      </vt:variant>
      <vt:variant>
        <vt:lpwstr/>
      </vt:variant>
      <vt:variant>
        <vt:i4>1507369</vt:i4>
      </vt:variant>
      <vt:variant>
        <vt:i4>9</vt:i4>
      </vt:variant>
      <vt:variant>
        <vt:i4>0</vt:i4>
      </vt:variant>
      <vt:variant>
        <vt:i4>5</vt:i4>
      </vt:variant>
      <vt:variant>
        <vt:lpwstr>mailto:anca.dinita@eba.europa.eu</vt:lpwstr>
      </vt:variant>
      <vt:variant>
        <vt:lpwstr/>
      </vt:variant>
      <vt:variant>
        <vt:i4>1507369</vt:i4>
      </vt:variant>
      <vt:variant>
        <vt:i4>6</vt:i4>
      </vt:variant>
      <vt:variant>
        <vt:i4>0</vt:i4>
      </vt:variant>
      <vt:variant>
        <vt:i4>5</vt:i4>
      </vt:variant>
      <vt:variant>
        <vt:lpwstr>mailto:anca.dinita@eba.europa.eu</vt:lpwstr>
      </vt:variant>
      <vt:variant>
        <vt:lpwstr/>
      </vt:variant>
      <vt:variant>
        <vt:i4>1507369</vt:i4>
      </vt:variant>
      <vt:variant>
        <vt:i4>3</vt:i4>
      </vt:variant>
      <vt:variant>
        <vt:i4>0</vt:i4>
      </vt:variant>
      <vt:variant>
        <vt:i4>5</vt:i4>
      </vt:variant>
      <vt:variant>
        <vt:lpwstr>mailto:anca.dinita@eba.europa.eu</vt:lpwstr>
      </vt:variant>
      <vt:variant>
        <vt:lpwstr/>
      </vt:variant>
      <vt:variant>
        <vt:i4>1507369</vt:i4>
      </vt:variant>
      <vt:variant>
        <vt:i4>0</vt:i4>
      </vt:variant>
      <vt:variant>
        <vt:i4>0</vt:i4>
      </vt:variant>
      <vt:variant>
        <vt:i4>5</vt:i4>
      </vt:variant>
      <vt:variant>
        <vt:lpwstr>mailto:anca.dinita@eba.europa.eu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2025-12-08T10:33:00Z</dcterms:created>
  <dcterms:modified xsi:type="dcterms:W3CDTF">2025-12-22T16:16:00Z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0x01010061D786269AE2424A8D342950147AB377</vt:lpwstr>
  </property>
</Properties>
</file>