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47BCB7E4" w:rsidR="00E114F3" w:rsidRPr="007E2C69" w:rsidRDefault="00E114F3" w:rsidP="000C3AA4">
      <w:pPr>
        <w:pStyle w:val="Annexetitre"/>
        <w:spacing w:before="0"/>
      </w:pPr>
      <w:r w:rsidRPr="007E2C69">
        <w:t xml:space="preserve">XXXII PIELIKUMS – Norādījumi par operacionālā riska informācijas </w:t>
      </w:r>
      <w:r w:rsidR="00D97E33">
        <w:br/>
      </w:r>
      <w:r w:rsidRPr="007E2C69">
        <w:t>atklāšanas veidnēm</w:t>
      </w:r>
    </w:p>
    <w:p w14:paraId="672A6659" w14:textId="77777777" w:rsidR="00E114F3" w:rsidRPr="007E2C69" w:rsidRDefault="00E114F3" w:rsidP="00E114F3">
      <w:pPr>
        <w:spacing w:after="120"/>
        <w:jc w:val="both"/>
        <w:rPr>
          <w:rFonts w:ascii="Times New Roman" w:hAnsi="Times New Roman"/>
          <w:b/>
          <w:bCs/>
          <w:sz w:val="24"/>
        </w:rPr>
      </w:pPr>
    </w:p>
    <w:p w14:paraId="384DD143" w14:textId="77777777" w:rsidR="00E114F3" w:rsidRPr="007E2C69" w:rsidRDefault="00E114F3" w:rsidP="00E114F3">
      <w:pPr>
        <w:spacing w:after="120"/>
        <w:rPr>
          <w:rFonts w:ascii="Times New Roman" w:hAnsi="Times New Roman"/>
          <w:bCs/>
          <w:sz w:val="24"/>
        </w:rPr>
      </w:pPr>
      <w:r w:rsidRPr="007E2C69">
        <w:rPr>
          <w:rFonts w:ascii="Times New Roman" w:hAnsi="Times New Roman"/>
          <w:b/>
          <w:sz w:val="24"/>
        </w:rPr>
        <w:t xml:space="preserve">ES </w:t>
      </w:r>
      <w:r w:rsidRPr="007E2C69">
        <w:rPr>
          <w:rFonts w:ascii="Times New Roman" w:hAnsi="Times New Roman"/>
          <w:b/>
          <w:i/>
          <w:iCs/>
          <w:sz w:val="24"/>
        </w:rPr>
        <w:t>ORA</w:t>
      </w:r>
      <w:r w:rsidRPr="007E2C69">
        <w:rPr>
          <w:rFonts w:ascii="Times New Roman" w:hAnsi="Times New Roman"/>
          <w:b/>
          <w:sz w:val="24"/>
        </w:rPr>
        <w:t xml:space="preserve"> tabula – Kvalitatīva informācija par operacionālo risku. </w:t>
      </w:r>
      <w:r w:rsidRPr="007E2C69">
        <w:rPr>
          <w:rFonts w:ascii="Times New Roman" w:hAnsi="Times New Roman"/>
          <w:sz w:val="24"/>
        </w:rPr>
        <w:t>Elastīga tabula</w:t>
      </w:r>
    </w:p>
    <w:p w14:paraId="2E1E5572" w14:textId="6D56D6EF" w:rsidR="00E114F3" w:rsidRPr="007E2C69" w:rsidRDefault="2A1FD4BE" w:rsidP="44B77564">
      <w:pPr>
        <w:numPr>
          <w:ilvl w:val="0"/>
          <w:numId w:val="1"/>
        </w:numPr>
        <w:spacing w:after="120"/>
        <w:jc w:val="both"/>
        <w:rPr>
          <w:rFonts w:ascii="Calibri" w:eastAsia="Times New Roman" w:hAnsi="Calibri" w:cs="Times New Roman"/>
          <w:color w:val="000000"/>
        </w:rPr>
      </w:pPr>
      <w:r w:rsidRPr="007E2C69">
        <w:rPr>
          <w:rFonts w:ascii="Times New Roman" w:hAnsi="Times New Roman"/>
          <w:sz w:val="24"/>
        </w:rPr>
        <w:t>Iestādes atklāj informāciju, kas iekļauta šajā tabulā, piemērojot Regulas (ES) Nr. 575/2013</w:t>
      </w:r>
      <w:r w:rsidR="00E114F3" w:rsidRPr="007E2C69">
        <w:rPr>
          <w:rStyle w:val="FootnoteReference"/>
          <w:rFonts w:ascii="Times New Roman" w:hAnsi="Times New Roman"/>
          <w:sz w:val="24"/>
          <w:szCs w:val="24"/>
        </w:rPr>
        <w:footnoteReference w:id="2"/>
      </w:r>
      <w:r w:rsidRPr="007E2C69">
        <w:rPr>
          <w:rFonts w:ascii="Times New Roman" w:hAnsi="Times New Roman"/>
          <w:sz w:val="24"/>
        </w:rPr>
        <w:t xml:space="preserve"> 435. panta 1. punktu, 446. panta 1. punkta a) apakšpunktu.</w:t>
      </w:r>
    </w:p>
    <w:p w14:paraId="728254AD" w14:textId="52B3E768" w:rsidR="00E114F3" w:rsidRPr="007E2C69" w:rsidRDefault="00E114F3" w:rsidP="00E114F3">
      <w:pPr>
        <w:numPr>
          <w:ilvl w:val="0"/>
          <w:numId w:val="1"/>
        </w:numPr>
        <w:spacing w:after="120"/>
        <w:jc w:val="both"/>
        <w:rPr>
          <w:rFonts w:ascii="Times New Roman" w:hAnsi="Times New Roman"/>
          <w:bCs/>
          <w:sz w:val="24"/>
        </w:rPr>
      </w:pPr>
      <w:r w:rsidRPr="007E2C69">
        <w:rPr>
          <w:rFonts w:ascii="Times New Roman" w:hAnsi="Times New Roman"/>
          <w:sz w:val="24"/>
        </w:rPr>
        <w:t>Iestādes piemēro norādījumus, kas sniegti turpmāk šajā pielikumā, lai aizpildītu EBI IT risinājumu XXXI pielikumā sniegto operacionālā riska informācijas atklāšanas tabulu ES </w:t>
      </w:r>
      <w:r w:rsidRPr="007E2C69">
        <w:rPr>
          <w:rFonts w:ascii="Times New Roman" w:hAnsi="Times New Roman"/>
          <w:i/>
          <w:iCs/>
          <w:sz w:val="24"/>
        </w:rPr>
        <w:t>ORA</w:t>
      </w:r>
      <w:r w:rsidRPr="007E2C69">
        <w:rPr>
          <w:rFonts w:ascii="Times New Roman" w:hAnsi="Times New Roman"/>
          <w:sz w:val="24"/>
        </w:rPr>
        <w:t>.</w:t>
      </w:r>
    </w:p>
    <w:tbl>
      <w:tblPr>
        <w:tblW w:w="8926" w:type="dxa"/>
        <w:tblLook w:val="04A0" w:firstRow="1" w:lastRow="0" w:firstColumn="1" w:lastColumn="0" w:noHBand="0" w:noVBand="1"/>
      </w:tblPr>
      <w:tblGrid>
        <w:gridCol w:w="1555"/>
        <w:gridCol w:w="7371"/>
      </w:tblGrid>
      <w:tr w:rsidR="00E114F3" w:rsidRPr="007E2C69"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7E2C69" w:rsidRDefault="00E114F3">
            <w:pPr>
              <w:spacing w:after="120"/>
              <w:rPr>
                <w:rFonts w:ascii="Times New Roman" w:eastAsia="Times New Roman" w:hAnsi="Times New Roman" w:cs="Times New Roman"/>
                <w:b/>
                <w:bCs/>
                <w:color w:val="000000"/>
                <w:sz w:val="24"/>
              </w:rPr>
            </w:pPr>
            <w:r w:rsidRPr="007E2C69">
              <w:rPr>
                <w:rFonts w:ascii="Times New Roman" w:hAnsi="Times New Roman"/>
                <w:b/>
                <w:color w:val="000000"/>
                <w:sz w:val="24"/>
              </w:rPr>
              <w:t>Atsauces uz tiesību aktu noteikumiem un norādījumi</w:t>
            </w:r>
          </w:p>
        </w:tc>
      </w:tr>
      <w:tr w:rsidR="00E114F3" w:rsidRPr="007E2C69"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7E2C69" w:rsidRDefault="00E114F3">
            <w:pPr>
              <w:spacing w:after="120"/>
              <w:rPr>
                <w:rFonts w:ascii="Times New Roman" w:eastAsia="Times New Roman" w:hAnsi="Times New Roman" w:cs="Times New Roman"/>
                <w:b/>
                <w:bCs/>
                <w:color w:val="000000"/>
                <w:sz w:val="24"/>
              </w:rPr>
            </w:pPr>
            <w:r w:rsidRPr="007E2C69">
              <w:rPr>
                <w:rFonts w:ascii="Times New Roman" w:hAnsi="Times New Roman"/>
                <w:b/>
                <w:color w:val="000000"/>
                <w:sz w:val="24"/>
              </w:rPr>
              <w:t>Rindas numurs</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7E2C69" w:rsidRDefault="00E114F3">
            <w:pPr>
              <w:spacing w:after="120"/>
              <w:rPr>
                <w:rFonts w:ascii="Times New Roman" w:eastAsia="Times New Roman" w:hAnsi="Times New Roman" w:cs="Times New Roman"/>
                <w:b/>
                <w:bCs/>
                <w:color w:val="000000"/>
                <w:sz w:val="24"/>
              </w:rPr>
            </w:pPr>
            <w:r w:rsidRPr="007E2C69">
              <w:rPr>
                <w:rFonts w:ascii="Times New Roman" w:hAnsi="Times New Roman"/>
                <w:b/>
                <w:color w:val="000000"/>
                <w:sz w:val="24"/>
              </w:rPr>
              <w:t>Skaidrojums</w:t>
            </w:r>
          </w:p>
        </w:tc>
      </w:tr>
      <w:tr w:rsidR="00E114F3" w:rsidRPr="007E2C69"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7E2C69" w:rsidRDefault="00E114F3">
            <w:pPr>
              <w:spacing w:after="120"/>
              <w:jc w:val="center"/>
              <w:rPr>
                <w:rFonts w:ascii="Times New Roman" w:eastAsia="Times New Roman" w:hAnsi="Times New Roman" w:cs="Times New Roman"/>
                <w:color w:val="000000"/>
                <w:sz w:val="24"/>
              </w:rPr>
            </w:pPr>
            <w:r w:rsidRPr="007E2C69">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7E2C69" w:rsidRDefault="00E114F3">
            <w:pPr>
              <w:spacing w:after="120"/>
              <w:jc w:val="both"/>
              <w:rPr>
                <w:rFonts w:ascii="Times New Roman" w:eastAsia="Times New Roman" w:hAnsi="Times New Roman" w:cs="Times New Roman"/>
                <w:b/>
                <w:color w:val="000000"/>
                <w:sz w:val="24"/>
              </w:rPr>
            </w:pPr>
            <w:r w:rsidRPr="007E2C69">
              <w:rPr>
                <w:rFonts w:ascii="Times New Roman" w:hAnsi="Times New Roman"/>
                <w:b/>
                <w:color w:val="000000"/>
                <w:sz w:val="24"/>
              </w:rPr>
              <w:t>Informācijas atklāšana par riska vadības mērķiem un politiku</w:t>
            </w:r>
          </w:p>
          <w:p w14:paraId="65684A44" w14:textId="36ED8962" w:rsidR="00E114F3" w:rsidRPr="007E2C69" w:rsidRDefault="2A1FD4BE">
            <w:pPr>
              <w:spacing w:after="120"/>
              <w:rPr>
                <w:rFonts w:ascii="Times New Roman" w:eastAsia="Times New Roman" w:hAnsi="Times New Roman" w:cs="Times New Roman"/>
                <w:color w:val="000000"/>
                <w:sz w:val="24"/>
              </w:rPr>
            </w:pPr>
            <w:r w:rsidRPr="007E2C69">
              <w:rPr>
                <w:rFonts w:ascii="Times New Roman" w:hAnsi="Times New Roman"/>
                <w:color w:val="000000" w:themeColor="text1"/>
                <w:sz w:val="24"/>
              </w:rPr>
              <w:t>Saskaņā ar Regulas (ES) Nr. 575/2013 435. panta 1. punkta a) apakšpunktu iestādes atklāj informāciju par saviem operacionālā riska pārvaldības mērķiem, politiku, sistēmām un pamatnostādnēm, tostarp par minētā riska pārvaldības stratēģijām un procesiem.</w:t>
            </w:r>
          </w:p>
        </w:tc>
      </w:tr>
      <w:tr w:rsidR="00E114F3" w:rsidRPr="007E2C69"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7E2C69" w:rsidRDefault="00E114F3">
            <w:pPr>
              <w:spacing w:after="120"/>
              <w:jc w:val="center"/>
              <w:rPr>
                <w:rFonts w:ascii="Times New Roman" w:eastAsia="Times New Roman" w:hAnsi="Times New Roman" w:cs="Times New Roman"/>
                <w:color w:val="000000"/>
                <w:sz w:val="24"/>
              </w:rPr>
            </w:pPr>
            <w:r w:rsidRPr="007E2C69">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7E2C69" w:rsidRDefault="00885AC5" w:rsidP="00885AC5">
            <w:pPr>
              <w:spacing w:before="120" w:after="120"/>
              <w:jc w:val="both"/>
              <w:rPr>
                <w:rFonts w:ascii="Times New Roman" w:eastAsia="Times New Roman" w:hAnsi="Times New Roman" w:cs="Times New Roman"/>
                <w:b/>
                <w:color w:val="000000"/>
                <w:sz w:val="24"/>
              </w:rPr>
            </w:pPr>
            <w:r w:rsidRPr="007E2C69">
              <w:rPr>
                <w:rFonts w:ascii="Times New Roman" w:hAnsi="Times New Roman"/>
                <w:b/>
                <w:color w:val="000000"/>
                <w:sz w:val="24"/>
              </w:rPr>
              <w:t>Informācijas atklāšana par operacionālā riska vadības funkcijas struktūru un organizāciju</w:t>
            </w:r>
          </w:p>
          <w:p w14:paraId="739779F0" w14:textId="092C61F0" w:rsidR="00E114F3" w:rsidRPr="007E2C69" w:rsidRDefault="00885AC5">
            <w:pPr>
              <w:spacing w:after="120"/>
              <w:jc w:val="both"/>
              <w:rPr>
                <w:rFonts w:ascii="Times New Roman" w:eastAsia="Times New Roman" w:hAnsi="Times New Roman" w:cs="Times New Roman"/>
                <w:color w:val="000000"/>
                <w:sz w:val="24"/>
              </w:rPr>
            </w:pPr>
            <w:r w:rsidRPr="007E2C69">
              <w:rPr>
                <w:rFonts w:ascii="Times New Roman" w:hAnsi="Times New Roman"/>
                <w:color w:val="000000" w:themeColor="text1"/>
                <w:sz w:val="24"/>
              </w:rPr>
              <w:t xml:space="preserve">Saskaņā ar Regulas (ES) Nr. 575/2013 435. panta 1. punkta b) apakšpunktu iestādes atklāj informāciju par operacionālā riska pārvaldības funkcijas struktūru un organizāciju, tajā skaitā informāciju par operacionālā riska pārvaldības funkcijas pilnvarojuma pamatu, tās pilnvarām un </w:t>
            </w:r>
            <w:proofErr w:type="spellStart"/>
            <w:r w:rsidRPr="007E2C69">
              <w:rPr>
                <w:rFonts w:ascii="Times New Roman" w:hAnsi="Times New Roman"/>
                <w:color w:val="000000" w:themeColor="text1"/>
                <w:sz w:val="24"/>
              </w:rPr>
              <w:t>pārskatatbildību</w:t>
            </w:r>
            <w:proofErr w:type="spellEnd"/>
            <w:r w:rsidRPr="007E2C69">
              <w:rPr>
                <w:rFonts w:ascii="Times New Roman" w:hAnsi="Times New Roman"/>
                <w:color w:val="000000" w:themeColor="text1"/>
                <w:sz w:val="24"/>
              </w:rPr>
              <w:t xml:space="preserve"> saskaņā ar iestādes dibināšanas un reglamentējošajiem dokumentiem, kā arī informāciju par kontroles funkciju.</w:t>
            </w:r>
          </w:p>
        </w:tc>
      </w:tr>
      <w:tr w:rsidR="00E114F3" w:rsidRPr="007E2C69"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7E2C69" w:rsidRDefault="00E114F3">
            <w:pPr>
              <w:spacing w:after="120"/>
              <w:jc w:val="center"/>
              <w:rPr>
                <w:rFonts w:ascii="Times New Roman" w:eastAsia="Times New Roman" w:hAnsi="Times New Roman" w:cs="Times New Roman"/>
                <w:color w:val="000000"/>
                <w:sz w:val="24"/>
              </w:rPr>
            </w:pPr>
            <w:r w:rsidRPr="007E2C69">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7E2C69" w:rsidRDefault="005129A3" w:rsidP="005129A3">
            <w:pPr>
              <w:spacing w:before="120" w:after="120"/>
              <w:jc w:val="both"/>
              <w:rPr>
                <w:rFonts w:ascii="Times New Roman" w:eastAsia="Times New Roman" w:hAnsi="Times New Roman" w:cs="Times New Roman"/>
                <w:b/>
                <w:color w:val="000000"/>
                <w:sz w:val="24"/>
              </w:rPr>
            </w:pPr>
            <w:r w:rsidRPr="007E2C69">
              <w:rPr>
                <w:rFonts w:ascii="Times New Roman" w:hAnsi="Times New Roman"/>
                <w:b/>
                <w:color w:val="000000"/>
                <w:sz w:val="24"/>
              </w:rPr>
              <w:t>Mērīšanas sistēmas darbības jomas un būtības apraksts</w:t>
            </w:r>
          </w:p>
          <w:p w14:paraId="2426746E" w14:textId="624D178E" w:rsidR="00E114F3" w:rsidRPr="007E2C69" w:rsidRDefault="005129A3">
            <w:pPr>
              <w:spacing w:after="120"/>
              <w:jc w:val="both"/>
              <w:rPr>
                <w:rFonts w:ascii="Times New Roman" w:eastAsia="Times New Roman" w:hAnsi="Times New Roman" w:cs="Times New Roman"/>
                <w:color w:val="000000"/>
                <w:sz w:val="24"/>
              </w:rPr>
            </w:pPr>
            <w:r w:rsidRPr="007E2C69">
              <w:rPr>
                <w:rFonts w:ascii="Times New Roman" w:hAnsi="Times New Roman"/>
                <w:color w:val="000000" w:themeColor="text1"/>
                <w:sz w:val="24"/>
              </w:rPr>
              <w:t>Saskaņā ar Regulas (ES) Nr. 575/2013 435. panta 1. punkta c) apakšpunktu iestādes atklāj operacionālā riska mērīšanas sistēmas darbības jomu un būtību (t. i., sistēmas un datus, ko izmanto operacionālā riska noteikšanai, lai aplēstu operacionālā riska kapitāla prasību).</w:t>
            </w:r>
          </w:p>
        </w:tc>
      </w:tr>
      <w:tr w:rsidR="00E114F3" w:rsidRPr="007E2C69"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7E2C69" w:rsidRDefault="00E114F3">
            <w:pPr>
              <w:spacing w:after="120"/>
              <w:jc w:val="center"/>
              <w:rPr>
                <w:rFonts w:ascii="Times New Roman" w:eastAsia="Times New Roman" w:hAnsi="Times New Roman" w:cs="Times New Roman"/>
                <w:color w:val="000000"/>
                <w:sz w:val="24"/>
              </w:rPr>
            </w:pPr>
            <w:r w:rsidRPr="007E2C69">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7E2C69" w:rsidRDefault="005D02AE" w:rsidP="005D02AE">
            <w:pPr>
              <w:spacing w:before="120" w:after="120"/>
              <w:jc w:val="both"/>
              <w:rPr>
                <w:rFonts w:ascii="Times New Roman" w:eastAsia="Times New Roman" w:hAnsi="Times New Roman" w:cs="Times New Roman"/>
                <w:b/>
                <w:color w:val="000000"/>
                <w:sz w:val="24"/>
              </w:rPr>
            </w:pPr>
            <w:r w:rsidRPr="007E2C69">
              <w:rPr>
                <w:rFonts w:ascii="Times New Roman" w:hAnsi="Times New Roman"/>
                <w:b/>
                <w:color w:val="000000" w:themeColor="text1"/>
                <w:sz w:val="24"/>
              </w:rPr>
              <w:t>Operacionālā riska ziņošanas sistēmas darbības jomas un būtības apraksts</w:t>
            </w:r>
          </w:p>
          <w:p w14:paraId="1EE9A69D" w14:textId="428D8604" w:rsidR="00E114F3" w:rsidRPr="007E2C69" w:rsidRDefault="005D02AE">
            <w:pPr>
              <w:spacing w:after="120"/>
              <w:jc w:val="both"/>
              <w:rPr>
                <w:rFonts w:ascii="Times New Roman" w:eastAsia="Times New Roman" w:hAnsi="Times New Roman" w:cs="Times New Roman"/>
                <w:color w:val="000000"/>
                <w:sz w:val="24"/>
              </w:rPr>
            </w:pPr>
            <w:r w:rsidRPr="007E2C69">
              <w:rPr>
                <w:rFonts w:ascii="Times New Roman" w:hAnsi="Times New Roman"/>
                <w:color w:val="000000" w:themeColor="text1"/>
                <w:sz w:val="24"/>
              </w:rPr>
              <w:t xml:space="preserve">Saskaņā ar Regulas (ES) Nr. 575/2013 435. panta 1. punkta c) apakšpunktu iestādes atklāj informāciju par operacionālā riska ziņošanas sistēmas darbības jomu un būtību </w:t>
            </w:r>
            <w:proofErr w:type="spellStart"/>
            <w:r w:rsidRPr="007E2C69">
              <w:rPr>
                <w:rFonts w:ascii="Times New Roman" w:hAnsi="Times New Roman"/>
                <w:color w:val="000000" w:themeColor="text1"/>
                <w:sz w:val="24"/>
              </w:rPr>
              <w:t>izpildvadībai</w:t>
            </w:r>
            <w:proofErr w:type="spellEnd"/>
            <w:r w:rsidRPr="007E2C69">
              <w:rPr>
                <w:rFonts w:ascii="Times New Roman" w:hAnsi="Times New Roman"/>
                <w:color w:val="000000" w:themeColor="text1"/>
                <w:sz w:val="24"/>
              </w:rPr>
              <w:t xml:space="preserve"> un Direktoru padomei.</w:t>
            </w:r>
          </w:p>
        </w:tc>
      </w:tr>
      <w:tr w:rsidR="00E5460F" w:rsidRPr="007E2C69"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7E2C69" w:rsidRDefault="00E5460F">
            <w:pPr>
              <w:spacing w:after="120"/>
              <w:jc w:val="center"/>
              <w:rPr>
                <w:rFonts w:ascii="Times New Roman" w:eastAsia="Times New Roman" w:hAnsi="Times New Roman" w:cs="Times New Roman"/>
                <w:color w:val="000000"/>
                <w:sz w:val="24"/>
              </w:rPr>
            </w:pPr>
            <w:r w:rsidRPr="007E2C69">
              <w:rPr>
                <w:rFonts w:ascii="Times New Roman" w:hAnsi="Times New Roman"/>
                <w:color w:val="000000"/>
                <w:sz w:val="24"/>
              </w:rPr>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7E2C69" w:rsidRDefault="00E25C0C" w:rsidP="00E25C0C">
            <w:pPr>
              <w:spacing w:before="120" w:after="120"/>
              <w:jc w:val="both"/>
              <w:rPr>
                <w:rFonts w:ascii="Times New Roman" w:eastAsia="Times New Roman" w:hAnsi="Times New Roman" w:cs="Times New Roman"/>
                <w:color w:val="000000"/>
                <w:sz w:val="24"/>
              </w:rPr>
            </w:pPr>
            <w:r w:rsidRPr="007E2C69">
              <w:rPr>
                <w:rFonts w:ascii="Times New Roman" w:hAnsi="Times New Roman"/>
                <w:b/>
                <w:color w:val="000000" w:themeColor="text1"/>
                <w:sz w:val="24"/>
              </w:rPr>
              <w:t>Riska mazināšanas un riska ierobežošanas politikas un stratēģiju apraksts</w:t>
            </w:r>
          </w:p>
          <w:p w14:paraId="443DC7A5" w14:textId="7D68A10D" w:rsidR="00E5460F" w:rsidRPr="007E2C69" w:rsidDel="009A4E43" w:rsidRDefault="00E25C0C" w:rsidP="00E25C0C">
            <w:pPr>
              <w:spacing w:after="120"/>
              <w:jc w:val="both"/>
              <w:rPr>
                <w:rFonts w:ascii="Times New Roman" w:eastAsia="Times New Roman" w:hAnsi="Times New Roman" w:cs="Times New Roman"/>
                <w:b/>
                <w:color w:val="000000"/>
                <w:sz w:val="24"/>
              </w:rPr>
            </w:pPr>
            <w:r w:rsidRPr="007E2C69">
              <w:rPr>
                <w:rFonts w:ascii="Times New Roman" w:hAnsi="Times New Roman"/>
                <w:color w:val="000000" w:themeColor="text1"/>
                <w:sz w:val="24"/>
              </w:rPr>
              <w:lastRenderedPageBreak/>
              <w:t>Saskaņā ar Regulas (ES) Nr. 575/2013 435. panta 1. punkta d) apakšpunktu iestādes atklāj informāciju par savu politiku un stratēģijām attiecībā uz riska mazināšanu un riska ierobežošanu, ko izmanto operacionālā riska pārvaldībā, tostarp, ja operacionālā riska mazināšana ir panākta ar politikas palīdzību (šajā gadījumā tās atklāj informāciju par politiku attiecībā uz riska kultūru, vēlmi uzņemties risku un ārpakalpojumu izmantošanu) vai ja to panāk, atsakoties no augsta riska uzņēmumiem vai izveidojot kontroles. Iestādes atklāj arī atlikušos riska darījumus, kurus absorbē pašas iestādes, vai attiecīgā gadījumā atlikušos riska darījumus, kas tiek pārvesti dažādos veidos, tostarp ar apdrošināšanas starpniecību.</w:t>
            </w:r>
          </w:p>
        </w:tc>
      </w:tr>
    </w:tbl>
    <w:p w14:paraId="0A37501D" w14:textId="77777777" w:rsidR="00E114F3" w:rsidRPr="007E2C69" w:rsidRDefault="00E114F3" w:rsidP="00E114F3">
      <w:pPr>
        <w:spacing w:after="120"/>
        <w:jc w:val="both"/>
        <w:rPr>
          <w:rFonts w:ascii="Times New Roman" w:hAnsi="Times New Roman" w:cs="Times New Roman"/>
          <w:b/>
          <w:bCs/>
          <w:sz w:val="24"/>
        </w:rPr>
      </w:pPr>
    </w:p>
    <w:p w14:paraId="73228265" w14:textId="2825D40F" w:rsidR="00E114F3" w:rsidRPr="007E2C69" w:rsidRDefault="00E114F3" w:rsidP="00E114F3">
      <w:pPr>
        <w:spacing w:after="120"/>
        <w:jc w:val="both"/>
        <w:rPr>
          <w:rFonts w:ascii="Times New Roman" w:hAnsi="Times New Roman" w:cs="Times New Roman"/>
          <w:bCs/>
          <w:sz w:val="24"/>
        </w:rPr>
      </w:pPr>
      <w:r w:rsidRPr="007E2C69">
        <w:rPr>
          <w:rFonts w:ascii="Times New Roman" w:hAnsi="Times New Roman"/>
          <w:b/>
          <w:sz w:val="24"/>
        </w:rPr>
        <w:t xml:space="preserve">Veidne ES </w:t>
      </w:r>
      <w:r w:rsidRPr="007E2C69">
        <w:rPr>
          <w:rFonts w:ascii="Times New Roman" w:hAnsi="Times New Roman"/>
          <w:b/>
          <w:i/>
          <w:iCs/>
          <w:sz w:val="24"/>
        </w:rPr>
        <w:t>OR1</w:t>
      </w:r>
      <w:r w:rsidRPr="007E2C69">
        <w:rPr>
          <w:rFonts w:ascii="Times New Roman" w:hAnsi="Times New Roman"/>
          <w:b/>
          <w:sz w:val="24"/>
        </w:rPr>
        <w:t xml:space="preserve"> – Operacionālo risku zaudējumi. </w:t>
      </w:r>
      <w:r w:rsidRPr="007E2C69">
        <w:rPr>
          <w:rFonts w:ascii="Times New Roman" w:hAnsi="Times New Roman"/>
          <w:sz w:val="24"/>
        </w:rPr>
        <w:t>Fiksēta veidne</w:t>
      </w:r>
    </w:p>
    <w:p w14:paraId="70B287DB" w14:textId="7164F419"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Iestādes atklāj informāciju, kas iekļauta veidnē ES </w:t>
      </w:r>
      <w:r w:rsidRPr="007E2C69">
        <w:rPr>
          <w:rFonts w:ascii="Times New Roman" w:hAnsi="Times New Roman"/>
          <w:i/>
          <w:iCs/>
          <w:sz w:val="24"/>
        </w:rPr>
        <w:t>OR1</w:t>
      </w:r>
      <w:r w:rsidRPr="007E2C69">
        <w:rPr>
          <w:rFonts w:ascii="Times New Roman" w:hAnsi="Times New Roman"/>
          <w:sz w:val="24"/>
        </w:rPr>
        <w:t>, piemērojot Regulas (ES) Nr. 575/2013 446. panta 2. punkta a) un b) apakšpunktu. Šis paraugs sniedz informāciju par gada darbības riska zaudējumiem, kas radušies pēdējo 10 gadu laikā, pamatojoties uz radušos zaudējumu uzskaites datumu. Šie gada operacionālā riska zaudējumi tiks aprēķināti saskaņā ar Regulas (ES) Nr. 575/2013 316. panta 1. punktu un saskaņā ar Regulas (ES) Nr. 575/2013 317. panta 2. punktu ietver visus zaudējumus, kas izriet no visām vienībām, kuras ir daļa no konsolidācijas darbības jomas, tostarp zaudējumus no apvienotiem/iegādātiem uzņēmumiem (saskaņā ar Regulas (ES) Nr. 575/2013 321. panta 1. punktu). Šī informācija tiek sniegta tiktāl, ciktāl tā ir pieejama, un, pieliekot visas pūles, līdz brīdim, kad kļūst piemērojami Regulas (ES) Nr. 575/2013 316. panta 3. punkts, 317. panta 9. punkts, 320. panta 3. punkts un 321. panta 2. punkts.</w:t>
      </w:r>
    </w:p>
    <w:p w14:paraId="0C12CA7B" w14:textId="77777777" w:rsidR="00D740B8" w:rsidRPr="007E2C69" w:rsidRDefault="00D740B8" w:rsidP="00D740B8">
      <w:pPr>
        <w:ind w:left="360"/>
        <w:jc w:val="both"/>
        <w:rPr>
          <w:rFonts w:ascii="Times New Roman" w:hAnsi="Times New Roman" w:cs="Times New Roman"/>
          <w:bCs/>
          <w:sz w:val="24"/>
        </w:rPr>
      </w:pPr>
    </w:p>
    <w:p w14:paraId="47EE9624" w14:textId="4A5B22B7" w:rsidR="00D740B8" w:rsidRPr="007E2C69" w:rsidRDefault="00D740B8" w:rsidP="00D740B8">
      <w:pPr>
        <w:numPr>
          <w:ilvl w:val="0"/>
          <w:numId w:val="1"/>
        </w:numPr>
        <w:jc w:val="both"/>
        <w:rPr>
          <w:rFonts w:ascii="Times New Roman" w:hAnsi="Times New Roman" w:cs="Times New Roman"/>
          <w:sz w:val="24"/>
        </w:rPr>
      </w:pPr>
      <w:r w:rsidRPr="007E2C69">
        <w:rPr>
          <w:rFonts w:ascii="Times New Roman" w:hAnsi="Times New Roman"/>
          <w:sz w:val="24"/>
        </w:rPr>
        <w:t>Iestādes par katru no pēdējiem 10 gadiem atklāj datus par operacionālā riska zaudējumu skaitu un neiekļauto operacionālā riska zaudējumu skaitu, operacionālā riska zaudējumu kopējo summu, atskaitot atgūtos līdzekļus, un operacionālā riska zaudējumu kopējo summu, atskaitot atgūtos līdzekļus un atskaitot izslēgtos zaudējumus. Operacionālā riska zaudējumu kopējo gada summu aprēķinās kā visu neto zaudējumu summu attiecīgajā finanšu gadā, kas aprēķināta saskaņā ar Regulas (ES) Nr. 575/2013 318. panta 1. punktu un kas ir vienāda ar zaudējumu datu robežvērtībām, kuras noteiktas attiecīgi minētās regulas 319. panta 1. vai 2. punktā, vai pārsniedz tās (tas ir 20 000 EUR un 100 000 EUR). Tomēr zaudējumus, ko izraisījis kopējs operacionālā riska notikums vai vairāki notikumi, kas saistīti ar vienu un to pašu operacionālā riska notikumu (“</w:t>
      </w:r>
      <w:proofErr w:type="spellStart"/>
      <w:r w:rsidRPr="007E2C69">
        <w:rPr>
          <w:rFonts w:ascii="Times New Roman" w:hAnsi="Times New Roman"/>
          <w:sz w:val="24"/>
        </w:rPr>
        <w:t>pirmnotikums</w:t>
      </w:r>
      <w:proofErr w:type="spellEnd"/>
      <w:r w:rsidRPr="007E2C69">
        <w:rPr>
          <w:rFonts w:ascii="Times New Roman" w:hAnsi="Times New Roman"/>
          <w:sz w:val="24"/>
        </w:rPr>
        <w:t>”), kas atzīti dažādos grāmatvedības gados, summē par pēdējiem 10 gadiem, lai noteiktu, vai informācijas atklāšanas robežvērtība ir pārsniegta. Zaudējumi un korekcijas jāatklāj, ievērojot Regulas (ES) Nr. 575/2013 317. panta 3. punkta c) apakšpunkta un 318. panta noteikumus. Šīs summas atklāj tajā gadā, kurā tās tika reģistrētas finanšu pārskatos.</w:t>
      </w:r>
    </w:p>
    <w:p w14:paraId="2702CB88" w14:textId="77777777" w:rsidR="00D740B8" w:rsidRPr="007E2C69" w:rsidRDefault="00D740B8" w:rsidP="00D740B8">
      <w:pPr>
        <w:pStyle w:val="ListParagraph"/>
        <w:rPr>
          <w:rFonts w:ascii="Times New Roman" w:hAnsi="Times New Roman"/>
          <w:bCs/>
          <w:sz w:val="24"/>
        </w:rPr>
      </w:pPr>
    </w:p>
    <w:p w14:paraId="3146DBD3" w14:textId="48F555B9"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 xml:space="preserve"> Pievienotajā aprakstā iestādes apkopotā veidā atklāj pamatojumus ārkārtas operacionālā riska notikumiem, kas tika izslēgti no gada operacionālā riska zaudējumu aprēķina saskaņā ar Regulas (ES) Nr. 575/2013 446. panta 2. punkta b) apakšpunktu.</w:t>
      </w:r>
    </w:p>
    <w:p w14:paraId="066C0912" w14:textId="77777777" w:rsidR="00D740B8" w:rsidRPr="007E2C69" w:rsidRDefault="00D740B8" w:rsidP="00D740B8">
      <w:pPr>
        <w:pStyle w:val="ListParagraph"/>
        <w:rPr>
          <w:rFonts w:ascii="Times New Roman" w:hAnsi="Times New Roman"/>
          <w:bCs/>
          <w:sz w:val="24"/>
        </w:rPr>
      </w:pPr>
    </w:p>
    <w:p w14:paraId="79A49BBA" w14:textId="5D2F1C9E"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 xml:space="preserve"> Iestādēm apkopotā veidā ir jāatklāj arī jebkura būtiska informācija, kas varētu palīdzēt lietotājiem izprast iestādes vēsturiskos zaudējumus, atgūtās summas un juridiskās rezerves, izņemot konfidenciālo un ar autortiesībām aizsargāto informāciju.</w:t>
      </w:r>
    </w:p>
    <w:p w14:paraId="3AF72482" w14:textId="77777777" w:rsidR="00D740B8" w:rsidRPr="007E2C69" w:rsidRDefault="00D740B8" w:rsidP="00D740B8">
      <w:pPr>
        <w:pStyle w:val="ListParagraph"/>
        <w:rPr>
          <w:rFonts w:ascii="Times New Roman" w:hAnsi="Times New Roman"/>
          <w:bCs/>
          <w:sz w:val="24"/>
        </w:rPr>
      </w:pPr>
    </w:p>
    <w:p w14:paraId="36406578" w14:textId="77777777" w:rsidR="00D740B8" w:rsidRPr="007E2C69"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7E2C69" w14:paraId="7E388732" w14:textId="77777777">
        <w:tc>
          <w:tcPr>
            <w:tcW w:w="1271" w:type="dxa"/>
            <w:shd w:val="clear" w:color="auto" w:fill="BFBFBF" w:themeFill="background1" w:themeFillShade="BF"/>
          </w:tcPr>
          <w:p w14:paraId="5F81890E" w14:textId="77777777" w:rsidR="00D740B8" w:rsidRPr="007E2C69" w:rsidRDefault="00D740B8">
            <w:pPr>
              <w:autoSpaceDE w:val="0"/>
              <w:autoSpaceDN w:val="0"/>
              <w:adjustRightInd w:val="0"/>
              <w:rPr>
                <w:rFonts w:ascii="Times New Roman" w:hAnsi="Times New Roman"/>
                <w:bCs/>
                <w:sz w:val="24"/>
              </w:rPr>
            </w:pPr>
            <w:r w:rsidRPr="007E2C69">
              <w:rPr>
                <w:rFonts w:ascii="Times New Roman" w:hAnsi="Times New Roman"/>
                <w:b/>
                <w:sz w:val="24"/>
              </w:rPr>
              <w:lastRenderedPageBreak/>
              <w:t>Sleja</w:t>
            </w:r>
          </w:p>
        </w:tc>
        <w:tc>
          <w:tcPr>
            <w:tcW w:w="7745" w:type="dxa"/>
            <w:shd w:val="clear" w:color="auto" w:fill="BFBFBF" w:themeFill="background1" w:themeFillShade="BF"/>
          </w:tcPr>
          <w:p w14:paraId="0773BD79" w14:textId="77777777" w:rsidR="00D740B8" w:rsidRPr="007E2C69" w:rsidRDefault="00D740B8">
            <w:pPr>
              <w:spacing w:before="60" w:after="120"/>
              <w:jc w:val="both"/>
              <w:rPr>
                <w:rFonts w:ascii="Times New Roman" w:eastAsia="Times New Roman" w:hAnsi="Times New Roman" w:cs="Times New Roman"/>
                <w:b/>
                <w:sz w:val="24"/>
              </w:rPr>
            </w:pPr>
            <w:r w:rsidRPr="007E2C69">
              <w:rPr>
                <w:rFonts w:ascii="Times New Roman" w:hAnsi="Times New Roman"/>
                <w:b/>
                <w:sz w:val="24"/>
              </w:rPr>
              <w:t>Atsauces uz tiesību aktu noteikumiem un norādījumi</w:t>
            </w:r>
          </w:p>
        </w:tc>
      </w:tr>
      <w:tr w:rsidR="00D740B8" w:rsidRPr="007E2C69" w14:paraId="4A7B0862" w14:textId="77777777">
        <w:tc>
          <w:tcPr>
            <w:tcW w:w="1271" w:type="dxa"/>
          </w:tcPr>
          <w:p w14:paraId="59A78ADD" w14:textId="77777777" w:rsidR="00D740B8" w:rsidRPr="007E2C69" w:rsidRDefault="00D740B8">
            <w:pPr>
              <w:autoSpaceDE w:val="0"/>
              <w:autoSpaceDN w:val="0"/>
              <w:adjustRightInd w:val="0"/>
              <w:jc w:val="center"/>
              <w:rPr>
                <w:rFonts w:ascii="Times New Roman" w:hAnsi="Times New Roman"/>
                <w:bCs/>
                <w:sz w:val="24"/>
              </w:rPr>
            </w:pPr>
            <w:r w:rsidRPr="007E2C69">
              <w:rPr>
                <w:rFonts w:ascii="Times New Roman" w:hAnsi="Times New Roman"/>
                <w:sz w:val="24"/>
              </w:rPr>
              <w:t>no a līdz j</w:t>
            </w:r>
          </w:p>
        </w:tc>
        <w:tc>
          <w:tcPr>
            <w:tcW w:w="7745" w:type="dxa"/>
          </w:tcPr>
          <w:p w14:paraId="0B872A50" w14:textId="77777777" w:rsidR="00D740B8" w:rsidRPr="007E2C69" w:rsidRDefault="00D740B8">
            <w:pPr>
              <w:spacing w:before="120" w:after="120"/>
              <w:jc w:val="both"/>
              <w:rPr>
                <w:rFonts w:ascii="Times New Roman" w:eastAsia="Times New Roman" w:hAnsi="Times New Roman" w:cs="Times New Roman"/>
                <w:sz w:val="24"/>
              </w:rPr>
            </w:pPr>
            <w:r w:rsidRPr="007E2C69">
              <w:rPr>
                <w:rFonts w:ascii="Times New Roman" w:hAnsi="Times New Roman"/>
                <w:b/>
                <w:sz w:val="24"/>
              </w:rPr>
              <w:t>Gads (T, T-1, T-2, T-3, T-4, T-5, T-6, T-7, T-8, T-9)</w:t>
            </w:r>
          </w:p>
          <w:p w14:paraId="5B6EF35C" w14:textId="3033D1CC" w:rsidR="00D740B8" w:rsidRPr="007E2C69" w:rsidRDefault="00D740B8">
            <w:pPr>
              <w:spacing w:before="120" w:after="120"/>
              <w:rPr>
                <w:rFonts w:ascii="Times New Roman" w:hAnsi="Times New Roman"/>
                <w:sz w:val="24"/>
              </w:rPr>
            </w:pPr>
            <w:r w:rsidRPr="007E2C69">
              <w:rPr>
                <w:rFonts w:ascii="Times New Roman" w:hAnsi="Times New Roman"/>
                <w:sz w:val="24"/>
              </w:rPr>
              <w:t xml:space="preserve">Atbilstošajā rindā norādītā vērtība par pēdējiem 10 finanšu gadiem. </w:t>
            </w:r>
          </w:p>
        </w:tc>
      </w:tr>
      <w:tr w:rsidR="00D740B8" w:rsidRPr="007E2C69" w14:paraId="7D63969A" w14:textId="77777777">
        <w:tc>
          <w:tcPr>
            <w:tcW w:w="1271" w:type="dxa"/>
          </w:tcPr>
          <w:p w14:paraId="6CFD6A05" w14:textId="77777777" w:rsidR="00D740B8" w:rsidRPr="007E2C69" w:rsidRDefault="00D740B8">
            <w:pPr>
              <w:autoSpaceDE w:val="0"/>
              <w:autoSpaceDN w:val="0"/>
              <w:adjustRightInd w:val="0"/>
              <w:jc w:val="center"/>
              <w:rPr>
                <w:rFonts w:ascii="Times New Roman" w:hAnsi="Times New Roman"/>
                <w:bCs/>
                <w:sz w:val="24"/>
              </w:rPr>
            </w:pPr>
            <w:r w:rsidRPr="007E2C69">
              <w:rPr>
                <w:rFonts w:ascii="Times New Roman" w:hAnsi="Times New Roman"/>
                <w:sz w:val="24"/>
              </w:rPr>
              <w:t>k</w:t>
            </w:r>
          </w:p>
        </w:tc>
        <w:tc>
          <w:tcPr>
            <w:tcW w:w="7745" w:type="dxa"/>
          </w:tcPr>
          <w:p w14:paraId="50D93A86" w14:textId="77777777"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10 gadu vidējais</w:t>
            </w:r>
          </w:p>
          <w:p w14:paraId="38A7187F" w14:textId="0CB464F2" w:rsidR="00D740B8" w:rsidRPr="007E2C69" w:rsidRDefault="00D740B8">
            <w:pPr>
              <w:spacing w:before="120" w:after="120"/>
              <w:rPr>
                <w:rFonts w:ascii="Times New Roman" w:hAnsi="Times New Roman"/>
                <w:bCs/>
                <w:sz w:val="24"/>
              </w:rPr>
            </w:pPr>
            <w:r w:rsidRPr="007E2C69">
              <w:rPr>
                <w:rFonts w:ascii="Times New Roman" w:hAnsi="Times New Roman"/>
                <w:sz w:val="24"/>
              </w:rPr>
              <w:t>Attiecīgajā rindā uzrādīto vērtību vidējā vērtība pēdējo 10 gadu laikā.</w:t>
            </w:r>
          </w:p>
        </w:tc>
      </w:tr>
    </w:tbl>
    <w:p w14:paraId="7095834F" w14:textId="77777777" w:rsidR="00D740B8" w:rsidRPr="007E2C69" w:rsidRDefault="00D740B8" w:rsidP="00D740B8">
      <w:pPr>
        <w:pStyle w:val="ListParagraph"/>
        <w:rPr>
          <w:rFonts w:ascii="Times New Roman" w:hAnsi="Times New Roman"/>
          <w:bCs/>
          <w:sz w:val="24"/>
        </w:rPr>
      </w:pPr>
    </w:p>
    <w:p w14:paraId="32DB6729" w14:textId="77777777" w:rsidR="00D740B8" w:rsidRPr="007E2C69" w:rsidRDefault="00D740B8" w:rsidP="00D740B8">
      <w:pPr>
        <w:pStyle w:val="ListParagraph"/>
        <w:rPr>
          <w:rFonts w:ascii="Times New Roman" w:hAnsi="Times New Roman"/>
          <w:bCs/>
          <w:sz w:val="24"/>
        </w:rPr>
      </w:pPr>
    </w:p>
    <w:p w14:paraId="2611544E" w14:textId="77777777" w:rsidR="00D740B8" w:rsidRPr="007E2C69"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7E2C69"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7E2C69" w:rsidRDefault="00D740B8">
            <w:pPr>
              <w:autoSpaceDE w:val="0"/>
              <w:autoSpaceDN w:val="0"/>
              <w:adjustRightInd w:val="0"/>
              <w:rPr>
                <w:rFonts w:ascii="Times New Roman" w:hAnsi="Times New Roman" w:cs="Times New Roman"/>
                <w:b/>
                <w:sz w:val="24"/>
              </w:rPr>
            </w:pPr>
            <w:r w:rsidRPr="007E2C69">
              <w:rPr>
                <w:rFonts w:ascii="Times New Roman" w:hAnsi="Times New Roman"/>
                <w:b/>
                <w:sz w:val="24"/>
              </w:rPr>
              <w:t>Rinda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7E2C69" w:rsidRDefault="00D740B8">
            <w:pPr>
              <w:rPr>
                <w:rFonts w:ascii="Times New Roman" w:hAnsi="Times New Roman" w:cs="Times New Roman"/>
                <w:b/>
                <w:sz w:val="24"/>
              </w:rPr>
            </w:pPr>
            <w:r w:rsidRPr="007E2C69">
              <w:rPr>
                <w:rFonts w:ascii="Times New Roman" w:hAnsi="Times New Roman"/>
                <w:b/>
                <w:sz w:val="24"/>
              </w:rPr>
              <w:t>Atsauces uz tiesību aktu noteikumiem un norādījumi</w:t>
            </w:r>
          </w:p>
        </w:tc>
      </w:tr>
      <w:tr w:rsidR="00D740B8" w:rsidRPr="007E2C69"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Kopējā operacionālā riska zaudējumu summa, atskaitot atgūtos zaudējumus (bez izņēmumiem)</w:t>
            </w:r>
          </w:p>
          <w:p w14:paraId="73A6B59F" w14:textId="42A729DD" w:rsidR="00D740B8" w:rsidRPr="007E2C69" w:rsidRDefault="00D740B8">
            <w:pPr>
              <w:spacing w:before="120" w:after="120"/>
              <w:jc w:val="both"/>
              <w:rPr>
                <w:rFonts w:ascii="Times New Roman" w:eastAsia="Times New Roman" w:hAnsi="Times New Roman" w:cs="Times New Roman"/>
                <w:sz w:val="24"/>
              </w:rPr>
            </w:pPr>
            <w:r w:rsidRPr="007E2C69">
              <w:rPr>
                <w:rFonts w:ascii="Times New Roman" w:hAnsi="Times New Roman"/>
                <w:sz w:val="24"/>
              </w:rPr>
              <w:t>Regulas (ES) Nr. 575/2013 446. panta 2. punkta a) apakšpunkts un 316. panta 1. punkts.</w:t>
            </w:r>
          </w:p>
          <w:p w14:paraId="5D929629" w14:textId="254FA976" w:rsidR="00D740B8" w:rsidRPr="007E2C69" w:rsidRDefault="002B0785">
            <w:pPr>
              <w:spacing w:before="120" w:after="120"/>
              <w:jc w:val="both"/>
              <w:rPr>
                <w:rFonts w:ascii="Times New Roman" w:eastAsia="Times New Roman" w:hAnsi="Times New Roman" w:cs="Times New Roman"/>
                <w:b/>
                <w:sz w:val="24"/>
              </w:rPr>
            </w:pPr>
            <w:r w:rsidRPr="007E2C69">
              <w:rPr>
                <w:rFonts w:ascii="Times New Roman" w:hAnsi="Times New Roman"/>
                <w:sz w:val="24"/>
              </w:rPr>
              <w:t>Rindā norāda kopējo zaudējumu summu, atskaitot atlīdzinājumus, kas izriet no zaudējumu notikumiem, kuri pārsniedz zaudējumu notikuma slieksni 20 000 EUR apmērā par katru no pēdējiem 10 pārskata periodiem, tostarp zaudējumus no apvienošanās un pārņemšanas. Zaudējumus, ko izraisījis kopējs operacionālā riska notikums vai vairāki notikumi, kas saistīti ar vienu un to pašu operacionālā riska notikumu, kuri tiek atzīti dažādos grāmatvedības gados, summē par pēdējiem 10 gadiem, lai noteiktu, vai informācijas atklāšanas robežvērtība ir vai nav pārsniegta. Gada ārkārtas operacionālā riska notikumi, kas vairs nav būtiski iestādes riska profilam, par kuriem iestāde ir saņēmusi kompetentās iestādes atļauju tos izslēgt no iestādes gada operacionālā riska zaudējumiem saskaņā ar Regulas (ES) Nr. 575/2013 320. panta 1. punktu, joprojām ir jāņem vērā, aprēķinot posteni šai rindai.</w:t>
            </w:r>
          </w:p>
        </w:tc>
      </w:tr>
      <w:tr w:rsidR="00D740B8" w:rsidRPr="007E2C69"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Kopējais operacionālā riska zaudējumu skaits</w:t>
            </w:r>
          </w:p>
          <w:p w14:paraId="2EA91375" w14:textId="28AF0058" w:rsidR="00D740B8" w:rsidRPr="007E2C69" w:rsidRDefault="00D740B8">
            <w:pPr>
              <w:spacing w:before="120" w:after="120"/>
              <w:jc w:val="both"/>
              <w:rPr>
                <w:rFonts w:ascii="Times New Roman" w:eastAsia="Times New Roman" w:hAnsi="Times New Roman" w:cs="Times New Roman"/>
                <w:sz w:val="24"/>
              </w:rPr>
            </w:pPr>
            <w:r w:rsidRPr="007E2C69">
              <w:rPr>
                <w:rFonts w:ascii="Times New Roman" w:hAnsi="Times New Roman"/>
                <w:sz w:val="24"/>
              </w:rPr>
              <w:t>Regulas (ES) Nr. 575/2013 446. panta 2. punkta a) apakšpunkts un 316. panta 1. punkts.</w:t>
            </w:r>
          </w:p>
          <w:p w14:paraId="275C478C" w14:textId="69738AFF" w:rsidR="00D740B8" w:rsidRPr="007E2C69" w:rsidRDefault="00471410">
            <w:pPr>
              <w:spacing w:before="120" w:after="120"/>
              <w:rPr>
                <w:rFonts w:ascii="Times New Roman" w:eastAsia="Times New Roman" w:hAnsi="Times New Roman" w:cs="Times New Roman"/>
                <w:sz w:val="24"/>
              </w:rPr>
            </w:pPr>
            <w:r w:rsidRPr="007E2C69">
              <w:rPr>
                <w:rFonts w:ascii="Times New Roman" w:hAnsi="Times New Roman"/>
                <w:sz w:val="24"/>
              </w:rPr>
              <w:t>Kopējais operacionālā riska zaudējumu skaits, kas pārsniedz zaudējumu notikuma robežvērtību 20 000 EUR apmērā.</w:t>
            </w:r>
          </w:p>
        </w:tc>
      </w:tr>
      <w:tr w:rsidR="00D740B8" w:rsidRPr="007E2C69"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Kopējais izslēgto operacionālo risku zaudējumu apjoms</w:t>
            </w:r>
          </w:p>
          <w:p w14:paraId="5C1A66AF" w14:textId="5CAD041D" w:rsidR="00D740B8" w:rsidRPr="007E2C69" w:rsidRDefault="00D740B8">
            <w:pPr>
              <w:spacing w:before="120" w:after="120"/>
              <w:rPr>
                <w:rFonts w:ascii="Times New Roman" w:eastAsia="Times New Roman" w:hAnsi="Times New Roman" w:cs="Times New Roman"/>
                <w:sz w:val="24"/>
              </w:rPr>
            </w:pPr>
            <w:r w:rsidRPr="007E2C69">
              <w:rPr>
                <w:rFonts w:ascii="Times New Roman" w:hAnsi="Times New Roman"/>
                <w:sz w:val="24"/>
              </w:rPr>
              <w:t>Regulas (ES) Nr. 575/2013 446. panta 2. punkta b) apakšpunkts un 320. panta 1. punkts.</w:t>
            </w:r>
          </w:p>
          <w:p w14:paraId="7BE235CA" w14:textId="7483A5B2" w:rsidR="00D740B8" w:rsidRPr="007E2C69" w:rsidRDefault="002B0785">
            <w:pPr>
              <w:spacing w:before="120" w:after="120"/>
              <w:rPr>
                <w:rFonts w:ascii="Times New Roman" w:eastAsia="Times New Roman" w:hAnsi="Times New Roman" w:cs="Times New Roman"/>
                <w:sz w:val="24"/>
              </w:rPr>
            </w:pPr>
            <w:r w:rsidRPr="007E2C69">
              <w:rPr>
                <w:rFonts w:ascii="Times New Roman" w:hAnsi="Times New Roman"/>
                <w:sz w:val="24"/>
              </w:rPr>
              <w:t>Kopējās neto zaudējumu summas, kas pārsniedz zaudējumu robežvērtību 20 000 EUR un kas tika izslēgtas saskaņā ar Regulas (ES) Nr. 575/2013 320. panta 1. punktu, par katru no pēdējiem 10 pārskata periodiem.</w:t>
            </w:r>
          </w:p>
        </w:tc>
      </w:tr>
      <w:tr w:rsidR="00D740B8" w:rsidRPr="007E2C69"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7E2C69" w:rsidRDefault="00D740B8">
            <w:pPr>
              <w:spacing w:before="12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Kopējais izslēgto operacionālā riska notikumu skaits</w:t>
            </w:r>
          </w:p>
          <w:p w14:paraId="7914E462" w14:textId="7978A3B5" w:rsidR="00D740B8" w:rsidRPr="007E2C69" w:rsidRDefault="00D740B8">
            <w:pPr>
              <w:spacing w:before="120" w:after="120"/>
              <w:rPr>
                <w:rFonts w:ascii="Times New Roman" w:eastAsia="Times New Roman" w:hAnsi="Times New Roman" w:cs="Times New Roman"/>
                <w:sz w:val="24"/>
              </w:rPr>
            </w:pPr>
            <w:r w:rsidRPr="007E2C69">
              <w:rPr>
                <w:rFonts w:ascii="Times New Roman" w:hAnsi="Times New Roman"/>
                <w:sz w:val="24"/>
              </w:rPr>
              <w:t>Regulas (ES) Nr. 575/2013 446. panta 2. punkta b) apakšpunkts un 320. panta 1. punkts.</w:t>
            </w:r>
          </w:p>
          <w:p w14:paraId="318A732C" w14:textId="242D554F" w:rsidR="00D740B8" w:rsidRPr="007E2C69" w:rsidRDefault="009D4A12">
            <w:pPr>
              <w:spacing w:before="120" w:after="120"/>
              <w:jc w:val="both"/>
              <w:rPr>
                <w:rFonts w:ascii="Times New Roman" w:eastAsia="Times New Roman" w:hAnsi="Times New Roman" w:cs="Times New Roman"/>
                <w:sz w:val="24"/>
              </w:rPr>
            </w:pPr>
            <w:r w:rsidRPr="007E2C69">
              <w:rPr>
                <w:rFonts w:ascii="Times New Roman" w:hAnsi="Times New Roman"/>
                <w:sz w:val="24"/>
              </w:rPr>
              <w:lastRenderedPageBreak/>
              <w:t xml:space="preserve">Kopējais ārkārtas operacionālā riska notikumu skaits virs zaudējumu notikuma robežvērtības 20 000 EUR apmērā, kas tika izslēgti saskaņā ar Regulas (ES) Nr. 575/2013 320. panta 1. punktu par katru no pēdējiem 10 pārskata periodiem. </w:t>
            </w:r>
          </w:p>
        </w:tc>
      </w:tr>
      <w:tr w:rsidR="00D740B8" w:rsidRPr="007E2C69"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7E2C69" w:rsidRDefault="00D740B8">
            <w:pPr>
              <w:spacing w:before="12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Kopējā operacionālā riska zaudējumu summa, atskaitot atgūtos zaudējumus un izslēgtos zaudējumus</w:t>
            </w:r>
          </w:p>
          <w:p w14:paraId="4203582A" w14:textId="7C24EBAE" w:rsidR="00D740B8" w:rsidRPr="007E2C69" w:rsidRDefault="002B0785">
            <w:pPr>
              <w:spacing w:before="120" w:after="120"/>
              <w:jc w:val="both"/>
              <w:rPr>
                <w:rFonts w:ascii="Times New Roman" w:eastAsia="Times New Roman" w:hAnsi="Times New Roman" w:cs="Times New Roman"/>
                <w:sz w:val="24"/>
              </w:rPr>
            </w:pPr>
            <w:r w:rsidRPr="007E2C69">
              <w:rPr>
                <w:rFonts w:ascii="Times New Roman" w:hAnsi="Times New Roman"/>
                <w:sz w:val="24"/>
              </w:rPr>
              <w:t>Operacionālā riska zaudējumu kopsumma, atskaitot 1. rindā atklāto atgūto summu un atskaitot 3. rindā atklātos izslēgtos zaudējumus.</w:t>
            </w:r>
          </w:p>
        </w:tc>
      </w:tr>
      <w:tr w:rsidR="00D740B8" w:rsidRPr="007E2C69"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Kopējā operacionālā riska zaudējumu summa, atskaitot atgūtos zaudējumus (bez izņēmumiem)</w:t>
            </w:r>
          </w:p>
          <w:p w14:paraId="647BDEC8" w14:textId="66617A83" w:rsidR="00D740B8" w:rsidRPr="007E2C69" w:rsidRDefault="00D740B8">
            <w:pPr>
              <w:spacing w:before="120" w:after="120"/>
              <w:jc w:val="both"/>
              <w:rPr>
                <w:rFonts w:ascii="Times New Roman" w:eastAsia="Times New Roman" w:hAnsi="Times New Roman" w:cs="Times New Roman"/>
                <w:sz w:val="24"/>
              </w:rPr>
            </w:pPr>
            <w:r w:rsidRPr="007E2C69">
              <w:rPr>
                <w:rFonts w:ascii="Times New Roman" w:hAnsi="Times New Roman"/>
                <w:sz w:val="24"/>
              </w:rPr>
              <w:t>Regulas (ES) Nr. 575/2013 446. panta 2. punkta a) apakšpunkts un 316. panta 1. punkts.</w:t>
            </w:r>
          </w:p>
          <w:p w14:paraId="7F1E94AA" w14:textId="3C3700EE" w:rsidR="00D740B8" w:rsidRPr="007E2C69" w:rsidRDefault="003D54AC">
            <w:pPr>
              <w:spacing w:before="120" w:after="120"/>
              <w:jc w:val="both"/>
              <w:rPr>
                <w:rStyle w:val="InstructionsTabelleberschrift"/>
                <w:rFonts w:ascii="Times New Roman" w:eastAsia="Times New Roman" w:hAnsi="Times New Roman"/>
                <w:bCs w:val="0"/>
                <w:sz w:val="24"/>
              </w:rPr>
            </w:pPr>
            <w:r w:rsidRPr="007E2C69">
              <w:rPr>
                <w:rFonts w:ascii="Times New Roman" w:hAnsi="Times New Roman"/>
                <w:sz w:val="24"/>
              </w:rPr>
              <w:t>Kopējā operacionālā riska zaudējumu summa, no kuras atskaitīta atlīdzinājumu summa, kas izriet no zaudējumu notikumiem, kuri pārsniedz zaudējumu notikuma robežvērtību 100 000 EUR apmērā par katru no pēdējiem 10 pārskata periodiem, tostarp zaudējumi no apvienošanās un pārņemšanas. Zaudējumus, ko izraisījis kopējs operacionālā riska notikums vai vairāki notikumi, kas saistīti ar vienu un to pašu operacionālā riska notikumu, kuri tiek atzīti dažādos grāmatvedības gados, summē par pēdējiem 10 gadiem, lai noteiktu, vai informācijas atklāšanas robežvērtība ir pārsniegta vai nav. Gada ārkārtas operacionālā riska notikumi, kas vairs nav būtiski iestādes riska profilam, par kuriem iestāde ir saņēmusi kompetentās iestādes atļauju tos izslēgt no iestādes gada operacionālā riska zaudējumiem saskaņā ar Regulas (ES) Nr. 575/2013 320. panta 1. punktu, joprojām ir jāņem vērā, aprēķinot posteni šai rindai.</w:t>
            </w:r>
          </w:p>
        </w:tc>
      </w:tr>
      <w:tr w:rsidR="00D740B8" w:rsidRPr="007E2C69"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Kopējais operacionālā riska zaudējumu skaits</w:t>
            </w:r>
          </w:p>
          <w:p w14:paraId="7AD8EE0D" w14:textId="092E19E2" w:rsidR="00D740B8" w:rsidRPr="007E2C69" w:rsidRDefault="00D740B8">
            <w:pPr>
              <w:spacing w:before="120" w:after="120"/>
              <w:jc w:val="both"/>
              <w:rPr>
                <w:rFonts w:ascii="Times New Roman" w:eastAsia="Times New Roman" w:hAnsi="Times New Roman" w:cs="Times New Roman"/>
                <w:sz w:val="24"/>
              </w:rPr>
            </w:pPr>
            <w:r w:rsidRPr="007E2C69">
              <w:rPr>
                <w:rFonts w:ascii="Times New Roman" w:hAnsi="Times New Roman"/>
                <w:sz w:val="24"/>
              </w:rPr>
              <w:t>Regulas (ES) Nr. 575/2013 446. panta 2. punkta a) apakšpunkts un 316. panta 1. punkts.</w:t>
            </w:r>
          </w:p>
          <w:p w14:paraId="6F316B8B" w14:textId="6ABB567B" w:rsidR="00D740B8" w:rsidRPr="007E2C69" w:rsidRDefault="00471410">
            <w:pPr>
              <w:spacing w:before="120" w:after="120"/>
              <w:jc w:val="both"/>
              <w:rPr>
                <w:rStyle w:val="InstructionsTabelleberschrift"/>
                <w:rFonts w:ascii="Times New Roman" w:eastAsia="Times New Roman" w:hAnsi="Times New Roman"/>
                <w:bCs w:val="0"/>
                <w:sz w:val="24"/>
              </w:rPr>
            </w:pPr>
            <w:r w:rsidRPr="007E2C69">
              <w:rPr>
                <w:rFonts w:ascii="Times New Roman" w:hAnsi="Times New Roman"/>
                <w:sz w:val="24"/>
              </w:rPr>
              <w:t>Kopējais operacionālā riska zaudējumu skaits, kas pārsniedz zaudējumu notikuma robežvērtību 100 000 EUR apmērā.</w:t>
            </w:r>
          </w:p>
        </w:tc>
      </w:tr>
      <w:tr w:rsidR="00D740B8" w:rsidRPr="007E2C69"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7E2C69" w:rsidRDefault="00D740B8">
            <w:pPr>
              <w:spacing w:before="120" w:after="120"/>
              <w:jc w:val="both"/>
              <w:rPr>
                <w:rFonts w:ascii="Times New Roman" w:eastAsia="Times New Roman" w:hAnsi="Times New Roman" w:cs="Times New Roman"/>
                <w:b/>
                <w:sz w:val="24"/>
              </w:rPr>
            </w:pPr>
            <w:r w:rsidRPr="007E2C69">
              <w:rPr>
                <w:rFonts w:ascii="Times New Roman" w:hAnsi="Times New Roman"/>
                <w:b/>
                <w:sz w:val="24"/>
              </w:rPr>
              <w:t>Kopējais izslēgto operacionālo risku zaudējumu apjoms</w:t>
            </w:r>
          </w:p>
          <w:p w14:paraId="71DECF65" w14:textId="48A395A5" w:rsidR="00D740B8" w:rsidRPr="007E2C69" w:rsidRDefault="00D740B8">
            <w:pPr>
              <w:spacing w:before="120" w:after="120"/>
              <w:rPr>
                <w:rFonts w:ascii="Times New Roman" w:eastAsia="Times New Roman" w:hAnsi="Times New Roman" w:cs="Times New Roman"/>
                <w:sz w:val="24"/>
              </w:rPr>
            </w:pPr>
            <w:r w:rsidRPr="007E2C69">
              <w:rPr>
                <w:rFonts w:ascii="Times New Roman" w:hAnsi="Times New Roman"/>
                <w:sz w:val="24"/>
              </w:rPr>
              <w:t>Regulas (ES) Nr. 575/2013 446. panta 2. punkta b) apakšpunkts un 320. panta 1. punkts.</w:t>
            </w:r>
          </w:p>
          <w:p w14:paraId="0BC74916" w14:textId="396B699A" w:rsidR="00D740B8" w:rsidRPr="007E2C69" w:rsidRDefault="003D54AC">
            <w:pPr>
              <w:spacing w:before="120" w:after="120"/>
              <w:jc w:val="both"/>
              <w:rPr>
                <w:rStyle w:val="InstructionsTabelleberschrift"/>
                <w:rFonts w:ascii="Times New Roman" w:eastAsia="Times New Roman" w:hAnsi="Times New Roman"/>
                <w:bCs w:val="0"/>
                <w:sz w:val="24"/>
              </w:rPr>
            </w:pPr>
            <w:r w:rsidRPr="007E2C69">
              <w:rPr>
                <w:rFonts w:ascii="Times New Roman" w:hAnsi="Times New Roman"/>
                <w:sz w:val="24"/>
              </w:rPr>
              <w:t>Kopējās neto zaudējumu summas, kas pārsniedz zaudējumu notikuma robežvērtību 100 000 EUR un kas izslēgtas saskaņā ar Regulas (ES) Nr. 575/2013 320. panta 1. punktu, par katru no pēdējiem 10 pārskata periodiem.</w:t>
            </w:r>
          </w:p>
        </w:tc>
      </w:tr>
      <w:tr w:rsidR="00D740B8" w:rsidRPr="007E2C69"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7E2C69" w:rsidRDefault="00D740B8">
            <w:pPr>
              <w:spacing w:before="12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Kopējais izslēgto operacionālā riska notikumu skaits</w:t>
            </w:r>
          </w:p>
          <w:p w14:paraId="2B56754D" w14:textId="46B0AAAA" w:rsidR="00D740B8" w:rsidRPr="007E2C69" w:rsidRDefault="00D740B8">
            <w:pPr>
              <w:spacing w:before="120" w:after="120"/>
              <w:rPr>
                <w:rFonts w:ascii="Times New Roman" w:eastAsia="Times New Roman" w:hAnsi="Times New Roman" w:cs="Times New Roman"/>
                <w:sz w:val="24"/>
              </w:rPr>
            </w:pPr>
            <w:r w:rsidRPr="007E2C69">
              <w:rPr>
                <w:rFonts w:ascii="Times New Roman" w:hAnsi="Times New Roman"/>
                <w:sz w:val="24"/>
              </w:rPr>
              <w:t>Regulas (ES) Nr. 575/2013 446. panta 2. punkta b) apakšpunkts un 320. panta 1. punkts.</w:t>
            </w:r>
          </w:p>
          <w:p w14:paraId="2EDEC8CA" w14:textId="252B783D" w:rsidR="00D740B8" w:rsidRPr="007E2C69" w:rsidRDefault="00471410">
            <w:pPr>
              <w:spacing w:before="120" w:after="120"/>
              <w:jc w:val="both"/>
              <w:rPr>
                <w:rStyle w:val="InstructionsTabelleberschrift"/>
                <w:rFonts w:ascii="Times New Roman" w:eastAsia="Times New Roman" w:hAnsi="Times New Roman"/>
                <w:bCs w:val="0"/>
                <w:sz w:val="24"/>
              </w:rPr>
            </w:pPr>
            <w:r w:rsidRPr="007E2C69">
              <w:rPr>
                <w:rFonts w:ascii="Times New Roman" w:hAnsi="Times New Roman"/>
                <w:sz w:val="24"/>
              </w:rPr>
              <w:t xml:space="preserve">Kopējais ārkārtas operacionālā riska notikumu skaits virs zaudējumu notikuma robežvērtības 100 000 EUR apmērā, kas tika izslēgti saskaņā ar Regulas (ES) </w:t>
            </w:r>
            <w:r w:rsidRPr="007E2C69">
              <w:rPr>
                <w:rFonts w:ascii="Times New Roman" w:hAnsi="Times New Roman"/>
                <w:sz w:val="24"/>
              </w:rPr>
              <w:lastRenderedPageBreak/>
              <w:t>Nr. 575/2013 320. panta 1. punktu par katru no pēdējiem 10 pārskata periodiem.</w:t>
            </w:r>
          </w:p>
        </w:tc>
      </w:tr>
      <w:tr w:rsidR="00D740B8" w:rsidRPr="007E2C69"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7E2C69" w:rsidRDefault="00D740B8">
            <w:pPr>
              <w:spacing w:before="12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Kopējā operacionālā riska zaudējumu summa, atskaitot atgūtos zaudējumus un izslēgtos zaudējumus</w:t>
            </w:r>
          </w:p>
          <w:p w14:paraId="65622881" w14:textId="32C07686" w:rsidR="00D740B8" w:rsidRPr="007E2C69" w:rsidRDefault="006943D3">
            <w:pPr>
              <w:spacing w:before="120" w:after="120"/>
              <w:jc w:val="both"/>
              <w:rPr>
                <w:rStyle w:val="InstructionsTabelleberschrift"/>
                <w:rFonts w:ascii="Times New Roman" w:eastAsia="Times New Roman" w:hAnsi="Times New Roman"/>
                <w:bCs w:val="0"/>
                <w:sz w:val="24"/>
              </w:rPr>
            </w:pPr>
            <w:r w:rsidRPr="007E2C69">
              <w:rPr>
                <w:rFonts w:ascii="Times New Roman" w:hAnsi="Times New Roman"/>
                <w:sz w:val="24"/>
              </w:rPr>
              <w:t>Rindā norāda operacionālā riska zaudējumu kopējo summu, no kuras atskaitīta 6. rindā uzrādītā atlīdzinājumu summa, no kuras atņemta 8. rindā atklāto izslēgto zaudējumu summa.</w:t>
            </w:r>
          </w:p>
        </w:tc>
      </w:tr>
      <w:tr w:rsidR="00D740B8" w:rsidRPr="007E2C69"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7E2C69"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7E2C69">
              <w:rPr>
                <w:rFonts w:ascii="Times New Roman" w:hAnsi="Times New Roman"/>
                <w:sz w:val="24"/>
              </w:rPr>
              <w:t>Neattiecas.</w:t>
            </w:r>
          </w:p>
        </w:tc>
      </w:tr>
      <w:tr w:rsidR="00D740B8" w:rsidRPr="007E2C69"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7E2C69" w:rsidRDefault="00D740B8">
            <w:pPr>
              <w:spacing w:before="12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Neattiecas.</w:t>
            </w:r>
          </w:p>
        </w:tc>
      </w:tr>
      <w:tr w:rsidR="00D740B8" w:rsidRPr="007E2C69"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7E2C69" w:rsidRDefault="00D740B8">
            <w:pPr>
              <w:spacing w:before="12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Neattiecas.</w:t>
            </w:r>
          </w:p>
        </w:tc>
      </w:tr>
    </w:tbl>
    <w:p w14:paraId="25A698B0" w14:textId="77777777" w:rsidR="00D740B8" w:rsidRPr="007E2C69" w:rsidRDefault="00D740B8" w:rsidP="00D740B8">
      <w:pPr>
        <w:pStyle w:val="InstructionsText2"/>
        <w:numPr>
          <w:ilvl w:val="0"/>
          <w:numId w:val="0"/>
        </w:numPr>
        <w:ind w:left="360"/>
        <w:rPr>
          <w:lang w:val="en-US"/>
        </w:rPr>
      </w:pPr>
    </w:p>
    <w:p w14:paraId="033C5861" w14:textId="77777777" w:rsidR="00D740B8" w:rsidRPr="007E2C69" w:rsidRDefault="00D740B8" w:rsidP="00D740B8">
      <w:pPr>
        <w:jc w:val="both"/>
        <w:rPr>
          <w:rFonts w:ascii="Times New Roman" w:hAnsi="Times New Roman" w:cs="Times New Roman"/>
          <w:bCs/>
          <w:sz w:val="24"/>
        </w:rPr>
      </w:pPr>
      <w:r w:rsidRPr="007E2C69">
        <w:rPr>
          <w:rFonts w:ascii="Times New Roman" w:hAnsi="Times New Roman"/>
          <w:b/>
          <w:sz w:val="24"/>
        </w:rPr>
        <w:t xml:space="preserve">Veidne ES </w:t>
      </w:r>
      <w:r w:rsidRPr="007E2C69">
        <w:rPr>
          <w:rFonts w:ascii="Times New Roman" w:hAnsi="Times New Roman"/>
          <w:b/>
          <w:i/>
          <w:iCs/>
          <w:sz w:val="24"/>
        </w:rPr>
        <w:t>OR2</w:t>
      </w:r>
      <w:r w:rsidRPr="007E2C69">
        <w:rPr>
          <w:rFonts w:ascii="Times New Roman" w:hAnsi="Times New Roman"/>
          <w:b/>
          <w:sz w:val="24"/>
        </w:rPr>
        <w:t xml:space="preserve"> – Uzņēmējdarbības rādītājs, komponenti un </w:t>
      </w:r>
      <w:proofErr w:type="spellStart"/>
      <w:r w:rsidRPr="007E2C69">
        <w:rPr>
          <w:rFonts w:ascii="Times New Roman" w:hAnsi="Times New Roman"/>
          <w:b/>
          <w:sz w:val="24"/>
        </w:rPr>
        <w:t>apakškomponenti</w:t>
      </w:r>
      <w:proofErr w:type="spellEnd"/>
      <w:r w:rsidRPr="007E2C69">
        <w:rPr>
          <w:rFonts w:ascii="Times New Roman" w:hAnsi="Times New Roman"/>
          <w:b/>
          <w:sz w:val="24"/>
        </w:rPr>
        <w:t xml:space="preserve">. </w:t>
      </w:r>
      <w:r w:rsidRPr="007E2C69">
        <w:rPr>
          <w:rFonts w:ascii="Times New Roman" w:hAnsi="Times New Roman"/>
          <w:sz w:val="24"/>
        </w:rPr>
        <w:t>Fiksēta veidne</w:t>
      </w:r>
    </w:p>
    <w:p w14:paraId="3D173CCF" w14:textId="77777777" w:rsidR="00D740B8" w:rsidRPr="007E2C69" w:rsidRDefault="00D740B8" w:rsidP="00D740B8">
      <w:pPr>
        <w:ind w:left="360"/>
        <w:jc w:val="both"/>
        <w:rPr>
          <w:rFonts w:ascii="Times New Roman" w:hAnsi="Times New Roman" w:cs="Times New Roman"/>
          <w:bCs/>
          <w:sz w:val="24"/>
        </w:rPr>
      </w:pPr>
    </w:p>
    <w:p w14:paraId="3F849430" w14:textId="414C531B"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 xml:space="preserve">Iestādes atklāj informāciju, kas iekļauta veidnē ES </w:t>
      </w:r>
      <w:r w:rsidRPr="007E2C69">
        <w:rPr>
          <w:rFonts w:ascii="Times New Roman" w:hAnsi="Times New Roman"/>
          <w:i/>
          <w:iCs/>
          <w:sz w:val="24"/>
        </w:rPr>
        <w:t>OR2</w:t>
      </w:r>
      <w:r w:rsidRPr="007E2C69">
        <w:rPr>
          <w:rFonts w:ascii="Times New Roman" w:hAnsi="Times New Roman"/>
          <w:sz w:val="24"/>
        </w:rPr>
        <w:t>, piemērojot Regulas (ES) Nr. 575/2013 446. panta 1 punkta c) un d) apakšpunktu. Šajā veidnē sniegta informācija par uzņēmējdarbības rādītāja komponenta (</w:t>
      </w:r>
      <w:r w:rsidRPr="007E2C69">
        <w:rPr>
          <w:rFonts w:ascii="Times New Roman" w:hAnsi="Times New Roman"/>
          <w:i/>
          <w:iCs/>
          <w:sz w:val="24"/>
        </w:rPr>
        <w:t>BIC</w:t>
      </w:r>
      <w:r w:rsidRPr="007E2C69">
        <w:rPr>
          <w:rFonts w:ascii="Times New Roman" w:hAnsi="Times New Roman"/>
          <w:sz w:val="24"/>
        </w:rPr>
        <w:t>) aprēķināšanu saskaņā ar Regulas (ES) Nr. 575/2013 313. pantu un par uzņēmējdarbības rādītāja (</w:t>
      </w:r>
      <w:r w:rsidRPr="007E2C69">
        <w:rPr>
          <w:rFonts w:ascii="Times New Roman" w:hAnsi="Times New Roman"/>
          <w:i/>
          <w:iCs/>
          <w:sz w:val="24"/>
        </w:rPr>
        <w:t>BI</w:t>
      </w:r>
      <w:r w:rsidRPr="007E2C69">
        <w:rPr>
          <w:rFonts w:ascii="Times New Roman" w:hAnsi="Times New Roman"/>
          <w:sz w:val="24"/>
        </w:rPr>
        <w:t xml:space="preserve">), komponentu un </w:t>
      </w:r>
      <w:proofErr w:type="spellStart"/>
      <w:r w:rsidRPr="007E2C69">
        <w:rPr>
          <w:rFonts w:ascii="Times New Roman" w:hAnsi="Times New Roman"/>
          <w:sz w:val="24"/>
        </w:rPr>
        <w:t>apakškomponentu</w:t>
      </w:r>
      <w:proofErr w:type="spellEnd"/>
      <w:r w:rsidRPr="007E2C69">
        <w:rPr>
          <w:rFonts w:ascii="Times New Roman" w:hAnsi="Times New Roman"/>
          <w:sz w:val="24"/>
        </w:rPr>
        <w:t xml:space="preserve"> aprēķināšanu saskaņā ar Regulas (ES) Nr. 575/2013 314. pantu. Turklāt šajā veidnē sniegta informācija par summām, kas izslēgtas no uzņēmējdarbības rādītāja saistībā ar atsavinātajām vienībām vai darbībām saskaņā ar 315. panta 2. punktu.</w:t>
      </w:r>
    </w:p>
    <w:p w14:paraId="5C35CEC0" w14:textId="77777777" w:rsidR="00D740B8" w:rsidRPr="007E2C69" w:rsidRDefault="00D740B8" w:rsidP="00D740B8">
      <w:pPr>
        <w:ind w:left="360"/>
        <w:jc w:val="both"/>
        <w:rPr>
          <w:rFonts w:ascii="Times New Roman" w:hAnsi="Times New Roman" w:cs="Times New Roman"/>
          <w:bCs/>
          <w:sz w:val="24"/>
        </w:rPr>
      </w:pPr>
    </w:p>
    <w:p w14:paraId="1749895F" w14:textId="07869965"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 xml:space="preserve">Iestādēm jāatklāj informācija par pēdējiem trim finanšu gadiem par attiecīgā saraksta posteņu summu, kas nepieciešama </w:t>
      </w:r>
      <w:r w:rsidRPr="007E2C69">
        <w:rPr>
          <w:rFonts w:ascii="Times New Roman" w:hAnsi="Times New Roman"/>
          <w:i/>
          <w:iCs/>
          <w:sz w:val="24"/>
        </w:rPr>
        <w:t>BI</w:t>
      </w:r>
      <w:r w:rsidRPr="007E2C69">
        <w:rPr>
          <w:rFonts w:ascii="Times New Roman" w:hAnsi="Times New Roman"/>
          <w:sz w:val="24"/>
        </w:rPr>
        <w:t xml:space="preserve"> </w:t>
      </w:r>
      <w:proofErr w:type="spellStart"/>
      <w:r w:rsidRPr="007E2C69">
        <w:rPr>
          <w:rFonts w:ascii="Times New Roman" w:hAnsi="Times New Roman"/>
          <w:sz w:val="24"/>
        </w:rPr>
        <w:t>apakškomponentu</w:t>
      </w:r>
      <w:proofErr w:type="spellEnd"/>
      <w:r w:rsidRPr="007E2C69">
        <w:rPr>
          <w:rFonts w:ascii="Times New Roman" w:hAnsi="Times New Roman"/>
          <w:sz w:val="24"/>
        </w:rPr>
        <w:t xml:space="preserve"> aprēķināšanai, kuras ietekmē operacionālā riska pašu kapitāla prasību aprēķināšanu.</w:t>
      </w:r>
    </w:p>
    <w:p w14:paraId="7B27D162" w14:textId="77777777" w:rsidR="00D740B8" w:rsidRPr="007E2C69" w:rsidRDefault="00D740B8" w:rsidP="00D740B8">
      <w:pPr>
        <w:pStyle w:val="ListParagraph"/>
        <w:rPr>
          <w:rFonts w:ascii="Times New Roman" w:hAnsi="Times New Roman"/>
          <w:bCs/>
          <w:sz w:val="24"/>
        </w:rPr>
      </w:pPr>
    </w:p>
    <w:p w14:paraId="41988E91" w14:textId="281D16EA"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Saskaņā ar Regulas (ES) Nr. 575/2013 314. panta 8. punktu, ja nav pieejami vēsturiskie dati, iestādes ziņo par perspektīvajām uzņēmējdarbības prognozēm.</w:t>
      </w:r>
    </w:p>
    <w:p w14:paraId="14A23528" w14:textId="485ED75C" w:rsidR="00D740B8" w:rsidRPr="007E2C69" w:rsidRDefault="00D740B8" w:rsidP="00D740B8">
      <w:pPr>
        <w:pStyle w:val="numberedparagraph"/>
        <w:numPr>
          <w:ilvl w:val="0"/>
          <w:numId w:val="1"/>
        </w:numPr>
        <w:rPr>
          <w:rFonts w:ascii="Times New Roman" w:hAnsi="Times New Roman" w:cs="Times New Roman"/>
          <w:sz w:val="24"/>
        </w:rPr>
      </w:pPr>
      <w:r w:rsidRPr="007E2C69">
        <w:rPr>
          <w:rFonts w:ascii="Times New Roman" w:hAnsi="Times New Roman"/>
          <w:sz w:val="24"/>
        </w:rPr>
        <w:t xml:space="preserve">Ja iestādēm ir pieejami mazāk nekā 3 gadu dati par detalizētajiem posteņiem, kas iekļauti </w:t>
      </w:r>
      <w:r w:rsidRPr="007E2C69">
        <w:rPr>
          <w:rFonts w:ascii="Times New Roman" w:hAnsi="Times New Roman"/>
          <w:i/>
          <w:iCs/>
          <w:sz w:val="24"/>
        </w:rPr>
        <w:t>BI</w:t>
      </w:r>
      <w:r w:rsidRPr="007E2C69">
        <w:rPr>
          <w:rFonts w:ascii="Times New Roman" w:hAnsi="Times New Roman"/>
          <w:sz w:val="24"/>
        </w:rPr>
        <w:t xml:space="preserve"> komponentos, pieejamie vēsturiskie dati tiek prioritāri piešķirti atbilstošajām veidnes slejām. Ja iestādēm ir pieejami tikai vēsturiski dati </w:t>
      </w:r>
      <w:r w:rsidRPr="007E2C69">
        <w:rPr>
          <w:rFonts w:ascii="Times New Roman" w:hAnsi="Times New Roman"/>
          <w:i/>
          <w:iCs/>
          <w:sz w:val="24"/>
        </w:rPr>
        <w:t>par</w:t>
      </w:r>
      <w:r w:rsidRPr="007E2C69">
        <w:rPr>
          <w:rFonts w:ascii="Times New Roman" w:hAnsi="Times New Roman"/>
          <w:sz w:val="24"/>
        </w:rPr>
        <w:t xml:space="preserve"> BI komponentiem par vienu gadu, šie dati jānorāda slejā, kas atbilst pēdējam gadam (piemēram, “pagājušais gads”). Ja tas šķiet pamatoti, uz nākotni vērstās aplēses iekļauj attiecīgi 1. un 2. gadā, līdz šie dati kļūst pieejami.</w:t>
      </w:r>
    </w:p>
    <w:p w14:paraId="2DDE0943" w14:textId="7F04DC41" w:rsidR="00D740B8" w:rsidRPr="007E2C69" w:rsidRDefault="00D740B8" w:rsidP="00D740B8">
      <w:pPr>
        <w:pStyle w:val="numberedparagraph"/>
        <w:numPr>
          <w:ilvl w:val="0"/>
          <w:numId w:val="1"/>
        </w:numPr>
        <w:rPr>
          <w:rFonts w:ascii="Times New Roman" w:hAnsi="Times New Roman" w:cs="Times New Roman"/>
          <w:sz w:val="24"/>
        </w:rPr>
      </w:pPr>
      <w:proofErr w:type="spellStart"/>
      <w:r w:rsidRPr="007E2C69">
        <w:rPr>
          <w:rFonts w:ascii="Times New Roman" w:hAnsi="Times New Roman"/>
          <w:sz w:val="24"/>
        </w:rPr>
        <w:t>Apakšposteņos</w:t>
      </w:r>
      <w:proofErr w:type="spellEnd"/>
      <w:r w:rsidRPr="007E2C69">
        <w:rPr>
          <w:rFonts w:ascii="Times New Roman" w:hAnsi="Times New Roman"/>
          <w:sz w:val="24"/>
        </w:rPr>
        <w:t>, kas ir daļa no procentu, nomas maksu, dividenžu komponenta (</w:t>
      </w:r>
      <w:r w:rsidRPr="007E2C69">
        <w:rPr>
          <w:rFonts w:ascii="Times New Roman" w:hAnsi="Times New Roman"/>
          <w:i/>
          <w:iCs/>
          <w:sz w:val="24"/>
        </w:rPr>
        <w:t>ILDC</w:t>
      </w:r>
      <w:r w:rsidRPr="007E2C69">
        <w:rPr>
          <w:rFonts w:ascii="Times New Roman" w:hAnsi="Times New Roman"/>
          <w:sz w:val="24"/>
        </w:rPr>
        <w:t xml:space="preserve">) aprēķina, iestādes neiekļauj skaitļus, kas attiecas uz tām konkrētajām meitas iestādēm, kuru </w:t>
      </w:r>
      <w:r w:rsidRPr="007E2C69">
        <w:rPr>
          <w:rFonts w:ascii="Times New Roman" w:hAnsi="Times New Roman"/>
          <w:i/>
          <w:iCs/>
          <w:sz w:val="24"/>
        </w:rPr>
        <w:t>ILDC</w:t>
      </w:r>
      <w:r w:rsidRPr="007E2C69">
        <w:rPr>
          <w:rFonts w:ascii="Times New Roman" w:hAnsi="Times New Roman"/>
          <w:sz w:val="24"/>
        </w:rPr>
        <w:t xml:space="preserve"> aprēķina atsevišķi saskaņā ar Regulas (ES) Nr. 575/2013 314. panta 3. punktu.</w:t>
      </w:r>
    </w:p>
    <w:p w14:paraId="3512454B" w14:textId="27224DC8" w:rsidR="00841A0D"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 xml:space="preserve">Iestādes </w:t>
      </w:r>
      <w:proofErr w:type="spellStart"/>
      <w:r w:rsidRPr="007E2C69">
        <w:rPr>
          <w:rFonts w:ascii="Times New Roman" w:hAnsi="Times New Roman"/>
          <w:sz w:val="24"/>
        </w:rPr>
        <w:t>apakšposteņos</w:t>
      </w:r>
      <w:proofErr w:type="spellEnd"/>
      <w:r w:rsidRPr="007E2C69">
        <w:rPr>
          <w:rFonts w:ascii="Times New Roman" w:hAnsi="Times New Roman"/>
          <w:sz w:val="24"/>
        </w:rPr>
        <w:t>, kas ir daļa no procentu, nomas maksu un dividenžu komponenta (</w:t>
      </w:r>
      <w:r w:rsidRPr="007E2C69">
        <w:rPr>
          <w:rFonts w:ascii="Times New Roman" w:hAnsi="Times New Roman"/>
          <w:i/>
          <w:iCs/>
          <w:sz w:val="24"/>
        </w:rPr>
        <w:t>ILDC</w:t>
      </w:r>
      <w:r w:rsidRPr="007E2C69">
        <w:rPr>
          <w:rFonts w:ascii="Times New Roman" w:hAnsi="Times New Roman"/>
          <w:sz w:val="24"/>
        </w:rPr>
        <w:t>) aprēķina, neiekļauj nekādus skaitļus no mazumtirdzniecības banku un/vai komercbanku darbības jomām tajos gadījumos, kad iestāde ir saņēmusi atļauju piemērot Regulas (ES) Nr. 575/2013 314. panta 4. punktu.</w:t>
      </w:r>
    </w:p>
    <w:p w14:paraId="22AE3E22" w14:textId="77777777" w:rsidR="00841A0D" w:rsidRPr="007E2C69" w:rsidRDefault="00841A0D" w:rsidP="00841A0D">
      <w:pPr>
        <w:ind w:left="360"/>
        <w:jc w:val="both"/>
        <w:rPr>
          <w:rFonts w:ascii="Times New Roman" w:hAnsi="Times New Roman" w:cs="Times New Roman"/>
          <w:bCs/>
          <w:sz w:val="24"/>
        </w:rPr>
      </w:pPr>
    </w:p>
    <w:p w14:paraId="3A161EFD" w14:textId="7882B43A" w:rsidR="00D740B8" w:rsidRPr="007E2C69" w:rsidRDefault="003826D3" w:rsidP="00D740B8">
      <w:pPr>
        <w:numPr>
          <w:ilvl w:val="0"/>
          <w:numId w:val="1"/>
        </w:numPr>
        <w:jc w:val="both"/>
        <w:rPr>
          <w:rFonts w:ascii="Times New Roman" w:hAnsi="Times New Roman" w:cs="Times New Roman"/>
          <w:bCs/>
          <w:sz w:val="24"/>
        </w:rPr>
      </w:pPr>
      <w:r w:rsidRPr="007E2C69">
        <w:rPr>
          <w:rFonts w:ascii="Times New Roman" w:hAnsi="Times New Roman"/>
          <w:sz w:val="24"/>
        </w:rPr>
        <w:t xml:space="preserve">Tomēr iestādes 1. rindā uzrāda kopējo </w:t>
      </w:r>
      <w:r w:rsidRPr="007E2C69">
        <w:rPr>
          <w:rFonts w:ascii="Times New Roman" w:hAnsi="Times New Roman"/>
          <w:i/>
          <w:iCs/>
          <w:sz w:val="24"/>
        </w:rPr>
        <w:t>ILDC</w:t>
      </w:r>
      <w:r w:rsidRPr="007E2C69">
        <w:rPr>
          <w:rFonts w:ascii="Times New Roman" w:hAnsi="Times New Roman"/>
          <w:sz w:val="24"/>
        </w:rPr>
        <w:t xml:space="preserve"> summu, tostarp summas, kas aprēķinātas saskaņā ar Regulas (ES) Nr. 575/2013 314. panta 3. punktu. ES 1. rindā norāda arī </w:t>
      </w:r>
      <w:r w:rsidRPr="007E2C69">
        <w:rPr>
          <w:rFonts w:ascii="Times New Roman" w:hAnsi="Times New Roman"/>
          <w:i/>
          <w:iCs/>
          <w:sz w:val="24"/>
        </w:rPr>
        <w:t>ILDC</w:t>
      </w:r>
      <w:r w:rsidRPr="007E2C69">
        <w:rPr>
          <w:rFonts w:ascii="Times New Roman" w:hAnsi="Times New Roman"/>
          <w:sz w:val="24"/>
        </w:rPr>
        <w:t>, izņemot vienības, kas ņemtas vērā saskaņā ar 314. panta 3. punktu.</w:t>
      </w:r>
    </w:p>
    <w:p w14:paraId="7DAFACF8" w14:textId="77777777" w:rsidR="00D740B8" w:rsidRPr="007E2C69" w:rsidRDefault="00D740B8" w:rsidP="00D740B8">
      <w:pPr>
        <w:ind w:left="360"/>
        <w:jc w:val="both"/>
        <w:rPr>
          <w:rFonts w:ascii="Times New Roman" w:hAnsi="Times New Roman" w:cs="Times New Roman"/>
          <w:bCs/>
          <w:sz w:val="24"/>
        </w:rPr>
      </w:pPr>
    </w:p>
    <w:p w14:paraId="578B96DC" w14:textId="494916C5" w:rsidR="00D740B8" w:rsidRPr="007E2C69" w:rsidRDefault="00D740B8" w:rsidP="00D740B8">
      <w:pPr>
        <w:numPr>
          <w:ilvl w:val="0"/>
          <w:numId w:val="1"/>
        </w:numPr>
        <w:jc w:val="both"/>
        <w:rPr>
          <w:rFonts w:ascii="Times New Roman" w:hAnsi="Times New Roman" w:cs="Times New Roman"/>
          <w:bCs/>
          <w:sz w:val="24"/>
        </w:rPr>
      </w:pPr>
      <w:r w:rsidRPr="007E2C69">
        <w:rPr>
          <w:rFonts w:ascii="Times New Roman" w:hAnsi="Times New Roman"/>
          <w:sz w:val="24"/>
        </w:rPr>
        <w:t>Papildus aprakstā saskaņā ar Regulas (ES) Nr. 575/2013 446. panta 1. punktu iestādes atklāj pamatojumu katram izņēmumam no uzņēmējdarbības rādītāja, izņemot izņēmumu attiecībā uz mazumtirdzniecības un komercdarbības jomām, kas aplūkotas 314. panta 4. punktā.</w:t>
      </w:r>
    </w:p>
    <w:p w14:paraId="22C673C4" w14:textId="77777777" w:rsidR="00393FEF" w:rsidRPr="007E2C69" w:rsidRDefault="00393FEF" w:rsidP="00532CFA">
      <w:pPr>
        <w:pStyle w:val="ListParagraph"/>
        <w:rPr>
          <w:rFonts w:ascii="Times New Roman" w:hAnsi="Times New Roman"/>
          <w:bCs/>
          <w:sz w:val="24"/>
        </w:rPr>
      </w:pPr>
    </w:p>
    <w:p w14:paraId="7DD11602" w14:textId="2BC0B288" w:rsidR="00393FEF" w:rsidRPr="007E2C69" w:rsidRDefault="006020C0" w:rsidP="00D740B8">
      <w:pPr>
        <w:numPr>
          <w:ilvl w:val="0"/>
          <w:numId w:val="1"/>
        </w:numPr>
        <w:jc w:val="both"/>
        <w:rPr>
          <w:rFonts w:ascii="Times New Roman" w:hAnsi="Times New Roman" w:cs="Times New Roman"/>
          <w:bCs/>
          <w:sz w:val="24"/>
        </w:rPr>
      </w:pPr>
      <w:r w:rsidRPr="007E2C69">
        <w:rPr>
          <w:rFonts w:ascii="Times New Roman" w:hAnsi="Times New Roman"/>
          <w:sz w:val="24"/>
        </w:rPr>
        <w:t>Ņemot vērā ciešo saikni starp operacionālā riska informācijas atklāšanas prasībām un iestādes finanšu pārskatiem, atsauces uz ziņošanas prasībām, kas atspoguļotas EBI IT risinājumu (</w:t>
      </w:r>
      <w:r w:rsidRPr="007E2C69">
        <w:rPr>
          <w:rFonts w:ascii="Times New Roman" w:hAnsi="Times New Roman"/>
          <w:i/>
          <w:iCs/>
          <w:sz w:val="24"/>
        </w:rPr>
        <w:t>FINREP</w:t>
      </w:r>
      <w:r w:rsidRPr="007E2C69">
        <w:rPr>
          <w:rFonts w:ascii="Times New Roman" w:hAnsi="Times New Roman"/>
          <w:sz w:val="24"/>
        </w:rPr>
        <w:t>) V pielikumā, ir atspoguļotas visos norādījumos.</w:t>
      </w:r>
    </w:p>
    <w:p w14:paraId="1D4913E2" w14:textId="77777777" w:rsidR="00DD1D82" w:rsidRPr="007E2C69" w:rsidRDefault="00DD1D82" w:rsidP="00DD1D82">
      <w:pPr>
        <w:pStyle w:val="ListParagraph"/>
        <w:rPr>
          <w:rFonts w:ascii="Times New Roman" w:hAnsi="Times New Roman"/>
          <w:bCs/>
          <w:sz w:val="24"/>
        </w:rPr>
      </w:pPr>
    </w:p>
    <w:p w14:paraId="11E51AFD" w14:textId="3D720718" w:rsidR="00DD1D82" w:rsidRPr="007E2C69" w:rsidRDefault="00050ABA" w:rsidP="001257B6">
      <w:pPr>
        <w:numPr>
          <w:ilvl w:val="0"/>
          <w:numId w:val="1"/>
        </w:numPr>
        <w:jc w:val="both"/>
        <w:rPr>
          <w:rFonts w:ascii="Times New Roman" w:hAnsi="Times New Roman" w:cs="Times New Roman"/>
          <w:bCs/>
          <w:sz w:val="24"/>
        </w:rPr>
      </w:pPr>
      <w:r w:rsidRPr="007E2C69">
        <w:rPr>
          <w:rFonts w:ascii="Times New Roman" w:hAnsi="Times New Roman"/>
          <w:sz w:val="24"/>
        </w:rPr>
        <w:t>Zīmju principi šīs veidnes aizpildīšanai atbilst principiem, kas atspoguļoti EBI IT risinājumu V pielikumā.</w:t>
      </w:r>
    </w:p>
    <w:p w14:paraId="21275E00" w14:textId="77777777" w:rsidR="00D740B8" w:rsidRPr="007E2C69"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7E2C69" w14:paraId="069EA903" w14:textId="77777777">
        <w:trPr>
          <w:trHeight w:val="300"/>
        </w:trPr>
        <w:tc>
          <w:tcPr>
            <w:tcW w:w="1260" w:type="dxa"/>
            <w:shd w:val="clear" w:color="auto" w:fill="BFBFBF" w:themeFill="background1" w:themeFillShade="BF"/>
          </w:tcPr>
          <w:p w14:paraId="7E4DE4F0" w14:textId="77777777" w:rsidR="00D740B8" w:rsidRPr="007E2C69" w:rsidRDefault="00D740B8">
            <w:pPr>
              <w:autoSpaceDE w:val="0"/>
              <w:autoSpaceDN w:val="0"/>
              <w:adjustRightInd w:val="0"/>
              <w:rPr>
                <w:rFonts w:ascii="Times New Roman" w:hAnsi="Times New Roman" w:cs="Times New Roman"/>
                <w:b/>
                <w:sz w:val="24"/>
              </w:rPr>
            </w:pPr>
            <w:r w:rsidRPr="007E2C69">
              <w:rPr>
                <w:rFonts w:ascii="Times New Roman" w:hAnsi="Times New Roman"/>
                <w:b/>
                <w:sz w:val="24"/>
              </w:rPr>
              <w:t>Sleja</w:t>
            </w:r>
          </w:p>
        </w:tc>
        <w:tc>
          <w:tcPr>
            <w:tcW w:w="7756" w:type="dxa"/>
            <w:shd w:val="clear" w:color="auto" w:fill="BFBFBF" w:themeFill="background1" w:themeFillShade="BF"/>
          </w:tcPr>
          <w:p w14:paraId="0D54BB35" w14:textId="77777777" w:rsidR="00D740B8" w:rsidRPr="007E2C69" w:rsidDel="00B46ADB" w:rsidRDefault="00D740B8">
            <w:pPr>
              <w:autoSpaceDE w:val="0"/>
              <w:autoSpaceDN w:val="0"/>
              <w:adjustRightInd w:val="0"/>
              <w:rPr>
                <w:bCs/>
              </w:rPr>
            </w:pPr>
            <w:r w:rsidRPr="007E2C69">
              <w:rPr>
                <w:rFonts w:ascii="Times New Roman" w:hAnsi="Times New Roman"/>
                <w:b/>
                <w:sz w:val="24"/>
              </w:rPr>
              <w:t>Atsauces uz tiesību aktu noteikumiem un norādījumi</w:t>
            </w:r>
          </w:p>
        </w:tc>
      </w:tr>
      <w:tr w:rsidR="00D740B8" w:rsidRPr="007E2C69" w14:paraId="7AE7216D" w14:textId="77777777">
        <w:trPr>
          <w:trHeight w:val="300"/>
        </w:trPr>
        <w:tc>
          <w:tcPr>
            <w:tcW w:w="1260" w:type="dxa"/>
          </w:tcPr>
          <w:p w14:paraId="0FC699E1" w14:textId="0D76C831" w:rsidR="00D740B8" w:rsidRPr="007E2C69" w:rsidRDefault="00D740B8" w:rsidP="00165BEF">
            <w:pPr>
              <w:autoSpaceDE w:val="0"/>
              <w:autoSpaceDN w:val="0"/>
              <w:adjustRightInd w:val="0"/>
              <w:jc w:val="center"/>
              <w:rPr>
                <w:rFonts w:ascii="Times New Roman" w:hAnsi="Times New Roman"/>
                <w:bCs/>
                <w:sz w:val="24"/>
              </w:rPr>
            </w:pPr>
            <w:r w:rsidRPr="007E2C69">
              <w:rPr>
                <w:rFonts w:ascii="Times New Roman" w:hAnsi="Times New Roman"/>
                <w:sz w:val="24"/>
              </w:rPr>
              <w:t>a, b, c</w:t>
            </w:r>
          </w:p>
        </w:tc>
        <w:tc>
          <w:tcPr>
            <w:tcW w:w="7756" w:type="dxa"/>
          </w:tcPr>
          <w:p w14:paraId="510A12A5" w14:textId="13FB6D98" w:rsidR="00D740B8" w:rsidRPr="007E2C69" w:rsidRDefault="00D740B8">
            <w:pPr>
              <w:autoSpaceDE w:val="0"/>
              <w:autoSpaceDN w:val="0"/>
              <w:adjustRightInd w:val="0"/>
              <w:rPr>
                <w:rStyle w:val="InstructionsTabelleberschrift"/>
                <w:rFonts w:ascii="Times New Roman" w:hAnsi="Times New Roman"/>
                <w:sz w:val="24"/>
                <w:u w:val="none"/>
              </w:rPr>
            </w:pPr>
            <w:r w:rsidRPr="007E2C69">
              <w:rPr>
                <w:rStyle w:val="InstructionsTabelleberschrift"/>
                <w:rFonts w:ascii="Times New Roman" w:hAnsi="Times New Roman"/>
                <w:sz w:val="24"/>
                <w:u w:val="none"/>
              </w:rPr>
              <w:t>Vērtība</w:t>
            </w:r>
          </w:p>
          <w:p w14:paraId="0A7A2FD7" w14:textId="77777777" w:rsidR="00D740B8" w:rsidRPr="007E2C69" w:rsidRDefault="00D740B8">
            <w:pPr>
              <w:rPr>
                <w:rFonts w:ascii="Times New Roman" w:hAnsi="Times New Roman"/>
                <w:sz w:val="24"/>
                <w:lang w:eastAsia="de-DE"/>
              </w:rPr>
            </w:pPr>
          </w:p>
          <w:p w14:paraId="0C8A142A" w14:textId="4CAB13C5" w:rsidR="00D740B8" w:rsidRPr="007E2C69" w:rsidRDefault="00D740B8">
            <w:pPr>
              <w:autoSpaceDE w:val="0"/>
              <w:autoSpaceDN w:val="0"/>
              <w:adjustRightInd w:val="0"/>
              <w:rPr>
                <w:rFonts w:ascii="Times New Roman" w:hAnsi="Times New Roman" w:cs="Times New Roman"/>
                <w:bCs/>
                <w:sz w:val="24"/>
              </w:rPr>
            </w:pPr>
            <w:r w:rsidRPr="007E2C69">
              <w:rPr>
                <w:rFonts w:ascii="Times New Roman" w:hAnsi="Times New Roman"/>
                <w:sz w:val="24"/>
              </w:rPr>
              <w:t>Regulas (ES) Nr. 575/2013 446. panta 1. punkta d) apakšpunkts un 314. panta 1. punkts.</w:t>
            </w:r>
          </w:p>
          <w:p w14:paraId="7883915F" w14:textId="77777777" w:rsidR="00D740B8" w:rsidRPr="007E2C69" w:rsidRDefault="00D740B8">
            <w:pPr>
              <w:autoSpaceDE w:val="0"/>
              <w:autoSpaceDN w:val="0"/>
              <w:adjustRightInd w:val="0"/>
              <w:rPr>
                <w:rFonts w:ascii="Times New Roman" w:hAnsi="Times New Roman"/>
                <w:bCs/>
                <w:sz w:val="24"/>
                <w:lang w:eastAsia="nl-BE"/>
              </w:rPr>
            </w:pPr>
          </w:p>
          <w:p w14:paraId="558CD9DA" w14:textId="2FA81485" w:rsidR="00EA10B1" w:rsidRPr="007E2C69" w:rsidRDefault="002F3CFA">
            <w:pPr>
              <w:pStyle w:val="paragraph"/>
              <w:spacing w:before="0" w:beforeAutospacing="0" w:after="0" w:afterAutospacing="0"/>
              <w:textAlignment w:val="baseline"/>
            </w:pPr>
            <w:r w:rsidRPr="007E2C69">
              <w:t xml:space="preserve">To posteņu saraksta vērtība, kas ir daļa no </w:t>
            </w:r>
            <w:r w:rsidRPr="007E2C69">
              <w:rPr>
                <w:i/>
                <w:iCs/>
              </w:rPr>
              <w:t>BI</w:t>
            </w:r>
            <w:r w:rsidRPr="007E2C69">
              <w:t xml:space="preserve"> un tā sastāvdaļu aprēķina (</w:t>
            </w:r>
            <w:r w:rsidRPr="007E2C69">
              <w:rPr>
                <w:i/>
                <w:iCs/>
              </w:rPr>
              <w:t>ILDC</w:t>
            </w:r>
            <w:r w:rsidRPr="007E2C69">
              <w:t>, pakalpojumu komponents (</w:t>
            </w:r>
            <w:r w:rsidRPr="007E2C69">
              <w:rPr>
                <w:i/>
                <w:iCs/>
              </w:rPr>
              <w:t>SC</w:t>
            </w:r>
            <w:r w:rsidRPr="007E2C69">
              <w:t>) un finanšu komponents (</w:t>
            </w:r>
            <w:r w:rsidRPr="007E2C69">
              <w:rPr>
                <w:i/>
                <w:iCs/>
              </w:rPr>
              <w:t>FC</w:t>
            </w:r>
            <w:r w:rsidRPr="007E2C69">
              <w:t>) aprēķins) saskaņā ar grāmatvedības standartiem, kas piemērojami katrā no pēdējiem trim finanšu gadiem.</w:t>
            </w:r>
          </w:p>
          <w:p w14:paraId="3414DDFE" w14:textId="77777777" w:rsidR="007B3E62" w:rsidRPr="007E2C69" w:rsidRDefault="007B3E62">
            <w:pPr>
              <w:pStyle w:val="paragraph"/>
              <w:spacing w:before="0" w:beforeAutospacing="0" w:after="0" w:afterAutospacing="0"/>
              <w:textAlignment w:val="baseline"/>
              <w:rPr>
                <w:lang w:eastAsia="de-DE"/>
              </w:rPr>
            </w:pPr>
          </w:p>
          <w:p w14:paraId="374E1BCA" w14:textId="5E2803E9" w:rsidR="007B3E62" w:rsidRPr="007E2C69" w:rsidRDefault="00B76B25">
            <w:pPr>
              <w:pStyle w:val="paragraph"/>
              <w:spacing w:before="0" w:beforeAutospacing="0" w:after="0" w:afterAutospacing="0"/>
              <w:textAlignment w:val="baseline"/>
            </w:pPr>
            <w:r w:rsidRPr="007E2C69">
              <w:t>Summas jānorāda pēc korekciju piemērošanas saistībā ar apvienošanos/iegādi un atsavinātajām darbībām.</w:t>
            </w:r>
          </w:p>
          <w:p w14:paraId="00BACA37" w14:textId="77777777" w:rsidR="00EA10B1" w:rsidRPr="007E2C69" w:rsidRDefault="00EA10B1">
            <w:pPr>
              <w:pStyle w:val="paragraph"/>
              <w:spacing w:before="0" w:beforeAutospacing="0" w:after="0" w:afterAutospacing="0"/>
              <w:textAlignment w:val="baseline"/>
              <w:rPr>
                <w:lang w:eastAsia="de-DE"/>
              </w:rPr>
            </w:pPr>
          </w:p>
          <w:p w14:paraId="21635601" w14:textId="1A8DE566" w:rsidR="00D740B8" w:rsidRPr="007E2C69" w:rsidRDefault="00D740B8" w:rsidP="000F6C61">
            <w:pPr>
              <w:pStyle w:val="paragraph"/>
              <w:spacing w:before="0" w:beforeAutospacing="0" w:after="0" w:afterAutospacing="0"/>
              <w:textAlignment w:val="baseline"/>
            </w:pPr>
            <w:r w:rsidRPr="007E2C69">
              <w:t xml:space="preserve">FC atklājamās vērtības atspoguļos uzskaites vērtības, kas noteiktas, izmantojot grāmatvedības </w:t>
            </w:r>
            <w:proofErr w:type="spellStart"/>
            <w:r w:rsidRPr="007E2C69">
              <w:t>drobežu</w:t>
            </w:r>
            <w:proofErr w:type="spellEnd"/>
            <w:r w:rsidRPr="007E2C69">
              <w:t xml:space="preserve"> vai </w:t>
            </w:r>
            <w:proofErr w:type="spellStart"/>
            <w:r w:rsidRPr="007E2C69">
              <w:t>prudenciālo</w:t>
            </w:r>
            <w:proofErr w:type="spellEnd"/>
            <w:r w:rsidRPr="007E2C69">
              <w:t xml:space="preserve"> robežu (</w:t>
            </w:r>
            <w:r w:rsidRPr="007E2C69">
              <w:rPr>
                <w:i/>
                <w:iCs/>
              </w:rPr>
              <w:t>PBA</w:t>
            </w:r>
            <w:r w:rsidRPr="007E2C69">
              <w:t>), lai identificētu tirdzniecības portfeļa un bankas portfeļa posteņus par katru no pēdējiem trim finanšu gadiem saskaņā ar Regulas (ES) Nr. 575/2013 314. panta 6. punktu.</w:t>
            </w:r>
          </w:p>
        </w:tc>
      </w:tr>
      <w:tr w:rsidR="00D740B8" w:rsidRPr="007E2C69" w14:paraId="3103AD05" w14:textId="77777777">
        <w:trPr>
          <w:trHeight w:val="300"/>
        </w:trPr>
        <w:tc>
          <w:tcPr>
            <w:tcW w:w="1260" w:type="dxa"/>
          </w:tcPr>
          <w:p w14:paraId="0FFA543A" w14:textId="77777777" w:rsidR="00D740B8" w:rsidRPr="007E2C69" w:rsidRDefault="00D740B8" w:rsidP="00165BEF">
            <w:pPr>
              <w:autoSpaceDE w:val="0"/>
              <w:autoSpaceDN w:val="0"/>
              <w:adjustRightInd w:val="0"/>
              <w:jc w:val="center"/>
              <w:rPr>
                <w:rFonts w:ascii="Times New Roman" w:hAnsi="Times New Roman"/>
                <w:bCs/>
                <w:sz w:val="24"/>
              </w:rPr>
            </w:pPr>
            <w:r w:rsidRPr="007E2C69">
              <w:rPr>
                <w:rFonts w:ascii="Times New Roman" w:hAnsi="Times New Roman"/>
                <w:sz w:val="24"/>
              </w:rPr>
              <w:t>d</w:t>
            </w:r>
          </w:p>
        </w:tc>
        <w:tc>
          <w:tcPr>
            <w:tcW w:w="7756" w:type="dxa"/>
          </w:tcPr>
          <w:p w14:paraId="117DF1D7" w14:textId="77777777" w:rsidR="00D740B8" w:rsidRPr="007E2C69" w:rsidRDefault="00D740B8">
            <w:pPr>
              <w:autoSpaceDE w:val="0"/>
              <w:autoSpaceDN w:val="0"/>
              <w:adjustRightInd w:val="0"/>
              <w:rPr>
                <w:rStyle w:val="InstructionsTabelleberschrift"/>
                <w:rFonts w:ascii="Times New Roman" w:hAnsi="Times New Roman"/>
                <w:sz w:val="24"/>
                <w:u w:val="none"/>
              </w:rPr>
            </w:pPr>
            <w:r w:rsidRPr="007E2C69">
              <w:rPr>
                <w:rStyle w:val="InstructionsTabelleberschrift"/>
                <w:rFonts w:ascii="Times New Roman" w:hAnsi="Times New Roman"/>
                <w:sz w:val="24"/>
                <w:u w:val="none"/>
              </w:rPr>
              <w:t>Vidējās vērtības</w:t>
            </w:r>
          </w:p>
          <w:p w14:paraId="27B3847F" w14:textId="77777777" w:rsidR="00D740B8" w:rsidRPr="007E2C69" w:rsidRDefault="00D740B8">
            <w:pPr>
              <w:autoSpaceDE w:val="0"/>
              <w:autoSpaceDN w:val="0"/>
              <w:adjustRightInd w:val="0"/>
              <w:rPr>
                <w:rFonts w:ascii="Times New Roman" w:hAnsi="Times New Roman"/>
                <w:sz w:val="24"/>
                <w:lang w:eastAsia="de-DE"/>
              </w:rPr>
            </w:pPr>
          </w:p>
          <w:p w14:paraId="2CEEC93D" w14:textId="277817D6" w:rsidR="00D740B8" w:rsidRPr="007E2C69" w:rsidRDefault="00D740B8">
            <w:pPr>
              <w:autoSpaceDE w:val="0"/>
              <w:autoSpaceDN w:val="0"/>
              <w:adjustRightInd w:val="0"/>
              <w:rPr>
                <w:rFonts w:ascii="Times New Roman" w:hAnsi="Times New Roman" w:cs="Times New Roman"/>
                <w:bCs/>
                <w:sz w:val="24"/>
              </w:rPr>
            </w:pPr>
            <w:r w:rsidRPr="007E2C69">
              <w:rPr>
                <w:rFonts w:ascii="Times New Roman" w:hAnsi="Times New Roman"/>
                <w:sz w:val="24"/>
              </w:rPr>
              <w:t>Regulas (ES) Nr. 575/2013 314. panta 2., 5. un 6. punkts.</w:t>
            </w:r>
          </w:p>
          <w:p w14:paraId="5FAAFF7A" w14:textId="77777777" w:rsidR="00D740B8" w:rsidRPr="007E2C69" w:rsidRDefault="00D740B8">
            <w:pPr>
              <w:autoSpaceDE w:val="0"/>
              <w:autoSpaceDN w:val="0"/>
              <w:adjustRightInd w:val="0"/>
              <w:rPr>
                <w:rStyle w:val="InstructionsTabelleberschrift"/>
                <w:rFonts w:ascii="Times New Roman" w:hAnsi="Times New Roman"/>
                <w:sz w:val="24"/>
              </w:rPr>
            </w:pPr>
          </w:p>
          <w:p w14:paraId="3E17CEC0" w14:textId="402AFA6E" w:rsidR="00D740B8" w:rsidRPr="007E2C69" w:rsidRDefault="00D740B8">
            <w:pPr>
              <w:pStyle w:val="paragraph"/>
              <w:spacing w:before="0" w:beforeAutospacing="0" w:after="0" w:afterAutospacing="0"/>
              <w:textAlignment w:val="baseline"/>
              <w:rPr>
                <w:rStyle w:val="normaltextrun"/>
              </w:rPr>
            </w:pPr>
            <w:r w:rsidRPr="007E2C69">
              <w:rPr>
                <w:rStyle w:val="normaltextrun"/>
              </w:rPr>
              <w:t xml:space="preserve">Komponentu </w:t>
            </w:r>
            <w:r w:rsidRPr="007E2C69">
              <w:rPr>
                <w:rStyle w:val="normaltextrun"/>
                <w:i/>
                <w:iCs/>
              </w:rPr>
              <w:t>ILDC</w:t>
            </w:r>
            <w:r w:rsidRPr="007E2C69">
              <w:rPr>
                <w:rStyle w:val="normaltextrun"/>
              </w:rPr>
              <w:t xml:space="preserve">, </w:t>
            </w:r>
            <w:r w:rsidRPr="007E2C69">
              <w:rPr>
                <w:rStyle w:val="normaltextrun"/>
                <w:i/>
                <w:iCs/>
              </w:rPr>
              <w:t>SC</w:t>
            </w:r>
            <w:r w:rsidRPr="007E2C69">
              <w:rPr>
                <w:rStyle w:val="normaltextrun"/>
              </w:rPr>
              <w:t xml:space="preserve"> un </w:t>
            </w:r>
            <w:r w:rsidRPr="007E2C69">
              <w:rPr>
                <w:rStyle w:val="normaltextrun"/>
                <w:i/>
                <w:iCs/>
              </w:rPr>
              <w:t>FC</w:t>
            </w:r>
            <w:r w:rsidRPr="007E2C69">
              <w:rPr>
                <w:rStyle w:val="normaltextrun"/>
              </w:rPr>
              <w:t xml:space="preserve"> aprēķinātās vērtības un to saistīto </w:t>
            </w:r>
            <w:proofErr w:type="spellStart"/>
            <w:r w:rsidRPr="007E2C69">
              <w:rPr>
                <w:rStyle w:val="normaltextrun"/>
              </w:rPr>
              <w:t>apakškomponentu</w:t>
            </w:r>
            <w:proofErr w:type="spellEnd"/>
            <w:r w:rsidRPr="007E2C69">
              <w:rPr>
                <w:rStyle w:val="normaltextrun"/>
              </w:rPr>
              <w:t xml:space="preserve"> vidējā vērtība, kas aprēķināta pēdējos trīs finanšu gados un attiecas uz T gadu.</w:t>
            </w:r>
          </w:p>
          <w:p w14:paraId="32637704" w14:textId="35682543" w:rsidR="00D740B8" w:rsidRPr="007E2C69" w:rsidRDefault="00D740B8">
            <w:pPr>
              <w:pStyle w:val="paragraph"/>
              <w:spacing w:before="0" w:beforeAutospacing="0" w:after="0" w:afterAutospacing="0"/>
              <w:textAlignment w:val="baseline"/>
              <w:rPr>
                <w:rStyle w:val="normaltextrun"/>
              </w:rPr>
            </w:pPr>
          </w:p>
          <w:p w14:paraId="6C270BFC" w14:textId="453723AA" w:rsidR="00D740B8" w:rsidRPr="007E2C69"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7E2C69">
              <w:rPr>
                <w:rStyle w:val="normaltextrun"/>
              </w:rPr>
              <w:t xml:space="preserve">Vidējo rādītāju aprēķina, ņemot vērā uzskaites vērtības par katru no pēdējiem trim gadiem. </w:t>
            </w:r>
          </w:p>
        </w:tc>
      </w:tr>
    </w:tbl>
    <w:p w14:paraId="75117700" w14:textId="31AC137F" w:rsidR="00D740B8" w:rsidRDefault="00D740B8" w:rsidP="00D740B8">
      <w:pPr>
        <w:pStyle w:val="numberedparagraph"/>
        <w:numPr>
          <w:ilvl w:val="0"/>
          <w:numId w:val="0"/>
        </w:numPr>
        <w:ind w:left="284" w:hanging="284"/>
        <w:rPr>
          <w:rStyle w:val="InstructionsTabelleberschrift"/>
        </w:rPr>
      </w:pPr>
    </w:p>
    <w:p w14:paraId="3174B7BE" w14:textId="77777777" w:rsidR="00907DD2" w:rsidRPr="007E2C69" w:rsidRDefault="00907DD2"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7E2C69"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7E2C69" w:rsidRDefault="00D740B8">
            <w:pPr>
              <w:autoSpaceDE w:val="0"/>
              <w:autoSpaceDN w:val="0"/>
              <w:adjustRightInd w:val="0"/>
              <w:rPr>
                <w:rFonts w:ascii="Times New Roman" w:hAnsi="Times New Roman" w:cs="Times New Roman"/>
                <w:b/>
                <w:sz w:val="24"/>
              </w:rPr>
            </w:pPr>
            <w:r w:rsidRPr="007E2C69">
              <w:rPr>
                <w:rFonts w:ascii="Times New Roman" w:hAnsi="Times New Roman"/>
                <w:b/>
                <w:sz w:val="24"/>
              </w:rPr>
              <w:lastRenderedPageBreak/>
              <w:t>Rinda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7E2C69" w:rsidRDefault="00D740B8" w:rsidP="00907DD2">
            <w:pPr>
              <w:keepNext/>
              <w:rPr>
                <w:rFonts w:ascii="Times New Roman" w:hAnsi="Times New Roman" w:cs="Times New Roman"/>
                <w:b/>
                <w:sz w:val="24"/>
              </w:rPr>
            </w:pPr>
            <w:r w:rsidRPr="007E2C69">
              <w:rPr>
                <w:rFonts w:ascii="Times New Roman" w:hAnsi="Times New Roman"/>
                <w:b/>
                <w:sz w:val="24"/>
              </w:rPr>
              <w:t>Atsauces uz tiesību aktu noteikumiem un norādījumi</w:t>
            </w:r>
          </w:p>
        </w:tc>
      </w:tr>
      <w:tr w:rsidR="00D740B8" w:rsidRPr="007E2C69"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7E2C69" w:rsidRDefault="00D740B8">
            <w:pPr>
              <w:spacing w:before="60" w:after="120"/>
              <w:jc w:val="both"/>
              <w:rPr>
                <w:rFonts w:ascii="Times New Roman" w:eastAsia="Times New Roman" w:hAnsi="Times New Roman" w:cs="Times New Roman"/>
                <w:b/>
                <w:sz w:val="24"/>
              </w:rPr>
            </w:pPr>
            <w:r w:rsidRPr="007E2C69">
              <w:rPr>
                <w:rFonts w:ascii="Times New Roman" w:hAnsi="Times New Roman"/>
                <w:b/>
                <w:sz w:val="24"/>
              </w:rPr>
              <w:t>Procenti, nomas maksas un dividenžu komponents (</w:t>
            </w:r>
            <w:r w:rsidRPr="007E2C69">
              <w:rPr>
                <w:rFonts w:ascii="Times New Roman" w:hAnsi="Times New Roman"/>
                <w:b/>
                <w:i/>
                <w:iCs/>
                <w:sz w:val="24"/>
              </w:rPr>
              <w:t>ILDC</w:t>
            </w:r>
            <w:r w:rsidRPr="007E2C69">
              <w:rPr>
                <w:rFonts w:ascii="Times New Roman" w:hAnsi="Times New Roman"/>
                <w:b/>
                <w:sz w:val="24"/>
              </w:rPr>
              <w:t>)</w:t>
            </w:r>
          </w:p>
          <w:p w14:paraId="78381763" w14:textId="2625CE0B" w:rsidR="00D740B8" w:rsidRPr="007E2C69" w:rsidRDefault="00D740B8">
            <w:pPr>
              <w:spacing w:before="60" w:after="120"/>
              <w:jc w:val="both"/>
              <w:rPr>
                <w:rFonts w:ascii="Times New Roman" w:eastAsia="Times New Roman" w:hAnsi="Times New Roman" w:cs="Times New Roman"/>
                <w:b/>
                <w:sz w:val="24"/>
              </w:rPr>
            </w:pPr>
            <w:r w:rsidRPr="007E2C69">
              <w:rPr>
                <w:rFonts w:ascii="Times New Roman" w:hAnsi="Times New Roman"/>
                <w:sz w:val="24"/>
              </w:rPr>
              <w:t>Procenti, nomas maksas un dividenžu komponents (</w:t>
            </w:r>
            <w:r w:rsidRPr="007E2C69">
              <w:rPr>
                <w:rFonts w:ascii="Times New Roman" w:hAnsi="Times New Roman"/>
                <w:i/>
                <w:iCs/>
                <w:sz w:val="24"/>
              </w:rPr>
              <w:t>ILDC</w:t>
            </w:r>
            <w:r w:rsidRPr="007E2C69">
              <w:rPr>
                <w:rFonts w:ascii="Times New Roman" w:hAnsi="Times New Roman"/>
                <w:sz w:val="24"/>
              </w:rPr>
              <w:t xml:space="preserve">) tiek aprēķināts saskaņā ar Regulas (ES) Nr. 575/2013 314. panta 2. punktu, tostarp, ja piemērojams, summas, kas aprēķinātas saskaņā ar Regulas (ES) Nr. 575/2013 314. panta 3. punktu. Ja uz iestādi attiecas Regulas (ES) Nr. 575/2013 314. panta 4. punktā minētā atkāpe, iestāde neiekļauj nekādus skaitļus no bankas </w:t>
            </w:r>
            <w:proofErr w:type="spellStart"/>
            <w:r w:rsidRPr="007E2C69">
              <w:rPr>
                <w:rFonts w:ascii="Times New Roman" w:hAnsi="Times New Roman"/>
                <w:sz w:val="24"/>
              </w:rPr>
              <w:t>privātklientu</w:t>
            </w:r>
            <w:proofErr w:type="spellEnd"/>
            <w:r w:rsidRPr="007E2C69">
              <w:rPr>
                <w:rFonts w:ascii="Times New Roman" w:hAnsi="Times New Roman"/>
                <w:sz w:val="24"/>
              </w:rPr>
              <w:t xml:space="preserve"> pakalpojumu un komercbanku pakalpojumu darbības jomām.</w:t>
            </w:r>
          </w:p>
        </w:tc>
      </w:tr>
      <w:tr w:rsidR="00456F97" w:rsidRPr="007E2C69"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7E2C69" w:rsidRDefault="00E03FA1">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ES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7E2C69" w:rsidRDefault="00E2624F">
            <w:pPr>
              <w:spacing w:before="60" w:after="120"/>
              <w:jc w:val="both"/>
              <w:rPr>
                <w:rFonts w:ascii="Times New Roman" w:eastAsia="Times New Roman" w:hAnsi="Times New Roman" w:cs="Times New Roman"/>
                <w:b/>
                <w:sz w:val="24"/>
              </w:rPr>
            </w:pPr>
            <w:r w:rsidRPr="007E2C69">
              <w:rPr>
                <w:rFonts w:ascii="Times New Roman" w:hAnsi="Times New Roman"/>
                <w:b/>
                <w:i/>
                <w:iCs/>
                <w:sz w:val="24"/>
              </w:rPr>
              <w:t>ILDC</w:t>
            </w:r>
            <w:r w:rsidRPr="007E2C69">
              <w:rPr>
                <w:rFonts w:ascii="Times New Roman" w:hAnsi="Times New Roman"/>
                <w:b/>
                <w:sz w:val="24"/>
              </w:rPr>
              <w:t>, kas saistīts ar atsevišķu iestādi/konsolidēto grupu (izņemot vienības, uz kurām attiecas 314. panta 3. punkts)</w:t>
            </w:r>
          </w:p>
          <w:p w14:paraId="3B4A0231" w14:textId="6A33703B" w:rsidR="00E2624F" w:rsidRPr="007E2C69" w:rsidRDefault="00E2624F" w:rsidP="00413B96">
            <w:pPr>
              <w:rPr>
                <w:rFonts w:ascii="Times New Roman" w:hAnsi="Times New Roman"/>
                <w:color w:val="000000" w:themeColor="text1"/>
                <w:sz w:val="24"/>
              </w:rPr>
            </w:pPr>
            <w:r w:rsidRPr="007E2C69">
              <w:rPr>
                <w:rFonts w:ascii="Times New Roman" w:hAnsi="Times New Roman"/>
                <w:sz w:val="24"/>
              </w:rPr>
              <w:t xml:space="preserve">Procenti, nomas maksas un dividenžu komponents (ILDC), kas aprēķināts saskaņā ar Regulas (ES) Nr. 575/2013 314. panta 2. punktu, neiekļaujot skaitļus, kas ir </w:t>
            </w:r>
            <w:r w:rsidRPr="007E2C69">
              <w:rPr>
                <w:rFonts w:ascii="Times New Roman" w:hAnsi="Times New Roman"/>
                <w:i/>
                <w:iCs/>
                <w:sz w:val="24"/>
              </w:rPr>
              <w:t>ILDC</w:t>
            </w:r>
            <w:r w:rsidRPr="007E2C69">
              <w:rPr>
                <w:rFonts w:ascii="Times New Roman" w:hAnsi="Times New Roman"/>
                <w:sz w:val="24"/>
              </w:rPr>
              <w:t xml:space="preserve"> aprēķina daļa tajos gadījumos, kad iestāde piemēro atkāpi saskaņā ar Regulas (ES) Nr. 575/2013 314. panta 3. punktu.</w:t>
            </w:r>
          </w:p>
        </w:tc>
      </w:tr>
      <w:tr w:rsidR="00D740B8" w:rsidRPr="007E2C69"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7E2C69" w:rsidRDefault="00D740B8">
            <w:pPr>
              <w:spacing w:before="60" w:after="120"/>
              <w:jc w:val="both"/>
              <w:rPr>
                <w:rFonts w:ascii="Times New Roman" w:eastAsia="Times New Roman" w:hAnsi="Times New Roman" w:cs="Times New Roman"/>
                <w:b/>
                <w:sz w:val="24"/>
              </w:rPr>
            </w:pPr>
            <w:r w:rsidRPr="007E2C69">
              <w:rPr>
                <w:rFonts w:ascii="Times New Roman" w:hAnsi="Times New Roman"/>
                <w:b/>
                <w:sz w:val="24"/>
              </w:rPr>
              <w:t>Procenti un nomas ienākumi</w:t>
            </w:r>
          </w:p>
          <w:p w14:paraId="33CCD1CB" w14:textId="130AE220" w:rsidR="00BD248A" w:rsidRPr="007E2C69" w:rsidRDefault="00D740B8">
            <w:pPr>
              <w:rPr>
                <w:rFonts w:ascii="Times New Roman" w:eastAsia="Times New Roman" w:hAnsi="Times New Roman" w:cs="Times New Roman"/>
                <w:sz w:val="24"/>
              </w:rPr>
            </w:pPr>
            <w:r w:rsidRPr="007E2C69">
              <w:rPr>
                <w:rFonts w:ascii="Times New Roman" w:hAnsi="Times New Roman"/>
                <w:sz w:val="24"/>
              </w:rPr>
              <w:t>Procentu ienākumu summa no visiem finanšu aktīviem, citi ienākumi no nomātajiem aktīviem un peļņa no nomātajiem aktīviem saskaņā ar EBI IT risinājumu V pielikumu.</w:t>
            </w:r>
          </w:p>
          <w:p w14:paraId="76D4A1E7" w14:textId="77777777" w:rsidR="00BD248A" w:rsidRPr="007E2C69" w:rsidRDefault="00BD248A">
            <w:pPr>
              <w:rPr>
                <w:rFonts w:ascii="Times New Roman" w:eastAsia="Times New Roman" w:hAnsi="Times New Roman" w:cs="Times New Roman"/>
                <w:sz w:val="24"/>
              </w:rPr>
            </w:pPr>
          </w:p>
          <w:p w14:paraId="19841383" w14:textId="08257E38" w:rsidR="00F5221D" w:rsidRPr="007E2C69" w:rsidRDefault="004F220F">
            <w:pPr>
              <w:rPr>
                <w:rFonts w:ascii="Times New Roman" w:eastAsia="Times New Roman" w:hAnsi="Times New Roman" w:cs="Times New Roman"/>
                <w:sz w:val="24"/>
              </w:rPr>
            </w:pPr>
            <w:r w:rsidRPr="007E2C69">
              <w:rPr>
                <w:rFonts w:ascii="Times New Roman" w:hAnsi="Times New Roman"/>
                <w:sz w:val="24"/>
              </w:rPr>
              <w:t>Procentu ienākumus no visiem finanšu aktīviem aprēķina saskaņā ar EBI IT risinājumu V pielikuma 2. daļas 31. punktu un ievērojot papildu specifikācijas no EBI IT risinājumu V pielikuma 2. daļas 187., 189. un 194.ii punkta.</w:t>
            </w:r>
          </w:p>
          <w:p w14:paraId="55B6FFE6" w14:textId="77777777" w:rsidR="00F5221D" w:rsidRPr="007E2C69" w:rsidRDefault="00F5221D">
            <w:pPr>
              <w:rPr>
                <w:rFonts w:ascii="Times New Roman" w:eastAsia="Times New Roman" w:hAnsi="Times New Roman" w:cs="Times New Roman"/>
                <w:sz w:val="24"/>
              </w:rPr>
            </w:pPr>
          </w:p>
          <w:p w14:paraId="00ED9136" w14:textId="12CD18AE" w:rsidR="00E76AA5" w:rsidRPr="007E2C69" w:rsidRDefault="00F5221D" w:rsidP="007535CB">
            <w:pPr>
              <w:rPr>
                <w:rFonts w:ascii="Times New Roman" w:eastAsia="Times New Roman" w:hAnsi="Times New Roman" w:cs="Times New Roman"/>
                <w:sz w:val="24"/>
              </w:rPr>
            </w:pPr>
            <w:r w:rsidRPr="007E2C69">
              <w:rPr>
                <w:rFonts w:ascii="Times New Roman" w:hAnsi="Times New Roman"/>
                <w:sz w:val="24"/>
              </w:rPr>
              <w:t>Citi ienākumi no nomātajiem aktīviem (finanšu un darbības) neietver procentu ienākumus. Šī summa tiek aprēķināta saskaņā ar EBI IT risinājumu V pielikuma 2. daļas 314. un 315. punktu, un tā atspoguļo: i) ienākumus no ieguldījumu īpašumu patiesās vērtības izmaiņām, kas rada īres maksu un tiek mērīti, izmantojot patiesās vērtības modeli; un/vai ii) ienākumus no operatīvās nomas, tostarp īres ienākumus no ieguldījumu īpašumiem.</w:t>
            </w:r>
          </w:p>
          <w:p w14:paraId="6C1BE770" w14:textId="77777777" w:rsidR="007535CB" w:rsidRPr="007E2C69" w:rsidRDefault="007535CB" w:rsidP="007535CB">
            <w:pPr>
              <w:rPr>
                <w:rFonts w:ascii="Times New Roman" w:eastAsia="Times New Roman" w:hAnsi="Times New Roman" w:cs="Times New Roman"/>
                <w:sz w:val="24"/>
              </w:rPr>
            </w:pPr>
          </w:p>
          <w:p w14:paraId="742C7468" w14:textId="3A50C109" w:rsidR="00D740B8" w:rsidRPr="007E2C69" w:rsidRDefault="00BB0B3D" w:rsidP="004F34D4">
            <w:pPr>
              <w:rPr>
                <w:rFonts w:ascii="Times New Roman" w:eastAsia="Times New Roman" w:hAnsi="Times New Roman" w:cs="Times New Roman"/>
                <w:sz w:val="24"/>
              </w:rPr>
            </w:pPr>
            <w:r w:rsidRPr="007E2C69">
              <w:rPr>
                <w:rFonts w:ascii="Times New Roman" w:hAnsi="Times New Roman"/>
                <w:sz w:val="24"/>
              </w:rPr>
              <w:t>Peļņā no nomātiem aktīviem (finanšu un darbības) iekļauj: i) ieguvumus no nomas līguma grozījumiem saskaņā ar EBI IT risinājumu V pielikuma 2. daļas 49. punktu; ii) pārējos darbības ienākumus (Citi darbības ienākumi) saskaņā ar EBI IT risinājumu V pielikuma 2. daļas 314. un 316. punktu, ja tie ir saistīti ar nomātiem aktīviem (finanšu un darbības).</w:t>
            </w:r>
          </w:p>
        </w:tc>
      </w:tr>
      <w:tr w:rsidR="00D740B8" w:rsidRPr="007E2C69"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7E2C69" w:rsidRDefault="00D740B8">
            <w:pPr>
              <w:spacing w:before="60" w:after="120"/>
              <w:jc w:val="both"/>
              <w:rPr>
                <w:rFonts w:ascii="Times New Roman" w:eastAsia="Times New Roman" w:hAnsi="Times New Roman" w:cs="Times New Roman"/>
                <w:b/>
                <w:sz w:val="24"/>
              </w:rPr>
            </w:pPr>
            <w:r w:rsidRPr="007E2C69">
              <w:rPr>
                <w:rFonts w:ascii="Times New Roman" w:hAnsi="Times New Roman"/>
                <w:b/>
                <w:sz w:val="24"/>
              </w:rPr>
              <w:t>Procenti un nomas izdevumi</w:t>
            </w:r>
          </w:p>
          <w:p w14:paraId="65B73157" w14:textId="72BA8427" w:rsidR="00EC1398" w:rsidRPr="007E2C69" w:rsidRDefault="00D740B8">
            <w:pPr>
              <w:rPr>
                <w:rFonts w:ascii="Times New Roman" w:eastAsia="Times New Roman" w:hAnsi="Times New Roman" w:cs="Times New Roman"/>
                <w:sz w:val="24"/>
              </w:rPr>
            </w:pPr>
            <w:r w:rsidRPr="007E2C69">
              <w:rPr>
                <w:rFonts w:ascii="Times New Roman" w:hAnsi="Times New Roman"/>
                <w:sz w:val="24"/>
              </w:rPr>
              <w:t>Procentu izdevumu summa no visām finanšu saistībām, izdevumiem no iznomātajiem aktīviem un nomātu aktīvu nolietojuma, vērtības samazināšanās un zaudējumiem, kā minēts EBI IT risinājumu V pielikumā.</w:t>
            </w:r>
          </w:p>
          <w:p w14:paraId="06CEDDA9" w14:textId="77777777" w:rsidR="00BA33C3" w:rsidRPr="007E2C69" w:rsidRDefault="00BA33C3">
            <w:pPr>
              <w:rPr>
                <w:rFonts w:ascii="Times New Roman" w:eastAsia="Times New Roman" w:hAnsi="Times New Roman" w:cs="Times New Roman"/>
                <w:sz w:val="24"/>
              </w:rPr>
            </w:pPr>
          </w:p>
          <w:p w14:paraId="3ACFF991" w14:textId="1BCDC8C4" w:rsidR="00BA33C3" w:rsidRPr="007E2C69" w:rsidRDefault="00BA33C3">
            <w:pPr>
              <w:rPr>
                <w:rFonts w:ascii="Times New Roman" w:eastAsia="Times New Roman" w:hAnsi="Times New Roman" w:cs="Times New Roman"/>
                <w:sz w:val="24"/>
              </w:rPr>
            </w:pPr>
            <w:r w:rsidRPr="007E2C69">
              <w:rPr>
                <w:rFonts w:ascii="Times New Roman" w:hAnsi="Times New Roman"/>
                <w:sz w:val="24"/>
              </w:rPr>
              <w:t>Procentu izdevumus no visām finanšu saistībām aprēķina saskaņā ar EBI IT risinājumu V pielikuma 2. daļas 31. punktu un ievērojot papildu specifikācijas no EBI IT risinājumu V pielikuma 2. daļas 188., 190. un 194.ii punkta. Procentu izdevumi, kas radušies operacionālā riska notikumu dēļ, netiek iekļauti. Tā vietā tie tiek iekļauti Pakalpojumu komponentā saskaņā ar Regulas (ES) Nr. 575/2013 314. panta 5. punktu.</w:t>
            </w:r>
          </w:p>
          <w:p w14:paraId="2D079DF5" w14:textId="77777777" w:rsidR="003D0A4B" w:rsidRPr="007E2C69" w:rsidRDefault="003D0A4B">
            <w:pPr>
              <w:rPr>
                <w:rFonts w:ascii="Times New Roman" w:eastAsia="Times New Roman" w:hAnsi="Times New Roman" w:cs="Times New Roman"/>
                <w:sz w:val="24"/>
              </w:rPr>
            </w:pPr>
          </w:p>
          <w:p w14:paraId="08A94531" w14:textId="1EA15404" w:rsidR="003D0A4B" w:rsidRPr="007E2C69" w:rsidRDefault="003D0A4B" w:rsidP="00D136A0">
            <w:pPr>
              <w:rPr>
                <w:rFonts w:ascii="Times New Roman" w:eastAsia="Times New Roman" w:hAnsi="Times New Roman" w:cs="Times New Roman"/>
                <w:sz w:val="24"/>
              </w:rPr>
            </w:pPr>
            <w:r w:rsidRPr="007E2C69">
              <w:rPr>
                <w:rFonts w:ascii="Times New Roman" w:hAnsi="Times New Roman"/>
                <w:sz w:val="24"/>
              </w:rPr>
              <w:t xml:space="preserve">Izdevumi no nomātajiem aktīviem (darbības) ietver izdevumus saskaņā ar EBI IT risinājumu V pielikuma 2. daļas 314. un 315. punktu, kas attiecas uz operatīvo nomu un kas ir: i) izdevumi no ieguldījumu īpašuma patiesās vērtības izmaiņām, kas rada nomas maksu un tiek novērtēti, izmantojot patiesās vērtības modeli no operatīvajiem nomātajiem aktīviem; un ii) izdevumi par operatīvo nomu, tostarp tiešie darbības izdevumi no ieguldījumu īpašuma, kas rada nomas maksu. Turklāt iestādēm šeit jāiekļauj arī citi administratīvie izdevumi no operatīvās nomas aktīviem saskaņā ar EBI IT risinājumu </w:t>
            </w:r>
            <w:proofErr w:type="spellStart"/>
            <w:r w:rsidRPr="007E2C69">
              <w:rPr>
                <w:rFonts w:ascii="Times New Roman" w:hAnsi="Times New Roman"/>
                <w:sz w:val="24"/>
              </w:rPr>
              <w:t>Vpielikuma</w:t>
            </w:r>
            <w:proofErr w:type="spellEnd"/>
            <w:r w:rsidRPr="007E2C69">
              <w:rPr>
                <w:rFonts w:ascii="Times New Roman" w:hAnsi="Times New Roman"/>
                <w:sz w:val="24"/>
              </w:rPr>
              <w:t xml:space="preserve"> 2. daļas 208.ix punktu. Izdevumi, kas radušies operacionālā riska notikumu dēļ, netiek iekļauti. Tā vietā tie tiek iekļauti Pakalpojumu komponentā saskaņā ar Regulas (ES) Nr. 575/2013 314. panta 5. punktu.</w:t>
            </w:r>
          </w:p>
          <w:p w14:paraId="61020FEC" w14:textId="77777777" w:rsidR="00376B14" w:rsidRPr="007E2C69" w:rsidRDefault="00376B14">
            <w:pPr>
              <w:rPr>
                <w:rFonts w:ascii="Times New Roman" w:eastAsia="Times New Roman" w:hAnsi="Times New Roman" w:cs="Times New Roman"/>
                <w:sz w:val="24"/>
              </w:rPr>
            </w:pPr>
          </w:p>
          <w:p w14:paraId="5D976FDD" w14:textId="0FB08478" w:rsidR="00376B14" w:rsidRPr="007E2C69" w:rsidRDefault="00376B14">
            <w:pPr>
              <w:rPr>
                <w:rFonts w:ascii="Times New Roman" w:eastAsia="Times New Roman" w:hAnsi="Times New Roman" w:cs="Times New Roman"/>
                <w:sz w:val="24"/>
              </w:rPr>
            </w:pPr>
            <w:r w:rsidRPr="007E2C69">
              <w:rPr>
                <w:rFonts w:ascii="Times New Roman" w:hAnsi="Times New Roman"/>
                <w:sz w:val="24"/>
              </w:rPr>
              <w:t>Nomāto aktīvu nolietojums atbilst nolietojuma izdevumiem, kā ziņots saskaņā ar 1. Starptautisko grāmatvedības standartu (SGS) 102. un 104. punktu, bet tikai par operatīvās nomas aktīviem, kuru ienākumi vai izdevumi ir iekļauti procentu ienākumu/izdevumu aprēķinā.</w:t>
            </w:r>
          </w:p>
          <w:p w14:paraId="5D82FC67" w14:textId="77777777" w:rsidR="00DA24A2" w:rsidRPr="007E2C69" w:rsidRDefault="00DA24A2">
            <w:pPr>
              <w:rPr>
                <w:rFonts w:ascii="Times New Roman" w:eastAsia="Times New Roman" w:hAnsi="Times New Roman" w:cs="Times New Roman"/>
                <w:sz w:val="24"/>
              </w:rPr>
            </w:pPr>
          </w:p>
          <w:p w14:paraId="1D89DE9C" w14:textId="6D7B59E2" w:rsidR="00DA24A2" w:rsidRPr="007E2C69" w:rsidRDefault="00DA24A2">
            <w:pPr>
              <w:rPr>
                <w:rFonts w:ascii="Times New Roman" w:eastAsia="Times New Roman" w:hAnsi="Times New Roman" w:cs="Times New Roman"/>
                <w:sz w:val="24"/>
              </w:rPr>
            </w:pPr>
            <w:r w:rsidRPr="007E2C69">
              <w:rPr>
                <w:rFonts w:ascii="Times New Roman" w:hAnsi="Times New Roman"/>
                <w:sz w:val="24"/>
              </w:rPr>
              <w:t>Nomāto aktīvu vērtības samazinājums atbilst operatīvās nomas aktīvu izdevumiem, kas atspoguļo vērtības samazināšanos vai vērtības samazināšanās apvērsi saskaņā ar 36. SGS 126. punkta a) un b) apakšpunktu no operatīvās nomas aktīviem.</w:t>
            </w:r>
          </w:p>
          <w:p w14:paraId="11B36ACB" w14:textId="77777777" w:rsidR="00DA24A2" w:rsidRPr="007E2C69" w:rsidRDefault="00DA24A2">
            <w:pPr>
              <w:rPr>
                <w:rFonts w:ascii="Times New Roman" w:eastAsia="Times New Roman" w:hAnsi="Times New Roman" w:cs="Times New Roman"/>
                <w:sz w:val="24"/>
              </w:rPr>
            </w:pPr>
          </w:p>
          <w:p w14:paraId="0FA351B6" w14:textId="470A5833" w:rsidR="00D740B8" w:rsidRPr="007E2C69" w:rsidRDefault="00DA24A2" w:rsidP="004F34D4">
            <w:pPr>
              <w:rPr>
                <w:rFonts w:ascii="Times New Roman" w:hAnsi="Times New Roman"/>
                <w:sz w:val="24"/>
              </w:rPr>
            </w:pPr>
            <w:r w:rsidRPr="007E2C69">
              <w:rPr>
                <w:rFonts w:ascii="Times New Roman" w:hAnsi="Times New Roman"/>
                <w:sz w:val="24"/>
              </w:rPr>
              <w:t>Nomāto aktīvu zaudējumi atbilst pārējiem citiem darbības izdevumiem (Citi darbības izdevumi) saskaņā ar EBI IT risinājumu V pielikuma 2. daļas 29.3. sadaļas 316. punktu, ja tie ir saistīti ar operatīvās nomas aktīviem. Zaudējumi, kas radušies operacionālā riska notikumu dēļ, netiek iekļauti. Tā vietā tie tiek iekļauti Pakalpojumu komponentā saskaņā ar Regulas (ES) Nr. 575/2013 314. panta 5. punktu.</w:t>
            </w:r>
          </w:p>
        </w:tc>
      </w:tr>
      <w:tr w:rsidR="00D740B8" w:rsidRPr="007E2C69"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7E2C69" w:rsidRDefault="00B76736">
            <w:pPr>
              <w:spacing w:before="60" w:after="120"/>
              <w:jc w:val="both"/>
              <w:rPr>
                <w:rStyle w:val="InstructionsTabelleberschrift"/>
                <w:rFonts w:ascii="Times New Roman" w:eastAsia="Times New Roman" w:hAnsi="Times New Roman"/>
                <w:sz w:val="24"/>
                <w:u w:val="none"/>
              </w:rPr>
            </w:pPr>
            <w:r w:rsidRPr="007E2C69">
              <w:rPr>
                <w:rStyle w:val="InstructionsTabelleberschrift"/>
                <w:rFonts w:ascii="Times New Roman" w:hAnsi="Times New Roman"/>
                <w:sz w:val="24"/>
                <w:u w:val="none"/>
              </w:rPr>
              <w:t>Kopējie aktīvi/aktīvu komponents</w:t>
            </w:r>
          </w:p>
          <w:p w14:paraId="15501679" w14:textId="3EB04379" w:rsidR="00D740B8" w:rsidRPr="007E2C69" w:rsidRDefault="00B76736">
            <w:pPr>
              <w:spacing w:before="60" w:after="120"/>
              <w:jc w:val="both"/>
              <w:rPr>
                <w:rFonts w:ascii="Times New Roman" w:eastAsia="Times New Roman" w:hAnsi="Times New Roman" w:cs="Times New Roman"/>
                <w:sz w:val="24"/>
              </w:rPr>
            </w:pPr>
            <w:r w:rsidRPr="007E2C69">
              <w:rPr>
                <w:rFonts w:ascii="Times New Roman" w:hAnsi="Times New Roman"/>
                <w:sz w:val="24"/>
              </w:rPr>
              <w:t>d) slejā – aktīvu komponents, kas aprēķināts saskaņā ar Regulas (ES) Nr. 575/2013 314. panta 2. punktu.</w:t>
            </w:r>
          </w:p>
          <w:p w14:paraId="65FF56C9" w14:textId="24401D0D" w:rsidR="004E3E86" w:rsidRPr="007E2C69" w:rsidRDefault="003E3201" w:rsidP="00373F9D">
            <w:pPr>
              <w:rPr>
                <w:rFonts w:ascii="Times New Roman" w:hAnsi="Times New Roman"/>
                <w:sz w:val="24"/>
              </w:rPr>
            </w:pPr>
            <w:r w:rsidRPr="007E2C69">
              <w:rPr>
                <w:rFonts w:ascii="Times New Roman" w:hAnsi="Times New Roman"/>
                <w:sz w:val="24"/>
              </w:rPr>
              <w:t>Citās slejās aktīvu kopsumma atbilst summai, ko veido naudas atlikumu centrālajās bankās un citu beztermiņa noguldījumu, parāda vērtspapīru, aizdevumu un avansu bruto uzskaites vērtība, kā arī atvasināto instrumentu (tirdzniecības un ekonomikas riska ierobežošanas pozīcijas un riska ierobežošanas uzskaite) neto aktīvu vērtība un to aktīvu uzskaites vērtība, uz kuriem attiecas nomas līgumi (materiālie un nemateriālie aktīvi). Šie posteņi attiecas uz EBI IT risinājumu V pielikumu.</w:t>
            </w:r>
          </w:p>
          <w:p w14:paraId="2655EEC4" w14:textId="6116BB66" w:rsidR="00BC1F18" w:rsidRPr="007E2C69" w:rsidRDefault="00BC1F18" w:rsidP="00BC1F18">
            <w:pPr>
              <w:rPr>
                <w:rFonts w:ascii="Times New Roman" w:hAnsi="Times New Roman"/>
                <w:sz w:val="24"/>
              </w:rPr>
            </w:pPr>
          </w:p>
        </w:tc>
      </w:tr>
      <w:tr w:rsidR="00D740B8" w:rsidRPr="007E2C69"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7E2C69" w:rsidRDefault="00B76736">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Dividenžu ienākumi/dividenžu komponents</w:t>
            </w:r>
          </w:p>
          <w:p w14:paraId="1A066B7B" w14:textId="4AA7538A" w:rsidR="00D740B8" w:rsidRPr="007E2C69" w:rsidRDefault="00B76736" w:rsidP="004E3E86">
            <w:pPr>
              <w:spacing w:before="60" w:after="120"/>
              <w:jc w:val="both"/>
              <w:rPr>
                <w:rFonts w:ascii="Times New Roman" w:eastAsia="Times New Roman" w:hAnsi="Times New Roman" w:cs="Times New Roman"/>
                <w:sz w:val="24"/>
              </w:rPr>
            </w:pPr>
            <w:r w:rsidRPr="007E2C69">
              <w:rPr>
                <w:rFonts w:ascii="Times New Roman" w:hAnsi="Times New Roman"/>
                <w:sz w:val="24"/>
              </w:rPr>
              <w:t>d) slejā – dividenžu komponents, kas aprēķināts saskaņā ar Regulas (ES) Nr. 575/2013 314. panta 2. punktu.</w:t>
            </w:r>
          </w:p>
          <w:p w14:paraId="3F4B342E" w14:textId="23DB8876" w:rsidR="004E3E86" w:rsidRPr="007E2C69" w:rsidRDefault="004E3E86" w:rsidP="004E3E86">
            <w:pPr>
              <w:rPr>
                <w:rFonts w:ascii="Times New Roman" w:hAnsi="Times New Roman"/>
                <w:sz w:val="24"/>
              </w:rPr>
            </w:pPr>
            <w:r w:rsidRPr="007E2C69">
              <w:rPr>
                <w:rFonts w:ascii="Times New Roman" w:hAnsi="Times New Roman"/>
                <w:sz w:val="24"/>
              </w:rPr>
              <w:t>Iestādes ziņo par dividenžu ienākumiem saskaņā ar EBI IT risinājumu V pielikuma 2. daļas 40.–42. punktu.</w:t>
            </w:r>
          </w:p>
        </w:tc>
      </w:tr>
      <w:tr w:rsidR="003826D3" w:rsidRPr="007E2C69"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7E2C69" w:rsidRDefault="003826D3" w:rsidP="00907DD2">
            <w:pPr>
              <w:keepNext/>
              <w:spacing w:before="60" w:after="120"/>
              <w:jc w:val="both"/>
              <w:rPr>
                <w:rFonts w:ascii="Times New Roman" w:eastAsia="Times New Roman" w:hAnsi="Times New Roman" w:cs="Times New Roman"/>
                <w:b/>
                <w:sz w:val="24"/>
              </w:rPr>
            </w:pPr>
            <w:r w:rsidRPr="007E2C69">
              <w:rPr>
                <w:rFonts w:ascii="Times New Roman" w:hAnsi="Times New Roman"/>
                <w:b/>
                <w:sz w:val="24"/>
              </w:rPr>
              <w:t>Pakalpojumu komponents (</w:t>
            </w:r>
            <w:r w:rsidRPr="007E2C69">
              <w:rPr>
                <w:rFonts w:ascii="Times New Roman" w:hAnsi="Times New Roman"/>
                <w:b/>
                <w:i/>
                <w:iCs/>
                <w:sz w:val="24"/>
              </w:rPr>
              <w:t>SC</w:t>
            </w:r>
            <w:r w:rsidRPr="007E2C69">
              <w:rPr>
                <w:rFonts w:ascii="Times New Roman" w:hAnsi="Times New Roman"/>
                <w:b/>
                <w:sz w:val="24"/>
              </w:rPr>
              <w:t>)</w:t>
            </w:r>
          </w:p>
          <w:p w14:paraId="2D48B659" w14:textId="0264DFE4" w:rsidR="00080F37" w:rsidRPr="007E2C69" w:rsidRDefault="005E7C4C"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Pakalpojumu komponentu (</w:t>
            </w:r>
            <w:r w:rsidRPr="007E2C69">
              <w:rPr>
                <w:rFonts w:ascii="Times New Roman" w:hAnsi="Times New Roman"/>
                <w:i/>
                <w:iCs/>
                <w:sz w:val="24"/>
              </w:rPr>
              <w:t>SC</w:t>
            </w:r>
            <w:r w:rsidRPr="007E2C69">
              <w:rPr>
                <w:rFonts w:ascii="Times New Roman" w:hAnsi="Times New Roman"/>
                <w:sz w:val="24"/>
              </w:rPr>
              <w:t>) aprēķina saskaņā ar Regulas (ES) Nr. 575/2013 314. panta 5. punktu.</w:t>
            </w:r>
          </w:p>
          <w:p w14:paraId="2EFCFDAF" w14:textId="3F07E77F" w:rsidR="003826D3" w:rsidRPr="007E2C69" w:rsidRDefault="0094124B" w:rsidP="003826D3">
            <w:pPr>
              <w:spacing w:before="60" w:after="120"/>
              <w:jc w:val="both"/>
              <w:rPr>
                <w:rStyle w:val="InstructionsTabelleberschrift"/>
                <w:rFonts w:ascii="Times New Roman" w:eastAsia="Times New Roman" w:hAnsi="Times New Roman"/>
                <w:bCs w:val="0"/>
                <w:sz w:val="24"/>
              </w:rPr>
            </w:pPr>
            <w:r w:rsidRPr="007E2C69">
              <w:rPr>
                <w:rFonts w:ascii="Times New Roman" w:hAnsi="Times New Roman"/>
                <w:sz w:val="24"/>
              </w:rPr>
              <w:t xml:space="preserve">Ja uz iestādi attiecas Regulas (ES) Nr. 575/2013 314. panta 4. punktā minētā atkāpe, iestāde neiekļauj nekādus skaitļus no bankas </w:t>
            </w:r>
            <w:proofErr w:type="spellStart"/>
            <w:r w:rsidRPr="007E2C69">
              <w:rPr>
                <w:rFonts w:ascii="Times New Roman" w:hAnsi="Times New Roman"/>
                <w:sz w:val="24"/>
              </w:rPr>
              <w:t>privātklientu</w:t>
            </w:r>
            <w:proofErr w:type="spellEnd"/>
            <w:r w:rsidRPr="007E2C69">
              <w:rPr>
                <w:rFonts w:ascii="Times New Roman" w:hAnsi="Times New Roman"/>
                <w:sz w:val="24"/>
              </w:rPr>
              <w:t xml:space="preserve"> pakalpojumu un komercbanku pakalpojumu darbības jomām. </w:t>
            </w:r>
          </w:p>
        </w:tc>
      </w:tr>
      <w:tr w:rsidR="003826D3" w:rsidRPr="007E2C69"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7E2C69" w:rsidRDefault="003826D3" w:rsidP="003826D3">
            <w:pPr>
              <w:spacing w:before="60" w:after="120"/>
              <w:jc w:val="both"/>
              <w:rPr>
                <w:rFonts w:ascii="Times New Roman" w:eastAsia="Times New Roman" w:hAnsi="Times New Roman" w:cs="Times New Roman"/>
                <w:b/>
                <w:sz w:val="24"/>
              </w:rPr>
            </w:pPr>
            <w:r w:rsidRPr="007E2C69">
              <w:rPr>
                <w:rFonts w:ascii="Times New Roman" w:hAnsi="Times New Roman"/>
                <w:b/>
                <w:sz w:val="24"/>
              </w:rPr>
              <w:t>Maksu un komisijas naudas ienākumi</w:t>
            </w:r>
          </w:p>
          <w:p w14:paraId="1394D6AF" w14:textId="06AD3617" w:rsidR="003826D3" w:rsidRPr="007E2C69" w:rsidRDefault="009816D6"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Maksu un komisijas naudas ienākumi, kas minēti EBI IT risinājumu V pielikuma 2. daļas 281.–284. punktā un aprēķināti saskaņā ar Regulas (ES) Nr. 575/2013 314. panta 5. punktu.</w:t>
            </w:r>
          </w:p>
          <w:p w14:paraId="0EA5E8EE" w14:textId="07382D3A" w:rsidR="008D318E" w:rsidRPr="007E2C69" w:rsidRDefault="008D318E"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Saskaņā ar RTS 7. pantu, kas jāizstrādā saskaņā ar Regulas (ES) Nr. 575/2013 314. panta 9. punktu, šajā postenī jāiekļauj arī ienākumi no palīgdarbībām, piemēram, IT darbībām, kas nepieciešamas finanšu pakalpojuma sniegšanai.</w:t>
            </w:r>
          </w:p>
          <w:p w14:paraId="388F841F" w14:textId="1B0267DB" w:rsidR="00D91B18" w:rsidRPr="007E2C69" w:rsidRDefault="007D3710" w:rsidP="003826D3">
            <w:pPr>
              <w:spacing w:before="6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Komisijas maksu un nodevu ienākumu daļa, kas saņemta no iestādēm, kuras ir vienas un tās pašas institucionālās aizsardzības shēmas dalībnieces saskaņā ar Regulas (ES) Nr. 575/2013 314. panta 5. punktu netiek iekļauta.</w:t>
            </w:r>
          </w:p>
        </w:tc>
      </w:tr>
      <w:tr w:rsidR="003826D3" w:rsidRPr="007E2C69"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7E2C69" w:rsidRDefault="003826D3" w:rsidP="003826D3">
            <w:pPr>
              <w:spacing w:before="60" w:after="120"/>
              <w:jc w:val="both"/>
              <w:rPr>
                <w:rFonts w:ascii="Times New Roman" w:eastAsia="Times New Roman" w:hAnsi="Times New Roman" w:cs="Times New Roman"/>
                <w:b/>
                <w:sz w:val="24"/>
              </w:rPr>
            </w:pPr>
            <w:r w:rsidRPr="007E2C69">
              <w:rPr>
                <w:rFonts w:ascii="Times New Roman" w:hAnsi="Times New Roman"/>
                <w:b/>
                <w:sz w:val="24"/>
              </w:rPr>
              <w:t>Maksu un komisijas naudas izdevumi</w:t>
            </w:r>
          </w:p>
          <w:p w14:paraId="241530E4" w14:textId="72E685E0" w:rsidR="003826D3" w:rsidRPr="007E2C69" w:rsidRDefault="009816D6"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Maksu un komisijas naudas izdevumi saskaņā ar EBI IT risinājumu V pielikuma 2. daļas 281.–284. punktu un aprēķināti saskaņā ar Regulas (ES) Nr. 575/2013 314. panta 5. punktu.</w:t>
            </w:r>
          </w:p>
          <w:p w14:paraId="03E34B08" w14:textId="2D67624D" w:rsidR="00126683" w:rsidRPr="007E2C69" w:rsidRDefault="00126683"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Šajā rindā ir jāatklāj maksas par ārpakalpojumiem, kas samaksātas par finanšu pakalpojumu sniegšanu, ko veido saskaņā ar Regulas (ES) Nr. 575/2013 314. panta 9. punktu izstrādājamo RTS 8. pantā norādīto darbību saraksts, ja tās ir iekļautas saskaņā ar piemēroto uzskaites ietvaru kā administratīviem izdevumiem saskaņā ar minēto RTS 16. pantu. Šajā pozīcijā jāiekļauj arī izdevumi par palīgdarbībām, piemēram, IT darbībām, kas nepieciešamas finanšu pakalpojuma izpildei.</w:t>
            </w:r>
          </w:p>
          <w:p w14:paraId="37B7C759" w14:textId="401F429B" w:rsidR="00A87543" w:rsidRPr="007E2C69" w:rsidRDefault="00A87543" w:rsidP="003826D3">
            <w:pPr>
              <w:spacing w:before="60" w:after="120"/>
              <w:jc w:val="both"/>
              <w:rPr>
                <w:rStyle w:val="InstructionsTabelleberschrift"/>
                <w:rFonts w:ascii="Times New Roman" w:eastAsia="Times New Roman" w:hAnsi="Times New Roman"/>
                <w:b w:val="0"/>
                <w:sz w:val="24"/>
              </w:rPr>
            </w:pPr>
            <w:r w:rsidRPr="007E2C69">
              <w:rPr>
                <w:rFonts w:ascii="Times New Roman" w:hAnsi="Times New Roman"/>
                <w:sz w:val="24"/>
              </w:rPr>
              <w:t>Maksas un komisijas naudas izdevumu daļa, kas samaksāta iestādēm, kuras ir vienas un tās pašas institucionālās aizsardzības shēmas dalībnieces saskaņā ar Regulas (ES) Nr. 575/2013 314. panta 5. punktu netiek iekļauta.</w:t>
            </w:r>
          </w:p>
        </w:tc>
      </w:tr>
      <w:tr w:rsidR="003826D3" w:rsidRPr="007E2C69"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7E2C69" w:rsidRDefault="003826D3" w:rsidP="003826D3">
            <w:pPr>
              <w:spacing w:before="60" w:after="120"/>
              <w:jc w:val="both"/>
              <w:rPr>
                <w:rStyle w:val="InstructionsTabelleberschrift"/>
                <w:rFonts w:ascii="Times New Roman" w:eastAsia="Times New Roman" w:hAnsi="Times New Roman"/>
                <w:sz w:val="24"/>
                <w:u w:val="none"/>
              </w:rPr>
            </w:pPr>
            <w:r w:rsidRPr="007E2C69">
              <w:rPr>
                <w:rStyle w:val="InstructionsTabelleberschrift"/>
                <w:rFonts w:ascii="Times New Roman" w:hAnsi="Times New Roman"/>
                <w:sz w:val="24"/>
                <w:u w:val="none"/>
              </w:rPr>
              <w:t>Citi darbības ienākumi</w:t>
            </w:r>
          </w:p>
          <w:p w14:paraId="035A399D" w14:textId="7232F3EB" w:rsidR="00671F1C" w:rsidRPr="007E2C69" w:rsidRDefault="009816D6"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Citi darbības ienākumi, tostarp: guvumi no ilgtermiņa aktīviem un atsavināšanas grupām, kas klasificētas kā pārdošanai turētas un nekvalificējas kā pārtrauktas darbības (zaudējumu gadījumā vērtības uzskata par nulli) saskaņā ar EBI IT risinājumu V pielikuma 2. daļas 55. punktu, un citi darbības ienākumi, kā minēts EBI IT risinājumu V pielikuma 2. daļas 314. un 316. punktā, bet izņemot ienākumus no operatīvās nomas un visus posteņus, kas noteikti saskaņā ar Regulas (ES) 2021/451 314. panta 7. punktu.</w:t>
            </w:r>
          </w:p>
          <w:p w14:paraId="39451B35" w14:textId="17278A47" w:rsidR="00A471E8" w:rsidRPr="007E2C69" w:rsidRDefault="007863F3"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Administratīvo izdevumu atgūšana nebūtu jāapsver saskaņā ar RTS par uzņēmējdarbības rādītāja komponentiem, kas jāizstrādā saskaņā ar Regulas (ES) Nr. 575/2013 314. panta 9. punktu, 5. pantu.</w:t>
            </w:r>
          </w:p>
          <w:p w14:paraId="0B35E56E" w14:textId="27C4774F" w:rsidR="00695D35" w:rsidRPr="007E2C69" w:rsidRDefault="00695D35" w:rsidP="003826D3">
            <w:pPr>
              <w:spacing w:before="60" w:after="120"/>
              <w:jc w:val="both"/>
              <w:rPr>
                <w:rFonts w:ascii="Times New Roman" w:eastAsia="Times New Roman" w:hAnsi="Times New Roman" w:cs="Times New Roman"/>
                <w:sz w:val="24"/>
              </w:rPr>
            </w:pPr>
            <w:r w:rsidRPr="007E2C69">
              <w:rPr>
                <w:rFonts w:ascii="Times New Roman" w:hAnsi="Times New Roman"/>
                <w:sz w:val="24"/>
              </w:rPr>
              <w:lastRenderedPageBreak/>
              <w:t>Citu darbības ienākumu summa, kas saņemta no iestādēm, kuras ir tās pašas institucionālās aizsardzības shēmas locekles saskaņā ar Regulas (ES) Nr. 575/2013 314. panta 5. punktu netiek iekļauta.</w:t>
            </w:r>
          </w:p>
          <w:p w14:paraId="685D1BC1" w14:textId="04DD0137" w:rsidR="00695D35" w:rsidRPr="007E2C69" w:rsidRDefault="00695D35" w:rsidP="003826D3">
            <w:pPr>
              <w:spacing w:before="60" w:after="120"/>
              <w:jc w:val="both"/>
              <w:rPr>
                <w:rStyle w:val="InstructionsTabelleberschrift"/>
                <w:rFonts w:ascii="Times New Roman" w:eastAsia="Times New Roman" w:hAnsi="Times New Roman"/>
                <w:b w:val="0"/>
                <w:bCs w:val="0"/>
                <w:sz w:val="24"/>
                <w:u w:val="none"/>
              </w:rPr>
            </w:pPr>
            <w:r w:rsidRPr="007E2C69">
              <w:rPr>
                <w:rFonts w:ascii="Times New Roman" w:hAnsi="Times New Roman"/>
                <w:sz w:val="24"/>
              </w:rPr>
              <w:t>Šīs rindas summu aprēķina saskaņā ar Regulas (ES) Nr. 575/2013 314. panta 5. punktu.</w:t>
            </w:r>
          </w:p>
        </w:tc>
      </w:tr>
      <w:tr w:rsidR="003826D3" w:rsidRPr="007E2C69"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7E2C69" w:rsidRDefault="003826D3" w:rsidP="003826D3">
            <w:pPr>
              <w:spacing w:before="60" w:after="120"/>
              <w:jc w:val="both"/>
              <w:rPr>
                <w:rStyle w:val="InstructionsTabelleberschrift"/>
                <w:rFonts w:ascii="Times New Roman" w:eastAsia="Times New Roman" w:hAnsi="Times New Roman"/>
                <w:sz w:val="24"/>
                <w:u w:val="none"/>
              </w:rPr>
            </w:pPr>
            <w:r w:rsidRPr="007E2C69">
              <w:rPr>
                <w:rStyle w:val="InstructionsTabelleberschrift"/>
                <w:rFonts w:ascii="Times New Roman" w:hAnsi="Times New Roman"/>
                <w:sz w:val="24"/>
                <w:u w:val="none"/>
              </w:rPr>
              <w:t>Citi darbības izdevumi</w:t>
            </w:r>
          </w:p>
          <w:p w14:paraId="13FCDFA5" w14:textId="269315A4" w:rsidR="00B722D0" w:rsidRPr="007E2C69" w:rsidRDefault="009816D6" w:rsidP="003826D3">
            <w:pPr>
              <w:spacing w:before="60" w:after="120"/>
              <w:jc w:val="both"/>
              <w:rPr>
                <w:rFonts w:ascii="Times New Roman" w:eastAsia="Times New Roman" w:hAnsi="Times New Roman" w:cs="Times New Roman"/>
                <w:sz w:val="24"/>
              </w:rPr>
            </w:pPr>
            <w:r w:rsidRPr="007E2C69">
              <w:rPr>
                <w:rFonts w:ascii="Times New Roman" w:hAnsi="Times New Roman"/>
                <w:sz w:val="24"/>
              </w:rPr>
              <w:t>Citi darbības izdevumi, tostarp:</w:t>
            </w:r>
          </w:p>
          <w:p w14:paraId="0E760CEE" w14:textId="74A56BE8" w:rsidR="00643568" w:rsidRPr="007E2C69" w:rsidRDefault="004D0A0E" w:rsidP="002A26E9">
            <w:pPr>
              <w:pStyle w:val="ListParagraph"/>
              <w:numPr>
                <w:ilvl w:val="0"/>
                <w:numId w:val="9"/>
              </w:numPr>
              <w:spacing w:before="60" w:after="120"/>
              <w:jc w:val="both"/>
              <w:rPr>
                <w:rFonts w:ascii="Times New Roman" w:eastAsia="Times New Roman" w:hAnsi="Times New Roman"/>
                <w:sz w:val="24"/>
              </w:rPr>
            </w:pPr>
            <w:r w:rsidRPr="007E2C69">
              <w:rPr>
                <w:rFonts w:ascii="Times New Roman" w:hAnsi="Times New Roman"/>
                <w:sz w:val="24"/>
              </w:rPr>
              <w:t>zaudējumi no ilgtermiņa aktīviem un atsavināmām grupām, kas klasificētas kā pārdošanai turētas un nekvalificējas kā pārtrauktas darbības: zaudējumi, kas nav radušies operacionālā riska notikumu dēļ no ilgtermiņa aktīviem un atsavināmām grupām, kas klasificētas kā pārdošanai turētas un nekvalificējas kā pārtrauktas darbības saskaņā ar EBI IT risinājumu V pielikuma 2. daļas 55. punktu. Jāziņo tikai par zaudējumiem; peļņas gadījumā šajā rindā vērtība tiek uzskatīta par nulli;</w:t>
            </w:r>
          </w:p>
          <w:p w14:paraId="0334035E" w14:textId="19D6E763" w:rsidR="00EE7608" w:rsidRPr="007E2C69" w:rsidRDefault="004D0A0E" w:rsidP="00EE7608">
            <w:pPr>
              <w:pStyle w:val="ListParagraph"/>
              <w:numPr>
                <w:ilvl w:val="0"/>
                <w:numId w:val="9"/>
              </w:numPr>
              <w:spacing w:before="60" w:after="120"/>
              <w:jc w:val="both"/>
              <w:rPr>
                <w:rFonts w:ascii="Times New Roman" w:eastAsia="Times New Roman" w:hAnsi="Times New Roman"/>
                <w:sz w:val="24"/>
              </w:rPr>
            </w:pPr>
            <w:r w:rsidRPr="007E2C69">
              <w:rPr>
                <w:rFonts w:ascii="Times New Roman" w:hAnsi="Times New Roman"/>
                <w:sz w:val="24"/>
              </w:rPr>
              <w:t>kopējie zaudējumi, izdevumi, uzkrājumi un cita veida finansiālā ietekme, kas saistīta ar operacionālo risku notikumiem: visu zaudējumu, izdevumu, uzkrājumu un cita veida finansiālās ietekmes summa, kas saistīta ar operacionālo risku notikumiem, kā norādīts EBI IT risinājumu I pielikuma C.16.03 veidnes 0080. rindā;</w:t>
            </w:r>
          </w:p>
          <w:p w14:paraId="2C93E8CD" w14:textId="64776E12" w:rsidR="004D0A0E" w:rsidRPr="007E2C69" w:rsidRDefault="00A37C45" w:rsidP="00EE7608">
            <w:pPr>
              <w:pStyle w:val="ListParagraph"/>
              <w:numPr>
                <w:ilvl w:val="0"/>
                <w:numId w:val="9"/>
              </w:numPr>
              <w:spacing w:before="60" w:after="120"/>
              <w:jc w:val="both"/>
              <w:rPr>
                <w:rFonts w:ascii="Times New Roman" w:eastAsia="Times New Roman" w:hAnsi="Times New Roman"/>
                <w:sz w:val="24"/>
              </w:rPr>
            </w:pPr>
            <w:r w:rsidRPr="007E2C69">
              <w:rPr>
                <w:rFonts w:ascii="Times New Roman" w:hAnsi="Times New Roman"/>
                <w:sz w:val="24"/>
              </w:rPr>
              <w:t>citi darbības izdevumi, kas nav saistīti ar operacionālā riska notikumiem, saskaņā ar EBI IT risinājumu V pielikuma 2. daļas 314. un 316. punktu, norādot:</w:t>
            </w:r>
          </w:p>
          <w:p w14:paraId="01D56412" w14:textId="77777777" w:rsidR="004A5BBA" w:rsidRPr="007E2C69" w:rsidRDefault="004A5BBA" w:rsidP="004A5BBA">
            <w:pPr>
              <w:pStyle w:val="ListParagraph"/>
              <w:numPr>
                <w:ilvl w:val="1"/>
                <w:numId w:val="10"/>
              </w:numPr>
              <w:spacing w:before="60" w:after="120"/>
              <w:jc w:val="both"/>
              <w:rPr>
                <w:rFonts w:ascii="Times New Roman" w:eastAsia="Times New Roman" w:hAnsi="Times New Roman"/>
                <w:sz w:val="24"/>
              </w:rPr>
            </w:pPr>
            <w:r w:rsidRPr="007E2C69">
              <w:rPr>
                <w:rFonts w:ascii="Times New Roman" w:hAnsi="Times New Roman"/>
                <w:sz w:val="24"/>
              </w:rPr>
              <w:t>izdevumus no materiālo aktīvu patiesās vērtības izmaiņām, kas mērītas, izmantojot patiesās vērtības modeli, izņemot izdevumus no ieguldījumu īpašumu patiesās vērtības izmaiņām, kas rada īres maksu un tiek mērīti, izmantojot patiesās vērtības modeli, no operatīvās nomas aktīviem;</w:t>
            </w:r>
          </w:p>
          <w:p w14:paraId="726CB5AB" w14:textId="426E3DFA" w:rsidR="004A5BBA" w:rsidRPr="007E2C69"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7E2C69" w:rsidRDefault="004A5BBA" w:rsidP="004A5BBA">
            <w:pPr>
              <w:pStyle w:val="ListParagraph"/>
              <w:numPr>
                <w:ilvl w:val="1"/>
                <w:numId w:val="10"/>
              </w:numPr>
              <w:spacing w:before="60" w:after="120"/>
              <w:jc w:val="both"/>
              <w:rPr>
                <w:rFonts w:ascii="Times New Roman" w:eastAsia="Times New Roman" w:hAnsi="Times New Roman"/>
                <w:sz w:val="24"/>
              </w:rPr>
            </w:pPr>
            <w:r w:rsidRPr="007E2C69">
              <w:rPr>
                <w:rFonts w:ascii="Times New Roman" w:hAnsi="Times New Roman"/>
                <w:sz w:val="24"/>
              </w:rPr>
              <w:t>pārējos citus darbības izdevumus (Citi darbības izdevumi) saskaņā ar EBI IT risinājumu V pielikuma 2. daļas 314. un 316. punktu, ja tie nav saistīti ar nomas aktīviem.</w:t>
            </w:r>
          </w:p>
          <w:p w14:paraId="6CDC5FBE" w14:textId="54C68FB7" w:rsidR="004A3C86" w:rsidRPr="007E2C69" w:rsidRDefault="004A3C86" w:rsidP="00EE7608">
            <w:pPr>
              <w:spacing w:before="6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Citu darbības izdevumu summa, kas izmaksāta iestādēm, kuras ir tās pašas institucionālās aizsardzības shēmas locekles saskaņā ar Regulas (ES) Nr. 575/2013 314. panta 5. punktu netiek iekļauta.</w:t>
            </w:r>
          </w:p>
          <w:p w14:paraId="6F1C30F0" w14:textId="3B05E985" w:rsidR="003826D3" w:rsidRPr="007E2C69" w:rsidRDefault="00DE3384" w:rsidP="003826D3">
            <w:pPr>
              <w:spacing w:before="60" w:after="120"/>
              <w:jc w:val="both"/>
              <w:rPr>
                <w:rStyle w:val="InstructionsTabelleberschrift"/>
                <w:rFonts w:ascii="Times New Roman" w:eastAsia="Times New Roman" w:hAnsi="Times New Roman"/>
                <w:sz w:val="24"/>
              </w:rPr>
            </w:pPr>
            <w:r w:rsidRPr="007E2C69">
              <w:rPr>
                <w:rFonts w:ascii="Times New Roman" w:hAnsi="Times New Roman"/>
                <w:sz w:val="24"/>
              </w:rPr>
              <w:t>Šīs rindas summu aprēķina saskaņā ar Regulas (ES) Nr. 575/2013 314. panta 5. punktu.</w:t>
            </w:r>
          </w:p>
        </w:tc>
      </w:tr>
      <w:tr w:rsidR="003826D3" w:rsidRPr="007E2C69"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Finanšu komponents (</w:t>
            </w:r>
            <w:r w:rsidRPr="007E2C69">
              <w:rPr>
                <w:rStyle w:val="InstructionsTabelleberschrift"/>
                <w:rFonts w:ascii="Times New Roman" w:hAnsi="Times New Roman"/>
                <w:i/>
                <w:iCs/>
                <w:sz w:val="24"/>
                <w:u w:val="none"/>
              </w:rPr>
              <w:t>FC</w:t>
            </w:r>
            <w:r w:rsidRPr="007E2C69">
              <w:rPr>
                <w:rStyle w:val="InstructionsTabelleberschrift"/>
                <w:rFonts w:ascii="Times New Roman" w:hAnsi="Times New Roman"/>
                <w:sz w:val="24"/>
                <w:u w:val="none"/>
              </w:rPr>
              <w:t>)</w:t>
            </w:r>
          </w:p>
          <w:p w14:paraId="1C2CD9AE" w14:textId="16B8F7FC" w:rsidR="003826D3" w:rsidRPr="007E2C69" w:rsidRDefault="00DE3384" w:rsidP="003826D3">
            <w:pPr>
              <w:spacing w:before="6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Finanšu komponentu (</w:t>
            </w:r>
            <w:r w:rsidRPr="007E2C69">
              <w:rPr>
                <w:rStyle w:val="InstructionsTabelleberschrift"/>
                <w:rFonts w:ascii="Times New Roman" w:hAnsi="Times New Roman"/>
                <w:b w:val="0"/>
                <w:i/>
                <w:iCs/>
                <w:sz w:val="24"/>
                <w:u w:val="none"/>
              </w:rPr>
              <w:t>FC</w:t>
            </w:r>
            <w:r w:rsidRPr="007E2C69">
              <w:rPr>
                <w:rStyle w:val="InstructionsTabelleberschrift"/>
                <w:rFonts w:ascii="Times New Roman" w:hAnsi="Times New Roman"/>
                <w:b w:val="0"/>
                <w:sz w:val="24"/>
                <w:u w:val="none"/>
              </w:rPr>
              <w:t xml:space="preserve">) aprēķina saskaņā ar Regulas (ES) Nr. 575/2013 314. panta 6. punktu. </w:t>
            </w:r>
            <w:r w:rsidRPr="007E2C69">
              <w:rPr>
                <w:rFonts w:ascii="Times New Roman" w:hAnsi="Times New Roman"/>
                <w:sz w:val="24"/>
              </w:rPr>
              <w:t xml:space="preserve">Ja uz iestādi attiecas Regulas (ES) Nr. 575/2013 314. panta 4. punktā minētā atkāpe, iestāde neiekļauj nekādus skaitļus no bankas </w:t>
            </w:r>
            <w:proofErr w:type="spellStart"/>
            <w:r w:rsidRPr="007E2C69">
              <w:rPr>
                <w:rFonts w:ascii="Times New Roman" w:hAnsi="Times New Roman"/>
                <w:sz w:val="24"/>
              </w:rPr>
              <w:t>privātklientu</w:t>
            </w:r>
            <w:proofErr w:type="spellEnd"/>
            <w:r w:rsidRPr="007E2C69">
              <w:rPr>
                <w:rFonts w:ascii="Times New Roman" w:hAnsi="Times New Roman"/>
                <w:sz w:val="24"/>
              </w:rPr>
              <w:t xml:space="preserve"> pakalpojumu un komercbanku pakalpojumu darbības jomām.</w:t>
            </w:r>
          </w:p>
        </w:tc>
      </w:tr>
      <w:tr w:rsidR="003826D3" w:rsidRPr="007E2C69"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Neto peļņa vai zaudējumi, kas piemērojami tirdzniecības portfelim (</w:t>
            </w:r>
            <w:r w:rsidRPr="007E2C69">
              <w:rPr>
                <w:rStyle w:val="InstructionsTabelleberschrift"/>
                <w:rFonts w:ascii="Times New Roman" w:hAnsi="Times New Roman"/>
                <w:i/>
                <w:iCs/>
                <w:sz w:val="24"/>
                <w:u w:val="none"/>
              </w:rPr>
              <w:t>TB</w:t>
            </w:r>
            <w:r w:rsidRPr="007E2C69">
              <w:rPr>
                <w:rStyle w:val="InstructionsTabelleberschrift"/>
                <w:rFonts w:ascii="Times New Roman" w:hAnsi="Times New Roman"/>
                <w:sz w:val="24"/>
                <w:u w:val="none"/>
              </w:rPr>
              <w:t>)</w:t>
            </w:r>
          </w:p>
          <w:p w14:paraId="4E177CA3" w14:textId="4C472892" w:rsidR="003826D3" w:rsidRPr="007E2C69" w:rsidRDefault="003826D3" w:rsidP="003826D3">
            <w:pPr>
              <w:spacing w:before="60" w:after="120"/>
              <w:jc w:val="both"/>
              <w:rPr>
                <w:rStyle w:val="InstructionsTabelleberschrift"/>
                <w:rFonts w:ascii="Times New Roman" w:hAnsi="Times New Roman"/>
                <w:b w:val="0"/>
                <w:bCs w:val="0"/>
                <w:sz w:val="24"/>
                <w:u w:val="none"/>
              </w:rPr>
            </w:pPr>
            <w:r w:rsidRPr="007E2C69">
              <w:rPr>
                <w:rStyle w:val="InstructionsTabelleberschrift"/>
                <w:rFonts w:ascii="Times New Roman" w:hAnsi="Times New Roman"/>
                <w:b w:val="0"/>
                <w:sz w:val="24"/>
                <w:u w:val="none"/>
              </w:rPr>
              <w:t>Tirdzniecības portfelim piemērojamo tīro peļņu vai zaudējumus aprēķina kā šādu summu:</w:t>
            </w:r>
          </w:p>
          <w:p w14:paraId="6324889B" w14:textId="380EDA28" w:rsidR="008A379C" w:rsidRPr="007E2C69" w:rsidRDefault="008A379C" w:rsidP="00232265">
            <w:pPr>
              <w:pStyle w:val="Style1"/>
              <w:rPr>
                <w:rStyle w:val="InstructionsTabelleberschrift"/>
                <w:rFonts w:ascii="Times New Roman" w:hAnsi="Times New Roman"/>
                <w:b w:val="0"/>
                <w:bCs w:val="0"/>
                <w:sz w:val="24"/>
                <w:u w:val="none"/>
              </w:rPr>
            </w:pPr>
            <w:r w:rsidRPr="007E2C69">
              <w:rPr>
                <w:u w:val="single"/>
              </w:rPr>
              <w:t>peļņa vai (–) zaudējumi no tirdzniecības nolūkā turētiem finanšu aktīviem un saistībām, neto</w:t>
            </w:r>
            <w:r w:rsidRPr="007E2C69">
              <w:t>: peļņa vai (–) zaudējumi no tirdzniecības nolūkā turētiem finanšu aktīviem un saistībām saskaņā ar EBI IT risinājumu V pielikuma 2. daļas 43. un 46. punktu vai no tirdzniecības finanšu aktīviem un saistībām saskaņā ar Padomes Direktīvas 86/635/EEK (“Banku uzskaites direktīva” jeb “BUD”) 27. pantu. Vertikālais izkārtojums(6);</w:t>
            </w:r>
          </w:p>
          <w:p w14:paraId="0B998657" w14:textId="654F8692" w:rsidR="008A379C" w:rsidRPr="007E2C69" w:rsidRDefault="008A379C" w:rsidP="00232265">
            <w:pPr>
              <w:pStyle w:val="Style1"/>
              <w:rPr>
                <w:rStyle w:val="InstructionsTabelleberschrift"/>
                <w:rFonts w:ascii="Times New Roman" w:hAnsi="Times New Roman"/>
                <w:b w:val="0"/>
                <w:bCs w:val="0"/>
                <w:sz w:val="24"/>
                <w:u w:val="none"/>
              </w:rPr>
            </w:pPr>
            <w:r w:rsidRPr="007E2C69">
              <w:rPr>
                <w:u w:val="single"/>
              </w:rPr>
              <w:t>ieguvumi vai (–) zaudējumi no riska ierobežošanas uzskaites, neto</w:t>
            </w:r>
            <w:r w:rsidRPr="007E2C69">
              <w:t>: ieguvumi vai (–) zaudējumi no riska ierobežošanas uzskaites, neto saskaņā ar tirdzniecības portfeļa komponentu tikai tajos izņēmuma gadījumos, kad riska ierobežošanas uzskaite, kas aprēķināta saskaņā ar EBI IT risinājumu V pielikuma 2. daļas 47.  punktu vai saskaņā ar Grāmatvedības direktīvas 8. panta 1. punkta a) apakšpunktu, 6. punktu un 8. punktu, tiek izmantota, lai ierobežotu risku saistībā ar tirdzniecībai turētiem finanšu aktīviem un pasīviem vai tirdzniecības finanšu aktīviem un pasīviem; un</w:t>
            </w:r>
          </w:p>
          <w:p w14:paraId="1BC37DE4" w14:textId="36EA6A27" w:rsidR="008A379C" w:rsidRPr="007E2C69" w:rsidRDefault="008A379C" w:rsidP="00232265">
            <w:pPr>
              <w:pStyle w:val="Style1"/>
              <w:rPr>
                <w:rStyle w:val="InstructionsTabelleberschrift"/>
                <w:rFonts w:ascii="Times New Roman" w:hAnsi="Times New Roman"/>
                <w:b w:val="0"/>
                <w:bCs w:val="0"/>
                <w:sz w:val="24"/>
                <w:u w:val="none"/>
              </w:rPr>
            </w:pPr>
            <w:r w:rsidRPr="007E2C69">
              <w:rPr>
                <w:u w:val="single"/>
              </w:rPr>
              <w:t>Valūtas kursa izmaiņas [peļņa vai (–) zaudējumi], kas saistītas ar tirdzniecības portfeli, neto</w:t>
            </w:r>
            <w:r w:rsidRPr="007E2C69">
              <w:t>: valūtas kursa izmaiņām [neto peļņa vai (–) zaudējumi] tikai tad, ja šādas atšķirības, kas aprēķinātas saskaņā ar 21.28. SGS 52. punkta a) apakšpunktu vai saskaņā ar BUD 39. pantu, izriet no tirdzniecības nolūkā turētiem finanšu aktīviem un saistībām vai tirdzniecības finanšu aktīviem un saistībām.</w:t>
            </w:r>
          </w:p>
          <w:p w14:paraId="761552C0" w14:textId="5BF82331" w:rsidR="001E5563" w:rsidRPr="007E2C69" w:rsidRDefault="001E5563" w:rsidP="00C65626">
            <w:pPr>
              <w:pStyle w:val="paragraph"/>
              <w:textAlignment w:val="baseline"/>
              <w:rPr>
                <w:rStyle w:val="InstructionsTabelleberschrift"/>
                <w:rFonts w:ascii="Segoe UI" w:hAnsi="Segoe UI" w:cs="Segoe UI"/>
              </w:rPr>
            </w:pPr>
            <w:r w:rsidRPr="007E2C69">
              <w:t xml:space="preserve">Atklājamās vērtības atspoguļos uzskaites vērtības, kas noteiktas, izmantojot grāmatvedības robežu vai </w:t>
            </w:r>
            <w:proofErr w:type="spellStart"/>
            <w:r w:rsidRPr="007E2C69">
              <w:t>prudenciālo</w:t>
            </w:r>
            <w:proofErr w:type="spellEnd"/>
            <w:r w:rsidRPr="007E2C69">
              <w:t xml:space="preserve"> robežu (</w:t>
            </w:r>
            <w:r w:rsidRPr="007E2C69">
              <w:rPr>
                <w:i/>
                <w:iCs/>
              </w:rPr>
              <w:t>PBA</w:t>
            </w:r>
            <w:r w:rsidRPr="007E2C69">
              <w:t>), lai identificētu tirdzniecības portfeļa un bankas portfeļa posteņus par katru no pēdējiem trim finanšu gadiem saskaņā ar Regulas (ES) Nr. 575/2013 314. panta 6. punktu.</w:t>
            </w:r>
          </w:p>
        </w:tc>
      </w:tr>
      <w:tr w:rsidR="003826D3" w:rsidRPr="007E2C69"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Neto peļņa vai zaudējumi, ko piemēro bankas portfelim (</w:t>
            </w:r>
            <w:r w:rsidRPr="007E2C69">
              <w:rPr>
                <w:rStyle w:val="InstructionsTabelleberschrift"/>
                <w:rFonts w:ascii="Times New Roman" w:hAnsi="Times New Roman"/>
                <w:i/>
                <w:iCs/>
                <w:sz w:val="24"/>
                <w:u w:val="none"/>
              </w:rPr>
              <w:t>BB</w:t>
            </w:r>
            <w:r w:rsidRPr="007E2C69">
              <w:rPr>
                <w:rStyle w:val="InstructionsTabelleberschrift"/>
                <w:rFonts w:ascii="Times New Roman" w:hAnsi="Times New Roman"/>
                <w:sz w:val="24"/>
                <w:u w:val="none"/>
              </w:rPr>
              <w:t>)</w:t>
            </w:r>
          </w:p>
          <w:p w14:paraId="16F13570" w14:textId="0B537F1A" w:rsidR="003826D3" w:rsidRPr="007E2C69" w:rsidRDefault="003826D3" w:rsidP="003826D3">
            <w:pPr>
              <w:spacing w:before="6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Bankas portfelim piemērojamo tīro peļņu vai zaudējumus aprēķina kā šādu summu:</w:t>
            </w:r>
          </w:p>
          <w:p w14:paraId="4816B36A" w14:textId="59F72F36" w:rsidR="008F0781" w:rsidRPr="007E2C69" w:rsidRDefault="008F0781" w:rsidP="00232265">
            <w:pPr>
              <w:pStyle w:val="Style1"/>
            </w:pPr>
            <w:r w:rsidRPr="007E2C69">
              <w:rPr>
                <w:u w:val="single"/>
              </w:rPr>
              <w:t>peļņa vai (–) zaudējumi, pārtraucot atzīt finanšu aktīvus un saistības, kas nav novērtēti patiesajā vērtībā ar atspoguļojumu peļņas vai zaudējumu aprēķinā, neto</w:t>
            </w:r>
            <w:r w:rsidRPr="007E2C69">
              <w:t>: peļņa vai (–) zaudējumi, pārtraucot atzīt finanšu aktīvus un saistības, kas nav novērtēti patiesajā vērtībā ar atspoguļojumu peļņas vai zaudējumu aprēķinā, neto saskaņā ar V pielikuma 2. daļas 45. punktu EBI IT risinājumiem vai BUD 27. pantam. Vertikālā struktūra (6. pants);</w:t>
            </w:r>
          </w:p>
          <w:p w14:paraId="29EDCF43" w14:textId="7ADB0AAC" w:rsidR="008F0781" w:rsidRPr="007E2C69" w:rsidRDefault="008F0781" w:rsidP="00232265">
            <w:pPr>
              <w:pStyle w:val="Style1"/>
            </w:pPr>
            <w:r w:rsidRPr="007E2C69">
              <w:rPr>
                <w:u w:val="single"/>
              </w:rPr>
              <w:t xml:space="preserve">peļņa vai (–) zaudējumi no </w:t>
            </w:r>
            <w:proofErr w:type="spellStart"/>
            <w:r w:rsidRPr="007E2C69">
              <w:rPr>
                <w:u w:val="single"/>
              </w:rPr>
              <w:t>netirdzniecības</w:t>
            </w:r>
            <w:proofErr w:type="spellEnd"/>
            <w:r w:rsidRPr="007E2C69">
              <w:rPr>
                <w:u w:val="single"/>
              </w:rPr>
              <w:t xml:space="preserve"> finanšu aktīviem, kas obligāti novērtējami patiesajā vērtībā ar atspoguļojumu peļņas vai zaudējumu aprēķinā, neto</w:t>
            </w:r>
            <w:r w:rsidRPr="007E2C69">
              <w:t xml:space="preserve">: ziņo par peļņu vai (–) zaudējumiem no </w:t>
            </w:r>
            <w:proofErr w:type="spellStart"/>
            <w:r w:rsidRPr="007E2C69">
              <w:t>netirdzniecības</w:t>
            </w:r>
            <w:proofErr w:type="spellEnd"/>
            <w:r w:rsidRPr="007E2C69">
              <w:t xml:space="preserve"> finanšu aktīviem, kas obligāti jāuzrāda patiesajā vērtībā ar atspoguļojumu peļņas vai zaudējumu aprēķinā, neto saskaņā ar EBI IT risinājumu V pielikuma 2. daļas 46. punktu;</w:t>
            </w:r>
          </w:p>
          <w:p w14:paraId="23350A71" w14:textId="40356371" w:rsidR="008F0781" w:rsidRPr="007E2C69" w:rsidRDefault="008F0781" w:rsidP="00232265">
            <w:pPr>
              <w:pStyle w:val="Style1"/>
            </w:pPr>
            <w:r w:rsidRPr="007E2C69">
              <w:rPr>
                <w:u w:val="single"/>
              </w:rPr>
              <w:lastRenderedPageBreak/>
              <w:t>peļņa vai (–) zaudējumi no finanšu aktīviem un pasīviem, kas novērtēti pēc patiesās vērtības caur peļņu vai zaudējumiem, neto</w:t>
            </w:r>
            <w:r w:rsidRPr="007E2C69">
              <w:t>: peļņa vai (–) zaudējumi no finanšu aktīviem un pasīviem, kas novērtēti pēc patiesās vērtības caur peļņu vai zaudējumiem, neto saskaņā ar EBI IT risinājumu V pielikuma 2. daļas 44. punktu;</w:t>
            </w:r>
          </w:p>
          <w:p w14:paraId="44DE675E" w14:textId="5B34C2BC" w:rsidR="008F0781" w:rsidRPr="007E2C69" w:rsidRDefault="008F0781" w:rsidP="00232265">
            <w:pPr>
              <w:pStyle w:val="Style1"/>
            </w:pPr>
            <w:r w:rsidRPr="007E2C69">
              <w:rPr>
                <w:u w:val="single"/>
              </w:rPr>
              <w:t>peļņa vai (–) zaudējumi no riska ierobežošanas uzskaites, kas saistītas ar bankas portfeli, neto</w:t>
            </w:r>
            <w:r w:rsidRPr="007E2C69">
              <w:t>: peļņa vai (–) zaudējumi no riska ierobežošanas uzskaites, neto saskaņā ar EBI IT risinājumu V pielikuma 2. daļas 47. punktu vai saskaņā ar Grāmatvedības direktīvas 8. panta 1. punkta a) apakšpunktu, 6. un 8. punktu, ja šie ienākumi vai zaudējumi rodas no bankas portfelī turētiem finanšu aktīviem un saistībām; un</w:t>
            </w:r>
          </w:p>
          <w:p w14:paraId="23306495" w14:textId="6A259674" w:rsidR="008F0781" w:rsidRPr="007E2C69" w:rsidRDefault="008F0781" w:rsidP="00232265">
            <w:pPr>
              <w:pStyle w:val="Style1"/>
            </w:pPr>
            <w:r w:rsidRPr="007E2C69">
              <w:rPr>
                <w:u w:val="single"/>
              </w:rPr>
              <w:t>valūtas kursa izmaiņas [peļņa vai (–) zaudējumi], kas saistītas ar bankas portfeli, neto</w:t>
            </w:r>
            <w:r w:rsidRPr="007E2C69">
              <w:t>: valūtas kursa izmaiņas [peļņa vai (–) zaudējumi], neto saskaņā ar 21. SGS 28. punktu, 52. panta a) apakšpunktu vai saskaņā ar BUD 39. pantu, ja šīs atšķirības rodas no banku portfelī turētiem finanšu aktīviem un saistībām.</w:t>
            </w:r>
          </w:p>
          <w:p w14:paraId="3E9BB5BF" w14:textId="1D3FC8A9" w:rsidR="00F26A2D" w:rsidRPr="007E2C69" w:rsidRDefault="001E5563" w:rsidP="00F26A2D">
            <w:pPr>
              <w:spacing w:before="60" w:after="120"/>
              <w:jc w:val="both"/>
              <w:rPr>
                <w:rStyle w:val="InstructionsTabelleberschrift"/>
                <w:rFonts w:asciiTheme="majorBidi" w:hAnsiTheme="majorBidi" w:cstheme="majorBidi"/>
                <w:sz w:val="24"/>
                <w:u w:val="none"/>
              </w:rPr>
            </w:pPr>
            <w:r w:rsidRPr="007E2C69">
              <w:rPr>
                <w:rFonts w:asciiTheme="majorBidi" w:hAnsiTheme="majorBidi"/>
                <w:sz w:val="24"/>
              </w:rPr>
              <w:t xml:space="preserve">Atklājamās vērtības atspoguļos uzskaites vērtības, kas noteiktas, izmantojot grāmatvedības robežu vai </w:t>
            </w:r>
            <w:proofErr w:type="spellStart"/>
            <w:r w:rsidRPr="007E2C69">
              <w:rPr>
                <w:rFonts w:asciiTheme="majorBidi" w:hAnsiTheme="majorBidi"/>
                <w:sz w:val="24"/>
              </w:rPr>
              <w:t>prudenciālo</w:t>
            </w:r>
            <w:proofErr w:type="spellEnd"/>
            <w:r w:rsidRPr="007E2C69">
              <w:rPr>
                <w:rFonts w:asciiTheme="majorBidi" w:hAnsiTheme="majorBidi"/>
                <w:sz w:val="24"/>
              </w:rPr>
              <w:t xml:space="preserve"> robežu (</w:t>
            </w:r>
            <w:r w:rsidRPr="007E2C69">
              <w:rPr>
                <w:rFonts w:asciiTheme="majorBidi" w:hAnsiTheme="majorBidi"/>
                <w:i/>
                <w:iCs/>
                <w:sz w:val="24"/>
              </w:rPr>
              <w:t>PBA</w:t>
            </w:r>
            <w:r w:rsidRPr="007E2C69">
              <w:rPr>
                <w:rFonts w:asciiTheme="majorBidi" w:hAnsiTheme="majorBidi"/>
                <w:sz w:val="24"/>
              </w:rPr>
              <w:t>), lai identificētu tirdzniecības portfeļa un bankas portfeļa posteņus par katru no pēdējiem trim finanšu gadiem saskaņā ar Regulas (ES) Nr. 575/2013 314. panta 6. punktu.</w:t>
            </w:r>
          </w:p>
        </w:tc>
      </w:tr>
      <w:tr w:rsidR="003826D3" w:rsidRPr="007E2C69"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lastRenderedPageBreak/>
              <w:t>ES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7E2C69" w:rsidRDefault="008C3E6A"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 xml:space="preserve">Pieeja, kas izmantota, lai noteiktu </w:t>
            </w:r>
            <w:r w:rsidRPr="007E2C69">
              <w:rPr>
                <w:rStyle w:val="InstructionsTabelleberschrift"/>
                <w:rFonts w:ascii="Times New Roman" w:hAnsi="Times New Roman"/>
                <w:i/>
                <w:iCs/>
                <w:sz w:val="24"/>
                <w:u w:val="none"/>
              </w:rPr>
              <w:t>TB</w:t>
            </w:r>
            <w:r w:rsidRPr="007E2C69">
              <w:rPr>
                <w:rStyle w:val="InstructionsTabelleberschrift"/>
                <w:rFonts w:ascii="Times New Roman" w:hAnsi="Times New Roman"/>
                <w:sz w:val="24"/>
                <w:u w:val="none"/>
              </w:rPr>
              <w:t>/</w:t>
            </w:r>
            <w:r w:rsidRPr="007E2C69">
              <w:rPr>
                <w:rStyle w:val="InstructionsTabelleberschrift"/>
                <w:rFonts w:ascii="Times New Roman" w:hAnsi="Times New Roman"/>
                <w:i/>
                <w:iCs/>
                <w:sz w:val="24"/>
                <w:u w:val="none"/>
              </w:rPr>
              <w:t>BB</w:t>
            </w:r>
            <w:r w:rsidRPr="007E2C69">
              <w:rPr>
                <w:rStyle w:val="InstructionsTabelleberschrift"/>
                <w:rFonts w:ascii="Times New Roman" w:hAnsi="Times New Roman"/>
                <w:sz w:val="24"/>
                <w:u w:val="none"/>
              </w:rPr>
              <w:t xml:space="preserve"> robežu (</w:t>
            </w:r>
            <w:r w:rsidRPr="007E2C69">
              <w:rPr>
                <w:rStyle w:val="InstructionsTabelleberschrift"/>
                <w:rFonts w:ascii="Times New Roman" w:hAnsi="Times New Roman"/>
                <w:i/>
                <w:iCs/>
                <w:sz w:val="24"/>
                <w:u w:val="none"/>
              </w:rPr>
              <w:t>PBA</w:t>
            </w:r>
            <w:r w:rsidRPr="007E2C69">
              <w:rPr>
                <w:rStyle w:val="InstructionsTabelleberschrift"/>
                <w:rFonts w:ascii="Times New Roman" w:hAnsi="Times New Roman"/>
                <w:sz w:val="24"/>
                <w:u w:val="none"/>
              </w:rPr>
              <w:t xml:space="preserve"> vai grāmatvedības pieeja)</w:t>
            </w:r>
          </w:p>
          <w:p w14:paraId="00A81A34" w14:textId="0A7D6D1A" w:rsidR="003826D3" w:rsidRPr="007E2C69" w:rsidRDefault="003826D3" w:rsidP="003826D3">
            <w:pPr>
              <w:spacing w:before="60" w:after="120"/>
              <w:jc w:val="both"/>
              <w:rPr>
                <w:rStyle w:val="InstructionsTabelleberschrift"/>
                <w:rFonts w:ascii="Times New Roman" w:eastAsia="Times New Roman" w:hAnsi="Times New Roman"/>
                <w:b w:val="0"/>
                <w:bCs w:val="0"/>
                <w:sz w:val="24"/>
                <w:u w:val="none"/>
              </w:rPr>
            </w:pPr>
            <w:r w:rsidRPr="007E2C69">
              <w:rPr>
                <w:rStyle w:val="InstructionsTabelleberschrift"/>
                <w:rFonts w:ascii="Times New Roman" w:hAnsi="Times New Roman"/>
                <w:b w:val="0"/>
                <w:sz w:val="24"/>
                <w:u w:val="none"/>
              </w:rPr>
              <w:t xml:space="preserve">Atsauces datumā izmantotā pieeja, lai noteiktu </w:t>
            </w:r>
            <w:r w:rsidRPr="007E2C69">
              <w:rPr>
                <w:rStyle w:val="InstructionsTabelleberschrift"/>
                <w:rFonts w:ascii="Times New Roman" w:hAnsi="Times New Roman"/>
                <w:b w:val="0"/>
                <w:i/>
                <w:iCs/>
                <w:sz w:val="24"/>
                <w:u w:val="none"/>
              </w:rPr>
              <w:t>FC</w:t>
            </w:r>
            <w:r w:rsidRPr="007E2C69">
              <w:rPr>
                <w:rStyle w:val="InstructionsTabelleberschrift"/>
                <w:rFonts w:ascii="Times New Roman" w:hAnsi="Times New Roman"/>
                <w:b w:val="0"/>
                <w:sz w:val="24"/>
                <w:u w:val="none"/>
              </w:rPr>
              <w:t xml:space="preserve">: grāmatvedības vai </w:t>
            </w:r>
            <w:proofErr w:type="spellStart"/>
            <w:r w:rsidRPr="007E2C69">
              <w:rPr>
                <w:rStyle w:val="InstructionsTabelleberschrift"/>
                <w:rFonts w:ascii="Times New Roman" w:hAnsi="Times New Roman"/>
                <w:b w:val="0"/>
                <w:sz w:val="24"/>
                <w:u w:val="none"/>
              </w:rPr>
              <w:t>prudenciālā</w:t>
            </w:r>
            <w:proofErr w:type="spellEnd"/>
            <w:r w:rsidRPr="007E2C69">
              <w:rPr>
                <w:rStyle w:val="InstructionsTabelleberschrift"/>
                <w:rFonts w:ascii="Times New Roman" w:hAnsi="Times New Roman"/>
                <w:b w:val="0"/>
                <w:sz w:val="24"/>
                <w:u w:val="none"/>
              </w:rPr>
              <w:t xml:space="preserve"> klasifikācija (</w:t>
            </w:r>
            <w:r w:rsidRPr="007E2C69">
              <w:rPr>
                <w:rStyle w:val="InstructionsTabelleberschrift"/>
                <w:rFonts w:ascii="Times New Roman" w:hAnsi="Times New Roman"/>
                <w:b w:val="0"/>
                <w:i/>
                <w:iCs/>
                <w:sz w:val="24"/>
                <w:u w:val="none"/>
              </w:rPr>
              <w:t>PBA</w:t>
            </w:r>
            <w:r w:rsidRPr="007E2C69">
              <w:rPr>
                <w:rStyle w:val="InstructionsTabelleberschrift"/>
                <w:rFonts w:ascii="Times New Roman" w:hAnsi="Times New Roman"/>
                <w:b w:val="0"/>
                <w:sz w:val="24"/>
                <w:u w:val="none"/>
              </w:rPr>
              <w:t>). Šo pieeju izmanto konsekventi attiecībā uz summām, kas atklātas par katru no pēdējiem trim finanšu gadiem.</w:t>
            </w:r>
          </w:p>
        </w:tc>
      </w:tr>
      <w:tr w:rsidR="003826D3" w:rsidRPr="007E2C69"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Uzņēmējdarbības rādītājs (</w:t>
            </w:r>
            <w:r w:rsidRPr="007E2C69">
              <w:rPr>
                <w:rStyle w:val="InstructionsTabelleberschrift"/>
                <w:rFonts w:ascii="Times New Roman" w:hAnsi="Times New Roman"/>
                <w:i/>
                <w:iCs/>
                <w:sz w:val="24"/>
                <w:u w:val="none"/>
              </w:rPr>
              <w:t>BI</w:t>
            </w:r>
            <w:r w:rsidRPr="007E2C69">
              <w:rPr>
                <w:rStyle w:val="InstructionsTabelleberschrift"/>
                <w:rFonts w:ascii="Times New Roman" w:hAnsi="Times New Roman"/>
                <w:sz w:val="24"/>
                <w:u w:val="none"/>
              </w:rPr>
              <w:t>)</w:t>
            </w:r>
          </w:p>
          <w:p w14:paraId="35C99FE1" w14:textId="0AFECB29" w:rsidR="003826D3" w:rsidRPr="007E2C6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E2C69">
              <w:rPr>
                <w:rFonts w:asciiTheme="majorBidi" w:hAnsiTheme="majorBidi"/>
                <w:i/>
                <w:iCs/>
                <w:sz w:val="24"/>
              </w:rPr>
              <w:t>BI</w:t>
            </w:r>
            <w:r w:rsidRPr="007E2C69">
              <w:rPr>
                <w:rFonts w:asciiTheme="majorBidi" w:hAnsiTheme="majorBidi"/>
                <w:sz w:val="24"/>
              </w:rPr>
              <w:t xml:space="preserve">, kas aprēķināts saskaņā ar Regulas (ES) Nr. 575/2013 314. panta 1. punktu un kas ir šo trīs komponentu summa: </w:t>
            </w:r>
            <w:r w:rsidRPr="007E2C69">
              <w:rPr>
                <w:rFonts w:asciiTheme="majorBidi" w:hAnsiTheme="majorBidi"/>
                <w:i/>
                <w:iCs/>
                <w:sz w:val="24"/>
              </w:rPr>
              <w:t>ILDC</w:t>
            </w:r>
            <w:r w:rsidRPr="007E2C69">
              <w:rPr>
                <w:rFonts w:asciiTheme="majorBidi" w:hAnsiTheme="majorBidi"/>
                <w:sz w:val="24"/>
              </w:rPr>
              <w:t xml:space="preserve">, </w:t>
            </w:r>
            <w:r w:rsidRPr="007E2C69">
              <w:rPr>
                <w:rFonts w:asciiTheme="majorBidi" w:hAnsiTheme="majorBidi"/>
                <w:i/>
                <w:iCs/>
                <w:sz w:val="24"/>
              </w:rPr>
              <w:t>SC</w:t>
            </w:r>
            <w:r w:rsidRPr="007E2C69">
              <w:rPr>
                <w:rFonts w:asciiTheme="majorBidi" w:hAnsiTheme="majorBidi"/>
                <w:sz w:val="24"/>
              </w:rPr>
              <w:t xml:space="preserve"> un </w:t>
            </w:r>
            <w:r w:rsidRPr="007E2C69">
              <w:rPr>
                <w:rFonts w:asciiTheme="majorBidi" w:hAnsiTheme="majorBidi"/>
                <w:i/>
                <w:iCs/>
                <w:sz w:val="24"/>
              </w:rPr>
              <w:t>FC</w:t>
            </w:r>
            <w:r w:rsidRPr="007E2C69">
              <w:rPr>
                <w:rFonts w:asciiTheme="majorBidi" w:hAnsiTheme="majorBidi"/>
                <w:sz w:val="24"/>
              </w:rPr>
              <w:t>.</w:t>
            </w:r>
          </w:p>
        </w:tc>
      </w:tr>
      <w:tr w:rsidR="003826D3" w:rsidRPr="007E2C69"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7E2C69" w:rsidRDefault="003826D3" w:rsidP="003826D3">
            <w:pPr>
              <w:spacing w:before="60" w:after="120"/>
              <w:jc w:val="both"/>
              <w:rPr>
                <w:rStyle w:val="InstructionsTabelleberschrift"/>
                <w:rFonts w:ascii="Times New Roman" w:eastAsia="Times New Roman" w:hAnsi="Times New Roman"/>
                <w:sz w:val="24"/>
                <w:u w:val="none"/>
              </w:rPr>
            </w:pPr>
            <w:r w:rsidRPr="007E2C69">
              <w:rPr>
                <w:rStyle w:val="InstructionsTabelleberschrift"/>
                <w:rFonts w:ascii="Times New Roman" w:hAnsi="Times New Roman"/>
                <w:sz w:val="24"/>
                <w:u w:val="none"/>
              </w:rPr>
              <w:t>Uzņēmējdarbības rādītāja komponents (</w:t>
            </w:r>
            <w:r w:rsidRPr="007E2C69">
              <w:rPr>
                <w:rStyle w:val="InstructionsTabelleberschrift"/>
                <w:rFonts w:ascii="Times New Roman" w:hAnsi="Times New Roman"/>
                <w:i/>
                <w:iCs/>
                <w:sz w:val="24"/>
                <w:u w:val="none"/>
              </w:rPr>
              <w:t>BIC</w:t>
            </w:r>
            <w:r w:rsidRPr="007E2C69">
              <w:rPr>
                <w:rStyle w:val="InstructionsTabelleberschrift"/>
                <w:rFonts w:ascii="Times New Roman" w:hAnsi="Times New Roman"/>
                <w:sz w:val="24"/>
                <w:u w:val="none"/>
              </w:rPr>
              <w:t>)</w:t>
            </w:r>
          </w:p>
          <w:p w14:paraId="4AC6BDA5" w14:textId="5507A684" w:rsidR="003826D3" w:rsidRPr="007E2C69" w:rsidRDefault="003826D3" w:rsidP="003826D3">
            <w:pPr>
              <w:spacing w:before="60" w:after="120"/>
              <w:jc w:val="both"/>
              <w:rPr>
                <w:rStyle w:val="InstructionsTabelleberschrift"/>
                <w:rFonts w:ascii="Times New Roman" w:eastAsia="Times New Roman" w:hAnsi="Times New Roman"/>
                <w:b w:val="0"/>
                <w:bCs w:val="0"/>
                <w:sz w:val="24"/>
                <w:u w:val="none"/>
              </w:rPr>
            </w:pPr>
            <w:r w:rsidRPr="007E2C69">
              <w:rPr>
                <w:rFonts w:ascii="Times New Roman" w:hAnsi="Times New Roman"/>
                <w:i/>
                <w:iCs/>
                <w:sz w:val="24"/>
              </w:rPr>
              <w:t>BIC</w:t>
            </w:r>
            <w:r w:rsidRPr="007E2C69">
              <w:rPr>
                <w:rFonts w:ascii="Times New Roman" w:hAnsi="Times New Roman"/>
                <w:sz w:val="24"/>
              </w:rPr>
              <w:t xml:space="preserve"> aprēķina saskaņā ar Regulas (ES) Nr. 575/2013 313. pantu. </w:t>
            </w:r>
          </w:p>
        </w:tc>
      </w:tr>
      <w:tr w:rsidR="003826D3" w:rsidRPr="007E2C69"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i/>
                <w:iCs/>
                <w:sz w:val="24"/>
                <w:u w:val="none"/>
              </w:rPr>
              <w:t>BI</w:t>
            </w:r>
            <w:r w:rsidRPr="007E2C69">
              <w:rPr>
                <w:rStyle w:val="InstructionsTabelleberschrift"/>
                <w:rFonts w:ascii="Times New Roman" w:hAnsi="Times New Roman"/>
                <w:sz w:val="24"/>
                <w:u w:val="none"/>
              </w:rPr>
              <w:t xml:space="preserve"> bruto no izslēgtajām atsavinātajām darbībām</w:t>
            </w:r>
          </w:p>
          <w:p w14:paraId="4B01F051" w14:textId="678BE249" w:rsidR="003826D3" w:rsidRPr="007E2C6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E2C69">
              <w:rPr>
                <w:rFonts w:asciiTheme="majorBidi" w:hAnsiTheme="majorBidi"/>
                <w:i/>
                <w:iCs/>
                <w:sz w:val="24"/>
              </w:rPr>
              <w:t>BI</w:t>
            </w:r>
            <w:r w:rsidRPr="007E2C69">
              <w:rPr>
                <w:rFonts w:asciiTheme="majorBidi" w:hAnsiTheme="majorBidi"/>
                <w:sz w:val="24"/>
              </w:rPr>
              <w:t xml:space="preserve"> summa, tostarp izslēgtās nodalītās darbības saskaņā ar Regulas (ES) Nr. 575/2013 315. panta 2. punktu.</w:t>
            </w:r>
          </w:p>
        </w:tc>
      </w:tr>
      <w:tr w:rsidR="003826D3" w:rsidRPr="007E2C69"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i/>
                <w:iCs/>
                <w:sz w:val="24"/>
                <w:u w:val="none"/>
              </w:rPr>
              <w:t>BI</w:t>
            </w:r>
            <w:r w:rsidRPr="007E2C69">
              <w:rPr>
                <w:rStyle w:val="InstructionsTabelleberschrift"/>
                <w:rFonts w:ascii="Times New Roman" w:hAnsi="Times New Roman"/>
                <w:sz w:val="24"/>
                <w:u w:val="none"/>
              </w:rPr>
              <w:t xml:space="preserve"> samazinājums sakarā ar izslēgtajām atsavinātajām darbībām</w:t>
            </w:r>
          </w:p>
          <w:p w14:paraId="100A0132" w14:textId="636B5EF6" w:rsidR="003826D3" w:rsidRPr="007E2C6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E2C69">
              <w:rPr>
                <w:rFonts w:asciiTheme="majorBidi" w:hAnsiTheme="majorBidi"/>
                <w:sz w:val="24"/>
              </w:rPr>
              <w:t xml:space="preserve">Atšķirība starp </w:t>
            </w:r>
            <w:r w:rsidRPr="007E2C69">
              <w:rPr>
                <w:rFonts w:asciiTheme="majorBidi" w:hAnsiTheme="majorBidi"/>
                <w:i/>
                <w:iCs/>
                <w:sz w:val="24"/>
              </w:rPr>
              <w:t>BI</w:t>
            </w:r>
            <w:r w:rsidRPr="007E2C69">
              <w:rPr>
                <w:rFonts w:asciiTheme="majorBidi" w:hAnsiTheme="majorBidi"/>
                <w:sz w:val="24"/>
              </w:rPr>
              <w:t xml:space="preserve"> bruto no atsavinātajām darbībām (6.a rinda) un kopējo </w:t>
            </w:r>
            <w:r w:rsidRPr="007E2C69">
              <w:rPr>
                <w:rFonts w:asciiTheme="majorBidi" w:hAnsiTheme="majorBidi"/>
                <w:i/>
                <w:iCs/>
                <w:sz w:val="24"/>
              </w:rPr>
              <w:t>BI</w:t>
            </w:r>
            <w:r w:rsidRPr="007E2C69">
              <w:rPr>
                <w:rFonts w:asciiTheme="majorBidi" w:hAnsiTheme="majorBidi"/>
                <w:sz w:val="24"/>
              </w:rPr>
              <w:t xml:space="preserve"> (4. rinda). </w:t>
            </w:r>
          </w:p>
        </w:tc>
      </w:tr>
      <w:tr w:rsidR="003826D3" w:rsidRPr="007E2C69"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7E2C69" w:rsidRDefault="003826D3" w:rsidP="003826D3">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ES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7E2C69" w:rsidRDefault="003826D3" w:rsidP="003826D3">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 xml:space="preserve">Apvienošanās/pārņemšanas ietekme uz </w:t>
            </w:r>
            <w:r w:rsidRPr="007E2C69">
              <w:rPr>
                <w:rStyle w:val="InstructionsTabelleberschrift"/>
                <w:rFonts w:ascii="Times New Roman" w:hAnsi="Times New Roman"/>
                <w:i/>
                <w:iCs/>
                <w:sz w:val="24"/>
                <w:u w:val="none"/>
              </w:rPr>
              <w:t>BI</w:t>
            </w:r>
          </w:p>
          <w:p w14:paraId="68B0EB8C" w14:textId="39D74825" w:rsidR="003826D3" w:rsidRPr="007E2C6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E2C69">
              <w:rPr>
                <w:rFonts w:asciiTheme="majorBidi" w:hAnsiTheme="majorBidi"/>
                <w:i/>
                <w:iCs/>
                <w:sz w:val="24"/>
              </w:rPr>
              <w:t>BI</w:t>
            </w:r>
            <w:r w:rsidRPr="007E2C69">
              <w:rPr>
                <w:rFonts w:asciiTheme="majorBidi" w:hAnsiTheme="majorBidi"/>
                <w:sz w:val="24"/>
              </w:rPr>
              <w:t xml:space="preserve"> iekļautā summa, kas atbilst </w:t>
            </w:r>
            <w:r w:rsidRPr="007E2C69">
              <w:rPr>
                <w:rFonts w:asciiTheme="majorBidi" w:hAnsiTheme="majorBidi"/>
                <w:i/>
                <w:iCs/>
                <w:sz w:val="24"/>
              </w:rPr>
              <w:t>BI</w:t>
            </w:r>
            <w:r w:rsidRPr="007E2C69">
              <w:rPr>
                <w:rFonts w:asciiTheme="majorBidi" w:hAnsiTheme="majorBidi"/>
                <w:sz w:val="24"/>
              </w:rPr>
              <w:t xml:space="preserve"> komponentiem, kuri izriet no apvienotiem vai iegādātiem uzņēmumiem vai darbībām, kas aprēķināta, kā minēts Regulas (ES) Nr. 575/2013 315. panta 1. punktā.</w:t>
            </w:r>
          </w:p>
        </w:tc>
      </w:tr>
    </w:tbl>
    <w:p w14:paraId="2517003F" w14:textId="77777777" w:rsidR="00D740B8" w:rsidRPr="007E2C69"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7E2C69" w:rsidRDefault="00D740B8" w:rsidP="00D740B8">
      <w:pPr>
        <w:jc w:val="both"/>
        <w:rPr>
          <w:rFonts w:ascii="Times New Roman" w:hAnsi="Times New Roman" w:cs="Times New Roman"/>
          <w:bCs/>
          <w:sz w:val="24"/>
        </w:rPr>
      </w:pPr>
      <w:r w:rsidRPr="007E2C69">
        <w:rPr>
          <w:rFonts w:ascii="Times New Roman" w:hAnsi="Times New Roman"/>
          <w:b/>
          <w:sz w:val="24"/>
        </w:rPr>
        <w:lastRenderedPageBreak/>
        <w:t xml:space="preserve">Veidne ES </w:t>
      </w:r>
      <w:r w:rsidRPr="007E2C69">
        <w:rPr>
          <w:rFonts w:ascii="Times New Roman" w:hAnsi="Times New Roman"/>
          <w:b/>
          <w:i/>
          <w:iCs/>
          <w:sz w:val="24"/>
        </w:rPr>
        <w:t>OR3</w:t>
      </w:r>
      <w:r w:rsidRPr="007E2C69">
        <w:rPr>
          <w:rFonts w:ascii="Times New Roman" w:hAnsi="Times New Roman"/>
          <w:b/>
          <w:sz w:val="24"/>
        </w:rPr>
        <w:t xml:space="preserve"> – Operacionālā riska pašu kapitāla prasības un riska darījuma summas. </w:t>
      </w:r>
      <w:r w:rsidRPr="007E2C69">
        <w:rPr>
          <w:rFonts w:ascii="Times New Roman" w:hAnsi="Times New Roman"/>
          <w:sz w:val="24"/>
        </w:rPr>
        <w:t>Fiksēta veidne</w:t>
      </w:r>
    </w:p>
    <w:p w14:paraId="5AB15A39" w14:textId="77777777" w:rsidR="00D740B8" w:rsidRPr="007E2C69" w:rsidRDefault="00D740B8" w:rsidP="00D740B8">
      <w:pPr>
        <w:ind w:left="360"/>
        <w:jc w:val="both"/>
        <w:rPr>
          <w:rFonts w:ascii="Times New Roman" w:hAnsi="Times New Roman" w:cs="Times New Roman"/>
          <w:bCs/>
          <w:sz w:val="24"/>
        </w:rPr>
      </w:pPr>
    </w:p>
    <w:p w14:paraId="60DF34D1" w14:textId="121F9A97" w:rsidR="00D740B8" w:rsidRPr="007E2C69" w:rsidRDefault="00D740B8" w:rsidP="00D740B8">
      <w:pPr>
        <w:numPr>
          <w:ilvl w:val="0"/>
          <w:numId w:val="1"/>
        </w:numPr>
        <w:jc w:val="both"/>
        <w:rPr>
          <w:rFonts w:ascii="Times New Roman" w:hAnsi="Times New Roman" w:cs="Times New Roman"/>
          <w:sz w:val="24"/>
        </w:rPr>
      </w:pPr>
      <w:r w:rsidRPr="007E2C69">
        <w:rPr>
          <w:rFonts w:ascii="Times New Roman" w:hAnsi="Times New Roman"/>
          <w:sz w:val="24"/>
        </w:rPr>
        <w:t xml:space="preserve">Iestādes atklāj informāciju, kas iekļauta veidnē ES </w:t>
      </w:r>
      <w:r w:rsidRPr="007E2C69">
        <w:rPr>
          <w:rFonts w:ascii="Times New Roman" w:hAnsi="Times New Roman"/>
          <w:i/>
          <w:iCs/>
          <w:sz w:val="24"/>
        </w:rPr>
        <w:t>OR3</w:t>
      </w:r>
      <w:r w:rsidRPr="007E2C69">
        <w:rPr>
          <w:rFonts w:ascii="Times New Roman" w:hAnsi="Times New Roman"/>
          <w:sz w:val="24"/>
        </w:rPr>
        <w:t>, piemērojot Regulas (ES) Nr. 575/2013 446. panta 1. punkta b) apakšpunktu. Šajā veidnē sniegta informācija par pašu kapitāla prasību aprēķināšanu attiecībā uz operacionālo risku saskaņā ar Regulas (ES) Nr. 575/2013 312.–315. pantu.</w:t>
      </w:r>
    </w:p>
    <w:p w14:paraId="6DFA1648" w14:textId="77777777" w:rsidR="00D740B8" w:rsidRPr="007E2C69" w:rsidRDefault="00D740B8" w:rsidP="00D740B8">
      <w:pPr>
        <w:ind w:left="360"/>
        <w:jc w:val="both"/>
        <w:rPr>
          <w:rFonts w:ascii="Times New Roman" w:hAnsi="Times New Roman" w:cs="Times New Roman"/>
          <w:bCs/>
          <w:sz w:val="24"/>
        </w:rPr>
      </w:pPr>
    </w:p>
    <w:p w14:paraId="2E35B8A0" w14:textId="77777777" w:rsidR="00D740B8" w:rsidRPr="007E2C69"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7E2C69"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7E2C69" w:rsidRDefault="00D740B8">
            <w:pPr>
              <w:autoSpaceDE w:val="0"/>
              <w:autoSpaceDN w:val="0"/>
              <w:adjustRightInd w:val="0"/>
              <w:rPr>
                <w:rFonts w:ascii="Times New Roman" w:hAnsi="Times New Roman" w:cs="Times New Roman"/>
                <w:b/>
                <w:sz w:val="24"/>
              </w:rPr>
            </w:pPr>
            <w:r w:rsidRPr="007E2C69">
              <w:rPr>
                <w:rFonts w:ascii="Times New Roman" w:hAnsi="Times New Roman"/>
                <w:b/>
                <w:sz w:val="24"/>
              </w:rPr>
              <w:t xml:space="preserve">Rinda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7E2C69" w:rsidRDefault="00D740B8">
            <w:pPr>
              <w:rPr>
                <w:rFonts w:ascii="Times New Roman" w:hAnsi="Times New Roman" w:cs="Times New Roman"/>
                <w:b/>
                <w:sz w:val="24"/>
              </w:rPr>
            </w:pPr>
            <w:r w:rsidRPr="007E2C69">
              <w:rPr>
                <w:rFonts w:ascii="Times New Roman" w:hAnsi="Times New Roman"/>
                <w:b/>
                <w:sz w:val="24"/>
              </w:rPr>
              <w:t>Skaidrojums</w:t>
            </w:r>
          </w:p>
        </w:tc>
      </w:tr>
      <w:tr w:rsidR="00D740B8" w:rsidRPr="007E2C69"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7E2C69" w:rsidRDefault="00D740B8">
            <w:pPr>
              <w:spacing w:before="60" w:after="120"/>
              <w:jc w:val="both"/>
              <w:rPr>
                <w:rFonts w:ascii="Times New Roman" w:eastAsia="Times New Roman" w:hAnsi="Times New Roman" w:cs="Times New Roman"/>
                <w:b/>
                <w:sz w:val="24"/>
              </w:rPr>
            </w:pPr>
            <w:r w:rsidRPr="007E2C69">
              <w:rPr>
                <w:rFonts w:ascii="Times New Roman" w:hAnsi="Times New Roman"/>
                <w:b/>
                <w:sz w:val="24"/>
              </w:rPr>
              <w:t>Uzņēmējdarbības rādītāja komponents (</w:t>
            </w:r>
            <w:r w:rsidRPr="007E2C69">
              <w:rPr>
                <w:rFonts w:ascii="Times New Roman" w:hAnsi="Times New Roman"/>
                <w:b/>
                <w:i/>
                <w:iCs/>
                <w:sz w:val="24"/>
              </w:rPr>
              <w:t>BIC</w:t>
            </w:r>
            <w:r w:rsidRPr="007E2C69">
              <w:rPr>
                <w:rFonts w:ascii="Times New Roman" w:hAnsi="Times New Roman"/>
                <w:b/>
                <w:sz w:val="24"/>
              </w:rPr>
              <w:t>)</w:t>
            </w:r>
          </w:p>
          <w:p w14:paraId="1B10BB72" w14:textId="77777777" w:rsidR="00D740B8" w:rsidRPr="007E2C69" w:rsidRDefault="00D740B8">
            <w:pPr>
              <w:spacing w:before="60" w:after="120"/>
              <w:jc w:val="both"/>
              <w:rPr>
                <w:rFonts w:ascii="Times New Roman" w:eastAsia="Times New Roman" w:hAnsi="Times New Roman" w:cs="Times New Roman"/>
                <w:sz w:val="24"/>
              </w:rPr>
            </w:pPr>
            <w:r w:rsidRPr="007E2C69">
              <w:rPr>
                <w:rFonts w:ascii="Times New Roman" w:hAnsi="Times New Roman"/>
                <w:sz w:val="24"/>
              </w:rPr>
              <w:t>Šajā rindā norāda uzņēmējdarbības rādītāja komponentu, ko aprēķina saskaņā ar Regulas (ES) Nr. 575/2013 313. pantu.</w:t>
            </w:r>
          </w:p>
        </w:tc>
      </w:tr>
      <w:tr w:rsidR="00CA794A" w:rsidRPr="007E2C69"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7E2C69" w:rsidRDefault="004A58B5">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ES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7E2C69" w:rsidRDefault="004A58B5">
            <w:pPr>
              <w:spacing w:before="60" w:after="120"/>
              <w:jc w:val="both"/>
              <w:rPr>
                <w:rFonts w:ascii="Times New Roman" w:eastAsia="Times New Roman" w:hAnsi="Times New Roman" w:cs="Times New Roman"/>
                <w:b/>
                <w:sz w:val="24"/>
              </w:rPr>
            </w:pPr>
            <w:r w:rsidRPr="007E2C69">
              <w:rPr>
                <w:rFonts w:ascii="Times New Roman" w:hAnsi="Times New Roman"/>
                <w:b/>
                <w:sz w:val="24"/>
              </w:rPr>
              <w:t>Alternatīva standartizētā pieeja (</w:t>
            </w:r>
            <w:r w:rsidRPr="007E2C69">
              <w:rPr>
                <w:rFonts w:ascii="Times New Roman" w:hAnsi="Times New Roman"/>
                <w:b/>
                <w:i/>
                <w:iCs/>
                <w:sz w:val="24"/>
              </w:rPr>
              <w:t>ASA</w:t>
            </w:r>
            <w:r w:rsidRPr="007E2C69">
              <w:rPr>
                <w:rFonts w:ascii="Times New Roman" w:hAnsi="Times New Roman"/>
                <w:b/>
                <w:sz w:val="24"/>
              </w:rPr>
              <w:t>) pašu kapitāla prasības (</w:t>
            </w:r>
            <w:r w:rsidRPr="007E2C69">
              <w:rPr>
                <w:rFonts w:ascii="Times New Roman" w:hAnsi="Times New Roman"/>
                <w:b/>
                <w:i/>
                <w:iCs/>
                <w:sz w:val="24"/>
              </w:rPr>
              <w:t>OROF</w:t>
            </w:r>
            <w:r w:rsidRPr="007E2C69">
              <w:rPr>
                <w:rFonts w:ascii="Times New Roman" w:hAnsi="Times New Roman"/>
                <w:b/>
                <w:sz w:val="24"/>
              </w:rPr>
              <w:t>) saskaņā ar 314. panta 4. punktu</w:t>
            </w:r>
          </w:p>
          <w:p w14:paraId="7762DF0B" w14:textId="6E2ACCB9" w:rsidR="004A58B5" w:rsidRPr="007E2C69" w:rsidRDefault="005B4907">
            <w:pPr>
              <w:spacing w:before="60" w:after="120"/>
              <w:jc w:val="both"/>
              <w:rPr>
                <w:rFonts w:ascii="Times New Roman" w:eastAsia="Times New Roman" w:hAnsi="Times New Roman" w:cs="Times New Roman"/>
                <w:b/>
                <w:sz w:val="24"/>
              </w:rPr>
            </w:pPr>
            <w:r w:rsidRPr="007E2C69">
              <w:rPr>
                <w:rFonts w:ascii="Times New Roman" w:hAnsi="Times New Roman"/>
                <w:sz w:val="24"/>
              </w:rPr>
              <w:t>Šajā rindā iekļauj pašu kapitāla prasības darbības jomām, kas attiecīgā gadījumā ņemtas vērā saskaņā ar 314. panta 4. punktu, līdz 2027. gada 31. decembrim vai līdz brīdim, kad konsolidētās uzraudzības iestāde piešķir atļauju saskaņā ar 314. panta 3. punktu, atkarībā no tā, kurš notikums iestājas agrāk.</w:t>
            </w:r>
          </w:p>
        </w:tc>
      </w:tr>
      <w:tr w:rsidR="00D740B8" w:rsidRPr="007E2C69"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7E2C69" w:rsidRDefault="001918A2">
            <w:pPr>
              <w:spacing w:before="60" w:after="120"/>
              <w:jc w:val="both"/>
              <w:rPr>
                <w:rFonts w:ascii="Times New Roman" w:eastAsia="Times New Roman" w:hAnsi="Times New Roman" w:cs="Times New Roman"/>
                <w:sz w:val="24"/>
              </w:rPr>
            </w:pPr>
            <w:r w:rsidRPr="007E2C69">
              <w:rPr>
                <w:rFonts w:ascii="Times New Roman" w:hAnsi="Times New Roman"/>
                <w:sz w:val="24"/>
              </w:rPr>
              <w:t>Neattiecas.</w:t>
            </w:r>
          </w:p>
        </w:tc>
      </w:tr>
      <w:tr w:rsidR="00D740B8" w:rsidRPr="007E2C69"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7E2C69" w:rsidRDefault="00D740B8">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Minimālās nepieciešamās operacionālā riska pašu kapitāla prasības (</w:t>
            </w:r>
            <w:r w:rsidRPr="007E2C69">
              <w:rPr>
                <w:rStyle w:val="InstructionsTabelleberschrift"/>
                <w:rFonts w:ascii="Times New Roman" w:hAnsi="Times New Roman"/>
                <w:i/>
                <w:iCs/>
                <w:sz w:val="24"/>
                <w:u w:val="none"/>
              </w:rPr>
              <w:t>OROF</w:t>
            </w:r>
            <w:r w:rsidRPr="007E2C69">
              <w:rPr>
                <w:rStyle w:val="InstructionsTabelleberschrift"/>
                <w:rFonts w:ascii="Times New Roman" w:hAnsi="Times New Roman"/>
                <w:sz w:val="24"/>
                <w:u w:val="none"/>
              </w:rPr>
              <w:t>)</w:t>
            </w:r>
          </w:p>
          <w:p w14:paraId="2A7C24D0" w14:textId="54D9C5FF" w:rsidR="00D740B8" w:rsidRPr="007E2C69" w:rsidRDefault="00977842">
            <w:pPr>
              <w:spacing w:before="60" w:after="120"/>
              <w:jc w:val="both"/>
              <w:rPr>
                <w:rFonts w:ascii="Times New Roman" w:eastAsia="Times New Roman" w:hAnsi="Times New Roman" w:cs="Times New Roman"/>
                <w:sz w:val="24"/>
              </w:rPr>
            </w:pPr>
            <w:r w:rsidRPr="007E2C69">
              <w:rPr>
                <w:rFonts w:ascii="Times New Roman" w:hAnsi="Times New Roman"/>
                <w:sz w:val="24"/>
              </w:rPr>
              <w:t xml:space="preserve">Pašu kapitāla prasības aprēķina saskaņā ar Regulas (ES) Nr. 575/2013 312. pantu. Šajā rindā norāda operacionālā riska pašu kapitāla prasības, kas sakrīt ar </w:t>
            </w:r>
            <w:r w:rsidRPr="007E2C69">
              <w:rPr>
                <w:rFonts w:ascii="Times New Roman" w:hAnsi="Times New Roman"/>
                <w:i/>
                <w:iCs/>
                <w:sz w:val="24"/>
              </w:rPr>
              <w:t>BIC</w:t>
            </w:r>
            <w:r w:rsidRPr="007E2C69">
              <w:rPr>
                <w:rFonts w:ascii="Times New Roman" w:hAnsi="Times New Roman"/>
                <w:sz w:val="24"/>
              </w:rPr>
              <w:t xml:space="preserve"> summu un pašu kapitāla prasībām darbības jomām, kuras attiecīgā gadījumā ņemtas vērā saskaņā ar 314. panta 4. punktu. </w:t>
            </w:r>
          </w:p>
        </w:tc>
      </w:tr>
      <w:tr w:rsidR="00D740B8" w:rsidRPr="007E2C69"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7E2C69" w:rsidRDefault="00D740B8">
            <w:pPr>
              <w:autoSpaceDE w:val="0"/>
              <w:autoSpaceDN w:val="0"/>
              <w:adjustRightInd w:val="0"/>
              <w:spacing w:before="60" w:after="120"/>
              <w:jc w:val="center"/>
              <w:rPr>
                <w:rFonts w:ascii="Times New Roman" w:hAnsi="Times New Roman" w:cs="Times New Roman"/>
                <w:b/>
                <w:sz w:val="24"/>
              </w:rPr>
            </w:pPr>
            <w:r w:rsidRPr="007E2C69">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7E2C69" w:rsidRDefault="00D740B8">
            <w:pPr>
              <w:spacing w:before="60" w:after="120"/>
              <w:jc w:val="both"/>
              <w:rPr>
                <w:rStyle w:val="InstructionsTabelleberschrift"/>
                <w:rFonts w:ascii="Times New Roman" w:eastAsia="Times New Roman" w:hAnsi="Times New Roman"/>
                <w:bCs w:val="0"/>
                <w:sz w:val="24"/>
                <w:u w:val="none"/>
              </w:rPr>
            </w:pPr>
            <w:r w:rsidRPr="007E2C69">
              <w:rPr>
                <w:rStyle w:val="InstructionsTabelleberschrift"/>
                <w:rFonts w:ascii="Times New Roman" w:hAnsi="Times New Roman"/>
                <w:sz w:val="24"/>
                <w:u w:val="none"/>
              </w:rPr>
              <w:t>Operacionālā riska darījuma summas (</w:t>
            </w:r>
            <w:r w:rsidRPr="007E2C69">
              <w:rPr>
                <w:rStyle w:val="InstructionsTabelleberschrift"/>
                <w:rFonts w:ascii="Times New Roman" w:hAnsi="Times New Roman"/>
                <w:i/>
                <w:iCs/>
                <w:sz w:val="24"/>
                <w:u w:val="none"/>
              </w:rPr>
              <w:t>REA</w:t>
            </w:r>
            <w:r w:rsidRPr="007E2C69">
              <w:rPr>
                <w:rStyle w:val="InstructionsTabelleberschrift"/>
                <w:rFonts w:ascii="Times New Roman" w:hAnsi="Times New Roman"/>
                <w:sz w:val="24"/>
                <w:u w:val="none"/>
              </w:rPr>
              <w:t>)</w:t>
            </w:r>
          </w:p>
          <w:p w14:paraId="317F9BDE" w14:textId="6672A695" w:rsidR="00D740B8" w:rsidRPr="007E2C69" w:rsidRDefault="00D740B8">
            <w:pPr>
              <w:spacing w:before="60" w:after="120"/>
              <w:jc w:val="both"/>
              <w:rPr>
                <w:rFonts w:ascii="Times New Roman" w:eastAsia="Times New Roman" w:hAnsi="Times New Roman" w:cs="Times New Roman"/>
                <w:sz w:val="24"/>
              </w:rPr>
            </w:pPr>
            <w:r w:rsidRPr="007E2C69">
              <w:rPr>
                <w:rFonts w:ascii="Times New Roman" w:hAnsi="Times New Roman"/>
                <w:sz w:val="24"/>
              </w:rPr>
              <w:t xml:space="preserve">Pamatojoties uz Regulas (ES) Nr. 575/2013 92. panta 3. punkta e) apakšpunktu un 92. panta 4. punktu, šajā rindā norāda pašu kapitāla prasības 3. rindā, reizinātas ar 12,5. </w:t>
            </w:r>
          </w:p>
        </w:tc>
      </w:tr>
    </w:tbl>
    <w:p w14:paraId="079B8CA0" w14:textId="77777777" w:rsidR="00D740B8" w:rsidRPr="007E2C69" w:rsidRDefault="00D740B8" w:rsidP="00D740B8">
      <w:pPr>
        <w:rPr>
          <w:rFonts w:ascii="Times New Roman" w:hAnsi="Times New Roman" w:cs="Times New Roman"/>
          <w:sz w:val="24"/>
        </w:rPr>
      </w:pPr>
    </w:p>
    <w:p w14:paraId="41C8F396" w14:textId="77777777" w:rsidR="002C1404" w:rsidRPr="007E2C69" w:rsidRDefault="002C1404"/>
    <w:sectPr w:rsidR="002C1404" w:rsidRPr="007E2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7E2C69" w:rsidRDefault="00924970" w:rsidP="00E114F3">
      <w:r w:rsidRPr="007E2C69">
        <w:separator/>
      </w:r>
    </w:p>
  </w:endnote>
  <w:endnote w:type="continuationSeparator" w:id="0">
    <w:p w14:paraId="6750FE16" w14:textId="77777777" w:rsidR="00924970" w:rsidRPr="007E2C69" w:rsidRDefault="00924970" w:rsidP="00E114F3">
      <w:r w:rsidRPr="007E2C69">
        <w:continuationSeparator/>
      </w:r>
    </w:p>
  </w:endnote>
  <w:endnote w:type="continuationNotice" w:id="1">
    <w:p w14:paraId="44EFD629" w14:textId="77777777" w:rsidR="00924970" w:rsidRPr="007E2C69"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2C1A" w14:textId="77777777" w:rsidR="007E2C69" w:rsidRPr="007E2C69" w:rsidRDefault="007E2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7E2C69" w:rsidRDefault="00E114F3">
        <w:pPr>
          <w:pStyle w:val="Footer"/>
          <w:jc w:val="right"/>
        </w:pPr>
        <w:r w:rsidRPr="007E2C69">
          <w:fldChar w:fldCharType="begin"/>
        </w:r>
        <w:r w:rsidRPr="007E2C69">
          <w:instrText xml:space="preserve"> PAGE   \* MERGEFORMAT </w:instrText>
        </w:r>
        <w:r w:rsidRPr="007E2C69">
          <w:fldChar w:fldCharType="separate"/>
        </w:r>
        <w:r w:rsidR="00370155" w:rsidRPr="007E2C69">
          <w:t>1</w:t>
        </w:r>
        <w:r w:rsidRPr="007E2C69">
          <w:fldChar w:fldCharType="end"/>
        </w:r>
      </w:p>
    </w:sdtContent>
  </w:sdt>
  <w:p w14:paraId="049F31CB" w14:textId="77777777" w:rsidR="00E114F3" w:rsidRPr="007E2C69"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37DC" w14:textId="77777777" w:rsidR="007E2C69" w:rsidRPr="007E2C69" w:rsidRDefault="007E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7E2C69" w:rsidRDefault="00924970" w:rsidP="00E114F3">
      <w:r w:rsidRPr="007E2C69">
        <w:separator/>
      </w:r>
    </w:p>
  </w:footnote>
  <w:footnote w:type="continuationSeparator" w:id="0">
    <w:p w14:paraId="3D7D4E32" w14:textId="77777777" w:rsidR="00924970" w:rsidRPr="007E2C69" w:rsidRDefault="00924970" w:rsidP="00E114F3">
      <w:r w:rsidRPr="007E2C69">
        <w:continuationSeparator/>
      </w:r>
    </w:p>
  </w:footnote>
  <w:footnote w:type="continuationNotice" w:id="1">
    <w:p w14:paraId="6FCD0CD0" w14:textId="77777777" w:rsidR="00924970" w:rsidRPr="007E2C69" w:rsidRDefault="00924970"/>
  </w:footnote>
  <w:footnote w:id="2">
    <w:p w14:paraId="3798489D" w14:textId="469FF1F7" w:rsidR="00E114F3" w:rsidRPr="007E2C69" w:rsidRDefault="00E114F3" w:rsidP="003D3122">
      <w:pPr>
        <w:pStyle w:val="FootnoteText"/>
      </w:pPr>
      <w:r w:rsidRPr="007E2C69">
        <w:rPr>
          <w:rStyle w:val="FootnoteReference"/>
          <w:rFonts w:cstheme="minorHAnsi"/>
        </w:rPr>
        <w:footnoteRef/>
      </w:r>
      <w:r w:rsidRPr="007E2C69">
        <w:tab/>
        <w:t xml:space="preserve">Eiropas Parlamenta un Padomes Regula (ES) Nr. 575/2013 (2013. gada 26. jūnijs) par </w:t>
      </w:r>
      <w:proofErr w:type="spellStart"/>
      <w:r w:rsidRPr="007E2C69">
        <w:t>prudenciālajām</w:t>
      </w:r>
      <w:proofErr w:type="spellEnd"/>
      <w:r w:rsidRPr="007E2C69">
        <w:t xml:space="preserve"> prasībām attiecībā uz kredītiestādēm un ieguldījumu brokeru sabiedrībām un ar ko groza Regulu (ES) Nr. 648/2012 un Regulu (ES) Nr. 2024/1623 (</w:t>
      </w:r>
      <w:hyperlink r:id="rId1" w:history="1">
        <w:r w:rsidRPr="007E2C69">
          <w:rPr>
            <w:rStyle w:val="Hyperlink"/>
            <w:color w:val="800080"/>
          </w:rPr>
          <w:t xml:space="preserve">OV L 176, 27.06.2013., 1. lpp.; </w:t>
        </w:r>
      </w:hyperlink>
      <w:hyperlink r:id="rId2" w:history="1">
        <w:r w:rsidRPr="007E2C69">
          <w:rPr>
            <w:rStyle w:val="Hyperlink"/>
          </w:rPr>
          <w:t>Regula - ES - 2024/1623 - LV - EUR-</w:t>
        </w:r>
        <w:proofErr w:type="spellStart"/>
        <w:r w:rsidRPr="007E2C69">
          <w:rPr>
            <w:rStyle w:val="Hyperlink"/>
          </w:rPr>
          <w:t>Lex</w:t>
        </w:r>
        <w:proofErr w:type="spellEnd"/>
        <w:r w:rsidRPr="007E2C69">
          <w:rPr>
            <w:rStyle w:val="Hyperlink"/>
          </w:rPr>
          <w:t xml:space="preserve"> (europa.eu)</w:t>
        </w:r>
      </w:hyperlink>
      <w:r w:rsidRPr="007E2C69">
        <w:t>).</w:t>
      </w:r>
    </w:p>
    <w:p w14:paraId="45FB0818" w14:textId="77777777" w:rsidR="00E114F3" w:rsidRPr="007E2C69"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7E2C69" w:rsidRDefault="00864ECA">
    <w:pPr>
      <w:pStyle w:val="Header"/>
    </w:pPr>
    <w:r w:rsidRPr="007E2C69">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7E2C69" w:rsidRDefault="00864ECA" w:rsidP="00864ECA">
                          <w:pPr>
                            <w:rPr>
                              <w:rFonts w:ascii="Calibri" w:eastAsia="Calibri" w:hAnsi="Calibri" w:cs="Calibri"/>
                              <w:noProof/>
                              <w:color w:val="000000"/>
                              <w:sz w:val="24"/>
                            </w:rPr>
                          </w:pPr>
                          <w:r w:rsidRPr="007E2C69">
                            <w:rPr>
                              <w:rFonts w:ascii="Calibri" w:hAnsi="Calibri"/>
                              <w:color w:val="000000"/>
                              <w:sz w:val="24"/>
                            </w:rPr>
                            <w:t>EBI oficiālai lietošanai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7E2C69" w:rsidRDefault="00864ECA" w:rsidP="00864ECA">
                    <w:pPr>
                      <w:rPr>
                        <w:rFonts w:ascii="Calibri" w:eastAsia="Calibri" w:hAnsi="Calibri" w:cs="Calibri"/>
                        <w:noProof/>
                        <w:color w:val="000000"/>
                        <w:sz w:val="24"/>
                      </w:rPr>
                    </w:pPr>
                    <w:r w:rsidRPr="007E2C69">
                      <w:rPr>
                        <w:rFonts w:ascii="Calibri" w:hAnsi="Calibri"/>
                        <w:color w:val="000000"/>
                        <w:sz w:val="24"/>
                      </w:rPr>
                      <w:t>EBI oficiālai lietošanai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7E2C69" w:rsidRDefault="00864ECA">
    <w:pPr>
      <w:pStyle w:val="Header"/>
    </w:pPr>
    <w:r w:rsidRPr="007E2C69">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7E2C69" w:rsidRDefault="00864ECA" w:rsidP="00864ECA">
                          <w:pPr>
                            <w:rPr>
                              <w:rFonts w:ascii="Calibri" w:eastAsia="Calibri" w:hAnsi="Calibri" w:cs="Calibri"/>
                              <w:noProof/>
                              <w:color w:val="000000"/>
                              <w:sz w:val="24"/>
                            </w:rPr>
                          </w:pPr>
                          <w:r w:rsidRPr="007E2C69">
                            <w:rPr>
                              <w:rFonts w:ascii="Calibri" w:hAnsi="Calibri"/>
                              <w:color w:val="000000"/>
                              <w:sz w:val="24"/>
                            </w:rPr>
                            <w:t>EBI oficiālai lietošanai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7E2C69" w:rsidRDefault="00864ECA" w:rsidP="00864ECA">
                    <w:pPr>
                      <w:rPr>
                        <w:rFonts w:ascii="Calibri" w:eastAsia="Calibri" w:hAnsi="Calibri" w:cs="Calibri"/>
                        <w:noProof/>
                        <w:color w:val="000000"/>
                        <w:sz w:val="24"/>
                      </w:rPr>
                    </w:pPr>
                    <w:r w:rsidRPr="007E2C69">
                      <w:rPr>
                        <w:rFonts w:ascii="Calibri" w:hAnsi="Calibri"/>
                        <w:color w:val="000000"/>
                        <w:sz w:val="24"/>
                      </w:rPr>
                      <w:t>EBI oficiālai lietošanai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7E2C69" w:rsidRDefault="00864ECA">
    <w:pPr>
      <w:pStyle w:val="Header"/>
    </w:pPr>
    <w:r w:rsidRPr="007E2C69">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7E2C69" w:rsidRDefault="00864ECA" w:rsidP="00864ECA">
                          <w:pPr>
                            <w:rPr>
                              <w:rFonts w:ascii="Calibri" w:eastAsia="Calibri" w:hAnsi="Calibri" w:cs="Calibri"/>
                              <w:noProof/>
                              <w:color w:val="000000"/>
                              <w:sz w:val="24"/>
                            </w:rPr>
                          </w:pPr>
                          <w:r w:rsidRPr="007E2C69">
                            <w:rPr>
                              <w:rFonts w:ascii="Calibri" w:hAnsi="Calibri"/>
                              <w:color w:val="000000"/>
                              <w:sz w:val="24"/>
                            </w:rPr>
                            <w:t>EBI oficiālai lietošanai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7E2C69" w:rsidRDefault="00864ECA" w:rsidP="00864ECA">
                    <w:pPr>
                      <w:rPr>
                        <w:rFonts w:ascii="Calibri" w:eastAsia="Calibri" w:hAnsi="Calibri" w:cs="Calibri"/>
                        <w:noProof/>
                        <w:color w:val="000000"/>
                        <w:sz w:val="24"/>
                      </w:rPr>
                    </w:pPr>
                    <w:r w:rsidRPr="007E2C69">
                      <w:rPr>
                        <w:rFonts w:ascii="Calibri" w:hAnsi="Calibri"/>
                        <w:color w:val="000000"/>
                        <w:sz w:val="24"/>
                      </w:rPr>
                      <w:t>EBI oficiālai lietošanai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AA4"/>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2C69"/>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07DD2"/>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97E33"/>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lv-LV"/>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lv-LV"/>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lv-LV"/>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3.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4.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4530</Words>
  <Characters>27175</Characters>
  <Application>Microsoft Office Word</Application>
  <DocSecurity>0</DocSecurity>
  <Lines>226</Lines>
  <Paragraphs>63</Paragraphs>
  <ScaleCrop>false</ScaleCrop>
  <Manager/>
  <Company/>
  <LinksUpToDate>false</LinksUpToDate>
  <CharactersWithSpaces>31642</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