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9EF4D" w14:textId="2FBDAFE8" w:rsidR="00E114F3" w:rsidRPr="00082773" w:rsidRDefault="00E114F3" w:rsidP="00156174">
      <w:pPr>
        <w:pStyle w:val="Annexetitre"/>
        <w:spacing w:before="0"/>
      </w:pPr>
      <w:r w:rsidRPr="00082773">
        <w:t>XXXII PRIEDAS. Nurodymai dėl informacijos apie operacinę riziką atskleidimo šablonų</w:t>
      </w:r>
    </w:p>
    <w:p w14:paraId="672A6659" w14:textId="77777777" w:rsidR="00E114F3" w:rsidRPr="00082773" w:rsidRDefault="00E114F3" w:rsidP="00E114F3">
      <w:pPr>
        <w:spacing w:after="120"/>
        <w:jc w:val="both"/>
        <w:rPr>
          <w:rFonts w:ascii="Times New Roman" w:hAnsi="Times New Roman"/>
          <w:b/>
          <w:bCs/>
          <w:sz w:val="24"/>
        </w:rPr>
      </w:pPr>
    </w:p>
    <w:p w14:paraId="384DD143" w14:textId="77777777" w:rsidR="00E114F3" w:rsidRPr="00082773" w:rsidRDefault="00E114F3" w:rsidP="00E114F3">
      <w:pPr>
        <w:spacing w:after="120"/>
        <w:rPr>
          <w:rFonts w:ascii="Times New Roman" w:hAnsi="Times New Roman"/>
          <w:bCs/>
          <w:sz w:val="24"/>
        </w:rPr>
      </w:pPr>
      <w:r w:rsidRPr="00082773">
        <w:rPr>
          <w:rFonts w:ascii="Times New Roman" w:hAnsi="Times New Roman"/>
          <w:b/>
          <w:sz w:val="24"/>
        </w:rPr>
        <w:t xml:space="preserve">EU ORA lentelė. Kokybinė informacija apie operacinę riziką. </w:t>
      </w:r>
      <w:r w:rsidRPr="00082773">
        <w:rPr>
          <w:rFonts w:ascii="Times New Roman" w:hAnsi="Times New Roman"/>
          <w:sz w:val="24"/>
        </w:rPr>
        <w:t>Lanksčiojo formato lentelė</w:t>
      </w:r>
    </w:p>
    <w:p w14:paraId="2E1E5572" w14:textId="6D56D6EF" w:rsidR="00E114F3" w:rsidRPr="00082773" w:rsidRDefault="2A1FD4BE" w:rsidP="44B77564">
      <w:pPr>
        <w:numPr>
          <w:ilvl w:val="0"/>
          <w:numId w:val="1"/>
        </w:numPr>
        <w:spacing w:after="120"/>
        <w:jc w:val="both"/>
        <w:rPr>
          <w:rFonts w:ascii="Calibri" w:eastAsia="Times New Roman" w:hAnsi="Calibri" w:cs="Times New Roman"/>
          <w:color w:val="000000"/>
        </w:rPr>
      </w:pPr>
      <w:r w:rsidRPr="00082773">
        <w:rPr>
          <w:rFonts w:ascii="Times New Roman" w:hAnsi="Times New Roman"/>
          <w:sz w:val="24"/>
        </w:rPr>
        <w:t>Įstaigos atskleidžia šioje lentelėje nurodytiną informaciją taikydamos Reglamento (ES) Nr. 575/2013</w:t>
      </w:r>
      <w:r w:rsidR="00E114F3" w:rsidRPr="00082773">
        <w:rPr>
          <w:rStyle w:val="FootnoteReference"/>
          <w:rFonts w:ascii="Times New Roman" w:hAnsi="Times New Roman"/>
          <w:sz w:val="24"/>
          <w:szCs w:val="24"/>
        </w:rPr>
        <w:footnoteReference w:id="2"/>
      </w:r>
      <w:r w:rsidRPr="00082773">
        <w:rPr>
          <w:rFonts w:ascii="Times New Roman" w:hAnsi="Times New Roman"/>
          <w:sz w:val="24"/>
        </w:rPr>
        <w:t xml:space="preserve"> 435 straipsnio 1 dalį ir 446 straipsnio 1 dalies a punktą.</w:t>
      </w:r>
    </w:p>
    <w:p w14:paraId="728254AD" w14:textId="52B3E768" w:rsidR="00E114F3" w:rsidRPr="00082773" w:rsidRDefault="00E114F3" w:rsidP="00E114F3">
      <w:pPr>
        <w:numPr>
          <w:ilvl w:val="0"/>
          <w:numId w:val="1"/>
        </w:numPr>
        <w:spacing w:after="120"/>
        <w:jc w:val="both"/>
        <w:rPr>
          <w:rFonts w:ascii="Times New Roman" w:hAnsi="Times New Roman"/>
          <w:bCs/>
          <w:sz w:val="24"/>
        </w:rPr>
      </w:pPr>
      <w:r w:rsidRPr="00082773">
        <w:rPr>
          <w:rFonts w:ascii="Times New Roman" w:hAnsi="Times New Roman"/>
          <w:sz w:val="24"/>
        </w:rPr>
        <w:t>Pildydamos informacijos apie operacinę riziką atskleidimo lentelę EU ORA, pateiktą šio EBI IT sprendimų XXXI priede, įstaigos taiko toliau šiame priede pateiktus nurodymus.</w:t>
      </w:r>
    </w:p>
    <w:tbl>
      <w:tblPr>
        <w:tblW w:w="8926" w:type="dxa"/>
        <w:tblLook w:val="04A0" w:firstRow="1" w:lastRow="0" w:firstColumn="1" w:lastColumn="0" w:noHBand="0" w:noVBand="1"/>
      </w:tblPr>
      <w:tblGrid>
        <w:gridCol w:w="1555"/>
        <w:gridCol w:w="7371"/>
      </w:tblGrid>
      <w:tr w:rsidR="00E114F3" w:rsidRPr="00082773" w14:paraId="4FA5DD43" w14:textId="77777777" w:rsidTr="00581319">
        <w:trPr>
          <w:trHeight w:val="20"/>
        </w:trPr>
        <w:tc>
          <w:tcPr>
            <w:tcW w:w="892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879875" w14:textId="77777777" w:rsidR="00E114F3" w:rsidRPr="00082773" w:rsidRDefault="00E114F3">
            <w:pPr>
              <w:spacing w:after="120"/>
              <w:rPr>
                <w:rFonts w:ascii="Times New Roman" w:eastAsia="Times New Roman" w:hAnsi="Times New Roman" w:cs="Times New Roman"/>
                <w:b/>
                <w:bCs/>
                <w:color w:val="000000"/>
                <w:sz w:val="24"/>
              </w:rPr>
            </w:pPr>
            <w:r w:rsidRPr="00082773">
              <w:rPr>
                <w:rFonts w:ascii="Times New Roman" w:hAnsi="Times New Roman"/>
                <w:b/>
                <w:color w:val="000000"/>
                <w:sz w:val="24"/>
              </w:rPr>
              <w:t>Nuorodos į teisės aktus ir nurodymai</w:t>
            </w:r>
          </w:p>
        </w:tc>
      </w:tr>
      <w:tr w:rsidR="00E114F3" w:rsidRPr="00082773" w14:paraId="0BB6A5B1" w14:textId="77777777" w:rsidTr="00581319">
        <w:trPr>
          <w:trHeight w:val="20"/>
        </w:trPr>
        <w:tc>
          <w:tcPr>
            <w:tcW w:w="1555"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A522B50" w14:textId="77777777" w:rsidR="00E114F3" w:rsidRPr="00082773" w:rsidRDefault="00E114F3">
            <w:pPr>
              <w:spacing w:after="120"/>
              <w:rPr>
                <w:rFonts w:ascii="Times New Roman" w:eastAsia="Times New Roman" w:hAnsi="Times New Roman" w:cs="Times New Roman"/>
                <w:b/>
                <w:bCs/>
                <w:color w:val="000000"/>
                <w:sz w:val="24"/>
              </w:rPr>
            </w:pPr>
            <w:r w:rsidRPr="00082773">
              <w:rPr>
                <w:rFonts w:ascii="Times New Roman" w:hAnsi="Times New Roman"/>
                <w:b/>
                <w:color w:val="000000"/>
                <w:sz w:val="24"/>
              </w:rPr>
              <w:t>Eilutės numeris</w:t>
            </w:r>
          </w:p>
        </w:tc>
        <w:tc>
          <w:tcPr>
            <w:tcW w:w="737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F504D8" w14:textId="77777777" w:rsidR="00E114F3" w:rsidRPr="00082773" w:rsidRDefault="00E114F3">
            <w:pPr>
              <w:spacing w:after="120"/>
              <w:rPr>
                <w:rFonts w:ascii="Times New Roman" w:eastAsia="Times New Roman" w:hAnsi="Times New Roman" w:cs="Times New Roman"/>
                <w:b/>
                <w:bCs/>
                <w:color w:val="000000"/>
                <w:sz w:val="24"/>
              </w:rPr>
            </w:pPr>
            <w:r w:rsidRPr="00082773">
              <w:rPr>
                <w:rFonts w:ascii="Times New Roman" w:hAnsi="Times New Roman"/>
                <w:b/>
                <w:color w:val="000000"/>
                <w:sz w:val="24"/>
              </w:rPr>
              <w:t>Paaiškinimas</w:t>
            </w:r>
          </w:p>
        </w:tc>
      </w:tr>
      <w:tr w:rsidR="00E114F3" w:rsidRPr="00082773" w14:paraId="70735BA0"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hideMark/>
          </w:tcPr>
          <w:p w14:paraId="16325523" w14:textId="1B122A28" w:rsidR="00E114F3" w:rsidRPr="00082773" w:rsidRDefault="00E114F3">
            <w:pPr>
              <w:spacing w:after="120"/>
              <w:jc w:val="center"/>
              <w:rPr>
                <w:rFonts w:ascii="Times New Roman" w:eastAsia="Times New Roman" w:hAnsi="Times New Roman" w:cs="Times New Roman"/>
                <w:color w:val="000000"/>
                <w:sz w:val="24"/>
              </w:rPr>
            </w:pPr>
            <w:r w:rsidRPr="00082773">
              <w:rPr>
                <w:rFonts w:ascii="Times New Roman" w:hAnsi="Times New Roman"/>
                <w:color w:val="000000"/>
                <w:sz w:val="24"/>
              </w:rPr>
              <w:t>a)</w:t>
            </w:r>
          </w:p>
        </w:tc>
        <w:tc>
          <w:tcPr>
            <w:tcW w:w="7371" w:type="dxa"/>
            <w:tcBorders>
              <w:top w:val="single" w:sz="4" w:space="0" w:color="auto"/>
              <w:left w:val="nil"/>
              <w:bottom w:val="single" w:sz="4" w:space="0" w:color="auto"/>
              <w:right w:val="single" w:sz="4" w:space="0" w:color="auto"/>
            </w:tcBorders>
            <w:vAlign w:val="center"/>
            <w:hideMark/>
          </w:tcPr>
          <w:p w14:paraId="5D80E5B9" w14:textId="77777777" w:rsidR="00E114F3" w:rsidRPr="00082773" w:rsidRDefault="00E114F3">
            <w:pPr>
              <w:spacing w:after="120"/>
              <w:jc w:val="both"/>
              <w:rPr>
                <w:rFonts w:ascii="Times New Roman" w:eastAsia="Times New Roman" w:hAnsi="Times New Roman" w:cs="Times New Roman"/>
                <w:b/>
                <w:color w:val="000000"/>
                <w:sz w:val="24"/>
              </w:rPr>
            </w:pPr>
            <w:r w:rsidRPr="00082773">
              <w:rPr>
                <w:rFonts w:ascii="Times New Roman" w:hAnsi="Times New Roman"/>
                <w:b/>
                <w:color w:val="000000"/>
                <w:sz w:val="24"/>
              </w:rPr>
              <w:t>Rizikos valdymo tikslų ir politikos atskleidimas</w:t>
            </w:r>
          </w:p>
          <w:p w14:paraId="65684A44" w14:textId="36ED8962" w:rsidR="00E114F3" w:rsidRPr="00082773" w:rsidRDefault="2A1FD4BE">
            <w:pPr>
              <w:spacing w:after="120"/>
              <w:rPr>
                <w:rFonts w:ascii="Times New Roman" w:eastAsia="Times New Roman" w:hAnsi="Times New Roman" w:cs="Times New Roman"/>
                <w:color w:val="000000"/>
                <w:sz w:val="24"/>
              </w:rPr>
            </w:pPr>
            <w:r w:rsidRPr="00082773">
              <w:rPr>
                <w:rFonts w:ascii="Times New Roman" w:hAnsi="Times New Roman"/>
                <w:color w:val="000000" w:themeColor="text1"/>
                <w:sz w:val="24"/>
              </w:rPr>
              <w:t>Pagal Reglamento (ES) Nr. 575/2013 435 straipsnio 1 dalies a punktą, įstaigos atskleidžia savo operacinės rizikos valdymo tikslus, politiką, sistemas ir gaires, įskaitant šios rizikos valdymo strategijas ir procesus.</w:t>
            </w:r>
          </w:p>
        </w:tc>
      </w:tr>
      <w:tr w:rsidR="00E114F3" w:rsidRPr="00082773" w14:paraId="37A6A0B3"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EC478CA" w14:textId="22E7EFF7" w:rsidR="00E114F3" w:rsidRPr="00082773" w:rsidRDefault="00E114F3">
            <w:pPr>
              <w:spacing w:after="120"/>
              <w:jc w:val="center"/>
              <w:rPr>
                <w:rFonts w:ascii="Times New Roman" w:eastAsia="Times New Roman" w:hAnsi="Times New Roman" w:cs="Times New Roman"/>
                <w:color w:val="000000"/>
                <w:sz w:val="24"/>
              </w:rPr>
            </w:pPr>
            <w:r w:rsidRPr="00082773">
              <w:rPr>
                <w:rFonts w:ascii="Times New Roman" w:hAnsi="Times New Roman"/>
                <w:color w:val="000000"/>
                <w:sz w:val="24"/>
              </w:rPr>
              <w:t>b)</w:t>
            </w:r>
          </w:p>
        </w:tc>
        <w:tc>
          <w:tcPr>
            <w:tcW w:w="7371" w:type="dxa"/>
            <w:tcBorders>
              <w:top w:val="single" w:sz="4" w:space="0" w:color="auto"/>
              <w:left w:val="nil"/>
              <w:bottom w:val="single" w:sz="4" w:space="0" w:color="auto"/>
              <w:right w:val="single" w:sz="4" w:space="0" w:color="auto"/>
            </w:tcBorders>
            <w:vAlign w:val="center"/>
          </w:tcPr>
          <w:p w14:paraId="4EEC32F9" w14:textId="77777777" w:rsidR="00885AC5" w:rsidRPr="00082773" w:rsidRDefault="00885AC5" w:rsidP="00885AC5">
            <w:pPr>
              <w:spacing w:before="120" w:after="120"/>
              <w:jc w:val="both"/>
              <w:rPr>
                <w:rFonts w:ascii="Times New Roman" w:eastAsia="Times New Roman" w:hAnsi="Times New Roman" w:cs="Times New Roman"/>
                <w:b/>
                <w:color w:val="000000"/>
                <w:sz w:val="24"/>
              </w:rPr>
            </w:pPr>
            <w:r w:rsidRPr="00082773">
              <w:rPr>
                <w:rFonts w:ascii="Times New Roman" w:hAnsi="Times New Roman"/>
                <w:b/>
                <w:color w:val="000000"/>
                <w:sz w:val="24"/>
              </w:rPr>
              <w:t>Operacinės rizikos valdymo grupės struktūros ir organizavimo atskleidimas</w:t>
            </w:r>
          </w:p>
          <w:p w14:paraId="739779F0" w14:textId="092C61F0" w:rsidR="00E114F3" w:rsidRPr="00082773" w:rsidRDefault="00885AC5">
            <w:pPr>
              <w:spacing w:after="120"/>
              <w:jc w:val="both"/>
              <w:rPr>
                <w:rFonts w:ascii="Times New Roman" w:eastAsia="Times New Roman" w:hAnsi="Times New Roman" w:cs="Times New Roman"/>
                <w:color w:val="000000"/>
                <w:sz w:val="24"/>
              </w:rPr>
            </w:pPr>
            <w:r w:rsidRPr="00082773">
              <w:rPr>
                <w:rFonts w:ascii="Times New Roman" w:hAnsi="Times New Roman"/>
                <w:color w:val="000000" w:themeColor="text1"/>
                <w:sz w:val="24"/>
              </w:rPr>
              <w:t>Pagal Reglamento (ES) Nr. 575/2013 435 straipsnio 1 dalies b punktą, įstaigos atskleidžia operacinės rizikos valdymo grupės struktūrą ir organizavimą, įskaitant informaciją apie jos įgaliojimų pagrindą, įgaliojimus ir atskaitomybę pagal įstaigos steigimo ir valdymo dokumentus bei kontrolės funkciją.</w:t>
            </w:r>
          </w:p>
        </w:tc>
      </w:tr>
      <w:tr w:rsidR="00E114F3" w:rsidRPr="00082773" w14:paraId="30DA08C8" w14:textId="77777777" w:rsidTr="00581319">
        <w:trPr>
          <w:trHeight w:val="20"/>
        </w:trPr>
        <w:tc>
          <w:tcPr>
            <w:tcW w:w="1555" w:type="dxa"/>
            <w:tcBorders>
              <w:top w:val="nil"/>
              <w:left w:val="single" w:sz="4" w:space="0" w:color="auto"/>
              <w:bottom w:val="single" w:sz="4" w:space="0" w:color="auto"/>
              <w:right w:val="single" w:sz="4" w:space="0" w:color="auto"/>
            </w:tcBorders>
            <w:vAlign w:val="center"/>
          </w:tcPr>
          <w:p w14:paraId="0F95AF50" w14:textId="6B123167" w:rsidR="00E114F3" w:rsidRPr="00082773" w:rsidRDefault="00E114F3">
            <w:pPr>
              <w:spacing w:after="120"/>
              <w:jc w:val="center"/>
              <w:rPr>
                <w:rFonts w:ascii="Times New Roman" w:eastAsia="Times New Roman" w:hAnsi="Times New Roman" w:cs="Times New Roman"/>
                <w:color w:val="000000"/>
                <w:sz w:val="24"/>
              </w:rPr>
            </w:pPr>
            <w:r w:rsidRPr="00082773">
              <w:rPr>
                <w:rFonts w:ascii="Times New Roman" w:hAnsi="Times New Roman"/>
                <w:color w:val="000000"/>
                <w:sz w:val="24"/>
              </w:rPr>
              <w:t>c)</w:t>
            </w:r>
          </w:p>
        </w:tc>
        <w:tc>
          <w:tcPr>
            <w:tcW w:w="7371" w:type="dxa"/>
            <w:tcBorders>
              <w:top w:val="single" w:sz="4" w:space="0" w:color="auto"/>
              <w:left w:val="nil"/>
              <w:bottom w:val="single" w:sz="4" w:space="0" w:color="auto"/>
              <w:right w:val="single" w:sz="4" w:space="0" w:color="auto"/>
            </w:tcBorders>
            <w:vAlign w:val="center"/>
          </w:tcPr>
          <w:p w14:paraId="1146D347" w14:textId="77777777" w:rsidR="005129A3" w:rsidRPr="00082773" w:rsidRDefault="005129A3" w:rsidP="005129A3">
            <w:pPr>
              <w:spacing w:before="120" w:after="120"/>
              <w:jc w:val="both"/>
              <w:rPr>
                <w:rFonts w:ascii="Times New Roman" w:eastAsia="Times New Roman" w:hAnsi="Times New Roman" w:cs="Times New Roman"/>
                <w:b/>
                <w:color w:val="000000"/>
                <w:sz w:val="24"/>
              </w:rPr>
            </w:pPr>
            <w:r w:rsidRPr="00082773">
              <w:rPr>
                <w:rFonts w:ascii="Times New Roman" w:hAnsi="Times New Roman"/>
                <w:b/>
                <w:color w:val="000000"/>
                <w:sz w:val="24"/>
              </w:rPr>
              <w:t>Vertinimo sistemos apimties ir pobūdžio aprašymas</w:t>
            </w:r>
          </w:p>
          <w:p w14:paraId="2426746E" w14:textId="624D178E" w:rsidR="00E114F3" w:rsidRPr="00082773" w:rsidRDefault="005129A3">
            <w:pPr>
              <w:spacing w:after="120"/>
              <w:jc w:val="both"/>
              <w:rPr>
                <w:rFonts w:ascii="Times New Roman" w:eastAsia="Times New Roman" w:hAnsi="Times New Roman" w:cs="Times New Roman"/>
                <w:color w:val="000000"/>
                <w:sz w:val="24"/>
              </w:rPr>
            </w:pPr>
            <w:r w:rsidRPr="00082773">
              <w:rPr>
                <w:rFonts w:ascii="Times New Roman" w:hAnsi="Times New Roman"/>
                <w:color w:val="000000" w:themeColor="text1"/>
                <w:sz w:val="24"/>
              </w:rPr>
              <w:t>Pagal Reglamento (ES) Nr. 575/2013 435 straipsnio 1 dalies c punktą, įstaigos atskleidžia operacinės rizikos vertinimo sistemos apimtį ir pobūdį (t. y. sistemas ir duomenis, naudojamus operacinei rizikai vertinti, siekiant įvertinti operacinės rizikos kapitalo poreikį).</w:t>
            </w:r>
          </w:p>
        </w:tc>
      </w:tr>
      <w:tr w:rsidR="00E114F3" w:rsidRPr="00082773" w14:paraId="530FAA18"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6543C3DB" w14:textId="0C63D270" w:rsidR="00E114F3" w:rsidRPr="00082773" w:rsidRDefault="00E114F3">
            <w:pPr>
              <w:spacing w:after="120"/>
              <w:jc w:val="center"/>
              <w:rPr>
                <w:rFonts w:ascii="Times New Roman" w:eastAsia="Times New Roman" w:hAnsi="Times New Roman" w:cs="Times New Roman"/>
                <w:color w:val="000000"/>
                <w:sz w:val="24"/>
              </w:rPr>
            </w:pPr>
            <w:r w:rsidRPr="00082773">
              <w:rPr>
                <w:rFonts w:ascii="Times New Roman" w:hAnsi="Times New Roman"/>
                <w:color w:val="000000"/>
                <w:sz w:val="24"/>
              </w:rPr>
              <w:t>d)</w:t>
            </w:r>
          </w:p>
        </w:tc>
        <w:tc>
          <w:tcPr>
            <w:tcW w:w="7371" w:type="dxa"/>
            <w:tcBorders>
              <w:top w:val="single" w:sz="4" w:space="0" w:color="auto"/>
              <w:left w:val="nil"/>
              <w:bottom w:val="single" w:sz="4" w:space="0" w:color="auto"/>
              <w:right w:val="single" w:sz="4" w:space="0" w:color="auto"/>
            </w:tcBorders>
            <w:vAlign w:val="center"/>
          </w:tcPr>
          <w:p w14:paraId="7A52CC0D" w14:textId="77777777" w:rsidR="005D02AE" w:rsidRPr="00082773" w:rsidRDefault="005D02AE" w:rsidP="005D02AE">
            <w:pPr>
              <w:spacing w:before="120" w:after="120"/>
              <w:jc w:val="both"/>
              <w:rPr>
                <w:rFonts w:ascii="Times New Roman" w:eastAsia="Times New Roman" w:hAnsi="Times New Roman" w:cs="Times New Roman"/>
                <w:b/>
                <w:color w:val="000000"/>
                <w:sz w:val="24"/>
              </w:rPr>
            </w:pPr>
            <w:r w:rsidRPr="00082773">
              <w:rPr>
                <w:rFonts w:ascii="Times New Roman" w:hAnsi="Times New Roman"/>
                <w:b/>
                <w:color w:val="000000" w:themeColor="text1"/>
                <w:sz w:val="24"/>
              </w:rPr>
              <w:t>Informacijos apie operacinę riziką sistemos apimties ir pobūdžio aprašymas</w:t>
            </w:r>
          </w:p>
          <w:p w14:paraId="1EE9A69D" w14:textId="428D8604" w:rsidR="00E114F3" w:rsidRPr="00082773" w:rsidRDefault="005D02AE">
            <w:pPr>
              <w:spacing w:after="120"/>
              <w:jc w:val="both"/>
              <w:rPr>
                <w:rFonts w:ascii="Times New Roman" w:eastAsia="Times New Roman" w:hAnsi="Times New Roman" w:cs="Times New Roman"/>
                <w:color w:val="000000"/>
                <w:sz w:val="24"/>
              </w:rPr>
            </w:pPr>
            <w:r w:rsidRPr="00082773">
              <w:rPr>
                <w:rFonts w:ascii="Times New Roman" w:hAnsi="Times New Roman"/>
                <w:color w:val="000000" w:themeColor="text1"/>
                <w:sz w:val="24"/>
              </w:rPr>
              <w:t>Pagal Reglamento (ES) Nr. 575/2013 435 straipsnio 1 dalies c punktą, įstaigos atskleidžia vykdomajai vadovybei ir direktorių valdybai informacijos apie operacinę riziką sistemos apimtį ir pobūdį.</w:t>
            </w:r>
          </w:p>
        </w:tc>
      </w:tr>
      <w:tr w:rsidR="00E5460F" w:rsidRPr="00082773" w14:paraId="1120D006" w14:textId="77777777" w:rsidTr="00581319">
        <w:trPr>
          <w:trHeight w:val="20"/>
        </w:trPr>
        <w:tc>
          <w:tcPr>
            <w:tcW w:w="1555" w:type="dxa"/>
            <w:tcBorders>
              <w:top w:val="single" w:sz="4" w:space="0" w:color="auto"/>
              <w:left w:val="single" w:sz="4" w:space="0" w:color="auto"/>
              <w:bottom w:val="single" w:sz="4" w:space="0" w:color="auto"/>
              <w:right w:val="single" w:sz="4" w:space="0" w:color="auto"/>
            </w:tcBorders>
            <w:vAlign w:val="center"/>
          </w:tcPr>
          <w:p w14:paraId="5EC199FF" w14:textId="263ED99A" w:rsidR="00E5460F" w:rsidRPr="00082773" w:rsidRDefault="00E5460F">
            <w:pPr>
              <w:spacing w:after="120"/>
              <w:jc w:val="center"/>
              <w:rPr>
                <w:rFonts w:ascii="Times New Roman" w:eastAsia="Times New Roman" w:hAnsi="Times New Roman" w:cs="Times New Roman"/>
                <w:color w:val="000000"/>
                <w:sz w:val="24"/>
              </w:rPr>
            </w:pPr>
            <w:r w:rsidRPr="00082773">
              <w:rPr>
                <w:rFonts w:ascii="Times New Roman" w:hAnsi="Times New Roman"/>
                <w:color w:val="000000"/>
                <w:sz w:val="24"/>
              </w:rPr>
              <w:t>e)</w:t>
            </w:r>
          </w:p>
        </w:tc>
        <w:tc>
          <w:tcPr>
            <w:tcW w:w="7371" w:type="dxa"/>
            <w:tcBorders>
              <w:top w:val="single" w:sz="4" w:space="0" w:color="auto"/>
              <w:left w:val="nil"/>
              <w:bottom w:val="single" w:sz="4" w:space="0" w:color="auto"/>
              <w:right w:val="single" w:sz="4" w:space="0" w:color="auto"/>
            </w:tcBorders>
            <w:vAlign w:val="center"/>
          </w:tcPr>
          <w:p w14:paraId="7AF249C5" w14:textId="77777777" w:rsidR="00E25C0C" w:rsidRPr="00082773" w:rsidRDefault="00E25C0C" w:rsidP="00E25C0C">
            <w:pPr>
              <w:spacing w:before="120" w:after="120"/>
              <w:jc w:val="both"/>
              <w:rPr>
                <w:rFonts w:ascii="Times New Roman" w:eastAsia="Times New Roman" w:hAnsi="Times New Roman" w:cs="Times New Roman"/>
                <w:color w:val="000000"/>
                <w:sz w:val="24"/>
              </w:rPr>
            </w:pPr>
            <w:r w:rsidRPr="00082773">
              <w:rPr>
                <w:rFonts w:ascii="Times New Roman" w:hAnsi="Times New Roman"/>
                <w:b/>
                <w:color w:val="000000" w:themeColor="text1"/>
                <w:sz w:val="24"/>
              </w:rPr>
              <w:t>Rizikos mažinimo ir apsidraudimo politikos ir strategijų aprašymas</w:t>
            </w:r>
          </w:p>
          <w:p w14:paraId="443DC7A5" w14:textId="7D68A10D" w:rsidR="00E5460F" w:rsidRPr="00082773" w:rsidDel="009A4E43" w:rsidRDefault="00E25C0C" w:rsidP="00E25C0C">
            <w:pPr>
              <w:spacing w:after="120"/>
              <w:jc w:val="both"/>
              <w:rPr>
                <w:rFonts w:ascii="Times New Roman" w:eastAsia="Times New Roman" w:hAnsi="Times New Roman" w:cs="Times New Roman"/>
                <w:b/>
                <w:color w:val="000000"/>
                <w:sz w:val="24"/>
              </w:rPr>
            </w:pPr>
            <w:r w:rsidRPr="00082773">
              <w:rPr>
                <w:rFonts w:ascii="Times New Roman" w:hAnsi="Times New Roman"/>
                <w:color w:val="000000" w:themeColor="text1"/>
                <w:sz w:val="24"/>
              </w:rPr>
              <w:t xml:space="preserve">Pagal Reglamento (ES) Nr. 575/2013 435 straipsnio 1 dalies d punktą, įstaigos atskleidžia savo rizikos mažinimo ir apsidraudimo politiką ir strategijas, naudojamas valdant operacinę riziką, įskaitant atvejus, kai operacinės rizikos mažinimas pasiekiamas taikant politiką (tokiu atveju jos </w:t>
            </w:r>
            <w:r w:rsidRPr="00082773">
              <w:rPr>
                <w:rFonts w:ascii="Times New Roman" w:hAnsi="Times New Roman"/>
                <w:color w:val="000000" w:themeColor="text1"/>
                <w:sz w:val="24"/>
              </w:rPr>
              <w:lastRenderedPageBreak/>
              <w:t>atskleidžia rizikos kultūros, norimos prisiimti rizikos ir užsakomųjų paslaugų politiką) arba kai tai pasiekiama perleidžiant iš didelės rizikos įmonių arba nustatant kontrolės priemones. Įstaigos taip pat atskleidžia likusias pozicijas, kurias įsisavina pačios įstaigos, arba, jei taikoma, likusias pozicijas, kurios perleidžiamos įvairiais būdais, įskaitant draudimą.</w:t>
            </w:r>
          </w:p>
        </w:tc>
      </w:tr>
    </w:tbl>
    <w:p w14:paraId="0A37501D" w14:textId="77777777" w:rsidR="00E114F3" w:rsidRPr="00082773" w:rsidRDefault="00E114F3" w:rsidP="00E114F3">
      <w:pPr>
        <w:spacing w:after="120"/>
        <w:jc w:val="both"/>
        <w:rPr>
          <w:rFonts w:ascii="Times New Roman" w:hAnsi="Times New Roman" w:cs="Times New Roman"/>
          <w:b/>
          <w:bCs/>
          <w:sz w:val="24"/>
        </w:rPr>
      </w:pPr>
    </w:p>
    <w:p w14:paraId="73228265" w14:textId="2825D40F" w:rsidR="00E114F3" w:rsidRPr="00082773" w:rsidRDefault="00E114F3" w:rsidP="00E114F3">
      <w:pPr>
        <w:spacing w:after="120"/>
        <w:jc w:val="both"/>
        <w:rPr>
          <w:rFonts w:ascii="Times New Roman" w:hAnsi="Times New Roman" w:cs="Times New Roman"/>
          <w:bCs/>
          <w:sz w:val="24"/>
        </w:rPr>
      </w:pPr>
      <w:r w:rsidRPr="00082773">
        <w:rPr>
          <w:rFonts w:ascii="Times New Roman" w:hAnsi="Times New Roman"/>
          <w:b/>
          <w:sz w:val="24"/>
        </w:rPr>
        <w:t xml:space="preserve">EU OR1 šablonas. Operacinės rizikos nuostoliai. </w:t>
      </w:r>
      <w:r w:rsidRPr="00082773">
        <w:rPr>
          <w:rFonts w:ascii="Times New Roman" w:hAnsi="Times New Roman"/>
          <w:sz w:val="24"/>
        </w:rPr>
        <w:t>Nustatytojo formato šablonas</w:t>
      </w:r>
    </w:p>
    <w:p w14:paraId="70B287DB" w14:textId="7164F419" w:rsidR="00D740B8"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Įstaigos atskleidžia informaciją, įtrauktą į EU OR1 šabloną, taikydamos Reglamento (ES) Nr. 575/2013 446 straipsnio 2 dalies a ir b punktus. Šiame šablone pateikiama informacija apie metinius operacinės rizikos nuostolius, patirtus per pastaruosius 10 metų, remiantis patirtų nuostolių apskaitos data. Šie metiniai operacinės rizikos nuostoliai bus apskaičiuoti pagal Reglamento (ES) Nr. 575/2013 316 straipsnio 1 dalį ir apims pagal to reglamento 317 straipsnio 2 dalį visus nuostolius, susijusius su visais subjektais, kuriems taikomas konsolidavimas, apimantis nuostolius, atsiradusius dėl sujungtų ir (arba) įsigytų įmonių (kaip nurodyta Reglamento (ES) Nr. 575/2013 321 straipsnio 1 dalyje). Ši informacija teikiama tiek, kiek ji yra prieinama, ir dedant visas pastangas, kol bus taikoma Reglamento (ES) Nr. 575/2013 316 straipsnio 3 dalis, 317 straipsnio 9 dalis, 320 straipsnio 3 dalis ir 321 straipsnio 2 dalis.</w:t>
      </w:r>
    </w:p>
    <w:p w14:paraId="0C12CA7B" w14:textId="77777777" w:rsidR="00D740B8" w:rsidRPr="00082773" w:rsidRDefault="00D740B8" w:rsidP="00D740B8">
      <w:pPr>
        <w:ind w:left="360"/>
        <w:jc w:val="both"/>
        <w:rPr>
          <w:rFonts w:ascii="Times New Roman" w:hAnsi="Times New Roman" w:cs="Times New Roman"/>
          <w:bCs/>
          <w:sz w:val="24"/>
        </w:rPr>
      </w:pPr>
    </w:p>
    <w:p w14:paraId="47EE9624" w14:textId="4A5B22B7" w:rsidR="00D740B8" w:rsidRPr="00082773" w:rsidRDefault="00D740B8" w:rsidP="00D740B8">
      <w:pPr>
        <w:numPr>
          <w:ilvl w:val="0"/>
          <w:numId w:val="1"/>
        </w:numPr>
        <w:jc w:val="both"/>
        <w:rPr>
          <w:rFonts w:ascii="Times New Roman" w:hAnsi="Times New Roman" w:cs="Times New Roman"/>
          <w:sz w:val="24"/>
        </w:rPr>
      </w:pPr>
      <w:r w:rsidRPr="00082773">
        <w:rPr>
          <w:rFonts w:ascii="Times New Roman" w:hAnsi="Times New Roman"/>
          <w:sz w:val="24"/>
        </w:rPr>
        <w:t>Įstaigos atskleidžia kiekvienų iš pastarųjų 10 metų duomenis apie operacinės rizikos nuostolių skaičių ir neįtrauktų operacinės rizikos nuostolių skaičių, bendrą operacinės rizikos nuostolių sumą, atėmus susigrąžintas sumas ir bendrą operacinės rizikos nuostolių sumą, atėmus susigrąžintas sumas ir atėmus neįtrauktus nuostolius. Bendra metinė operacinės rizikos nuostolių suma bus apskaičiuojama kaip visų tam tikrų finansinių metų grynųjų nuostolių, apskaičiuotų pagal Reglamento (ES) Nr. 575/2013 318 straipsnio 1 dalį ir lygių arba viršijančių to reglamento atitinkamai 319 straipsnio 1 arba 2 dalyje nustatytas nuostolių duomenų ribas (t. y. 20 000 EUR ir 100 000 EUR), suma. Tačiau siekiant nustatyti, ar viršijama informacijos atskleidimo riba, sumuojami pastarųjų 10 metų skirtingais ataskaitiniais metais pripažinti nuostoliai, kuriuos sukėlė bendras operacinės rizikos įvykis arba keli su tuo pačiu operacinės rizikos įvykiu susiję įvykiai (pagrindinis įvykis). Nuostoliai ir koregavimai turėtų būti atskleisti pagal Reglamento (ES) Nr. 575/2013 317 straipsnio 3 dalies c punkto ir 318 straipsnio nuostatas. Šios sumos atskleidžiamos tais metais, kuriais jos buvo įtrauktos į finansines ataskaitas.</w:t>
      </w:r>
    </w:p>
    <w:p w14:paraId="2702CB88" w14:textId="77777777" w:rsidR="00D740B8" w:rsidRPr="00082773" w:rsidRDefault="00D740B8" w:rsidP="00D740B8">
      <w:pPr>
        <w:pStyle w:val="ListParagraph"/>
        <w:rPr>
          <w:rFonts w:ascii="Times New Roman" w:hAnsi="Times New Roman"/>
          <w:bCs/>
          <w:sz w:val="24"/>
        </w:rPr>
      </w:pPr>
    </w:p>
    <w:p w14:paraId="3146DBD3" w14:textId="48F555B9" w:rsidR="00D740B8"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 xml:space="preserve"> Pridedamose aiškinamosiose pastabose įstaigos atskleidžia bendrą išimtinių operacinės rizikos įvykių, kurie nebuvo įtraukti į metinių operacinės rizikos nuostolių apskaičiavimą, pagrindimą pagal Reglamento (ES) Nr. 575/2013 446 straipsnio 2 dalies b punktą.</w:t>
      </w:r>
    </w:p>
    <w:p w14:paraId="066C0912" w14:textId="77777777" w:rsidR="00D740B8" w:rsidRPr="00082773" w:rsidRDefault="00D740B8" w:rsidP="00D740B8">
      <w:pPr>
        <w:pStyle w:val="ListParagraph"/>
        <w:rPr>
          <w:rFonts w:ascii="Times New Roman" w:hAnsi="Times New Roman"/>
          <w:bCs/>
          <w:sz w:val="24"/>
        </w:rPr>
      </w:pPr>
    </w:p>
    <w:p w14:paraId="79A49BBA" w14:textId="5D2F1C9E" w:rsidR="00D740B8"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 xml:space="preserve"> Įstaigos taip pat bendrai atskleidžia bet kokią reikšmingą informaciją, kuri galėtų padėti naudotojams suprasti įstaigos ankstesnius nuostolius, susigrąžintas sumas ir privalomuosius rezervus, išskyrus konfidencialią ir privačią informaciją.</w:t>
      </w:r>
    </w:p>
    <w:p w14:paraId="3AF72482" w14:textId="77777777" w:rsidR="00D740B8" w:rsidRPr="00082773" w:rsidRDefault="00D740B8" w:rsidP="00D740B8">
      <w:pPr>
        <w:pStyle w:val="ListParagraph"/>
        <w:rPr>
          <w:rFonts w:ascii="Times New Roman" w:hAnsi="Times New Roman"/>
          <w:bCs/>
          <w:sz w:val="24"/>
        </w:rPr>
      </w:pPr>
    </w:p>
    <w:p w14:paraId="36406578" w14:textId="77777777" w:rsidR="00D740B8" w:rsidRPr="00082773" w:rsidRDefault="00D740B8" w:rsidP="00D740B8">
      <w:pPr>
        <w:pStyle w:val="ListParagraph"/>
        <w:rPr>
          <w:rFonts w:ascii="Times New Roman" w:hAnsi="Times New Roman"/>
          <w:bC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7745"/>
      </w:tblGrid>
      <w:tr w:rsidR="00D740B8" w:rsidRPr="00082773" w14:paraId="7E388732" w14:textId="77777777">
        <w:tc>
          <w:tcPr>
            <w:tcW w:w="1271" w:type="dxa"/>
            <w:shd w:val="clear" w:color="auto" w:fill="BFBFBF" w:themeFill="background1" w:themeFillShade="BF"/>
          </w:tcPr>
          <w:p w14:paraId="5F81890E" w14:textId="77777777" w:rsidR="00D740B8" w:rsidRPr="00082773" w:rsidRDefault="00D740B8">
            <w:pPr>
              <w:autoSpaceDE w:val="0"/>
              <w:autoSpaceDN w:val="0"/>
              <w:adjustRightInd w:val="0"/>
              <w:rPr>
                <w:rFonts w:ascii="Times New Roman" w:hAnsi="Times New Roman"/>
                <w:bCs/>
                <w:sz w:val="24"/>
              </w:rPr>
            </w:pPr>
            <w:r w:rsidRPr="00082773">
              <w:rPr>
                <w:rFonts w:ascii="Times New Roman" w:hAnsi="Times New Roman"/>
                <w:b/>
                <w:sz w:val="24"/>
              </w:rPr>
              <w:t>Skiltis</w:t>
            </w:r>
          </w:p>
        </w:tc>
        <w:tc>
          <w:tcPr>
            <w:tcW w:w="7745" w:type="dxa"/>
            <w:shd w:val="clear" w:color="auto" w:fill="BFBFBF" w:themeFill="background1" w:themeFillShade="BF"/>
          </w:tcPr>
          <w:p w14:paraId="0773BD79" w14:textId="77777777" w:rsidR="00D740B8" w:rsidRPr="00082773" w:rsidRDefault="00D740B8">
            <w:pPr>
              <w:spacing w:before="60" w:after="120"/>
              <w:jc w:val="both"/>
              <w:rPr>
                <w:rFonts w:ascii="Times New Roman" w:eastAsia="Times New Roman" w:hAnsi="Times New Roman" w:cs="Times New Roman"/>
                <w:b/>
                <w:sz w:val="24"/>
              </w:rPr>
            </w:pPr>
            <w:r w:rsidRPr="00082773">
              <w:rPr>
                <w:rFonts w:ascii="Times New Roman" w:hAnsi="Times New Roman"/>
                <w:b/>
                <w:sz w:val="24"/>
              </w:rPr>
              <w:t>Nuorodos į teisės aktus ir nurodymai</w:t>
            </w:r>
          </w:p>
        </w:tc>
      </w:tr>
      <w:tr w:rsidR="00D740B8" w:rsidRPr="00082773" w14:paraId="4A7B0862" w14:textId="77777777">
        <w:tc>
          <w:tcPr>
            <w:tcW w:w="1271" w:type="dxa"/>
          </w:tcPr>
          <w:p w14:paraId="59A78ADD" w14:textId="77777777" w:rsidR="00D740B8" w:rsidRPr="00082773" w:rsidRDefault="00D740B8">
            <w:pPr>
              <w:autoSpaceDE w:val="0"/>
              <w:autoSpaceDN w:val="0"/>
              <w:adjustRightInd w:val="0"/>
              <w:jc w:val="center"/>
              <w:rPr>
                <w:rFonts w:ascii="Times New Roman" w:hAnsi="Times New Roman"/>
                <w:bCs/>
                <w:sz w:val="24"/>
              </w:rPr>
            </w:pPr>
            <w:r w:rsidRPr="00082773">
              <w:rPr>
                <w:rFonts w:ascii="Times New Roman" w:hAnsi="Times New Roman"/>
                <w:sz w:val="24"/>
              </w:rPr>
              <w:t>a–j</w:t>
            </w:r>
          </w:p>
        </w:tc>
        <w:tc>
          <w:tcPr>
            <w:tcW w:w="7745" w:type="dxa"/>
          </w:tcPr>
          <w:p w14:paraId="0B872A50" w14:textId="77777777" w:rsidR="00D740B8" w:rsidRPr="00082773" w:rsidRDefault="00D740B8">
            <w:pPr>
              <w:spacing w:before="120" w:after="120"/>
              <w:jc w:val="both"/>
              <w:rPr>
                <w:rFonts w:ascii="Times New Roman" w:eastAsia="Times New Roman" w:hAnsi="Times New Roman" w:cs="Times New Roman"/>
                <w:sz w:val="24"/>
              </w:rPr>
            </w:pPr>
            <w:r w:rsidRPr="00082773">
              <w:rPr>
                <w:rFonts w:ascii="Times New Roman" w:hAnsi="Times New Roman"/>
                <w:b/>
                <w:sz w:val="24"/>
              </w:rPr>
              <w:t>Metai (T, T–1, T–2, T–3, T–4, T–5, T–6, T–7, T–8, T–9)</w:t>
            </w:r>
          </w:p>
          <w:p w14:paraId="5B6EF35C" w14:textId="3033D1CC" w:rsidR="00D740B8" w:rsidRPr="00082773" w:rsidRDefault="00D740B8">
            <w:pPr>
              <w:spacing w:before="120" w:after="120"/>
              <w:rPr>
                <w:rFonts w:ascii="Times New Roman" w:hAnsi="Times New Roman"/>
                <w:sz w:val="24"/>
              </w:rPr>
            </w:pPr>
            <w:r w:rsidRPr="00082773">
              <w:rPr>
                <w:rFonts w:ascii="Times New Roman" w:hAnsi="Times New Roman"/>
                <w:sz w:val="24"/>
              </w:rPr>
              <w:t xml:space="preserve">Atitinkamoje eilutėje nurodyta vertė per pastaruosius 10 finansinių metų. </w:t>
            </w:r>
          </w:p>
        </w:tc>
      </w:tr>
      <w:tr w:rsidR="00D740B8" w:rsidRPr="00082773" w14:paraId="7D63969A" w14:textId="77777777">
        <w:tc>
          <w:tcPr>
            <w:tcW w:w="1271" w:type="dxa"/>
          </w:tcPr>
          <w:p w14:paraId="6CFD6A05" w14:textId="77777777" w:rsidR="00D740B8" w:rsidRPr="00082773" w:rsidRDefault="00D740B8">
            <w:pPr>
              <w:autoSpaceDE w:val="0"/>
              <w:autoSpaceDN w:val="0"/>
              <w:adjustRightInd w:val="0"/>
              <w:jc w:val="center"/>
              <w:rPr>
                <w:rFonts w:ascii="Times New Roman" w:hAnsi="Times New Roman"/>
                <w:bCs/>
                <w:sz w:val="24"/>
              </w:rPr>
            </w:pPr>
            <w:r w:rsidRPr="00082773">
              <w:rPr>
                <w:rFonts w:ascii="Times New Roman" w:hAnsi="Times New Roman"/>
                <w:sz w:val="24"/>
              </w:rPr>
              <w:lastRenderedPageBreak/>
              <w:t>k</w:t>
            </w:r>
          </w:p>
        </w:tc>
        <w:tc>
          <w:tcPr>
            <w:tcW w:w="7745" w:type="dxa"/>
          </w:tcPr>
          <w:p w14:paraId="50D93A86" w14:textId="77777777" w:rsidR="00D740B8" w:rsidRPr="00082773" w:rsidRDefault="00D740B8">
            <w:pPr>
              <w:spacing w:before="120" w:after="120"/>
              <w:jc w:val="both"/>
              <w:rPr>
                <w:rFonts w:ascii="Times New Roman" w:eastAsia="Times New Roman" w:hAnsi="Times New Roman" w:cs="Times New Roman"/>
                <w:b/>
                <w:sz w:val="24"/>
              </w:rPr>
            </w:pPr>
            <w:r w:rsidRPr="00082773">
              <w:rPr>
                <w:rFonts w:ascii="Times New Roman" w:hAnsi="Times New Roman"/>
                <w:b/>
                <w:sz w:val="24"/>
              </w:rPr>
              <w:t>10 metų vidurkis</w:t>
            </w:r>
          </w:p>
          <w:p w14:paraId="38A7187F" w14:textId="0CB464F2" w:rsidR="00D740B8" w:rsidRPr="00082773" w:rsidRDefault="00D740B8">
            <w:pPr>
              <w:spacing w:before="120" w:after="120"/>
              <w:rPr>
                <w:rFonts w:ascii="Times New Roman" w:hAnsi="Times New Roman"/>
                <w:bCs/>
                <w:sz w:val="24"/>
              </w:rPr>
            </w:pPr>
            <w:r w:rsidRPr="00082773">
              <w:rPr>
                <w:rFonts w:ascii="Times New Roman" w:hAnsi="Times New Roman"/>
                <w:sz w:val="24"/>
              </w:rPr>
              <w:t>Atitinkamoje eilutėje nurodytų verčių vidurkis per pastaruosius 10 metų.</w:t>
            </w:r>
          </w:p>
        </w:tc>
      </w:tr>
    </w:tbl>
    <w:p w14:paraId="7095834F" w14:textId="77777777" w:rsidR="00D740B8" w:rsidRPr="00082773" w:rsidRDefault="00D740B8" w:rsidP="00D740B8">
      <w:pPr>
        <w:pStyle w:val="ListParagraph"/>
        <w:rPr>
          <w:rFonts w:ascii="Times New Roman" w:hAnsi="Times New Roman"/>
          <w:bCs/>
          <w:sz w:val="24"/>
        </w:rPr>
      </w:pPr>
    </w:p>
    <w:p w14:paraId="32DB6729" w14:textId="77777777" w:rsidR="00D740B8" w:rsidRPr="00082773" w:rsidRDefault="00D740B8" w:rsidP="00D740B8">
      <w:pPr>
        <w:pStyle w:val="ListParagraph"/>
        <w:rPr>
          <w:rFonts w:ascii="Times New Roman" w:hAnsi="Times New Roman"/>
          <w:bCs/>
          <w:sz w:val="24"/>
        </w:rPr>
      </w:pPr>
    </w:p>
    <w:p w14:paraId="2611544E" w14:textId="77777777" w:rsidR="00D740B8" w:rsidRPr="00082773" w:rsidRDefault="00D740B8" w:rsidP="00D740B8">
      <w:pPr>
        <w:pStyle w:val="ListParagraph"/>
        <w:rPr>
          <w:rFonts w:ascii="Times New Roman" w:hAnsi="Times New Roman"/>
          <w:bCs/>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82773" w14:paraId="75D1924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C07F6" w14:textId="1ED352CF" w:rsidR="00D740B8" w:rsidRPr="00082773" w:rsidRDefault="00D740B8">
            <w:pPr>
              <w:autoSpaceDE w:val="0"/>
              <w:autoSpaceDN w:val="0"/>
              <w:adjustRightInd w:val="0"/>
              <w:rPr>
                <w:rFonts w:ascii="Times New Roman" w:hAnsi="Times New Roman" w:cs="Times New Roman"/>
                <w:b/>
                <w:sz w:val="24"/>
              </w:rPr>
            </w:pPr>
            <w:r w:rsidRPr="00082773">
              <w:rPr>
                <w:rFonts w:ascii="Times New Roman" w:hAnsi="Times New Roman"/>
                <w:b/>
                <w:sz w:val="24"/>
              </w:rPr>
              <w:t>Eilutė</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2A10C0" w14:textId="77777777" w:rsidR="00D740B8" w:rsidRPr="00082773" w:rsidRDefault="00D740B8">
            <w:pPr>
              <w:rPr>
                <w:rFonts w:ascii="Times New Roman" w:hAnsi="Times New Roman" w:cs="Times New Roman"/>
                <w:b/>
                <w:sz w:val="24"/>
              </w:rPr>
            </w:pPr>
            <w:r w:rsidRPr="00082773">
              <w:rPr>
                <w:rFonts w:ascii="Times New Roman" w:hAnsi="Times New Roman"/>
                <w:b/>
                <w:sz w:val="24"/>
              </w:rPr>
              <w:t>Nuorodos į teisės aktus ir nurodymai</w:t>
            </w:r>
          </w:p>
        </w:tc>
      </w:tr>
      <w:tr w:rsidR="00D740B8" w:rsidRPr="00082773" w14:paraId="5B979768"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3E5C0BB"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1F810E" w14:textId="221857B7" w:rsidR="00D740B8" w:rsidRPr="00082773" w:rsidRDefault="00D740B8">
            <w:pPr>
              <w:spacing w:before="120" w:after="120"/>
              <w:jc w:val="both"/>
              <w:rPr>
                <w:rFonts w:ascii="Times New Roman" w:eastAsia="Times New Roman" w:hAnsi="Times New Roman" w:cs="Times New Roman"/>
                <w:b/>
                <w:sz w:val="24"/>
              </w:rPr>
            </w:pPr>
            <w:r w:rsidRPr="00082773">
              <w:rPr>
                <w:rFonts w:ascii="Times New Roman" w:hAnsi="Times New Roman"/>
                <w:b/>
                <w:sz w:val="24"/>
              </w:rPr>
              <w:t>Bendra operacinės rizikos nuostolių suma, atėmus susigrąžintas sumas (be išimčių)</w:t>
            </w:r>
          </w:p>
          <w:p w14:paraId="73A6B59F" w14:textId="42A729DD" w:rsidR="00D740B8" w:rsidRPr="00082773" w:rsidRDefault="00D740B8">
            <w:pPr>
              <w:spacing w:before="120" w:after="120"/>
              <w:jc w:val="both"/>
              <w:rPr>
                <w:rFonts w:ascii="Times New Roman" w:eastAsia="Times New Roman" w:hAnsi="Times New Roman" w:cs="Times New Roman"/>
                <w:sz w:val="24"/>
              </w:rPr>
            </w:pPr>
            <w:r w:rsidRPr="00082773">
              <w:rPr>
                <w:rFonts w:ascii="Times New Roman" w:hAnsi="Times New Roman"/>
                <w:sz w:val="24"/>
              </w:rPr>
              <w:t>Reglamento (ES) Nr. 575/2013 446 straipsnio 2 dalies a punktas ir 316 straipsnio 1 dalis.</w:t>
            </w:r>
          </w:p>
          <w:p w14:paraId="5D929629" w14:textId="254FA976" w:rsidR="00D740B8" w:rsidRPr="00082773" w:rsidRDefault="002B0785">
            <w:pPr>
              <w:spacing w:before="120" w:after="120"/>
              <w:jc w:val="both"/>
              <w:rPr>
                <w:rFonts w:ascii="Times New Roman" w:eastAsia="Times New Roman" w:hAnsi="Times New Roman" w:cs="Times New Roman"/>
                <w:b/>
                <w:sz w:val="24"/>
              </w:rPr>
            </w:pPr>
            <w:r w:rsidRPr="00082773">
              <w:rPr>
                <w:rFonts w:ascii="Times New Roman" w:hAnsi="Times New Roman"/>
                <w:sz w:val="24"/>
              </w:rPr>
              <w:t>Eilutėje nurodoma bendra nuostolių suma, atėmus susigrąžintas sumas, susidariusi dėl nuostolių įvykių, viršijančių 20 000 EUR nuostolių įvykio ribą per kiekvieną iš pastarųjų 10 ataskaitinių laikotarpių, įskaitant nuostolius dėl susijungimų ir įsigijimų. Siekiant nustatyti, ar viršijama informacijos atskleidimo riba, sumuojami pastarųjų 10 metų skirtingais ataskaitiniais metais pripažinti nuostoliai, kuriuos sukėlė bendras operacinės rizikos įvykis arba keli su tuo pačiu operacinės rizikos įvykiu susiję įvykiai. Išskirtiniai metų operacinės rizikos įvykiai, kurie nebėra susiję su įstaigos rizikos profiliu ir dėl kurių įstaiga gavo kompetentingos institucijos leidimą jų neįtraukti į įstaigos metinius operacinės rizikos nuostolius pagal Reglamento (ES) Nr. 575/2013 320 straipsnio 1 dalį, vis tiek turi būti įtraukti į šioje eilutėje nurodyto elemento skaičiavimą.</w:t>
            </w:r>
          </w:p>
        </w:tc>
      </w:tr>
      <w:tr w:rsidR="00D740B8" w:rsidRPr="00082773" w14:paraId="1A3189B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985BED"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0B8990" w14:textId="77777777" w:rsidR="00D740B8" w:rsidRPr="00082773" w:rsidRDefault="00D740B8">
            <w:pPr>
              <w:spacing w:before="120" w:after="120"/>
              <w:jc w:val="both"/>
              <w:rPr>
                <w:rFonts w:ascii="Times New Roman" w:eastAsia="Times New Roman" w:hAnsi="Times New Roman" w:cs="Times New Roman"/>
                <w:b/>
                <w:sz w:val="24"/>
              </w:rPr>
            </w:pPr>
            <w:r w:rsidRPr="00082773">
              <w:rPr>
                <w:rFonts w:ascii="Times New Roman" w:hAnsi="Times New Roman"/>
                <w:b/>
                <w:sz w:val="24"/>
              </w:rPr>
              <w:t>Bendras operacinės rizikos nuostolių skaičius</w:t>
            </w:r>
          </w:p>
          <w:p w14:paraId="2EA91375" w14:textId="28AF0058" w:rsidR="00D740B8" w:rsidRPr="00082773" w:rsidRDefault="00D740B8">
            <w:pPr>
              <w:spacing w:before="120" w:after="120"/>
              <w:jc w:val="both"/>
              <w:rPr>
                <w:rFonts w:ascii="Times New Roman" w:eastAsia="Times New Roman" w:hAnsi="Times New Roman" w:cs="Times New Roman"/>
                <w:sz w:val="24"/>
              </w:rPr>
            </w:pPr>
            <w:r w:rsidRPr="00082773">
              <w:rPr>
                <w:rFonts w:ascii="Times New Roman" w:hAnsi="Times New Roman"/>
                <w:sz w:val="24"/>
              </w:rPr>
              <w:t>Reglamento (ES) Nr. 575/2013 446 straipsnio 2 dalies a punktas ir 316 straipsnio 1 dalis.</w:t>
            </w:r>
          </w:p>
          <w:p w14:paraId="275C478C" w14:textId="69738AFF" w:rsidR="00D740B8" w:rsidRPr="00082773" w:rsidRDefault="00471410">
            <w:pPr>
              <w:spacing w:before="120" w:after="120"/>
              <w:rPr>
                <w:rFonts w:ascii="Times New Roman" w:eastAsia="Times New Roman" w:hAnsi="Times New Roman" w:cs="Times New Roman"/>
                <w:sz w:val="24"/>
              </w:rPr>
            </w:pPr>
            <w:r w:rsidRPr="00082773">
              <w:rPr>
                <w:rFonts w:ascii="Times New Roman" w:hAnsi="Times New Roman"/>
                <w:sz w:val="24"/>
              </w:rPr>
              <w:t>Bendras operacinės rizikos nuostolių, viršijančių 20 000 EUR nuostolio įvykio ribą, skaičius.</w:t>
            </w:r>
          </w:p>
        </w:tc>
      </w:tr>
      <w:tr w:rsidR="00D740B8" w:rsidRPr="00082773" w14:paraId="30368E0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97E2D97"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8A7E573" w14:textId="06E670C1" w:rsidR="00D740B8" w:rsidRPr="00082773" w:rsidRDefault="00D740B8">
            <w:pPr>
              <w:spacing w:before="120" w:after="120"/>
              <w:jc w:val="both"/>
              <w:rPr>
                <w:rFonts w:ascii="Times New Roman" w:eastAsia="Times New Roman" w:hAnsi="Times New Roman" w:cs="Times New Roman"/>
                <w:b/>
                <w:sz w:val="24"/>
              </w:rPr>
            </w:pPr>
            <w:r w:rsidRPr="00082773">
              <w:rPr>
                <w:rFonts w:ascii="Times New Roman" w:hAnsi="Times New Roman"/>
                <w:b/>
                <w:sz w:val="24"/>
              </w:rPr>
              <w:t>Bendra neįtrauktų operacinės rizikos nuostolių suma</w:t>
            </w:r>
          </w:p>
          <w:p w14:paraId="5C1A66AF" w14:textId="5CAD041D" w:rsidR="00D740B8" w:rsidRPr="00082773" w:rsidRDefault="00D740B8">
            <w:pPr>
              <w:spacing w:before="120" w:after="120"/>
              <w:rPr>
                <w:rFonts w:ascii="Times New Roman" w:eastAsia="Times New Roman" w:hAnsi="Times New Roman" w:cs="Times New Roman"/>
                <w:sz w:val="24"/>
              </w:rPr>
            </w:pPr>
            <w:r w:rsidRPr="00082773">
              <w:rPr>
                <w:rFonts w:ascii="Times New Roman" w:hAnsi="Times New Roman"/>
                <w:sz w:val="24"/>
              </w:rPr>
              <w:t>Reglamento (ES) Nr. 575/2013 446 straipsnio 2 dalies b punktas ir 320 straipsnio 1 dalis.</w:t>
            </w:r>
          </w:p>
          <w:p w14:paraId="7BE235CA" w14:textId="7483A5B2" w:rsidR="00D740B8" w:rsidRPr="00082773" w:rsidRDefault="002B0785">
            <w:pPr>
              <w:spacing w:before="120" w:after="120"/>
              <w:rPr>
                <w:rFonts w:ascii="Times New Roman" w:eastAsia="Times New Roman" w:hAnsi="Times New Roman" w:cs="Times New Roman"/>
                <w:sz w:val="24"/>
              </w:rPr>
            </w:pPr>
            <w:r w:rsidRPr="00082773">
              <w:rPr>
                <w:rFonts w:ascii="Times New Roman" w:hAnsi="Times New Roman"/>
                <w:sz w:val="24"/>
              </w:rPr>
              <w:t>Bendros grynosios nuostolių sumos, viršijančios 20 000 EUR nuostolio ribą, kurios nebuvo įtrauktos pagal Reglamento (ES) Nr. 575/2013 320 straipsnio 1 dalį, kiekvienu iš pastarųjų 10 ataskaitinių laikotarpių.</w:t>
            </w:r>
          </w:p>
        </w:tc>
      </w:tr>
      <w:tr w:rsidR="00D740B8" w:rsidRPr="00082773" w14:paraId="2771244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F28D83"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F2BA990" w14:textId="77777777" w:rsidR="00D740B8" w:rsidRPr="00082773" w:rsidRDefault="00D740B8">
            <w:pPr>
              <w:spacing w:before="12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Bendras neįtrauktų operacinės rizikos įvykių skaičius</w:t>
            </w:r>
          </w:p>
          <w:p w14:paraId="7914E462" w14:textId="7978A3B5" w:rsidR="00D740B8" w:rsidRPr="00082773" w:rsidRDefault="00D740B8">
            <w:pPr>
              <w:spacing w:before="120" w:after="120"/>
              <w:rPr>
                <w:rFonts w:ascii="Times New Roman" w:eastAsia="Times New Roman" w:hAnsi="Times New Roman" w:cs="Times New Roman"/>
                <w:sz w:val="24"/>
              </w:rPr>
            </w:pPr>
            <w:r w:rsidRPr="00082773">
              <w:rPr>
                <w:rFonts w:ascii="Times New Roman" w:hAnsi="Times New Roman"/>
                <w:sz w:val="24"/>
              </w:rPr>
              <w:t>Reglamento (ES) Nr. 575/2013 446 straipsnio 2 dalies b punktas ir 320 straipsnio 1 dalis.</w:t>
            </w:r>
          </w:p>
          <w:p w14:paraId="318A732C" w14:textId="242D554F" w:rsidR="00D740B8" w:rsidRPr="00082773" w:rsidRDefault="009D4A12">
            <w:pPr>
              <w:spacing w:before="120" w:after="120"/>
              <w:jc w:val="both"/>
              <w:rPr>
                <w:rFonts w:ascii="Times New Roman" w:eastAsia="Times New Roman" w:hAnsi="Times New Roman" w:cs="Times New Roman"/>
                <w:sz w:val="24"/>
              </w:rPr>
            </w:pPr>
            <w:r w:rsidRPr="00082773">
              <w:rPr>
                <w:rFonts w:ascii="Times New Roman" w:hAnsi="Times New Roman"/>
                <w:sz w:val="24"/>
              </w:rPr>
              <w:t xml:space="preserve">Bendras išskirtinių operacinės rizikos įvykių, viršijančių 20 000 EUR nuostolio įvykio ribą, kurie nebuvo įtraukti pagal Reglamento (ES) Nr. 575/2013 320 straipsnio 1 dalį, skaičius kiekvienu iš pastarųjų 10 ataskaitinių laikotarpių. </w:t>
            </w:r>
          </w:p>
        </w:tc>
      </w:tr>
      <w:tr w:rsidR="00D740B8" w:rsidRPr="00082773" w14:paraId="155A14DC"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A8A2BC3"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BD9B80" w14:textId="218BBE7C" w:rsidR="00D740B8" w:rsidRPr="00082773" w:rsidRDefault="00D740B8" w:rsidP="00156174">
            <w:pPr>
              <w:keepNext/>
              <w:spacing w:before="12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Bendra operacinės rizikos nuostolių suma, atėmus susigrąžintas sumas ir neįtrauktus nuostolius</w:t>
            </w:r>
          </w:p>
          <w:p w14:paraId="4203582A" w14:textId="7C24EBAE" w:rsidR="00D740B8" w:rsidRPr="00082773" w:rsidRDefault="002B0785">
            <w:pPr>
              <w:spacing w:before="120" w:after="120"/>
              <w:jc w:val="both"/>
              <w:rPr>
                <w:rFonts w:ascii="Times New Roman" w:eastAsia="Times New Roman" w:hAnsi="Times New Roman" w:cs="Times New Roman"/>
                <w:sz w:val="24"/>
              </w:rPr>
            </w:pPr>
            <w:r w:rsidRPr="00082773">
              <w:rPr>
                <w:rFonts w:ascii="Times New Roman" w:hAnsi="Times New Roman"/>
                <w:sz w:val="24"/>
              </w:rPr>
              <w:t>Bendra operacinės rizikos nuostolių suma, atėmus 1 eilutėje nurodytų susigrąžintų sumų sumą ir atėmus 3 eilutėje nurodytus neįtrauktus nuostolius.</w:t>
            </w:r>
          </w:p>
        </w:tc>
      </w:tr>
      <w:tr w:rsidR="00D740B8" w:rsidRPr="00082773" w14:paraId="533A412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BDEE7FB"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6</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765A87" w14:textId="409B91B6" w:rsidR="00D740B8" w:rsidRPr="00082773" w:rsidRDefault="00D740B8">
            <w:pPr>
              <w:spacing w:before="120" w:after="120"/>
              <w:jc w:val="both"/>
              <w:rPr>
                <w:rFonts w:ascii="Times New Roman" w:eastAsia="Times New Roman" w:hAnsi="Times New Roman" w:cs="Times New Roman"/>
                <w:b/>
                <w:sz w:val="24"/>
              </w:rPr>
            </w:pPr>
            <w:r w:rsidRPr="00082773">
              <w:rPr>
                <w:rFonts w:ascii="Times New Roman" w:hAnsi="Times New Roman"/>
                <w:b/>
                <w:sz w:val="24"/>
              </w:rPr>
              <w:t>Bendra operacinės rizikos nuostolių suma, atėmus susigrąžintas sumas (be išimčių)</w:t>
            </w:r>
          </w:p>
          <w:p w14:paraId="647BDEC8" w14:textId="66617A83" w:rsidR="00D740B8" w:rsidRPr="00082773" w:rsidRDefault="00D740B8">
            <w:pPr>
              <w:spacing w:before="120" w:after="120"/>
              <w:jc w:val="both"/>
              <w:rPr>
                <w:rFonts w:ascii="Times New Roman" w:eastAsia="Times New Roman" w:hAnsi="Times New Roman" w:cs="Times New Roman"/>
                <w:sz w:val="24"/>
              </w:rPr>
            </w:pPr>
            <w:r w:rsidRPr="00082773">
              <w:rPr>
                <w:rFonts w:ascii="Times New Roman" w:hAnsi="Times New Roman"/>
                <w:sz w:val="24"/>
              </w:rPr>
              <w:t>Reglamento (ES) Nr. 575/2013 446 straipsnio 2 dalies a punktas ir 316 straipsnio 1 dalis.</w:t>
            </w:r>
          </w:p>
          <w:p w14:paraId="7F1E94AA" w14:textId="3C3700EE" w:rsidR="00D740B8" w:rsidRPr="00082773" w:rsidRDefault="003D54AC">
            <w:pPr>
              <w:spacing w:before="120" w:after="120"/>
              <w:jc w:val="both"/>
              <w:rPr>
                <w:rStyle w:val="InstructionsTabelleberschrift"/>
                <w:rFonts w:ascii="Times New Roman" w:eastAsia="Times New Roman" w:hAnsi="Times New Roman"/>
                <w:bCs w:val="0"/>
                <w:sz w:val="24"/>
              </w:rPr>
            </w:pPr>
            <w:r w:rsidRPr="00082773">
              <w:rPr>
                <w:rFonts w:ascii="Times New Roman" w:hAnsi="Times New Roman"/>
                <w:sz w:val="24"/>
              </w:rPr>
              <w:t>Bendra operacinės rizikos nuostolių suma, atėmus susigrąžintų sumų sumą, susijusi su nuostolio įvykiais, viršijančiais 100 000 EUR nuostolio įvykio ribą, kiekvienu iš pastarųjų 10 ataskaitinių laikotarpių, įskaitant nuostolius dėl susijungimų ir įsigijimų. Siekiant nustatyti, ar viršijama informacijos atskleidimo riba, sumuojami pastarųjų 10 metų skirtingais ataskaitiniais metais pripažinti nuostoliai, kuriuos sukėlė bendras operacinės rizikos įvykis arba keli su tuo pačiu operacinės rizikos įvykiu susiję įvykiai. Išskirtiniai metų operacinės rizikos įvykiai, kurie nebėra susiję su įstaigos rizikos profiliu ir dėl kurių įstaiga gavo kompetentingos institucijos leidimą jų neįtraukti į įstaigos metinius operacinės rizikos nuostolius pagal Reglamento (ES) Nr. 575/2013 320 straipsnio 1 dalį, vis tiek turi būti įtraukti į šioje eilutėje nurodyto elemento skaičiavimą.</w:t>
            </w:r>
          </w:p>
        </w:tc>
      </w:tr>
      <w:tr w:rsidR="00D740B8" w:rsidRPr="00082773" w14:paraId="55F7B96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CE372A0"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7</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CB15A10" w14:textId="77777777" w:rsidR="00D740B8" w:rsidRPr="00082773" w:rsidRDefault="00D740B8">
            <w:pPr>
              <w:spacing w:before="120" w:after="120"/>
              <w:jc w:val="both"/>
              <w:rPr>
                <w:rFonts w:ascii="Times New Roman" w:eastAsia="Times New Roman" w:hAnsi="Times New Roman" w:cs="Times New Roman"/>
                <w:b/>
                <w:sz w:val="24"/>
              </w:rPr>
            </w:pPr>
            <w:r w:rsidRPr="00082773">
              <w:rPr>
                <w:rFonts w:ascii="Times New Roman" w:hAnsi="Times New Roman"/>
                <w:b/>
                <w:sz w:val="24"/>
              </w:rPr>
              <w:t>Bendras operacinės rizikos nuostolių skaičius</w:t>
            </w:r>
          </w:p>
          <w:p w14:paraId="7AD8EE0D" w14:textId="092E19E2" w:rsidR="00D740B8" w:rsidRPr="00082773" w:rsidRDefault="00D740B8">
            <w:pPr>
              <w:spacing w:before="120" w:after="120"/>
              <w:jc w:val="both"/>
              <w:rPr>
                <w:rFonts w:ascii="Times New Roman" w:eastAsia="Times New Roman" w:hAnsi="Times New Roman" w:cs="Times New Roman"/>
                <w:sz w:val="24"/>
              </w:rPr>
            </w:pPr>
            <w:r w:rsidRPr="00082773">
              <w:rPr>
                <w:rFonts w:ascii="Times New Roman" w:hAnsi="Times New Roman"/>
                <w:sz w:val="24"/>
              </w:rPr>
              <w:t>Reglamento (ES) Nr. 575/2013 446 straipsnio 2 dalies a punktas ir 316 straipsnio 1 dalis.</w:t>
            </w:r>
          </w:p>
          <w:p w14:paraId="6F316B8B" w14:textId="6ABB567B" w:rsidR="00D740B8" w:rsidRPr="00082773" w:rsidRDefault="00471410">
            <w:pPr>
              <w:spacing w:before="120" w:after="120"/>
              <w:jc w:val="both"/>
              <w:rPr>
                <w:rStyle w:val="InstructionsTabelleberschrift"/>
                <w:rFonts w:ascii="Times New Roman" w:eastAsia="Times New Roman" w:hAnsi="Times New Roman"/>
                <w:bCs w:val="0"/>
                <w:sz w:val="24"/>
              </w:rPr>
            </w:pPr>
            <w:r w:rsidRPr="00082773">
              <w:rPr>
                <w:rFonts w:ascii="Times New Roman" w:hAnsi="Times New Roman"/>
                <w:sz w:val="24"/>
              </w:rPr>
              <w:t>Bendras operacinės rizikos nuostolių, viršijančių 100 000 EUR nuostolio įvykio ribą, skaičius.</w:t>
            </w:r>
          </w:p>
        </w:tc>
      </w:tr>
      <w:tr w:rsidR="00D740B8" w:rsidRPr="00082773" w14:paraId="774B79F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9021F3"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8</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3731AFB" w14:textId="77777777" w:rsidR="00D740B8" w:rsidRPr="00082773" w:rsidRDefault="00D740B8">
            <w:pPr>
              <w:spacing w:before="120" w:after="120"/>
              <w:jc w:val="both"/>
              <w:rPr>
                <w:rFonts w:ascii="Times New Roman" w:eastAsia="Times New Roman" w:hAnsi="Times New Roman" w:cs="Times New Roman"/>
                <w:b/>
                <w:sz w:val="24"/>
              </w:rPr>
            </w:pPr>
            <w:r w:rsidRPr="00082773">
              <w:rPr>
                <w:rFonts w:ascii="Times New Roman" w:hAnsi="Times New Roman"/>
                <w:b/>
                <w:sz w:val="24"/>
              </w:rPr>
              <w:t>Bendra neįtrauktų operacinės rizikos nuostolių suma</w:t>
            </w:r>
          </w:p>
          <w:p w14:paraId="71DECF65" w14:textId="48A395A5" w:rsidR="00D740B8" w:rsidRPr="00082773" w:rsidRDefault="00D740B8">
            <w:pPr>
              <w:spacing w:before="120" w:after="120"/>
              <w:rPr>
                <w:rFonts w:ascii="Times New Roman" w:eastAsia="Times New Roman" w:hAnsi="Times New Roman" w:cs="Times New Roman"/>
                <w:sz w:val="24"/>
              </w:rPr>
            </w:pPr>
            <w:r w:rsidRPr="00082773">
              <w:rPr>
                <w:rFonts w:ascii="Times New Roman" w:hAnsi="Times New Roman"/>
                <w:sz w:val="24"/>
              </w:rPr>
              <w:t>Reglamento (ES) Nr. 575/2013 446 straipsnio 2 dalies b punktas ir 320 straipsnio 1 dalis.</w:t>
            </w:r>
          </w:p>
          <w:p w14:paraId="0BC74916" w14:textId="396B699A" w:rsidR="00D740B8" w:rsidRPr="00082773" w:rsidRDefault="003D54AC">
            <w:pPr>
              <w:spacing w:before="120" w:after="120"/>
              <w:jc w:val="both"/>
              <w:rPr>
                <w:rStyle w:val="InstructionsTabelleberschrift"/>
                <w:rFonts w:ascii="Times New Roman" w:eastAsia="Times New Roman" w:hAnsi="Times New Roman"/>
                <w:bCs w:val="0"/>
                <w:sz w:val="24"/>
              </w:rPr>
            </w:pPr>
            <w:r w:rsidRPr="00082773">
              <w:rPr>
                <w:rFonts w:ascii="Times New Roman" w:hAnsi="Times New Roman"/>
                <w:sz w:val="24"/>
              </w:rPr>
              <w:t>Bendros grynosios nuostolių sumos, viršijančios 100 000 EUR nuostolio ribą, kurios nebuvo įtrauktos pagal Reglamento (ES) Nr. 575/2013 320 straipsnio 1 dalį, kiekvienu iš pastarųjų 10 ataskaitinių laikotarpių.</w:t>
            </w:r>
          </w:p>
        </w:tc>
      </w:tr>
      <w:tr w:rsidR="00D740B8" w:rsidRPr="00082773" w14:paraId="33C9C19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5935360"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9</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F23E8D" w14:textId="77777777" w:rsidR="00D740B8" w:rsidRPr="00082773" w:rsidRDefault="00D740B8">
            <w:pPr>
              <w:spacing w:before="12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Bendras neįtrauktų operacinės rizikos įvykių skaičius</w:t>
            </w:r>
          </w:p>
          <w:p w14:paraId="2B56754D" w14:textId="46B0AAAA" w:rsidR="00D740B8" w:rsidRPr="00082773" w:rsidRDefault="00D740B8">
            <w:pPr>
              <w:spacing w:before="120" w:after="120"/>
              <w:rPr>
                <w:rFonts w:ascii="Times New Roman" w:eastAsia="Times New Roman" w:hAnsi="Times New Roman" w:cs="Times New Roman"/>
                <w:sz w:val="24"/>
              </w:rPr>
            </w:pPr>
            <w:r w:rsidRPr="00082773">
              <w:rPr>
                <w:rFonts w:ascii="Times New Roman" w:hAnsi="Times New Roman"/>
                <w:sz w:val="24"/>
              </w:rPr>
              <w:t>Reglamento (ES) Nr. 575/2013 446 straipsnio 2 dalies b punktas ir 320 straipsnio 1 dalis.</w:t>
            </w:r>
          </w:p>
          <w:p w14:paraId="2EDEC8CA" w14:textId="252B783D" w:rsidR="00D740B8" w:rsidRPr="00082773" w:rsidRDefault="00471410">
            <w:pPr>
              <w:spacing w:before="120" w:after="120"/>
              <w:jc w:val="both"/>
              <w:rPr>
                <w:rStyle w:val="InstructionsTabelleberschrift"/>
                <w:rFonts w:ascii="Times New Roman" w:eastAsia="Times New Roman" w:hAnsi="Times New Roman"/>
                <w:bCs w:val="0"/>
                <w:sz w:val="24"/>
              </w:rPr>
            </w:pPr>
            <w:r w:rsidRPr="00082773">
              <w:rPr>
                <w:rFonts w:ascii="Times New Roman" w:hAnsi="Times New Roman"/>
                <w:sz w:val="24"/>
              </w:rPr>
              <w:t>Bendras išskirtinių operacinės rizikos įvykių, viršijančių 100 000 EUR nuostolio įvykio ribą, kurie nebuvo įtraukti pagal Reglamento (ES) Nr. 575/2013 320 straipsnio 1 dalį, skaičius kiekvienu iš pastarųjų 10 ataskaitinių laikotarpių.</w:t>
            </w:r>
          </w:p>
        </w:tc>
      </w:tr>
      <w:tr w:rsidR="00D740B8" w:rsidRPr="00082773" w14:paraId="01B8CA90"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151114"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10</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93D07D3" w14:textId="0C81ABEB" w:rsidR="00D740B8" w:rsidRPr="00082773" w:rsidRDefault="00D740B8" w:rsidP="00156174">
            <w:pPr>
              <w:keepNext/>
              <w:spacing w:before="12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Bendra operacinės rizikos nuostolių suma, atėmus susigrąžintas sumas ir neįtrauktus nuostolius</w:t>
            </w:r>
          </w:p>
          <w:p w14:paraId="65622881" w14:textId="32C07686" w:rsidR="00D740B8" w:rsidRPr="00082773" w:rsidRDefault="006943D3">
            <w:pPr>
              <w:spacing w:before="120" w:after="120"/>
              <w:jc w:val="both"/>
              <w:rPr>
                <w:rStyle w:val="InstructionsTabelleberschrift"/>
                <w:rFonts w:ascii="Times New Roman" w:eastAsia="Times New Roman" w:hAnsi="Times New Roman"/>
                <w:bCs w:val="0"/>
                <w:sz w:val="24"/>
              </w:rPr>
            </w:pPr>
            <w:r w:rsidRPr="00082773">
              <w:rPr>
                <w:rFonts w:ascii="Times New Roman" w:hAnsi="Times New Roman"/>
                <w:sz w:val="24"/>
              </w:rPr>
              <w:t>Eilutėje atskleidžiama bendra operacinės rizikos nuostolių suma, atėmus 6 eilutėje atskleidžiamą susigrąžintų sumų sumą ir atėmus 8 eilutėje atskleidžiamą neįtrauktų nuostolių sumą.</w:t>
            </w:r>
          </w:p>
        </w:tc>
      </w:tr>
      <w:tr w:rsidR="00D740B8" w:rsidRPr="00082773" w14:paraId="1DE089DB"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3FA6CB"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11</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E813C" w14:textId="77777777" w:rsidR="00D740B8" w:rsidRPr="00082773" w:rsidRDefault="00D740B8">
            <w:pPr>
              <w:autoSpaceDE w:val="0"/>
              <w:autoSpaceDN w:val="0"/>
              <w:adjustRightInd w:val="0"/>
              <w:spacing w:before="120" w:after="120"/>
              <w:rPr>
                <w:rStyle w:val="InstructionsTabelleberschrift"/>
                <w:rFonts w:ascii="Times New Roman" w:eastAsia="Times New Roman" w:hAnsi="Times New Roman"/>
                <w:bCs w:val="0"/>
                <w:sz w:val="24"/>
              </w:rPr>
            </w:pPr>
            <w:r w:rsidRPr="00082773">
              <w:rPr>
                <w:rFonts w:ascii="Times New Roman" w:hAnsi="Times New Roman"/>
                <w:sz w:val="24"/>
              </w:rPr>
              <w:t>Netaikoma.</w:t>
            </w:r>
          </w:p>
        </w:tc>
      </w:tr>
      <w:tr w:rsidR="00D740B8" w:rsidRPr="00082773" w14:paraId="23D23702"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54CBB"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2D8849" w14:textId="77777777" w:rsidR="00D740B8" w:rsidRPr="00082773" w:rsidRDefault="00D740B8">
            <w:pPr>
              <w:spacing w:before="120" w:after="120"/>
              <w:jc w:val="both"/>
              <w:rPr>
                <w:rStyle w:val="InstructionsTabelleberschrift"/>
                <w:rFonts w:ascii="Times New Roman" w:eastAsia="Times New Roman" w:hAnsi="Times New Roman"/>
                <w:b w:val="0"/>
                <w:bCs w:val="0"/>
                <w:sz w:val="24"/>
                <w:u w:val="none"/>
              </w:rPr>
            </w:pPr>
            <w:r w:rsidRPr="00082773">
              <w:rPr>
                <w:rStyle w:val="InstructionsTabelleberschrift"/>
                <w:rFonts w:ascii="Times New Roman" w:hAnsi="Times New Roman"/>
                <w:b w:val="0"/>
                <w:sz w:val="24"/>
                <w:u w:val="none"/>
              </w:rPr>
              <w:t>Netaikoma.</w:t>
            </w:r>
          </w:p>
        </w:tc>
      </w:tr>
      <w:tr w:rsidR="00D740B8" w:rsidRPr="00082773" w14:paraId="5EEF83F8"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94FD13"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13</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BDA855" w14:textId="77777777" w:rsidR="00D740B8" w:rsidRPr="00082773" w:rsidRDefault="00D740B8">
            <w:pPr>
              <w:spacing w:before="120" w:after="120"/>
              <w:jc w:val="both"/>
              <w:rPr>
                <w:rStyle w:val="InstructionsTabelleberschrift"/>
                <w:rFonts w:ascii="Times New Roman" w:eastAsia="Times New Roman" w:hAnsi="Times New Roman"/>
                <w:b w:val="0"/>
                <w:bCs w:val="0"/>
                <w:sz w:val="24"/>
                <w:u w:val="none"/>
              </w:rPr>
            </w:pPr>
            <w:r w:rsidRPr="00082773">
              <w:rPr>
                <w:rStyle w:val="InstructionsTabelleberschrift"/>
                <w:rFonts w:ascii="Times New Roman" w:hAnsi="Times New Roman"/>
                <w:b w:val="0"/>
                <w:sz w:val="24"/>
                <w:u w:val="none"/>
              </w:rPr>
              <w:t>Netaikoma.</w:t>
            </w:r>
          </w:p>
        </w:tc>
      </w:tr>
    </w:tbl>
    <w:p w14:paraId="25A698B0" w14:textId="77777777" w:rsidR="00D740B8" w:rsidRPr="00082773" w:rsidRDefault="00D740B8" w:rsidP="00D740B8">
      <w:pPr>
        <w:pStyle w:val="InstructionsText2"/>
        <w:numPr>
          <w:ilvl w:val="0"/>
          <w:numId w:val="0"/>
        </w:numPr>
        <w:ind w:left="360"/>
        <w:rPr>
          <w:lang w:val="en-US"/>
        </w:rPr>
      </w:pPr>
    </w:p>
    <w:p w14:paraId="033C5861" w14:textId="77777777" w:rsidR="00D740B8" w:rsidRPr="00082773" w:rsidRDefault="00D740B8" w:rsidP="00D740B8">
      <w:pPr>
        <w:jc w:val="both"/>
        <w:rPr>
          <w:rFonts w:ascii="Times New Roman" w:hAnsi="Times New Roman" w:cs="Times New Roman"/>
          <w:bCs/>
          <w:sz w:val="24"/>
        </w:rPr>
      </w:pPr>
      <w:r w:rsidRPr="00082773">
        <w:rPr>
          <w:rFonts w:ascii="Times New Roman" w:hAnsi="Times New Roman"/>
          <w:b/>
          <w:sz w:val="24"/>
        </w:rPr>
        <w:t xml:space="preserve">EU OR2 šablonas. Veiklos rodiklis, komponentai ir komponentų sudedamosios dalys. </w:t>
      </w:r>
      <w:r w:rsidRPr="00082773">
        <w:rPr>
          <w:rFonts w:ascii="Times New Roman" w:hAnsi="Times New Roman"/>
          <w:sz w:val="24"/>
        </w:rPr>
        <w:t>Nustatytojo formato šablonas</w:t>
      </w:r>
    </w:p>
    <w:p w14:paraId="3D173CCF" w14:textId="77777777" w:rsidR="00D740B8" w:rsidRPr="00082773" w:rsidRDefault="00D740B8" w:rsidP="00D740B8">
      <w:pPr>
        <w:ind w:left="360"/>
        <w:jc w:val="both"/>
        <w:rPr>
          <w:rFonts w:ascii="Times New Roman" w:hAnsi="Times New Roman" w:cs="Times New Roman"/>
          <w:bCs/>
          <w:sz w:val="24"/>
        </w:rPr>
      </w:pPr>
    </w:p>
    <w:p w14:paraId="3F849430" w14:textId="414C531B" w:rsidR="00D740B8"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Įstaigos atskleidžia EU OR2 šablone nurodytą informaciją, taikydamos Reglamento (ES) Nr. 575/2013 446 straipsnio 1 dalies c ir d punktus. Šiame šablone pateikiama informacija apie veiklos rodiklio komponento (BIC) apskaičiavimą pagal Reglamento (ES) Nr. 575/2013 313 straipsnį ir veiklos rodiklio (BI), jo komponentų ir komponentų sudedamųjų dalių apskaičiavimą pagal Reglamento (ES) Nr. 575/2013 314 straipsnį. Be to, šiame šablone taip pat pateikiama informacija apie sumas, neįtrauktas į veiklos rodiklį, susijusį su perleistais subjektais ar veikla, pagal 315 straipsnio 2 dalį.</w:t>
      </w:r>
    </w:p>
    <w:p w14:paraId="5C35CEC0" w14:textId="77777777" w:rsidR="00D740B8" w:rsidRPr="00082773" w:rsidRDefault="00D740B8" w:rsidP="00D740B8">
      <w:pPr>
        <w:ind w:left="360"/>
        <w:jc w:val="both"/>
        <w:rPr>
          <w:rFonts w:ascii="Times New Roman" w:hAnsi="Times New Roman" w:cs="Times New Roman"/>
          <w:bCs/>
          <w:sz w:val="24"/>
        </w:rPr>
      </w:pPr>
    </w:p>
    <w:p w14:paraId="1749895F" w14:textId="07869965" w:rsidR="00D740B8"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Įstaigos atskleidžia informaciją apie pastarųjų trejų finansinių metų atitinkamų elementų, kurie turi būti įtraukti į BI komponentų sudedamųjų dalių, padedančių apskaičiuoti nuosavų lėšų reikalavimą operacinei rizikai padengti, skaičiavimą, sąrašo sumą.</w:t>
      </w:r>
    </w:p>
    <w:p w14:paraId="7B27D162" w14:textId="77777777" w:rsidR="00D740B8" w:rsidRPr="00082773" w:rsidRDefault="00D740B8" w:rsidP="00D740B8">
      <w:pPr>
        <w:pStyle w:val="ListParagraph"/>
        <w:rPr>
          <w:rFonts w:ascii="Times New Roman" w:hAnsi="Times New Roman"/>
          <w:bCs/>
          <w:sz w:val="24"/>
        </w:rPr>
      </w:pPr>
    </w:p>
    <w:p w14:paraId="41988E91" w14:textId="281D16EA" w:rsidR="00D740B8"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Pagal Reglamento (ES) Nr. 575/2013 314 straipsnio 8 dalį, jei ankstesnių laikotarpių duomenų nėra, įstaigos naudoja prognozuojamus verslo duomenis.</w:t>
      </w:r>
    </w:p>
    <w:p w14:paraId="14A23528" w14:textId="485ED75C" w:rsidR="00D740B8" w:rsidRPr="00082773" w:rsidRDefault="00D740B8" w:rsidP="00D740B8">
      <w:pPr>
        <w:pStyle w:val="numberedparagraph"/>
        <w:numPr>
          <w:ilvl w:val="0"/>
          <w:numId w:val="1"/>
        </w:numPr>
        <w:rPr>
          <w:rFonts w:ascii="Times New Roman" w:hAnsi="Times New Roman" w:cs="Times New Roman"/>
          <w:sz w:val="24"/>
        </w:rPr>
      </w:pPr>
      <w:r w:rsidRPr="00082773">
        <w:rPr>
          <w:rFonts w:ascii="Times New Roman" w:hAnsi="Times New Roman"/>
          <w:sz w:val="24"/>
        </w:rPr>
        <w:t>Jeigu įstaigos turi mažiau nei trejų metų duomenis, susijusius su išsamiais elementais, kurie patenka į BI komponentus, turimi ankstesnių laikotarpių duomenys pagal prioritetus priskiriami atitinkamoms šablono skiltims. Jeigu įstaigos turi tik vienų metų ankstesnius duomenis, susijusius su BI komponentais, šie duomenys pateikiami skiltyje, atitinkančioje pastaruosius metus (pvz., „praėjusiais metais“). Kai tai atrodo pagrįsta, į ateities perspektyvomis grindžiami įverčiai įtraukiami atitinkamai į „Metai–1“ ir „Metai–2“ iki tol, kol šie duomenys bus gauti.</w:t>
      </w:r>
    </w:p>
    <w:p w14:paraId="2DDE0943" w14:textId="7F04DC41" w:rsidR="00D740B8" w:rsidRPr="00082773" w:rsidRDefault="00D740B8" w:rsidP="00D740B8">
      <w:pPr>
        <w:pStyle w:val="numberedparagraph"/>
        <w:numPr>
          <w:ilvl w:val="0"/>
          <w:numId w:val="1"/>
        </w:numPr>
        <w:rPr>
          <w:rFonts w:ascii="Times New Roman" w:hAnsi="Times New Roman" w:cs="Times New Roman"/>
          <w:sz w:val="24"/>
        </w:rPr>
      </w:pPr>
      <w:r w:rsidRPr="00082773">
        <w:rPr>
          <w:rFonts w:ascii="Times New Roman" w:hAnsi="Times New Roman"/>
          <w:sz w:val="24"/>
        </w:rPr>
        <w:t>Į papunkčius, kurie yra palūkanų, nuomos, dividendų komponento (ILDC) skaičiavimo dalis, įstaigos neįtraukia jokio skaičiaus, susijusio su tomis konkrečiomis patronuojamosiomis įstaigomis, kurių ILDC apskaičiuojamas atskirai pagal Reglamento (ES) Nr. 575/2013 314 straipsnio 3 dalį.</w:t>
      </w:r>
    </w:p>
    <w:p w14:paraId="3512454B" w14:textId="27224DC8" w:rsidR="00841A0D"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Į papunkčius, kurie yra palūkanų, nuomos ir dividendų komponento (ILDC) apskaičiavimo dalis, įstaigos neįtraukia mažmeninės bankininkystės ir (arba) komercinės bankininkystės verslo linijų duomenų tais atvejais, kai įstaiga yra gavusi leidimą taikyti Reglamento (ES) Nr. 575/2013 314 straipsnio 4 dalį.</w:t>
      </w:r>
    </w:p>
    <w:p w14:paraId="22AE3E22" w14:textId="77777777" w:rsidR="00841A0D" w:rsidRPr="00082773" w:rsidRDefault="00841A0D" w:rsidP="00841A0D">
      <w:pPr>
        <w:ind w:left="360"/>
        <w:jc w:val="both"/>
        <w:rPr>
          <w:rFonts w:ascii="Times New Roman" w:hAnsi="Times New Roman" w:cs="Times New Roman"/>
          <w:bCs/>
          <w:sz w:val="24"/>
        </w:rPr>
      </w:pPr>
    </w:p>
    <w:p w14:paraId="3A161EFD" w14:textId="7882B43A" w:rsidR="00D740B8" w:rsidRPr="00082773" w:rsidRDefault="003826D3" w:rsidP="00D740B8">
      <w:pPr>
        <w:numPr>
          <w:ilvl w:val="0"/>
          <w:numId w:val="1"/>
        </w:numPr>
        <w:jc w:val="both"/>
        <w:rPr>
          <w:rFonts w:ascii="Times New Roman" w:hAnsi="Times New Roman" w:cs="Times New Roman"/>
          <w:bCs/>
          <w:sz w:val="24"/>
        </w:rPr>
      </w:pPr>
      <w:r w:rsidRPr="00082773">
        <w:rPr>
          <w:rFonts w:ascii="Times New Roman" w:hAnsi="Times New Roman"/>
          <w:sz w:val="24"/>
        </w:rPr>
        <w:t>Nepaisant to, įstaigos 1 eilutėje nurodo bendrą ILDC sumą, įskaitant sumas, apskaičiuotas pagal Reglamento (ES) Nr. 575/2013 314 straipsnio 3 dalį. EU 1 eilutėje taip pat nurodomas ILDC, neįskaitant subjektų, į kuriuos atsižvelgiama pagal 314 straipsnio 3 dalį.</w:t>
      </w:r>
    </w:p>
    <w:p w14:paraId="7DAFACF8" w14:textId="77777777" w:rsidR="00D740B8" w:rsidRPr="00082773" w:rsidRDefault="00D740B8" w:rsidP="00D740B8">
      <w:pPr>
        <w:ind w:left="360"/>
        <w:jc w:val="both"/>
        <w:rPr>
          <w:rFonts w:ascii="Times New Roman" w:hAnsi="Times New Roman" w:cs="Times New Roman"/>
          <w:bCs/>
          <w:sz w:val="24"/>
        </w:rPr>
      </w:pPr>
    </w:p>
    <w:p w14:paraId="578B96DC" w14:textId="494916C5" w:rsidR="00D740B8" w:rsidRPr="00082773" w:rsidRDefault="00D740B8" w:rsidP="00D740B8">
      <w:pPr>
        <w:numPr>
          <w:ilvl w:val="0"/>
          <w:numId w:val="1"/>
        </w:numPr>
        <w:jc w:val="both"/>
        <w:rPr>
          <w:rFonts w:ascii="Times New Roman" w:hAnsi="Times New Roman" w:cs="Times New Roman"/>
          <w:bCs/>
          <w:sz w:val="24"/>
        </w:rPr>
      </w:pPr>
      <w:r w:rsidRPr="00082773">
        <w:rPr>
          <w:rFonts w:ascii="Times New Roman" w:hAnsi="Times New Roman"/>
          <w:sz w:val="24"/>
        </w:rPr>
        <w:t>Kartu pateikiamose pastabose įstaigos pagal Reglamento (ES) Nr. 575/2013 446 straipsnio 1 dalį atskleidžia kiekvieno neįtraukimo į veiklos rodiklį pagrindimą, išskyrus mažmeninių ir komercinių verslo linijų neįtraukimą pagal 314 straipsnio 4 dalį.</w:t>
      </w:r>
    </w:p>
    <w:p w14:paraId="22C673C4" w14:textId="77777777" w:rsidR="00393FEF" w:rsidRPr="00082773" w:rsidRDefault="00393FEF" w:rsidP="00532CFA">
      <w:pPr>
        <w:pStyle w:val="ListParagraph"/>
        <w:rPr>
          <w:rFonts w:ascii="Times New Roman" w:hAnsi="Times New Roman"/>
          <w:bCs/>
          <w:sz w:val="24"/>
        </w:rPr>
      </w:pPr>
    </w:p>
    <w:p w14:paraId="7DD11602" w14:textId="2BC0B288" w:rsidR="00393FEF" w:rsidRPr="00082773" w:rsidRDefault="006020C0" w:rsidP="00D740B8">
      <w:pPr>
        <w:numPr>
          <w:ilvl w:val="0"/>
          <w:numId w:val="1"/>
        </w:numPr>
        <w:jc w:val="both"/>
        <w:rPr>
          <w:rFonts w:ascii="Times New Roman" w:hAnsi="Times New Roman" w:cs="Times New Roman"/>
          <w:bCs/>
          <w:sz w:val="24"/>
        </w:rPr>
      </w:pPr>
      <w:r w:rsidRPr="00082773">
        <w:rPr>
          <w:rFonts w:ascii="Times New Roman" w:hAnsi="Times New Roman"/>
          <w:sz w:val="24"/>
        </w:rPr>
        <w:t>Atsižvelgiant į glaudų ryšį tarp operacinės rizikos atskleidimo reikalavimų ir įstaigos finansinių ataskaitų, visuose nurodymuose pateiktos nuorodos į informacijos teikimo reikalavimus, nurodytus EBI IT sprendimų (FINREP) V priede.</w:t>
      </w:r>
    </w:p>
    <w:p w14:paraId="1D4913E2" w14:textId="77777777" w:rsidR="00DD1D82" w:rsidRPr="00082773" w:rsidRDefault="00DD1D82" w:rsidP="00DD1D82">
      <w:pPr>
        <w:pStyle w:val="ListParagraph"/>
        <w:rPr>
          <w:rFonts w:ascii="Times New Roman" w:hAnsi="Times New Roman"/>
          <w:bCs/>
          <w:sz w:val="24"/>
        </w:rPr>
      </w:pPr>
    </w:p>
    <w:p w14:paraId="11E51AFD" w14:textId="3D720718" w:rsidR="00DD1D82" w:rsidRPr="00082773" w:rsidRDefault="00050ABA" w:rsidP="001257B6">
      <w:pPr>
        <w:numPr>
          <w:ilvl w:val="0"/>
          <w:numId w:val="1"/>
        </w:numPr>
        <w:jc w:val="both"/>
        <w:rPr>
          <w:rFonts w:ascii="Times New Roman" w:hAnsi="Times New Roman" w:cs="Times New Roman"/>
          <w:bCs/>
          <w:sz w:val="24"/>
        </w:rPr>
      </w:pPr>
      <w:r w:rsidRPr="00082773">
        <w:rPr>
          <w:rFonts w:ascii="Times New Roman" w:hAnsi="Times New Roman"/>
          <w:sz w:val="24"/>
        </w:rPr>
        <w:t>Rengiant šį šabloną turėtų būti laikomasi konvencijų, nurodytų EBI IT sprendimų V priede.</w:t>
      </w:r>
    </w:p>
    <w:p w14:paraId="21275E00" w14:textId="77777777" w:rsidR="00D740B8" w:rsidRPr="00082773" w:rsidRDefault="00D740B8" w:rsidP="00D740B8">
      <w:pPr>
        <w:pStyle w:val="ListParagraph"/>
        <w:rPr>
          <w:rFonts w:ascii="Times New Roman" w:hAnsi="Times New Roman"/>
          <w:bCs/>
          <w:sz w:val="24"/>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756"/>
      </w:tblGrid>
      <w:tr w:rsidR="00D740B8" w:rsidRPr="00082773" w14:paraId="069EA903" w14:textId="77777777">
        <w:trPr>
          <w:trHeight w:val="300"/>
        </w:trPr>
        <w:tc>
          <w:tcPr>
            <w:tcW w:w="1260" w:type="dxa"/>
            <w:shd w:val="clear" w:color="auto" w:fill="BFBFBF" w:themeFill="background1" w:themeFillShade="BF"/>
          </w:tcPr>
          <w:p w14:paraId="7E4DE4F0" w14:textId="77777777" w:rsidR="00D740B8" w:rsidRPr="00082773" w:rsidRDefault="00D740B8">
            <w:pPr>
              <w:autoSpaceDE w:val="0"/>
              <w:autoSpaceDN w:val="0"/>
              <w:adjustRightInd w:val="0"/>
              <w:rPr>
                <w:rFonts w:ascii="Times New Roman" w:hAnsi="Times New Roman" w:cs="Times New Roman"/>
                <w:b/>
                <w:sz w:val="24"/>
              </w:rPr>
            </w:pPr>
            <w:r w:rsidRPr="00082773">
              <w:rPr>
                <w:rFonts w:ascii="Times New Roman" w:hAnsi="Times New Roman"/>
                <w:b/>
                <w:sz w:val="24"/>
              </w:rPr>
              <w:t>Skiltis</w:t>
            </w:r>
          </w:p>
        </w:tc>
        <w:tc>
          <w:tcPr>
            <w:tcW w:w="7756" w:type="dxa"/>
            <w:shd w:val="clear" w:color="auto" w:fill="BFBFBF" w:themeFill="background1" w:themeFillShade="BF"/>
          </w:tcPr>
          <w:p w14:paraId="0D54BB35" w14:textId="77777777" w:rsidR="00D740B8" w:rsidRPr="00082773" w:rsidDel="00B46ADB" w:rsidRDefault="00D740B8">
            <w:pPr>
              <w:autoSpaceDE w:val="0"/>
              <w:autoSpaceDN w:val="0"/>
              <w:adjustRightInd w:val="0"/>
              <w:rPr>
                <w:bCs/>
              </w:rPr>
            </w:pPr>
            <w:r w:rsidRPr="00082773">
              <w:rPr>
                <w:rFonts w:ascii="Times New Roman" w:hAnsi="Times New Roman"/>
                <w:b/>
                <w:sz w:val="24"/>
              </w:rPr>
              <w:t>Nuorodos į teisės aktus ir nurodymai</w:t>
            </w:r>
          </w:p>
        </w:tc>
      </w:tr>
      <w:tr w:rsidR="00D740B8" w:rsidRPr="00082773" w14:paraId="7AE7216D" w14:textId="77777777">
        <w:trPr>
          <w:trHeight w:val="300"/>
        </w:trPr>
        <w:tc>
          <w:tcPr>
            <w:tcW w:w="1260" w:type="dxa"/>
          </w:tcPr>
          <w:p w14:paraId="0FC699E1" w14:textId="0D76C831" w:rsidR="00D740B8" w:rsidRPr="00082773" w:rsidRDefault="00D740B8" w:rsidP="00165BEF">
            <w:pPr>
              <w:autoSpaceDE w:val="0"/>
              <w:autoSpaceDN w:val="0"/>
              <w:adjustRightInd w:val="0"/>
              <w:jc w:val="center"/>
              <w:rPr>
                <w:rFonts w:ascii="Times New Roman" w:hAnsi="Times New Roman"/>
                <w:bCs/>
                <w:sz w:val="24"/>
              </w:rPr>
            </w:pPr>
            <w:r w:rsidRPr="00082773">
              <w:rPr>
                <w:rFonts w:ascii="Times New Roman" w:hAnsi="Times New Roman"/>
                <w:sz w:val="24"/>
              </w:rPr>
              <w:t>a, b, c</w:t>
            </w:r>
          </w:p>
        </w:tc>
        <w:tc>
          <w:tcPr>
            <w:tcW w:w="7756" w:type="dxa"/>
          </w:tcPr>
          <w:p w14:paraId="510A12A5" w14:textId="13FB6D98" w:rsidR="00D740B8" w:rsidRPr="00082773" w:rsidRDefault="00D740B8">
            <w:pPr>
              <w:autoSpaceDE w:val="0"/>
              <w:autoSpaceDN w:val="0"/>
              <w:adjustRightInd w:val="0"/>
              <w:rPr>
                <w:rStyle w:val="InstructionsTabelleberschrift"/>
                <w:rFonts w:ascii="Times New Roman" w:hAnsi="Times New Roman"/>
                <w:sz w:val="24"/>
                <w:u w:val="none"/>
              </w:rPr>
            </w:pPr>
            <w:r w:rsidRPr="00082773">
              <w:rPr>
                <w:rStyle w:val="InstructionsTabelleberschrift"/>
                <w:rFonts w:ascii="Times New Roman" w:hAnsi="Times New Roman"/>
                <w:sz w:val="24"/>
                <w:u w:val="none"/>
              </w:rPr>
              <w:t>Vertė</w:t>
            </w:r>
          </w:p>
          <w:p w14:paraId="0A7A2FD7" w14:textId="77777777" w:rsidR="00D740B8" w:rsidRPr="00082773" w:rsidRDefault="00D740B8">
            <w:pPr>
              <w:rPr>
                <w:rFonts w:ascii="Times New Roman" w:hAnsi="Times New Roman"/>
                <w:sz w:val="24"/>
                <w:lang w:eastAsia="de-DE"/>
              </w:rPr>
            </w:pPr>
          </w:p>
          <w:p w14:paraId="0C8A142A" w14:textId="4CAB13C5" w:rsidR="00D740B8" w:rsidRPr="00082773" w:rsidRDefault="00D740B8">
            <w:pPr>
              <w:autoSpaceDE w:val="0"/>
              <w:autoSpaceDN w:val="0"/>
              <w:adjustRightInd w:val="0"/>
              <w:rPr>
                <w:rFonts w:ascii="Times New Roman" w:hAnsi="Times New Roman" w:cs="Times New Roman"/>
                <w:bCs/>
                <w:sz w:val="24"/>
              </w:rPr>
            </w:pPr>
            <w:r w:rsidRPr="00082773">
              <w:rPr>
                <w:rFonts w:ascii="Times New Roman" w:hAnsi="Times New Roman"/>
                <w:sz w:val="24"/>
              </w:rPr>
              <w:t>Reglamento (ES) Nr. 575/2013 446 straipsnio 1 dalies d punktas ir 314 straipsnio 1 dalis.</w:t>
            </w:r>
          </w:p>
          <w:p w14:paraId="7883915F" w14:textId="77777777" w:rsidR="00D740B8" w:rsidRPr="00082773" w:rsidRDefault="00D740B8">
            <w:pPr>
              <w:autoSpaceDE w:val="0"/>
              <w:autoSpaceDN w:val="0"/>
              <w:adjustRightInd w:val="0"/>
              <w:rPr>
                <w:rFonts w:ascii="Times New Roman" w:hAnsi="Times New Roman"/>
                <w:bCs/>
                <w:sz w:val="24"/>
                <w:lang w:eastAsia="nl-BE"/>
              </w:rPr>
            </w:pPr>
          </w:p>
          <w:p w14:paraId="558CD9DA" w14:textId="2FA81485" w:rsidR="00EA10B1" w:rsidRPr="00082773" w:rsidRDefault="002F3CFA">
            <w:pPr>
              <w:pStyle w:val="paragraph"/>
              <w:spacing w:before="0" w:beforeAutospacing="0" w:after="0" w:afterAutospacing="0"/>
              <w:textAlignment w:val="baseline"/>
            </w:pPr>
            <w:r w:rsidRPr="00082773">
              <w:t>Elementų, kurie yra įtraukti į BI ir jo komponentų (ILDC, paslaugų komponento (SC) ir finansinio komponento (FC)) apskaičiavimą, sąrašo vertė pagal apskaitos standartus, taikomus kiekvienais iš pastarųjų trejų finansinių metų.</w:t>
            </w:r>
          </w:p>
          <w:p w14:paraId="3414DDFE" w14:textId="77777777" w:rsidR="007B3E62" w:rsidRPr="00082773" w:rsidRDefault="007B3E62">
            <w:pPr>
              <w:pStyle w:val="paragraph"/>
              <w:spacing w:before="0" w:beforeAutospacing="0" w:after="0" w:afterAutospacing="0"/>
              <w:textAlignment w:val="baseline"/>
              <w:rPr>
                <w:lang w:eastAsia="de-DE"/>
              </w:rPr>
            </w:pPr>
          </w:p>
          <w:p w14:paraId="374E1BCA" w14:textId="5E2803E9" w:rsidR="007B3E62" w:rsidRPr="00082773" w:rsidRDefault="00B76B25">
            <w:pPr>
              <w:pStyle w:val="paragraph"/>
              <w:spacing w:before="0" w:beforeAutospacing="0" w:after="0" w:afterAutospacing="0"/>
              <w:textAlignment w:val="baseline"/>
            </w:pPr>
            <w:r w:rsidRPr="00082773">
              <w:t>Sumos nurodomos pritaikius koregavimus, susijusius su susijungimais ir (arba) įsigijimais ir perleista veikla.</w:t>
            </w:r>
          </w:p>
          <w:p w14:paraId="00BACA37" w14:textId="77777777" w:rsidR="00EA10B1" w:rsidRPr="00082773" w:rsidRDefault="00EA10B1">
            <w:pPr>
              <w:pStyle w:val="paragraph"/>
              <w:spacing w:before="0" w:beforeAutospacing="0" w:after="0" w:afterAutospacing="0"/>
              <w:textAlignment w:val="baseline"/>
              <w:rPr>
                <w:lang w:eastAsia="de-DE"/>
              </w:rPr>
            </w:pPr>
          </w:p>
          <w:p w14:paraId="21635601" w14:textId="1A8DE566" w:rsidR="00D740B8" w:rsidRPr="00082773" w:rsidRDefault="00D740B8" w:rsidP="000F6C61">
            <w:pPr>
              <w:pStyle w:val="paragraph"/>
              <w:spacing w:before="0" w:beforeAutospacing="0" w:after="0" w:afterAutospacing="0"/>
              <w:textAlignment w:val="baseline"/>
            </w:pPr>
            <w:r w:rsidRPr="00082773">
              <w:t xml:space="preserve">FC atveju atskleidžiamos vertės atspindės balansines vertes, nustatytas naudojant apskaitos ribą arba </w:t>
            </w:r>
            <w:proofErr w:type="spellStart"/>
            <w:r w:rsidRPr="00082773">
              <w:t>prudencinę</w:t>
            </w:r>
            <w:proofErr w:type="spellEnd"/>
            <w:r w:rsidRPr="00082773">
              <w:t xml:space="preserve"> ribą (PBA), siekiant nustatyti prekybos knygos ir bankinės knygos pozicijas kiekvienais iš pastarųjų 3 finansinių metų pagal Reglamento (ES) Nr. 575/2013 314 straipsnio 6 dalį.</w:t>
            </w:r>
          </w:p>
        </w:tc>
      </w:tr>
      <w:tr w:rsidR="00D740B8" w:rsidRPr="00082773" w14:paraId="3103AD05" w14:textId="77777777">
        <w:trPr>
          <w:trHeight w:val="300"/>
        </w:trPr>
        <w:tc>
          <w:tcPr>
            <w:tcW w:w="1260" w:type="dxa"/>
          </w:tcPr>
          <w:p w14:paraId="0FFA543A" w14:textId="77777777" w:rsidR="00D740B8" w:rsidRPr="00082773" w:rsidRDefault="00D740B8" w:rsidP="00165BEF">
            <w:pPr>
              <w:autoSpaceDE w:val="0"/>
              <w:autoSpaceDN w:val="0"/>
              <w:adjustRightInd w:val="0"/>
              <w:jc w:val="center"/>
              <w:rPr>
                <w:rFonts w:ascii="Times New Roman" w:hAnsi="Times New Roman"/>
                <w:bCs/>
                <w:sz w:val="24"/>
              </w:rPr>
            </w:pPr>
            <w:r w:rsidRPr="00082773">
              <w:rPr>
                <w:rFonts w:ascii="Times New Roman" w:hAnsi="Times New Roman"/>
                <w:sz w:val="24"/>
              </w:rPr>
              <w:t>d</w:t>
            </w:r>
          </w:p>
        </w:tc>
        <w:tc>
          <w:tcPr>
            <w:tcW w:w="7756" w:type="dxa"/>
          </w:tcPr>
          <w:p w14:paraId="117DF1D7" w14:textId="77777777" w:rsidR="00D740B8" w:rsidRPr="00082773" w:rsidRDefault="00D740B8">
            <w:pPr>
              <w:autoSpaceDE w:val="0"/>
              <w:autoSpaceDN w:val="0"/>
              <w:adjustRightInd w:val="0"/>
              <w:rPr>
                <w:rStyle w:val="InstructionsTabelleberschrift"/>
                <w:rFonts w:ascii="Times New Roman" w:hAnsi="Times New Roman"/>
                <w:sz w:val="24"/>
                <w:u w:val="none"/>
              </w:rPr>
            </w:pPr>
            <w:r w:rsidRPr="00082773">
              <w:rPr>
                <w:rStyle w:val="InstructionsTabelleberschrift"/>
                <w:rFonts w:ascii="Times New Roman" w:hAnsi="Times New Roman"/>
                <w:sz w:val="24"/>
                <w:u w:val="none"/>
              </w:rPr>
              <w:t>Vidutinės vertės</w:t>
            </w:r>
          </w:p>
          <w:p w14:paraId="27B3847F" w14:textId="77777777" w:rsidR="00D740B8" w:rsidRPr="00082773" w:rsidRDefault="00D740B8">
            <w:pPr>
              <w:autoSpaceDE w:val="0"/>
              <w:autoSpaceDN w:val="0"/>
              <w:adjustRightInd w:val="0"/>
              <w:rPr>
                <w:rFonts w:ascii="Times New Roman" w:hAnsi="Times New Roman"/>
                <w:sz w:val="24"/>
                <w:lang w:eastAsia="de-DE"/>
              </w:rPr>
            </w:pPr>
          </w:p>
          <w:p w14:paraId="2CEEC93D" w14:textId="277817D6" w:rsidR="00D740B8" w:rsidRPr="00082773" w:rsidRDefault="00D740B8">
            <w:pPr>
              <w:autoSpaceDE w:val="0"/>
              <w:autoSpaceDN w:val="0"/>
              <w:adjustRightInd w:val="0"/>
              <w:rPr>
                <w:rFonts w:ascii="Times New Roman" w:hAnsi="Times New Roman" w:cs="Times New Roman"/>
                <w:bCs/>
                <w:sz w:val="24"/>
              </w:rPr>
            </w:pPr>
            <w:r w:rsidRPr="00082773">
              <w:rPr>
                <w:rFonts w:ascii="Times New Roman" w:hAnsi="Times New Roman"/>
                <w:sz w:val="24"/>
              </w:rPr>
              <w:t>Reglamento (ES) Nr. 575/2013 314 straipsnio 2, 5 ir 6 dalys.</w:t>
            </w:r>
          </w:p>
          <w:p w14:paraId="5FAAFF7A" w14:textId="77777777" w:rsidR="00D740B8" w:rsidRPr="00082773" w:rsidRDefault="00D740B8">
            <w:pPr>
              <w:autoSpaceDE w:val="0"/>
              <w:autoSpaceDN w:val="0"/>
              <w:adjustRightInd w:val="0"/>
              <w:rPr>
                <w:rStyle w:val="InstructionsTabelleberschrift"/>
                <w:rFonts w:ascii="Times New Roman" w:hAnsi="Times New Roman"/>
                <w:sz w:val="24"/>
              </w:rPr>
            </w:pPr>
          </w:p>
          <w:p w14:paraId="3E17CEC0" w14:textId="402AFA6E" w:rsidR="00D740B8" w:rsidRPr="00082773" w:rsidRDefault="00D740B8">
            <w:pPr>
              <w:pStyle w:val="paragraph"/>
              <w:spacing w:before="0" w:beforeAutospacing="0" w:after="0" w:afterAutospacing="0"/>
              <w:textAlignment w:val="baseline"/>
              <w:rPr>
                <w:rStyle w:val="normaltextrun"/>
              </w:rPr>
            </w:pPr>
            <w:r w:rsidRPr="00082773">
              <w:rPr>
                <w:rStyle w:val="normaltextrun"/>
              </w:rPr>
              <w:t>Komponentų ILDC, SC ir FC apskaičiuotos vertės ir su jais susijusių komponentų sudedamųjų dalių vidutinė vertė, apskaičiuota per pastaruosius trejus finansinius metus ir priskirta T metams.</w:t>
            </w:r>
          </w:p>
          <w:p w14:paraId="32637704" w14:textId="35682543" w:rsidR="00D740B8" w:rsidRPr="00082773" w:rsidRDefault="00D740B8">
            <w:pPr>
              <w:pStyle w:val="paragraph"/>
              <w:spacing w:before="0" w:beforeAutospacing="0" w:after="0" w:afterAutospacing="0"/>
              <w:textAlignment w:val="baseline"/>
              <w:rPr>
                <w:rStyle w:val="normaltextrun"/>
              </w:rPr>
            </w:pPr>
          </w:p>
          <w:p w14:paraId="6C270BFC" w14:textId="453723AA" w:rsidR="00D740B8" w:rsidRPr="00082773" w:rsidRDefault="00D740B8" w:rsidP="008006BD">
            <w:pPr>
              <w:pStyle w:val="paragraph"/>
              <w:spacing w:before="0" w:beforeAutospacing="0" w:after="0" w:afterAutospacing="0"/>
              <w:textAlignment w:val="baseline"/>
              <w:rPr>
                <w:rStyle w:val="InstructionsTabelleberschrift"/>
                <w:rFonts w:ascii="Times New Roman" w:hAnsi="Times New Roman"/>
                <w:sz w:val="24"/>
              </w:rPr>
            </w:pPr>
            <w:r w:rsidRPr="00082773">
              <w:rPr>
                <w:rStyle w:val="normaltextrun"/>
              </w:rPr>
              <w:t xml:space="preserve">Vidurkis apskaičiuojamas atsižvelgiant į kiekvienų iš pastarųjų 3 metų balansines vertes. </w:t>
            </w:r>
          </w:p>
        </w:tc>
      </w:tr>
    </w:tbl>
    <w:p w14:paraId="75117700" w14:textId="77777777" w:rsidR="00D740B8" w:rsidRPr="00082773" w:rsidRDefault="00D740B8" w:rsidP="00D740B8">
      <w:pPr>
        <w:pStyle w:val="numberedparagraph"/>
        <w:numPr>
          <w:ilvl w:val="0"/>
          <w:numId w:val="0"/>
        </w:numPr>
        <w:ind w:left="284" w:hanging="284"/>
        <w:rPr>
          <w:rStyle w:val="InstructionsTabelleberschrif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82773" w14:paraId="60D9E4A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0F2134" w14:textId="77777777" w:rsidR="00D740B8" w:rsidRPr="00082773" w:rsidRDefault="00D740B8">
            <w:pPr>
              <w:autoSpaceDE w:val="0"/>
              <w:autoSpaceDN w:val="0"/>
              <w:adjustRightInd w:val="0"/>
              <w:rPr>
                <w:rFonts w:ascii="Times New Roman" w:hAnsi="Times New Roman" w:cs="Times New Roman"/>
                <w:b/>
                <w:sz w:val="24"/>
              </w:rPr>
            </w:pPr>
            <w:r w:rsidRPr="00082773">
              <w:rPr>
                <w:rFonts w:ascii="Times New Roman" w:hAnsi="Times New Roman"/>
                <w:b/>
                <w:sz w:val="24"/>
              </w:rPr>
              <w:t>Eilutė</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99870" w14:textId="77777777" w:rsidR="00D740B8" w:rsidRPr="00082773" w:rsidRDefault="00D740B8">
            <w:pPr>
              <w:rPr>
                <w:rFonts w:ascii="Times New Roman" w:hAnsi="Times New Roman" w:cs="Times New Roman"/>
                <w:b/>
                <w:sz w:val="24"/>
              </w:rPr>
            </w:pPr>
            <w:r w:rsidRPr="00082773">
              <w:rPr>
                <w:rFonts w:ascii="Times New Roman" w:hAnsi="Times New Roman"/>
                <w:b/>
                <w:sz w:val="24"/>
              </w:rPr>
              <w:t>Nuorodos į teisės aktus ir nurodymai</w:t>
            </w:r>
          </w:p>
        </w:tc>
      </w:tr>
      <w:tr w:rsidR="00D740B8" w:rsidRPr="00082773" w14:paraId="1AE63B2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2254D68"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C1762DB" w14:textId="4BD6204F" w:rsidR="00D740B8" w:rsidRPr="00082773" w:rsidRDefault="00D740B8">
            <w:pPr>
              <w:spacing w:before="60" w:after="120"/>
              <w:jc w:val="both"/>
              <w:rPr>
                <w:rFonts w:ascii="Times New Roman" w:eastAsia="Times New Roman" w:hAnsi="Times New Roman" w:cs="Times New Roman"/>
                <w:b/>
                <w:sz w:val="24"/>
              </w:rPr>
            </w:pPr>
            <w:r w:rsidRPr="00082773">
              <w:rPr>
                <w:rFonts w:ascii="Times New Roman" w:hAnsi="Times New Roman"/>
                <w:b/>
                <w:sz w:val="24"/>
              </w:rPr>
              <w:t>Palūkanų, nuomos ir dividendų komponentas (ILDC)</w:t>
            </w:r>
          </w:p>
          <w:p w14:paraId="78381763" w14:textId="2625CE0B" w:rsidR="00D740B8" w:rsidRPr="00082773" w:rsidRDefault="00D740B8">
            <w:pPr>
              <w:spacing w:before="60" w:after="120"/>
              <w:jc w:val="both"/>
              <w:rPr>
                <w:rFonts w:ascii="Times New Roman" w:eastAsia="Times New Roman" w:hAnsi="Times New Roman" w:cs="Times New Roman"/>
                <w:b/>
                <w:sz w:val="24"/>
              </w:rPr>
            </w:pPr>
            <w:r w:rsidRPr="00082773">
              <w:rPr>
                <w:rFonts w:ascii="Times New Roman" w:hAnsi="Times New Roman"/>
                <w:sz w:val="24"/>
              </w:rPr>
              <w:t xml:space="preserve">Palūkanų, nuomos ir dividendų komponentas (ILDC) apskaičiuojamas pagal Reglamento (ES) Nr. 575/2013 314 straipsnio 2 dalį, atitinkamais atvejais </w:t>
            </w:r>
            <w:r w:rsidRPr="00082773">
              <w:rPr>
                <w:rFonts w:ascii="Times New Roman" w:hAnsi="Times New Roman"/>
                <w:sz w:val="24"/>
              </w:rPr>
              <w:lastRenderedPageBreak/>
              <w:t>įskaitant sumas, apskaičiuotas pagal Reglamento (ES) Nr. 575/2013 314 straipsnio 3 dalį. Jeigu įstaigai taikoma Reglamento (ES) Nr. 575/2013 314 straipsnio 4 dalyje nurodyta nukrypti leidžianti nuostata, įstaiga neįtraukia jokių mažmeninės bankininkystės ir komercinės bankininkystės verslo linijų duomenų.</w:t>
            </w:r>
          </w:p>
        </w:tc>
      </w:tr>
      <w:tr w:rsidR="00456F97" w:rsidRPr="00082773" w14:paraId="2142E78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650228B" w14:textId="2F42AD3B" w:rsidR="00456F97" w:rsidRPr="00082773" w:rsidRDefault="00E03FA1">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AED9357" w14:textId="2BE8631A" w:rsidR="00456F97" w:rsidRPr="00082773" w:rsidRDefault="00E2624F">
            <w:pPr>
              <w:spacing w:before="60" w:after="120"/>
              <w:jc w:val="both"/>
              <w:rPr>
                <w:rFonts w:ascii="Times New Roman" w:eastAsia="Times New Roman" w:hAnsi="Times New Roman" w:cs="Times New Roman"/>
                <w:b/>
                <w:sz w:val="24"/>
              </w:rPr>
            </w:pPr>
            <w:r w:rsidRPr="00082773">
              <w:rPr>
                <w:rFonts w:ascii="Times New Roman" w:hAnsi="Times New Roman"/>
                <w:b/>
                <w:sz w:val="24"/>
              </w:rPr>
              <w:t>Su atskira įstaiga / konsoliduotąja grupe susijęs ILDC (išskyrus 314 straipsnio 3 dalyje nurodytus subjektus)</w:t>
            </w:r>
          </w:p>
          <w:p w14:paraId="3B4A0231" w14:textId="6A33703B" w:rsidR="00E2624F" w:rsidRPr="00082773" w:rsidRDefault="00E2624F" w:rsidP="00413B96">
            <w:pPr>
              <w:rPr>
                <w:rFonts w:ascii="Times New Roman" w:hAnsi="Times New Roman"/>
                <w:color w:val="000000" w:themeColor="text1"/>
                <w:sz w:val="24"/>
              </w:rPr>
            </w:pPr>
            <w:r w:rsidRPr="00082773">
              <w:rPr>
                <w:rFonts w:ascii="Times New Roman" w:hAnsi="Times New Roman"/>
                <w:sz w:val="24"/>
              </w:rPr>
              <w:t>Palūkanų, nuomos ir dividendų komponentas (ILDC), apskaičiuotas pagal Reglamento (ES) Nr. 575/2013 314 straipsnio 2 dalį, neįtraukiant jokių skaičių, kurie yra ILDC skaičiavimo dalis tais atvejais, kai įstaiga taiko nukrypti leidžiančią nuostatą pagal Reglamento (ES) Nr. 575/2013 314 straipsnio 3 dalį.</w:t>
            </w:r>
          </w:p>
        </w:tc>
      </w:tr>
      <w:tr w:rsidR="00D740B8" w:rsidRPr="00082773" w14:paraId="687AA3E1"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D775F19"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787EA18" w14:textId="77777777" w:rsidR="00D740B8" w:rsidRPr="00082773" w:rsidRDefault="00D740B8">
            <w:pPr>
              <w:spacing w:before="60" w:after="120"/>
              <w:jc w:val="both"/>
              <w:rPr>
                <w:rFonts w:ascii="Times New Roman" w:eastAsia="Times New Roman" w:hAnsi="Times New Roman" w:cs="Times New Roman"/>
                <w:b/>
                <w:sz w:val="24"/>
              </w:rPr>
            </w:pPr>
            <w:r w:rsidRPr="00082773">
              <w:rPr>
                <w:rFonts w:ascii="Times New Roman" w:hAnsi="Times New Roman"/>
                <w:b/>
                <w:sz w:val="24"/>
              </w:rPr>
              <w:t>Pajamos iš palūkanų ir nuomos</w:t>
            </w:r>
          </w:p>
          <w:p w14:paraId="33CCD1CB" w14:textId="130AE220" w:rsidR="00BD248A" w:rsidRPr="00082773" w:rsidRDefault="00D740B8">
            <w:pPr>
              <w:rPr>
                <w:rFonts w:ascii="Times New Roman" w:eastAsia="Times New Roman" w:hAnsi="Times New Roman" w:cs="Times New Roman"/>
                <w:sz w:val="24"/>
              </w:rPr>
            </w:pPr>
            <w:r w:rsidRPr="00082773">
              <w:rPr>
                <w:rFonts w:ascii="Times New Roman" w:hAnsi="Times New Roman"/>
                <w:sz w:val="24"/>
              </w:rPr>
              <w:t>Palūkanų pajamų iš viso finansinio turto, kitų pajamų iš nuomojamo turto ir pelno iš nuomojamo turto suma, kaip numatyta EBI IT sprendimų V priede.</w:t>
            </w:r>
          </w:p>
          <w:p w14:paraId="76D4A1E7" w14:textId="77777777" w:rsidR="00BD248A" w:rsidRPr="00082773" w:rsidRDefault="00BD248A">
            <w:pPr>
              <w:rPr>
                <w:rFonts w:ascii="Times New Roman" w:eastAsia="Times New Roman" w:hAnsi="Times New Roman" w:cs="Times New Roman"/>
                <w:sz w:val="24"/>
              </w:rPr>
            </w:pPr>
          </w:p>
          <w:p w14:paraId="19841383" w14:textId="08257E38" w:rsidR="00F5221D" w:rsidRPr="00082773" w:rsidRDefault="004F220F">
            <w:pPr>
              <w:rPr>
                <w:rFonts w:ascii="Times New Roman" w:eastAsia="Times New Roman" w:hAnsi="Times New Roman" w:cs="Times New Roman"/>
                <w:sz w:val="24"/>
              </w:rPr>
            </w:pPr>
            <w:r w:rsidRPr="00082773">
              <w:rPr>
                <w:rFonts w:ascii="Times New Roman" w:hAnsi="Times New Roman"/>
                <w:sz w:val="24"/>
              </w:rPr>
              <w:t>Palūkanų pajamos iš viso finansinio turto apskaičiuojamos pagal EBI IT sprendimų V priedo 2 dalies 31 punktą ir vadovaujantis kitomis EBI IT sprendimų V priedo 2 dalies 187, 189 ir 194ii punktuose išdėstytomis specifikacijomis.</w:t>
            </w:r>
          </w:p>
          <w:p w14:paraId="55B6FFE6" w14:textId="77777777" w:rsidR="00F5221D" w:rsidRPr="00082773" w:rsidRDefault="00F5221D">
            <w:pPr>
              <w:rPr>
                <w:rFonts w:ascii="Times New Roman" w:eastAsia="Times New Roman" w:hAnsi="Times New Roman" w:cs="Times New Roman"/>
                <w:sz w:val="24"/>
              </w:rPr>
            </w:pPr>
          </w:p>
          <w:p w14:paraId="00ED9136" w14:textId="12CD18AE" w:rsidR="00E76AA5" w:rsidRPr="00082773" w:rsidRDefault="00F5221D" w:rsidP="007535CB">
            <w:pPr>
              <w:rPr>
                <w:rFonts w:ascii="Times New Roman" w:eastAsia="Times New Roman" w:hAnsi="Times New Roman" w:cs="Times New Roman"/>
                <w:sz w:val="24"/>
              </w:rPr>
            </w:pPr>
            <w:r w:rsidRPr="00082773">
              <w:rPr>
                <w:rFonts w:ascii="Times New Roman" w:hAnsi="Times New Roman"/>
                <w:sz w:val="24"/>
              </w:rPr>
              <w:t>Kitos pajamos iš nuomojamo turto (finansinio ir veiklos) neturi apimti palūkanų pajamų. Ši suma apskaičiuojama pagal EBI IT sprendimų V priedo 2 dalies 314 ir 316 punktus ir ją sudaro: i) pajamos iš investicinio turto, iš kurio gaunama renta ir kuris vertinamas taikant tikrosios vertės metodą, tikrosios vertės pokyčių ir (arba) ii) pajamos iš veiklos nuomos, įskaitant pajamas iš investicinio turto nuomos.</w:t>
            </w:r>
          </w:p>
          <w:p w14:paraId="6C1BE770" w14:textId="77777777" w:rsidR="007535CB" w:rsidRPr="00082773" w:rsidRDefault="007535CB" w:rsidP="007535CB">
            <w:pPr>
              <w:rPr>
                <w:rFonts w:ascii="Times New Roman" w:eastAsia="Times New Roman" w:hAnsi="Times New Roman" w:cs="Times New Roman"/>
                <w:sz w:val="24"/>
              </w:rPr>
            </w:pPr>
          </w:p>
          <w:p w14:paraId="742C7468" w14:textId="3A50C109" w:rsidR="00D740B8" w:rsidRPr="00082773" w:rsidRDefault="00BB0B3D" w:rsidP="004F34D4">
            <w:pPr>
              <w:rPr>
                <w:rFonts w:ascii="Times New Roman" w:eastAsia="Times New Roman" w:hAnsi="Times New Roman" w:cs="Times New Roman"/>
                <w:sz w:val="24"/>
              </w:rPr>
            </w:pPr>
            <w:r w:rsidRPr="00082773">
              <w:rPr>
                <w:rFonts w:ascii="Times New Roman" w:hAnsi="Times New Roman"/>
                <w:sz w:val="24"/>
              </w:rPr>
              <w:t>Pelną iš nuomojamo turto (finansinio ir veiklos) sudaro: i) pelnas iš nuomos sąlygų pakeitimų pagal EBI IT sprendimų V priedo 2 dalies 49 punktą; ii) likusi kita veiklos pajamų dalis (kitos veiklos pajamos) pagal EBI IT sprendimų V priedo 2 dalies 314 ir 316 punktus, jei jos susijusios su nuomojamu turtu (finansiniu ir veiklos).</w:t>
            </w:r>
          </w:p>
        </w:tc>
      </w:tr>
      <w:tr w:rsidR="00D740B8" w:rsidRPr="00082773" w14:paraId="07825B95"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3EDD05F"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55F99FE" w14:textId="5114D538" w:rsidR="00D740B8" w:rsidRPr="00082773" w:rsidRDefault="00D740B8">
            <w:pPr>
              <w:spacing w:before="60" w:after="120"/>
              <w:jc w:val="both"/>
              <w:rPr>
                <w:rFonts w:ascii="Times New Roman" w:eastAsia="Times New Roman" w:hAnsi="Times New Roman" w:cs="Times New Roman"/>
                <w:b/>
                <w:sz w:val="24"/>
              </w:rPr>
            </w:pPr>
            <w:r w:rsidRPr="00082773">
              <w:rPr>
                <w:rFonts w:ascii="Times New Roman" w:hAnsi="Times New Roman"/>
                <w:b/>
                <w:sz w:val="24"/>
              </w:rPr>
              <w:t>Palūkanų ir nuomos sąnaudos</w:t>
            </w:r>
          </w:p>
          <w:p w14:paraId="65B73157" w14:textId="72BA8427" w:rsidR="00EC1398" w:rsidRPr="00082773" w:rsidRDefault="00D740B8">
            <w:pPr>
              <w:rPr>
                <w:rFonts w:ascii="Times New Roman" w:eastAsia="Times New Roman" w:hAnsi="Times New Roman" w:cs="Times New Roman"/>
                <w:sz w:val="24"/>
              </w:rPr>
            </w:pPr>
            <w:r w:rsidRPr="00082773">
              <w:rPr>
                <w:rFonts w:ascii="Times New Roman" w:hAnsi="Times New Roman"/>
                <w:sz w:val="24"/>
              </w:rPr>
              <w:t>Visų finansinių įsipareigojimų palūkanų sąnaudų, su nuomojamu turtu susijusių sąnaudų ir nuomojamo turto nusidėvėjimo, vertės sumažėjimo ir nuostolių suma, kaip nurodyta EBI IT sprendimų V priede.</w:t>
            </w:r>
          </w:p>
          <w:p w14:paraId="06CEDDA9" w14:textId="77777777" w:rsidR="00BA33C3" w:rsidRPr="00082773" w:rsidRDefault="00BA33C3">
            <w:pPr>
              <w:rPr>
                <w:rFonts w:ascii="Times New Roman" w:eastAsia="Times New Roman" w:hAnsi="Times New Roman" w:cs="Times New Roman"/>
                <w:sz w:val="24"/>
              </w:rPr>
            </w:pPr>
          </w:p>
          <w:p w14:paraId="3ACFF991" w14:textId="1BCDC8C4" w:rsidR="00BA33C3" w:rsidRPr="00082773" w:rsidRDefault="00BA33C3">
            <w:pPr>
              <w:rPr>
                <w:rFonts w:ascii="Times New Roman" w:eastAsia="Times New Roman" w:hAnsi="Times New Roman" w:cs="Times New Roman"/>
                <w:sz w:val="24"/>
              </w:rPr>
            </w:pPr>
            <w:r w:rsidRPr="00082773">
              <w:rPr>
                <w:rFonts w:ascii="Times New Roman" w:hAnsi="Times New Roman"/>
                <w:sz w:val="24"/>
              </w:rPr>
              <w:t>Visų finansinių įsipareigojimų palūkanų sąnaudos apskaičiuojamos pagal EBI IT sprendimų V priedo 2 dalies 31 punktą ir vadovaujantis kitomis EBI IT sprendimų V priedo 2 dalies 188, 190 ir 194ii punktuose išdėstytomis specifikacijomis. Tos palūkanų sąnaudos, kurios susidaro dėl operacinės rizikos įvykių, nenurodomos. Vietoj to jos įtraukiamos į paslaugų komponentą pagal Reglamento (ES) Nr. 575/2013 314 straipsnio 5 dalį.</w:t>
            </w:r>
          </w:p>
          <w:p w14:paraId="2D079DF5" w14:textId="77777777" w:rsidR="003D0A4B" w:rsidRPr="00082773" w:rsidRDefault="003D0A4B">
            <w:pPr>
              <w:rPr>
                <w:rFonts w:ascii="Times New Roman" w:eastAsia="Times New Roman" w:hAnsi="Times New Roman" w:cs="Times New Roman"/>
                <w:sz w:val="24"/>
              </w:rPr>
            </w:pPr>
          </w:p>
          <w:p w14:paraId="08A94531" w14:textId="1EA15404" w:rsidR="003D0A4B" w:rsidRPr="00082773" w:rsidRDefault="003D0A4B" w:rsidP="00D136A0">
            <w:pPr>
              <w:rPr>
                <w:rFonts w:ascii="Times New Roman" w:eastAsia="Times New Roman" w:hAnsi="Times New Roman" w:cs="Times New Roman"/>
                <w:sz w:val="24"/>
              </w:rPr>
            </w:pPr>
            <w:r w:rsidRPr="00082773">
              <w:rPr>
                <w:rFonts w:ascii="Times New Roman" w:hAnsi="Times New Roman"/>
                <w:sz w:val="24"/>
              </w:rPr>
              <w:t xml:space="preserve">Su nuomojamu turtu (veiklos) susijusios sąnaudos apima su veiklos nuoma susijusias sąnaudas pagal EBI IT sprendimų V priedo 2 dalies 314 ir 315 punktus ir jas sudaro: i) sąnaudos, susijusios su investicinio turto, iš kurio </w:t>
            </w:r>
            <w:r w:rsidRPr="00082773">
              <w:rPr>
                <w:rFonts w:ascii="Times New Roman" w:hAnsi="Times New Roman"/>
                <w:sz w:val="24"/>
              </w:rPr>
              <w:lastRenderedPageBreak/>
              <w:t>gaunamos nuomos pajamos ir kuris vertinamas pagal veiklai naudojamo nuomojamo turto tikrosios vertės modelį, tikrosios vertės pokyčiais, ir ii) sąnaudos, susijusios su veiklos nuoma, įskaitant tiesiogines veiklos išlaidas, susijusias su investiciniu turtu, iš kurio gaunama renta. Be to, įstaigos taip pat turėtų nurodyti kitas administracines išlaidas, susijusias su veiklai naudojamu nuomojamu turtu, pagal EBI IT sprendimų V priedo 2 dalies 208ix punktą. Tos sąnaudos, kurios susidaro dėl operacinės rizikos įvykių, nenurodomos. Vietoj to jos įtraukiamos į paslaugų komponentą pagal Reglamento (ES) Nr. 575/2013 314 straipsnio 5 dalį.</w:t>
            </w:r>
          </w:p>
          <w:p w14:paraId="61020FEC" w14:textId="77777777" w:rsidR="00376B14" w:rsidRPr="00082773" w:rsidRDefault="00376B14">
            <w:pPr>
              <w:rPr>
                <w:rFonts w:ascii="Times New Roman" w:eastAsia="Times New Roman" w:hAnsi="Times New Roman" w:cs="Times New Roman"/>
                <w:sz w:val="24"/>
              </w:rPr>
            </w:pPr>
          </w:p>
          <w:p w14:paraId="5D976FDD" w14:textId="0FB08478" w:rsidR="00376B14" w:rsidRPr="00082773" w:rsidRDefault="00376B14">
            <w:pPr>
              <w:rPr>
                <w:rFonts w:ascii="Times New Roman" w:eastAsia="Times New Roman" w:hAnsi="Times New Roman" w:cs="Times New Roman"/>
                <w:sz w:val="24"/>
              </w:rPr>
            </w:pPr>
            <w:r w:rsidRPr="00082773">
              <w:rPr>
                <w:rFonts w:ascii="Times New Roman" w:hAnsi="Times New Roman"/>
                <w:sz w:val="24"/>
              </w:rPr>
              <w:t>Nuomojamos turto nusidėvėjimas atitinka nusidėvėjimo išlaidas, nurodytas pagal 1-ojo tarptautinio apskaitos standarto (TAS) 102 ir 104 punktus, bet tik susijusias su veiklai naudojamu nuomojamu turtu, kurio pajamos arba sąnaudos įtrauktos į palūkanų komponento apskaičiavimą.</w:t>
            </w:r>
          </w:p>
          <w:p w14:paraId="5D82FC67" w14:textId="77777777" w:rsidR="00DA24A2" w:rsidRPr="00082773" w:rsidRDefault="00DA24A2">
            <w:pPr>
              <w:rPr>
                <w:rFonts w:ascii="Times New Roman" w:eastAsia="Times New Roman" w:hAnsi="Times New Roman" w:cs="Times New Roman"/>
                <w:sz w:val="24"/>
              </w:rPr>
            </w:pPr>
          </w:p>
          <w:p w14:paraId="1D89DE9C" w14:textId="6D7B59E2" w:rsidR="00DA24A2" w:rsidRPr="00082773" w:rsidRDefault="00DA24A2">
            <w:pPr>
              <w:rPr>
                <w:rFonts w:ascii="Times New Roman" w:eastAsia="Times New Roman" w:hAnsi="Times New Roman" w:cs="Times New Roman"/>
                <w:sz w:val="24"/>
              </w:rPr>
            </w:pPr>
            <w:r w:rsidRPr="00082773">
              <w:rPr>
                <w:rFonts w:ascii="Times New Roman" w:hAnsi="Times New Roman"/>
                <w:sz w:val="24"/>
              </w:rPr>
              <w:t>Nuomojamo turto vertės sumažėjimas atitinka sąnaudas, susijusias su veiklai naudojamu nuomojamu turtu, kurios atitinka sąnaudas dėl vertės sumažėjimo arba vertės sumažėjimo atstatymo pagal 36-ojo TAS 126 straipsnio a ir b punktus.</w:t>
            </w:r>
          </w:p>
          <w:p w14:paraId="11B36ACB" w14:textId="77777777" w:rsidR="00DA24A2" w:rsidRPr="00082773" w:rsidRDefault="00DA24A2">
            <w:pPr>
              <w:rPr>
                <w:rFonts w:ascii="Times New Roman" w:eastAsia="Times New Roman" w:hAnsi="Times New Roman" w:cs="Times New Roman"/>
                <w:sz w:val="24"/>
              </w:rPr>
            </w:pPr>
          </w:p>
          <w:p w14:paraId="0FA351B6" w14:textId="470A5833" w:rsidR="00D740B8" w:rsidRPr="00082773" w:rsidRDefault="00DA24A2" w:rsidP="004F34D4">
            <w:pPr>
              <w:rPr>
                <w:rFonts w:ascii="Times New Roman" w:hAnsi="Times New Roman"/>
                <w:sz w:val="24"/>
              </w:rPr>
            </w:pPr>
            <w:r w:rsidRPr="00082773">
              <w:rPr>
                <w:rFonts w:ascii="Times New Roman" w:hAnsi="Times New Roman"/>
                <w:sz w:val="24"/>
              </w:rPr>
              <w:t>Su nuomojamu turtu susiję nuostoliai atitinka likusias kitas veiklos sąnaudas (kitos veiklos sąnaudos) pagal EBI IT sprendimų V priedo 2 dalies 29.3 skirsnio 316 punktą, jei jos susijusios su veiklai naudojamu nuomojamu turtu. Nuostoliai, patirti dėl operacinės rizikos įvykių, nenurodomi. Vietoj to jos įtraukiamos į paslaugų komponentą pagal Reglamento (ES) Nr. 575/2013 314 straipsnio 5 dalį.</w:t>
            </w:r>
          </w:p>
        </w:tc>
      </w:tr>
      <w:tr w:rsidR="00D740B8" w:rsidRPr="00082773" w14:paraId="49B58D8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0019E7"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1c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1EE844B" w14:textId="18CAFF49" w:rsidR="00D740B8" w:rsidRPr="00082773" w:rsidRDefault="00B76736">
            <w:pPr>
              <w:spacing w:before="60" w:after="120"/>
              <w:jc w:val="both"/>
              <w:rPr>
                <w:rStyle w:val="InstructionsTabelleberschrift"/>
                <w:rFonts w:ascii="Times New Roman" w:eastAsia="Times New Roman" w:hAnsi="Times New Roman"/>
                <w:sz w:val="24"/>
                <w:u w:val="none"/>
              </w:rPr>
            </w:pPr>
            <w:r w:rsidRPr="00082773">
              <w:rPr>
                <w:rStyle w:val="InstructionsTabelleberschrift"/>
                <w:rFonts w:ascii="Times New Roman" w:hAnsi="Times New Roman"/>
                <w:sz w:val="24"/>
                <w:u w:val="none"/>
              </w:rPr>
              <w:t>Viso turto / turto komponentas</w:t>
            </w:r>
          </w:p>
          <w:p w14:paraId="15501679" w14:textId="3EB04379" w:rsidR="00D740B8" w:rsidRPr="00082773" w:rsidRDefault="00B76736">
            <w:pPr>
              <w:spacing w:before="60" w:after="120"/>
              <w:jc w:val="both"/>
              <w:rPr>
                <w:rFonts w:ascii="Times New Roman" w:eastAsia="Times New Roman" w:hAnsi="Times New Roman" w:cs="Times New Roman"/>
                <w:sz w:val="24"/>
              </w:rPr>
            </w:pPr>
            <w:r w:rsidRPr="00082773">
              <w:rPr>
                <w:rFonts w:ascii="Times New Roman" w:hAnsi="Times New Roman"/>
                <w:sz w:val="24"/>
              </w:rPr>
              <w:t>d skiltyje turto komponentas apskaičiuojamas pagal Reglamento (ES) Nr. 575/2013 314 straipsnio 2 dalį.</w:t>
            </w:r>
          </w:p>
          <w:p w14:paraId="65FF56C9" w14:textId="24401D0D" w:rsidR="004E3E86" w:rsidRPr="00082773" w:rsidRDefault="003E3201" w:rsidP="00373F9D">
            <w:pPr>
              <w:rPr>
                <w:rFonts w:ascii="Times New Roman" w:hAnsi="Times New Roman"/>
                <w:sz w:val="24"/>
              </w:rPr>
            </w:pPr>
            <w:r w:rsidRPr="00082773">
              <w:rPr>
                <w:rFonts w:ascii="Times New Roman" w:hAnsi="Times New Roman"/>
                <w:sz w:val="24"/>
              </w:rPr>
              <w:t>Kitose skiltyse visas turtas atitinka pinigų likučių centriniuose bankuose ir kitų indėlių iki pareikalavimo, skolos vertybinių popierių, paskolų ir kitų išankstinių mokėjimų bendrosios balansinės vertės, taip pat išvestinių finansinių priemonių (prekybos ir ekonominių apsidraudimo sandorių bei apsidraudimo sandorių apskaitos) ir turto, kuriam taikoma nuoma (nematerialusis ir nematerialusis turtas), balansinės vertės sumą. Šiuose elementuose daroma nuoroda į EBI IT sprendimų V priedą.</w:t>
            </w:r>
          </w:p>
          <w:p w14:paraId="2655EEC4" w14:textId="6116BB66" w:rsidR="00BC1F18" w:rsidRPr="00082773" w:rsidRDefault="00BC1F18" w:rsidP="00BC1F18">
            <w:pPr>
              <w:rPr>
                <w:rFonts w:ascii="Times New Roman" w:hAnsi="Times New Roman"/>
                <w:sz w:val="24"/>
              </w:rPr>
            </w:pPr>
          </w:p>
        </w:tc>
      </w:tr>
      <w:tr w:rsidR="00D740B8" w:rsidRPr="00082773" w14:paraId="431D95BD"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504247A"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AF83663" w14:textId="03959A67" w:rsidR="00D740B8" w:rsidRPr="00082773" w:rsidRDefault="00B76736">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Dividendų pajamos ir (arba) dividendų komponentas</w:t>
            </w:r>
          </w:p>
          <w:p w14:paraId="1A066B7B" w14:textId="4AA7538A" w:rsidR="00D740B8" w:rsidRPr="00082773" w:rsidRDefault="00B76736" w:rsidP="004E3E86">
            <w:pPr>
              <w:spacing w:before="60" w:after="120"/>
              <w:jc w:val="both"/>
              <w:rPr>
                <w:rFonts w:ascii="Times New Roman" w:eastAsia="Times New Roman" w:hAnsi="Times New Roman" w:cs="Times New Roman"/>
                <w:sz w:val="24"/>
              </w:rPr>
            </w:pPr>
            <w:r w:rsidRPr="00082773">
              <w:rPr>
                <w:rFonts w:ascii="Times New Roman" w:hAnsi="Times New Roman"/>
                <w:sz w:val="24"/>
              </w:rPr>
              <w:t>d skiltyje dividendų komponentas apskaičiuojamas pagal Reglamento (ES) Nr. 575/2013 314 straipsnio 2 dalį.</w:t>
            </w:r>
          </w:p>
          <w:p w14:paraId="3F4B342E" w14:textId="23DB8876" w:rsidR="004E3E86" w:rsidRPr="00082773" w:rsidRDefault="004E3E86" w:rsidP="004E3E86">
            <w:pPr>
              <w:rPr>
                <w:rFonts w:ascii="Times New Roman" w:hAnsi="Times New Roman"/>
                <w:sz w:val="24"/>
              </w:rPr>
            </w:pPr>
            <w:r w:rsidRPr="00082773">
              <w:rPr>
                <w:rFonts w:ascii="Times New Roman" w:hAnsi="Times New Roman"/>
                <w:sz w:val="24"/>
              </w:rPr>
              <w:t>Įstaigos nurodo dividendų pajamas pagal EBI IT sprendimų V priedo 2 dalies 40–42 punktus.</w:t>
            </w:r>
          </w:p>
        </w:tc>
      </w:tr>
      <w:tr w:rsidR="003826D3" w:rsidRPr="00082773" w14:paraId="3A9CE2B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1064302"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8458B47" w14:textId="103CAA7B" w:rsidR="003826D3" w:rsidRPr="00082773" w:rsidRDefault="003826D3" w:rsidP="003826D3">
            <w:pPr>
              <w:spacing w:before="60" w:after="120"/>
              <w:jc w:val="both"/>
              <w:rPr>
                <w:rFonts w:ascii="Times New Roman" w:eastAsia="Times New Roman" w:hAnsi="Times New Roman" w:cs="Times New Roman"/>
                <w:b/>
                <w:sz w:val="24"/>
              </w:rPr>
            </w:pPr>
            <w:r w:rsidRPr="00082773">
              <w:rPr>
                <w:rFonts w:ascii="Times New Roman" w:hAnsi="Times New Roman"/>
                <w:b/>
                <w:sz w:val="24"/>
              </w:rPr>
              <w:t>Paslaugų komponentas (SC)</w:t>
            </w:r>
          </w:p>
          <w:p w14:paraId="2D48B659" w14:textId="0264DFE4" w:rsidR="00080F37" w:rsidRPr="00082773" w:rsidRDefault="005E7C4C"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Paslaugų komponentas (SC) apskaičiuojamas pagal Reglamento (ES) Nr. 575/2013 314 straipsnio 5 dalį.</w:t>
            </w:r>
          </w:p>
          <w:p w14:paraId="2EFCFDAF" w14:textId="3F07E77F" w:rsidR="003826D3" w:rsidRPr="00082773" w:rsidRDefault="0094124B" w:rsidP="003826D3">
            <w:pPr>
              <w:spacing w:before="60" w:after="120"/>
              <w:jc w:val="both"/>
              <w:rPr>
                <w:rStyle w:val="InstructionsTabelleberschrift"/>
                <w:rFonts w:ascii="Times New Roman" w:eastAsia="Times New Roman" w:hAnsi="Times New Roman"/>
                <w:bCs w:val="0"/>
                <w:sz w:val="24"/>
              </w:rPr>
            </w:pPr>
            <w:r w:rsidRPr="00082773">
              <w:rPr>
                <w:rFonts w:ascii="Times New Roman" w:hAnsi="Times New Roman"/>
                <w:sz w:val="24"/>
              </w:rPr>
              <w:lastRenderedPageBreak/>
              <w:t xml:space="preserve">Jeigu įstaigai taikoma Reglamento (ES) Nr. 575/2013 314 straipsnio 4 dalyje nurodyta nukrypti leidžianti nuostata, įstaiga neįtraukia jokių mažmeninės bankininkystės ir komercinės bankininkystės verslo linijų duomenų. </w:t>
            </w:r>
          </w:p>
        </w:tc>
      </w:tr>
      <w:tr w:rsidR="003826D3" w:rsidRPr="00082773" w14:paraId="74CC77A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24C8A"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2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2F1D9A" w14:textId="77777777" w:rsidR="003826D3" w:rsidRPr="00082773" w:rsidRDefault="003826D3" w:rsidP="00156174">
            <w:pPr>
              <w:keepNext/>
              <w:spacing w:before="60" w:after="120"/>
              <w:jc w:val="both"/>
              <w:rPr>
                <w:rFonts w:ascii="Times New Roman" w:eastAsia="Times New Roman" w:hAnsi="Times New Roman" w:cs="Times New Roman"/>
                <w:b/>
                <w:sz w:val="24"/>
              </w:rPr>
            </w:pPr>
            <w:r w:rsidRPr="00082773">
              <w:rPr>
                <w:rFonts w:ascii="Times New Roman" w:hAnsi="Times New Roman"/>
                <w:b/>
                <w:sz w:val="24"/>
              </w:rPr>
              <w:t>Mokesčių ir komisinių pajamos</w:t>
            </w:r>
          </w:p>
          <w:p w14:paraId="1394D6AF" w14:textId="06AD3617" w:rsidR="003826D3" w:rsidRPr="00082773" w:rsidRDefault="009816D6"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EBI IT sprendimų V priedo 2 dalies 281–284 punktuose nurodytos mokesčių ir komisinių pajamos, apskaičiuotos pagal Reglamento (ES) Nr. 575/2013 314 straipsnio 5 dalį.</w:t>
            </w:r>
          </w:p>
          <w:p w14:paraId="0EA5E8EE" w14:textId="07382D3A" w:rsidR="008D318E" w:rsidRPr="00082773" w:rsidRDefault="008D318E"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Remiantis techninių reguliavimo standartų, kurie turi būti parengti pagal Reglamento (ES) Nr. 575/2013 314 straipsnio 9 dalį, 7 straipsniu, į šią poziciją taip pat reikėtų įtraukti pajamas iš papildomos veiklos, pavyzdžiui, IT veiklos, būtinos finansinei paslaugai teikti.</w:t>
            </w:r>
          </w:p>
          <w:p w14:paraId="388F841F" w14:textId="1B0267DB" w:rsidR="00D91B18" w:rsidRPr="00082773" w:rsidRDefault="007D3710" w:rsidP="003826D3">
            <w:pPr>
              <w:spacing w:before="60" w:after="120"/>
              <w:jc w:val="both"/>
              <w:rPr>
                <w:rStyle w:val="InstructionsTabelleberschrift"/>
                <w:rFonts w:ascii="Times New Roman" w:eastAsia="Times New Roman" w:hAnsi="Times New Roman"/>
                <w:b w:val="0"/>
                <w:bCs w:val="0"/>
                <w:sz w:val="24"/>
                <w:u w:val="none"/>
              </w:rPr>
            </w:pPr>
            <w:r w:rsidRPr="00082773">
              <w:rPr>
                <w:rStyle w:val="InstructionsTabelleberschrift"/>
                <w:rFonts w:ascii="Times New Roman" w:hAnsi="Times New Roman"/>
                <w:b w:val="0"/>
                <w:sz w:val="24"/>
                <w:u w:val="none"/>
              </w:rPr>
              <w:t>Mokesčių ir komisinių pajamų dalis, gauta iš įstaigų, kurios yra tos pačios institucinės užtikrinimo sistemos narės, pagal Reglamento (ES) Nr. 575/2013 314 straipsnio 5 dalį neįtraukiamos.</w:t>
            </w:r>
          </w:p>
        </w:tc>
      </w:tr>
      <w:tr w:rsidR="003826D3" w:rsidRPr="00082773" w14:paraId="2067785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317D63A"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2b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48259B2" w14:textId="5A4319DA" w:rsidR="003826D3" w:rsidRPr="00082773" w:rsidRDefault="003826D3" w:rsidP="003826D3">
            <w:pPr>
              <w:spacing w:before="60" w:after="120"/>
              <w:jc w:val="both"/>
              <w:rPr>
                <w:rFonts w:ascii="Times New Roman" w:eastAsia="Times New Roman" w:hAnsi="Times New Roman" w:cs="Times New Roman"/>
                <w:b/>
                <w:sz w:val="24"/>
              </w:rPr>
            </w:pPr>
            <w:r w:rsidRPr="00082773">
              <w:rPr>
                <w:rFonts w:ascii="Times New Roman" w:hAnsi="Times New Roman"/>
                <w:b/>
                <w:sz w:val="24"/>
              </w:rPr>
              <w:t>Mokesčių ir komisinių sąnaudos</w:t>
            </w:r>
          </w:p>
          <w:p w14:paraId="241530E4" w14:textId="72E685E0" w:rsidR="003826D3" w:rsidRPr="00082773" w:rsidRDefault="009816D6"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Mokesčių ir komisinių sąnaudos pagal EBI IT sprendimų V priedo 2 dalies 281–284 punktus, apskaičiuotos pagal Reglamento (ES) Nr. 575/2013 314 straipsnio 5 dalį.</w:t>
            </w:r>
          </w:p>
          <w:p w14:paraId="03E34B08" w14:textId="2D67624D" w:rsidR="00126683" w:rsidRPr="00082773" w:rsidRDefault="00126683"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Šioje eilutėje turėtų būti atskleidžiami už finansinių paslaugų teikimą sumokėti užsakomųjų paslaugų mokesčiai, įtraukti į TRS 8 straipsnyje nurodytą veiklos rūšių sąrašą, kuris turi būti parengtas pagal Reglamento (ES) Nr. 575/2013 314 straipsnio 9 dalį, jeigu pagal taikomą apskaitos sistemą jie įtraukti į administracines išlaidas, kaip numatyta minėto TRS 16 straipsnyje. Į šią poziciją taip pat turėtų būti įtrauktos išlaidos, susijusios su papildoma veikla, pavyzdžiui, finansinėms paslaugoms teikti reikalinga IT veikla.</w:t>
            </w:r>
          </w:p>
          <w:p w14:paraId="37B7C759" w14:textId="401F429B" w:rsidR="00A87543" w:rsidRPr="00082773" w:rsidRDefault="00A87543" w:rsidP="003826D3">
            <w:pPr>
              <w:spacing w:before="60" w:after="120"/>
              <w:jc w:val="both"/>
              <w:rPr>
                <w:rStyle w:val="InstructionsTabelleberschrift"/>
                <w:rFonts w:ascii="Times New Roman" w:eastAsia="Times New Roman" w:hAnsi="Times New Roman"/>
                <w:b w:val="0"/>
                <w:sz w:val="24"/>
              </w:rPr>
            </w:pPr>
            <w:r w:rsidRPr="00082773">
              <w:rPr>
                <w:rFonts w:ascii="Times New Roman" w:hAnsi="Times New Roman"/>
                <w:sz w:val="24"/>
              </w:rPr>
              <w:t>Mokesčių ir komisinių sąnaudų dalis, sumokėta įstaigoms, kurios yra tos pačios institucinės užtikrinimo sistemos narės, pagal Reglamento (ES) Nr. 575/2013 314 straipsnio 5 dalį neįtraukiamos.</w:t>
            </w:r>
          </w:p>
        </w:tc>
      </w:tr>
      <w:tr w:rsidR="003826D3" w:rsidRPr="00082773" w14:paraId="56FE999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C7FDD92"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2c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640694" w14:textId="77777777" w:rsidR="003826D3" w:rsidRPr="00082773" w:rsidRDefault="003826D3" w:rsidP="003826D3">
            <w:pPr>
              <w:spacing w:before="60" w:after="120"/>
              <w:jc w:val="both"/>
              <w:rPr>
                <w:rStyle w:val="InstructionsTabelleberschrift"/>
                <w:rFonts w:ascii="Times New Roman" w:eastAsia="Times New Roman" w:hAnsi="Times New Roman"/>
                <w:sz w:val="24"/>
                <w:u w:val="none"/>
              </w:rPr>
            </w:pPr>
            <w:r w:rsidRPr="00082773">
              <w:rPr>
                <w:rStyle w:val="InstructionsTabelleberschrift"/>
                <w:rFonts w:ascii="Times New Roman" w:hAnsi="Times New Roman"/>
                <w:sz w:val="24"/>
                <w:u w:val="none"/>
              </w:rPr>
              <w:t>Kitos veiklos pajamos</w:t>
            </w:r>
          </w:p>
          <w:p w14:paraId="035A399D" w14:textId="7232F3EB" w:rsidR="00671F1C" w:rsidRPr="00082773" w:rsidRDefault="009816D6"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Kitos veiklos pajamos, įskaitant: pelną iš ilgalaikio turto ir perleidžiamų grupių, priskiriamų prie laikomų parduoti, kurios neatitinka nutrauktos veiklos kriterijų (nuostolių atveju vertės prilyginamos nuliui) pagal EBI IT sprendimų V priedo 2 dalies 55 punktą, ir kitas veiklos pajamas, kaip nurodyta EBI IT sprendimų V priedo 2 dalies 314 ir 316 punktuose, bet išskyrus pajamas iš veiklos nuomos ir visus elementus, nustatytus pagal Reglamento (ES) 2021/451 314 straipsnio 7 dalį.</w:t>
            </w:r>
          </w:p>
          <w:p w14:paraId="39451B35" w14:textId="17278A47" w:rsidR="00A471E8" w:rsidRPr="00082773" w:rsidRDefault="007863F3"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Į administracinių išlaidų susigrąžinimą nereikėtų atsižvelgti pagal TRS dėl veiklos rodiklio komponentų, kurie turi būti parengti pagal Reglamento (ES) Nr. 575/2013 314 straipsnio 9 dalį, 5 straipsnį.</w:t>
            </w:r>
          </w:p>
          <w:p w14:paraId="0B35E56E" w14:textId="27C4774F" w:rsidR="00695D35" w:rsidRPr="00082773" w:rsidRDefault="00695D35"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Kitos veiklos pajamos, gautos iš įstaigų, kurios yra tos pačios institucinės užtikrinimo sistemos narės, pagal Reglamento (ES) Nr. 575/2013 314 straipsnio 5 dalį neįtraukiamos.</w:t>
            </w:r>
          </w:p>
          <w:p w14:paraId="685D1BC1" w14:textId="04DD0137" w:rsidR="00695D35" w:rsidRPr="00082773" w:rsidRDefault="00695D35" w:rsidP="003826D3">
            <w:pPr>
              <w:spacing w:before="60" w:after="120"/>
              <w:jc w:val="both"/>
              <w:rPr>
                <w:rStyle w:val="InstructionsTabelleberschrift"/>
                <w:rFonts w:ascii="Times New Roman" w:eastAsia="Times New Roman" w:hAnsi="Times New Roman"/>
                <w:b w:val="0"/>
                <w:bCs w:val="0"/>
                <w:sz w:val="24"/>
                <w:u w:val="none"/>
              </w:rPr>
            </w:pPr>
            <w:r w:rsidRPr="00082773">
              <w:rPr>
                <w:rFonts w:ascii="Times New Roman" w:hAnsi="Times New Roman"/>
                <w:sz w:val="24"/>
              </w:rPr>
              <w:lastRenderedPageBreak/>
              <w:t>Suma šioje eilutėje apskaičiuojama pagal Reglamento (ES) Nr. 575/2013 314 straipsnio 5 dalį.</w:t>
            </w:r>
          </w:p>
        </w:tc>
      </w:tr>
      <w:tr w:rsidR="003826D3" w:rsidRPr="00082773" w14:paraId="278E4D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0575E4C"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2d</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C949AD" w14:textId="3ED4D7E2" w:rsidR="003826D3" w:rsidRPr="00082773" w:rsidRDefault="003826D3" w:rsidP="003826D3">
            <w:pPr>
              <w:spacing w:before="60" w:after="120"/>
              <w:jc w:val="both"/>
              <w:rPr>
                <w:rStyle w:val="InstructionsTabelleberschrift"/>
                <w:rFonts w:ascii="Times New Roman" w:eastAsia="Times New Roman" w:hAnsi="Times New Roman"/>
                <w:sz w:val="24"/>
                <w:u w:val="none"/>
              </w:rPr>
            </w:pPr>
            <w:r w:rsidRPr="00082773">
              <w:rPr>
                <w:rStyle w:val="InstructionsTabelleberschrift"/>
                <w:rFonts w:ascii="Times New Roman" w:hAnsi="Times New Roman"/>
                <w:sz w:val="24"/>
                <w:u w:val="none"/>
              </w:rPr>
              <w:t>Kitos veiklos sąnaudos</w:t>
            </w:r>
          </w:p>
          <w:p w14:paraId="13FCDFA5" w14:textId="269315A4" w:rsidR="00B722D0" w:rsidRPr="00082773" w:rsidRDefault="009816D6" w:rsidP="003826D3">
            <w:pPr>
              <w:spacing w:before="60" w:after="120"/>
              <w:jc w:val="both"/>
              <w:rPr>
                <w:rFonts w:ascii="Times New Roman" w:eastAsia="Times New Roman" w:hAnsi="Times New Roman" w:cs="Times New Roman"/>
                <w:sz w:val="24"/>
              </w:rPr>
            </w:pPr>
            <w:r w:rsidRPr="00082773">
              <w:rPr>
                <w:rFonts w:ascii="Times New Roman" w:hAnsi="Times New Roman"/>
                <w:sz w:val="24"/>
              </w:rPr>
              <w:t>Kitos veiklos sąnaudos, įskaitant:</w:t>
            </w:r>
          </w:p>
          <w:p w14:paraId="0E760CEE" w14:textId="74A56BE8" w:rsidR="00643568" w:rsidRPr="00082773" w:rsidRDefault="004D0A0E" w:rsidP="002A26E9">
            <w:pPr>
              <w:pStyle w:val="ListParagraph"/>
              <w:numPr>
                <w:ilvl w:val="0"/>
                <w:numId w:val="9"/>
              </w:numPr>
              <w:spacing w:before="60" w:after="120"/>
              <w:jc w:val="both"/>
              <w:rPr>
                <w:rFonts w:ascii="Times New Roman" w:eastAsia="Times New Roman" w:hAnsi="Times New Roman"/>
                <w:sz w:val="24"/>
              </w:rPr>
            </w:pPr>
            <w:r w:rsidRPr="00082773">
              <w:rPr>
                <w:rFonts w:ascii="Times New Roman" w:hAnsi="Times New Roman"/>
                <w:sz w:val="24"/>
              </w:rPr>
              <w:t>nuostolius dėl ilgalaikio turto ir perleidžiamų grupių, priskiriamų prie laikomų parduoti, kurios neatitinka nutrauktos veiklos kriterijų: nuostolius, išskyrus nuostolius dėl operacinės rizikos įvykių, susijusius su ilgalaikio turto ir perleidžiamų grupių, kurie klasifikuojami kaip laikomi parduoti, bet neatitinka nutrauktos veiklos kriterijų pagal EBI IT sprendimų V priedo 2 dalies 55 punktą. Nurodomi tik nuostoliai; jeigu gaunamas pelnas, šioje eilutėje vertė laikoma lygia nuliui.</w:t>
            </w:r>
          </w:p>
          <w:p w14:paraId="0334035E" w14:textId="19D6E763" w:rsidR="00EE7608" w:rsidRPr="00082773" w:rsidRDefault="004D0A0E" w:rsidP="00EE7608">
            <w:pPr>
              <w:pStyle w:val="ListParagraph"/>
              <w:numPr>
                <w:ilvl w:val="0"/>
                <w:numId w:val="9"/>
              </w:numPr>
              <w:spacing w:before="60" w:after="120"/>
              <w:jc w:val="both"/>
              <w:rPr>
                <w:rFonts w:ascii="Times New Roman" w:eastAsia="Times New Roman" w:hAnsi="Times New Roman"/>
                <w:sz w:val="24"/>
              </w:rPr>
            </w:pPr>
            <w:r w:rsidRPr="00082773">
              <w:rPr>
                <w:rFonts w:ascii="Times New Roman" w:hAnsi="Times New Roman"/>
                <w:sz w:val="24"/>
              </w:rPr>
              <w:t>Visi nuostoliai, sąnaudos, atidėjiniai ir kitas finansinis poveikis dėl operacinės rizikos įvykių: visų nuostolių, sąnaudų, atidėjinių ir kito finansinio poveikio, susijusių su operacinės rizikos įvykiais, kaip nurodyta į EBI IT sprendimų I priedą įtraukto C.16.03 šablono 0080 eilutėje, suma.</w:t>
            </w:r>
          </w:p>
          <w:p w14:paraId="2C93E8CD" w14:textId="64776E12" w:rsidR="004D0A0E" w:rsidRPr="00082773" w:rsidRDefault="00A37C45" w:rsidP="00EE7608">
            <w:pPr>
              <w:pStyle w:val="ListParagraph"/>
              <w:numPr>
                <w:ilvl w:val="0"/>
                <w:numId w:val="9"/>
              </w:numPr>
              <w:spacing w:before="60" w:after="120"/>
              <w:jc w:val="both"/>
              <w:rPr>
                <w:rFonts w:ascii="Times New Roman" w:eastAsia="Times New Roman" w:hAnsi="Times New Roman"/>
                <w:sz w:val="24"/>
              </w:rPr>
            </w:pPr>
            <w:r w:rsidRPr="00082773">
              <w:rPr>
                <w:rFonts w:ascii="Times New Roman" w:hAnsi="Times New Roman"/>
                <w:sz w:val="24"/>
              </w:rPr>
              <w:t>Kitos veiklos sąnaudos, patirtos ne dėl operacinės rizikos įvykių, pagal EBI IT sprendimų V priedo 2 dalies 314 ir 316 punktus, t. y.:</w:t>
            </w:r>
          </w:p>
          <w:p w14:paraId="01D56412" w14:textId="77777777" w:rsidR="004A5BBA" w:rsidRPr="00082773" w:rsidRDefault="004A5BBA" w:rsidP="004A5BBA">
            <w:pPr>
              <w:pStyle w:val="ListParagraph"/>
              <w:numPr>
                <w:ilvl w:val="1"/>
                <w:numId w:val="10"/>
              </w:numPr>
              <w:spacing w:before="60" w:after="120"/>
              <w:jc w:val="both"/>
              <w:rPr>
                <w:rFonts w:ascii="Times New Roman" w:eastAsia="Times New Roman" w:hAnsi="Times New Roman"/>
                <w:sz w:val="24"/>
              </w:rPr>
            </w:pPr>
            <w:r w:rsidRPr="00082773">
              <w:rPr>
                <w:rFonts w:ascii="Times New Roman" w:hAnsi="Times New Roman"/>
                <w:sz w:val="24"/>
              </w:rPr>
              <w:t>sąnaudos, susijusios su materialiojo turto, vertinamo taikant tikrosios vertės metodą, tikrosios vertės pokyčiais, išskyrus sąnaudas, susijusias su investicinio turto, kuris generuoja nuomos pajamas ir kuris vertinamas taikant veiklai naudojamo nuomojamo turto tikrosios vertės metodą, tikrosios vertės pokyčiais;</w:t>
            </w:r>
          </w:p>
          <w:p w14:paraId="726CB5AB" w14:textId="426E3DFA" w:rsidR="004A5BBA" w:rsidRPr="00082773" w:rsidRDefault="004A5BBA" w:rsidP="004A5BBA">
            <w:pPr>
              <w:pStyle w:val="ListParagraph"/>
              <w:numPr>
                <w:ilvl w:val="1"/>
                <w:numId w:val="10"/>
              </w:numPr>
              <w:spacing w:before="60" w:after="120"/>
              <w:jc w:val="both"/>
              <w:rPr>
                <w:rFonts w:ascii="Times New Roman" w:eastAsia="Times New Roman" w:hAnsi="Times New Roman"/>
                <w:sz w:val="24"/>
              </w:rPr>
            </w:pPr>
          </w:p>
          <w:p w14:paraId="4F8244A1" w14:textId="2CF47DAA" w:rsidR="004A5BBA" w:rsidRPr="00082773" w:rsidRDefault="004A5BBA" w:rsidP="004A5BBA">
            <w:pPr>
              <w:pStyle w:val="ListParagraph"/>
              <w:numPr>
                <w:ilvl w:val="1"/>
                <w:numId w:val="10"/>
              </w:numPr>
              <w:spacing w:before="60" w:after="120"/>
              <w:jc w:val="both"/>
              <w:rPr>
                <w:rFonts w:ascii="Times New Roman" w:eastAsia="Times New Roman" w:hAnsi="Times New Roman"/>
                <w:sz w:val="24"/>
              </w:rPr>
            </w:pPr>
            <w:r w:rsidRPr="00082773">
              <w:rPr>
                <w:rFonts w:ascii="Times New Roman" w:hAnsi="Times New Roman"/>
                <w:sz w:val="24"/>
              </w:rPr>
              <w:t>likusios kitos veiklos sąnaudos (kitos veiklos sąnaudos) pagal EBI IT sprendimų V priedo 2 dalies 314 ir 316 punktus, jei jos nesusijusios su nuomojamu turtu.</w:t>
            </w:r>
          </w:p>
          <w:p w14:paraId="6CDC5FBE" w14:textId="54C68FB7" w:rsidR="004A3C86" w:rsidRPr="00082773" w:rsidRDefault="004A3C86" w:rsidP="00EE7608">
            <w:pPr>
              <w:spacing w:before="60" w:after="120"/>
              <w:jc w:val="both"/>
              <w:rPr>
                <w:rStyle w:val="InstructionsTabelleberschrift"/>
                <w:rFonts w:ascii="Times New Roman" w:eastAsia="Times New Roman" w:hAnsi="Times New Roman"/>
                <w:b w:val="0"/>
                <w:bCs w:val="0"/>
                <w:sz w:val="24"/>
                <w:u w:val="none"/>
              </w:rPr>
            </w:pPr>
            <w:r w:rsidRPr="00082773">
              <w:rPr>
                <w:rStyle w:val="InstructionsTabelleberschrift"/>
                <w:rFonts w:ascii="Times New Roman" w:hAnsi="Times New Roman"/>
                <w:b w:val="0"/>
                <w:sz w:val="24"/>
                <w:u w:val="none"/>
              </w:rPr>
              <w:t>Kitų veiklos sąnaudų suma, sumokėta įstaigoms, kurios yra tos pačios institucinės užtikrinimo sistemos narės, pagal Reglamento (ES) Nr. 575/2013 314 straipsnio 5 dalį neįtraukiama.</w:t>
            </w:r>
          </w:p>
          <w:p w14:paraId="6F1C30F0" w14:textId="3B05E985" w:rsidR="003826D3" w:rsidRPr="00082773" w:rsidRDefault="00DE3384" w:rsidP="003826D3">
            <w:pPr>
              <w:spacing w:before="60" w:after="120"/>
              <w:jc w:val="both"/>
              <w:rPr>
                <w:rStyle w:val="InstructionsTabelleberschrift"/>
                <w:rFonts w:ascii="Times New Roman" w:eastAsia="Times New Roman" w:hAnsi="Times New Roman"/>
                <w:sz w:val="24"/>
              </w:rPr>
            </w:pPr>
            <w:r w:rsidRPr="00082773">
              <w:rPr>
                <w:rFonts w:ascii="Times New Roman" w:hAnsi="Times New Roman"/>
                <w:sz w:val="24"/>
              </w:rPr>
              <w:t>Suma šioje eilutėje apskaičiuojama pagal Reglamento (ES) Nr. 575/2013 314 straipsnio 5 dalį.</w:t>
            </w:r>
          </w:p>
        </w:tc>
      </w:tr>
      <w:tr w:rsidR="003826D3" w:rsidRPr="00082773" w14:paraId="7FA7A9F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4E87AB3"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7EDDC" w14:textId="77777777" w:rsidR="003826D3" w:rsidRPr="00082773" w:rsidRDefault="003826D3"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Finansinis komponentas (FC)</w:t>
            </w:r>
          </w:p>
          <w:p w14:paraId="1C2CD9AE" w14:textId="16B8F7FC" w:rsidR="003826D3" w:rsidRPr="00082773" w:rsidRDefault="00DE3384" w:rsidP="003826D3">
            <w:pPr>
              <w:spacing w:before="60" w:after="120"/>
              <w:jc w:val="both"/>
              <w:rPr>
                <w:rStyle w:val="InstructionsTabelleberschrift"/>
                <w:rFonts w:ascii="Times New Roman" w:eastAsia="Times New Roman" w:hAnsi="Times New Roman"/>
                <w:b w:val="0"/>
                <w:bCs w:val="0"/>
                <w:sz w:val="24"/>
                <w:u w:val="none"/>
              </w:rPr>
            </w:pPr>
            <w:r w:rsidRPr="00082773">
              <w:rPr>
                <w:rStyle w:val="InstructionsTabelleberschrift"/>
                <w:rFonts w:ascii="Times New Roman" w:hAnsi="Times New Roman"/>
                <w:b w:val="0"/>
                <w:sz w:val="24"/>
                <w:u w:val="none"/>
              </w:rPr>
              <w:t xml:space="preserve">Finansinis komponentas (FC) apskaičiuojamas pagal Reglamento (ES) Nr. 575/2013 314 straipsnio 6 dalį. </w:t>
            </w:r>
            <w:r w:rsidRPr="00082773">
              <w:rPr>
                <w:rFonts w:ascii="Times New Roman" w:hAnsi="Times New Roman"/>
                <w:sz w:val="24"/>
              </w:rPr>
              <w:t>Jeigu įstaigai taikoma Reglamento (ES) Nr. 575/2013 314 straipsnio 4 dalyje nurodyta nukrypti leidžianti nuostata, įstaiga neįtraukia jokių mažmeninės bankininkystės ir komercinės bankininkystės verslo linijų duomenų.</w:t>
            </w:r>
          </w:p>
        </w:tc>
      </w:tr>
      <w:tr w:rsidR="003826D3" w:rsidRPr="00082773" w14:paraId="2B149247"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E3187E8"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3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2D37BB41" w14:textId="6F0E6551" w:rsidR="003826D3" w:rsidRPr="00082773" w:rsidRDefault="003826D3"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Prekybos knygai (TB) taikomas grynasis pelnas arba nuostolis</w:t>
            </w:r>
          </w:p>
          <w:p w14:paraId="4E177CA3" w14:textId="4C472892" w:rsidR="003826D3" w:rsidRPr="00082773" w:rsidRDefault="003826D3" w:rsidP="003826D3">
            <w:pPr>
              <w:spacing w:before="60" w:after="120"/>
              <w:jc w:val="both"/>
              <w:rPr>
                <w:rStyle w:val="InstructionsTabelleberschrift"/>
                <w:rFonts w:ascii="Times New Roman" w:hAnsi="Times New Roman"/>
                <w:b w:val="0"/>
                <w:bCs w:val="0"/>
                <w:sz w:val="24"/>
                <w:u w:val="none"/>
              </w:rPr>
            </w:pPr>
            <w:r w:rsidRPr="00082773">
              <w:rPr>
                <w:rStyle w:val="InstructionsTabelleberschrift"/>
                <w:rFonts w:ascii="Times New Roman" w:hAnsi="Times New Roman"/>
                <w:b w:val="0"/>
                <w:sz w:val="24"/>
                <w:u w:val="none"/>
              </w:rPr>
              <w:t>Prekybos knygai taikomas grynasis pelnas arba nuostolis apskaičiuojamas kaip šių elementų suma:</w:t>
            </w:r>
          </w:p>
          <w:p w14:paraId="6324889B" w14:textId="380EDA28" w:rsidR="008A379C" w:rsidRPr="00082773" w:rsidRDefault="008A379C" w:rsidP="00232265">
            <w:pPr>
              <w:pStyle w:val="Style1"/>
              <w:rPr>
                <w:rStyle w:val="InstructionsTabelleberschrift"/>
                <w:rFonts w:ascii="Times New Roman" w:hAnsi="Times New Roman"/>
                <w:b w:val="0"/>
                <w:bCs w:val="0"/>
                <w:sz w:val="24"/>
                <w:u w:val="none"/>
              </w:rPr>
            </w:pPr>
            <w:r w:rsidRPr="00082773">
              <w:rPr>
                <w:u w:val="single"/>
              </w:rPr>
              <w:lastRenderedPageBreak/>
              <w:t>pelnas arba (–) nuostoliai dėl prekybai laikomo finansinio turto ir įsipareigojimų, grynoji suma</w:t>
            </w:r>
            <w:r w:rsidRPr="00082773">
              <w:t>: pelnas arba (–) nuostoliai dėl prekybai laikomo finansinio turto ir įsipareigojimų pagal EBI IT sprendimų V priedo 2 dalies 43 ir 46 punktus arba dėl prekybos finansiniu turtu ir įsipareigojimais pagal Tarybos direktyvos 86/635/EEB (Bankų apskaitos direktyvos arba BAD) 27 straipsnio „Vertikalusis išdėstymas“ 6 dalį;</w:t>
            </w:r>
          </w:p>
          <w:p w14:paraId="0B998657" w14:textId="654F8692" w:rsidR="008A379C" w:rsidRPr="00082773" w:rsidRDefault="008A379C" w:rsidP="00232265">
            <w:pPr>
              <w:pStyle w:val="Style1"/>
              <w:rPr>
                <w:rStyle w:val="InstructionsTabelleberschrift"/>
                <w:rFonts w:ascii="Times New Roman" w:hAnsi="Times New Roman"/>
                <w:b w:val="0"/>
                <w:bCs w:val="0"/>
                <w:sz w:val="24"/>
                <w:u w:val="none"/>
              </w:rPr>
            </w:pPr>
            <w:r w:rsidRPr="00082773">
              <w:rPr>
                <w:u w:val="single"/>
              </w:rPr>
              <w:t>su apsidraudimo sandorių apskaita susijęs pelnas arba (–) nuostoliai, grynoji suma</w:t>
            </w:r>
            <w:r w:rsidRPr="00082773">
              <w:t>: su apsidraudimo sandorių apskaita susijusio pelno arba (–) nuostolių grynoji suma pagal prekybos knygos komponentą tik tomis išimtinėmis aplinkybėmis, kai apsidraudimo sandorių apskaita, apskaičiuota pagal EBI IT sprendimų V priedo 2 dalies 47 punktą arba pagal Apskaitos direktyvos 8 straipsnio 1 dalies a punktą, 6 ir 8 dalis, naudojama prekybai laikomų finansinių turto ir įsipareigojimų arba prekybai skirtų finansinių turto ir įsipareigojimų apsidraudimui, ir</w:t>
            </w:r>
          </w:p>
          <w:p w14:paraId="1BC37DE4" w14:textId="36EA6A27" w:rsidR="008A379C" w:rsidRPr="00082773" w:rsidRDefault="008A379C" w:rsidP="00232265">
            <w:pPr>
              <w:pStyle w:val="Style1"/>
              <w:rPr>
                <w:rStyle w:val="InstructionsTabelleberschrift"/>
                <w:rFonts w:ascii="Times New Roman" w:hAnsi="Times New Roman"/>
                <w:b w:val="0"/>
                <w:bCs w:val="0"/>
                <w:sz w:val="24"/>
                <w:u w:val="none"/>
              </w:rPr>
            </w:pPr>
            <w:r w:rsidRPr="00082773">
              <w:rPr>
                <w:u w:val="single"/>
              </w:rPr>
              <w:t>valiutos kursų skirtumai (pelnas arba (–) nuostoliai), grynoji suma</w:t>
            </w:r>
            <w:r w:rsidRPr="00082773">
              <w:t>: valiutos kursų skirtumų (pelno arba (–) nuostolių) grynoji suma, tik jeigu tokie skirtumai, apskaičiuoti pagal 21-ojo TAS 28 straipsnį, 52 straipsnio a punktą arba pagal BAD 39 straipsnį, susidaro dėl prekybai laikomo finansinio turto ir įsipareigojimų arba prekybai skirto finansinio turto ir įsipareigojimų.</w:t>
            </w:r>
          </w:p>
          <w:p w14:paraId="761552C0" w14:textId="5BF82331" w:rsidR="001E5563" w:rsidRPr="00082773" w:rsidRDefault="001E5563" w:rsidP="00C65626">
            <w:pPr>
              <w:pStyle w:val="paragraph"/>
              <w:textAlignment w:val="baseline"/>
              <w:rPr>
                <w:rStyle w:val="InstructionsTabelleberschrift"/>
                <w:rFonts w:ascii="Segoe UI" w:hAnsi="Segoe UI" w:cs="Segoe UI"/>
              </w:rPr>
            </w:pPr>
            <w:r w:rsidRPr="00082773">
              <w:t xml:space="preserve">Atskleidžiamos vertės atspindės balansines vertes, nustatytas naudojant apskaitos ribą arba </w:t>
            </w:r>
            <w:proofErr w:type="spellStart"/>
            <w:r w:rsidRPr="00082773">
              <w:t>prudencinę</w:t>
            </w:r>
            <w:proofErr w:type="spellEnd"/>
            <w:r w:rsidRPr="00082773">
              <w:t xml:space="preserve"> ribą (PBA), siekiant nustatyti prekybos knygos ir bankinės knygos pozicijas kiekvienais iš pastarųjų 3 finansinių metų pagal Reglamento (ES) Nr. 575/2013 314 straipsnio 6 dalį.</w:t>
            </w:r>
          </w:p>
        </w:tc>
      </w:tr>
      <w:tr w:rsidR="003826D3" w:rsidRPr="00082773" w14:paraId="769832B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F3C7174"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3b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CD949CD" w14:textId="505506A8" w:rsidR="003826D3" w:rsidRPr="00082773" w:rsidRDefault="003826D3"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Bankinei knygai (BB) taikomas grynasis pelnas arba nuostolis</w:t>
            </w:r>
          </w:p>
          <w:p w14:paraId="16F13570" w14:textId="0B537F1A" w:rsidR="003826D3" w:rsidRPr="00082773" w:rsidRDefault="003826D3" w:rsidP="003826D3">
            <w:pPr>
              <w:spacing w:before="60" w:after="120"/>
              <w:jc w:val="both"/>
              <w:rPr>
                <w:rStyle w:val="InstructionsTabelleberschrift"/>
                <w:rFonts w:ascii="Times New Roman" w:eastAsia="Times New Roman" w:hAnsi="Times New Roman"/>
                <w:b w:val="0"/>
                <w:bCs w:val="0"/>
                <w:sz w:val="24"/>
                <w:u w:val="none"/>
              </w:rPr>
            </w:pPr>
            <w:r w:rsidRPr="00082773">
              <w:rPr>
                <w:rStyle w:val="InstructionsTabelleberschrift"/>
                <w:rFonts w:ascii="Times New Roman" w:hAnsi="Times New Roman"/>
                <w:b w:val="0"/>
                <w:sz w:val="24"/>
                <w:u w:val="none"/>
              </w:rPr>
              <w:t>Bankinei knygai taikomas grynasis pelnas arba nuostolis apskaičiuojamas kaip šių elementų suma:</w:t>
            </w:r>
          </w:p>
          <w:p w14:paraId="4816B36A" w14:textId="59F72F36" w:rsidR="008F0781" w:rsidRPr="00082773" w:rsidRDefault="008F0781" w:rsidP="00232265">
            <w:pPr>
              <w:pStyle w:val="Style1"/>
            </w:pPr>
            <w:r w:rsidRPr="00082773">
              <w:rPr>
                <w:u w:val="single"/>
              </w:rPr>
              <w:t>pelnas arba (–) nuostoliai dėl finansinio turto ir įsipareigojimų, nevertinamų tikrąja verte, kurios pokyčiai pripažįstami pelno (nuostolių) ataskaitoje, pripažinimo nutraukimo, grynoji suma</w:t>
            </w:r>
            <w:r w:rsidRPr="00082773">
              <w:t>: pelnas arba (–) nuostoliai dėl finansinio turto ir įsipareigojimų, nevertinamų tikrąja verte, kurios pokyčiai pripažįstami pelno (nuostolių) ataskaitoje, pripažinimo nutraukimo pagal EBI IT sprendimų V priedo 2 dalies 45 punktą arba BAD 27 straipsnio dalies „Vertikalusis išdėstymas“ 6 punktą;</w:t>
            </w:r>
          </w:p>
          <w:p w14:paraId="29EDCF43" w14:textId="7ADB0AAC" w:rsidR="008F0781" w:rsidRPr="00082773" w:rsidRDefault="008F0781" w:rsidP="00232265">
            <w:pPr>
              <w:pStyle w:val="Style1"/>
            </w:pPr>
            <w:r w:rsidRPr="00082773">
              <w:rPr>
                <w:u w:val="single"/>
              </w:rPr>
              <w:t>pelnas arba (–) nuostoliai dėl neprekybinio finansinio turto, privalomai vertinamo tikrąja verte, kurios pokyčiai pripažįstami pelno (nuostolių) ataskaitoje, grynoji suma</w:t>
            </w:r>
            <w:r w:rsidRPr="00082773">
              <w:t>: nurodomas pelnas arba (–) nuostoliai dėl neprekybinio finansinio turto, privalomai vertinamo tikrąja verte, kurios pokyčiai pripažįstami pelno (nuostolių) ataskaitoje, grynoji suma pagal EBI IT sprendimų V priedo 2 dalies 46 punktą;</w:t>
            </w:r>
          </w:p>
          <w:p w14:paraId="23350A71" w14:textId="40356371" w:rsidR="008F0781" w:rsidRPr="00082773" w:rsidRDefault="008F0781" w:rsidP="00232265">
            <w:pPr>
              <w:pStyle w:val="Style1"/>
            </w:pPr>
            <w:r w:rsidRPr="00082773">
              <w:rPr>
                <w:u w:val="single"/>
              </w:rPr>
              <w:t>pelnas arba (–) nuostoliai dėl finansinio turto ir įsipareigojimų, vertinamų tikrąja verte per pelną arba nuostolius, grynoji suma</w:t>
            </w:r>
            <w:r w:rsidRPr="00082773">
              <w:t xml:space="preserve">: pelno arba (–) nuostolių iš finansinio turto ir įsipareigojimų, vertinamų tikrąja </w:t>
            </w:r>
            <w:r w:rsidRPr="00082773">
              <w:lastRenderedPageBreak/>
              <w:t>verte per pelną arba nuostolius, grynoji suma pagal EBI IT sprendimų V priedo 2 dalies 44 punktą;</w:t>
            </w:r>
          </w:p>
          <w:p w14:paraId="44DE675E" w14:textId="5B34C2BC" w:rsidR="008F0781" w:rsidRPr="00082773" w:rsidRDefault="008F0781" w:rsidP="00232265">
            <w:pPr>
              <w:pStyle w:val="Style1"/>
            </w:pPr>
            <w:r w:rsidRPr="00082773">
              <w:rPr>
                <w:u w:val="single"/>
              </w:rPr>
              <w:t>su apsidraudimo sandorių apskaita susijęs pelnas arba (–) nuostoliai, grynoji suma, susijusi su bankine knyga:</w:t>
            </w:r>
            <w:r w:rsidRPr="00082773">
              <w:t xml:space="preserve"> su apsidraudimo sandorių apskaita susijusio pelno arba (–) nuostolių grynoji suma pagal EBI IT sprendimų V priedo 2 dalies 47 punktą arba pagal Apskaitos direktyvos 8 straipsnio 1 dalies a punktą, 6 ir 8 dalis, jeigu šis pelnas arba nuostoliai susiję su bankinėje knygoje laikomu finansiniu turtu ir įsipareigojimais, ir</w:t>
            </w:r>
          </w:p>
          <w:p w14:paraId="23306495" w14:textId="6A259674" w:rsidR="008F0781" w:rsidRPr="00082773" w:rsidRDefault="008F0781" w:rsidP="00232265">
            <w:pPr>
              <w:pStyle w:val="Style1"/>
            </w:pPr>
            <w:r w:rsidRPr="00082773">
              <w:rPr>
                <w:u w:val="single"/>
              </w:rPr>
              <w:t>su bankine knyga susiję valiutų kurso skirtumai (pelnas arba (–) nuostoliai), grynoji suma</w:t>
            </w:r>
            <w:r w:rsidRPr="00082773">
              <w:t>: valiutų kurso skirtumų grynoji suma pagal 21.28-ojo TAS 52 straipsnio a punktą arba BAD 39 straipsnį, jei šie skirtumai atsiranda dėl bankinėje knygoje laikomo finansinio turto ir įsipareigojimų.</w:t>
            </w:r>
          </w:p>
          <w:p w14:paraId="3E9BB5BF" w14:textId="1D3FC8A9" w:rsidR="00F26A2D" w:rsidRPr="00082773" w:rsidRDefault="001E5563" w:rsidP="00F26A2D">
            <w:pPr>
              <w:spacing w:before="60" w:after="120"/>
              <w:jc w:val="both"/>
              <w:rPr>
                <w:rStyle w:val="InstructionsTabelleberschrift"/>
                <w:rFonts w:asciiTheme="majorBidi" w:hAnsiTheme="majorBidi" w:cstheme="majorBidi"/>
                <w:sz w:val="24"/>
                <w:u w:val="none"/>
              </w:rPr>
            </w:pPr>
            <w:r w:rsidRPr="00082773">
              <w:rPr>
                <w:rFonts w:asciiTheme="majorBidi" w:hAnsiTheme="majorBidi"/>
                <w:sz w:val="24"/>
              </w:rPr>
              <w:t xml:space="preserve">Atskleidžiamos vertės atspindės balansines vertes, nustatytas naudojant apskaitos ribą arba </w:t>
            </w:r>
            <w:proofErr w:type="spellStart"/>
            <w:r w:rsidRPr="00082773">
              <w:rPr>
                <w:rFonts w:asciiTheme="majorBidi" w:hAnsiTheme="majorBidi"/>
                <w:sz w:val="24"/>
              </w:rPr>
              <w:t>prudencinę</w:t>
            </w:r>
            <w:proofErr w:type="spellEnd"/>
            <w:r w:rsidRPr="00082773">
              <w:rPr>
                <w:rFonts w:asciiTheme="majorBidi" w:hAnsiTheme="majorBidi"/>
                <w:sz w:val="24"/>
              </w:rPr>
              <w:t xml:space="preserve"> ribą (PBA), siekiant nustatyti prekybos knygos ir bankinės knygos pozicijas kiekvienais iš pastarųjų 3 finansinių metų pagal Reglamento (ES) Nr. 575/2013 314 straipsnio 6 dalį.</w:t>
            </w:r>
          </w:p>
        </w:tc>
      </w:tr>
      <w:tr w:rsidR="003826D3" w:rsidRPr="00082773" w14:paraId="4C01E0EE"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47DF21AD"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lastRenderedPageBreak/>
              <w:t>EU 3c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61BB97F" w14:textId="3301C86C" w:rsidR="003826D3" w:rsidRPr="00082773" w:rsidRDefault="008C3E6A"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TB / BB ribos nustatymo metodas (PBA arba apskaitos metodas)</w:t>
            </w:r>
          </w:p>
          <w:p w14:paraId="00A81A34" w14:textId="0A7D6D1A" w:rsidR="003826D3" w:rsidRPr="00082773" w:rsidRDefault="003826D3" w:rsidP="003826D3">
            <w:pPr>
              <w:spacing w:before="60" w:after="120"/>
              <w:jc w:val="both"/>
              <w:rPr>
                <w:rStyle w:val="InstructionsTabelleberschrift"/>
                <w:rFonts w:ascii="Times New Roman" w:eastAsia="Times New Roman" w:hAnsi="Times New Roman"/>
                <w:b w:val="0"/>
                <w:bCs w:val="0"/>
                <w:sz w:val="24"/>
                <w:u w:val="none"/>
              </w:rPr>
            </w:pPr>
            <w:r w:rsidRPr="00082773">
              <w:rPr>
                <w:rStyle w:val="InstructionsTabelleberschrift"/>
                <w:rFonts w:ascii="Times New Roman" w:hAnsi="Times New Roman"/>
                <w:b w:val="0"/>
                <w:sz w:val="24"/>
                <w:u w:val="none"/>
              </w:rPr>
              <w:t xml:space="preserve">Metodas, taikomas ataskaitinę datą nustatant FC: apskaitos arba </w:t>
            </w:r>
            <w:proofErr w:type="spellStart"/>
            <w:r w:rsidRPr="00082773">
              <w:rPr>
                <w:rStyle w:val="InstructionsTabelleberschrift"/>
                <w:rFonts w:ascii="Times New Roman" w:hAnsi="Times New Roman"/>
                <w:b w:val="0"/>
                <w:sz w:val="24"/>
                <w:u w:val="none"/>
              </w:rPr>
              <w:t>prudencinė</w:t>
            </w:r>
            <w:proofErr w:type="spellEnd"/>
            <w:r w:rsidRPr="00082773">
              <w:rPr>
                <w:rStyle w:val="InstructionsTabelleberschrift"/>
                <w:rFonts w:ascii="Times New Roman" w:hAnsi="Times New Roman"/>
                <w:b w:val="0"/>
                <w:sz w:val="24"/>
                <w:u w:val="none"/>
              </w:rPr>
              <w:t xml:space="preserve"> klasifikacija (PBA). Šis metodas nuosekliai taikomas sumoms, atskleistoms kiekvieniems iš paskutinių trejų finansinių metų.</w:t>
            </w:r>
          </w:p>
        </w:tc>
      </w:tr>
      <w:tr w:rsidR="003826D3" w:rsidRPr="00082773" w14:paraId="130758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F1EF276"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14882AA" w14:textId="77777777" w:rsidR="003826D3" w:rsidRPr="00082773" w:rsidRDefault="003826D3"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Veiklos rodiklis (BI)</w:t>
            </w:r>
          </w:p>
          <w:p w14:paraId="35C99FE1" w14:textId="0AFECB29" w:rsidR="003826D3" w:rsidRPr="0008277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2773">
              <w:rPr>
                <w:rFonts w:asciiTheme="majorBidi" w:hAnsiTheme="majorBidi"/>
                <w:sz w:val="24"/>
              </w:rPr>
              <w:t>BI, apskaičiuotas pagal Reglamento (ES) Nr. 575/2013 314 straipsnio 1 dalį, yra trijų komponentų suma: ILDC, SC ir FC.</w:t>
            </w:r>
          </w:p>
        </w:tc>
      </w:tr>
      <w:tr w:rsidR="003826D3" w:rsidRPr="00082773" w14:paraId="45662CD2"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1BE29C54"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5</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93F910" w14:textId="77777777" w:rsidR="003826D3" w:rsidRPr="00082773" w:rsidRDefault="003826D3" w:rsidP="003826D3">
            <w:pPr>
              <w:spacing w:before="60" w:after="120"/>
              <w:jc w:val="both"/>
              <w:rPr>
                <w:rStyle w:val="InstructionsTabelleberschrift"/>
                <w:rFonts w:ascii="Times New Roman" w:eastAsia="Times New Roman" w:hAnsi="Times New Roman"/>
                <w:sz w:val="24"/>
                <w:u w:val="none"/>
              </w:rPr>
            </w:pPr>
            <w:r w:rsidRPr="00082773">
              <w:rPr>
                <w:rStyle w:val="InstructionsTabelleberschrift"/>
                <w:rFonts w:ascii="Times New Roman" w:hAnsi="Times New Roman"/>
                <w:sz w:val="24"/>
                <w:u w:val="none"/>
              </w:rPr>
              <w:t>Veiklos rodiklio komponentas (BIC)</w:t>
            </w:r>
          </w:p>
          <w:p w14:paraId="4AC6BDA5" w14:textId="5507A684" w:rsidR="003826D3" w:rsidRPr="00082773" w:rsidRDefault="003826D3" w:rsidP="003826D3">
            <w:pPr>
              <w:spacing w:before="60" w:after="120"/>
              <w:jc w:val="both"/>
              <w:rPr>
                <w:rStyle w:val="InstructionsTabelleberschrift"/>
                <w:rFonts w:ascii="Times New Roman" w:eastAsia="Times New Roman" w:hAnsi="Times New Roman"/>
                <w:b w:val="0"/>
                <w:bCs w:val="0"/>
                <w:sz w:val="24"/>
                <w:u w:val="none"/>
              </w:rPr>
            </w:pPr>
            <w:r w:rsidRPr="00082773">
              <w:rPr>
                <w:rFonts w:ascii="Times New Roman" w:hAnsi="Times New Roman"/>
                <w:sz w:val="24"/>
              </w:rPr>
              <w:t xml:space="preserve">BIC apskaičiuojamas pagal Reglamento (ES) Nr. 575/2013 313 straipsnį. </w:t>
            </w:r>
          </w:p>
        </w:tc>
      </w:tr>
      <w:tr w:rsidR="003826D3" w:rsidRPr="00082773" w14:paraId="246D3463"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D251DF"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6 a</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D331" w14:textId="77777777" w:rsidR="003826D3" w:rsidRPr="00082773" w:rsidRDefault="003826D3"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BI grynoji suma, neįskaitant perleistų veiklos rūšių</w:t>
            </w:r>
          </w:p>
          <w:p w14:paraId="4B01F051" w14:textId="678BE249" w:rsidR="003826D3" w:rsidRPr="0008277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2773">
              <w:rPr>
                <w:rFonts w:asciiTheme="majorBidi" w:hAnsiTheme="majorBidi"/>
                <w:sz w:val="24"/>
              </w:rPr>
              <w:t>BI suma, įskaitant perleistas veiklos rūšis pagal Reglamento (ES) Nr. 575/2013 315 straipsnio 2 dalį.</w:t>
            </w:r>
          </w:p>
        </w:tc>
      </w:tr>
      <w:tr w:rsidR="003826D3" w:rsidRPr="00082773" w14:paraId="6ADC8B4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7F6F18"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6b</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0FD596E1" w14:textId="5FAE8014" w:rsidR="003826D3" w:rsidRPr="00082773" w:rsidRDefault="003826D3"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BI sumažėjimas dėl neįtrauktų perleistų veiklos rūšių</w:t>
            </w:r>
          </w:p>
          <w:p w14:paraId="100A0132" w14:textId="636B5EF6" w:rsidR="003826D3" w:rsidRPr="0008277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2773">
              <w:rPr>
                <w:rFonts w:asciiTheme="majorBidi" w:hAnsiTheme="majorBidi"/>
                <w:sz w:val="24"/>
              </w:rPr>
              <w:t xml:space="preserve">Skirtumas tarp BI grynosios sumos, neįskaitant perleistų veiklos rūšių (6a eilutė), ir viso BI (4 eilutė). </w:t>
            </w:r>
          </w:p>
        </w:tc>
      </w:tr>
      <w:tr w:rsidR="003826D3" w:rsidRPr="00082773" w14:paraId="66494CD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29D7A112" w14:textId="77777777" w:rsidR="003826D3" w:rsidRPr="00082773" w:rsidRDefault="003826D3" w:rsidP="003826D3">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EU 6c</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4B02A2" w14:textId="77777777" w:rsidR="003826D3" w:rsidRPr="00082773" w:rsidRDefault="003826D3" w:rsidP="003826D3">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Susijungimų ir (arba) įsigijimų poveikis BI</w:t>
            </w:r>
          </w:p>
          <w:p w14:paraId="68B0EB8C" w14:textId="39D74825" w:rsidR="003826D3" w:rsidRPr="00082773" w:rsidRDefault="003826D3" w:rsidP="003826D3">
            <w:pPr>
              <w:spacing w:before="60" w:after="120"/>
              <w:jc w:val="both"/>
              <w:rPr>
                <w:rStyle w:val="InstructionsTabelleberschrift"/>
                <w:rFonts w:asciiTheme="majorBidi" w:eastAsia="Times New Roman" w:hAnsiTheme="majorBidi" w:cstheme="majorBidi"/>
                <w:b w:val="0"/>
                <w:bCs w:val="0"/>
                <w:sz w:val="24"/>
                <w:u w:val="none"/>
              </w:rPr>
            </w:pPr>
            <w:r w:rsidRPr="00082773">
              <w:rPr>
                <w:rFonts w:asciiTheme="majorBidi" w:hAnsiTheme="majorBidi"/>
                <w:sz w:val="24"/>
              </w:rPr>
              <w:t>Į BI įtraukta suma, atitinkanti BI komponentus, atsirandančius dėl susijungusių ar įsigytų subjektų arba veiklos, apskaičiuota pagal Reglamento (ES) Nr. 575/2013 315 straipsnio 1 dalį.</w:t>
            </w:r>
          </w:p>
        </w:tc>
      </w:tr>
    </w:tbl>
    <w:p w14:paraId="2517003F" w14:textId="77777777" w:rsidR="00D740B8" w:rsidRPr="00082773" w:rsidRDefault="00D740B8" w:rsidP="00D740B8">
      <w:pPr>
        <w:pStyle w:val="numberedparagraph"/>
        <w:numPr>
          <w:ilvl w:val="0"/>
          <w:numId w:val="0"/>
        </w:numPr>
        <w:ind w:left="284" w:hanging="284"/>
        <w:rPr>
          <w:rFonts w:ascii="Times New Roman" w:eastAsia="Arial" w:hAnsi="Times New Roman" w:cs="Times New Roman"/>
          <w:sz w:val="24"/>
        </w:rPr>
      </w:pPr>
    </w:p>
    <w:p w14:paraId="7E7146AD" w14:textId="1649FBD5" w:rsidR="00D740B8" w:rsidRPr="00082773" w:rsidRDefault="00D740B8" w:rsidP="00156174">
      <w:pPr>
        <w:pageBreakBefore/>
        <w:jc w:val="both"/>
        <w:rPr>
          <w:rFonts w:ascii="Times New Roman" w:hAnsi="Times New Roman" w:cs="Times New Roman"/>
          <w:bCs/>
          <w:sz w:val="24"/>
        </w:rPr>
      </w:pPr>
      <w:r w:rsidRPr="00082773">
        <w:rPr>
          <w:rFonts w:ascii="Times New Roman" w:hAnsi="Times New Roman"/>
          <w:b/>
          <w:sz w:val="24"/>
        </w:rPr>
        <w:lastRenderedPageBreak/>
        <w:t xml:space="preserve">EU OR3 šablonas. Nuosavų lėšų reikalavimai operacinei rizikai padengti ir rizikos pozicijų sumos. </w:t>
      </w:r>
      <w:r w:rsidRPr="00082773">
        <w:rPr>
          <w:rFonts w:ascii="Times New Roman" w:hAnsi="Times New Roman"/>
          <w:sz w:val="24"/>
        </w:rPr>
        <w:t>Nustatytojo formato šablonas</w:t>
      </w:r>
    </w:p>
    <w:p w14:paraId="5AB15A39" w14:textId="77777777" w:rsidR="00D740B8" w:rsidRPr="00082773" w:rsidRDefault="00D740B8" w:rsidP="00D740B8">
      <w:pPr>
        <w:ind w:left="360"/>
        <w:jc w:val="both"/>
        <w:rPr>
          <w:rFonts w:ascii="Times New Roman" w:hAnsi="Times New Roman" w:cs="Times New Roman"/>
          <w:bCs/>
          <w:sz w:val="24"/>
        </w:rPr>
      </w:pPr>
    </w:p>
    <w:p w14:paraId="60DF34D1" w14:textId="121F9A97" w:rsidR="00D740B8" w:rsidRPr="00082773" w:rsidRDefault="00D740B8" w:rsidP="00D740B8">
      <w:pPr>
        <w:numPr>
          <w:ilvl w:val="0"/>
          <w:numId w:val="1"/>
        </w:numPr>
        <w:jc w:val="both"/>
        <w:rPr>
          <w:rFonts w:ascii="Times New Roman" w:hAnsi="Times New Roman" w:cs="Times New Roman"/>
          <w:sz w:val="24"/>
        </w:rPr>
      </w:pPr>
      <w:r w:rsidRPr="00082773">
        <w:rPr>
          <w:rFonts w:ascii="Times New Roman" w:hAnsi="Times New Roman"/>
          <w:sz w:val="24"/>
        </w:rPr>
        <w:t>Įstaigos atskleidžia EU OR3 šablone nurodytą informaciją, taikydamos Reglamento (ES) Nr. 575/2013 446 straipsnio 1 dalies b punktą. Šiame šablone pateikiama informacija apie nuosavų lėšų reikalavimo operacinei rizikai padengti skaičiavimą pagal Reglamento (ES) Nr. 575/2013 312–315 straipsnius.</w:t>
      </w:r>
    </w:p>
    <w:p w14:paraId="6DFA1648" w14:textId="77777777" w:rsidR="00D740B8" w:rsidRPr="00082773" w:rsidRDefault="00D740B8" w:rsidP="00D740B8">
      <w:pPr>
        <w:ind w:left="360"/>
        <w:jc w:val="both"/>
        <w:rPr>
          <w:rFonts w:ascii="Times New Roman" w:hAnsi="Times New Roman" w:cs="Times New Roman"/>
          <w:bCs/>
          <w:sz w:val="24"/>
        </w:rPr>
      </w:pPr>
    </w:p>
    <w:p w14:paraId="2E35B8A0" w14:textId="77777777" w:rsidR="00D740B8" w:rsidRPr="00082773" w:rsidRDefault="00D740B8" w:rsidP="00D740B8">
      <w:pPr>
        <w:rPr>
          <w:rFonts w:ascii="Times New Roman" w:hAnsi="Times New Roman" w:cs="Times New Roman"/>
          <w:sz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7768"/>
      </w:tblGrid>
      <w:tr w:rsidR="00D740B8" w:rsidRPr="00082773" w14:paraId="6F42A4B4"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F89E53" w14:textId="77777777" w:rsidR="00D740B8" w:rsidRPr="00082773" w:rsidRDefault="00D740B8">
            <w:pPr>
              <w:autoSpaceDE w:val="0"/>
              <w:autoSpaceDN w:val="0"/>
              <w:adjustRightInd w:val="0"/>
              <w:rPr>
                <w:rFonts w:ascii="Times New Roman" w:hAnsi="Times New Roman" w:cs="Times New Roman"/>
                <w:b/>
                <w:sz w:val="24"/>
              </w:rPr>
            </w:pPr>
            <w:r w:rsidRPr="00082773">
              <w:rPr>
                <w:rFonts w:ascii="Times New Roman" w:hAnsi="Times New Roman"/>
                <w:b/>
                <w:sz w:val="24"/>
              </w:rPr>
              <w:t xml:space="preserve">Eilutė </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ECBF1" w14:textId="77777777" w:rsidR="00D740B8" w:rsidRPr="00082773" w:rsidRDefault="00D740B8">
            <w:pPr>
              <w:rPr>
                <w:rFonts w:ascii="Times New Roman" w:hAnsi="Times New Roman" w:cs="Times New Roman"/>
                <w:b/>
                <w:sz w:val="24"/>
              </w:rPr>
            </w:pPr>
            <w:r w:rsidRPr="00082773">
              <w:rPr>
                <w:rFonts w:ascii="Times New Roman" w:hAnsi="Times New Roman"/>
                <w:b/>
                <w:sz w:val="24"/>
              </w:rPr>
              <w:t>Paaiškinimas</w:t>
            </w:r>
          </w:p>
        </w:tc>
      </w:tr>
      <w:tr w:rsidR="00D740B8" w:rsidRPr="00082773" w14:paraId="6BF3BB09"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6AB58A85"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18FF758" w14:textId="77777777" w:rsidR="00D740B8" w:rsidRPr="00082773" w:rsidRDefault="00D740B8">
            <w:pPr>
              <w:spacing w:before="60" w:after="120"/>
              <w:jc w:val="both"/>
              <w:rPr>
                <w:rFonts w:ascii="Times New Roman" w:eastAsia="Times New Roman" w:hAnsi="Times New Roman" w:cs="Times New Roman"/>
                <w:b/>
                <w:sz w:val="24"/>
              </w:rPr>
            </w:pPr>
            <w:r w:rsidRPr="00082773">
              <w:rPr>
                <w:rFonts w:ascii="Times New Roman" w:hAnsi="Times New Roman"/>
                <w:b/>
                <w:sz w:val="24"/>
              </w:rPr>
              <w:t>Veiklos rodiklio komponentas (BIC)</w:t>
            </w:r>
          </w:p>
          <w:p w14:paraId="1B10BB72" w14:textId="77777777" w:rsidR="00D740B8" w:rsidRPr="00082773" w:rsidRDefault="00D740B8">
            <w:pPr>
              <w:spacing w:before="60" w:after="120"/>
              <w:jc w:val="both"/>
              <w:rPr>
                <w:rFonts w:ascii="Times New Roman" w:eastAsia="Times New Roman" w:hAnsi="Times New Roman" w:cs="Times New Roman"/>
                <w:sz w:val="24"/>
              </w:rPr>
            </w:pPr>
            <w:r w:rsidRPr="00082773">
              <w:rPr>
                <w:rFonts w:ascii="Times New Roman" w:hAnsi="Times New Roman"/>
                <w:sz w:val="24"/>
              </w:rPr>
              <w:t>Šioje eilutėje pateikiamas verslo rodiklio komponentas, kuris apskaičiuojamas pagal Reglamento (ES) Nr. 575/2013 313 straipsnį.</w:t>
            </w:r>
          </w:p>
        </w:tc>
      </w:tr>
      <w:tr w:rsidR="00CA794A" w:rsidRPr="00082773" w14:paraId="2713AC1F"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37A606E2" w14:textId="48C6967A" w:rsidR="00CA794A" w:rsidRPr="00082773" w:rsidRDefault="004A58B5">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EU 1</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71B97C95" w14:textId="1613DFBF" w:rsidR="00CA794A" w:rsidRPr="00082773" w:rsidRDefault="004A58B5">
            <w:pPr>
              <w:spacing w:before="60" w:after="120"/>
              <w:jc w:val="both"/>
              <w:rPr>
                <w:rFonts w:ascii="Times New Roman" w:eastAsia="Times New Roman" w:hAnsi="Times New Roman" w:cs="Times New Roman"/>
                <w:b/>
                <w:sz w:val="24"/>
              </w:rPr>
            </w:pPr>
            <w:r w:rsidRPr="00082773">
              <w:rPr>
                <w:rFonts w:ascii="Times New Roman" w:hAnsi="Times New Roman"/>
                <w:b/>
                <w:sz w:val="24"/>
              </w:rPr>
              <w:t>Nuosavų lėšų reikalavimai (OROF), apskaičiuoti taikant alternatyvų standartizuotą metodą (ASA) pagal 314 straipsnio 4 dalį</w:t>
            </w:r>
          </w:p>
          <w:p w14:paraId="7762DF0B" w14:textId="6E2ACCB9" w:rsidR="004A58B5" w:rsidRPr="00082773" w:rsidRDefault="005B4907">
            <w:pPr>
              <w:spacing w:before="60" w:after="120"/>
              <w:jc w:val="both"/>
              <w:rPr>
                <w:rFonts w:ascii="Times New Roman" w:eastAsia="Times New Roman" w:hAnsi="Times New Roman" w:cs="Times New Roman"/>
                <w:b/>
                <w:sz w:val="24"/>
              </w:rPr>
            </w:pPr>
            <w:r w:rsidRPr="00082773">
              <w:rPr>
                <w:rFonts w:ascii="Times New Roman" w:hAnsi="Times New Roman"/>
                <w:sz w:val="24"/>
              </w:rPr>
              <w:t>Į šią eilutę įtraukiami nuosavų lėšų reikalavimai verslo linijoms, į kurias atsižvelgiama pagal 314 straipsnio 4 dalį, jei taikytina, iki 2027 m. gruodžio 31 d. arba kol konsoliduotos priežiūros institucija suteiks leidimą pagal 314 straipsnio 3 dalį, atsižvelgiant į tai, kuri data yra ankstesnė.</w:t>
            </w:r>
          </w:p>
        </w:tc>
      </w:tr>
      <w:tr w:rsidR="00D740B8" w:rsidRPr="00082773" w14:paraId="362D8FB9" w14:textId="77777777" w:rsidTr="00F828EB">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5B3213"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2</w:t>
            </w:r>
          </w:p>
        </w:tc>
        <w:tc>
          <w:tcPr>
            <w:tcW w:w="7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B1B93" w14:textId="0E85F01A" w:rsidR="00D740B8" w:rsidRPr="00082773" w:rsidRDefault="001918A2">
            <w:pPr>
              <w:spacing w:before="60" w:after="120"/>
              <w:jc w:val="both"/>
              <w:rPr>
                <w:rFonts w:ascii="Times New Roman" w:eastAsia="Times New Roman" w:hAnsi="Times New Roman" w:cs="Times New Roman"/>
                <w:sz w:val="24"/>
              </w:rPr>
            </w:pPr>
            <w:r w:rsidRPr="00082773">
              <w:rPr>
                <w:rFonts w:ascii="Times New Roman" w:hAnsi="Times New Roman"/>
                <w:sz w:val="24"/>
              </w:rPr>
              <w:t>Netaikoma.</w:t>
            </w:r>
          </w:p>
        </w:tc>
      </w:tr>
      <w:tr w:rsidR="00D740B8" w:rsidRPr="00082773" w14:paraId="779D052B"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0CEF8453"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3</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5BB42F01" w14:textId="77777777" w:rsidR="00D740B8" w:rsidRPr="00082773" w:rsidRDefault="00D740B8">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Minimalūs privalomi nuosavų lėšų reikalavimai operacinei rizikai padengti (OROF)</w:t>
            </w:r>
          </w:p>
          <w:p w14:paraId="2A7C24D0" w14:textId="54D9C5FF" w:rsidR="00D740B8" w:rsidRPr="00082773" w:rsidRDefault="00977842">
            <w:pPr>
              <w:spacing w:before="60" w:after="120"/>
              <w:jc w:val="both"/>
              <w:rPr>
                <w:rFonts w:ascii="Times New Roman" w:eastAsia="Times New Roman" w:hAnsi="Times New Roman" w:cs="Times New Roman"/>
                <w:sz w:val="24"/>
              </w:rPr>
            </w:pPr>
            <w:r w:rsidRPr="00082773">
              <w:rPr>
                <w:rFonts w:ascii="Times New Roman" w:hAnsi="Times New Roman"/>
                <w:sz w:val="24"/>
              </w:rPr>
              <w:t xml:space="preserve">Nuosavų lėšų reikalavimai apskaičiuojami pagal Reglamento (ES) Nr. 575/2013 312 straipsnį. Šioje eilutėje nurodomi nuosavų lėšų reikalavimai operacinei rizikai padengti, kurie sutampa su BIC suma ir nuosavų lėšų reikalavimais verslo linijoms, numatytoms 314 straipsnio 4 dalyje, jei taikoma. </w:t>
            </w:r>
          </w:p>
        </w:tc>
      </w:tr>
      <w:tr w:rsidR="00D740B8" w:rsidRPr="00082773" w14:paraId="078B572A" w14:textId="77777777">
        <w:trPr>
          <w:trHeight w:val="238"/>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C3902" w14:textId="77777777" w:rsidR="00D740B8" w:rsidRPr="00082773" w:rsidRDefault="00D740B8">
            <w:pPr>
              <w:autoSpaceDE w:val="0"/>
              <w:autoSpaceDN w:val="0"/>
              <w:adjustRightInd w:val="0"/>
              <w:spacing w:before="60" w:after="120"/>
              <w:jc w:val="center"/>
              <w:rPr>
                <w:rFonts w:ascii="Times New Roman" w:hAnsi="Times New Roman" w:cs="Times New Roman"/>
                <w:b/>
                <w:sz w:val="24"/>
              </w:rPr>
            </w:pPr>
            <w:r w:rsidRPr="00082773">
              <w:rPr>
                <w:rFonts w:ascii="Times New Roman" w:hAnsi="Times New Roman"/>
                <w:b/>
                <w:sz w:val="24"/>
              </w:rPr>
              <w:t>4</w:t>
            </w:r>
          </w:p>
        </w:tc>
        <w:tc>
          <w:tcPr>
            <w:tcW w:w="77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83DB44" w14:textId="00766941" w:rsidR="00D740B8" w:rsidRPr="00082773" w:rsidRDefault="00D740B8">
            <w:pPr>
              <w:spacing w:before="60" w:after="120"/>
              <w:jc w:val="both"/>
              <w:rPr>
                <w:rStyle w:val="InstructionsTabelleberschrift"/>
                <w:rFonts w:ascii="Times New Roman" w:eastAsia="Times New Roman" w:hAnsi="Times New Roman"/>
                <w:bCs w:val="0"/>
                <w:sz w:val="24"/>
                <w:u w:val="none"/>
              </w:rPr>
            </w:pPr>
            <w:r w:rsidRPr="00082773">
              <w:rPr>
                <w:rStyle w:val="InstructionsTabelleberschrift"/>
                <w:rFonts w:ascii="Times New Roman" w:hAnsi="Times New Roman"/>
                <w:sz w:val="24"/>
                <w:u w:val="none"/>
              </w:rPr>
              <w:t>Operacinės rizikos pozicijų sumos (REA)</w:t>
            </w:r>
          </w:p>
          <w:p w14:paraId="317F9BDE" w14:textId="6672A695" w:rsidR="00D740B8" w:rsidRPr="00082773" w:rsidRDefault="00D740B8">
            <w:pPr>
              <w:spacing w:before="60" w:after="120"/>
              <w:jc w:val="both"/>
              <w:rPr>
                <w:rFonts w:ascii="Times New Roman" w:eastAsia="Times New Roman" w:hAnsi="Times New Roman" w:cs="Times New Roman"/>
                <w:sz w:val="24"/>
              </w:rPr>
            </w:pPr>
            <w:r w:rsidRPr="00082773">
              <w:rPr>
                <w:rFonts w:ascii="Times New Roman" w:hAnsi="Times New Roman"/>
                <w:sz w:val="24"/>
              </w:rPr>
              <w:t xml:space="preserve">Remiantis Reglamento (ES) Nr. 575/2013 92 straipsnio 3 dalies e punktu ir 92 straipsnio 4 dalimi, šioje eilutėje atskleidžiami 3 eilutėje nurodyti nuosavų lėšų reikalavimai, padauginti iš 12,5. </w:t>
            </w:r>
          </w:p>
        </w:tc>
      </w:tr>
    </w:tbl>
    <w:p w14:paraId="079B8CA0" w14:textId="77777777" w:rsidR="00D740B8" w:rsidRPr="00082773" w:rsidRDefault="00D740B8" w:rsidP="00D740B8">
      <w:pPr>
        <w:rPr>
          <w:rFonts w:ascii="Times New Roman" w:hAnsi="Times New Roman" w:cs="Times New Roman"/>
          <w:sz w:val="24"/>
        </w:rPr>
      </w:pPr>
    </w:p>
    <w:p w14:paraId="41C8F396" w14:textId="77777777" w:rsidR="002C1404" w:rsidRPr="00082773" w:rsidRDefault="002C1404"/>
    <w:sectPr w:rsidR="002C1404" w:rsidRPr="000827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2D970" w14:textId="77777777" w:rsidR="00924970" w:rsidRPr="00082773" w:rsidRDefault="00924970" w:rsidP="00E114F3">
      <w:r w:rsidRPr="00082773">
        <w:separator/>
      </w:r>
    </w:p>
  </w:endnote>
  <w:endnote w:type="continuationSeparator" w:id="0">
    <w:p w14:paraId="6750FE16" w14:textId="77777777" w:rsidR="00924970" w:rsidRPr="00082773" w:rsidRDefault="00924970" w:rsidP="00E114F3">
      <w:r w:rsidRPr="00082773">
        <w:continuationSeparator/>
      </w:r>
    </w:p>
  </w:endnote>
  <w:endnote w:type="continuationNotice" w:id="1">
    <w:p w14:paraId="44EFD629" w14:textId="77777777" w:rsidR="00924970" w:rsidRPr="00082773" w:rsidRDefault="00924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9826" w14:textId="77777777" w:rsidR="00082773" w:rsidRPr="00082773" w:rsidRDefault="000827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783897"/>
      <w:docPartObj>
        <w:docPartGallery w:val="Page Numbers (Bottom of Page)"/>
        <w:docPartUnique/>
      </w:docPartObj>
    </w:sdtPr>
    <w:sdtEndPr>
      <w:rPr>
        <w:noProof/>
      </w:rPr>
    </w:sdtEndPr>
    <w:sdtContent>
      <w:p w14:paraId="3D3D22A9" w14:textId="77777777" w:rsidR="00E114F3" w:rsidRPr="00082773" w:rsidRDefault="00E114F3">
        <w:pPr>
          <w:pStyle w:val="Footer"/>
          <w:jc w:val="right"/>
        </w:pPr>
        <w:r w:rsidRPr="00082773">
          <w:fldChar w:fldCharType="begin"/>
        </w:r>
        <w:r w:rsidRPr="00082773">
          <w:instrText xml:space="preserve"> PAGE   \* MERGEFORMAT </w:instrText>
        </w:r>
        <w:r w:rsidRPr="00082773">
          <w:fldChar w:fldCharType="separate"/>
        </w:r>
        <w:r w:rsidR="00370155" w:rsidRPr="00082773">
          <w:t>1</w:t>
        </w:r>
        <w:r w:rsidRPr="00082773">
          <w:fldChar w:fldCharType="end"/>
        </w:r>
      </w:p>
    </w:sdtContent>
  </w:sdt>
  <w:p w14:paraId="049F31CB" w14:textId="77777777" w:rsidR="00E114F3" w:rsidRPr="00082773" w:rsidRDefault="00E114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35412" w14:textId="77777777" w:rsidR="00082773" w:rsidRPr="00082773" w:rsidRDefault="00082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1A6D" w14:textId="77777777" w:rsidR="00924970" w:rsidRPr="00082773" w:rsidRDefault="00924970" w:rsidP="00E114F3">
      <w:r w:rsidRPr="00082773">
        <w:separator/>
      </w:r>
    </w:p>
  </w:footnote>
  <w:footnote w:type="continuationSeparator" w:id="0">
    <w:p w14:paraId="3D7D4E32" w14:textId="77777777" w:rsidR="00924970" w:rsidRPr="00082773" w:rsidRDefault="00924970" w:rsidP="00E114F3">
      <w:r w:rsidRPr="00082773">
        <w:continuationSeparator/>
      </w:r>
    </w:p>
  </w:footnote>
  <w:footnote w:type="continuationNotice" w:id="1">
    <w:p w14:paraId="6FCD0CD0" w14:textId="77777777" w:rsidR="00924970" w:rsidRPr="00082773" w:rsidRDefault="00924970"/>
  </w:footnote>
  <w:footnote w:id="2">
    <w:p w14:paraId="3798489D" w14:textId="469FF1F7" w:rsidR="00E114F3" w:rsidRPr="00082773" w:rsidRDefault="00E114F3" w:rsidP="003D3122">
      <w:pPr>
        <w:pStyle w:val="FootnoteText"/>
      </w:pPr>
      <w:r w:rsidRPr="00082773">
        <w:rPr>
          <w:rStyle w:val="FootnoteReference"/>
          <w:rFonts w:cstheme="minorHAnsi"/>
        </w:rPr>
        <w:footnoteRef/>
      </w:r>
      <w:r w:rsidRPr="00082773">
        <w:tab/>
        <w:t xml:space="preserve">2013 m. birželio 26 d. Europos Parlamento ir Tarybos reglamentas (ES) Nr. 575/2013 dėl </w:t>
      </w:r>
      <w:proofErr w:type="spellStart"/>
      <w:r w:rsidRPr="00082773">
        <w:t>prudencinių</w:t>
      </w:r>
      <w:proofErr w:type="spellEnd"/>
      <w:r w:rsidRPr="00082773">
        <w:t xml:space="preserve"> reikalavimų kredito įstaigoms ir investicinėms įmonėms ir kuriuo iš dalies keičiami reglamentai (ES) Nr. 648/2012 ir (ES) 2024/1623 (</w:t>
      </w:r>
      <w:hyperlink r:id="rId1" w:history="1">
        <w:r w:rsidRPr="00082773">
          <w:rPr>
            <w:rStyle w:val="Hyperlink"/>
            <w:color w:val="800080"/>
          </w:rPr>
          <w:t xml:space="preserve">OL L 176, 2013 6 27, p. 1; </w:t>
        </w:r>
      </w:hyperlink>
      <w:hyperlink r:id="rId2" w:history="1">
        <w:r w:rsidRPr="00082773">
          <w:rPr>
            <w:rStyle w:val="Hyperlink"/>
          </w:rPr>
          <w:t>Reglamentas – ES – 2024/1623 – EN – EUR-</w:t>
        </w:r>
        <w:proofErr w:type="spellStart"/>
        <w:r w:rsidRPr="00082773">
          <w:rPr>
            <w:rStyle w:val="Hyperlink"/>
          </w:rPr>
          <w:t>Lex</w:t>
        </w:r>
        <w:proofErr w:type="spellEnd"/>
        <w:r w:rsidRPr="00082773">
          <w:rPr>
            <w:rStyle w:val="Hyperlink"/>
          </w:rPr>
          <w:t xml:space="preserve"> (europa.eu)</w:t>
        </w:r>
      </w:hyperlink>
      <w:r w:rsidRPr="00082773">
        <w:t>).</w:t>
      </w:r>
    </w:p>
    <w:p w14:paraId="45FB0818" w14:textId="77777777" w:rsidR="00E114F3" w:rsidRPr="00082773" w:rsidRDefault="00E114F3" w:rsidP="003D312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1615A102" w:rsidR="00E114F3" w:rsidRPr="00082773" w:rsidRDefault="00864ECA">
    <w:pPr>
      <w:pStyle w:val="Header"/>
    </w:pPr>
    <w:r w:rsidRPr="00082773">
      <w:rPr>
        <w:noProof/>
      </w:rPr>
      <mc:AlternateContent>
        <mc:Choice Requires="wps">
          <w:drawing>
            <wp:anchor distT="0" distB="0" distL="0" distR="0" simplePos="0" relativeHeight="251658241" behindDoc="0" locked="0" layoutInCell="1" allowOverlap="1" wp14:anchorId="56CE9015" wp14:editId="3A1C7323">
              <wp:simplePos x="635" y="635"/>
              <wp:positionH relativeFrom="page">
                <wp:align>left</wp:align>
              </wp:positionH>
              <wp:positionV relativeFrom="page">
                <wp:align>top</wp:align>
              </wp:positionV>
              <wp:extent cx="443865" cy="443865"/>
              <wp:effectExtent l="0" t="0" r="3175" b="9525"/>
              <wp:wrapNone/>
              <wp:docPr id="5"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807B26" w14:textId="3B0140B7" w:rsidR="00864ECA" w:rsidRPr="00082773" w:rsidRDefault="00864ECA" w:rsidP="00864ECA">
                          <w:pPr>
                            <w:rPr>
                              <w:rFonts w:ascii="Calibri" w:eastAsia="Calibri" w:hAnsi="Calibri" w:cs="Calibri"/>
                              <w:noProof/>
                              <w:color w:val="000000"/>
                              <w:sz w:val="24"/>
                            </w:rPr>
                          </w:pPr>
                          <w:r w:rsidRPr="00082773">
                            <w:rPr>
                              <w:rFonts w:ascii="Calibri" w:hAnsi="Calibri"/>
                              <w:color w:val="000000"/>
                              <w:sz w:val="24"/>
                            </w:rPr>
                            <w:t>EBI naudojimui įprasta tvarka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6CE9015" id="_x0000_t202" coordsize="21600,21600" o:spt="202" path="m,l,21600r21600,l21600,xe">
              <v:stroke joinstyle="miter"/>
              <v:path gradientshapeok="t" o:connecttype="rect"/>
            </v:shapetype>
            <v:shape id="Text Box 5" o:spid="_x0000_s1026" type="#_x0000_t202" alt="EBA Regular Use"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" filled="f" stroked="f">
              <v:textbox style="mso-fit-shape-to-text:t" inset="20pt,15pt,0,0">
                <w:txbxContent>
                  <w:p w14:paraId="6B807B26" w14:textId="3B0140B7" w:rsidR="00864ECA" w:rsidRPr="00082773" w:rsidRDefault="00864ECA" w:rsidP="00864ECA">
                    <w:pPr>
                      <w:rPr>
                        <w:rFonts w:ascii="Calibri" w:eastAsia="Calibri" w:hAnsi="Calibri" w:cs="Calibri"/>
                        <w:noProof/>
                        <w:color w:val="000000"/>
                        <w:sz w:val="24"/>
                      </w:rPr>
                    </w:pPr>
                    <w:r w:rsidRPr="00082773">
                      <w:rPr>
                        <w:rFonts w:ascii="Calibri" w:hAnsi="Calibri"/>
                        <w:color w:val="000000"/>
                        <w:sz w:val="24"/>
                      </w:rPr>
                      <w:t>EBI naudojimui įprasta tvarka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3D3EC" w14:textId="1028A940" w:rsidR="00E114F3" w:rsidRPr="00082773" w:rsidRDefault="00864ECA">
    <w:pPr>
      <w:pStyle w:val="Header"/>
    </w:pPr>
    <w:r w:rsidRPr="00082773">
      <w:rPr>
        <w:noProof/>
      </w:rPr>
      <mc:AlternateContent>
        <mc:Choice Requires="wps">
          <w:drawing>
            <wp:anchor distT="0" distB="0" distL="0" distR="0" simplePos="0" relativeHeight="251658242" behindDoc="0" locked="0" layoutInCell="1" allowOverlap="1" wp14:anchorId="02F1B75F" wp14:editId="3120E37C">
              <wp:simplePos x="635" y="635"/>
              <wp:positionH relativeFrom="page">
                <wp:align>left</wp:align>
              </wp:positionH>
              <wp:positionV relativeFrom="page">
                <wp:align>top</wp:align>
              </wp:positionV>
              <wp:extent cx="443865" cy="443865"/>
              <wp:effectExtent l="0" t="0" r="3175" b="9525"/>
              <wp:wrapNone/>
              <wp:docPr id="6"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2808C3" w14:textId="14E505EC" w:rsidR="00864ECA" w:rsidRPr="00082773" w:rsidRDefault="00864ECA" w:rsidP="00864ECA">
                          <w:pPr>
                            <w:rPr>
                              <w:rFonts w:ascii="Calibri" w:eastAsia="Calibri" w:hAnsi="Calibri" w:cs="Calibri"/>
                              <w:noProof/>
                              <w:color w:val="000000"/>
                              <w:sz w:val="24"/>
                            </w:rPr>
                          </w:pPr>
                          <w:r w:rsidRPr="00082773">
                            <w:rPr>
                              <w:rFonts w:ascii="Calibri" w:hAnsi="Calibri"/>
                              <w:color w:val="000000"/>
                              <w:sz w:val="24"/>
                            </w:rPr>
                            <w:t>EBI naudojimui įprasta tvarka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2F1B75F" id="_x0000_t202" coordsize="21600,21600" o:spt="202" path="m,l,21600r21600,l21600,xe">
              <v:stroke joinstyle="miter"/>
              <v:path gradientshapeok="t" o:connecttype="rect"/>
            </v:shapetype>
            <v:shape id="Text Box 6" o:spid="_x0000_s1027" type="#_x0000_t202" alt="EBA Regular Use"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MsGYd01AgAAXgQAAA4AAAAAAAAAAAAAAAAALgIA&#10;AGRycy9lMm9Eb2MueG1sUEsBAi0AFAAGAAgAAAAhAHObn2zZAAAAAwEAAA8AAAAAAAAAAAAAAAAA&#10;jwQAAGRycy9kb3ducmV2LnhtbFBLBQYAAAAABAAEAPMAAACVBQAAAAA=&#10;" filled="f" stroked="f">
              <v:textbox style="mso-fit-shape-to-text:t" inset="20pt,15pt,0,0">
                <w:txbxContent>
                  <w:p w14:paraId="422808C3" w14:textId="14E505EC" w:rsidR="00864ECA" w:rsidRPr="00082773" w:rsidRDefault="00864ECA" w:rsidP="00864ECA">
                    <w:pPr>
                      <w:rPr>
                        <w:rFonts w:ascii="Calibri" w:eastAsia="Calibri" w:hAnsi="Calibri" w:cs="Calibri"/>
                        <w:noProof/>
                        <w:color w:val="000000"/>
                        <w:sz w:val="24"/>
                      </w:rPr>
                    </w:pPr>
                    <w:r w:rsidRPr="00082773">
                      <w:rPr>
                        <w:rFonts w:ascii="Calibri" w:hAnsi="Calibri"/>
                        <w:color w:val="000000"/>
                        <w:sz w:val="24"/>
                      </w:rPr>
                      <w:t>EBI naudojimui įprasta tvarka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4D5A5" w14:textId="505DD969" w:rsidR="00E114F3" w:rsidRPr="00082773" w:rsidRDefault="00864ECA">
    <w:pPr>
      <w:pStyle w:val="Header"/>
    </w:pPr>
    <w:r w:rsidRPr="00082773">
      <w:rPr>
        <w:noProof/>
      </w:rPr>
      <mc:AlternateContent>
        <mc:Choice Requires="wps">
          <w:drawing>
            <wp:anchor distT="0" distB="0" distL="0" distR="0" simplePos="0" relativeHeight="251658240" behindDoc="0" locked="0" layoutInCell="1" allowOverlap="1" wp14:anchorId="3B6A7D7E" wp14:editId="55F0D693">
              <wp:simplePos x="635" y="635"/>
              <wp:positionH relativeFrom="page">
                <wp:align>left</wp:align>
              </wp:positionH>
              <wp:positionV relativeFrom="page">
                <wp:align>top</wp:align>
              </wp:positionV>
              <wp:extent cx="443865" cy="443865"/>
              <wp:effectExtent l="0" t="0" r="3175" b="9525"/>
              <wp:wrapNone/>
              <wp:docPr id="4"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2C3BA" w14:textId="4F2B949B" w:rsidR="00864ECA" w:rsidRPr="00082773" w:rsidRDefault="00864ECA" w:rsidP="00864ECA">
                          <w:pPr>
                            <w:rPr>
                              <w:rFonts w:ascii="Calibri" w:eastAsia="Calibri" w:hAnsi="Calibri" w:cs="Calibri"/>
                              <w:noProof/>
                              <w:color w:val="000000"/>
                              <w:sz w:val="24"/>
                            </w:rPr>
                          </w:pPr>
                          <w:r w:rsidRPr="00082773">
                            <w:rPr>
                              <w:rFonts w:ascii="Calibri" w:hAnsi="Calibri"/>
                              <w:color w:val="000000"/>
                              <w:sz w:val="24"/>
                            </w:rPr>
                            <w:t>EBI naudojimui įprasta tvarka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B6A7D7E" id="_x0000_t202" coordsize="21600,21600" o:spt="202" path="m,l,21600r21600,l21600,xe">
              <v:stroke joinstyle="miter"/>
              <v:path gradientshapeok="t" o:connecttype="rect"/>
            </v:shapetype>
            <v:shape id="Text Box 4" o:spid="_x0000_s1028" type="#_x0000_t202" alt="EBA Regular Use"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" filled="f" stroked="f">
              <v:textbox style="mso-fit-shape-to-text:t" inset="20pt,15pt,0,0">
                <w:txbxContent>
                  <w:p w14:paraId="3152C3BA" w14:textId="4F2B949B" w:rsidR="00864ECA" w:rsidRPr="00082773" w:rsidRDefault="00864ECA" w:rsidP="00864ECA">
                    <w:pPr>
                      <w:rPr>
                        <w:rFonts w:ascii="Calibri" w:eastAsia="Calibri" w:hAnsi="Calibri" w:cs="Calibri"/>
                        <w:noProof/>
                        <w:color w:val="000000"/>
                        <w:sz w:val="24"/>
                      </w:rPr>
                    </w:pPr>
                    <w:r w:rsidRPr="00082773">
                      <w:rPr>
                        <w:rFonts w:ascii="Calibri" w:hAnsi="Calibri"/>
                        <w:color w:val="000000"/>
                        <w:sz w:val="24"/>
                      </w:rPr>
                      <w:t>EBI naudojimui įprasta tvarka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0DA"/>
    <w:multiLevelType w:val="hybridMultilevel"/>
    <w:tmpl w:val="C55009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F4C79"/>
    <w:multiLevelType w:val="hybridMultilevel"/>
    <w:tmpl w:val="7554B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97EC3"/>
    <w:multiLevelType w:val="hybridMultilevel"/>
    <w:tmpl w:val="81D09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E109C"/>
    <w:multiLevelType w:val="hybridMultilevel"/>
    <w:tmpl w:val="AB243A0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971C3"/>
    <w:multiLevelType w:val="hybridMultilevel"/>
    <w:tmpl w:val="3942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55DB4"/>
    <w:multiLevelType w:val="hybridMultilevel"/>
    <w:tmpl w:val="D4F8EA40"/>
    <w:lvl w:ilvl="0" w:tplc="FFFFFFFF">
      <w:start w:val="1"/>
      <w:numFmt w:val="lowerRoman"/>
      <w:lvlText w:val="%1)"/>
      <w:lvlJc w:val="left"/>
      <w:pPr>
        <w:ind w:left="1080" w:hanging="720"/>
      </w:pPr>
      <w:rPr>
        <w:rFonts w:hint="default"/>
      </w:rPr>
    </w:lvl>
    <w:lvl w:ilvl="1" w:tplc="08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E749A0"/>
    <w:multiLevelType w:val="hybridMultilevel"/>
    <w:tmpl w:val="FFFFFFFF"/>
    <w:lvl w:ilvl="0" w:tplc="0CD0E710">
      <w:start w:val="1"/>
      <w:numFmt w:val="bullet"/>
      <w:lvlText w:val=""/>
      <w:lvlJc w:val="left"/>
      <w:pPr>
        <w:ind w:left="720" w:hanging="360"/>
      </w:pPr>
      <w:rPr>
        <w:rFonts w:ascii="Symbol" w:hAnsi="Symbol" w:hint="default"/>
      </w:rPr>
    </w:lvl>
    <w:lvl w:ilvl="1" w:tplc="0C28BC12">
      <w:start w:val="1"/>
      <w:numFmt w:val="bullet"/>
      <w:lvlText w:val="o"/>
      <w:lvlJc w:val="left"/>
      <w:pPr>
        <w:ind w:left="1440" w:hanging="360"/>
      </w:pPr>
      <w:rPr>
        <w:rFonts w:ascii="Courier New" w:hAnsi="Courier New" w:hint="default"/>
      </w:rPr>
    </w:lvl>
    <w:lvl w:ilvl="2" w:tplc="A0E4D8AA">
      <w:start w:val="1"/>
      <w:numFmt w:val="bullet"/>
      <w:lvlText w:val=""/>
      <w:lvlJc w:val="left"/>
      <w:pPr>
        <w:ind w:left="2160" w:hanging="360"/>
      </w:pPr>
      <w:rPr>
        <w:rFonts w:ascii="Wingdings" w:hAnsi="Wingdings" w:hint="default"/>
      </w:rPr>
    </w:lvl>
    <w:lvl w:ilvl="3" w:tplc="91308CAC">
      <w:start w:val="1"/>
      <w:numFmt w:val="bullet"/>
      <w:lvlText w:val=""/>
      <w:lvlJc w:val="left"/>
      <w:pPr>
        <w:ind w:left="2880" w:hanging="360"/>
      </w:pPr>
      <w:rPr>
        <w:rFonts w:ascii="Symbol" w:hAnsi="Symbol" w:hint="default"/>
      </w:rPr>
    </w:lvl>
    <w:lvl w:ilvl="4" w:tplc="1EE6B26C">
      <w:start w:val="1"/>
      <w:numFmt w:val="bullet"/>
      <w:lvlText w:val="o"/>
      <w:lvlJc w:val="left"/>
      <w:pPr>
        <w:ind w:left="3600" w:hanging="360"/>
      </w:pPr>
      <w:rPr>
        <w:rFonts w:ascii="Courier New" w:hAnsi="Courier New" w:hint="default"/>
      </w:rPr>
    </w:lvl>
    <w:lvl w:ilvl="5" w:tplc="8926DF00">
      <w:start w:val="1"/>
      <w:numFmt w:val="bullet"/>
      <w:lvlText w:val=""/>
      <w:lvlJc w:val="left"/>
      <w:pPr>
        <w:ind w:left="4320" w:hanging="360"/>
      </w:pPr>
      <w:rPr>
        <w:rFonts w:ascii="Wingdings" w:hAnsi="Wingdings" w:hint="default"/>
      </w:rPr>
    </w:lvl>
    <w:lvl w:ilvl="6" w:tplc="90B4D0D2">
      <w:start w:val="1"/>
      <w:numFmt w:val="bullet"/>
      <w:lvlText w:val=""/>
      <w:lvlJc w:val="left"/>
      <w:pPr>
        <w:ind w:left="5040" w:hanging="360"/>
      </w:pPr>
      <w:rPr>
        <w:rFonts w:ascii="Symbol" w:hAnsi="Symbol" w:hint="default"/>
      </w:rPr>
    </w:lvl>
    <w:lvl w:ilvl="7" w:tplc="A3EAB52A">
      <w:start w:val="1"/>
      <w:numFmt w:val="bullet"/>
      <w:lvlText w:val="o"/>
      <w:lvlJc w:val="left"/>
      <w:pPr>
        <w:ind w:left="5760" w:hanging="360"/>
      </w:pPr>
      <w:rPr>
        <w:rFonts w:ascii="Courier New" w:hAnsi="Courier New" w:hint="default"/>
      </w:rPr>
    </w:lvl>
    <w:lvl w:ilvl="8" w:tplc="C4046BAA">
      <w:start w:val="1"/>
      <w:numFmt w:val="bullet"/>
      <w:lvlText w:val=""/>
      <w:lvlJc w:val="left"/>
      <w:pPr>
        <w:ind w:left="6480" w:hanging="360"/>
      </w:pPr>
      <w:rPr>
        <w:rFonts w:ascii="Wingdings" w:hAnsi="Wingdings" w:hint="default"/>
      </w:rPr>
    </w:lvl>
  </w:abstractNum>
  <w:abstractNum w:abstractNumId="7" w15:restartNumberingAfterBreak="0">
    <w:nsid w:val="33057CB8"/>
    <w:multiLevelType w:val="hybridMultilevel"/>
    <w:tmpl w:val="760C169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8" w15:restartNumberingAfterBreak="0">
    <w:nsid w:val="485B13DC"/>
    <w:multiLevelType w:val="hybridMultilevel"/>
    <w:tmpl w:val="503222B2"/>
    <w:lvl w:ilvl="0" w:tplc="7D98D390">
      <w:start w:val="1"/>
      <w:numFmt w:val="bullet"/>
      <w:pStyle w:val="Style1"/>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227369"/>
    <w:multiLevelType w:val="hybridMultilevel"/>
    <w:tmpl w:val="D17E5BA0"/>
    <w:lvl w:ilvl="0" w:tplc="FFFFFFFF">
      <w:start w:val="1"/>
      <w:numFmt w:val="decimal"/>
      <w:pStyle w:val="numberedparagraph"/>
      <w:lvlText w:val="%1."/>
      <w:lvlJc w:val="left"/>
      <w:pPr>
        <w:tabs>
          <w:tab w:val="num" w:pos="284"/>
        </w:tabs>
        <w:ind w:left="284" w:hanging="284"/>
      </w:pPr>
    </w:lvl>
    <w:lvl w:ilvl="1" w:tplc="FFFFFFFF">
      <w:start w:val="1"/>
      <w:numFmt w:val="bullet"/>
      <w:lvlText w:val=""/>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E62199"/>
    <w:multiLevelType w:val="hybridMultilevel"/>
    <w:tmpl w:val="1F2ACEF8"/>
    <w:lvl w:ilvl="0" w:tplc="67E89A4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4767C0"/>
    <w:multiLevelType w:val="hybridMultilevel"/>
    <w:tmpl w:val="06983DA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80"/>
        </w:tabs>
        <w:ind w:left="-180" w:hanging="360"/>
      </w:pPr>
    </w:lvl>
    <w:lvl w:ilvl="2" w:tplc="0809001B" w:tentative="1">
      <w:start w:val="1"/>
      <w:numFmt w:val="lowerRoman"/>
      <w:lvlText w:val="%3."/>
      <w:lvlJc w:val="right"/>
      <w:pPr>
        <w:tabs>
          <w:tab w:val="num" w:pos="540"/>
        </w:tabs>
        <w:ind w:left="540" w:hanging="180"/>
      </w:pPr>
    </w:lvl>
    <w:lvl w:ilvl="3" w:tplc="0809000F" w:tentative="1">
      <w:start w:val="1"/>
      <w:numFmt w:val="decimal"/>
      <w:lvlText w:val="%4."/>
      <w:lvlJc w:val="left"/>
      <w:pPr>
        <w:tabs>
          <w:tab w:val="num" w:pos="1260"/>
        </w:tabs>
        <w:ind w:left="1260" w:hanging="360"/>
      </w:pPr>
    </w:lvl>
    <w:lvl w:ilvl="4" w:tplc="08090019" w:tentative="1">
      <w:start w:val="1"/>
      <w:numFmt w:val="lowerLetter"/>
      <w:lvlText w:val="%5."/>
      <w:lvlJc w:val="left"/>
      <w:pPr>
        <w:tabs>
          <w:tab w:val="num" w:pos="1980"/>
        </w:tabs>
        <w:ind w:left="1980" w:hanging="360"/>
      </w:pPr>
    </w:lvl>
    <w:lvl w:ilvl="5" w:tplc="0809001B" w:tentative="1">
      <w:start w:val="1"/>
      <w:numFmt w:val="lowerRoman"/>
      <w:lvlText w:val="%6."/>
      <w:lvlJc w:val="right"/>
      <w:pPr>
        <w:tabs>
          <w:tab w:val="num" w:pos="2700"/>
        </w:tabs>
        <w:ind w:left="2700" w:hanging="180"/>
      </w:pPr>
    </w:lvl>
    <w:lvl w:ilvl="6" w:tplc="0809000F" w:tentative="1">
      <w:start w:val="1"/>
      <w:numFmt w:val="decimal"/>
      <w:lvlText w:val="%7."/>
      <w:lvlJc w:val="left"/>
      <w:pPr>
        <w:tabs>
          <w:tab w:val="num" w:pos="3420"/>
        </w:tabs>
        <w:ind w:left="3420" w:hanging="360"/>
      </w:pPr>
    </w:lvl>
    <w:lvl w:ilvl="7" w:tplc="08090019" w:tentative="1">
      <w:start w:val="1"/>
      <w:numFmt w:val="lowerLetter"/>
      <w:lvlText w:val="%8."/>
      <w:lvlJc w:val="left"/>
      <w:pPr>
        <w:tabs>
          <w:tab w:val="num" w:pos="4140"/>
        </w:tabs>
        <w:ind w:left="4140" w:hanging="360"/>
      </w:pPr>
    </w:lvl>
    <w:lvl w:ilvl="8" w:tplc="0809001B" w:tentative="1">
      <w:start w:val="1"/>
      <w:numFmt w:val="lowerRoman"/>
      <w:lvlText w:val="%9."/>
      <w:lvlJc w:val="right"/>
      <w:pPr>
        <w:tabs>
          <w:tab w:val="num" w:pos="4860"/>
        </w:tabs>
        <w:ind w:left="4860" w:hanging="180"/>
      </w:pPr>
    </w:lvl>
  </w:abstractNum>
  <w:num w:numId="1">
    <w:abstractNumId w:val="11"/>
  </w:num>
  <w:num w:numId="2">
    <w:abstractNumId w:val="7"/>
  </w:num>
  <w:num w:numId="3">
    <w:abstractNumId w:val="0"/>
  </w:num>
  <w:num w:numId="4">
    <w:abstractNumId w:val="2"/>
  </w:num>
  <w:num w:numId="5">
    <w:abstractNumId w:val="4"/>
  </w:num>
  <w:num w:numId="6">
    <w:abstractNumId w:val="1"/>
  </w:num>
  <w:num w:numId="7">
    <w:abstractNumId w:val="9"/>
  </w:num>
  <w:num w:numId="8">
    <w:abstractNumId w:val="6"/>
  </w:num>
  <w:num w:numId="9">
    <w:abstractNumId w:val="10"/>
  </w:num>
  <w:num w:numId="10">
    <w:abstractNumId w:val="5"/>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removePersonalInformation/>
  <w:removeDateAndTime/>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D049F"/>
    <w:rsid w:val="000057DA"/>
    <w:rsid w:val="000118A0"/>
    <w:rsid w:val="00011939"/>
    <w:rsid w:val="00012A75"/>
    <w:rsid w:val="0001405C"/>
    <w:rsid w:val="0001650F"/>
    <w:rsid w:val="00024346"/>
    <w:rsid w:val="00025F22"/>
    <w:rsid w:val="000272B2"/>
    <w:rsid w:val="000307E6"/>
    <w:rsid w:val="00030D74"/>
    <w:rsid w:val="00043B86"/>
    <w:rsid w:val="0004584F"/>
    <w:rsid w:val="00045858"/>
    <w:rsid w:val="00046439"/>
    <w:rsid w:val="000465B3"/>
    <w:rsid w:val="00050ABA"/>
    <w:rsid w:val="000576E8"/>
    <w:rsid w:val="0006502A"/>
    <w:rsid w:val="000664FC"/>
    <w:rsid w:val="000665BE"/>
    <w:rsid w:val="00066F9F"/>
    <w:rsid w:val="0006789F"/>
    <w:rsid w:val="00073105"/>
    <w:rsid w:val="000746E8"/>
    <w:rsid w:val="00074F00"/>
    <w:rsid w:val="00075D8B"/>
    <w:rsid w:val="00076263"/>
    <w:rsid w:val="00076410"/>
    <w:rsid w:val="00080F37"/>
    <w:rsid w:val="00082773"/>
    <w:rsid w:val="00083594"/>
    <w:rsid w:val="00087F79"/>
    <w:rsid w:val="00090561"/>
    <w:rsid w:val="00095D07"/>
    <w:rsid w:val="00096102"/>
    <w:rsid w:val="000A0D62"/>
    <w:rsid w:val="000A12B5"/>
    <w:rsid w:val="000A7B76"/>
    <w:rsid w:val="000B16B1"/>
    <w:rsid w:val="000B2704"/>
    <w:rsid w:val="000B2D8F"/>
    <w:rsid w:val="000B3E22"/>
    <w:rsid w:val="000B4462"/>
    <w:rsid w:val="000C1526"/>
    <w:rsid w:val="000C3EAE"/>
    <w:rsid w:val="000C4618"/>
    <w:rsid w:val="000C77E0"/>
    <w:rsid w:val="000D0723"/>
    <w:rsid w:val="000D0DBB"/>
    <w:rsid w:val="000D3111"/>
    <w:rsid w:val="000D3C6F"/>
    <w:rsid w:val="000D4A72"/>
    <w:rsid w:val="000D6DA0"/>
    <w:rsid w:val="000E3AB0"/>
    <w:rsid w:val="000E696C"/>
    <w:rsid w:val="000F08DF"/>
    <w:rsid w:val="000F1044"/>
    <w:rsid w:val="000F2921"/>
    <w:rsid w:val="000F375E"/>
    <w:rsid w:val="000F5C83"/>
    <w:rsid w:val="000F5FED"/>
    <w:rsid w:val="000F6C61"/>
    <w:rsid w:val="00103ABA"/>
    <w:rsid w:val="00103E71"/>
    <w:rsid w:val="00105E35"/>
    <w:rsid w:val="0011472E"/>
    <w:rsid w:val="001220D8"/>
    <w:rsid w:val="00122ABE"/>
    <w:rsid w:val="001257B6"/>
    <w:rsid w:val="00126683"/>
    <w:rsid w:val="00127890"/>
    <w:rsid w:val="00127955"/>
    <w:rsid w:val="00131C22"/>
    <w:rsid w:val="00134D05"/>
    <w:rsid w:val="00135C50"/>
    <w:rsid w:val="00136AE4"/>
    <w:rsid w:val="00141217"/>
    <w:rsid w:val="001420EB"/>
    <w:rsid w:val="00142276"/>
    <w:rsid w:val="00142D89"/>
    <w:rsid w:val="001449CE"/>
    <w:rsid w:val="001452C3"/>
    <w:rsid w:val="00145CEF"/>
    <w:rsid w:val="0015285C"/>
    <w:rsid w:val="00156174"/>
    <w:rsid w:val="00157939"/>
    <w:rsid w:val="00160A53"/>
    <w:rsid w:val="00161A8E"/>
    <w:rsid w:val="00162183"/>
    <w:rsid w:val="00165BEF"/>
    <w:rsid w:val="001756BE"/>
    <w:rsid w:val="0017572D"/>
    <w:rsid w:val="00177229"/>
    <w:rsid w:val="001830A3"/>
    <w:rsid w:val="00185088"/>
    <w:rsid w:val="001871DA"/>
    <w:rsid w:val="001918A2"/>
    <w:rsid w:val="00196907"/>
    <w:rsid w:val="001A2C2E"/>
    <w:rsid w:val="001B03D9"/>
    <w:rsid w:val="001B03DD"/>
    <w:rsid w:val="001B0A1D"/>
    <w:rsid w:val="001B2292"/>
    <w:rsid w:val="001B291D"/>
    <w:rsid w:val="001B3BC1"/>
    <w:rsid w:val="001B500A"/>
    <w:rsid w:val="001B58F8"/>
    <w:rsid w:val="001B6C85"/>
    <w:rsid w:val="001C2B75"/>
    <w:rsid w:val="001C4677"/>
    <w:rsid w:val="001C6CDD"/>
    <w:rsid w:val="001C6FE9"/>
    <w:rsid w:val="001D0334"/>
    <w:rsid w:val="001D080D"/>
    <w:rsid w:val="001D11E0"/>
    <w:rsid w:val="001D592E"/>
    <w:rsid w:val="001D782E"/>
    <w:rsid w:val="001E1503"/>
    <w:rsid w:val="001E5563"/>
    <w:rsid w:val="001F1176"/>
    <w:rsid w:val="001F7ED3"/>
    <w:rsid w:val="00201011"/>
    <w:rsid w:val="002026B4"/>
    <w:rsid w:val="002026D9"/>
    <w:rsid w:val="002054FC"/>
    <w:rsid w:val="002075AA"/>
    <w:rsid w:val="00207EDD"/>
    <w:rsid w:val="002118F9"/>
    <w:rsid w:val="00211970"/>
    <w:rsid w:val="00214165"/>
    <w:rsid w:val="00216C79"/>
    <w:rsid w:val="002208D1"/>
    <w:rsid w:val="00223530"/>
    <w:rsid w:val="00226DD0"/>
    <w:rsid w:val="00230607"/>
    <w:rsid w:val="00230F64"/>
    <w:rsid w:val="00232265"/>
    <w:rsid w:val="002322F4"/>
    <w:rsid w:val="002354DB"/>
    <w:rsid w:val="002355B0"/>
    <w:rsid w:val="00235C89"/>
    <w:rsid w:val="00236174"/>
    <w:rsid w:val="0024083E"/>
    <w:rsid w:val="00241FEC"/>
    <w:rsid w:val="00242E08"/>
    <w:rsid w:val="002455B5"/>
    <w:rsid w:val="002457F5"/>
    <w:rsid w:val="00246D4F"/>
    <w:rsid w:val="00250A53"/>
    <w:rsid w:val="00253C3A"/>
    <w:rsid w:val="00253CF4"/>
    <w:rsid w:val="00254FDF"/>
    <w:rsid w:val="002558AA"/>
    <w:rsid w:val="00257387"/>
    <w:rsid w:val="0026154A"/>
    <w:rsid w:val="00267B03"/>
    <w:rsid w:val="00267CA1"/>
    <w:rsid w:val="00270E06"/>
    <w:rsid w:val="00272014"/>
    <w:rsid w:val="0027387E"/>
    <w:rsid w:val="00273B65"/>
    <w:rsid w:val="00275651"/>
    <w:rsid w:val="00277197"/>
    <w:rsid w:val="002772B5"/>
    <w:rsid w:val="002774FB"/>
    <w:rsid w:val="00277E2E"/>
    <w:rsid w:val="002854BD"/>
    <w:rsid w:val="0028730E"/>
    <w:rsid w:val="00287A78"/>
    <w:rsid w:val="002912CA"/>
    <w:rsid w:val="00291643"/>
    <w:rsid w:val="002919DB"/>
    <w:rsid w:val="00293086"/>
    <w:rsid w:val="002A02D1"/>
    <w:rsid w:val="002A213A"/>
    <w:rsid w:val="002A2633"/>
    <w:rsid w:val="002A26E9"/>
    <w:rsid w:val="002A4A49"/>
    <w:rsid w:val="002A55B5"/>
    <w:rsid w:val="002A7A1C"/>
    <w:rsid w:val="002B0785"/>
    <w:rsid w:val="002B20D8"/>
    <w:rsid w:val="002B2993"/>
    <w:rsid w:val="002B2F6C"/>
    <w:rsid w:val="002B708C"/>
    <w:rsid w:val="002B7BCC"/>
    <w:rsid w:val="002C1404"/>
    <w:rsid w:val="002C6300"/>
    <w:rsid w:val="002D0EA4"/>
    <w:rsid w:val="002D5C08"/>
    <w:rsid w:val="002E1556"/>
    <w:rsid w:val="002E1AD8"/>
    <w:rsid w:val="002E28B0"/>
    <w:rsid w:val="002E4ED1"/>
    <w:rsid w:val="002F3CFA"/>
    <w:rsid w:val="002F70A5"/>
    <w:rsid w:val="002F733A"/>
    <w:rsid w:val="002F7AF6"/>
    <w:rsid w:val="00306E05"/>
    <w:rsid w:val="003123CA"/>
    <w:rsid w:val="003134EA"/>
    <w:rsid w:val="00313B19"/>
    <w:rsid w:val="00313BE5"/>
    <w:rsid w:val="003140BC"/>
    <w:rsid w:val="003173AB"/>
    <w:rsid w:val="0032128C"/>
    <w:rsid w:val="00322C5B"/>
    <w:rsid w:val="0032312B"/>
    <w:rsid w:val="0032508D"/>
    <w:rsid w:val="00325595"/>
    <w:rsid w:val="003260B9"/>
    <w:rsid w:val="003310FD"/>
    <w:rsid w:val="00331494"/>
    <w:rsid w:val="00332B2B"/>
    <w:rsid w:val="00340DA2"/>
    <w:rsid w:val="00340F5A"/>
    <w:rsid w:val="0034291F"/>
    <w:rsid w:val="0034713B"/>
    <w:rsid w:val="00350F3E"/>
    <w:rsid w:val="00352E37"/>
    <w:rsid w:val="00352E7B"/>
    <w:rsid w:val="00353854"/>
    <w:rsid w:val="00356B96"/>
    <w:rsid w:val="00356C56"/>
    <w:rsid w:val="0036264E"/>
    <w:rsid w:val="00366387"/>
    <w:rsid w:val="00370155"/>
    <w:rsid w:val="00371504"/>
    <w:rsid w:val="00373F9D"/>
    <w:rsid w:val="0037691C"/>
    <w:rsid w:val="00376B14"/>
    <w:rsid w:val="003826D3"/>
    <w:rsid w:val="003858A3"/>
    <w:rsid w:val="00390609"/>
    <w:rsid w:val="00390ACF"/>
    <w:rsid w:val="003930C3"/>
    <w:rsid w:val="00393427"/>
    <w:rsid w:val="00393FEF"/>
    <w:rsid w:val="00394139"/>
    <w:rsid w:val="00394AE0"/>
    <w:rsid w:val="00395B20"/>
    <w:rsid w:val="003A11C2"/>
    <w:rsid w:val="003A134B"/>
    <w:rsid w:val="003A1367"/>
    <w:rsid w:val="003A20B0"/>
    <w:rsid w:val="003A3338"/>
    <w:rsid w:val="003A752D"/>
    <w:rsid w:val="003B0795"/>
    <w:rsid w:val="003B12FB"/>
    <w:rsid w:val="003B40C6"/>
    <w:rsid w:val="003C0178"/>
    <w:rsid w:val="003C1B42"/>
    <w:rsid w:val="003C3FE1"/>
    <w:rsid w:val="003C62CB"/>
    <w:rsid w:val="003C7646"/>
    <w:rsid w:val="003D0A4B"/>
    <w:rsid w:val="003D0FCA"/>
    <w:rsid w:val="003D3122"/>
    <w:rsid w:val="003D36FD"/>
    <w:rsid w:val="003D49FC"/>
    <w:rsid w:val="003D54AC"/>
    <w:rsid w:val="003D5875"/>
    <w:rsid w:val="003D5C33"/>
    <w:rsid w:val="003E1A11"/>
    <w:rsid w:val="003E207A"/>
    <w:rsid w:val="003E3201"/>
    <w:rsid w:val="003E7CB0"/>
    <w:rsid w:val="003F52CD"/>
    <w:rsid w:val="003F5CE4"/>
    <w:rsid w:val="0040312B"/>
    <w:rsid w:val="00403F5F"/>
    <w:rsid w:val="00404BBB"/>
    <w:rsid w:val="00404E97"/>
    <w:rsid w:val="00405D1E"/>
    <w:rsid w:val="0041073A"/>
    <w:rsid w:val="004129ED"/>
    <w:rsid w:val="00413B96"/>
    <w:rsid w:val="004153D1"/>
    <w:rsid w:val="0042443A"/>
    <w:rsid w:val="00425384"/>
    <w:rsid w:val="00430F3A"/>
    <w:rsid w:val="00441196"/>
    <w:rsid w:val="00443CBC"/>
    <w:rsid w:val="00445677"/>
    <w:rsid w:val="004509B7"/>
    <w:rsid w:val="004544AD"/>
    <w:rsid w:val="00456F97"/>
    <w:rsid w:val="00457089"/>
    <w:rsid w:val="00460310"/>
    <w:rsid w:val="004618A3"/>
    <w:rsid w:val="0046389C"/>
    <w:rsid w:val="004651FB"/>
    <w:rsid w:val="00471410"/>
    <w:rsid w:val="004714CE"/>
    <w:rsid w:val="00472573"/>
    <w:rsid w:val="004744D1"/>
    <w:rsid w:val="00474A18"/>
    <w:rsid w:val="004849ED"/>
    <w:rsid w:val="004863DC"/>
    <w:rsid w:val="00486834"/>
    <w:rsid w:val="00486925"/>
    <w:rsid w:val="00487314"/>
    <w:rsid w:val="0049000A"/>
    <w:rsid w:val="00492339"/>
    <w:rsid w:val="00496389"/>
    <w:rsid w:val="00496A9E"/>
    <w:rsid w:val="004A0829"/>
    <w:rsid w:val="004A0952"/>
    <w:rsid w:val="004A18F4"/>
    <w:rsid w:val="004A3168"/>
    <w:rsid w:val="004A3C86"/>
    <w:rsid w:val="004A4A2C"/>
    <w:rsid w:val="004A58B5"/>
    <w:rsid w:val="004A5BBA"/>
    <w:rsid w:val="004A62B8"/>
    <w:rsid w:val="004A742E"/>
    <w:rsid w:val="004A7915"/>
    <w:rsid w:val="004B0B6E"/>
    <w:rsid w:val="004B0FB3"/>
    <w:rsid w:val="004B0FCE"/>
    <w:rsid w:val="004B1D55"/>
    <w:rsid w:val="004B57A6"/>
    <w:rsid w:val="004B6D23"/>
    <w:rsid w:val="004C06C0"/>
    <w:rsid w:val="004C08C6"/>
    <w:rsid w:val="004C2C33"/>
    <w:rsid w:val="004C3206"/>
    <w:rsid w:val="004D0A0E"/>
    <w:rsid w:val="004D0C4D"/>
    <w:rsid w:val="004D442B"/>
    <w:rsid w:val="004D7AAC"/>
    <w:rsid w:val="004E0A33"/>
    <w:rsid w:val="004E2BF2"/>
    <w:rsid w:val="004E3E86"/>
    <w:rsid w:val="004E41F1"/>
    <w:rsid w:val="004E5F6E"/>
    <w:rsid w:val="004E67D0"/>
    <w:rsid w:val="004E7E6A"/>
    <w:rsid w:val="004F220F"/>
    <w:rsid w:val="004F22BD"/>
    <w:rsid w:val="004F34D4"/>
    <w:rsid w:val="004F55D2"/>
    <w:rsid w:val="004F6309"/>
    <w:rsid w:val="004F7296"/>
    <w:rsid w:val="00500525"/>
    <w:rsid w:val="00501D3A"/>
    <w:rsid w:val="00502CBE"/>
    <w:rsid w:val="0051094B"/>
    <w:rsid w:val="00511F83"/>
    <w:rsid w:val="005129A3"/>
    <w:rsid w:val="00513E9E"/>
    <w:rsid w:val="005201AB"/>
    <w:rsid w:val="00520A67"/>
    <w:rsid w:val="00521787"/>
    <w:rsid w:val="005227BF"/>
    <w:rsid w:val="00523851"/>
    <w:rsid w:val="005244B2"/>
    <w:rsid w:val="00525D0C"/>
    <w:rsid w:val="00531A16"/>
    <w:rsid w:val="0053230B"/>
    <w:rsid w:val="005323E0"/>
    <w:rsid w:val="00532CFA"/>
    <w:rsid w:val="00533587"/>
    <w:rsid w:val="005346B6"/>
    <w:rsid w:val="00536DD1"/>
    <w:rsid w:val="00542C4F"/>
    <w:rsid w:val="00543CE4"/>
    <w:rsid w:val="00545C2E"/>
    <w:rsid w:val="005511B4"/>
    <w:rsid w:val="005525B5"/>
    <w:rsid w:val="00552616"/>
    <w:rsid w:val="00555026"/>
    <w:rsid w:val="0055699F"/>
    <w:rsid w:val="00557E87"/>
    <w:rsid w:val="005644FD"/>
    <w:rsid w:val="00573755"/>
    <w:rsid w:val="0058077D"/>
    <w:rsid w:val="00581319"/>
    <w:rsid w:val="00581EE7"/>
    <w:rsid w:val="00585FE7"/>
    <w:rsid w:val="00592CFD"/>
    <w:rsid w:val="00594CF8"/>
    <w:rsid w:val="00594DEA"/>
    <w:rsid w:val="00597741"/>
    <w:rsid w:val="005A0E65"/>
    <w:rsid w:val="005A1D73"/>
    <w:rsid w:val="005A28B3"/>
    <w:rsid w:val="005A56B5"/>
    <w:rsid w:val="005A6F28"/>
    <w:rsid w:val="005B1A6A"/>
    <w:rsid w:val="005B266A"/>
    <w:rsid w:val="005B2681"/>
    <w:rsid w:val="005B35FE"/>
    <w:rsid w:val="005B36AF"/>
    <w:rsid w:val="005B4907"/>
    <w:rsid w:val="005B5827"/>
    <w:rsid w:val="005B6691"/>
    <w:rsid w:val="005B76B3"/>
    <w:rsid w:val="005C0169"/>
    <w:rsid w:val="005C361B"/>
    <w:rsid w:val="005C43BC"/>
    <w:rsid w:val="005C4785"/>
    <w:rsid w:val="005C5685"/>
    <w:rsid w:val="005C7DD8"/>
    <w:rsid w:val="005D02AE"/>
    <w:rsid w:val="005D3B7F"/>
    <w:rsid w:val="005D484F"/>
    <w:rsid w:val="005D78BA"/>
    <w:rsid w:val="005E0DB5"/>
    <w:rsid w:val="005E1172"/>
    <w:rsid w:val="005E426C"/>
    <w:rsid w:val="005E4525"/>
    <w:rsid w:val="005E5C07"/>
    <w:rsid w:val="005E651B"/>
    <w:rsid w:val="005E6595"/>
    <w:rsid w:val="005E7C4C"/>
    <w:rsid w:val="005F2270"/>
    <w:rsid w:val="005F6363"/>
    <w:rsid w:val="005F6A97"/>
    <w:rsid w:val="006010B7"/>
    <w:rsid w:val="006020C0"/>
    <w:rsid w:val="00603CA2"/>
    <w:rsid w:val="00605946"/>
    <w:rsid w:val="006106BB"/>
    <w:rsid w:val="00611A03"/>
    <w:rsid w:val="00615045"/>
    <w:rsid w:val="006175E8"/>
    <w:rsid w:val="00617849"/>
    <w:rsid w:val="00620C52"/>
    <w:rsid w:val="006276CF"/>
    <w:rsid w:val="00631769"/>
    <w:rsid w:val="00632F0C"/>
    <w:rsid w:val="00634105"/>
    <w:rsid w:val="006423F0"/>
    <w:rsid w:val="00643568"/>
    <w:rsid w:val="006467E0"/>
    <w:rsid w:val="006515E3"/>
    <w:rsid w:val="00651CFD"/>
    <w:rsid w:val="00654641"/>
    <w:rsid w:val="00662E68"/>
    <w:rsid w:val="00663EA2"/>
    <w:rsid w:val="00665EDF"/>
    <w:rsid w:val="00666BFE"/>
    <w:rsid w:val="006671B4"/>
    <w:rsid w:val="00670D9B"/>
    <w:rsid w:val="006710C9"/>
    <w:rsid w:val="00671F1C"/>
    <w:rsid w:val="006721A7"/>
    <w:rsid w:val="00672648"/>
    <w:rsid w:val="00672FCF"/>
    <w:rsid w:val="006734FF"/>
    <w:rsid w:val="0067596F"/>
    <w:rsid w:val="00675FB5"/>
    <w:rsid w:val="00680908"/>
    <w:rsid w:val="006825A4"/>
    <w:rsid w:val="006832AC"/>
    <w:rsid w:val="0068676B"/>
    <w:rsid w:val="006943D3"/>
    <w:rsid w:val="006956F2"/>
    <w:rsid w:val="00695D35"/>
    <w:rsid w:val="00695DBE"/>
    <w:rsid w:val="006A3134"/>
    <w:rsid w:val="006A3C03"/>
    <w:rsid w:val="006A6B36"/>
    <w:rsid w:val="006A7708"/>
    <w:rsid w:val="006B1B9D"/>
    <w:rsid w:val="006B1C53"/>
    <w:rsid w:val="006B4D78"/>
    <w:rsid w:val="006B7E63"/>
    <w:rsid w:val="006C306E"/>
    <w:rsid w:val="006C331E"/>
    <w:rsid w:val="006C62E5"/>
    <w:rsid w:val="006C66D0"/>
    <w:rsid w:val="006D3272"/>
    <w:rsid w:val="006D3A51"/>
    <w:rsid w:val="006D58A9"/>
    <w:rsid w:val="006D76F7"/>
    <w:rsid w:val="006E0F5F"/>
    <w:rsid w:val="006E1A81"/>
    <w:rsid w:val="006E1C89"/>
    <w:rsid w:val="006E2DDE"/>
    <w:rsid w:val="006E3051"/>
    <w:rsid w:val="006F4C95"/>
    <w:rsid w:val="006F5677"/>
    <w:rsid w:val="00701AB8"/>
    <w:rsid w:val="0070328C"/>
    <w:rsid w:val="0070389C"/>
    <w:rsid w:val="00705C67"/>
    <w:rsid w:val="00713824"/>
    <w:rsid w:val="007146FC"/>
    <w:rsid w:val="0071476F"/>
    <w:rsid w:val="00716B43"/>
    <w:rsid w:val="007212B1"/>
    <w:rsid w:val="00721E9C"/>
    <w:rsid w:val="007227C1"/>
    <w:rsid w:val="00725562"/>
    <w:rsid w:val="00727D92"/>
    <w:rsid w:val="0073744A"/>
    <w:rsid w:val="00742D4E"/>
    <w:rsid w:val="0074599C"/>
    <w:rsid w:val="00752BA7"/>
    <w:rsid w:val="007535CB"/>
    <w:rsid w:val="00753C8F"/>
    <w:rsid w:val="007561ED"/>
    <w:rsid w:val="00756B6D"/>
    <w:rsid w:val="007572BA"/>
    <w:rsid w:val="00757EE7"/>
    <w:rsid w:val="00760B2D"/>
    <w:rsid w:val="00761A99"/>
    <w:rsid w:val="00764F56"/>
    <w:rsid w:val="00765CB0"/>
    <w:rsid w:val="00775BD9"/>
    <w:rsid w:val="00780966"/>
    <w:rsid w:val="00785777"/>
    <w:rsid w:val="007863F3"/>
    <w:rsid w:val="00787341"/>
    <w:rsid w:val="007912F6"/>
    <w:rsid w:val="00793C82"/>
    <w:rsid w:val="0079404E"/>
    <w:rsid w:val="007942F6"/>
    <w:rsid w:val="00794EEA"/>
    <w:rsid w:val="00795D11"/>
    <w:rsid w:val="007A244C"/>
    <w:rsid w:val="007A25E1"/>
    <w:rsid w:val="007A4B1F"/>
    <w:rsid w:val="007A7D9C"/>
    <w:rsid w:val="007B0E7E"/>
    <w:rsid w:val="007B37CA"/>
    <w:rsid w:val="007B3E62"/>
    <w:rsid w:val="007B4F63"/>
    <w:rsid w:val="007B716B"/>
    <w:rsid w:val="007B759C"/>
    <w:rsid w:val="007C45A4"/>
    <w:rsid w:val="007C4795"/>
    <w:rsid w:val="007C5D41"/>
    <w:rsid w:val="007C6DDA"/>
    <w:rsid w:val="007D1B69"/>
    <w:rsid w:val="007D3710"/>
    <w:rsid w:val="007D47E8"/>
    <w:rsid w:val="007D5B31"/>
    <w:rsid w:val="007E4A47"/>
    <w:rsid w:val="007E7DB4"/>
    <w:rsid w:val="007F107B"/>
    <w:rsid w:val="007F3294"/>
    <w:rsid w:val="007F35C2"/>
    <w:rsid w:val="007F3DCB"/>
    <w:rsid w:val="007F481E"/>
    <w:rsid w:val="007F5FB7"/>
    <w:rsid w:val="007F79D0"/>
    <w:rsid w:val="008006BD"/>
    <w:rsid w:val="00800DA8"/>
    <w:rsid w:val="00804617"/>
    <w:rsid w:val="0080619E"/>
    <w:rsid w:val="008064B3"/>
    <w:rsid w:val="00806C37"/>
    <w:rsid w:val="00806D63"/>
    <w:rsid w:val="008073CE"/>
    <w:rsid w:val="008106BB"/>
    <w:rsid w:val="008126E2"/>
    <w:rsid w:val="00815D64"/>
    <w:rsid w:val="00820A89"/>
    <w:rsid w:val="008224E4"/>
    <w:rsid w:val="00823C1A"/>
    <w:rsid w:val="00825B74"/>
    <w:rsid w:val="00825C0C"/>
    <w:rsid w:val="00827D03"/>
    <w:rsid w:val="008340AA"/>
    <w:rsid w:val="008408B7"/>
    <w:rsid w:val="00841A0D"/>
    <w:rsid w:val="008447E9"/>
    <w:rsid w:val="00845753"/>
    <w:rsid w:val="0084754D"/>
    <w:rsid w:val="00853F81"/>
    <w:rsid w:val="00856A58"/>
    <w:rsid w:val="00856FD6"/>
    <w:rsid w:val="00857C47"/>
    <w:rsid w:val="008606AB"/>
    <w:rsid w:val="00860C4A"/>
    <w:rsid w:val="008613CD"/>
    <w:rsid w:val="008639CA"/>
    <w:rsid w:val="008642ED"/>
    <w:rsid w:val="00864ECA"/>
    <w:rsid w:val="00864F98"/>
    <w:rsid w:val="008703CB"/>
    <w:rsid w:val="00871AC0"/>
    <w:rsid w:val="008726D2"/>
    <w:rsid w:val="00873664"/>
    <w:rsid w:val="008743B0"/>
    <w:rsid w:val="00876AB5"/>
    <w:rsid w:val="00876FEE"/>
    <w:rsid w:val="00877D06"/>
    <w:rsid w:val="00881740"/>
    <w:rsid w:val="00882C01"/>
    <w:rsid w:val="0088515A"/>
    <w:rsid w:val="00885AC5"/>
    <w:rsid w:val="00887164"/>
    <w:rsid w:val="00891AE6"/>
    <w:rsid w:val="00892D51"/>
    <w:rsid w:val="00892FC4"/>
    <w:rsid w:val="008A113C"/>
    <w:rsid w:val="008A1C9E"/>
    <w:rsid w:val="008A1F8B"/>
    <w:rsid w:val="008A379C"/>
    <w:rsid w:val="008A4CE3"/>
    <w:rsid w:val="008A6B9E"/>
    <w:rsid w:val="008A789A"/>
    <w:rsid w:val="008A7B63"/>
    <w:rsid w:val="008B015F"/>
    <w:rsid w:val="008B419B"/>
    <w:rsid w:val="008B66B5"/>
    <w:rsid w:val="008B71AE"/>
    <w:rsid w:val="008C3E6A"/>
    <w:rsid w:val="008C599A"/>
    <w:rsid w:val="008D0BBC"/>
    <w:rsid w:val="008D0DA3"/>
    <w:rsid w:val="008D220D"/>
    <w:rsid w:val="008D318E"/>
    <w:rsid w:val="008D6AE8"/>
    <w:rsid w:val="008D71E9"/>
    <w:rsid w:val="008D73D0"/>
    <w:rsid w:val="008E0228"/>
    <w:rsid w:val="008E4C2C"/>
    <w:rsid w:val="008E7892"/>
    <w:rsid w:val="008F0781"/>
    <w:rsid w:val="008F2676"/>
    <w:rsid w:val="008F4F1F"/>
    <w:rsid w:val="008F5F56"/>
    <w:rsid w:val="008F6903"/>
    <w:rsid w:val="00902794"/>
    <w:rsid w:val="009027E3"/>
    <w:rsid w:val="00902E47"/>
    <w:rsid w:val="009046C7"/>
    <w:rsid w:val="00907148"/>
    <w:rsid w:val="00911DED"/>
    <w:rsid w:val="00912473"/>
    <w:rsid w:val="009126FD"/>
    <w:rsid w:val="00915138"/>
    <w:rsid w:val="00922520"/>
    <w:rsid w:val="0092318D"/>
    <w:rsid w:val="00924970"/>
    <w:rsid w:val="00926593"/>
    <w:rsid w:val="0093286E"/>
    <w:rsid w:val="00933E3B"/>
    <w:rsid w:val="009361B2"/>
    <w:rsid w:val="009365C9"/>
    <w:rsid w:val="0094124B"/>
    <w:rsid w:val="009419C5"/>
    <w:rsid w:val="00944345"/>
    <w:rsid w:val="00954121"/>
    <w:rsid w:val="00954FB2"/>
    <w:rsid w:val="00956CFD"/>
    <w:rsid w:val="009614D5"/>
    <w:rsid w:val="00962EA7"/>
    <w:rsid w:val="00965CF0"/>
    <w:rsid w:val="009757A9"/>
    <w:rsid w:val="0097685A"/>
    <w:rsid w:val="00977842"/>
    <w:rsid w:val="009816D6"/>
    <w:rsid w:val="00982018"/>
    <w:rsid w:val="00983339"/>
    <w:rsid w:val="00984383"/>
    <w:rsid w:val="00984AB4"/>
    <w:rsid w:val="0098747C"/>
    <w:rsid w:val="00993058"/>
    <w:rsid w:val="00993F77"/>
    <w:rsid w:val="0099479E"/>
    <w:rsid w:val="009A1346"/>
    <w:rsid w:val="009A1465"/>
    <w:rsid w:val="009A4AFC"/>
    <w:rsid w:val="009A4E43"/>
    <w:rsid w:val="009B143E"/>
    <w:rsid w:val="009B1F6C"/>
    <w:rsid w:val="009B7607"/>
    <w:rsid w:val="009C0143"/>
    <w:rsid w:val="009C034B"/>
    <w:rsid w:val="009C194B"/>
    <w:rsid w:val="009C1A54"/>
    <w:rsid w:val="009C1BC1"/>
    <w:rsid w:val="009C7B8C"/>
    <w:rsid w:val="009D0A6F"/>
    <w:rsid w:val="009D1C49"/>
    <w:rsid w:val="009D2AA7"/>
    <w:rsid w:val="009D43F3"/>
    <w:rsid w:val="009D4A12"/>
    <w:rsid w:val="009D56BD"/>
    <w:rsid w:val="009D76DE"/>
    <w:rsid w:val="009E1FA8"/>
    <w:rsid w:val="009E306F"/>
    <w:rsid w:val="009E3E80"/>
    <w:rsid w:val="009E4370"/>
    <w:rsid w:val="009E565F"/>
    <w:rsid w:val="009E5FB3"/>
    <w:rsid w:val="009F39F6"/>
    <w:rsid w:val="009F423C"/>
    <w:rsid w:val="009F4407"/>
    <w:rsid w:val="009F7C59"/>
    <w:rsid w:val="00A02195"/>
    <w:rsid w:val="00A0227E"/>
    <w:rsid w:val="00A0556C"/>
    <w:rsid w:val="00A05AB5"/>
    <w:rsid w:val="00A12978"/>
    <w:rsid w:val="00A16CBB"/>
    <w:rsid w:val="00A17193"/>
    <w:rsid w:val="00A174CD"/>
    <w:rsid w:val="00A17EAD"/>
    <w:rsid w:val="00A215ED"/>
    <w:rsid w:val="00A24AB4"/>
    <w:rsid w:val="00A255AF"/>
    <w:rsid w:val="00A26F9F"/>
    <w:rsid w:val="00A31C3A"/>
    <w:rsid w:val="00A32013"/>
    <w:rsid w:val="00A32EDF"/>
    <w:rsid w:val="00A3462E"/>
    <w:rsid w:val="00A35BD7"/>
    <w:rsid w:val="00A37C45"/>
    <w:rsid w:val="00A42FD7"/>
    <w:rsid w:val="00A45948"/>
    <w:rsid w:val="00A4606C"/>
    <w:rsid w:val="00A471E8"/>
    <w:rsid w:val="00A47B28"/>
    <w:rsid w:val="00A509DA"/>
    <w:rsid w:val="00A536F4"/>
    <w:rsid w:val="00A5559A"/>
    <w:rsid w:val="00A621C9"/>
    <w:rsid w:val="00A622C1"/>
    <w:rsid w:val="00A631CD"/>
    <w:rsid w:val="00A633F6"/>
    <w:rsid w:val="00A653D8"/>
    <w:rsid w:val="00A71D9B"/>
    <w:rsid w:val="00A71F37"/>
    <w:rsid w:val="00A72505"/>
    <w:rsid w:val="00A755DF"/>
    <w:rsid w:val="00A7672B"/>
    <w:rsid w:val="00A76A8F"/>
    <w:rsid w:val="00A804B8"/>
    <w:rsid w:val="00A80AD8"/>
    <w:rsid w:val="00A82F75"/>
    <w:rsid w:val="00A843E1"/>
    <w:rsid w:val="00A87543"/>
    <w:rsid w:val="00A87C4E"/>
    <w:rsid w:val="00A90BF1"/>
    <w:rsid w:val="00A92258"/>
    <w:rsid w:val="00A9249A"/>
    <w:rsid w:val="00A92AB0"/>
    <w:rsid w:val="00A93038"/>
    <w:rsid w:val="00A930F4"/>
    <w:rsid w:val="00A945D1"/>
    <w:rsid w:val="00A94BCA"/>
    <w:rsid w:val="00A95CB6"/>
    <w:rsid w:val="00AA36DC"/>
    <w:rsid w:val="00AA5B9A"/>
    <w:rsid w:val="00AB1539"/>
    <w:rsid w:val="00AB31A2"/>
    <w:rsid w:val="00AC150B"/>
    <w:rsid w:val="00AC2834"/>
    <w:rsid w:val="00AC2CFC"/>
    <w:rsid w:val="00AC41A4"/>
    <w:rsid w:val="00AD193C"/>
    <w:rsid w:val="00AD3DCE"/>
    <w:rsid w:val="00AD49B8"/>
    <w:rsid w:val="00AE514C"/>
    <w:rsid w:val="00AE6902"/>
    <w:rsid w:val="00AF03AE"/>
    <w:rsid w:val="00AF352D"/>
    <w:rsid w:val="00AF467F"/>
    <w:rsid w:val="00B02F7E"/>
    <w:rsid w:val="00B03935"/>
    <w:rsid w:val="00B047CC"/>
    <w:rsid w:val="00B0524B"/>
    <w:rsid w:val="00B068B0"/>
    <w:rsid w:val="00B0694A"/>
    <w:rsid w:val="00B103CE"/>
    <w:rsid w:val="00B14691"/>
    <w:rsid w:val="00B14961"/>
    <w:rsid w:val="00B16370"/>
    <w:rsid w:val="00B165EB"/>
    <w:rsid w:val="00B2221A"/>
    <w:rsid w:val="00B23CA0"/>
    <w:rsid w:val="00B23CE1"/>
    <w:rsid w:val="00B24621"/>
    <w:rsid w:val="00B31A1C"/>
    <w:rsid w:val="00B33E68"/>
    <w:rsid w:val="00B34102"/>
    <w:rsid w:val="00B408D0"/>
    <w:rsid w:val="00B43AD7"/>
    <w:rsid w:val="00B512EE"/>
    <w:rsid w:val="00B522B0"/>
    <w:rsid w:val="00B52679"/>
    <w:rsid w:val="00B53886"/>
    <w:rsid w:val="00B552DF"/>
    <w:rsid w:val="00B55481"/>
    <w:rsid w:val="00B55900"/>
    <w:rsid w:val="00B567BA"/>
    <w:rsid w:val="00B568CE"/>
    <w:rsid w:val="00B61464"/>
    <w:rsid w:val="00B629DF"/>
    <w:rsid w:val="00B676B3"/>
    <w:rsid w:val="00B706B1"/>
    <w:rsid w:val="00B707B2"/>
    <w:rsid w:val="00B713A8"/>
    <w:rsid w:val="00B71605"/>
    <w:rsid w:val="00B722D0"/>
    <w:rsid w:val="00B74EFE"/>
    <w:rsid w:val="00B76288"/>
    <w:rsid w:val="00B76736"/>
    <w:rsid w:val="00B769F2"/>
    <w:rsid w:val="00B76B25"/>
    <w:rsid w:val="00B77A65"/>
    <w:rsid w:val="00B77DC7"/>
    <w:rsid w:val="00B805CD"/>
    <w:rsid w:val="00B84747"/>
    <w:rsid w:val="00B85488"/>
    <w:rsid w:val="00B87F06"/>
    <w:rsid w:val="00B94263"/>
    <w:rsid w:val="00B95A0E"/>
    <w:rsid w:val="00B96223"/>
    <w:rsid w:val="00B973FA"/>
    <w:rsid w:val="00B97738"/>
    <w:rsid w:val="00BA33C3"/>
    <w:rsid w:val="00BA3968"/>
    <w:rsid w:val="00BA4C67"/>
    <w:rsid w:val="00BA5732"/>
    <w:rsid w:val="00BA59D8"/>
    <w:rsid w:val="00BA6256"/>
    <w:rsid w:val="00BB0B3D"/>
    <w:rsid w:val="00BB37C8"/>
    <w:rsid w:val="00BB44B3"/>
    <w:rsid w:val="00BB704D"/>
    <w:rsid w:val="00BC186D"/>
    <w:rsid w:val="00BC1F18"/>
    <w:rsid w:val="00BC2C89"/>
    <w:rsid w:val="00BC3FB7"/>
    <w:rsid w:val="00BC4C4D"/>
    <w:rsid w:val="00BD248A"/>
    <w:rsid w:val="00BD294B"/>
    <w:rsid w:val="00BD3A95"/>
    <w:rsid w:val="00BD5A42"/>
    <w:rsid w:val="00BD7206"/>
    <w:rsid w:val="00BD7550"/>
    <w:rsid w:val="00BE15A1"/>
    <w:rsid w:val="00BE42E0"/>
    <w:rsid w:val="00BF3C9E"/>
    <w:rsid w:val="00BF4A7F"/>
    <w:rsid w:val="00BF4BAF"/>
    <w:rsid w:val="00BF4E0B"/>
    <w:rsid w:val="00BF51AD"/>
    <w:rsid w:val="00BF6AF4"/>
    <w:rsid w:val="00C02E9F"/>
    <w:rsid w:val="00C0682E"/>
    <w:rsid w:val="00C0725A"/>
    <w:rsid w:val="00C14DC2"/>
    <w:rsid w:val="00C15008"/>
    <w:rsid w:val="00C1741B"/>
    <w:rsid w:val="00C21475"/>
    <w:rsid w:val="00C21A7E"/>
    <w:rsid w:val="00C23912"/>
    <w:rsid w:val="00C248D1"/>
    <w:rsid w:val="00C24966"/>
    <w:rsid w:val="00C277ED"/>
    <w:rsid w:val="00C305C3"/>
    <w:rsid w:val="00C3314A"/>
    <w:rsid w:val="00C3526F"/>
    <w:rsid w:val="00C35993"/>
    <w:rsid w:val="00C36191"/>
    <w:rsid w:val="00C3709E"/>
    <w:rsid w:val="00C40750"/>
    <w:rsid w:val="00C40F35"/>
    <w:rsid w:val="00C411C4"/>
    <w:rsid w:val="00C41FA3"/>
    <w:rsid w:val="00C43700"/>
    <w:rsid w:val="00C4421F"/>
    <w:rsid w:val="00C51633"/>
    <w:rsid w:val="00C524CB"/>
    <w:rsid w:val="00C532CF"/>
    <w:rsid w:val="00C53869"/>
    <w:rsid w:val="00C54B92"/>
    <w:rsid w:val="00C568CA"/>
    <w:rsid w:val="00C56923"/>
    <w:rsid w:val="00C638C7"/>
    <w:rsid w:val="00C65626"/>
    <w:rsid w:val="00C700F4"/>
    <w:rsid w:val="00C703A9"/>
    <w:rsid w:val="00C737CB"/>
    <w:rsid w:val="00C748ED"/>
    <w:rsid w:val="00C764F0"/>
    <w:rsid w:val="00C86A07"/>
    <w:rsid w:val="00C90166"/>
    <w:rsid w:val="00C90191"/>
    <w:rsid w:val="00C916C9"/>
    <w:rsid w:val="00C928D9"/>
    <w:rsid w:val="00C92D40"/>
    <w:rsid w:val="00C94470"/>
    <w:rsid w:val="00C969DD"/>
    <w:rsid w:val="00CA074B"/>
    <w:rsid w:val="00CA3BBF"/>
    <w:rsid w:val="00CA794A"/>
    <w:rsid w:val="00CB0899"/>
    <w:rsid w:val="00CB3224"/>
    <w:rsid w:val="00CB3237"/>
    <w:rsid w:val="00CB44DC"/>
    <w:rsid w:val="00CB60D9"/>
    <w:rsid w:val="00CC1463"/>
    <w:rsid w:val="00CC212C"/>
    <w:rsid w:val="00CC27AA"/>
    <w:rsid w:val="00CD444E"/>
    <w:rsid w:val="00CD4798"/>
    <w:rsid w:val="00CD68A2"/>
    <w:rsid w:val="00CE002E"/>
    <w:rsid w:val="00CE243D"/>
    <w:rsid w:val="00CE373B"/>
    <w:rsid w:val="00CE4B78"/>
    <w:rsid w:val="00CE5334"/>
    <w:rsid w:val="00CF0557"/>
    <w:rsid w:val="00CF16D4"/>
    <w:rsid w:val="00CF4B75"/>
    <w:rsid w:val="00CF5BBA"/>
    <w:rsid w:val="00CF6DD4"/>
    <w:rsid w:val="00CF7F64"/>
    <w:rsid w:val="00D00F1D"/>
    <w:rsid w:val="00D02186"/>
    <w:rsid w:val="00D05431"/>
    <w:rsid w:val="00D06E45"/>
    <w:rsid w:val="00D07442"/>
    <w:rsid w:val="00D0762F"/>
    <w:rsid w:val="00D07858"/>
    <w:rsid w:val="00D136A0"/>
    <w:rsid w:val="00D159DE"/>
    <w:rsid w:val="00D20F89"/>
    <w:rsid w:val="00D245C0"/>
    <w:rsid w:val="00D248FD"/>
    <w:rsid w:val="00D26C81"/>
    <w:rsid w:val="00D34497"/>
    <w:rsid w:val="00D36D1A"/>
    <w:rsid w:val="00D406FD"/>
    <w:rsid w:val="00D42000"/>
    <w:rsid w:val="00D43444"/>
    <w:rsid w:val="00D446B3"/>
    <w:rsid w:val="00D449C1"/>
    <w:rsid w:val="00D4597F"/>
    <w:rsid w:val="00D4645E"/>
    <w:rsid w:val="00D46663"/>
    <w:rsid w:val="00D46E79"/>
    <w:rsid w:val="00D50422"/>
    <w:rsid w:val="00D508C3"/>
    <w:rsid w:val="00D5746A"/>
    <w:rsid w:val="00D57EAD"/>
    <w:rsid w:val="00D60958"/>
    <w:rsid w:val="00D6205F"/>
    <w:rsid w:val="00D62B9C"/>
    <w:rsid w:val="00D64D68"/>
    <w:rsid w:val="00D656A5"/>
    <w:rsid w:val="00D70DE3"/>
    <w:rsid w:val="00D72CD9"/>
    <w:rsid w:val="00D734E2"/>
    <w:rsid w:val="00D740B8"/>
    <w:rsid w:val="00D75EF0"/>
    <w:rsid w:val="00D76809"/>
    <w:rsid w:val="00D76A23"/>
    <w:rsid w:val="00D81FA1"/>
    <w:rsid w:val="00D825DD"/>
    <w:rsid w:val="00D82B99"/>
    <w:rsid w:val="00D85DC0"/>
    <w:rsid w:val="00D873C1"/>
    <w:rsid w:val="00D87B9A"/>
    <w:rsid w:val="00D91B18"/>
    <w:rsid w:val="00D9508C"/>
    <w:rsid w:val="00DA0E14"/>
    <w:rsid w:val="00DA1090"/>
    <w:rsid w:val="00DA24A2"/>
    <w:rsid w:val="00DA2994"/>
    <w:rsid w:val="00DA47E2"/>
    <w:rsid w:val="00DA682F"/>
    <w:rsid w:val="00DB1204"/>
    <w:rsid w:val="00DB2BE1"/>
    <w:rsid w:val="00DB2F85"/>
    <w:rsid w:val="00DB3127"/>
    <w:rsid w:val="00DB51FA"/>
    <w:rsid w:val="00DB5E7D"/>
    <w:rsid w:val="00DC05DC"/>
    <w:rsid w:val="00DC2A2F"/>
    <w:rsid w:val="00DC4922"/>
    <w:rsid w:val="00DC553D"/>
    <w:rsid w:val="00DC6142"/>
    <w:rsid w:val="00DC65A9"/>
    <w:rsid w:val="00DD0AAA"/>
    <w:rsid w:val="00DD1D82"/>
    <w:rsid w:val="00DD4484"/>
    <w:rsid w:val="00DD6EDE"/>
    <w:rsid w:val="00DE041D"/>
    <w:rsid w:val="00DE0873"/>
    <w:rsid w:val="00DE0901"/>
    <w:rsid w:val="00DE306F"/>
    <w:rsid w:val="00DE3384"/>
    <w:rsid w:val="00DE3C24"/>
    <w:rsid w:val="00DE4617"/>
    <w:rsid w:val="00DE46B0"/>
    <w:rsid w:val="00DE7959"/>
    <w:rsid w:val="00DF2FC9"/>
    <w:rsid w:val="00E03FA1"/>
    <w:rsid w:val="00E040E7"/>
    <w:rsid w:val="00E0700E"/>
    <w:rsid w:val="00E114F3"/>
    <w:rsid w:val="00E12E35"/>
    <w:rsid w:val="00E13370"/>
    <w:rsid w:val="00E14EBE"/>
    <w:rsid w:val="00E21BC2"/>
    <w:rsid w:val="00E232A6"/>
    <w:rsid w:val="00E25C0C"/>
    <w:rsid w:val="00E2624F"/>
    <w:rsid w:val="00E262F3"/>
    <w:rsid w:val="00E2736B"/>
    <w:rsid w:val="00E33540"/>
    <w:rsid w:val="00E339D0"/>
    <w:rsid w:val="00E34291"/>
    <w:rsid w:val="00E34E64"/>
    <w:rsid w:val="00E35426"/>
    <w:rsid w:val="00E373CF"/>
    <w:rsid w:val="00E418BA"/>
    <w:rsid w:val="00E420AD"/>
    <w:rsid w:val="00E44051"/>
    <w:rsid w:val="00E46BA5"/>
    <w:rsid w:val="00E472D4"/>
    <w:rsid w:val="00E47A0A"/>
    <w:rsid w:val="00E5460F"/>
    <w:rsid w:val="00E55040"/>
    <w:rsid w:val="00E57987"/>
    <w:rsid w:val="00E619E8"/>
    <w:rsid w:val="00E72306"/>
    <w:rsid w:val="00E7399B"/>
    <w:rsid w:val="00E739E8"/>
    <w:rsid w:val="00E74500"/>
    <w:rsid w:val="00E76AA5"/>
    <w:rsid w:val="00E810A4"/>
    <w:rsid w:val="00E8156F"/>
    <w:rsid w:val="00E83C2F"/>
    <w:rsid w:val="00E84823"/>
    <w:rsid w:val="00E86D65"/>
    <w:rsid w:val="00E930D2"/>
    <w:rsid w:val="00E93EC2"/>
    <w:rsid w:val="00E971EC"/>
    <w:rsid w:val="00EA0BF8"/>
    <w:rsid w:val="00EA10B1"/>
    <w:rsid w:val="00EA4672"/>
    <w:rsid w:val="00EB181C"/>
    <w:rsid w:val="00EB334E"/>
    <w:rsid w:val="00EB4637"/>
    <w:rsid w:val="00EB5A36"/>
    <w:rsid w:val="00EB5B9E"/>
    <w:rsid w:val="00EC0B2D"/>
    <w:rsid w:val="00EC1398"/>
    <w:rsid w:val="00EC31D7"/>
    <w:rsid w:val="00EC38AF"/>
    <w:rsid w:val="00EC4ABE"/>
    <w:rsid w:val="00EC5126"/>
    <w:rsid w:val="00EC5CB0"/>
    <w:rsid w:val="00EC6260"/>
    <w:rsid w:val="00EC671B"/>
    <w:rsid w:val="00ED1CAA"/>
    <w:rsid w:val="00ED316E"/>
    <w:rsid w:val="00ED4E93"/>
    <w:rsid w:val="00EE0982"/>
    <w:rsid w:val="00EE2C55"/>
    <w:rsid w:val="00EE41EC"/>
    <w:rsid w:val="00EE72D7"/>
    <w:rsid w:val="00EE7608"/>
    <w:rsid w:val="00EF02B2"/>
    <w:rsid w:val="00EF0863"/>
    <w:rsid w:val="00EF0D3A"/>
    <w:rsid w:val="00EF3173"/>
    <w:rsid w:val="00EF3514"/>
    <w:rsid w:val="00EF5E19"/>
    <w:rsid w:val="00F0085B"/>
    <w:rsid w:val="00F03DD7"/>
    <w:rsid w:val="00F0497A"/>
    <w:rsid w:val="00F04F6C"/>
    <w:rsid w:val="00F050C0"/>
    <w:rsid w:val="00F05C8E"/>
    <w:rsid w:val="00F07D3B"/>
    <w:rsid w:val="00F109EB"/>
    <w:rsid w:val="00F1153B"/>
    <w:rsid w:val="00F12D64"/>
    <w:rsid w:val="00F13925"/>
    <w:rsid w:val="00F15314"/>
    <w:rsid w:val="00F1667E"/>
    <w:rsid w:val="00F17ACE"/>
    <w:rsid w:val="00F17DB8"/>
    <w:rsid w:val="00F2302E"/>
    <w:rsid w:val="00F26A2D"/>
    <w:rsid w:val="00F27A79"/>
    <w:rsid w:val="00F30D08"/>
    <w:rsid w:val="00F32954"/>
    <w:rsid w:val="00F350A5"/>
    <w:rsid w:val="00F360F5"/>
    <w:rsid w:val="00F40946"/>
    <w:rsid w:val="00F41086"/>
    <w:rsid w:val="00F42D1D"/>
    <w:rsid w:val="00F44691"/>
    <w:rsid w:val="00F45561"/>
    <w:rsid w:val="00F45FA0"/>
    <w:rsid w:val="00F46777"/>
    <w:rsid w:val="00F47073"/>
    <w:rsid w:val="00F471EF"/>
    <w:rsid w:val="00F50AB4"/>
    <w:rsid w:val="00F50C98"/>
    <w:rsid w:val="00F5221D"/>
    <w:rsid w:val="00F5545D"/>
    <w:rsid w:val="00F60E58"/>
    <w:rsid w:val="00F62A66"/>
    <w:rsid w:val="00F63909"/>
    <w:rsid w:val="00F6491B"/>
    <w:rsid w:val="00F65F2F"/>
    <w:rsid w:val="00F66BE7"/>
    <w:rsid w:val="00F71C94"/>
    <w:rsid w:val="00F72D18"/>
    <w:rsid w:val="00F733E0"/>
    <w:rsid w:val="00F73806"/>
    <w:rsid w:val="00F73C0B"/>
    <w:rsid w:val="00F75FDA"/>
    <w:rsid w:val="00F77220"/>
    <w:rsid w:val="00F778C9"/>
    <w:rsid w:val="00F828EB"/>
    <w:rsid w:val="00F83B83"/>
    <w:rsid w:val="00F856E9"/>
    <w:rsid w:val="00F91EBC"/>
    <w:rsid w:val="00F92C8D"/>
    <w:rsid w:val="00F9691B"/>
    <w:rsid w:val="00F96CC1"/>
    <w:rsid w:val="00FA3008"/>
    <w:rsid w:val="00FA5FE3"/>
    <w:rsid w:val="00FA6077"/>
    <w:rsid w:val="00FA77E7"/>
    <w:rsid w:val="00FB2C55"/>
    <w:rsid w:val="00FB3621"/>
    <w:rsid w:val="00FB3A31"/>
    <w:rsid w:val="00FB52A2"/>
    <w:rsid w:val="00FB63B4"/>
    <w:rsid w:val="00FC09A0"/>
    <w:rsid w:val="00FC325D"/>
    <w:rsid w:val="00FC339E"/>
    <w:rsid w:val="00FC35EA"/>
    <w:rsid w:val="00FC4327"/>
    <w:rsid w:val="00FC49FB"/>
    <w:rsid w:val="00FD049F"/>
    <w:rsid w:val="00FE1673"/>
    <w:rsid w:val="00FE27A4"/>
    <w:rsid w:val="00FE2ACA"/>
    <w:rsid w:val="00FE2C3C"/>
    <w:rsid w:val="00FE315B"/>
    <w:rsid w:val="00FE7EA3"/>
    <w:rsid w:val="00FF0746"/>
    <w:rsid w:val="00FF2660"/>
    <w:rsid w:val="00FF383E"/>
    <w:rsid w:val="00FF43F5"/>
    <w:rsid w:val="00FF6026"/>
    <w:rsid w:val="040168D1"/>
    <w:rsid w:val="09B4687D"/>
    <w:rsid w:val="0FB33569"/>
    <w:rsid w:val="1099E001"/>
    <w:rsid w:val="11B3E1E0"/>
    <w:rsid w:val="170A9DD2"/>
    <w:rsid w:val="18D05918"/>
    <w:rsid w:val="1905675E"/>
    <w:rsid w:val="190B926E"/>
    <w:rsid w:val="19434C61"/>
    <w:rsid w:val="1958ACBD"/>
    <w:rsid w:val="1B530A6C"/>
    <w:rsid w:val="1FBEEBC9"/>
    <w:rsid w:val="20353CAB"/>
    <w:rsid w:val="225DAA7E"/>
    <w:rsid w:val="23494677"/>
    <w:rsid w:val="250ACB92"/>
    <w:rsid w:val="288727C2"/>
    <w:rsid w:val="288A6108"/>
    <w:rsid w:val="28D78DA6"/>
    <w:rsid w:val="2A1FD4BE"/>
    <w:rsid w:val="2F7BCE35"/>
    <w:rsid w:val="3420AE3F"/>
    <w:rsid w:val="36E7BB56"/>
    <w:rsid w:val="3C0DD26A"/>
    <w:rsid w:val="3F0EE72D"/>
    <w:rsid w:val="4216D795"/>
    <w:rsid w:val="4495982A"/>
    <w:rsid w:val="44B77564"/>
    <w:rsid w:val="45ADF715"/>
    <w:rsid w:val="45C20331"/>
    <w:rsid w:val="4C1BA502"/>
    <w:rsid w:val="4FC59EDC"/>
    <w:rsid w:val="503DE061"/>
    <w:rsid w:val="512B8816"/>
    <w:rsid w:val="527FA7DA"/>
    <w:rsid w:val="528FE949"/>
    <w:rsid w:val="530BB453"/>
    <w:rsid w:val="54A2C95F"/>
    <w:rsid w:val="57106895"/>
    <w:rsid w:val="5937C0E4"/>
    <w:rsid w:val="594088A9"/>
    <w:rsid w:val="5C451C5F"/>
    <w:rsid w:val="5E245202"/>
    <w:rsid w:val="5FA26A9F"/>
    <w:rsid w:val="60BDE520"/>
    <w:rsid w:val="633686B6"/>
    <w:rsid w:val="695413D3"/>
    <w:rsid w:val="712C0A6D"/>
    <w:rsid w:val="71E6E887"/>
    <w:rsid w:val="73C7185F"/>
    <w:rsid w:val="75FC7447"/>
    <w:rsid w:val="770D5D1D"/>
    <w:rsid w:val="7948EFE4"/>
    <w:rsid w:val="795C0AA5"/>
    <w:rsid w:val="7B5AC040"/>
    <w:rsid w:val="7D25AB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0779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4F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level2">
    <w:name w:val="Title level 2"/>
    <w:qFormat/>
    <w:rsid w:val="00E114F3"/>
    <w:pPr>
      <w:spacing w:before="240" w:after="240" w:line="240" w:lineRule="auto"/>
    </w:pPr>
    <w:rPr>
      <w:rFonts w:asciiTheme="majorHAnsi" w:eastAsiaTheme="majorEastAsia" w:hAnsiTheme="majorHAnsi" w:cstheme="majorBidi"/>
      <w:bCs/>
      <w:color w:val="44546A" w:themeColor="text2"/>
      <w:sz w:val="32"/>
      <w:szCs w:val="24"/>
    </w:rPr>
  </w:style>
  <w:style w:type="paragraph" w:styleId="FootnoteText">
    <w:name w:val="footnote text"/>
    <w:basedOn w:val="Normal"/>
    <w:link w:val="FootnoteTextChar"/>
    <w:autoRedefine/>
    <w:qFormat/>
    <w:rsid w:val="003D3122"/>
    <w:pPr>
      <w:spacing w:before="80" w:line="200" w:lineRule="exact"/>
      <w:ind w:left="567" w:hanging="567"/>
      <w:jc w:val="both"/>
    </w:pPr>
    <w:rPr>
      <w:sz w:val="18"/>
      <w:szCs w:val="18"/>
    </w:rPr>
  </w:style>
  <w:style w:type="character" w:customStyle="1" w:styleId="FootnoteTextChar">
    <w:name w:val="Footnote Text Char"/>
    <w:basedOn w:val="DefaultParagraphFont"/>
    <w:link w:val="FootnoteText"/>
    <w:rsid w:val="003D3122"/>
    <w:rPr>
      <w:rFonts w:eastAsiaTheme="minorEastAsia"/>
      <w:sz w:val="18"/>
      <w:szCs w:val="18"/>
      <w:lang w:val="lt-LT"/>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basedOn w:val="DefaultParagraphFont"/>
    <w:uiPriority w:val="99"/>
    <w:qFormat/>
    <w:rsid w:val="00E114F3"/>
    <w:rPr>
      <w:rFonts w:asciiTheme="minorHAnsi" w:hAnsiTheme="minorHAnsi"/>
      <w:sz w:val="22"/>
      <w:szCs w:val="18"/>
      <w:vertAlign w:val="superscript"/>
    </w:rPr>
  </w:style>
  <w:style w:type="character" w:styleId="Hyperlink">
    <w:name w:val="Hyperlink"/>
    <w:basedOn w:val="DefaultParagraphFont"/>
    <w:uiPriority w:val="99"/>
    <w:rsid w:val="00E114F3"/>
    <w:rPr>
      <w:color w:val="0563C1" w:themeColor="hyperlink"/>
      <w:u w:val="single"/>
    </w:rPr>
  </w:style>
  <w:style w:type="paragraph" w:customStyle="1" w:styleId="Annexetitre">
    <w:name w:val="Annexe titre"/>
    <w:basedOn w:val="Normal"/>
    <w:next w:val="Normal"/>
    <w:rsid w:val="00E114F3"/>
    <w:pPr>
      <w:spacing w:before="120" w:after="120"/>
      <w:jc w:val="center"/>
    </w:pPr>
    <w:rPr>
      <w:rFonts w:ascii="Times New Roman" w:eastAsia="Times New Roman" w:hAnsi="Times New Roman" w:cs="Times New Roman"/>
      <w:b/>
      <w:sz w:val="24"/>
      <w:u w:val="single"/>
    </w:rPr>
  </w:style>
  <w:style w:type="paragraph" w:customStyle="1" w:styleId="Applicationdirecte">
    <w:name w:val="Application directe"/>
    <w:basedOn w:val="Normal"/>
    <w:next w:val="Normal"/>
    <w:rsid w:val="00E114F3"/>
    <w:pPr>
      <w:spacing w:before="480" w:after="120"/>
      <w:jc w:val="both"/>
    </w:pPr>
    <w:rPr>
      <w:rFonts w:ascii="Times New Roman" w:eastAsia="Times New Roman" w:hAnsi="Times New Roman" w:cs="Times New Roman"/>
      <w:sz w:val="24"/>
    </w:rPr>
  </w:style>
  <w:style w:type="paragraph" w:styleId="ListParagraph">
    <w:name w:val="List Paragraph"/>
    <w:basedOn w:val="Normal"/>
    <w:uiPriority w:val="34"/>
    <w:qFormat/>
    <w:rsid w:val="00E114F3"/>
    <w:pPr>
      <w:ind w:left="720"/>
    </w:pPr>
    <w:rPr>
      <w:rFonts w:ascii="Calibri" w:eastAsia="Calibri" w:hAnsi="Calibri" w:cs="Times New Roman"/>
      <w:szCs w:val="22"/>
    </w:rPr>
  </w:style>
  <w:style w:type="paragraph" w:customStyle="1" w:styleId="TableMainHeading">
    <w:name w:val="TableMainHeading"/>
    <w:basedOn w:val="Normal"/>
    <w:next w:val="Normal"/>
    <w:uiPriority w:val="99"/>
    <w:rsid w:val="00E114F3"/>
    <w:pPr>
      <w:spacing w:before="120" w:after="120"/>
    </w:pPr>
    <w:rPr>
      <w:rFonts w:ascii="Segoe UI" w:eastAsia="Times New Roman" w:hAnsi="Segoe UI" w:cs="Times New Roman"/>
      <w:szCs w:val="20"/>
    </w:rPr>
  </w:style>
  <w:style w:type="paragraph" w:customStyle="1" w:styleId="TableTitle">
    <w:name w:val="TableTitle"/>
    <w:basedOn w:val="Normal"/>
    <w:next w:val="Normal"/>
    <w:link w:val="TableTitleChar"/>
    <w:rsid w:val="00E114F3"/>
    <w:pPr>
      <w:keepNext/>
      <w:spacing w:before="120" w:after="240"/>
      <w:jc w:val="center"/>
    </w:pPr>
    <w:rPr>
      <w:rFonts w:ascii="Arial" w:eastAsia="MS Mincho" w:hAnsi="Arial" w:cs="Times New Roman"/>
      <w:b/>
      <w:noProof/>
      <w:szCs w:val="20"/>
    </w:rPr>
  </w:style>
  <w:style w:type="character" w:customStyle="1" w:styleId="TableTitleChar">
    <w:name w:val="TableTitle Char"/>
    <w:basedOn w:val="DefaultParagraphFont"/>
    <w:link w:val="TableTitle"/>
    <w:locked/>
    <w:rsid w:val="00E114F3"/>
    <w:rPr>
      <w:rFonts w:ascii="Arial" w:eastAsia="MS Mincho" w:hAnsi="Arial" w:cs="Times New Roman"/>
      <w:b/>
      <w:noProof/>
      <w:szCs w:val="20"/>
    </w:rPr>
  </w:style>
  <w:style w:type="character" w:customStyle="1" w:styleId="InstructionsTabelleberschrift">
    <w:name w:val="Instructions Tabelle Überschrift"/>
    <w:qFormat/>
    <w:rsid w:val="00E114F3"/>
    <w:rPr>
      <w:rFonts w:ascii="Verdana" w:hAnsi="Verdana" w:cs="Times New Roman"/>
      <w:b/>
      <w:bCs/>
      <w:sz w:val="20"/>
      <w:u w:val="single"/>
    </w:rPr>
  </w:style>
  <w:style w:type="paragraph" w:customStyle="1" w:styleId="InstructionsText2">
    <w:name w:val="Instructions Text 2"/>
    <w:basedOn w:val="Normal"/>
    <w:qFormat/>
    <w:rsid w:val="00E114F3"/>
    <w:pPr>
      <w:numPr>
        <w:numId w:val="2"/>
      </w:numPr>
      <w:spacing w:after="240"/>
      <w:jc w:val="both"/>
    </w:pPr>
    <w:rPr>
      <w:rFonts w:ascii="Times New Roman" w:eastAsia="Times New Roman" w:hAnsi="Times New Roman" w:cs="Times New Roman"/>
      <w:sz w:val="24"/>
      <w:lang w:eastAsia="de-DE"/>
    </w:rPr>
  </w:style>
  <w:style w:type="paragraph" w:styleId="Header">
    <w:name w:val="header"/>
    <w:basedOn w:val="Normal"/>
    <w:link w:val="HeaderChar"/>
    <w:uiPriority w:val="99"/>
    <w:unhideWhenUsed/>
    <w:rsid w:val="00E114F3"/>
    <w:pPr>
      <w:tabs>
        <w:tab w:val="center" w:pos="4513"/>
        <w:tab w:val="right" w:pos="9026"/>
      </w:tabs>
    </w:pPr>
  </w:style>
  <w:style w:type="character" w:customStyle="1" w:styleId="HeaderChar">
    <w:name w:val="Header Char"/>
    <w:basedOn w:val="DefaultParagraphFont"/>
    <w:link w:val="Header"/>
    <w:uiPriority w:val="99"/>
    <w:rsid w:val="00E114F3"/>
    <w:rPr>
      <w:rFonts w:eastAsiaTheme="minorEastAsia"/>
      <w:szCs w:val="24"/>
    </w:rPr>
  </w:style>
  <w:style w:type="paragraph" w:styleId="Footer">
    <w:name w:val="footer"/>
    <w:basedOn w:val="Normal"/>
    <w:link w:val="FooterChar"/>
    <w:uiPriority w:val="99"/>
    <w:unhideWhenUsed/>
    <w:rsid w:val="00E114F3"/>
    <w:pPr>
      <w:tabs>
        <w:tab w:val="center" w:pos="4513"/>
        <w:tab w:val="right" w:pos="9026"/>
      </w:tabs>
    </w:pPr>
  </w:style>
  <w:style w:type="character" w:customStyle="1" w:styleId="FooterChar">
    <w:name w:val="Footer Char"/>
    <w:basedOn w:val="DefaultParagraphFont"/>
    <w:link w:val="Footer"/>
    <w:uiPriority w:val="99"/>
    <w:rsid w:val="00E114F3"/>
    <w:rPr>
      <w:rFonts w:eastAsiaTheme="minorEastAsia"/>
      <w:szCs w:val="24"/>
    </w:rPr>
  </w:style>
  <w:style w:type="paragraph" w:styleId="Revision">
    <w:name w:val="Revision"/>
    <w:hidden/>
    <w:uiPriority w:val="99"/>
    <w:semiHidden/>
    <w:rsid w:val="00241FEC"/>
    <w:pPr>
      <w:spacing w:after="0" w:line="240" w:lineRule="auto"/>
    </w:pPr>
    <w:rPr>
      <w:rFonts w:eastAsiaTheme="minorEastAsia"/>
      <w:szCs w:val="24"/>
    </w:rPr>
  </w:style>
  <w:style w:type="character" w:styleId="CommentReference">
    <w:name w:val="annotation reference"/>
    <w:basedOn w:val="DefaultParagraphFont"/>
    <w:uiPriority w:val="99"/>
    <w:unhideWhenUsed/>
    <w:rsid w:val="00095D07"/>
    <w:rPr>
      <w:sz w:val="16"/>
      <w:szCs w:val="16"/>
    </w:rPr>
  </w:style>
  <w:style w:type="paragraph" w:styleId="CommentText">
    <w:name w:val="annotation text"/>
    <w:basedOn w:val="Normal"/>
    <w:link w:val="CommentTextChar"/>
    <w:uiPriority w:val="99"/>
    <w:unhideWhenUsed/>
    <w:rsid w:val="00095D07"/>
    <w:rPr>
      <w:sz w:val="20"/>
      <w:szCs w:val="20"/>
    </w:rPr>
  </w:style>
  <w:style w:type="character" w:customStyle="1" w:styleId="CommentTextChar">
    <w:name w:val="Comment Text Char"/>
    <w:basedOn w:val="DefaultParagraphFont"/>
    <w:link w:val="CommentText"/>
    <w:uiPriority w:val="99"/>
    <w:rsid w:val="00095D07"/>
    <w:rPr>
      <w:rFonts w:eastAsiaTheme="minorEastAsia"/>
      <w:sz w:val="20"/>
      <w:szCs w:val="20"/>
      <w:lang w:val="lt-LT"/>
    </w:rPr>
  </w:style>
  <w:style w:type="paragraph" w:customStyle="1" w:styleId="numberedparagraph">
    <w:name w:val="numbered paragraph"/>
    <w:basedOn w:val="Normal"/>
    <w:qFormat/>
    <w:rsid w:val="00095D07"/>
    <w:pPr>
      <w:numPr>
        <w:numId w:val="7"/>
      </w:numPr>
      <w:spacing w:before="240" w:after="120" w:line="276" w:lineRule="auto"/>
      <w:jc w:val="both"/>
    </w:pPr>
  </w:style>
  <w:style w:type="paragraph" w:customStyle="1" w:styleId="paragraph">
    <w:name w:val="paragraph"/>
    <w:basedOn w:val="Normal"/>
    <w:rsid w:val="00095D07"/>
    <w:pPr>
      <w:spacing w:before="100" w:beforeAutospacing="1" w:after="100" w:afterAutospacing="1"/>
    </w:pPr>
    <w:rPr>
      <w:rFonts w:ascii="Times New Roman" w:eastAsia="Times New Roman" w:hAnsi="Times New Roman" w:cs="Times New Roman"/>
      <w:sz w:val="24"/>
      <w:lang w:eastAsia="en-GB"/>
    </w:rPr>
  </w:style>
  <w:style w:type="character" w:customStyle="1" w:styleId="normaltextrun">
    <w:name w:val="normaltextrun"/>
    <w:basedOn w:val="DefaultParagraphFont"/>
    <w:rsid w:val="00095D07"/>
  </w:style>
  <w:style w:type="character" w:customStyle="1" w:styleId="eop">
    <w:name w:val="eop"/>
    <w:basedOn w:val="DefaultParagraphFont"/>
    <w:rsid w:val="00095D07"/>
  </w:style>
  <w:style w:type="character" w:styleId="Mention">
    <w:name w:val="Mention"/>
    <w:basedOn w:val="DefaultParagraphFont"/>
    <w:uiPriority w:val="99"/>
    <w:unhideWhenUsed/>
    <w:rsid w:val="00095D07"/>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074F00"/>
    <w:rPr>
      <w:b/>
      <w:bCs/>
    </w:rPr>
  </w:style>
  <w:style w:type="character" w:customStyle="1" w:styleId="CommentSubjectChar">
    <w:name w:val="Comment Subject Char"/>
    <w:basedOn w:val="CommentTextChar"/>
    <w:link w:val="CommentSubject"/>
    <w:uiPriority w:val="99"/>
    <w:semiHidden/>
    <w:rsid w:val="00074F00"/>
    <w:rPr>
      <w:rFonts w:eastAsiaTheme="minorEastAsia"/>
      <w:b/>
      <w:bCs/>
      <w:sz w:val="20"/>
      <w:szCs w:val="20"/>
      <w:lang w:val="lt-LT"/>
    </w:rPr>
  </w:style>
  <w:style w:type="paragraph" w:customStyle="1" w:styleId="Style1">
    <w:name w:val="Style1"/>
    <w:basedOn w:val="ListParagraph"/>
    <w:qFormat/>
    <w:rsid w:val="00232265"/>
    <w:pPr>
      <w:numPr>
        <w:numId w:val="11"/>
      </w:numPr>
      <w:spacing w:before="60" w:after="120"/>
      <w:jc w:val="both"/>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OJ:L_202401623" TargetMode="External"/><Relationship Id="rId1" Type="http://schemas.openxmlformats.org/officeDocument/2006/relationships/hyperlink" Target="https://eur-lex.europa.eu/legal-content/EN/AUTO/?uri=OJ:L:2013:176:T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786269AE2424A8D342950147AB377" ma:contentTypeVersion="3" ma:contentTypeDescription="Create a new document." ma:contentTypeScope="" ma:versionID="1c6d71e8fe77cb1d31a72a025cb5529a">
  <xsd:schema xmlns:xsd="http://www.w3.org/2001/XMLSchema" xmlns:xs="http://www.w3.org/2001/XMLSchema" xmlns:p="http://schemas.microsoft.com/office/2006/metadata/properties" xmlns:ns2="d520683a-cb21-4d3a-9123-58e4528859ba" targetNamespace="http://schemas.microsoft.com/office/2006/metadata/properties" ma:root="true" ma:fieldsID="cdbf0337ca5db9b749df9a74d0371656" ns2:_="">
    <xsd:import namespace="d520683a-cb21-4d3a-9123-58e4528859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0683a-cb21-4d3a-9123-58e452885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897FCB-9E4A-4741-9004-D2C005DA7809}">
  <ds:schemaRefs>
    <ds:schemaRef ds:uri="http://schemas.openxmlformats.org/officeDocument/2006/bibliography"/>
  </ds:schemaRefs>
</ds:datastoreItem>
</file>

<file path=customXml/itemProps2.xml><?xml version="1.0" encoding="utf-8"?>
<ds:datastoreItem xmlns:ds="http://schemas.openxmlformats.org/officeDocument/2006/customXml" ds:itemID="{544AA13D-5788-405C-9534-7091A4501F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FD491-C717-43CD-8132-4648BC01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0683a-cb21-4d3a-9123-58e452885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58D16-5A62-4E4D-96C3-F6E767B7E14B}">
  <ds:schemaRefs>
    <ds:schemaRef ds:uri="http://schemas.microsoft.com/sharepoint/v3/contenttype/forms"/>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4334</Words>
  <Characters>27411</Characters>
  <Application>Microsoft Office Word</Application>
  <DocSecurity>0</DocSecurity>
  <Lines>228</Lines>
  <Paragraphs>63</Paragraphs>
  <ScaleCrop>false</ScaleCrop>
  <Manager/>
  <Company/>
  <LinksUpToDate>false</LinksUpToDate>
  <CharactersWithSpaces>31682</CharactersWithSpaces>
  <SharedDoc>false</SharedDoc>
  <HLinks>
    <vt:vector size="36" baseType="variant">
      <vt:variant>
        <vt:i4>7143432</vt:i4>
      </vt:variant>
      <vt:variant>
        <vt:i4>3</vt:i4>
      </vt:variant>
      <vt:variant>
        <vt:i4>0</vt:i4>
      </vt:variant>
      <vt:variant>
        <vt:i4>5</vt:i4>
      </vt:variant>
      <vt:variant>
        <vt:lpwstr>https://eur-lex.europa.eu/legal-content/EN/TXT/?uri=OJ:L_202401623</vt:lpwstr>
      </vt:variant>
      <vt:variant>
        <vt:lpwstr/>
      </vt:variant>
      <vt:variant>
        <vt:i4>7602297</vt:i4>
      </vt:variant>
      <vt:variant>
        <vt:i4>0</vt:i4>
      </vt:variant>
      <vt:variant>
        <vt:i4>0</vt:i4>
      </vt:variant>
      <vt:variant>
        <vt:i4>5</vt:i4>
      </vt:variant>
      <vt:variant>
        <vt:lpwstr>https://eur-lex.europa.eu/legal-content/EN/AUTO/?uri=OJ:L:2013:176:TOC</vt:lpwstr>
      </vt:variant>
      <vt:variant>
        <vt:lpwstr/>
      </vt:variant>
      <vt:variant>
        <vt:i4>1507369</vt:i4>
      </vt:variant>
      <vt:variant>
        <vt:i4>9</vt:i4>
      </vt:variant>
      <vt:variant>
        <vt:i4>0</vt:i4>
      </vt:variant>
      <vt:variant>
        <vt:i4>5</vt:i4>
      </vt:variant>
      <vt:variant>
        <vt:lpwstr>mailto:anca.dinita@eba.europa.eu</vt:lpwstr>
      </vt:variant>
      <vt:variant>
        <vt:lpwstr/>
      </vt:variant>
      <vt:variant>
        <vt:i4>1507369</vt:i4>
      </vt:variant>
      <vt:variant>
        <vt:i4>6</vt:i4>
      </vt:variant>
      <vt:variant>
        <vt:i4>0</vt:i4>
      </vt:variant>
      <vt:variant>
        <vt:i4>5</vt:i4>
      </vt:variant>
      <vt:variant>
        <vt:lpwstr>mailto:anca.dinita@eba.europa.eu</vt:lpwstr>
      </vt:variant>
      <vt:variant>
        <vt:lpwstr/>
      </vt:variant>
      <vt:variant>
        <vt:i4>1507369</vt:i4>
      </vt:variant>
      <vt:variant>
        <vt:i4>3</vt:i4>
      </vt:variant>
      <vt:variant>
        <vt:i4>0</vt:i4>
      </vt:variant>
      <vt:variant>
        <vt:i4>5</vt:i4>
      </vt:variant>
      <vt:variant>
        <vt:lpwstr>mailto:anca.dinita@eba.europa.eu</vt:lpwstr>
      </vt:variant>
      <vt:variant>
        <vt:lpwstr/>
      </vt:variant>
      <vt:variant>
        <vt:i4>1507369</vt:i4>
      </vt:variant>
      <vt:variant>
        <vt:i4>0</vt:i4>
      </vt:variant>
      <vt:variant>
        <vt:i4>0</vt:i4>
      </vt:variant>
      <vt:variant>
        <vt:i4>5</vt:i4>
      </vt:variant>
      <vt:variant>
        <vt:lpwstr>mailto:anca.dinita@eba.europa.eu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2025-12-08T10:33:00Z</dcterms:created>
  <dcterms:modified xsi:type="dcterms:W3CDTF">2025-12-23T14:37:00Z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0x01010061D786269AE2424A8D342950147AB377</vt:lpwstr>
  </property>
</Properties>
</file>